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12D24" w14:textId="3EFD464D" w:rsidR="0093418C" w:rsidRDefault="0093418C">
      <w:pPr>
        <w:spacing w:line="360" w:lineRule="auto"/>
        <w:rPr>
          <w:rFonts w:ascii="Times New Roman" w:hAnsi="Times New Roman" w:cs="Times New Roman"/>
          <w:b/>
          <w:bCs/>
          <w:sz w:val="24"/>
          <w:szCs w:val="24"/>
        </w:rPr>
      </w:pPr>
      <w:bookmarkStart w:id="0" w:name="_Hlk191812180"/>
      <w:r>
        <w:rPr>
          <w:rFonts w:ascii="Times New Roman" w:hAnsi="Times New Roman" w:cs="Times New Roman"/>
          <w:b/>
          <w:bCs/>
          <w:sz w:val="24"/>
          <w:szCs w:val="24"/>
        </w:rPr>
        <w:t>Role of CT Scan and MRI in Cancer Diagnosis</w:t>
      </w:r>
      <w:bookmarkEnd w:id="0"/>
      <w:r>
        <w:rPr>
          <w:rFonts w:ascii="Times New Roman" w:hAnsi="Times New Roman" w:cs="Times New Roman"/>
          <w:b/>
          <w:bCs/>
          <w:sz w:val="24"/>
          <w:szCs w:val="24"/>
        </w:rPr>
        <w:t>: A Comparative Review of Imaging Modalities for Precision Medicine</w:t>
      </w:r>
    </w:p>
    <w:p w14:paraId="3C5554F8" w14:textId="77777777" w:rsidR="001D4CD5" w:rsidRDefault="001D4CD5">
      <w:pPr>
        <w:spacing w:line="360" w:lineRule="auto"/>
        <w:rPr>
          <w:rFonts w:ascii="Times New Roman" w:hAnsi="Times New Roman" w:cs="Times New Roman"/>
          <w:b/>
          <w:bCs/>
          <w:sz w:val="24"/>
          <w:szCs w:val="24"/>
        </w:rPr>
      </w:pPr>
    </w:p>
    <w:p w14:paraId="0BCB0EEC" w14:textId="3CE2C4B5" w:rsidR="0035583F" w:rsidRDefault="00FB043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08081AA0" w14:textId="348C294D" w:rsidR="0035583F" w:rsidRPr="00FC77ED" w:rsidRDefault="00FB0430">
      <w:pPr>
        <w:spacing w:line="360" w:lineRule="auto"/>
        <w:jc w:val="both"/>
        <w:rPr>
          <w:rFonts w:ascii="Times New Roman" w:hAnsi="Times New Roman" w:cs="Times New Roman"/>
          <w:sz w:val="24"/>
          <w:szCs w:val="24"/>
        </w:rPr>
      </w:pPr>
      <w:r>
        <w:rPr>
          <w:rFonts w:ascii="Times New Roman" w:hAnsi="Times New Roman" w:cs="Times New Roman"/>
          <w:sz w:val="24"/>
          <w:szCs w:val="24"/>
        </w:rPr>
        <w:t>Cancer is one of the most lethal diseases in the current scenario all over the world. Early detection may lead to better treatment and recovery. Imaging modalities such as</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 xml:space="preserve">Magnetic resonance imaging (MRI) and Computed tomography (CT) are two modern diagnostic imaging techniques that are helpful in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diagnosis.</w:t>
      </w:r>
      <w:r w:rsidR="00FC77ED">
        <w:rPr>
          <w:rFonts w:ascii="Times New Roman" w:hAnsi="Times New Roman" w:cs="Times New Roman"/>
          <w:sz w:val="24"/>
          <w:szCs w:val="24"/>
        </w:rPr>
        <w:t xml:space="preserve"> </w:t>
      </w:r>
      <w:r w:rsidR="00FC77ED" w:rsidRPr="00FC77ED">
        <w:rPr>
          <w:rFonts w:ascii="Times New Roman" w:hAnsi="Times New Roman" w:cs="Times New Roman"/>
          <w:sz w:val="24"/>
          <w:szCs w:val="24"/>
          <w:highlight w:val="yellow"/>
        </w:rPr>
        <w:t xml:space="preserve">However, CT imaging uses ionizing radiation and soft tissue contrast is its significant limitation. In contrast, MRI provides excellent soft tissue differentiation, multiplanar imaging capabilities, and functional imaging techniques such as diffusion-weighted imaging and spectroscopy, which are increasingly valuable in characterizing </w:t>
      </w:r>
      <w:proofErr w:type="spellStart"/>
      <w:r w:rsidR="00FC77ED" w:rsidRPr="00FC77ED">
        <w:rPr>
          <w:rFonts w:ascii="Times New Roman" w:hAnsi="Times New Roman" w:cs="Times New Roman"/>
          <w:sz w:val="24"/>
          <w:szCs w:val="24"/>
          <w:highlight w:val="yellow"/>
        </w:rPr>
        <w:t>tumors</w:t>
      </w:r>
      <w:proofErr w:type="spellEnd"/>
      <w:r w:rsidR="00FC77ED" w:rsidRPr="00FC77ED">
        <w:rPr>
          <w:rFonts w:ascii="Times New Roman" w:hAnsi="Times New Roman" w:cs="Times New Roman"/>
          <w:sz w:val="24"/>
          <w:szCs w:val="24"/>
          <w:highlight w:val="yellow"/>
        </w:rPr>
        <w:t xml:space="preserve"> and guiding therapy</w:t>
      </w:r>
      <w:r w:rsidR="00FC77ED">
        <w:rPr>
          <w:rFonts w:ascii="Times New Roman" w:hAnsi="Times New Roman" w:cs="Times New Roman"/>
          <w:sz w:val="24"/>
          <w:szCs w:val="24"/>
        </w:rPr>
        <w:t xml:space="preserve">. </w:t>
      </w:r>
      <w:r>
        <w:rPr>
          <w:rFonts w:ascii="Times New Roman" w:hAnsi="Times New Roman" w:cs="Times New Roman"/>
          <w:sz w:val="24"/>
          <w:szCs w:val="24"/>
        </w:rPr>
        <w:t xml:space="preserve">The method of cancer diagnosis using CT or MRI, can provide precise information about the lesion's location, size, shape, and structural changes in the surrounding tissues. Cancer staging is precisely done on positron emission tomography (PET) but the staging of cancer is possible through CT scan and MRI up to some extent, which is helpful before starting any treatment. It provides adequate treatment depending on location, size, and type of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w:t>
      </w:r>
      <w:r w:rsidR="00377448">
        <w:rPr>
          <w:rFonts w:ascii="Times New Roman" w:hAnsi="Times New Roman" w:cs="Times New Roman"/>
          <w:sz w:val="24"/>
          <w:szCs w:val="24"/>
        </w:rPr>
        <w:t xml:space="preserve"> </w:t>
      </w:r>
      <w:r>
        <w:rPr>
          <w:rFonts w:ascii="Times New Roman" w:hAnsi="Times New Roman" w:cs="Times New Roman"/>
          <w:sz w:val="24"/>
          <w:szCs w:val="24"/>
        </w:rPr>
        <w:t>CT scan is generally preferred i</w:t>
      </w:r>
      <w:r w:rsidR="000F2575">
        <w:rPr>
          <w:rFonts w:ascii="Times New Roman" w:hAnsi="Times New Roman" w:cs="Times New Roman"/>
          <w:sz w:val="24"/>
          <w:szCs w:val="24"/>
        </w:rPr>
        <w:t>n</w:t>
      </w:r>
      <w:r>
        <w:rPr>
          <w:rFonts w:ascii="Times New Roman" w:hAnsi="Times New Roman" w:cs="Times New Roman"/>
          <w:sz w:val="24"/>
          <w:szCs w:val="24"/>
        </w:rPr>
        <w:t xml:space="preserve"> the diagnosis of abdominal and calcified lesions, while MRI is better for peripheral and central nervous system (CNS) lesions.</w:t>
      </w:r>
      <w:r>
        <w:rPr>
          <w:rFonts w:ascii="Times New Roman" w:hAnsi="Times New Roman" w:cs="Times New Roman"/>
          <w:b/>
          <w:bCs/>
          <w:sz w:val="24"/>
          <w:szCs w:val="24"/>
        </w:rPr>
        <w:t xml:space="preserve"> </w:t>
      </w:r>
      <w:r>
        <w:rPr>
          <w:rFonts w:ascii="Times New Roman" w:hAnsi="Times New Roman" w:cs="Times New Roman"/>
          <w:sz w:val="24"/>
          <w:szCs w:val="24"/>
        </w:rPr>
        <w:t>Precision in cancer diagnosis increases the probability of opting and executing a successful treatment. Recent advances such as dual-energy computed tomography (DECT), magnetic resonance spectroscopy (MRS), Positron emission tomography-computed tomography (PET-CT), and Positron emission tomography-magnetic resonance imaging (PET-MRI) have increased the precision of cancer diagnosis.</w:t>
      </w:r>
      <w:r w:rsidR="004014F2">
        <w:rPr>
          <w:rFonts w:ascii="Times New Roman" w:hAnsi="Times New Roman" w:cs="Times New Roman"/>
          <w:sz w:val="24"/>
          <w:szCs w:val="24"/>
        </w:rPr>
        <w:t xml:space="preserve"> </w:t>
      </w:r>
      <w:r w:rsidR="009809B4" w:rsidRPr="009809B4">
        <w:rPr>
          <w:rFonts w:ascii="Times New Roman" w:hAnsi="Times New Roman" w:cs="Times New Roman"/>
          <w:sz w:val="24"/>
          <w:szCs w:val="24"/>
          <w:highlight w:val="yellow"/>
        </w:rPr>
        <w:t xml:space="preserve">ASL (arterial spin </w:t>
      </w:r>
      <w:proofErr w:type="spellStart"/>
      <w:r w:rsidR="009809B4" w:rsidRPr="009809B4">
        <w:rPr>
          <w:rFonts w:ascii="Times New Roman" w:hAnsi="Times New Roman" w:cs="Times New Roman"/>
          <w:sz w:val="24"/>
          <w:szCs w:val="24"/>
          <w:highlight w:val="yellow"/>
        </w:rPr>
        <w:t>labeling</w:t>
      </w:r>
      <w:proofErr w:type="spellEnd"/>
      <w:r w:rsidR="009809B4" w:rsidRPr="009809B4">
        <w:rPr>
          <w:rFonts w:ascii="Times New Roman" w:hAnsi="Times New Roman" w:cs="Times New Roman"/>
          <w:sz w:val="24"/>
          <w:szCs w:val="24"/>
          <w:highlight w:val="yellow"/>
        </w:rPr>
        <w:t>), an advanced MRI technique, helps diagnose people who are allergic to contrast</w:t>
      </w:r>
      <w:r w:rsidR="004014F2" w:rsidRPr="00B85620">
        <w:rPr>
          <w:rFonts w:ascii="Times New Roman" w:hAnsi="Times New Roman" w:cs="Times New Roman"/>
          <w:sz w:val="24"/>
          <w:szCs w:val="24"/>
          <w:highlight w:val="yellow"/>
        </w:rPr>
        <w:t>.</w:t>
      </w:r>
      <w:r w:rsidR="00B85620">
        <w:rPr>
          <w:rFonts w:ascii="Times New Roman" w:hAnsi="Times New Roman" w:cs="Times New Roman"/>
          <w:sz w:val="24"/>
          <w:szCs w:val="24"/>
        </w:rPr>
        <w:t xml:space="preserve"> </w:t>
      </w:r>
      <w:r>
        <w:rPr>
          <w:rFonts w:ascii="Times New Roman" w:hAnsi="Times New Roman" w:cs="Times New Roman"/>
          <w:sz w:val="24"/>
          <w:szCs w:val="24"/>
        </w:rPr>
        <w:t>It increases image acquisition resolution, allowing for even more accurate and precise diagnosis and prognosis. Also, the qualitative interpretation of cancer imaging might be greatly enhanced by the integration of artificial intelligence (AI) in radio imaging techniques.</w:t>
      </w:r>
      <w:r w:rsidR="00C3413F">
        <w:rPr>
          <w:rFonts w:ascii="Times New Roman" w:hAnsi="Times New Roman" w:cs="Times New Roman"/>
          <w:sz w:val="24"/>
          <w:szCs w:val="24"/>
        </w:rPr>
        <w:t xml:space="preserve"> </w:t>
      </w:r>
      <w:r w:rsidR="00C3413F" w:rsidRPr="00C3413F">
        <w:rPr>
          <w:rFonts w:ascii="Times New Roman" w:hAnsi="Times New Roman" w:cs="Times New Roman"/>
          <w:sz w:val="24"/>
          <w:szCs w:val="24"/>
          <w:highlight w:val="yellow"/>
        </w:rPr>
        <w:t>Improving the proportion of patients diagnosed with early-stage cancer is a key priority of the World Health Organisation</w:t>
      </w:r>
      <w:r w:rsidR="00C3413F">
        <w:rPr>
          <w:rFonts w:ascii="Times New Roman" w:hAnsi="Times New Roman" w:cs="Times New Roman"/>
          <w:sz w:val="24"/>
          <w:szCs w:val="24"/>
        </w:rPr>
        <w:t>.</w:t>
      </w:r>
      <w:r w:rsidR="00554A7E">
        <w:rPr>
          <w:rFonts w:ascii="Times New Roman" w:hAnsi="Times New Roman" w:cs="Times New Roman"/>
          <w:sz w:val="24"/>
          <w:szCs w:val="24"/>
        </w:rPr>
        <w:t xml:space="preserve"> </w:t>
      </w:r>
      <w:r w:rsidR="00554A7E" w:rsidRPr="00554A7E">
        <w:rPr>
          <w:rFonts w:ascii="Times New Roman" w:hAnsi="Times New Roman" w:cs="Times New Roman"/>
          <w:sz w:val="24"/>
          <w:szCs w:val="24"/>
          <w:highlight w:val="yellow"/>
        </w:rPr>
        <w:t xml:space="preserve">Screening programs have improved survival in many </w:t>
      </w:r>
      <w:proofErr w:type="spellStart"/>
      <w:r w:rsidR="00554A7E" w:rsidRPr="00554A7E">
        <w:rPr>
          <w:rFonts w:ascii="Times New Roman" w:hAnsi="Times New Roman" w:cs="Times New Roman"/>
          <w:sz w:val="24"/>
          <w:szCs w:val="24"/>
          <w:highlight w:val="yellow"/>
        </w:rPr>
        <w:t>tumor</w:t>
      </w:r>
      <w:proofErr w:type="spellEnd"/>
      <w:r w:rsidR="00554A7E" w:rsidRPr="00554A7E">
        <w:rPr>
          <w:rFonts w:ascii="Times New Roman" w:hAnsi="Times New Roman" w:cs="Times New Roman"/>
          <w:sz w:val="24"/>
          <w:szCs w:val="24"/>
          <w:highlight w:val="yellow"/>
        </w:rPr>
        <w:t xml:space="preserve"> groupings, but risk stratification and patient selection remain major obstacles.</w:t>
      </w:r>
      <w:r w:rsidR="00954CF1">
        <w:rPr>
          <w:rFonts w:ascii="Times New Roman" w:hAnsi="Times New Roman" w:cs="Times New Roman"/>
          <w:sz w:val="24"/>
          <w:szCs w:val="24"/>
        </w:rPr>
        <w:t xml:space="preserve"> </w:t>
      </w:r>
      <w:r w:rsidR="00FC77ED">
        <w:rPr>
          <w:rFonts w:ascii="Times New Roman" w:hAnsi="Times New Roman" w:cs="Times New Roman"/>
          <w:sz w:val="24"/>
          <w:szCs w:val="24"/>
        </w:rPr>
        <w:t>T</w:t>
      </w:r>
      <w:r w:rsidR="00FC77ED" w:rsidRPr="00FC77ED">
        <w:rPr>
          <w:rFonts w:ascii="Times New Roman" w:hAnsi="Times New Roman" w:cs="Times New Roman"/>
          <w:sz w:val="24"/>
          <w:szCs w:val="24"/>
        </w:rPr>
        <w:t>his review highlights their complementary roles and the potential of multimodal imaging strategies to enhance diagnostic accuracy and improve clinical outcomes.</w:t>
      </w:r>
      <w:bookmarkStart w:id="1" w:name="_GoBack"/>
      <w:bookmarkEnd w:id="1"/>
    </w:p>
    <w:p w14:paraId="39F22A04" w14:textId="77777777" w:rsidR="0035583F" w:rsidRDefault="00FB043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Keywords: </w:t>
      </w:r>
      <w:r>
        <w:rPr>
          <w:rFonts w:ascii="Times New Roman" w:hAnsi="Times New Roman" w:cs="Times New Roman"/>
          <w:sz w:val="24"/>
          <w:szCs w:val="24"/>
        </w:rPr>
        <w:t xml:space="preserve">Cancer diagnosis, Computed Tomography, Magnetic Resonance Imaging, Precision medicine </w:t>
      </w:r>
    </w:p>
    <w:p w14:paraId="1A42B6A5" w14:textId="77777777" w:rsidR="0035583F" w:rsidRDefault="0035583F">
      <w:pPr>
        <w:spacing w:line="360" w:lineRule="auto"/>
        <w:jc w:val="both"/>
        <w:rPr>
          <w:rFonts w:ascii="Times New Roman" w:hAnsi="Times New Roman" w:cs="Times New Roman"/>
          <w:sz w:val="24"/>
          <w:szCs w:val="24"/>
        </w:rPr>
      </w:pPr>
    </w:p>
    <w:p w14:paraId="1A48AA04" w14:textId="3B7E31FD" w:rsidR="009B07E8"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6A7992CC" w14:textId="0FDCC56A" w:rsidR="009B07E8" w:rsidRDefault="00FB0430" w:rsidP="009B07E8">
      <w:pPr>
        <w:pStyle w:val="ListParagraph"/>
        <w:spacing w:line="360" w:lineRule="auto"/>
        <w:ind w:left="0"/>
        <w:jc w:val="both"/>
        <w:rPr>
          <w:rFonts w:ascii="Times New Roman" w:hAnsi="Times New Roman" w:cs="Times New Roman"/>
          <w:b/>
          <w:bCs/>
          <w:sz w:val="24"/>
          <w:szCs w:val="24"/>
        </w:rPr>
      </w:pPr>
      <w:r w:rsidRPr="009B07E8">
        <w:rPr>
          <w:rFonts w:ascii="Times New Roman" w:eastAsia="Times New Roman" w:hAnsi="Times New Roman" w:cs="Times New Roman"/>
          <w:kern w:val="0"/>
          <w:sz w:val="24"/>
          <w:szCs w:val="24"/>
          <w:lang w:eastAsia="en-IN"/>
          <w14:ligatures w14:val="none"/>
        </w:rPr>
        <w:t>In 2022</w:t>
      </w:r>
      <w:r w:rsidR="0093418C">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approximately 1.4 lakh cases of cancer </w:t>
      </w:r>
      <w:r w:rsidR="0093418C">
        <w:rPr>
          <w:rFonts w:ascii="Times New Roman" w:eastAsia="Times New Roman" w:hAnsi="Times New Roman" w:cs="Times New Roman"/>
          <w:kern w:val="0"/>
          <w:sz w:val="24"/>
          <w:szCs w:val="24"/>
          <w:lang w:eastAsia="en-IN"/>
          <w14:ligatures w14:val="none"/>
        </w:rPr>
        <w:t>were</w:t>
      </w:r>
      <w:r w:rsidRPr="009B07E8">
        <w:rPr>
          <w:rFonts w:ascii="Times New Roman" w:eastAsia="Times New Roman" w:hAnsi="Times New Roman" w:cs="Times New Roman"/>
          <w:kern w:val="0"/>
          <w:sz w:val="24"/>
          <w:szCs w:val="24"/>
          <w:lang w:eastAsia="en-IN"/>
          <w14:ligatures w14:val="none"/>
        </w:rPr>
        <w:t xml:space="preserve"> reported in India </w:t>
      </w:r>
      <w:r w:rsidRPr="009B07E8">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{"citationID":"DOfCffVp","properties":{"formattedCitation":"(Sathishkumar et al., 2022)","plainCitation":"(Sathishkumar et al., 2022)","noteIndex":0},"citationItems":[{"id":"p7zULTu6/8An6f20N","uris":["http://zotero.org/users/16274399/items/RNDB9B7U"],"itemData":{"id":33,"type":"article-journal","abstract":"Background &amp; objectives:\nInformation on recent cancer statistics is important for planning, monitoring and evaluating cancer control activities. This article aims to provide an update on the cancer incidence estimates in India by sex, age groups and anatomical sites for the year 2022.\n\nMethods:\nThe National Cancer Registry Programme Report 2020, reported the cancer incidence from 28 Population-Based Cancer Registries (PBCRs) for the years 2012-2016. This was used as the basis to calculate cancer estimates in India. Information pertaining to the population at risk was extracted from the Census of India (2001 and 2011) for the estimation of age–sex stratified population. PBCRs were categorised into the respective State and regions of the country to understand the epidemiology of cancer. The age-specific incidence rate for each specific anatomical site of cancer was applied to the estimated population to derive the number of cancer cases in India for 2022.\n\nResults:\nThe estimated number of incident cases of cancer in India for the year 2022 was found to be 14,61,427 (crude rate:100.4 per 100,000). In India, one in nine people are likely to develop cancer in his/her lifetime. Lung and breast cancers were the leading sites of cancer in males and females, respectively. Among the childhood (0-14 yr) cancers, lymphoid leukaemia (boys: 29.2% and girls: 24.2%) was the leading site. The incidence of cancer cases is estimated to increase by 12.8 per cent in 2025 as compared to 2020.\n\nInterpretation &amp; conclusions:\nThe cancer incidence is continuing to increase in India. The new estimates will be helpful in planning cancer prevention and control activities through the intervention of early detection, risk reduction and management.","container-title":"The Indian Journal of Medical Research","DOI":"10.4103/ijmr.ijmr_1821_22","ISSN":"0971-5916","issue":"4-5","journalAbbreviation":"Indian J Med Res","note":"PMID: 36510887\nPMCID: PMC10231735","page":"598-607","source":"PubMed Central","title":"Cancer incidence estimates for 2022 &amp; projection for 2025: Result from National Cancer Registry Programme, India","title-short":"Cancer incidence estimates for 2022 &amp; projection for 2025","volume":"156","author":[{"family":"Sathishkumar","given":"Krishnan"},{"family":"Chaturvedi","given":"Meesha"},{"family":"Das","given":"Priyanka"},{"family":"Stephen","given":"S."},{"family":"Mathur","given":"Prashant"}],"issued":{"date-parts":[["2022"]]}}}],"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(Sathishkumar et al., 2022)</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23 major cancers became the causes of about 12.85 million deaths between 2000 and 2019 in India </w:t>
      </w:r>
      <w:r w:rsidRPr="009B07E8">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{"citationID":"eW8YOY7d","properties":{"formattedCitation":"(Shaji et al., 2023)","plainCitation":"(Shaji et al., 2023)","noteIndex":0},"citationItems":[{"id":"p7zULTu6/i58IMeiQ","uris":["http://zotero.org/users/16274399/items/RWS3KYTQ"],"itemData":{"id":36,"type":"article-journal","abstract":"PurposeCancer mortality trends have not been documented across the population of India. We, therefore, analyzed the overall and individual cancer mortality trends for 23 major cancers between 2000 and 2019 on the basis of Global Health Observatory (GHO) database.Materials and MethodsThis study examined cancer mortality trends for 23 major cancer sites on the basis of 12.85 million cancer deaths obtained from the GHO of the WHO between 2000 and 2019. A joinpoint regression model was used to analyze the long-term trends of cancer mortality. Annual percentage change (APC) and average APC were estimated for various cancer sites.ResultsBetween 2000 and 2019, 12.85 million deaths occurred in India from 23 major cancers. The most common lethal cancers were mouth and oropharyngeal (15.6%), stomach (10.6%), lung (9.6%), breast (9%), and colorectal (8%) cancers. The mortality trend decreased by 0.19% annually among men and increased nonsignificantly by 0.25% among women; an increase of 0.02% was observed among combined sexes. Increasing mortality trends were seen among cancers of the lung, breast, colorectum, lymphoma, multiple myeloma, gallbladder, pancreas, kidney, and mesothelioma between 2000 and 2019. The highest annual increase in mortality was observed in pancreatic cancer among both sexes: 2.7%, 2.1% among men, and 3.7% in women. The cancers of the stomach, esophagus, leukemia, larynx, and melanoma showed a declining cancer mortality trend irrespective of sex.ConclusionA multifaceted strategy is required to tackle the rising cancer mortality rates in India; the best long-term strategy could be implementing awareness on cancer symptoms among the population as well as cancer prevention policies with improved health infrastructure and specifically dedicated human resources.","container-title":"JCO Global Oncology","DOI":"10.1200/GO.22.00405","issue":"9","journalAbbreviation":"JCO Glob Oncol","note":"publisher: Wolters Kluwer","page":"e2200405","source":"ascopubs.org (Atypon)","title":"Analysis of the Mortality Trends of 23 Major Cancers in the Indian Population Between 2000 and 2019: A Joinpoint Regression Analysis","title-short":"Analysis of the Mortality Trends of 23 Major Cancers in the Indian Population Between 2000 and 2019","author":[{"family":"Shaji","given":"Ajil"},{"family":"Keechilat","given":"Pavithran"},{"family":"DK","given":"Vijaykumar"},{"family":"Sauvaget","given":"Catherine"}],"issued":{"date-parts":[["2023",3]]}}}],"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(Shaji et al., 2023)</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The stage of cancer at the time of diagnosis has a significant impact on the patient's chances of better recovery</w:t>
      </w:r>
      <w:r w:rsidR="0093418C">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therefore</w:t>
      </w:r>
      <w:r w:rsidR="0093418C">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early detection is very crucial </w:t>
      </w:r>
      <w:r w:rsidRPr="009B07E8">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{"citationID":"uHGoWrg6","properties":{"formattedCitation":"(Bhat et al., 2024; Neal et al., 2015)","plainCitation":"(Bhat et al., 2024; Neal et al., 2015)","noteIndex":0},"citationItems":[{"id":"p7zULTu6/AYXL3zpU","uris":["http://zotero.org/users/16274399/items/RUCMPT82"],"itemData":{"id":40,"type":"article-journal","abstract":"It is unclear whether more timely cancer diagnosis brings favourable outcomes, with much of the previous evidence, in some cancers, being equivocal. We set out to determine whether there is an association between time to diagnosis, treatment and clinical outcomes, across all cancers for symptomatic presentations.","container-title":"British Journal of Cancer","DOI":"10.1038/bjc.2015.48","ISSN":"1532-1827","issue":"1","journalAbbreviation":"Br J Cancer","language":"en","license":"2015 The Author(s)","note":"publisher: Nature Publishing Group","page":"S92-S107","source":"www.nature.com","title":"Is increased time to diagnosis and treatment in symptomatic cancer associated with poorer outcomes? Systematic review","title-short":"Is increased time to diagnosis and treatment in symptomatic cancer associated with poorer outcomes?","volume":"112","author":[{"family":"Neal","given":"R. D."},{"family":"Tharmanathan","given":"P."},{"family":"France","given":"B."},{"family":"Din","given":"N. U."},{"family":"Cotton","given":"S."},{"family":"Fallon-Ferguson","given":"J."},{"family":"Hamilton","given":"W."},{"family":"Hendry","given":"A."},{"family":"Hendry","given":"M."},{"family":"Lewis","given":"R."},{"family":"Macleod","given":"U."},{"family":"Mitchell","given":"E. D."},{"family":"Pickett","given":"M."},{"family":"Rai","given":"T."},{"family":"Shaw","given":"K."},{"family":"Stuart","given":"N."},{"family":"Tørring","given":"M. L."},{"family":"Wilkinson","given":"C."},{"family":"Williams","given":"B."},{"family":"Williams","given":"N."},{"family":"Emery","given":"J."}],"issued":{"date-parts":[["2015",3]]}}},{"id":1244,"uris":["http://zotero.org/users/15401920/items/2TLFGQSP"],"itemData":{"id":1244,"type":"article-journal","container-title":"Asian Journal of Research in Biochemistry","DOI":"10.9734/ajrb/2024/v14i4300","ISSN":"2582-0516","issue":"4","language":"en","page":"111-125","source":"journalajrb.com","title":"Cancer Initiation and Progression: A Comprehensive Review of Carcinogenic Substances, Anti-Cancer Therapies, and Regulatory Frameworks","title-short":"Cancer Initiation and Progression","volume":"14","author":[{"family":"Bhat","given":"Aadil Shafi"},{"family":"Ahmed","given":"Mizna"},{"family":"Abbas","given":"Kashif"},{"family":"Mustafa","given":"Mohd"},{"family":"Alam","given":"Mudassir"},{"family":"Salem","given":"Mansour A. S."},{"family":"Islam","given":"Sidra"},{"family":"Tantry","given":"Irfan Qadir"},{"family":"Singh","given":"Yogendra"},{"family":"Fatima","given":"Muizzah"},{"family":"Usmani","given":"Nazura"},{"family":"Faraz","given":"Mohd"},{"family":"Afeef","given":"Mohammad"},{"family":"Habib","given":"Safia"}],"issued":{"date-parts":[["2024",6,22]]}}}],"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(Bhat et al., 2024; Neal et al., 2015)</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Early cancer detection depends on several factors, including screening the at-risk population, </w:t>
      </w:r>
      <w:r w:rsidR="0046447B" w:rsidRPr="009B07E8">
        <w:rPr>
          <w:rFonts w:ascii="Times New Roman" w:eastAsia="Times New Roman" w:hAnsi="Times New Roman" w:cs="Times New Roman"/>
          <w:kern w:val="0"/>
          <w:sz w:val="24"/>
          <w:szCs w:val="24"/>
          <w:lang w:eastAsia="en-IN"/>
          <w14:ligatures w14:val="none"/>
        </w:rPr>
        <w:t>patients,</w:t>
      </w:r>
      <w:r w:rsidRPr="009B07E8">
        <w:rPr>
          <w:rFonts w:ascii="Times New Roman" w:eastAsia="Times New Roman" w:hAnsi="Times New Roman" w:cs="Times New Roman"/>
          <w:kern w:val="0"/>
          <w:sz w:val="24"/>
          <w:szCs w:val="24"/>
          <w:lang w:eastAsia="en-IN"/>
          <w14:ligatures w14:val="none"/>
        </w:rPr>
        <w:t xml:space="preserve"> </w:t>
      </w:r>
      <w:r w:rsidR="0046447B" w:rsidRPr="009B07E8">
        <w:rPr>
          <w:rFonts w:ascii="Times New Roman" w:eastAsia="Times New Roman" w:hAnsi="Times New Roman" w:cs="Times New Roman"/>
          <w:kern w:val="0"/>
          <w:sz w:val="24"/>
          <w:szCs w:val="24"/>
          <w:lang w:eastAsia="en-IN"/>
          <w14:ligatures w14:val="none"/>
        </w:rPr>
        <w:t xml:space="preserve">and </w:t>
      </w:r>
      <w:r w:rsidRPr="009B07E8">
        <w:rPr>
          <w:rFonts w:ascii="Times New Roman" w:eastAsia="Times New Roman" w:hAnsi="Times New Roman" w:cs="Times New Roman"/>
          <w:kern w:val="0"/>
          <w:sz w:val="24"/>
          <w:szCs w:val="24"/>
          <w:lang w:eastAsia="en-IN"/>
          <w14:ligatures w14:val="none"/>
        </w:rPr>
        <w:t xml:space="preserve">healthcare </w:t>
      </w:r>
      <w:r w:rsidR="0046447B" w:rsidRPr="009B07E8">
        <w:rPr>
          <w:rFonts w:ascii="Times New Roman" w:eastAsia="Times New Roman" w:hAnsi="Times New Roman" w:cs="Times New Roman"/>
          <w:kern w:val="0"/>
          <w:sz w:val="24"/>
          <w:szCs w:val="24"/>
          <w:lang w:eastAsia="en-IN"/>
          <w14:ligatures w14:val="none"/>
        </w:rPr>
        <w:t>providers</w:t>
      </w:r>
      <w:r w:rsidR="001963F9" w:rsidRPr="009B07E8">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w:t>
      </w:r>
      <w:r w:rsidR="0046447B" w:rsidRPr="009B07E8">
        <w:rPr>
          <w:rFonts w:ascii="Times New Roman" w:eastAsia="Times New Roman" w:hAnsi="Times New Roman" w:cs="Times New Roman"/>
          <w:kern w:val="0"/>
          <w:sz w:val="24"/>
          <w:szCs w:val="24"/>
          <w:lang w:eastAsia="en-IN"/>
          <w14:ligatures w14:val="none"/>
        </w:rPr>
        <w:t xml:space="preserve">and the </w:t>
      </w:r>
      <w:r w:rsidRPr="009B07E8">
        <w:rPr>
          <w:rFonts w:ascii="Times New Roman" w:eastAsia="Times New Roman" w:hAnsi="Times New Roman" w:cs="Times New Roman"/>
          <w:kern w:val="0"/>
          <w:sz w:val="24"/>
          <w:szCs w:val="24"/>
          <w:lang w:eastAsia="en-IN"/>
          <w14:ligatures w14:val="none"/>
        </w:rPr>
        <w:t>ability to spot warning signs</w:t>
      </w:r>
      <w:r w:rsidR="00A52A8E">
        <w:rPr>
          <w:rFonts w:ascii="Times New Roman" w:eastAsia="Times New Roman" w:hAnsi="Times New Roman" w:cs="Times New Roman"/>
          <w:kern w:val="0"/>
          <w:sz w:val="24"/>
          <w:szCs w:val="24"/>
          <w:lang w:eastAsia="en-IN"/>
          <w14:ligatures w14:val="none"/>
        </w:rPr>
        <w:t xml:space="preserve"> </w:t>
      </w:r>
      <w:r w:rsidR="00A52A8E">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{"citationID":"KH4Ro092","properties":{"formattedCitation":"(Bhat et al., 2024; Zameer et al., 2025)","plainCitation":"(Bhat et al., 2024; Zameer et al., 2025)","noteIndex":0},"citationItems":[{"id":1244,"uris":["http://zotero.org/users/15401920/items/2TLFGQSP"],"itemData":{"id":1244,"type":"article-journal","container-title":"Asian Journal of Research in Biochemistry","DOI":"10.9734/ajrb/2024/v14i4300","ISSN":"2582-0516","issue":"4","language":"en","page":"111-125","source":"journalajrb.com","title":"Cancer Initiation and Progression: A Comprehensive Review of Carcinogenic Substances, Anti-Cancer Therapies, and Regulatory Frameworks","title-short":"Cancer Initiation and Progression","volume":"14","author":[{"family":"Bhat","given":"Aadil Shafi"},{"family":"Ahmed","given":"Mizna"},{"family":"Abbas","given":"Kashif"},{"family":"Mustafa","given":"Mohd"},{"family":"Alam","given":"Mudassir"},{"family":"Salem","given":"Mansour A. S."},{"family":"Islam","given":"Sidra"},{"family":"Tantry","given":"Irfan Qadir"},{"family":"Singh","given":"Yogendra"},{"family":"Fatima","given":"Muizzah"},{"family":"Usmani","given":"Nazura"},{"family":"Faraz","given":"Mohd"},{"family":"Afeef","given":"Mohammad"},{"family":"Habib","given":"Safia"}],"issued":{"date-parts":[["2024",6,22]]}}},{"id":1172,"uris":["http://zotero.org/users/15401920/items/4L8UQD2M"],"itemData":{"id":1172,"type":"article-journal","container-title":"Biotechnology Journal International","DOI":"10.9734/bji/2025/v29i2769","ISSN":"2456-7051","issue":"2","language":"en","page":"27-36","source":"journalbji.com","title":"Apoptosis Mechanisms: Role of Anti-apoptotic Proteins, Cancer Hallmarks and Tumor Microenvironment in Cancer Cell Survival","title-short":"Apoptosis Mechanisms","volume":"29","author":[{"family":"Zameer","given":"Saqib"},{"family":"Akram","given":"Zeeshan"},{"family":"Daniyal","given":"Areeb"},{"family":"Fatima","given":"Urooj"},{"family":"Faraz","given":"Mohd"},{"family":"Anwar","given":"Zarrin"},{"family":"Khatoon","given":"Sheeba"},{"family":"Habib","given":"Safia"},{"family":"Mustafa","given":"Mohd"}],"issued":{"date-parts":[["2025",3,20]]}}}],"schema":"https://github.com/citation-style-language/schema/raw/master/csl-citation.json"} </w:instrText>
      </w:r>
      <w:r w:rsidR="00A52A8E">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(Bhat et al., 2024; Zameer et al., 2025)</w:t>
      </w:r>
      <w:r w:rsidR="00A52A8E">
        <w:rPr>
          <w:rFonts w:ascii="Times New Roman" w:eastAsia="Times New Roman" w:hAnsi="Times New Roman" w:cs="Times New Roman"/>
          <w:kern w:val="0"/>
          <w:sz w:val="24"/>
          <w:szCs w:val="24"/>
          <w:lang w:eastAsia="en-IN"/>
          <w14:ligatures w14:val="none"/>
        </w:rPr>
        <w:fldChar w:fldCharType="end"/>
      </w:r>
      <w:r w:rsidR="001963F9" w:rsidRPr="009B07E8">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w:t>
      </w:r>
      <w:r w:rsidR="00203ED4" w:rsidRPr="009B07E8">
        <w:rPr>
          <w:rFonts w:ascii="Times New Roman" w:eastAsia="Times New Roman" w:hAnsi="Times New Roman" w:cs="Times New Roman"/>
          <w:kern w:val="0"/>
          <w:sz w:val="24"/>
          <w:szCs w:val="24"/>
          <w:lang w:eastAsia="en-IN"/>
          <w14:ligatures w14:val="none"/>
        </w:rPr>
        <w:t>T</w:t>
      </w:r>
      <w:r w:rsidRPr="009B07E8">
        <w:rPr>
          <w:rFonts w:ascii="Times New Roman" w:eastAsia="Times New Roman" w:hAnsi="Times New Roman" w:cs="Times New Roman"/>
          <w:kern w:val="0"/>
          <w:sz w:val="24"/>
          <w:szCs w:val="24"/>
          <w:lang w:eastAsia="en-IN"/>
          <w14:ligatures w14:val="none"/>
        </w:rPr>
        <w:t>he application</w:t>
      </w:r>
      <w:r w:rsidR="0046447B" w:rsidRPr="009B07E8">
        <w:rPr>
          <w:rFonts w:ascii="Times New Roman" w:eastAsia="Times New Roman" w:hAnsi="Times New Roman" w:cs="Times New Roman"/>
          <w:kern w:val="0"/>
          <w:sz w:val="24"/>
          <w:szCs w:val="24"/>
          <w:lang w:eastAsia="en-IN"/>
          <w14:ligatures w14:val="none"/>
        </w:rPr>
        <w:t>s</w:t>
      </w:r>
      <w:r w:rsidRPr="009B07E8">
        <w:rPr>
          <w:rFonts w:ascii="Times New Roman" w:eastAsia="Times New Roman" w:hAnsi="Times New Roman" w:cs="Times New Roman"/>
          <w:kern w:val="0"/>
          <w:sz w:val="24"/>
          <w:szCs w:val="24"/>
          <w:lang w:eastAsia="en-IN"/>
          <w14:ligatures w14:val="none"/>
        </w:rPr>
        <w:t xml:space="preserve"> of diagnostic techniques</w:t>
      </w:r>
      <w:r w:rsidR="00203ED4" w:rsidRPr="009B07E8">
        <w:rPr>
          <w:rFonts w:ascii="Times New Roman" w:eastAsia="Times New Roman" w:hAnsi="Times New Roman" w:cs="Times New Roman"/>
          <w:kern w:val="0"/>
          <w:sz w:val="24"/>
          <w:szCs w:val="24"/>
          <w:lang w:eastAsia="en-IN"/>
          <w14:ligatures w14:val="none"/>
        </w:rPr>
        <w:t xml:space="preserve"> are</w:t>
      </w:r>
      <w:r w:rsidRPr="009B07E8">
        <w:rPr>
          <w:rFonts w:ascii="Times New Roman" w:eastAsia="Times New Roman" w:hAnsi="Times New Roman" w:cs="Times New Roman"/>
          <w:kern w:val="0"/>
          <w:sz w:val="24"/>
          <w:szCs w:val="24"/>
          <w:lang w:eastAsia="en-IN"/>
          <w14:ligatures w14:val="none"/>
        </w:rPr>
        <w:t xml:space="preserve"> to distinguish cancer from other conditions and accurately identify the </w:t>
      </w:r>
      <w:proofErr w:type="spellStart"/>
      <w:r w:rsidRPr="009B07E8">
        <w:rPr>
          <w:rFonts w:ascii="Times New Roman" w:eastAsia="Times New Roman" w:hAnsi="Times New Roman" w:cs="Times New Roman"/>
          <w:kern w:val="0"/>
          <w:sz w:val="24"/>
          <w:szCs w:val="24"/>
          <w:lang w:eastAsia="en-IN"/>
          <w14:ligatures w14:val="none"/>
        </w:rPr>
        <w:t>tumor’s</w:t>
      </w:r>
      <w:proofErr w:type="spellEnd"/>
      <w:r w:rsidRPr="009B07E8">
        <w:rPr>
          <w:rFonts w:ascii="Times New Roman" w:eastAsia="Times New Roman" w:hAnsi="Times New Roman" w:cs="Times New Roman"/>
          <w:kern w:val="0"/>
          <w:sz w:val="24"/>
          <w:szCs w:val="24"/>
          <w:lang w:eastAsia="en-IN"/>
          <w14:ligatures w14:val="none"/>
        </w:rPr>
        <w:t xml:space="preserve"> location and extent </w:t>
      </w:r>
      <w:r w:rsidRPr="009B07E8">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{"citationID":"e5PKNfsY","properties":{"formattedCitation":"(Loud &amp; Murphy, 2017)","plainCitation":"(Loud &amp; Murphy, 2017)","noteIndex":0},"citationItems":[{"id":"p7zULTu6/z5Clvho9","uris":["http://zotero.org/users/16274399/items/AQQK4E7U"],"itemData":{"id":42,"type":"article-journal","abstract":"Objective\nTo review the trends in and principles of cancer screening and early detection.\n\nData Sources\nJournal articles, United States Preventive Services Task Force (U SPSTF) publications, professional organization position statements, evidence-based summaries\n\nConclusion\nCancer screening has contributed to decreasing the morbidity and mortality of cancer. Efforts to improve the selection of candidates for cancer screening, to understand the biological basis of carcinogenesis, and the development of new technologies for cancer screening will allow for improvements in the cancer screening over time.\n\nImplications for Nursing Practice\nNurses are well-positioned to lead the implementation of cancer screening recommendations in the 21st Century through their practice, research, educational efforts and advocacy.","container-title":"Seminars in oncology nursing","DOI":"10.1016/j.soncn.2017.02.002","ISSN":"0749-2081","issue":"2","journalAbbreviation":"Semin Oncol Nurs","note":"PMID: 28343835\nPMCID: PMC5467686","page":"121-128","source":"PubMed Central","title":"Cancer screening and early detection in the 21st century","volume":"33","author":[{"family":"Loud","given":"Jennifer"},{"family":"Murphy","given":"Jeanne"}],"issued":{"date-parts":[["2017",5]]}}}],"schema":"https://github.com/citation-style-language/schema/raw/master/csl-citation.json"}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(Loud &amp; Murphy, 2017)</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w:t>
      </w:r>
      <w:r w:rsidRPr="009B07E8">
        <w:rPr>
          <w:rFonts w:ascii="Times New Roman" w:hAnsi="Times New Roman" w:cs="Times New Roman"/>
          <w:sz w:val="24"/>
          <w:szCs w:val="24"/>
        </w:rPr>
        <w:t>The first approach</w:t>
      </w:r>
      <w:r w:rsidR="0093418C">
        <w:rPr>
          <w:rFonts w:ascii="Times New Roman" w:hAnsi="Times New Roman" w:cs="Times New Roman"/>
          <w:sz w:val="24"/>
          <w:szCs w:val="24"/>
        </w:rPr>
        <w:t>,</w:t>
      </w:r>
      <w:r w:rsidRPr="009B07E8">
        <w:rPr>
          <w:rFonts w:ascii="Times New Roman" w:hAnsi="Times New Roman" w:cs="Times New Roman"/>
          <w:sz w:val="24"/>
          <w:szCs w:val="24"/>
        </w:rPr>
        <w:t xml:space="preserve"> using CT or MRI</w:t>
      </w:r>
      <w:r w:rsidR="0093418C">
        <w:rPr>
          <w:rFonts w:ascii="Times New Roman" w:hAnsi="Times New Roman" w:cs="Times New Roman"/>
          <w:sz w:val="24"/>
          <w:szCs w:val="24"/>
        </w:rPr>
        <w:t>,</w:t>
      </w:r>
      <w:r w:rsidRPr="009B07E8">
        <w:rPr>
          <w:rFonts w:ascii="Times New Roman" w:hAnsi="Times New Roman" w:cs="Times New Roman"/>
          <w:sz w:val="24"/>
          <w:szCs w:val="24"/>
        </w:rPr>
        <w:t xml:space="preserve"> can give very detailed information on the location, size, shape, and structural alterations of the lesion in the surrounding tissues </w:t>
      </w:r>
      <w:r w:rsidRPr="009B07E8">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{"citationID":"19AxqZli","properties":{"formattedCitation":"(De Witte &amp; Mari\\uc0\\u235{}n, 2013)","plainCitation":"(De Witte &amp; Mariën, 2013)","noteIndex":0},"citationItems":[{"id":"p7zULTu6/bzxx303x","uris":["http://zotero.org/users/16274399/items/2G3P295H"],"itemData":{"id":45,"type":"article-journal","abstract":"Objectives\nIntraoperative direct electrical stimulation (DES) is increasingly used in patients operated on for tumours in critical language areas. Although a positive impact of DES on postoperative linguistic outcome is generally advocated, the literature is only scantily documented with information about the linguistic methods applied in awake surgery. This article critically reviews the neurolinguistic procedures currently used in awake studies.\nMethods\nBased on an extensive review of the literature, an overview is given of the language mapping techniques applied in brain tumour surgery. Studies investigating linguistic testing and outcome in awake surgery were analysed. Information about the timing of the assessment(s), the linguistic tasks, the linguistic stimuli and the indication for awake surgery was also discussed.\nResults\nIntraoperative DES remains the ‘gold standard’ for language mapping, but pre- and postoperative non-invasive mapping methods are important adjuncts. In the pre- and postoperative phase, standardised linguistic test batteries are generally used to assess language function. In the intraoperative phase, only naming and number counting are commonly applied. Most often no detailed information about the linguistic stimuli is provided and no standardised protocols measuring different linguistic levels have been described.\nConclusions\nAwake surgery with DES is a useful tool for preserving linguistic functions in patients undergoing surgery in critical brain regions. However, no studies exist that apply a well-balanced and standardised linguistic protocol to reliably identify the critical language zones. The availability of a standardised linguistic protocol might substantially increase intraoperative comfort and might improve outcome and quality of life.","container-title":"Clinical Neurology and Neurosurgery","DOI":"10.1016/j.clineuro.2012.09.015","ISSN":"0303-8467","issue":"2","journalAbbreviation":"Clinical Neurology and Neurosurgery","page":"127-145","source":"ScienceDirect","title":"The neurolinguistic approach to awake surgery reviewed","volume":"115","author":[{"family":"De Witte","given":"Elke"},{"family":"Mariën","given":"Peter"}],"issued":{"date-parts":[["2013",2,1]]}}}],"schema":"https://github.com/citation-style-language/schema/raw/master/csl-citation.json"} </w:instrText>
      </w:r>
      <w:r w:rsidRPr="009B07E8">
        <w:rPr>
          <w:rFonts w:ascii="Times New Roman" w:hAnsi="Times New Roman" w:cs="Times New Roman"/>
          <w:sz w:val="24"/>
          <w:szCs w:val="24"/>
        </w:rPr>
        <w:fldChar w:fldCharType="separate"/>
      </w:r>
      <w:r w:rsidR="0095240E" w:rsidRPr="0095240E">
        <w:rPr>
          <w:rFonts w:ascii="Times New Roman" w:hAnsi="Times New Roman" w:cs="Times New Roman"/>
          <w:kern w:val="0"/>
          <w:sz w:val="24"/>
          <w:szCs w:val="24"/>
        </w:rPr>
        <w:t>(De Witte &amp; Mariën, 2013)</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Modalities such as CT and MRI imaging are used for the detection and staging of cancers, which is an important aspect before starting the treatment of cancer. Another technique is MRS, which helps to </w:t>
      </w:r>
      <w:proofErr w:type="spellStart"/>
      <w:r w:rsidR="0046447B" w:rsidRPr="009B07E8">
        <w:rPr>
          <w:rFonts w:ascii="Times New Roman" w:hAnsi="Times New Roman" w:cs="Times New Roman"/>
          <w:sz w:val="24"/>
          <w:szCs w:val="24"/>
        </w:rPr>
        <w:t>analyze</w:t>
      </w:r>
      <w:proofErr w:type="spellEnd"/>
      <w:r w:rsidRPr="009B07E8">
        <w:rPr>
          <w:rFonts w:ascii="Times New Roman" w:hAnsi="Times New Roman" w:cs="Times New Roman"/>
          <w:sz w:val="24"/>
          <w:szCs w:val="24"/>
        </w:rPr>
        <w:t xml:space="preserve"> the chemical composition of any </w:t>
      </w:r>
      <w:proofErr w:type="spellStart"/>
      <w:r w:rsidRPr="009B07E8">
        <w:rPr>
          <w:rFonts w:ascii="Times New Roman" w:hAnsi="Times New Roman" w:cs="Times New Roman"/>
          <w:sz w:val="24"/>
          <w:szCs w:val="24"/>
        </w:rPr>
        <w:t>tumor</w:t>
      </w:r>
      <w:proofErr w:type="spellEnd"/>
      <w:r w:rsidRPr="009B07E8">
        <w:rPr>
          <w:rFonts w:ascii="Times New Roman" w:hAnsi="Times New Roman" w:cs="Times New Roman"/>
          <w:sz w:val="24"/>
          <w:szCs w:val="24"/>
        </w:rPr>
        <w:t xml:space="preserve"> </w:t>
      </w:r>
      <w:r w:rsidRPr="009B07E8">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{"citationID":"uX81rUUo","properties":{"formattedCitation":"(Glunde et al., 2011)","plainCitation":"(Glunde et al., 2011)","noteIndex":0},"citationItems":[{"id":"p7zULTu6/ucJGgwHn","uris":["http://zotero.org/users/16274399/items/EMELUAU8"],"itemData":{"id":49,"type":"article-journal","abstract":"Magnetic resonance spectroscopy (MRS) and spectroscopic imaging (MRSI) are valuable tools to detect metabolic changes in tumors. The currently emerging era of molecular medicine, which is shaped by molecularly targeted anticancer therapies combined with molecular imaging of the effects of such therapies, requires powerful imaging technologies that are able to detect molecular information. MRS and MRSI (MRS/I) are such technologies that are able to detect metabolites arising from glucose and choline metabolism in noninvasive in vivo settings and at higher resolution in tissue samples. The roles that MRS/I plays in diagnosing different types of cancer as well as in early monitoring of tumor response to traditional chemotherapies are reviewed. Emerging roles of MRS/I in the development and detection of novel targeted anticancer therapies that target oncogenic signaling pathways or targets in choline or glucose metabolism are discussed.","container-title":"NMR in biomedicine","DOI":"10.1002/nbm.1751","ISSN":"0952-3480","issue":"6","journalAbbreviation":"NMR Biomed","note":"PMID: 21793073\nPMCID: PMC3146026","page":"673-690","source":"PubMed Central","title":"Magnetic Resonance Spectroscopy and Imaging Guidance in Molecular Medicine: Targeting and Monitoring of Choline and Glucose Metabolism in Cancer","title-short":"Magnetic Resonance Spectroscopy and Imaging Guidance in Molecular Medicine","volume":"24","author":[{"family":"Glunde","given":"Kristine"},{"family":"Jiang","given":"Lu"},{"family":"Moestue","given":"Siver A."},{"family":"Gribbestad","given":"Ingrid S."}],"issued":{"date-parts":[["2011",7]]}}}],"schema":"https://github.com/citation-style-language/schema/raw/master/csl-citation.json"} </w:instrText>
      </w:r>
      <w:r w:rsidRPr="009B07E8">
        <w:rPr>
          <w:rFonts w:ascii="Times New Roman" w:hAnsi="Times New Roman" w:cs="Times New Roman"/>
          <w:sz w:val="24"/>
          <w:szCs w:val="24"/>
        </w:rPr>
        <w:fldChar w:fldCharType="separate"/>
      </w:r>
      <w:r w:rsidR="0095240E" w:rsidRPr="0095240E">
        <w:rPr>
          <w:rFonts w:ascii="Times New Roman" w:hAnsi="Times New Roman" w:cs="Times New Roman"/>
          <w:sz w:val="24"/>
        </w:rPr>
        <w:t>(</w:t>
      </w:r>
      <w:proofErr w:type="spellStart"/>
      <w:r w:rsidR="0095240E" w:rsidRPr="0095240E">
        <w:rPr>
          <w:rFonts w:ascii="Times New Roman" w:hAnsi="Times New Roman" w:cs="Times New Roman"/>
          <w:sz w:val="24"/>
        </w:rPr>
        <w:t>Glunde</w:t>
      </w:r>
      <w:proofErr w:type="spellEnd"/>
      <w:r w:rsidR="0095240E" w:rsidRPr="0095240E">
        <w:rPr>
          <w:rFonts w:ascii="Times New Roman" w:hAnsi="Times New Roman" w:cs="Times New Roman"/>
          <w:sz w:val="24"/>
        </w:rPr>
        <w:t xml:space="preserve"> et al., 2011)</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It is based </w:t>
      </w:r>
      <w:r w:rsidR="00592082" w:rsidRPr="009B07E8">
        <w:rPr>
          <w:rFonts w:ascii="Times New Roman" w:hAnsi="Times New Roman" w:cs="Times New Roman"/>
          <w:sz w:val="24"/>
          <w:szCs w:val="24"/>
        </w:rPr>
        <w:t xml:space="preserve">on </w:t>
      </w:r>
      <w:r w:rsidR="0046447B" w:rsidRPr="009B07E8">
        <w:rPr>
          <w:rFonts w:ascii="Times New Roman" w:hAnsi="Times New Roman" w:cs="Times New Roman"/>
          <w:sz w:val="24"/>
          <w:szCs w:val="24"/>
        </w:rPr>
        <w:t xml:space="preserve">the </w:t>
      </w:r>
      <w:r w:rsidRPr="009B07E8">
        <w:rPr>
          <w:rFonts w:ascii="Times New Roman" w:hAnsi="Times New Roman" w:cs="Times New Roman"/>
          <w:sz w:val="24"/>
          <w:szCs w:val="24"/>
        </w:rPr>
        <w:t>MRI principle and is used for patients whose biopsy is a life-threatening challenge</w:t>
      </w:r>
      <w:r w:rsidR="00592082" w:rsidRPr="009B07E8">
        <w:rPr>
          <w:rFonts w:ascii="Times New Roman" w:hAnsi="Times New Roman" w:cs="Times New Roman"/>
          <w:sz w:val="24"/>
          <w:szCs w:val="24"/>
        </w:rPr>
        <w:t>,</w:t>
      </w:r>
      <w:r w:rsidRPr="009B07E8">
        <w:rPr>
          <w:rFonts w:ascii="Times New Roman" w:hAnsi="Times New Roman" w:cs="Times New Roman"/>
          <w:sz w:val="24"/>
          <w:szCs w:val="24"/>
        </w:rPr>
        <w:t xml:space="preserve"> such as a CNS </w:t>
      </w:r>
      <w:proofErr w:type="spellStart"/>
      <w:r w:rsidRPr="009B07E8">
        <w:rPr>
          <w:rFonts w:ascii="Times New Roman" w:hAnsi="Times New Roman" w:cs="Times New Roman"/>
          <w:sz w:val="24"/>
          <w:szCs w:val="24"/>
        </w:rPr>
        <w:t>tumor</w:t>
      </w:r>
      <w:proofErr w:type="spellEnd"/>
      <w:r w:rsidRPr="009B07E8">
        <w:rPr>
          <w:rFonts w:ascii="Times New Roman" w:hAnsi="Times New Roman" w:cs="Times New Roman"/>
          <w:sz w:val="24"/>
          <w:szCs w:val="24"/>
        </w:rPr>
        <w:t xml:space="preserve">. CT or MRI-guided biopsy of the specific </w:t>
      </w:r>
      <w:proofErr w:type="spellStart"/>
      <w:r w:rsidRPr="009B07E8">
        <w:rPr>
          <w:rFonts w:ascii="Times New Roman" w:hAnsi="Times New Roman" w:cs="Times New Roman"/>
          <w:sz w:val="24"/>
          <w:szCs w:val="24"/>
        </w:rPr>
        <w:t>tumor</w:t>
      </w:r>
      <w:proofErr w:type="spellEnd"/>
      <w:r w:rsidRPr="009B07E8">
        <w:rPr>
          <w:rFonts w:ascii="Times New Roman" w:hAnsi="Times New Roman" w:cs="Times New Roman"/>
          <w:sz w:val="24"/>
          <w:szCs w:val="24"/>
        </w:rPr>
        <w:t xml:space="preserve"> is recommended to get cells for further closer analysis. An incorrect biopsy may lead to misdiagnosis and wrong treatment </w:t>
      </w:r>
      <w:r w:rsidRPr="009B07E8">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{"citationID":"shX3DyVd","properties":{"formattedCitation":"(Guedes et al., 2024)","plainCitation":"(Guedes et al., 2024)","noteIndex":0},"citationItems":[{"id":"p7zULTu6/g3gJZ9AS","uris":["http://zotero.org/users/16274399/items/HZI28KRY"],"itemData":{"id":52,"type":"article-journal","abstract":"OBJECTIVE: Biopsies of peripheral nerve tumors (PNTs) are often used to plan an efficient treatment strategy. However, performing a biopsy is controversial when the mass is likely to be a benign PNT (BPNT). The aim of this study was to evaluate the side effects of biopsies in patients with potential PNTs.\nMETHODS: A retrospective and cross-sectional study was conducted on 24 patients who underwent biopsy of a mass of unknown origin potentially originating from a peripheral nerve (MUOPON), performed in nonspecialty services, and who were later referred to the authors' service for resection of their lesion between January 2005 and December 2022. The patients were evaluated for pain score, presence of a motor or sensory deficit, biopsy diagnosis, and definitive histopathological postsurgical diagnosis.\nRESULTS: The location of the tumor was supraclavicular in 7 (29.2%) patients, in the axillary region in 3 (12.5%), in the upper limb in 7 (29.2%), and in the lower limb in 7 (29.2%). Twenty-one (87.5%) patients were evaluated by MRI before biopsy, and 3 (12.5%) underwent ultrasound. One patient did not have an examination before the procedure. Based on the biopsy findings, 12 (50%) analyses had an inconclusive histopathological result. The preexisting pain worsened, as measured 1 week after biopsy, in all patients and had remained unchanged at the first evaluation by the authors (median 3 months, range 2-4 months). In 1 case, the open biopsy had to be interrupted because the patient experienced excruciating pain. Four (16.7%) patients developed motor deficits. Subsequent surgery was hampered by scar formation and intratumoral hemorrhage in 5 (20.8%) patients. The initial diagnosis obtained by biopsy differed from the final histopathological diagnosis in all patients, of whom 21 (87.5%) had BPNTs, 2 (8.3%) malignant peripheral nerve sheath tumors, and 1 (4.2%) an ancient schwannoma.\nCONCLUSIONS: Biopsies of PNTs are controversial and may result in misdiagnosis, neuropathic pain, or neurological deficit due to axonal damage, and they may also hinder microsurgical resection when if performed when not indicated. Indications for biopsy of an MUOPON must be carefully considered, especially if BPNT is a possible diagnosis.","container-title":"Journal of Neurosurgery","DOI":"10.3171/2023.5.JNS23385","ISSN":"1933-0693","issue":"2","journalAbbreviation":"J Neurosurg","language":"eng","note":"PMID: 37877976","page":"480-488","source":"PubMed","title":"When biopsy goes wrong: a case series of misdiagnoses and complications from biopsies of masses of unknown origin potentially originating from a peripheral nerve","title-short":"When biopsy goes wrong","volume":"140","author":[{"family":"Guedes","given":"Fernando"},{"family":"Henriques","given":"Vinícius M."},{"family":"Torrão","given":"Francisco L."},{"family":"Haikal","given":"Neder P."},{"family":"Sanches","given":"Gabriel E."},{"family":"Barbosa","given":"Daniel A. N."},{"family":"Marsicano","given":"Felipe G."},{"family":"Rosa","given":"Livia A. N."},{"family":"Siquara","given":"Ana C."},{"family":"Malessy","given":"Martijn J. A."}],"issued":{"date-parts":[["2024",2,1]]}}}],"schema":"https://github.com/citation-style-language/schema/raw/master/csl-citation.json"} </w:instrText>
      </w:r>
      <w:r w:rsidRPr="009B07E8">
        <w:rPr>
          <w:rFonts w:ascii="Times New Roman" w:hAnsi="Times New Roman" w:cs="Times New Roman"/>
          <w:sz w:val="24"/>
          <w:szCs w:val="24"/>
        </w:rPr>
        <w:fldChar w:fldCharType="separate"/>
      </w:r>
      <w:r w:rsidR="0095240E" w:rsidRPr="0095240E">
        <w:rPr>
          <w:rFonts w:ascii="Times New Roman" w:hAnsi="Times New Roman" w:cs="Times New Roman"/>
          <w:sz w:val="24"/>
        </w:rPr>
        <w:t>(Guedes et al., 2024)</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MRI, CT scan, and Ultrasonography modalities are frequently used for biopsy guidance. Guidance ensures the correct biopsy and also reduces the risks of</w:t>
      </w:r>
      <w:r w:rsidR="00F002D7" w:rsidRPr="009B07E8">
        <w:rPr>
          <w:rFonts w:ascii="Times New Roman" w:hAnsi="Times New Roman" w:cs="Times New Roman"/>
          <w:sz w:val="24"/>
          <w:szCs w:val="24"/>
        </w:rPr>
        <w:t xml:space="preserve"> complications</w:t>
      </w:r>
      <w:r w:rsidRPr="009B07E8">
        <w:rPr>
          <w:rFonts w:ascii="Times New Roman" w:hAnsi="Times New Roman" w:cs="Times New Roman"/>
          <w:sz w:val="24"/>
          <w:szCs w:val="24"/>
        </w:rPr>
        <w:t xml:space="preserve">. CT scan is specifically utilized in lung biopsies to ensure accuracy throughout the process and to prevent pneumothorax and is also used in bone biopsy </w:t>
      </w:r>
      <w:r w:rsidRPr="009B07E8">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{"citationID":"WhCTsJiS","properties":{"formattedCitation":"(Rindy &amp; Chambers, 2025)","plainCitation":"(Rindy &amp; Chambers, 2025)","noteIndex":0},"citationItems":[{"id":"p7zULTu6/FwkoRNTK","uris":["http://zotero.org/users/16274399/items/X7BAD75U"],"itemData":{"id":54,"type":"chapter","abstract":"Bone marrow aspiration and biopsies are often performed both in the inpatient and outpatient settings for the diagnosis of a multitude of hematologic disorders. Both the palpation-guided and computed tomography-guided (CT-guided) approaches are commonly utilized for performing this procedure. Both procedural methods have a high degree of accuracy and a low complication rate. The proper procedural steps in performing a bone marrow aspiration and biopsy will be explained as well as the roles of the interprofessional care team in managing patients who undergo this procedure. The steps involved in performing a bone marrow aspiration and biopsy, as well as the required personnel and materials, should be thoroughly understood prior to performing the procedure in order to avoid inadequate sampling or adverse patient outcomes. Additionally, the healthcare professional’s better understanding of the indications, perioperative management, and complications of this procedure can improve both patient experience and better diagnostic accuracy.","call-number":"NBK559232","container-title":"StatPearls","event-place":"Treasure Island (FL)","language":"eng","license":"Copyright © 2025, StatPearls Publishing LLC.","note":"PMID: 32644658","publisher":"StatPearls Publishing","publisher-place":"Treasure Island (FL)","source":"PubMed","title":"Bone Marrow Aspiration and Biopsy","URL":"http://www.ncbi.nlm.nih.gov/books/NBK559232/","author":[{"family":"Rindy","given":"Lucas J."},{"family":"Chambers","given":"Aaron R."}],"accessed":{"date-parts":[["2025",1,31]]},"issued":{"date-parts":[["2025"]]}}}],"schema":"https://github.com/citation-style-language/schema/raw/master/csl-citation.json"} </w:instrText>
      </w:r>
      <w:r w:rsidRPr="009B07E8">
        <w:rPr>
          <w:rFonts w:ascii="Times New Roman" w:hAnsi="Times New Roman" w:cs="Times New Roman"/>
          <w:sz w:val="24"/>
          <w:szCs w:val="24"/>
        </w:rPr>
        <w:fldChar w:fldCharType="separate"/>
      </w:r>
      <w:r w:rsidR="0095240E" w:rsidRPr="0095240E">
        <w:rPr>
          <w:rFonts w:ascii="Times New Roman" w:hAnsi="Times New Roman" w:cs="Times New Roman"/>
          <w:sz w:val="24"/>
        </w:rPr>
        <w:t>(Rindy &amp; Chambers, 2025)</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The application of technology like CT scans and MRI at the point-of-care to guide clinical treatment choices is the foundation of precision medicine in cancer care </w:t>
      </w:r>
      <w:r w:rsidRPr="009B07E8">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{"citationID":"ROUlSbJQ","properties":{"formattedCitation":"(Ghasemi et al., 2016)","plainCitation":"(Ghasemi et al., 2016)","noteIndex":0},"citationItems":[{"id":"p7zULTu6/GUJaeB5o","uris":["http://zotero.org/users/16274399/items/YDFMKXU7"],"itemData":{"id":57,"type":"article-journal","abstract":"This paper presents a review of the importance and role of precision medicine and molecular imaging technologies in cancer diagnosis with therapeutics and diagnostics purposes. Precision medicine is progressively becoming a hot topic in all disciplines related to biomedical investigation and has the capacity to become the paradigm for clinical practice. The future of medicine lies in early diagnosis and individually appropriate treatments, a concept that has been named precision medicine, i.e. delivering the right treatment to the right patient at the right time. Molecular imaging is quickly being recognized as a tool with the potential to ameliorate every aspect of cancer treatment. On the other hand, emerging high-throughput technologies such as omics techniques and systems approaches have generated a paradigm shift for biological systems in advanced life science research. In this review, we describe the precision medicine, difference between precision medicine and personalized medicine, precision medicine initiative, systems biology/medicine approaches (such as genomics, radiogenomics, transcriptomics, proteomics, and metabolomics), P4 medicine, relationship between systems biology/medicine approaches and precision medicine, and molecular imaging modalities and their utility in cancer treatment and diagnosis. Accordingly, the precision medicine and molecular imaging will enable us to accelerate and improve cancer management in future medicine.","container-title":"American Journal of Nuclear Medicine and Molecular Imaging","ISSN":"2160-8407","issue":"6","journalAbbreviation":"Am J Nucl Med Mol Imaging","note":"PMID: 28078184\nPMCID: PMC5218860","page":"310-327","source":"PubMed Central","title":"Precision medicine and molecular imaging: new targeted approaches toward cancer therapeutic and diagnosis","title-short":"Precision medicine and molecular imaging","volume":"6","author":[{"family":"Ghasemi","given":"Mojtaba"},{"family":"Nabipour","given":"Iraj"},{"family":"Omrani","given":"Abdolmajid"},{"family":"Alipour","given":"Zeinab"},{"family":"Assadi","given":"Majid"}],"issued":{"date-parts":[["2016",11,30]]}}}],"schema":"https://github.com/citation-style-language/schema/raw/master/csl-citation.json"} </w:instrText>
      </w:r>
      <w:r w:rsidRPr="009B07E8">
        <w:rPr>
          <w:rFonts w:ascii="Times New Roman" w:hAnsi="Times New Roman" w:cs="Times New Roman"/>
          <w:sz w:val="24"/>
          <w:szCs w:val="24"/>
        </w:rPr>
        <w:fldChar w:fldCharType="separate"/>
      </w:r>
      <w:r w:rsidR="0095240E" w:rsidRPr="0095240E">
        <w:rPr>
          <w:rFonts w:ascii="Times New Roman" w:hAnsi="Times New Roman" w:cs="Times New Roman"/>
          <w:sz w:val="24"/>
        </w:rPr>
        <w:t>(Ghasemi et al., 2016)</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This makes it possible to forecast customized therapies that are best suited for certain patients with greater accuracy and efficiency </w:t>
      </w:r>
      <w:r w:rsidRPr="009B07E8">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{"citationID":"bKxzjWwc","properties":{"formattedCitation":"(Ho et al., 2020)","plainCitation":"(Ho et al., 2020)","noteIndex":0},"citationItems":[{"id":"p7zULTu6/Vs1Y6POp","uris":["http://zotero.org/users/16274399/items/9LQHD8G3"],"itemData":{"id":60,"type":"article-journal","abstract":"Individualizing patient treatment is a core objective of the medical field. Reaching this objective has been elusive owing to the complex set of factors contributing to both disease and health; many factors—from genes to proteins—remain unknown in their role in human physiology. Accurately diagnosing, monitoring, and treating disorders requires advances in biomarker discovery, the subsequent development of accurate signatures that correspond with dynamic disease states, as well as therapeutic interventions that can be continuously optimized and modulated for dose and drug selection. This work highlights key breakthroughs in the development of enabling technologies that further the goal of personalized and precision medicine, and remaining challenges that, when addressed, may forge unprecedented capabilities in realizing truly individualized patient care.","container-title":"Trends in biotechnology","DOI":"10.1016/j.tibtech.2019.12.021","ISSN":"0167-7799","issue":"5","journalAbbreviation":"Trends Biotechnol","note":"PMID: 31980301\nPMCID: PMC7924935","page":"497-518","source":"PubMed Central","title":"Enabling technologies for personalized and precision medicine","volume":"38","author":[{"family":"Ho","given":"Dean"},{"family":"Quake","given":"Stephen R."},{"family":"McCabe","given":"Edward R.B."},{"family":"Chng","given":"Wee Joo"},{"family":"Chow","given":"Edward K."},{"family":"Ding","given":"Xianting"},{"family":"Gelb","given":"Bruce D."},{"family":"Ginsburg","given":"Geoffrey S."},{"family":"Hassenstab","given":"Jason"},{"family":"Ho","given":"Chih-Ming"},{"family":"Mobley","given":"William C."},{"family":"Nolan","given":"Garry P."},{"family":"Rosen","given":"Steven T."},{"family":"Tan","given":"Patrick"},{"family":"Yen","given":"Yun"},{"family":"Zarrinpar","given":"Ali"}],"issued":{"date-parts":[["2020",5]]}}}],"schema":"https://github.com/citation-style-language/schema/raw/master/csl-citation.json"} </w:instrText>
      </w:r>
      <w:r w:rsidRPr="009B07E8">
        <w:rPr>
          <w:rFonts w:ascii="Times New Roman" w:hAnsi="Times New Roman" w:cs="Times New Roman"/>
          <w:sz w:val="24"/>
          <w:szCs w:val="24"/>
        </w:rPr>
        <w:fldChar w:fldCharType="separate"/>
      </w:r>
      <w:r w:rsidR="0095240E" w:rsidRPr="0095240E">
        <w:rPr>
          <w:rFonts w:ascii="Times New Roman" w:hAnsi="Times New Roman" w:cs="Times New Roman"/>
          <w:sz w:val="24"/>
        </w:rPr>
        <w:t>(Ho et al., 2020)</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w:t>
      </w:r>
    </w:p>
    <w:p w14:paraId="39ED79B3" w14:textId="77777777" w:rsidR="009B07E8" w:rsidRDefault="009B07E8" w:rsidP="009B07E8">
      <w:pPr>
        <w:pStyle w:val="ListParagraph"/>
        <w:spacing w:line="360" w:lineRule="auto"/>
        <w:ind w:left="0"/>
        <w:jc w:val="both"/>
        <w:rPr>
          <w:rFonts w:ascii="Times New Roman" w:hAnsi="Times New Roman" w:cs="Times New Roman"/>
          <w:b/>
          <w:bCs/>
          <w:sz w:val="24"/>
          <w:szCs w:val="24"/>
        </w:rPr>
      </w:pPr>
    </w:p>
    <w:p w14:paraId="0AF91FE8" w14:textId="138FD6F7"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2. CT scan in cancer diagnosis</w:t>
      </w:r>
    </w:p>
    <w:p w14:paraId="2963488A" w14:textId="40DBB34E" w:rsidR="0046447B" w:rsidRPr="008668A9" w:rsidRDefault="00FB0430" w:rsidP="008668A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CT scan refers to a modality that uses a beam of X-ray to scan a patient. The X-ray tube rotates circularly (360°) around the patient to produce a detailed cross-sectional image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{"citationID":"j2ckE9Xr","properties":{"formattedCitation":"(Patel &amp; De Jesus, 2025a)","plainCitation":"(Patel &amp; De Jesus, 2025a)","noteIndex":0},"citationItems":[{"id":"p7zULTu6/llr1unP9","uris":["http://zotero.org/users/16274399/items/AE3AGVIM"],"itemData":{"id":69,"type":"chapter","abstract":"A computed tomography (CT) scan, commonly referred to as a CT, is a radiological imaging study. The machine was developed by physicist Allan MacLeod Cormack and electrical engineer Godfrey Hounsfield. Their development awarded them the Nobel Prize in Physiology or Medicine in 1979. The first scanners were installed in 1974. Since then, technological advances and math have allowed single images to be computed into two-dimensional informative images. The CT scan is essentially an x-ray study, where a series of rays are rotated around a specified body part, and computer-generated cross-sectional images are produced. The advantage of these tomographic images compared to conventional x-rays is that they contain detailed information about a specified area in cross-section, eliminating the superimposition of images, which provides a tremendous advantage over plain films. CT scans provide excellent clinicopathological correlation for a suspected illness.  CT scan augments the physician's ability to diagnose a patient's illness accurately. Low-dose CT scans are proving useful in preventative medicine and cancer screening. The study was initially called a CAT scan representing computer axial tomography, where the table moved after each axial image was obtained. In a spiral or helical scan, the table moves continuously as the x-ray source and detectors rotate. This reduces the duration of the study significantly to provide quick results in emergent situations. It rapidly substituted cerebral angiography for detecting head trauma injuries and brain masses in a fast and extremely reliable way. A radiologic technician acquires CT scans, which are interpreted and reported by a trained radiologist.","call-number":"NBK567796","container-title":"StatPearls","event-place":"Treasure Island (FL)","language":"eng","license":"Copyright © 2025, StatPearls Publishing LLC.","note":"PMID: 33620865","publisher":"StatPearls Publishing","publisher-place":"Treasure Island (FL)","source":"PubMed","title":"CT Scan","URL":"http://www.ncbi.nlm.nih.gov/books/NBK567796/","author":[{"family":"Patel","given":"Paula R."},{"family":"De Jesus","given":"Orlando"}],"accessed":{"date-parts":[["2025",1,31]]},"issued":{"date-parts":[["2025"]]}}}],"schema":"https://github.com/citation-style-language/schema/raw/master/csl-citation.json"}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 xml:space="preserve">(Patel &amp; De </w:t>
      </w:r>
      <w:r w:rsidR="0095240E" w:rsidRPr="0095240E">
        <w:rPr>
          <w:rFonts w:ascii="Times New Roman" w:hAnsi="Times New Roman" w:cs="Times New Roman"/>
          <w:sz w:val="24"/>
        </w:rPr>
        <w:lastRenderedPageBreak/>
        <w:t>Jesus, 2025a)</w:t>
      </w:r>
      <w:r>
        <w:rPr>
          <w:rFonts w:ascii="Times New Roman" w:hAnsi="Times New Roman" w:cs="Times New Roman"/>
          <w:sz w:val="24"/>
          <w:szCs w:val="24"/>
        </w:rPr>
        <w:fldChar w:fldCharType="end"/>
      </w:r>
      <w:r>
        <w:rPr>
          <w:rFonts w:ascii="Times New Roman" w:hAnsi="Times New Roman" w:cs="Times New Roman"/>
          <w:sz w:val="24"/>
          <w:szCs w:val="24"/>
        </w:rPr>
        <w:t>. Tomography means sectional imaging</w:t>
      </w:r>
      <w:r w:rsidR="005F0524">
        <w:rPr>
          <w:rFonts w:ascii="Times New Roman" w:hAnsi="Times New Roman" w:cs="Times New Roman"/>
          <w:sz w:val="24"/>
          <w:szCs w:val="24"/>
        </w:rPr>
        <w:t xml:space="preserve">, </w:t>
      </w:r>
      <w:r>
        <w:rPr>
          <w:rFonts w:ascii="Times New Roman" w:hAnsi="Times New Roman" w:cs="Times New Roman"/>
          <w:sz w:val="24"/>
          <w:szCs w:val="24"/>
        </w:rPr>
        <w:t xml:space="preserve">this sectional image is stacked over one another and can be reconstructed into 3D images using various techniques, </w:t>
      </w:r>
      <w:r w:rsidR="009C1CDD">
        <w:rPr>
          <w:rFonts w:ascii="Times New Roman" w:hAnsi="Times New Roman" w:cs="Times New Roman"/>
          <w:sz w:val="24"/>
          <w:szCs w:val="24"/>
        </w:rPr>
        <w:t xml:space="preserve">such as </w:t>
      </w:r>
      <w:r>
        <w:rPr>
          <w:rFonts w:ascii="Times New Roman" w:hAnsi="Times New Roman" w:cs="Times New Roman"/>
          <w:sz w:val="24"/>
          <w:szCs w:val="24"/>
        </w:rPr>
        <w:t xml:space="preserve">Shaded </w:t>
      </w:r>
      <w:r w:rsidR="009C1CDD">
        <w:rPr>
          <w:rFonts w:ascii="Times New Roman" w:hAnsi="Times New Roman" w:cs="Times New Roman"/>
          <w:sz w:val="24"/>
          <w:szCs w:val="24"/>
        </w:rPr>
        <w:t>S</w:t>
      </w:r>
      <w:r>
        <w:rPr>
          <w:rFonts w:ascii="Times New Roman" w:hAnsi="Times New Roman" w:cs="Times New Roman"/>
          <w:sz w:val="24"/>
          <w:szCs w:val="24"/>
        </w:rPr>
        <w:t xml:space="preserve">urface </w:t>
      </w:r>
      <w:r w:rsidR="009C1CDD">
        <w:rPr>
          <w:rFonts w:ascii="Times New Roman" w:hAnsi="Times New Roman" w:cs="Times New Roman"/>
          <w:sz w:val="24"/>
          <w:szCs w:val="24"/>
        </w:rPr>
        <w:t>D</w:t>
      </w:r>
      <w:r>
        <w:rPr>
          <w:rFonts w:ascii="Times New Roman" w:hAnsi="Times New Roman" w:cs="Times New Roman"/>
          <w:sz w:val="24"/>
          <w:szCs w:val="24"/>
        </w:rPr>
        <w:t xml:space="preserve">isplay (SSD)  Volume Rendering </w:t>
      </w:r>
      <w:r w:rsidR="00892D6C">
        <w:rPr>
          <w:rFonts w:ascii="Times New Roman" w:hAnsi="Times New Roman" w:cs="Times New Roman"/>
          <w:sz w:val="24"/>
          <w:szCs w:val="24"/>
        </w:rPr>
        <w:t>T</w:t>
      </w:r>
      <w:r>
        <w:rPr>
          <w:rFonts w:ascii="Times New Roman" w:hAnsi="Times New Roman" w:cs="Times New Roman"/>
          <w:sz w:val="24"/>
          <w:szCs w:val="24"/>
        </w:rPr>
        <w:t xml:space="preserve">echnique (VRT), and Maximum Intensity Projection (MIP)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{"citationID":"64YxOdX8","properties":{"formattedCitation":"(Hermena &amp; Young, 2025)","plainCitation":"(Hermena &amp; Young, 2025)","noteIndex":0},"citationItems":[{"id":"p7zULTu6/bpuQEo4R","uris":["http://zotero.org/users/16274399/items/G373T295"],"itemData":{"id":66,"type":"chapter","abstract":"In 1972, electrical engineer Sir Godfrey Hounsfield invented the first computed tomography (CT) scanner. Around the same time, physicist Allan McLeod Cormack developed a similar system, and Hounsfield and Cormack shared the Nobel Prize in Physiology or Medicine in 1979. CT has since become an imaging modality widely used in medicine.","call-number":"NBK574548","container-title":"StatPearls","event-place":"Treasure Island (FL)","language":"eng","license":"Copyright © 2025, StatPearls Publishing LLC.","note":"PMID: 34662062","publisher":"StatPearls Publishing","publisher-place":"Treasure Island (FL)","source":"PubMed","title":"CT-scan Image Production Procedures","URL":"http://www.ncbi.nlm.nih.gov/books/NBK574548/","author":[{"family":"Hermena","given":"Shady"},{"family":"Young","given":"Michael"}],"accessed":{"date-parts":[["2025",1,31]]},"issued":{"date-parts":[["2025"]]}}}],"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(Hermena &amp; Young, 2025)</w:t>
      </w:r>
      <w:r>
        <w:rPr>
          <w:rFonts w:ascii="Times New Roman" w:hAnsi="Times New Roman" w:cs="Times New Roman"/>
          <w:sz w:val="24"/>
          <w:szCs w:val="24"/>
        </w:rPr>
        <w:fldChar w:fldCharType="end"/>
      </w:r>
      <w:r>
        <w:rPr>
          <w:rFonts w:ascii="Times New Roman" w:hAnsi="Times New Roman" w:cs="Times New Roman"/>
          <w:sz w:val="24"/>
          <w:szCs w:val="24"/>
        </w:rPr>
        <w:t xml:space="preserve">. After the completion of the reconstruction of all the slices, the CT scan image helps in the identification of basic structures (liver, spleen, kidney, etc.) as well as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and other abnormalities. CT scan is a fast modality and used as an emergency or fast diagnosis modality in some cases like stroke, </w:t>
      </w:r>
      <w:proofErr w:type="spellStart"/>
      <w:r>
        <w:rPr>
          <w:rFonts w:ascii="Times New Roman" w:hAnsi="Times New Roman" w:cs="Times New Roman"/>
          <w:sz w:val="24"/>
          <w:szCs w:val="24"/>
        </w:rPr>
        <w:t>hemorrhage</w:t>
      </w:r>
      <w:proofErr w:type="spellEnd"/>
      <w:r>
        <w:rPr>
          <w:rFonts w:ascii="Times New Roman" w:hAnsi="Times New Roman" w:cs="Times New Roman"/>
          <w:sz w:val="24"/>
          <w:szCs w:val="24"/>
        </w:rPr>
        <w:t xml:space="preserve">, and trauma, since early diagnosis of these cases may be lifesaving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{"citationID":"uidOtY7o","properties":{"formattedCitation":"(Patel &amp; De Jesus, 2025b)","plainCitation":"(Patel &amp; De Jesus, 2025b)","noteIndex":0},"citationItems":[{"id":"p7zULTu6/CvrXjE3u","uris":["http://zotero.org/users/16274399/items/X6J8X5ZE"],"itemData":{"id":72,"type":"chapter","abstract":"A computed tomography (CT) scan, commonly referred to as a CT, is a radiological imaging study. The machine was developed by physicist Allan MacLeod Cormack and electrical engineer Godfrey Hounsfield. Their development awarded them the Nobel Prize in Physiology or Medicine in 1979. The first scanners were installed in 1974. Since then, technological advances and math have allowed single images to be computed into two-dimensional informative images. The CT scan is essentially an x-ray study, where a series of rays are rotated around a specified body part, and computer-generated cross-sectional images are produced. The advantage of these tomographic images compared to conventional x-rays is that they contain detailed information about a specified area in cross-section, eliminating the superimposition of images, which provides a tremendous advantage over plain films. CT scans provide excellent clinicopathological correlation for a suspected illness.  CT scan augments the physician's ability to diagnose a patient's illness accurately. Low-dose CT scans are proving useful in preventative medicine and cancer screening. The study was initially called a CAT scan representing computer axial tomography, where the table moved after each axial image was obtained. In a spiral or helical scan, the table moves continuously as the x-ray source and detectors rotate. This reduces the duration of the study significantly to provide quick results in emergent situations. It rapidly substituted cerebral angiography for detecting head trauma injuries and brain masses in a fast and extremely reliable way. A radiologic technician acquires CT scans, which are interpreted and reported by a trained radiologist.","call-number":"NBK567796","container-title":"StatPearls","event-place":"Treasure Island (FL)","language":"eng","license":"Copyright © 2025, StatPearls Publishing LLC.","note":"PMID: 33620865","publisher":"StatPearls Publishing","publisher-place":"Treasure Island (FL)","source":"PubMed","title":"CT Scan","URL":"http://www.ncbi.nlm.nih.gov/books/NBK567796/","author":[{"family":"Patel","given":"Paula R."},{"family":"De Jesus","given":"Orlando"}],"accessed":{"date-parts":[["2025",2,1]]},"issued":{"date-parts":[["2025"]]}}}],"schema":"https://github.com/citation-style-language/schema/raw/master/csl-citation.json"}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(Patel &amp; De Jesus, 2025b)</w:t>
      </w:r>
      <w:r>
        <w:rPr>
          <w:rFonts w:ascii="Times New Roman" w:hAnsi="Times New Roman" w:cs="Times New Roman"/>
          <w:sz w:val="24"/>
          <w:szCs w:val="24"/>
        </w:rPr>
        <w:fldChar w:fldCharType="end"/>
      </w:r>
      <w:r>
        <w:rPr>
          <w:rFonts w:ascii="Times New Roman" w:hAnsi="Times New Roman" w:cs="Times New Roman"/>
          <w:sz w:val="24"/>
          <w:szCs w:val="24"/>
        </w:rPr>
        <w:t xml:space="preserve">. A CT scan can quickly rule out either an ischemic or </w:t>
      </w:r>
      <w:proofErr w:type="spellStart"/>
      <w:r>
        <w:rPr>
          <w:rFonts w:ascii="Times New Roman" w:hAnsi="Times New Roman" w:cs="Times New Roman"/>
          <w:sz w:val="24"/>
          <w:szCs w:val="24"/>
        </w:rPr>
        <w:t>hemorrhagic</w:t>
      </w:r>
      <w:proofErr w:type="spellEnd"/>
      <w:r>
        <w:rPr>
          <w:rFonts w:ascii="Times New Roman" w:hAnsi="Times New Roman" w:cs="Times New Roman"/>
          <w:sz w:val="24"/>
          <w:szCs w:val="24"/>
        </w:rPr>
        <w:t xml:space="preserve"> stroke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{"citationID":"nTtuXifU","properties":{"formattedCitation":"(Campbell &amp; Khatri, 2020)","plainCitation":"(Campbell &amp; Khatri, 2020)","noteIndex":0},"citationItems":[{"id":"p7zULTu6/OeMzE5Ll","uris":["http://zotero.org/users/16274399/items/6K9HPCDJ"],"itemData":{"id":75,"type":"article-journal","abstract":"Stroke is a major cause of death and disability globally. Diagnosis depends on clinical features and brain imaging to differentiate between ischaemic stroke and intracerebral haemorrhage. Non-contrast CT can exclude haemorrhage, but the addition of CT perfusion imaging and angiography allows a positive diagnosis of ischaemic stroke versus mimics and can identify a large vessel occlusion target for endovascular thrombectomy. Management of ischaemic stroke has greatly advanced, with rapid reperfusion by use of intravenous thrombolysis and endovascular thrombectomy shown to reduce disability. These therapies can now be applied in selected patients who present late to medical care if there is imaging evidence of salvageable brain tissue. Both haemostatic agents and surgical interventions are investigational for intracerebral haemorrhage. Prevention of recurrent stroke requires an understanding of the mechanism of stroke to target interventions, such as carotid endarterectomy, anticoagulation for atrial fibrillation, and patent foramen ovale closure. However, interventions such as lowering blood pressure, smoking cessation, and lifestyle optimisation are common to all stroke subtypes.","container-title":"The Lancet","DOI":"10.1016/S0140-6736(20)31179-X","ISSN":"0140-6736","issue":"10244","journalAbbreviation":"The Lancet","page":"129-142","source":"ScienceDirect","title":"Stroke","volume":"396","author":[{"family":"Campbell","given":"Bruce C V"},{"family":"Khatri","given":"Pooja"}],"issued":{"date-parts":[["2020",7,11]]}}}],"schema":"https://github.com/citation-style-language/schema/raw/master/csl-citation.json"}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(Campbell &amp; Khatri, 2020)</w:t>
      </w:r>
      <w:r>
        <w:rPr>
          <w:rFonts w:ascii="Times New Roman" w:hAnsi="Times New Roman" w:cs="Times New Roman"/>
          <w:sz w:val="24"/>
          <w:szCs w:val="24"/>
        </w:rPr>
        <w:fldChar w:fldCharType="end"/>
      </w:r>
      <w:r>
        <w:rPr>
          <w:rFonts w:ascii="Times New Roman" w:hAnsi="Times New Roman" w:cs="Times New Roman"/>
          <w:sz w:val="24"/>
          <w:szCs w:val="24"/>
        </w:rPr>
        <w:t xml:space="preserve">. Additionally, CT imaging is used as a screening tool for detecting abdominal </w:t>
      </w:r>
      <w:proofErr w:type="spellStart"/>
      <w:r>
        <w:rPr>
          <w:rFonts w:ascii="Times New Roman" w:hAnsi="Times New Roman" w:cs="Times New Roman"/>
          <w:sz w:val="24"/>
          <w:szCs w:val="24"/>
        </w:rPr>
        <w:t>tumors</w:t>
      </w:r>
      <w:proofErr w:type="spellEnd"/>
      <w:r>
        <w:rPr>
          <w:rFonts w:ascii="Times New Roman" w:hAnsi="Times New Roman" w:cs="Times New Roman"/>
          <w:sz w:val="24"/>
          <w:szCs w:val="24"/>
        </w:rPr>
        <w:t xml:space="preserve"> or lesions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{"citationID":"c9dA3ob5","properties":{"formattedCitation":"(D.-W. Kim et al., 2011)","plainCitation":"(D.-W. Kim et al., 2011)","noteIndex":0},"citationItems":[{"id":"p7zULTu6/4xv61CaV","uris":["http://zotero.org/users/16274399/items/7N4AZNVL"],"itemData":{"id":77,"type":"article-journal","abstract":"The purpose of this study was to evaluate the value of fluorodeoxyglucose positron emission tomography/computed tomography (FDG PET/CT) for detecting the recurrence of gastric cancer. We performed a retrospective review of 139 consecutive patients who underwent PET/CT and contrast-enhanced abdominal CT (CECT) for surveillance of gastric cancer after curative resection. Recurrence of gastric cancer was validated by histopathologic examination for local recurrence or serial imaging study follow-up with at least 1 yr interval for recurrence of distant metastasis form. Twenty-eight patients (20.1%) were confirmed as recurrence. On the patient based analysis, there was no statistically significant difference in the sensitivity, specificity and accuracy of PET/CT (53.6%, 84.7%, and 78.4%, respectively) and those of CECT (64.3%, 86.5%, and 82.0%, respectively) for detecting tumor recurrence except in detection of peritoneal carcinomatosis. Among 36 recurrent lesions, 8 lesions (22.2%) were detected only on PET/CT, and 10 lesions (27.8%) only on CECT. PET/CT had detected secondary malignancy in 8 patients. PET/CT is as accurate as CECT in detection of gastric cancer recurrence after curative resection, excepting detection of peritoneal carcinomatosis. Moreover, additional PET/CT on CECT could improve detection rate of tumor recurrence and provide other critical information such as unexpected secondary malignancy.","container-title":"Journal of Korean Medical Science","DOI":"10.3346/jkms.2011.26.7.875","ISSN":"1011-8934","issue":"7","journalAbbreviation":"J Korean Med Sci","note":"PMID: 21738339\nPMCID: PMC3124716","page":"875-880","source":"PubMed Central","title":"Detecting the Recurrence of Gastric Cancer after Curative Resection: Comparison of FDG PET/CT and Contrast-Enhanced Abdominal CT","title-short":"Detecting the Recurrence of Gastric Cancer after Curative Resection","volume":"26","author":[{"family":"Kim","given":"Dae-Weung"},{"family":"Park","given":"Soon-Ah"},{"family":"Kim","given":"Chang Guhn"}],"issued":{"date-parts":[["2011",7]]}}}],"schema":"https://github.com/citation-style-language/schema/raw/master/csl-citation.json"}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(D.-W. Kim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Barium </w:t>
      </w:r>
      <w:proofErr w:type="spellStart"/>
      <w:r>
        <w:rPr>
          <w:rFonts w:ascii="Times New Roman" w:hAnsi="Times New Roman" w:cs="Times New Roman"/>
          <w:sz w:val="24"/>
          <w:szCs w:val="24"/>
        </w:rPr>
        <w:t>sulfate</w:t>
      </w:r>
      <w:proofErr w:type="spellEnd"/>
      <w:r>
        <w:rPr>
          <w:rFonts w:ascii="Times New Roman" w:hAnsi="Times New Roman" w:cs="Times New Roman"/>
          <w:sz w:val="24"/>
          <w:szCs w:val="24"/>
        </w:rPr>
        <w:t xml:space="preserve"> (BaSO</w:t>
      </w:r>
      <w:r>
        <w:rPr>
          <w:rFonts w:ascii="Times New Roman" w:hAnsi="Times New Roman" w:cs="Times New Roman"/>
          <w:sz w:val="24"/>
          <w:szCs w:val="24"/>
          <w:vertAlign w:val="subscript"/>
        </w:rPr>
        <w:t>4</w:t>
      </w:r>
      <w:r>
        <w:rPr>
          <w:rFonts w:ascii="Times New Roman" w:hAnsi="Times New Roman" w:cs="Times New Roman"/>
          <w:sz w:val="24"/>
          <w:szCs w:val="24"/>
        </w:rPr>
        <w:t>) and Iodine compounds are used as contrast agents in CT scans due to their high radiopacity. Contrast-enhanced CT (CECT) is a technique in which a contrast agent is administered intravenously (IV) to visualize the vessels, organs, other tissues, and pathologies (</w:t>
      </w:r>
      <w:proofErr w:type="spellStart"/>
      <w:r>
        <w:rPr>
          <w:rFonts w:ascii="Times New Roman" w:hAnsi="Times New Roman" w:cs="Times New Roman"/>
          <w:sz w:val="24"/>
          <w:szCs w:val="24"/>
        </w:rPr>
        <w:t>tumors</w:t>
      </w:r>
      <w:proofErr w:type="spellEnd"/>
      <w:r>
        <w:rPr>
          <w:rFonts w:ascii="Times New Roman" w:hAnsi="Times New Roman" w:cs="Times New Roman"/>
          <w:sz w:val="24"/>
          <w:szCs w:val="24"/>
        </w:rPr>
        <w:t xml:space="preserve">) more clearly. The enhancement pattern of a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helps to rule out the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between benign and malignant and also determines the type of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{"citationID":"bc2Z6Zjg","properties":{"formattedCitation":"(Millet et al., 2011)","plainCitation":"(Millet et al., 2011)","noteIndex":0},"citationItems":[{"id":"p7zULTu6/iJhVVG39","uris":["http://zotero.org/users/16274399/items/S5ZVKHEC"],"itemData":{"id":80,"type":"article-journal","container-title":"American Journal of Roentgenology","DOI":"10.2214/AJR.10.6276","ISSN":"0361-803X, 1546-3141","issue":"4","journalAbbreviation":"American Journal of Roentgenology","language":"en","page":"887-896","source":"DOI.org (Crossref)","title":"Characterization of Small Solid Renal Lesions: Can Benign and Malignant Tumors Be Differentiated With CT?","title-short":"Characterization of Small Solid Renal Lesions","volume":"197","author":[{"family":"Millet","given":"Ingrid"},{"family":"Doyon","given":"Fernanda Curros"},{"family":"Hoa","given":"Denis"},{"family":"Thuret","given":"Rodolphe"},{"family":"Merigeaud","given":"Samuel"},{"family":"Serre","given":"Isabelle"},{"family":"Taourel","given":"Patrice"}],"issued":{"date-parts":[["2011",10]]}}}],"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(Millet et al., 2011)</w:t>
      </w:r>
      <w:r>
        <w:rPr>
          <w:rFonts w:ascii="Times New Roman" w:hAnsi="Times New Roman" w:cs="Times New Roman"/>
          <w:sz w:val="24"/>
          <w:szCs w:val="24"/>
        </w:rPr>
        <w:fldChar w:fldCharType="end"/>
      </w:r>
      <w:r>
        <w:rPr>
          <w:rFonts w:ascii="Times New Roman" w:hAnsi="Times New Roman" w:cs="Times New Roman"/>
          <w:sz w:val="24"/>
          <w:szCs w:val="24"/>
        </w:rPr>
        <w:t>. The organs including the stomach, liver, kidneys, spleen, and bowel are well differentiated and visible on CT scans</w:t>
      </w:r>
      <w:r w:rsidR="001E6801">
        <w:rPr>
          <w:rFonts w:ascii="Times New Roman" w:hAnsi="Times New Roman" w:cs="Times New Roman"/>
          <w:sz w:val="24"/>
          <w:szCs w:val="24"/>
        </w:rPr>
        <w:t>.</w:t>
      </w:r>
      <w:r>
        <w:rPr>
          <w:rFonts w:ascii="Times New Roman" w:hAnsi="Times New Roman" w:cs="Times New Roman"/>
          <w:sz w:val="24"/>
          <w:szCs w:val="24"/>
        </w:rPr>
        <w:t xml:space="preserve"> </w:t>
      </w:r>
      <w:r w:rsidR="001E6801">
        <w:rPr>
          <w:rFonts w:ascii="Times New Roman" w:hAnsi="Times New Roman" w:cs="Times New Roman"/>
          <w:sz w:val="24"/>
          <w:szCs w:val="24"/>
        </w:rPr>
        <w:t xml:space="preserve"> CT imaging can </w:t>
      </w:r>
      <w:r>
        <w:rPr>
          <w:rFonts w:ascii="Times New Roman" w:hAnsi="Times New Roman" w:cs="Times New Roman"/>
          <w:sz w:val="24"/>
          <w:szCs w:val="24"/>
        </w:rPr>
        <w:t xml:space="preserve">determine the location, size, and type of cancer. The whole abdomen can be scanned within a few seconds via CT scan modality and that’s the reason it is quite suitable for multiphase abdominal scanning such as triple phase abdomen scan and angiography. Some cases including </w:t>
      </w:r>
      <w:proofErr w:type="spellStart"/>
      <w:r>
        <w:rPr>
          <w:rFonts w:ascii="Times New Roman" w:hAnsi="Times New Roman" w:cs="Times New Roman"/>
          <w:sz w:val="24"/>
          <w:szCs w:val="24"/>
        </w:rPr>
        <w:t>hemangioma</w:t>
      </w:r>
      <w:proofErr w:type="spellEnd"/>
      <w:r>
        <w:rPr>
          <w:rFonts w:ascii="Times New Roman" w:hAnsi="Times New Roman" w:cs="Times New Roman"/>
          <w:sz w:val="24"/>
          <w:szCs w:val="24"/>
        </w:rPr>
        <w:t xml:space="preserve"> and hepatic cell carcinoma (HCC) cannot be diagnosed clearly without multiphase scanning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{"citationID":"o0fvZ5TF","properties":{"formattedCitation":"(Bialecki &amp; Di Bisceglie, 2005)","plainCitation":"(Bialecki &amp; Di Bisceglie, 2005)","noteIndex":0},"citationItems":[{"id":"p7zULTu6/CXqTBe1q","uris":["http://zotero.org/users/16274399/items/A9ADSFXX"],"itemData":{"id":88,"type":"article-journal","abstract":"Hepatocellular carcinoma (HCC) is responsible for a large proportion of cancer deaths worldwide. HCC is frequently diagnosed after the development of clinical deterioration at which time survival is measured in months. Long‐term survival requires detection of small tumors, often present in asymptomatic individuals, which may be more amenable to invasive therapeutic options. Surveillance of high‐risk individuals for HCC is commonly performed using the serum marker alfa‐fetoprotein (AFP) often in combination with ultrasonography. Various other serologic markers are currently being tested to help improve surveillance accuracy. Diagnosis of HCC often requires more sophisticated imaging modalities such as CT scan and MRI, which have multiphasic contrast enhancement capabilities. Serum AFP used alone can be helpful if levels are markedly elevated, which occurs in fewer than half of cases at time of diagnosis. Confirmation by liver biopsy can be performed under circumstances when the diagnosis of HCC remains unclear.","container-title":"HPB","DOI":"10.1080/13651820410024049","ISSN":"1365-182X","issue":"1","journalAbbreviation":"HPB","page":"26-34","source":"ScienceDirect","title":"Diagnosis of hepatocellular carcinoma","volume":"7","author":[{"family":"Bialecki","given":"Eldad S."},{"family":"Di Bisceglie","given":"Adrian M."}],"issued":{"date-parts":[["2005",3,1]]}}}],"schema":"https://github.com/citation-style-language/schema/raw/master/csl-citation.json"}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(Bialecki &amp; Di Bisceglie, 2005)</w:t>
      </w:r>
      <w:r>
        <w:rPr>
          <w:rFonts w:ascii="Times New Roman" w:hAnsi="Times New Roman" w:cs="Times New Roman"/>
          <w:sz w:val="24"/>
          <w:szCs w:val="24"/>
        </w:rPr>
        <w:fldChar w:fldCharType="end"/>
      </w:r>
      <w:r>
        <w:rPr>
          <w:rFonts w:ascii="Times New Roman" w:hAnsi="Times New Roman" w:cs="Times New Roman"/>
          <w:sz w:val="24"/>
          <w:szCs w:val="24"/>
        </w:rPr>
        <w:t xml:space="preserve">. CT scan is appreciable in detecting early-stage cancer. Additionally, a CT scan can reveal metastases (Mets) in other organs including the liver or lymph nodes that surround the original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{"citationID":"zgR5ZuJd","properties":{"formattedCitation":"(Raj et al., --)","plainCitation":"(Raj et al., --)","noteIndex":0},"citationItems":[{"id":"p7zULTu6/Gadh8c5V","uris":["http://zotero.org/users/16274399/items/MYSGUMH6"],"itemData":{"id":92,"type":"article-journal","abstract":"Objective This work aimed to study the distribution of lymph nodal metastatic pattern in carcinoma gallbladder with multidetector computed tomography (CT). Materials and Methods A retrospective observational study was conducted including 80 patients with carcinoma gallbladder who underwent triple-phase CT angiography or single-phase contrast-enhanced CT scan of the abdomen between January 2019 and November 2019. Results In our study, 75 (93.7%) out of 80 cases showed metastasis to lymph nodes, with distribution as follows: periportal (69), peripancreatic (62), and aortocaval (47). The most common involved combination included all three lymph nodal groups (periportal, peripancreatic, and aortocaval), involving 40 (50%) cases. The combination of only periportal and peripancreatic lymph nodes was seen in 17 (21%) cases. Isolated periportal lymph nodes were seen in eight cases (10%) cases. The combination of only periportal and aortocaval lymph nodes was seen in four (5%) cases. Isolated peripancreatic lymph nodes were seen in three (3.7%) cases. The combination of periportal and aortocaval was seen in four (5%) cases followed by peripancreatic and aortocaval lymph nodes that was seen in two (2.5%) cases. Isolated aortocaval lymph nodes were seen in one (1.2%) case. Conclusion Periportal lymph nodes were the single most commonly involved station followed by peripancreatic and aortocaval lymph nodes. The combination of periportal, peripancreatic, and aortocaval lymph nodes was seen most commonly. The second most commonly involved combination was found to be periportal and peripancreatic lymph nodes followed by isolated periportal lymph nodes.","container-title":"Asian Journal of Oncology","DOI":"10.1055/s-0040-1714306","ISSN":"2454-6798","issue":"01","journalAbbreviation":"Asian Journal of Oncology","language":"en","note":"publisher: Thieme Medical and Scientific Publishers Pvt. Ltd.","page":"22-27","source":"asjo.in","title":"Lymph Nodal Metastatic Pattern in Carcinoma Gallbladder with Multidetector Computed Tomography: An Institutional Experience","title-short":"Lymph Nodal Metastatic Pattern in Carcinoma Gallbladder with Multidetector Computed Tomography","volume":"07","author":[{"family":"Raj","given":"Gaurav"},{"family":"Singh","given":"Bhanupriya"},{"family":"Raj","given":"Richa"},{"family":"Singh","given":"Ragini"}],"issued":{"literal":"--"}}}],"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(Raj et al., --)</w:t>
      </w:r>
      <w:r>
        <w:rPr>
          <w:rFonts w:ascii="Times New Roman" w:hAnsi="Times New Roman" w:cs="Times New Roman"/>
          <w:sz w:val="24"/>
          <w:szCs w:val="24"/>
        </w:rPr>
        <w:fldChar w:fldCharType="end"/>
      </w:r>
      <w:r>
        <w:rPr>
          <w:rFonts w:ascii="Times New Roman" w:hAnsi="Times New Roman" w:cs="Times New Roman"/>
          <w:sz w:val="24"/>
          <w:szCs w:val="24"/>
        </w:rPr>
        <w:t xml:space="preserve">. The information obtained about size, location, invasion, and type of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are very precise, CT scans can be very helpful in staging cancer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{"citationID":"3wD2FXG9","properties":{"formattedCitation":"(Prasad et al., 2014)","plainCitation":"(Prasad et al., 2014)","noteIndex":0},"citationItems":[{"id":"p7zULTu6/6QRCDbeT","uris":["http://zotero.org/users/16274399/items/VBWNBC7E"],"itemData":{"id":94,"type":"article-journal","abstract":"Background &amp; objectives:\nStaging of cervical carcinoma is done clinically using International Federation of Obstetrics and Gynecology (FIGO) guidelines. It is based on physical examination findings and also includes results of biopsy, endoscopy and conventional radiological tests like chest radiograph, intravenous urography and barium enema. These conventional radiological investigations have largely been replaced by computed tomography (CT) and magnetic resonance imaging (MRI) at present. FIGO staging system does not consider CT and MRI mandatory; however, use of these modalities are encouraged. This prospective study was conducted to determine the role of CT in staging work up in women diagnosed with cervical carcinoma.\n\nMethods:\nFifty three women diagnosed with cervical carcinoma were evaluated with contrast enhanced CT scan of abdomen and pelvis. CT scan images were especially evaluated to determine tumour size, invasion of parmetrium, pelvic walls, rectum, urinary bladder and ureters, pelvic or retroperitoneal lymphadenopathy and distant metastases. CT findings were associated with clinical findings and staging, including findings from cystoscopy and sigmoidoscopy.\n\nResults:\nThere was a poor agreement between clinical and CT staging of cervical carcinoma. Primary tumour was demonstrated on CT in 36 (70%) of 53 patients. CT underestimated the parametrial, vaginal and pelvic wall invasion when compared with physical examination. CT overestimated the urinary bladder and rectal invasion when compared with cysto-sigmoidoscopy, however, CT had 100 per cent negative predictive value (NPV) to exclude bladder and rectal involvement. CT detection of lymph node enlargement and lung metastases influenced the management.\n\nInterpretation &amp; conclusions:\nOur findings show that CT scan does not reliably correlate with clinical FIGO staging of cervical cancer. However, it can detect urinary obstruction as well as nodal or distant metastases and thus improves the clinical FIGO staging","container-title":"The Indian Journal of Medical Research","ISSN":"0971-5916","issue":"5","journalAbbreviation":"Indian J Med Res","note":"PMID: 25027081\nPMCID: PMC4140036","page":"714-719","source":"PubMed Central","title":"Role of computed tomography (CT) scan in staging of cervical carcinoma","volume":"139","author":[{"family":"Prasad","given":"T.V."},{"family":"Thulkar","given":"S."},{"family":"Hari","given":"S."},{"family":"Sharma","given":"D.N."},{"family":"Kumar","given":"S."}],"issued":{"date-parts":[["2014",5]]}}}],"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(Prasad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The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can be staged easily following the TNM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-lymph node and metastasis) system. It visualizes the size of the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lymph nodes around the primary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and metastasis. Cancer staging using the TNM system is summarised in </w:t>
      </w:r>
      <w:r>
        <w:rPr>
          <w:rFonts w:ascii="Times New Roman" w:hAnsi="Times New Roman" w:cs="Times New Roman"/>
          <w:b/>
          <w:bCs/>
          <w:sz w:val="24"/>
          <w:szCs w:val="24"/>
        </w:rPr>
        <w:t>Fig</w:t>
      </w:r>
      <w:r w:rsidR="00A45358">
        <w:rPr>
          <w:rFonts w:ascii="Times New Roman" w:hAnsi="Times New Roman" w:cs="Times New Roman"/>
          <w:b/>
          <w:bCs/>
          <w:sz w:val="24"/>
          <w:szCs w:val="24"/>
        </w:rPr>
        <w:t>.</w:t>
      </w:r>
      <w:r>
        <w:rPr>
          <w:rFonts w:ascii="Times New Roman" w:hAnsi="Times New Roman" w:cs="Times New Roman"/>
          <w:b/>
          <w:bCs/>
          <w:sz w:val="24"/>
          <w:szCs w:val="24"/>
        </w:rPr>
        <w:t xml:space="preserve"> 1</w:t>
      </w:r>
      <w:r>
        <w:rPr>
          <w:rFonts w:ascii="Times New Roman" w:hAnsi="Times New Roman" w:cs="Times New Roman"/>
          <w:sz w:val="24"/>
          <w:szCs w:val="24"/>
        </w:rPr>
        <w:t xml:space="preserve">. One of the major issues with CT imaging is the repeated use of ionizing radiation which is harmful to the body.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{"citationID":"Gj4cGpIZ","properties":{"formattedCitation":"(Brower &amp; Rehani, 2021)","plainCitation":"(Brower &amp; Rehani, 2021)","noteIndex":0},"citationItems":[{"id":"p7zULTu6/PZHrqyAz","uris":["http://zotero.org/users/16274399/items/D2ANZJP8"],"itemData":{"id":97,"type":"article-journal","abstract":"Millions of patients benefit from medical imaging every single day. However, we have entered an unprecedented era in imaging practices wherein 1 out of 125 patients can be exposed to effective dose &gt;50 mSv from a single CT exam and 3 out of 10,000 patients undergoing CT exams could potentially receive cumulative effective doses &gt; 100 mSv in a single day. Recurrent imaging with CT, fluoroscopically guided interventions, and hybrid imaging modalities such as positron emission tomography/computed tomography (PET/CT) is more prevalent today than ever before. Presently, we do not know the cumulative doses that patients may be receiving across all imaging modalities combined. Furthermore, patients with diseases with longer life expectancies are being exposed to high doses of radiation enabling radiation effects to manifest over a longer time period. The emphasis in the past on improving justification of imaging and optimization of technique and practice has proved useful. While that must continue, the current situation requires imaging device manufacturers to urgently develop imaging technologies that are safer for patients as high doses have been observed in patients where imaging has been justified through clinical decision-support and optimized by keeping doses below the national benchmark doses. There is a need to have a critical look at the fundamental principles of radiation protection as cumulative doses are likely to increase in the coming years.","container-title":"The British Journal of Radiology","DOI":"10.1259/bjr.20210389","ISSN":"0007-1285","issue":"1126","journalAbbreviation":"Br J Radiol","note":"PMID: 34161140\nPMCID: PMC9328055","page":"20210389","source":"PubMed Central","title":"Radiation risk issues in recurrent imaging","volume":"94","author":[{"family":"Brower","given":"Charles"},{"family":"Rehani","given":"Madan M"}],"issued":{"date-parts":[["2021",10,1]]}}}],"schema":"https://github.com/citation-style-language/schema/raw/master/csl-citation.json"}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(Brower &amp; Rehani, 2021)</w:t>
      </w:r>
      <w:r>
        <w:rPr>
          <w:rFonts w:ascii="Times New Roman" w:hAnsi="Times New Roman" w:cs="Times New Roman"/>
          <w:sz w:val="24"/>
          <w:szCs w:val="24"/>
        </w:rPr>
        <w:fldChar w:fldCharType="end"/>
      </w:r>
      <w:r>
        <w:rPr>
          <w:rFonts w:ascii="Times New Roman" w:hAnsi="Times New Roman" w:cs="Times New Roman"/>
          <w:sz w:val="24"/>
          <w:szCs w:val="24"/>
        </w:rPr>
        <w:t>. It is also quite possible that some abnormalities cannot be seen on CT scans because sometimes it does not differentiate between adjacent tissues and thus further modalities are required to confirm the diagnosis</w:t>
      </w:r>
      <w:r w:rsidR="00FC77ED">
        <w:rPr>
          <w:rFonts w:ascii="Times New Roman" w:hAnsi="Times New Roman" w:cs="Times New Roman"/>
          <w:sz w:val="24"/>
          <w:szCs w:val="24"/>
        </w:rPr>
        <w:t xml:space="preserve"> </w:t>
      </w:r>
      <w:r w:rsidR="00FC77ED" w:rsidRPr="00FC77ED">
        <w:rPr>
          <w:rFonts w:ascii="Times New Roman" w:hAnsi="Times New Roman" w:cs="Times New Roman"/>
          <w:sz w:val="24"/>
          <w:szCs w:val="24"/>
          <w:highlight w:val="yellow"/>
        </w:rPr>
        <w:fldChar w:fldCharType="begin"/>
      </w:r>
      <w:r w:rsidR="0095240E">
        <w:rPr>
          <w:rFonts w:ascii="Times New Roman" w:hAnsi="Times New Roman" w:cs="Times New Roman"/>
          <w:sz w:val="24"/>
          <w:szCs w:val="24"/>
          <w:highlight w:val="yellow"/>
        </w:rPr>
        <w:instrText xml:space="preserve"> ADDIN ZOTERO_ITEM CSL_CITATION {"citationID":"f7K2oWrh","properties":{"formattedCitation":"(Shah &amp; Rojas, 2022)","plainCitation":"(Shah &amp; Rojas, 2022)","noteIndex":0},"citationItems":[{"id":1453,"uris":["http://zotero.org/users/15401920/items/VTRVK2M2"],"itemData":{"id":1453,"type":"article-journal","abstract":"Cystic mediastinal masses have traditionally represented a diagnostic dilemma with differentiation of malignant masses a particular area of concern. Each imaging modality has strengths and weaknesses in mediastinal imaging—computed tomography (CT) offers increased spatial resolution at the cost of poorer soft tissue differentiation and requiring ionizing radiation, while magnetic resonance imaging (MRI) offers superior soft tissue contrast/characterization at significantly greater cost. Ultrasound offers real-time visualization but is operator and tissue dependent. [18F]fluoro-D-glucose (F-18 FDG) positron emission tomography (F-18 FDG PET) CT provides functional information, but poorer spatial resolution. Recent advances have focused upon the use of magnetic resonance imaging to aid in characterization of cystic mediastinal lesions, particularly in the context of indeterminate CT findings. The mediastinum may be divided into three anatomic compartments: prevascular, visceral, and paravertebral. All three compartments extend superiorly from the thoracic inlet and inferiorly to the diaphragm. These compartments provide a useful framework for categorizing normal and pathologic mediastinal processes. In this article, we will review the imaging characteristics of mediastinal cystic lesions via a case-based review divided by anatomical mediastinal compartments. Characteristic imaging features and troubleshooting are particular areas of focus. Normal variants that may mimic cystic pathology are discussed. The roles of CT and MRI will be emphasized. Cases from our institution are presented as illustrative examples.","container-title":"Mediastinum","DOI":"10.21037/med-22-31","ISSN":"2522-6711","journalAbbreviation":"Mediastinum","note":"PMID: 36926286\nPMCID: PMC10011868","page":"3","source":"PubMed Central","title":"Imaging modalities (MRI, CT, PET/CT), indications, differential diagnosis and imaging characteristics of cystic mediastinal masses: a review","title-short":"Imaging modalities (MRI, CT, PET/CT), indications, differential diagnosis and imaging characteristics of cystic mediastinal masses","volume":"7","author":[{"family":"Shah","given":"Amar"},{"family":"Rojas","given":"Carlos A."}],"issued":{"date-parts":[["2022",12,26]]}}}],"schema":"https://github.com/citation-style-language/schema/raw/master/csl-citation.json"} </w:instrText>
      </w:r>
      <w:r w:rsidR="00FC77ED" w:rsidRPr="00FC77ED">
        <w:rPr>
          <w:rFonts w:ascii="Times New Roman" w:hAnsi="Times New Roman" w:cs="Times New Roman"/>
          <w:sz w:val="24"/>
          <w:szCs w:val="24"/>
          <w:highlight w:val="yellow"/>
        </w:rPr>
        <w:fldChar w:fldCharType="separate"/>
      </w:r>
      <w:r w:rsidR="0095240E" w:rsidRPr="0095240E">
        <w:rPr>
          <w:rFonts w:ascii="Times New Roman" w:hAnsi="Times New Roman" w:cs="Times New Roman"/>
          <w:sz w:val="24"/>
          <w:highlight w:val="yellow"/>
        </w:rPr>
        <w:t>(Shah &amp; Rojas, 2022)</w:t>
      </w:r>
      <w:r w:rsidR="00FC77ED" w:rsidRPr="00FC77ED">
        <w:rPr>
          <w:rFonts w:ascii="Times New Roman" w:hAnsi="Times New Roman" w:cs="Times New Roman"/>
          <w:sz w:val="24"/>
          <w:szCs w:val="24"/>
          <w:highlight w:val="yellow"/>
        </w:rPr>
        <w:fldChar w:fldCharType="end"/>
      </w:r>
      <w:r>
        <w:rPr>
          <w:rFonts w:ascii="Times New Roman" w:hAnsi="Times New Roman" w:cs="Times New Roman"/>
          <w:sz w:val="24"/>
          <w:szCs w:val="24"/>
        </w:rPr>
        <w:t>.</w:t>
      </w:r>
    </w:p>
    <w:p w14:paraId="69098102" w14:textId="77777777" w:rsidR="0046447B" w:rsidRDefault="0046447B" w:rsidP="0046447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none"/>
        </w:rPr>
        <w:lastRenderedPageBreak/>
        <w:drawing>
          <wp:inline distT="0" distB="0" distL="0" distR="0" wp14:anchorId="2FD91FBF" wp14:editId="78DC98DB">
            <wp:extent cx="5574030" cy="2571750"/>
            <wp:effectExtent l="0" t="0" r="7620" b="0"/>
            <wp:docPr id="190469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9266" name="Picture 1904699266"/>
                    <pic:cNvPicPr/>
                  </pic:nvPicPr>
                  <pic:blipFill rotWithShape="1">
                    <a:blip r:embed="rId8">
                      <a:extLst>
                        <a:ext uri="{28A0092B-C50C-407E-A947-70E740481C1C}">
                          <a14:useLocalDpi xmlns:a14="http://schemas.microsoft.com/office/drawing/2010/main" val="0"/>
                        </a:ext>
                      </a:extLst>
                    </a:blip>
                    <a:srcRect t="5110" b="13941"/>
                    <a:stretch/>
                  </pic:blipFill>
                  <pic:spPr bwMode="auto">
                    <a:xfrm>
                      <a:off x="0" y="0"/>
                      <a:ext cx="5611316" cy="2588953"/>
                    </a:xfrm>
                    <a:prstGeom prst="rect">
                      <a:avLst/>
                    </a:prstGeom>
                    <a:ln>
                      <a:noFill/>
                    </a:ln>
                    <a:extLst>
                      <a:ext uri="{53640926-AAD7-44D8-BBD7-CCE9431645EC}">
                        <a14:shadowObscured xmlns:a14="http://schemas.microsoft.com/office/drawing/2010/main"/>
                      </a:ext>
                    </a:extLst>
                  </pic:spPr>
                </pic:pic>
              </a:graphicData>
            </a:graphic>
          </wp:inline>
        </w:drawing>
      </w:r>
    </w:p>
    <w:p w14:paraId="0DA662EA" w14:textId="5540D867" w:rsidR="009B07E8" w:rsidRDefault="0046447B" w:rsidP="009B07E8">
      <w:pPr>
        <w:pStyle w:val="ListParagraph"/>
        <w:spacing w:line="360" w:lineRule="auto"/>
        <w:ind w:left="0"/>
        <w:jc w:val="both"/>
        <w:rPr>
          <w:rFonts w:ascii="Times New Roman" w:hAnsi="Times New Roman" w:cs="Times New Roman"/>
          <w:sz w:val="24"/>
          <w:szCs w:val="24"/>
        </w:rPr>
      </w:pPr>
      <w:r w:rsidRPr="009B07E8">
        <w:rPr>
          <w:rFonts w:ascii="Times New Roman" w:hAnsi="Times New Roman" w:cs="Times New Roman"/>
          <w:b/>
          <w:bCs/>
          <w:sz w:val="24"/>
          <w:szCs w:val="24"/>
        </w:rPr>
        <w:t>Fig</w:t>
      </w:r>
      <w:r w:rsidR="00A45358">
        <w:rPr>
          <w:rFonts w:ascii="Times New Roman" w:hAnsi="Times New Roman" w:cs="Times New Roman"/>
          <w:b/>
          <w:bCs/>
          <w:sz w:val="24"/>
          <w:szCs w:val="24"/>
        </w:rPr>
        <w:t>.</w:t>
      </w:r>
      <w:r w:rsidRPr="009B07E8">
        <w:rPr>
          <w:rFonts w:ascii="Times New Roman" w:hAnsi="Times New Roman" w:cs="Times New Roman"/>
          <w:b/>
          <w:bCs/>
          <w:sz w:val="24"/>
          <w:szCs w:val="24"/>
        </w:rPr>
        <w:t xml:space="preserve"> 1</w:t>
      </w:r>
      <w:r w:rsidR="009B07E8" w:rsidRPr="009B07E8">
        <w:rPr>
          <w:rFonts w:ascii="Times New Roman" w:hAnsi="Times New Roman" w:cs="Times New Roman"/>
          <w:b/>
          <w:bCs/>
          <w:sz w:val="24"/>
          <w:szCs w:val="24"/>
        </w:rPr>
        <w:t>.</w:t>
      </w:r>
      <w:r w:rsidRPr="009B07E8">
        <w:rPr>
          <w:rFonts w:ascii="Times New Roman" w:hAnsi="Times New Roman" w:cs="Times New Roman"/>
          <w:sz w:val="24"/>
          <w:szCs w:val="24"/>
        </w:rPr>
        <w:t xml:space="preserve"> Showing TNM system used in cancer staging. T (</w:t>
      </w:r>
      <w:proofErr w:type="spellStart"/>
      <w:r w:rsidRPr="009B07E8">
        <w:rPr>
          <w:rFonts w:ascii="Times New Roman" w:hAnsi="Times New Roman" w:cs="Times New Roman"/>
          <w:sz w:val="24"/>
          <w:szCs w:val="24"/>
        </w:rPr>
        <w:t>Tumor</w:t>
      </w:r>
      <w:proofErr w:type="spellEnd"/>
      <w:r w:rsidRPr="009B07E8">
        <w:rPr>
          <w:rFonts w:ascii="Times New Roman" w:hAnsi="Times New Roman" w:cs="Times New Roman"/>
          <w:sz w:val="24"/>
          <w:szCs w:val="24"/>
        </w:rPr>
        <w:t xml:space="preserve">) is graded from T0 to T4 depending on the size of the </w:t>
      </w:r>
      <w:proofErr w:type="spellStart"/>
      <w:r w:rsidRPr="009B07E8">
        <w:rPr>
          <w:rFonts w:ascii="Times New Roman" w:hAnsi="Times New Roman" w:cs="Times New Roman"/>
          <w:sz w:val="24"/>
          <w:szCs w:val="24"/>
        </w:rPr>
        <w:t>tumor</w:t>
      </w:r>
      <w:proofErr w:type="spellEnd"/>
      <w:r w:rsidRPr="009B07E8">
        <w:rPr>
          <w:rFonts w:ascii="Times New Roman" w:hAnsi="Times New Roman" w:cs="Times New Roman"/>
          <w:sz w:val="24"/>
          <w:szCs w:val="24"/>
        </w:rPr>
        <w:t>, N (Nodes) is graded from N0 to N3 depending on lymph node involvement, and M (Metastasis) is graded from M1 to M2 depending on the absence and presence of metastasis</w:t>
      </w:r>
      <w:r w:rsidRPr="006A3DD4">
        <w:rPr>
          <w:rFonts w:ascii="Times New Roman" w:hAnsi="Times New Roman" w:cs="Times New Roman"/>
          <w:sz w:val="20"/>
          <w:szCs w:val="20"/>
        </w:rPr>
        <w:t xml:space="preserve">. </w:t>
      </w:r>
    </w:p>
    <w:p w14:paraId="21FFDDCF" w14:textId="77777777" w:rsidR="009B07E8" w:rsidRDefault="009B07E8" w:rsidP="009B07E8">
      <w:pPr>
        <w:pStyle w:val="ListParagraph"/>
        <w:spacing w:line="360" w:lineRule="auto"/>
        <w:ind w:left="0"/>
        <w:jc w:val="both"/>
        <w:rPr>
          <w:rFonts w:ascii="Times New Roman" w:hAnsi="Times New Roman" w:cs="Times New Roman"/>
          <w:sz w:val="24"/>
          <w:szCs w:val="24"/>
        </w:rPr>
      </w:pPr>
    </w:p>
    <w:p w14:paraId="600B003E" w14:textId="14F5CFC6" w:rsidR="0046447B" w:rsidRPr="009B07E8" w:rsidRDefault="009B07E8" w:rsidP="009B07E8">
      <w:pPr>
        <w:pStyle w:val="ListParagraph"/>
        <w:spacing w:line="360" w:lineRule="auto"/>
        <w:ind w:left="0"/>
        <w:jc w:val="both"/>
        <w:rPr>
          <w:rFonts w:ascii="Times New Roman" w:hAnsi="Times New Roman" w:cs="Times New Roman"/>
          <w:sz w:val="24"/>
          <w:szCs w:val="24"/>
        </w:rPr>
      </w:pPr>
      <w:r w:rsidRPr="009B07E8">
        <w:rPr>
          <w:rFonts w:ascii="Times New Roman" w:hAnsi="Times New Roman" w:cs="Times New Roman"/>
          <w:b/>
          <w:bCs/>
          <w:sz w:val="24"/>
          <w:szCs w:val="24"/>
        </w:rPr>
        <w:t>3.</w:t>
      </w:r>
      <w:r>
        <w:rPr>
          <w:rFonts w:ascii="Times New Roman" w:hAnsi="Times New Roman" w:cs="Times New Roman"/>
          <w:sz w:val="24"/>
          <w:szCs w:val="24"/>
        </w:rPr>
        <w:t xml:space="preserve"> </w:t>
      </w:r>
      <w:r w:rsidR="0046447B">
        <w:rPr>
          <w:rFonts w:ascii="Times New Roman" w:hAnsi="Times New Roman" w:cs="Times New Roman"/>
          <w:b/>
          <w:bCs/>
          <w:sz w:val="24"/>
          <w:szCs w:val="24"/>
        </w:rPr>
        <w:t xml:space="preserve">MRI in cancer diagnosis </w:t>
      </w:r>
    </w:p>
    <w:p w14:paraId="60FEE241" w14:textId="08F88F41" w:rsidR="0035583F" w:rsidRDefault="0046447B">
      <w:pPr>
        <w:pStyle w:val="ListParagraph"/>
        <w:spacing w:line="360" w:lineRule="auto"/>
        <w:ind w:left="0"/>
        <w:jc w:val="both"/>
        <w:rPr>
          <w:rFonts w:ascii="Times New Roman" w:hAnsi="Times New Roman" w:cs="Times New Roman"/>
          <w:kern w:val="0"/>
          <w:sz w:val="24"/>
          <w:szCs w:val="24"/>
        </w:rPr>
      </w:pPr>
      <w:r>
        <w:rPr>
          <w:rFonts w:ascii="Times New Roman" w:hAnsi="Times New Roman" w:cs="Times New Roman"/>
          <w:kern w:val="0"/>
          <w:sz w:val="24"/>
          <w:szCs w:val="24"/>
        </w:rPr>
        <w:t xml:space="preserve">MRI is another important imaging modality used in radiodiagnosis. MRI works on the nuclear magnetic resonance (NMR) phenomenon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{"citationID":"WiLWbe0l","properties":{"formattedCitation":"(Kaunitz, 2018)","plainCitation":"(Kaunitz, 2018)","noteIndex":0},"citationItems":[{"id":"p7zULTu6/vyfHERvZ","uris":["http://zotero.org/users/16274399/items/32B6IS5U"],"itemData":{"id":100,"type":"article-journal","container-title":"Digestive diseases and sciences","DOI":"10.1007/s10620-018-4992-9","ISSN":"0163-2116","issue":"5","journalAbbreviation":"Dig Dis Sci","note":"PMID: 29497905\nPMCID: PMC5988242","page":"1100-1101","source":"PubMed Central","title":"Magnetic Resonance Imaging: The Nuclear Option","title-short":"Magnetic Resonance Imaging","volume":"63","author":[{"family":"Kaunitz","given":"Jonathan D."}],"issued":{"date-parts":[["2018",5]]}}}],"schema":"https://github.com/citation-style-language/schema/raw/master/csl-citation.json"}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(Kaunitz, 2018)</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NMR was first described by Bloch and Purcell in 1945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{"citationID":"HukntmLF","properties":{"formattedCitation":"(Shampo et al., 2012)","plainCitation":"(Shampo et al., 2012)","noteIndex":0},"citationItems":[{"id":"p7zULTu6/fPgJKUkS","uris":["http://zotero.org/users/16274399/items/5QCKZEQS"],"itemData":{"id":103,"type":"article-journal","container-title":"Mayo Clinic Proceedings","DOI":"10.1016/j.mayocp.2012.01.023","ISSN":"0025-6196","issue":"12","journalAbbreviation":"Mayo Clin Proc","note":"PMID: 23218094\nPMCID: PMC3547585","page":"e109","source":"PubMed Central","title":"Richard Ernst—Nobel Prize for Nuclear Magnetic Resonance Spectroscopy","volume":"87","author":[{"family":"Shampo","given":"Marc A."},{"family":"Kyle","given":"Robert A."},{"family":"Steensma","given":"David P."}],"issued":{"date-parts":[["2012",12]]}}}],"schema":"https://github.com/citation-style-language/schema/raw/master/csl-citation.json"}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(Shampo et al., 2012)</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MRI acquires images through </w:t>
      </w:r>
      <w:r w:rsidR="00AC3AD9">
        <w:rPr>
          <w:rFonts w:ascii="Times New Roman" w:hAnsi="Times New Roman" w:cs="Times New Roman"/>
          <w:kern w:val="0"/>
          <w:sz w:val="24"/>
          <w:szCs w:val="24"/>
        </w:rPr>
        <w:t xml:space="preserve">a </w:t>
      </w:r>
      <w:r>
        <w:rPr>
          <w:rFonts w:ascii="Times New Roman" w:hAnsi="Times New Roman" w:cs="Times New Roman"/>
          <w:kern w:val="0"/>
          <w:sz w:val="24"/>
          <w:szCs w:val="24"/>
        </w:rPr>
        <w:t xml:space="preserve">radiofrequency (RF) pulse in the presence of a strong magnetic field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{"citationID":"4nmw79hx","properties":{"formattedCitation":"(Hore, 2017)","plainCitation":"(Hore, 2017)","noteIndex":0},"citationItems":[{"id":"p7zULTu6/kJxRo3go","uris":["http://zotero.org/users/16274399/items/MX94DU3E"],"itemData":{"id":106,"type":"chapter","abstract":"The basic theory behind NMR spectroscopy is described. The various NMR parameters that can be obtained from NMR spectra are explained, including the chemical shift, spin-spin coupling, and relaxation. Some explanation of the theory of how NMR is detected is also presented.","container-title":"Encyclopedia of Spectroscopy and Spectrometry (Third Edition)","event-place":"Oxford","ISBN":"978-0-12-803224-4","note":"DOI: 10.1016/B978-0-12-803224-4.00230-2","page":"187-194","publisher":"Academic Press","publisher-place":"Oxford","source":"ScienceDirect","title":"NMR Principles","URL":"https://www.sciencedirect.com/science/article/pii/B9780128032244002302","author":[{"family":"Hore","given":"P. J."}],"editor":[{"family":"Lindon","given":"John C."},{"family":"Tranter","given":"George E."},{"family":"Koppenaal","given":"David W."}],"accessed":{"date-parts":[["2025",2,2]]},"issued":{"date-parts":[["2017",1,1]]}}}],"schema":"https://github.com/citation-style-language/schema/raw/master/csl-citation.json"}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(Hore, 2017)</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When an RF pulse is given to the patient in the presence of a strong magnetic field, it disturbs the alignment of protons by passing the energy of the RF pulse to the protons present in tissues by resonance (transfer of energy from one body to another when they both are at same energy level). Protons in the tissue aligned themselves in parallel and anti-parallel directions. When the RF pulse switches off the protons get back to the equilibrium position and release energy in the form of signals (raw data) for image formation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{"citationID":"p77nTGFf","properties":{"formattedCitation":"(Pai et al., 2025)","plainCitation":"(Pai et al., 2025)","noteIndex":0},"citationItems":[{"id":"p7zULTu6/qqJU3QmU","uris":["http://zotero.org/users/16274399/items/ZZC8W7PK"],"itemData":{"id":217,"type":"chapter","abstract":"Knowledge of the principle of MRI acquisition is vital for an adequate interpretation of MRI images. MRI system has two systems, i.e., the control center is usually located in the adjacent room and the MRI machine within which the patient lies. Components of the MRI machine include- a set of Primary magnets, three gradient coils, shim coils, and an integrated radiofrequency(RF) coil. Due to extensive use of the Radiofrequency waves (RF waves), the MRI machine is incorporated within a special copper-lined room called a Faraday shield to keep the potential electromagnetic noise out. The strength of the magnetic field is measured in Tesla (T). Clinical MRI is usually performed at 1.5-3 Tesla (1.5-3T).","call-number":"NBK564320","container-title":"StatPearls","event-place":"Treasure Island (FL)","language":"eng","license":"Copyright © 2025, StatPearls Publishing LLC.","note":"PMID: 33231990","publisher":"StatPearls Publishing","publisher-place":"Treasure Island (FL)","source":"PubMed","title":"Magnetic Resonance Imaging Physics","URL":"http://www.ncbi.nlm.nih.gov/books/NBK564320/","author":[{"family":"Pai","given":"Aparna"},{"family":"Shetty","given":"Rohil"},{"family":"Hodis","given":"Brendan"},{"family":"Chowdhury","given":"Yuvraj S."}],"accessed":{"date-parts":[["2025",2,3]]},"issued":{"date-parts":[["2025"]]}}}],"schema":"https://github.com/citation-style-language/schema/raw/master/csl-citation.json"}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(Pai et al., 2025)</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Raw data is converted into a meaningful image using Fourier transformation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{"citationID":"FwGsH0Uk","properties":{"formattedCitation":"(Aibinu et al., 2008)","plainCitation":"(Aibinu et al., 2008)","noteIndex":0},"citationItems":[{"id":"p7zULTu6/BKHzhGGL","uris":["http://zotero.org/users/16274399/items/Y2YZVJQ5"],"itemData":{"id":214,"type":"article-journal","abstract":"The use of Inverse Discrete Fourier Transform (IDFT) implemented in the form of Inverse Fourier Transform (IFFT) is one of the standard method of reconstructing Magnetic Resonance Imaging (MRI) from uniformly sampled K-space data. In this tutorial, three of the major problems associated with the use of IFFT in MRI reconstruction are highlighted. The tutorial also gives brief introduction to MRI physics; MRI system from instrumentation point of view; K-space signal and the process of IDFT and IFFT for One and two dimensional (1D and 2D) data.","container-title":"World Academy of Science Engineering and Technology","journalAbbreviation":"World Academy of Science Engineering and Technology","source":"ResearchGate","title":"MRI Reconstruction Using Discrete Fourier Transform: A tutorial","title-short":"MRI Reconstruction Using Discrete Fourier Transform","volume":"42","author":[{"family":"Aibinu","given":"Abiodun"},{"family":"Salami","given":"Momoh"},{"family":"Shafie","given":"A.A."},{"family":"Najeeb","given":"Athaur"}],"issued":{"date-parts":[["2008",1,1]]}}}],"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(Aibinu et al., 2008)</w:t>
      </w:r>
      <w:r>
        <w:rPr>
          <w:rFonts w:ascii="Times New Roman" w:hAnsi="Times New Roman" w:cs="Times New Roman"/>
          <w:kern w:val="0"/>
          <w:sz w:val="24"/>
          <w:szCs w:val="24"/>
        </w:rPr>
        <w:fldChar w:fldCharType="end"/>
      </w:r>
      <w:r>
        <w:rPr>
          <w:rFonts w:ascii="Times New Roman" w:hAnsi="Times New Roman" w:cs="Times New Roman"/>
          <w:kern w:val="0"/>
          <w:sz w:val="24"/>
          <w:szCs w:val="24"/>
        </w:rPr>
        <w:t>. MRI shows better tissue contrast and spatial resolution than CT scans. MRI has been proven a better modality in cases of cervix cancer, bladder cancer, CNS cancer, and extremity masses (</w:t>
      </w:r>
      <w:proofErr w:type="spellStart"/>
      <w:r>
        <w:rPr>
          <w:rFonts w:ascii="Times New Roman" w:hAnsi="Times New Roman" w:cs="Times New Roman"/>
          <w:kern w:val="0"/>
          <w:sz w:val="24"/>
          <w:szCs w:val="24"/>
        </w:rPr>
        <w:t>eg</w:t>
      </w:r>
      <w:proofErr w:type="spellEnd"/>
      <w:r>
        <w:rPr>
          <w:rFonts w:ascii="Times New Roman" w:hAnsi="Times New Roman" w:cs="Times New Roman"/>
          <w:kern w:val="0"/>
          <w:sz w:val="24"/>
          <w:szCs w:val="24"/>
        </w:rPr>
        <w:t xml:space="preserve">; sarcoma)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{"citationID":"OTcv8ISE","properties":{"formattedCitation":"(Alemu et al., 2023; Re et al., 2023; Wasa et al., 2010)","plainCitation":"(Alemu et al., 2023; Re et al., 2023; Wasa et al., 2010)","noteIndex":0},"citationItems":[{"id":"p7zULTu6/8JIktrjg","uris":["http://zotero.org/users/16274399/items/R5XIC7CN"],"itemData":{"id":108,"type":"article-journal","abstract":"Cervical cancer is the fourth most common cancer in women, and it is divided into 2 main histological types: squamous cell carcinoma and adenocarcinoma. Extension of disease as well as the presence of metastases define the prognosis of patients. Accurate tumor staging at diagnosis is essential for adequate planning for treatment. There are several classifications of cervical cancer, and the most used are FIGO and TNM, which help classify the patient and guide the treatment. Imaging has a pivotal role in classifying patients, and MRI plays a decision-maker role both for diagnosis and for treatment planning. In this paper we highlight the role of MRI, alongside guidelines classification, in patients with different stages of cervical tumors.","collection-title":"Oncologic Imaging","container-title":"Seminars in Ultrasound, CT and MRI","DOI":"10.1053/j.sult.2023.03.010","ISSN":"0887-2171","issue":"3","journalAbbreviation":"Seminars in Ultrasound, CT and MRI","page":"228-237","source":"ScienceDirect","title":"Role of MRI in the Assessment of Cervical Cancer","volume":"44","author":[{"family":"Re","given":"Giuseppe Lo"},{"family":"Cucinella","given":"Giuseppe"},{"family":"Zaccaria","given":"Giulia"},{"family":"Crapanzano","given":"Agata"},{"family":"Salerno","given":"Sergio"},{"family":"Pinto","given":"Antonio"},{"family":"Casto","given":"Antonio Lo"},{"family":"Chiantera","given":"Vito"}],"issued":{"date-parts":[["2023",6,1]]}}},{"id":"p7zULTu6/O1fvbWaG","uris":["http://zotero.org/users/16274399/items/DK8A46KP"],"itemData":{"id":110,"type":"article-journal","abstract":"Brain cancer is one of the most fatal types of disease, which is caused by an abnormally growing mass of defective brain tissue. Generally, brain cancer can be divided into benign and malignant, however, based on the World Health Organization, it can also be divided into grade I, II, III, and IV tumors. Magnetic Resonance Imaging (MRI) has become a crucial tool in the diagnosis and treatment of brain tumors. However, accurately classifying brain tumor images from MRI scans remains a challenging task due to the complexity and heterogeneity of tumor characteristics. This paper presents a Support Vector Machine (SVM) based classification method for brain tumor classification. The proposed method comprises steps such as noise reduction, segmentation, and feature extraction which were employed using the median filter or wavelet transform, Otsu's thresholding, and Gray-Level Co-occurrence Matrix, respectively. Finally, classifications were performed using a Support Vector Machine which achieved a 99.9 % accuracy using a dataset of 24 MRI images comprising 13 Malignant and 11 Benign brain tumors for training and 16 images for testing. When compared to previous approaches, the study's findings show a considerable improvement in the ability to classify images of brain tumors.","container-title":"Scientific African","DOI":"10.1016/j.sciaf.2023.e01963","ISSN":"2468-2276","journalAbbreviation":"Scientific African","page":"e01963","source":"ScienceDirect","title":"Magnetic resonance imaging-based brain tumor image classification performance enhancement","volume":"22","author":[{"family":"Alemu","given":"Belayneh Sisay"},{"family":"Feisso","given":"Sultan"},{"family":"Mohammed","given":"Endris Abdu"},{"family":"Salau","given":"Ayodeji Olalekan"}],"issued":{"date-parts":[["2023",11,1]]}}},{"id":"p7zULTu6/qZHAeNeF","uris":["http://zotero.org/users/16274399/items/PKIEHUC4"],"itemData":{"id":112,"type":"article-journal","abstract":"OBJECTIVE. The objective of this study was to identify the MRI criteria that best differentiate malignant peripheral nerve sheath tumors from benign neurofibromas.MATERIALS AND METHODS. We retrospectively analyzed MR images obtained for 41 histologically diagnosed cases of malignant peripheral nerve sheath tumor and 20 cases of neurofibroma that had been treated at four tertiary institutions. Twenty of the patients with malignant peripheral nerve sheath tumors and 14 patients with neurofibromas developed the disease in association with neurofibromatosis 1. The MR images were evaluated with regard to tumor size, signal intensity, heterogeneity of T1- and T2-weighted MR images, enhancement pattern, definition of margins, presence of perilesional edemalike zone, and presence of intratumoral cystic lesions.RESULTS. Significant differences between malignant peripheral nerve sheath tumors and neurofibromas were noted for the largest dimension of the mass, peripheral enhancement pattern, perilesional edemalike zone, and intratumoral cystic lesion. In cases associated with neurofibromatosis 1, heterogenicity on T1-weighted images was also significant in differentiating neurofibroma from malignant peripheral nerve sheath tumor. The presence of two or more of the four features suggestive of malignancy indicated malignant peripheral nerve sheath tumor with a sensitivity of 61% and a specificity of 90%.CONCLUSION. The MR features described in this study are useful for distinguishing malignant peripheral nerve sheath tumors from neurofibromas. If a tumor has two or more of the four statistically significant features, it can be considered to be highly suspicious of malignancy and should be subjected to a biopsy for early diagnosis.","container-title":"American Journal of Roentgenology","DOI":"10.2214/AJR.09.2724","ISSN":"0361-803X","issue":"6","note":"publisher: American Roentgen Ray Society","page":"1568-1574","source":"ajronline.org (Atypon)","title":"MRI Features in the Differentiation of Malignant Peripheral Nerve Sheath Tumors and Neurofibromas","volume":"194","author":[{"family":"Wasa","given":"Junji"},{"family":"Nishida","given":"Yoshihiro"},{"family":"Tsukushi","given":"Satoshi"},{"family":"Shido","given":"Yoji"},{"family":"Sugiura","given":"Hideshi"},{"family":"Nakashima","given":"Hiroatsu"},{"family":"Ishiguro","given":"Naoki"}],"issued":{"date-parts":[["2010",6]]}}}],"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(Alemu et al., 2023; Re et al., 2023; Wasa et al., 2010)</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MRI ensures breast cancer diagnosis after breast ultrasonography and even adds more detailed information in the final diagnosis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{"citationID":"p2bGAx8A","properties":{"formattedCitation":"(Gilbert &amp; Pinker-Domenig, 2019)","plainCitation":"(Gilbert &amp; Pinker-Domenig, 2019)","noteIndex":0},"citationItems":[{"id":"p7zULTu6/C47518to","uris":["http://zotero.org/users/16274399/items/W2YLI4BH"],"itemData":{"id":114,"type":"chapter","abstract":"Breast cancer is the most cause of female cancer deaths in the western world, with early detection of cancer being pivotal for an improved prognosis and survival. Imaging plays a pivotal role in breast cancer detection and staging and helps guiding treatment decisions. Imaging modalities for diagnosis and staging of breast cancer comprise mammography, digital breast tomosynthesis (DBT), ultrasound, contrast-enhanced mammography (CEM), and magnetic resonance imaging (MRI). Mammography is the mainstay of breast cancer screening and diagnosis. Mammography, together with ultrasound and MRI, is used to detect and characterize lesions found at screening and to evaluate symptomatic women. In patients with breast cancer, mammography, often in conjunction with specialized views, can determine lesion size and location and assess the surrounding tissue and lymph nodes. DBT is a three-dimensional (3D) imaging method with the potential to overcome the main limitation of standard two-dimensional mammography, a masking effect due to overlapping fibroglandular breast tissue, improving diagnostic accuracy in breast cancer, particularly in dense breasts. CEM allows both a morphologic evaluation comparable to routine digital mammography and through contrast agent application a simultaneous assessment of tumor neovascularity as an indicator of malignancy similar to MRI. Data indicate that CEM has an improved sensitivity and increases the specificity compared with mammography. Breast US is widely used to confirm a diagnosis of cancer, to look for additional disease in the breast, for image-guided breast biopsy and localization, assessment of the axilla, and as a second-look tool in patients with abnormalities found on MRI. MRI of the breast is the most sensitive modality for breast cancer detection. MRI of the breast is used for the assessment of disease extent and detection of additional lesion and seems to be more useful than mammography when staging multifocal and multicentric disease or when DCIS is present. This chapters will provide an overview of when and how to use mammography, DBT, ultrasound, CEM, and MRI for diagnosis and staging of breast cancer.","call-number":"NBK553859","collection-title":"IDKD Springer Series","container-title":"Diseases of the Chest, Breast, Heart and Vessels 2019-2022: Diagnostic and Interventional Imaging","event-place":"Cham (CH)","ISBN":"978-3-030-11148-9","language":"eng","license":"Copyright 2019, The Author(s).","note":"PMID: 32096932","publisher":"Springer","publisher-place":"Cham (CH)","source":"PubMed","title":"Diagnosis and Staging of Breast Cancer: When and How to Use Mammography, Tomosynthesis, Ultrasound, Contrast-Enhanced Mammography, and Magnetic Resonance Imaging","title-short":"Diagnosis and Staging of Breast Cancer","URL":"http://www.ncbi.nlm.nih.gov/books/NBK553859/","author":[{"family":"Gilbert","given":"Fiona J."},{"family":"Pinker-Domenig","given":"Katja"}],"editor":[{"family":"Hodler","given":"Juerg"},{"family":"Kubik-Huch","given":"Rahel A."},{"family":"Schulthess","given":"Gustav K.","non-dropping-particle":"von"}],"accessed":{"date-parts":[["2025",2,2]]},"issued":{"date-parts":[["2019"]]}}}],"schema":"https://github.com/citation-style-language/schema/raw/master/csl-citation.json"}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(Gilbert &amp; Pinker-Domenig, 2019)</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Diffusion Weighted Imaging (DWI) is an important sequence in the diagnosis of any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which is based on Brownian movement (random motion of particles)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{"citationID":"EvPf5Myu","properties":{"formattedCitation":"(Baliyan et al., 2016)","plainCitation":"(Baliyan et al., 2016)","noteIndex":0},"citationItems":[{"id":"p7zULTu6/3rjgjrEn","uris":["http://zotero.org/users/16274399/items/4RNPRYYT"],"itemData":{"id":117,"type":"article-journal","abstract":"Diffusion weighted imaging (DWI) is a method of signal contrast generation based on the differences in Brownian motion. DWI is a method to evaluate the molecular function and micro-architecture of the human body. DWI signal contrast can be quantified by apparent diffusion coefficient maps and it acts as a tool for treatment response evaluation and assessment of disease progression. Ability to detect and quantify the anisotropy of diffusion leads to a new paradigm called diffusion tensor imaging (DTI). DTI is a tool for assessment of the organs with highly organised fibre structure. DWI forms an integral part of modern state-of-art magnetic resonance imaging and is indispensable in neuroimaging and oncology. DWI is a field that has been undergoing rapid technical evolution and its applications are increasing every day. This review article provides insights in to the evolution of DWI as a new imaging paradigm and provides a summary of current role of DWI in various disease processes.","container-title":"World Journal of Radiology","DOI":"10.4329/wjr.v8.i9.785","ISSN":"1949-8470","issue":"9","journalAbbreviation":"World J Radiol","note":"PMID: 27721941\nPMCID: PMC5039674","page":"785-798","source":"PubMed Central","title":"Diffusion weighted imaging: Technique and applications","title-short":"Diffusion weighted imaging","volume":"8","author":[{"family":"Baliyan","given":"Vinit"},{"family":"Das","given":"Chandan J"},{"family":"Sharma","given":"Raju"},{"family":"Gupta","given":"Arun Kumar"}],"issued":{"date-parts":[["2016",9,28]]}}}],"schema":"https://github.com/citation-style-language/schema/raw/master/csl-citation.json"}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(Baliyan et al., 2016)</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It gives an </w:t>
      </w:r>
      <w:r>
        <w:rPr>
          <w:rFonts w:ascii="Times New Roman" w:hAnsi="Times New Roman" w:cs="Times New Roman"/>
          <w:kern w:val="0"/>
          <w:sz w:val="24"/>
          <w:szCs w:val="24"/>
        </w:rPr>
        <w:lastRenderedPageBreak/>
        <w:t xml:space="preserve">estimation of proton movement within any tissue or pathology, such as a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It provides detailed information about cellularity and cell membrane integrity, which reflects the function of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cells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{"citationID":"cvLZd0gd","properties":{"formattedCitation":"(Messina et al., 2020)","plainCitation":"(Messina et al., 2020)","noteIndex":0},"citationItems":[{"id":"p7zULTu6/7PWM4Wig","uris":["http://zotero.org/users/16274399/items/PQRFNTLZ"],"itemData":{"id":120,"type":"article-journal","abstract":"To date, diffusion weighted imaging (DWI) is included in routine magnetic resonance imaging (MRI) protocols for several cancers. The real additive role of DWI lies in the “functional” information obtained by probing the free diffusivity of water molecules into intra and inter-cellular spaces that in tumors mainly depend on cellularity. Although DWI has not gained much space in some oncologic scenarios, this non-invasive tool is routinely used in clinical practice and still remains a hot research topic: it has been tested in almost all cancers to differentiate malignant from benign lesions, to distinguish different malignant histotypes or tumor grades, to predict and/or assess treatment responses, and to identify residual or recurrent tumors in follow-up examinations. In this review, we provide an up-to-date overview on the application of DWI in oncology.","container-title":"Cancers","DOI":"10.3390/cancers12061493","ISSN":"2072-6694","issue":"6","journalAbbreviation":"Cancers (Basel)","note":"PMID: 32521645\nPMCID: PMC7352852","page":"1493","source":"PubMed Central","title":"Diffusion-Weighted Imaging in Oncology: An Update","title-short":"Diffusion-Weighted Imaging in Oncology","volume":"12","author":[{"family":"Messina","given":"Carmelo"},{"family":"Bignone","given":"Rodolfo"},{"family":"Bruno","given":"Alberto"},{"family":"Bruno","given":"Antonio"},{"family":"Bruno","given":"Federico"},{"family":"Calandri","given":"Marco"},{"family":"Caruso","given":"Damiano"},{"family":"Coppolino","given":"Pietro"},{"family":"De Robertis","given":"Riccardo"},{"family":"Gentili","given":"Francesco"},{"family":"Grazzini","given":"Irene"},{"family":"Natella","given":"Raffaele"},{"family":"Scalise","given":"Paola"},{"family":"Barile","given":"Antonio"},{"family":"Grassi","given":"Roberto"},{"family":"Albano","given":"Domenico"}],"issued":{"date-parts":[["2020",6,8]]}}}],"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(Messina et al., 2020)</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It can differentiate a malignant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and a benign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and also estimate the </w:t>
      </w:r>
      <w:proofErr w:type="spellStart"/>
      <w:r>
        <w:rPr>
          <w:rFonts w:ascii="Times New Roman" w:hAnsi="Times New Roman" w:cs="Times New Roman"/>
          <w:kern w:val="0"/>
          <w:sz w:val="24"/>
          <w:szCs w:val="24"/>
        </w:rPr>
        <w:t>tumor's</w:t>
      </w:r>
      <w:proofErr w:type="spellEnd"/>
      <w:r>
        <w:rPr>
          <w:rFonts w:ascii="Times New Roman" w:hAnsi="Times New Roman" w:cs="Times New Roman"/>
          <w:kern w:val="0"/>
          <w:sz w:val="24"/>
          <w:szCs w:val="24"/>
        </w:rPr>
        <w:t xml:space="preserve"> grade, and offer a therapy response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{"citationID":"Jm4zMdGs","properties":{"formattedCitation":"(Messina et al., 2020)","plainCitation":"(Messina et al., 2020)","noteIndex":0},"citationItems":[{"id":"p7zULTu6/7PWM4Wig","uris":["http://zotero.org/users/16274399/items/PQRFNTLZ"],"itemData":{"id":120,"type":"article-journal","abstract":"To date, diffusion weighted imaging (DWI) is included in routine magnetic resonance imaging (MRI) protocols for several cancers. The real additive role of DWI lies in the “functional” information obtained by probing the free diffusivity of water molecules into intra and inter-cellular spaces that in tumors mainly depend on cellularity. Although DWI has not gained much space in some oncologic scenarios, this non-invasive tool is routinely used in clinical practice and still remains a hot research topic: it has been tested in almost all cancers to differentiate malignant from benign lesions, to distinguish different malignant histotypes or tumor grades, to predict and/or assess treatment responses, and to identify residual or recurrent tumors in follow-up examinations. In this review, we provide an up-to-date overview on the application of DWI in oncology.","container-title":"Cancers","DOI":"10.3390/cancers12061493","ISSN":"2072-6694","issue":"6","journalAbbreviation":"Cancers (Basel)","note":"PMID: 32521645\nPMCID: PMC7352852","page":"1493","source":"PubMed Central","title":"Diffusion-Weighted Imaging in Oncology: An Update","title-short":"Diffusion-Weighted Imaging in Oncology","volume":"12","author":[{"family":"Messina","given":"Carmelo"},{"family":"Bignone","given":"Rodolfo"},{"family":"Bruno","given":"Alberto"},{"family":"Bruno","given":"Antonio"},{"family":"Bruno","given":"Federico"},{"family":"Calandri","given":"Marco"},{"family":"Caruso","given":"Damiano"},{"family":"Coppolino","given":"Pietro"},{"family":"De Robertis","given":"Riccardo"},{"family":"Gentili","given":"Francesco"},{"family":"Grazzini","given":"Irene"},{"family":"Natella","given":"Raffaele"},{"family":"Scalise","given":"Paola"},{"family":"Barile","given":"Antonio"},{"family":"Grassi","given":"Roberto"},{"family":"Albano","given":"Domenico"}],"issued":{"date-parts":[["2020",6,8]]}}}],"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(Messina et al., 2020)</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Apart from this, for contrast-enhanced MRI (CEMRI), a gadolinium-based contrast agent is used to observe the enhancement pattern within the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which further helps in the characterization of the </w:t>
      </w:r>
      <w:proofErr w:type="spellStart"/>
      <w:r>
        <w:rPr>
          <w:rFonts w:ascii="Times New Roman" w:hAnsi="Times New Roman" w:cs="Times New Roman"/>
          <w:kern w:val="0"/>
          <w:sz w:val="24"/>
          <w:szCs w:val="24"/>
        </w:rPr>
        <w:t>tumor</w:t>
      </w:r>
      <w:proofErr w:type="spellEnd"/>
      <w:r>
        <w:rPr>
          <w:rFonts w:ascii="Times New Roman" w:hAnsi="Times New Roman" w:cs="Times New Roman"/>
          <w:kern w:val="0"/>
          <w:sz w:val="24"/>
          <w:szCs w:val="24"/>
        </w:rPr>
        <w:t xml:space="preserve"> </w:t>
      </w:r>
      <w:r>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{"citationID":"C7dMHW44","properties":{"formattedCitation":"(Gruber et al., 2017)","plainCitation":"(Gruber et al., 2017)","noteIndex":0},"citationItems":[{"id":"p7zULTu6/xoFRLNM2","uris":["http://zotero.org/users/16274399/items/WQA5WSZR"],"itemData":{"id":123,"type":"article-journal","abstract":"OBJECTIVE. The purpose of this study was to assess and compare contrast-enhanced ultrasound and MRI patterns in the diagnosis of soft-tissue masses.MATERIALS AND METHODS. Two hundred fifty-five consecutively registered patients with histologically confirmed soft-tissue masses were included in this retrospective study. The diagnostic properties of four predefined contrast enhancement (CE) patterns were assessed, and logistic regression analysis was performed to determine the correlation between diagnosis and CE pattern, lesion size, and patient age and sex. The influence of lesion size on the occurrence of inhomogeneous CE patterns in malignancies was also determined.RESULTS. Homogeneous CE patterns were highly specific for benignity, and inhomogeneous CE was moderately specific for malignancy in both ultrasound and MRI. A combination of homogeneous and inhomogeneous CE patterns led to 88.3% and 88.7% sensitivity, 66.7% and 59.7% specificity, 73.4% and 68.2% correct classification, 54.6% and 47.8% positive predictive value, 92.6% and 92.7% negative predictive value, 2.65 and 2.20 positive likelihood ratio, and 0.18 and 0.19 negative likelihood ratio for contrast-enhanced ultrasound and contrast-enhanced MRI. Cases with homogeneous CE in either ultrasound or MRI also were predominantly benign. The occurrence of inhomogeneous CE in malignant lesions increased with size.CONCLUSION. CE patterns in ultrasound and MRI offer additional information about the differentiation of an unknown soft-tissue mass. The results of this study showed that homogeneous or absent CE was specific for benign differentiation and that heterogeneous CE was linked to malignancy. The routine analysis of CE patterns should increase diagnostic reliability in unclear soft-tissue masses.","container-title":"American Journal of Roentgenology","DOI":"10.2214/AJR.16.16859","ISSN":"0361-803X","issue":"2","note":"publisher: American Roentgen Ray Society","page":"393-401","source":"ajronline.org (Atypon)","title":"Soft-Tissue Tumor Contrast Enhancement Patterns: Diagnostic Value and Comparison Between Ultrasound and MRI","title-short":"Soft-Tissue Tumor Contrast Enhancement Patterns","volume":"208","author":[{"family":"Gruber","given":"Leonhard"},{"family":"Loizides","given":"Alexander"},{"family":"Luger","given":"Anna K."},{"family":"Glodny","given":"Bernhard"},{"family":"Moser","given":"Patrizia"},{"family":"Henninger","given":"Benjamin"},{"family":"Gruber","given":"Hannes"}],"issued":{"date-parts":[["2017",2]]}}}],"schema":"https://github.com/citation-style-language/schema/raw/master/csl-citation.json"} </w:instrText>
      </w:r>
      <w:r>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(Gruber et al., 2017)</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Similar to a CT scan, the TNM method can be used in MRI for cancer staging.  </w:t>
      </w:r>
      <w:r w:rsidR="00FC5182">
        <w:rPr>
          <w:rFonts w:ascii="Times New Roman" w:hAnsi="Times New Roman" w:cs="Times New Roman"/>
          <w:kern w:val="0"/>
          <w:sz w:val="24"/>
          <w:szCs w:val="24"/>
        </w:rPr>
        <w:t>T</w:t>
      </w:r>
      <w:r>
        <w:rPr>
          <w:rFonts w:ascii="Times New Roman" w:hAnsi="Times New Roman" w:cs="Times New Roman"/>
          <w:kern w:val="0"/>
          <w:sz w:val="24"/>
          <w:szCs w:val="24"/>
        </w:rPr>
        <w:t xml:space="preserve">he stages </w:t>
      </w:r>
      <w:r w:rsidR="00FC5182">
        <w:rPr>
          <w:rFonts w:ascii="Times New Roman" w:hAnsi="Times New Roman" w:cs="Times New Roman"/>
          <w:kern w:val="0"/>
          <w:sz w:val="24"/>
          <w:szCs w:val="24"/>
        </w:rPr>
        <w:t>can be</w:t>
      </w:r>
      <w:r>
        <w:rPr>
          <w:rFonts w:ascii="Times New Roman" w:hAnsi="Times New Roman" w:cs="Times New Roman"/>
          <w:kern w:val="0"/>
          <w:sz w:val="24"/>
          <w:szCs w:val="24"/>
        </w:rPr>
        <w:t xml:space="preserve"> classified as the first, second, third, and fourth</w:t>
      </w:r>
      <w:r w:rsidR="00FC5182">
        <w:rPr>
          <w:rFonts w:ascii="Times New Roman" w:hAnsi="Times New Roman" w:cs="Times New Roman"/>
          <w:kern w:val="0"/>
          <w:sz w:val="24"/>
          <w:szCs w:val="24"/>
        </w:rPr>
        <w:t xml:space="preserve"> using TNM classification, as explained in </w:t>
      </w:r>
      <w:r w:rsidR="00FC5182">
        <w:rPr>
          <w:rFonts w:ascii="Times New Roman" w:hAnsi="Times New Roman" w:cs="Times New Roman"/>
          <w:b/>
          <w:bCs/>
          <w:kern w:val="0"/>
          <w:sz w:val="24"/>
          <w:szCs w:val="24"/>
        </w:rPr>
        <w:t>Fig</w:t>
      </w:r>
      <w:r w:rsidR="00A45358">
        <w:rPr>
          <w:rFonts w:ascii="Times New Roman" w:hAnsi="Times New Roman" w:cs="Times New Roman"/>
          <w:b/>
          <w:bCs/>
          <w:kern w:val="0"/>
          <w:sz w:val="24"/>
          <w:szCs w:val="24"/>
        </w:rPr>
        <w:t>.</w:t>
      </w:r>
      <w:r w:rsidR="00FC5182">
        <w:rPr>
          <w:rFonts w:ascii="Times New Roman" w:hAnsi="Times New Roman" w:cs="Times New Roman"/>
          <w:b/>
          <w:bCs/>
          <w:kern w:val="0"/>
          <w:sz w:val="24"/>
          <w:szCs w:val="24"/>
        </w:rPr>
        <w:t xml:space="preserve"> 2</w:t>
      </w:r>
      <w:r w:rsidR="00FC5182" w:rsidRPr="00FC5182">
        <w:rPr>
          <w:rFonts w:ascii="Times New Roman" w:hAnsi="Times New Roman" w:cs="Times New Roman"/>
          <w:kern w:val="0"/>
          <w:sz w:val="24"/>
          <w:szCs w:val="24"/>
        </w:rPr>
        <w:t>.</w:t>
      </w:r>
      <w:r w:rsidR="00AC3AD9">
        <w:rPr>
          <w:rFonts w:ascii="Times New Roman" w:hAnsi="Times New Roman" w:cs="Times New Roman"/>
          <w:kern w:val="0"/>
          <w:sz w:val="24"/>
          <w:szCs w:val="24"/>
        </w:rPr>
        <w:t xml:space="preserve"> One of the major advantages of MRI is that it has better tissue resolution than any other modality </w:t>
      </w:r>
      <w:r w:rsidR="00AC3AD9">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{"citationID":"VPxAstpt","properties":{"formattedCitation":"(Thakur et al., 2023)","plainCitation":"(Thakur et al., 2023)","noteIndex":0},"citationItems":[{"id":"p7zULTu6/DmtIJJmR","uris":["http://zotero.org/users/16274399/items/WZDNVXEE"],"itemData":{"id":125,"type":"chapter","abstract":"Medical image analysis involves correct interpretation of image data for the proper diagnosis to decide further course of treatment. There are different medical imaging modalities, such as magnetic resonance imaging, computed tomography, ultrasound, positron emission tomography, etc. Each imaging modality is used for the diagnosis of a particular disease according to its features. The image denoising is an important step of the medical image pre-processing part for accurate interpretation of image data. There are different image denoising techniques, such as transform domain-based, fuzzy logic-based, spatial domain-based, optimization-based, and machine learning-based methods. Out of these techniques, machine learning-based convolutional neural networks (CNNs) are widely being used for image denoising applications. The auto extraction of image features by the convolutional operation is the core functionality of CNNs. Moreover, CNN's design is appropriate for image data, and the concept of weight sharing reduces computational complexity as well. This chapter gives an overview of various medical image modalities and corresponding denoising CNN architectures. It has been observed that denoising CNN (DnCNN) Gaussian denoiser is the benchmark model for the design of medical imaging denoisers. The basic design unit is convolution, batch normalization, and rectified linear units. The 3D-parallel RicianNet for Rician Noise removal in MRI, two-stage residual CNN, and complex CNN medical image denoiser for CT images, mixed attention-based residual U-Net for speckle removal in ultrasound, and unsupervised learning with image priors for PET images have outperformed other state-of-the-art methods.","collection-title":"Hybrid Computational Intelligence for Pattern Analysis","container-title":"Digital Image Enhancement and Reconstruction","ISBN":"978-0-323-98370-9","note":"DOI: 10.1016/B978-0-32-398370-9.00012-3","page":"115-138","publisher":"Academic Press","source":"ScienceDirect","title":"Chapter 5 - Medical image denoising using convolutional neural networks","URL":"https://www.sciencedirect.com/science/article/pii/B9780323983709000123","author":[{"family":"Thakur","given":"Rini Smita"},{"family":"Chatterjee","given":"Shubhojeet"},{"family":"Yadav","given":"Ram Narayan"},{"family":"Gupta","given":"Lalita"}],"editor":[{"family":"Rajput","given":"Shyam Singh"},{"family":"Khan","given":"Nafis Uddin"},{"family":"Singh","given":"Amit Kumar"},{"family":"Arya","given":"Karm Veer"}],"accessed":{"date-parts":[["2025",2,2]]},"issued":{"date-parts":[["2023",1,1]]}}}],"schema":"https://github.com/citation-style-language/schema/raw/master/csl-citation.json"} </w:instrText>
      </w:r>
      <w:r w:rsidR="00AC3AD9">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(Thakur et al., 2023)</w:t>
      </w:r>
      <w:r w:rsidR="00AC3AD9">
        <w:rPr>
          <w:rFonts w:ascii="Times New Roman" w:hAnsi="Times New Roman" w:cs="Times New Roman"/>
          <w:kern w:val="0"/>
          <w:sz w:val="24"/>
          <w:szCs w:val="24"/>
        </w:rPr>
        <w:fldChar w:fldCharType="end"/>
      </w:r>
      <w:r w:rsidR="00AC3AD9">
        <w:rPr>
          <w:rFonts w:ascii="Times New Roman" w:hAnsi="Times New Roman" w:cs="Times New Roman"/>
          <w:kern w:val="0"/>
          <w:sz w:val="24"/>
          <w:szCs w:val="24"/>
        </w:rPr>
        <w:t xml:space="preserve">. It provides better soft tissue resolution in small field of view (FOV) area scanning, which is not possible in CT imaging. As above mentioned  MRI uses a magnetic field and radiofrequency waves for image acquisition, there is no risk of radiation hazards and scans can be repeated as many times as required for follow-up </w:t>
      </w:r>
      <w:r w:rsidR="00AC3AD9">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{"citationID":"xRFRv6B0","properties":{"formattedCitation":"(Thakur et al., 2023)","plainCitation":"(Thakur et al., 2023)","noteIndex":0},"citationItems":[{"id":"p7zULTu6/DmtIJJmR","uris":["http://zotero.org/users/16274399/items/WZDNVXEE"],"itemData":{"id":125,"type":"chapter","abstract":"Medical image analysis involves correct interpretation of image data for the proper diagnosis to decide further course of treatment. There are different medical imaging modalities, such as magnetic resonance imaging, computed tomography, ultrasound, positron emission tomography, etc. Each imaging modality is used for the diagnosis of a particular disease according to its features. The image denoising is an important step of the medical image pre-processing part for accurate interpretation of image data. There are different image denoising techniques, such as transform domain-based, fuzzy logic-based, spatial domain-based, optimization-based, and machine learning-based methods. Out of these techniques, machine learning-based convolutional neural networks (CNNs) are widely being used for image denoising applications. The auto extraction of image features by the convolutional operation is the core functionality of CNNs. Moreover, CNN's design is appropriate for image data, and the concept of weight sharing reduces computational complexity as well. This chapter gives an overview of various medical image modalities and corresponding denoising CNN architectures. It has been observed that denoising CNN (DnCNN) Gaussian denoiser is the benchmark model for the design of medical imaging denoisers. The basic design unit is convolution, batch normalization, and rectified linear units. The 3D-parallel RicianNet for Rician Noise removal in MRI, two-stage residual CNN, and complex CNN medical image denoiser for CT images, mixed attention-based residual U-Net for speckle removal in ultrasound, and unsupervised learning with image priors for PET images have outperformed other state-of-the-art methods.","collection-title":"Hybrid Computational Intelligence for Pattern Analysis","container-title":"Digital Image Enhancement and Reconstruction","ISBN":"978-0-323-98370-9","note":"DOI: 10.1016/B978-0-32-398370-9.00012-3","page":"115-138","publisher":"Academic Press","source":"ScienceDirect","title":"Chapter 5 - Medical image denoising using convolutional neural networks","URL":"https://www.sciencedirect.com/science/article/pii/B9780323983709000123","author":[{"family":"Thakur","given":"Rini Smita"},{"family":"Chatterjee","given":"Shubhojeet"},{"family":"Yadav","given":"Ram Narayan"},{"family":"Gupta","given":"Lalita"}],"editor":[{"family":"Rajput","given":"Shyam Singh"},{"family":"Khan","given":"Nafis Uddin"},{"family":"Singh","given":"Amit Kumar"},{"family":"Arya","given":"Karm Veer"}],"accessed":{"date-parts":[["2025",2,2]]},"issued":{"date-parts":[["2023",1,1]]}}}],"schema":"https://github.com/citation-style-language/schema/raw/master/csl-citation.json"} </w:instrText>
      </w:r>
      <w:r w:rsidR="00AC3AD9">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(Thakur et al., 2023)</w:t>
      </w:r>
      <w:r w:rsidR="00AC3AD9">
        <w:rPr>
          <w:rFonts w:ascii="Times New Roman" w:hAnsi="Times New Roman" w:cs="Times New Roman"/>
          <w:kern w:val="0"/>
          <w:sz w:val="24"/>
          <w:szCs w:val="24"/>
        </w:rPr>
        <w:fldChar w:fldCharType="end"/>
      </w:r>
      <w:r w:rsidR="00AC3AD9">
        <w:rPr>
          <w:rFonts w:ascii="Times New Roman" w:hAnsi="Times New Roman" w:cs="Times New Roman"/>
          <w:kern w:val="0"/>
          <w:sz w:val="24"/>
          <w:szCs w:val="24"/>
        </w:rPr>
        <w:t xml:space="preserve">. Monitoring ongoing treatment through follow-up scans is crucial for the patient to minimize treatment side effects and inhibit the recurrence of the </w:t>
      </w:r>
      <w:proofErr w:type="spellStart"/>
      <w:r w:rsidR="00AC3AD9">
        <w:rPr>
          <w:rFonts w:ascii="Times New Roman" w:hAnsi="Times New Roman" w:cs="Times New Roman"/>
          <w:kern w:val="0"/>
          <w:sz w:val="24"/>
          <w:szCs w:val="24"/>
        </w:rPr>
        <w:t>tumor</w:t>
      </w:r>
      <w:proofErr w:type="spellEnd"/>
      <w:r w:rsidR="00182AA9">
        <w:rPr>
          <w:rFonts w:ascii="Times New Roman" w:hAnsi="Times New Roman" w:cs="Times New Roman"/>
          <w:kern w:val="0"/>
          <w:sz w:val="24"/>
          <w:szCs w:val="24"/>
        </w:rPr>
        <w:t xml:space="preserve"> </w:t>
      </w:r>
      <w:r w:rsidR="00182AA9" w:rsidRPr="00182AA9">
        <w:rPr>
          <w:rFonts w:ascii="Times New Roman" w:hAnsi="Times New Roman" w:cs="Times New Roman"/>
          <w:kern w:val="0"/>
          <w:sz w:val="24"/>
          <w:szCs w:val="24"/>
          <w:highlight w:val="yellow"/>
        </w:rPr>
        <w:fldChar w:fldCharType="begin"/>
      </w:r>
      <w:r w:rsidR="0095240E">
        <w:rPr>
          <w:rFonts w:ascii="Times New Roman" w:hAnsi="Times New Roman" w:cs="Times New Roman"/>
          <w:kern w:val="0"/>
          <w:sz w:val="24"/>
          <w:szCs w:val="24"/>
          <w:highlight w:val="yellow"/>
        </w:rPr>
        <w:instrText xml:space="preserve"> ADDIN ZOTERO_ITEM CSL_CITATION {"citationID":"FJ6MNzQm","properties":{"formattedCitation":"(Teke K\\uc0\\u305{}sa &amp; Emir, 2021)","plainCitation":"(Teke Kısa &amp; Emir, 2021)","noteIndex":0},"citationItems":[{"id":1459,"uris":["http://zotero.org/users/15401920/items/GVW2WVS8"],"itemData":{"id":1459,"type":"article-journal","abstract":"Objective\nAs the survival rates in children with cancer reach up to 80%, this improvement in survival increases the number of patients under follow-up. After cancer treatment is completed, patients are taken to follow-up surveillance to ensure the early detection of recurrence and the late effects of treatments. The frequency and necessity of surveillance screening tests are controversial. This study aimed to assess the efficacy of surveillance screening in the detection of recurrence.\n\nMaterial and methods\nThe files of 533 children who were diagnosed as having cancer at our pediatric oncology clinic between 2004 and 2013 were retrospectively evaluated. We looked at outcomes after recurrence, the timing and pattern of recurrence, the presence of symptoms during recurrence, physical examination findings, tumor marker levels, laboratory findings, and radiologic tests.\n\nResults\nOf the 63 patients with recurrence, 23 were symptomatic and 40 were asymptomatic at the time of the recurrence. Tumor location and time of the recurrence did not affect the post recurrence survival. The median post-recurrence survival for patients was 13 (range, 1–98) months. The median post-relapse survival was 10 (range, 1–73) months in patients with symptomatic recurrence, and 16 (range, 1–98) months in patients with asymptomatic recurrence. It was determined that patients in whom recurrence was identified with surveillance tests had longer post-relapse survival time. The 5-year survival rate of 23 patients with symptomatic recurrence was 12.2%; this rate was 49.5% in asymptomatic patients (p&lt;0.05).\n\nConclusions\nIt should be considered that surveillance testing offers the benefit of prolonging post recurrence survival.","container-title":"Turkish Archives of Pediatrics","DOI":"10.14744/TurkPediatriArs.2020.38243","ISSN":"2757-6256","issue":"2","journalAbbreviation":"Turk Arch Pediatr","note":"PMID: 34286325\nPMCID: PMC8269942","page":"147-151","source":"PubMed Central","title":"Role of surveillance screening in detecting tumor recurrence after treatment of childhood cancers","volume":"56","author":[{"family":"Teke Kısa","given":"Pelin"},{"family":"Emir","given":"Suna"}],"issued":{"date-parts":[["2021",1,6]]}}}],"schema":"https://github.com/citation-style-language/schema/raw/master/csl-citation.json"} </w:instrText>
      </w:r>
      <w:r w:rsidR="00182AA9" w:rsidRPr="00182AA9">
        <w:rPr>
          <w:rFonts w:ascii="Times New Roman" w:hAnsi="Times New Roman" w:cs="Times New Roman"/>
          <w:kern w:val="0"/>
          <w:sz w:val="24"/>
          <w:szCs w:val="24"/>
          <w:highlight w:val="yellow"/>
        </w:rPr>
        <w:fldChar w:fldCharType="separate"/>
      </w:r>
      <w:r w:rsidR="0095240E" w:rsidRPr="0095240E">
        <w:rPr>
          <w:rFonts w:ascii="Times New Roman" w:hAnsi="Times New Roman" w:cs="Times New Roman"/>
          <w:kern w:val="0"/>
          <w:sz w:val="24"/>
          <w:szCs w:val="24"/>
        </w:rPr>
        <w:t>(</w:t>
      </w:r>
      <w:proofErr w:type="spellStart"/>
      <w:r w:rsidR="0095240E" w:rsidRPr="0095240E">
        <w:rPr>
          <w:rFonts w:ascii="Times New Roman" w:hAnsi="Times New Roman" w:cs="Times New Roman"/>
          <w:kern w:val="0"/>
          <w:sz w:val="24"/>
          <w:szCs w:val="24"/>
        </w:rPr>
        <w:t>Teke</w:t>
      </w:r>
      <w:proofErr w:type="spellEnd"/>
      <w:r w:rsidR="0095240E" w:rsidRPr="0095240E">
        <w:rPr>
          <w:rFonts w:ascii="Times New Roman" w:hAnsi="Times New Roman" w:cs="Times New Roman"/>
          <w:kern w:val="0"/>
          <w:sz w:val="24"/>
          <w:szCs w:val="24"/>
        </w:rPr>
        <w:t xml:space="preserve"> </w:t>
      </w:r>
      <w:proofErr w:type="spellStart"/>
      <w:r w:rsidR="0095240E" w:rsidRPr="0095240E">
        <w:rPr>
          <w:rFonts w:ascii="Times New Roman" w:hAnsi="Times New Roman" w:cs="Times New Roman"/>
          <w:kern w:val="0"/>
          <w:sz w:val="24"/>
          <w:szCs w:val="24"/>
        </w:rPr>
        <w:t>Kısa</w:t>
      </w:r>
      <w:proofErr w:type="spellEnd"/>
      <w:r w:rsidR="0095240E" w:rsidRPr="0095240E">
        <w:rPr>
          <w:rFonts w:ascii="Times New Roman" w:hAnsi="Times New Roman" w:cs="Times New Roman"/>
          <w:kern w:val="0"/>
          <w:sz w:val="24"/>
          <w:szCs w:val="24"/>
        </w:rPr>
        <w:t xml:space="preserve"> &amp; Emir, 2021)</w:t>
      </w:r>
      <w:r w:rsidR="00182AA9" w:rsidRPr="00182AA9">
        <w:rPr>
          <w:rFonts w:ascii="Times New Roman" w:hAnsi="Times New Roman" w:cs="Times New Roman"/>
          <w:kern w:val="0"/>
          <w:sz w:val="24"/>
          <w:szCs w:val="24"/>
          <w:highlight w:val="yellow"/>
        </w:rPr>
        <w:fldChar w:fldCharType="end"/>
      </w:r>
      <w:r w:rsidR="00AC3AD9">
        <w:rPr>
          <w:rFonts w:ascii="Times New Roman" w:hAnsi="Times New Roman" w:cs="Times New Roman"/>
          <w:kern w:val="0"/>
          <w:sz w:val="24"/>
          <w:szCs w:val="24"/>
        </w:rPr>
        <w:t xml:space="preserve">. Despite all of the benefits, the cost and accessibility of the MRI modality make it difficult to utilize. MRI artifacts also play a significant role in making it challenging </w:t>
      </w:r>
      <w:r w:rsidR="00AC3AD9">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{"citationID":"Zd20hrTz","properties":{"formattedCitation":"(Krupa &amp; Bekiesi\\uc0\\u324{}ska-Figatowska, 2015)","plainCitation":"(Krupa &amp; Bekiesińska-Figatowska, 2015)","noteIndex":0},"citationItems":[{"id":"p7zULTu6/hALPfPX3","uris":["http://zotero.org/users/16274399/items/WII89HXU"],"itemData":{"id":127,"type":"article-journal","abstract":"Artifacts in magnetic resonance imaging and foreign bodies within the patient’s body may be confused with a pathology or may reduce the quality of examinations. Radiologists are frequently not informed about the medical history of patients and face postoperative/other images they are not familiar with. A gallery of such images was presented in this manuscript. A truncation artifact in the spinal cord could be misinterpreted as a syrinx. Motion artifacts caused by breathing, cardiac movement, CSF pulsation/blood flow create a ghost artifact which can be reduced by patient immobilization, or cardiac/respiratory gating. Aliasing artifacts can be eliminated by increasing the field of view. An artificially hyperintense signal on FLAIR images can result from magnetic susceptibility artifacts, CSF/vascular pulsation, motion, but can also be found in patients undergoing MRI examinations while receiving supplemental oxygen. Metallic and other foreign bodies which may be found on and in patients’ bodies are the main group of artifacts and these are the focus of this study: e.g. make-up, tattoos, hairbands, clothes, endovascular embolization, prostheses, surgical clips, intraorbital and other medical implants, etc. Knowledge of different types of artifacts and their origin, and of possible foreign bodies is necessary to eliminate them or to reduce their negative influence on MR images by adjusting acquisition parameters. It is also necessary to take them into consideration when interpreting the images. Some proposals of reducing artifacts have been mentioned. Describing in detail the procedures to avoid or limit the artifacts would go beyond the scope of this paper but technical ways to reduce them can be found in the cited literature.","container-title":"Polish Journal of Radiology","DOI":"10.12659/PJR.892628","ISSN":"1733-134X","journalAbbreviation":"Pol J Radiol","note":"PMID: 25745524\nPMCID: PMC4340093","page":"93-106","source":"PubMed Central","title":"Artifacts in Magnetic Resonance Imaging","volume":"80","author":[{"family":"Krupa","given":"Katarzyna"},{"family":"Bekiesińska-Figatowska","given":"Monika"}],"issued":{"date-parts":[["2015",2,23]]}}}],"schema":"https://github.com/citation-style-language/schema/raw/master/csl-citation.json"} </w:instrText>
      </w:r>
      <w:r w:rsidR="00AC3AD9">
        <w:rPr>
          <w:rFonts w:ascii="Times New Roman" w:hAnsi="Times New Roman" w:cs="Times New Roman"/>
          <w:kern w:val="0"/>
          <w:sz w:val="24"/>
          <w:szCs w:val="24"/>
        </w:rPr>
        <w:fldChar w:fldCharType="separate"/>
      </w:r>
      <w:r w:rsidR="0095240E" w:rsidRPr="0095240E">
        <w:rPr>
          <w:rFonts w:ascii="Times New Roman" w:hAnsi="Times New Roman" w:cs="Times New Roman"/>
          <w:kern w:val="0"/>
          <w:sz w:val="24"/>
          <w:szCs w:val="24"/>
        </w:rPr>
        <w:t>(Krupa &amp; Bekiesińska-Figatowska, 2015)</w:t>
      </w:r>
      <w:r w:rsidR="00AC3AD9">
        <w:rPr>
          <w:rFonts w:ascii="Times New Roman" w:hAnsi="Times New Roman" w:cs="Times New Roman"/>
          <w:kern w:val="0"/>
          <w:sz w:val="24"/>
          <w:szCs w:val="24"/>
        </w:rPr>
        <w:fldChar w:fldCharType="end"/>
      </w:r>
      <w:r w:rsidR="00AC3AD9">
        <w:rPr>
          <w:rFonts w:ascii="Times New Roman" w:hAnsi="Times New Roman" w:cs="Times New Roman"/>
          <w:kern w:val="0"/>
          <w:sz w:val="24"/>
          <w:szCs w:val="24"/>
        </w:rPr>
        <w:t>.</w:t>
      </w:r>
      <w:r w:rsidR="00A45358">
        <w:rPr>
          <w:rFonts w:ascii="Times New Roman" w:hAnsi="Times New Roman" w:cs="Times New Roman"/>
          <w:kern w:val="0"/>
          <w:sz w:val="24"/>
          <w:szCs w:val="24"/>
        </w:rPr>
        <w:t xml:space="preserve"> </w:t>
      </w:r>
      <w:r w:rsidR="00A45358" w:rsidRPr="00A45358">
        <w:rPr>
          <w:rFonts w:ascii="Times New Roman" w:hAnsi="Times New Roman" w:cs="Times New Roman"/>
          <w:kern w:val="0"/>
          <w:sz w:val="24"/>
          <w:szCs w:val="24"/>
        </w:rPr>
        <w:t xml:space="preserve">fMRI with Arterial Spin </w:t>
      </w:r>
      <w:proofErr w:type="spellStart"/>
      <w:r w:rsidR="00A45358" w:rsidRPr="00A45358">
        <w:rPr>
          <w:rFonts w:ascii="Times New Roman" w:hAnsi="Times New Roman" w:cs="Times New Roman"/>
          <w:kern w:val="0"/>
          <w:sz w:val="24"/>
          <w:szCs w:val="24"/>
        </w:rPr>
        <w:t>Labeling</w:t>
      </w:r>
      <w:proofErr w:type="spellEnd"/>
      <w:r w:rsidR="00A45358" w:rsidRPr="00A45358">
        <w:rPr>
          <w:rFonts w:ascii="Times New Roman" w:hAnsi="Times New Roman" w:cs="Times New Roman"/>
          <w:kern w:val="0"/>
          <w:sz w:val="24"/>
          <w:szCs w:val="24"/>
        </w:rPr>
        <w:t xml:space="preserve"> (ASL) can assess cerebral blood flow (CBF) in narcoleptic patients, giving insights into regional brain dysfunction</w:t>
      </w:r>
      <w:r w:rsidR="00A45358">
        <w:rPr>
          <w:rFonts w:ascii="Times New Roman" w:hAnsi="Times New Roman" w:cs="Times New Roman"/>
          <w:kern w:val="0"/>
          <w:sz w:val="24"/>
          <w:szCs w:val="24"/>
        </w:rPr>
        <w:t xml:space="preserve"> </w:t>
      </w:r>
      <w:r w:rsidR="00A45358">
        <w:rPr>
          <w:rFonts w:ascii="Times New Roman" w:hAnsi="Times New Roman" w:cs="Times New Roman"/>
          <w:kern w:val="0"/>
          <w:sz w:val="24"/>
          <w:szCs w:val="24"/>
        </w:rPr>
        <w:fldChar w:fldCharType="begin"/>
      </w:r>
      <w:r w:rsidR="0095240E">
        <w:rPr>
          <w:rFonts w:ascii="Times New Roman" w:hAnsi="Times New Roman" w:cs="Times New Roman"/>
          <w:kern w:val="0"/>
          <w:sz w:val="24"/>
          <w:szCs w:val="24"/>
        </w:rPr>
        <w:instrText xml:space="preserve"> ADDIN ZOTERO_ITEM CSL_CITATION {"citationID":"tQQg0yNq","properties":{"formattedCitation":"(Akram et al., 2025; Yadav et al., 2025)","plainCitation":"(Akram et al., 2025; Yadav et al., 2025)","noteIndex":0},"citationItems":[{"id":1411,"uris":["http://zotero.org/users/15401920/items/YXEPADVD"],"itemData":{"id":1411,"type":"article-journal","container-title":"Journal of Cancer and Tumor International","DOI":"10.9734/jcti/2025/v15i3301","ISSN":"2454-7360","issue":"3","language":"en","page":"43-60","source":"journaljcti.com","title":"Clinical Significance of CT and MR Perfusion Imaging in Cancer Diagnosis: Techniques, Parameters, and Diagnostic Implications","title-short":"Clinical Significance of CT and MR Perfusion Imaging in Cancer Diagnosis","volume":"15","author":[{"family":"Akram","given":"Zeeshan"},{"family":"Faraz","given":"Mohd"},{"family":"Nigar","given":"Afshan"},{"family":"Parveen","given":"Rushda"},{"family":"Khan","given":"Nimra"},{"family":"Anwer","given":"Md Rashid"},{"family":"Farooqui","given":"Adeeba"},{"family":"Zameer","given":"Saqib"}],"issued":{"date-parts":[["2025",6,28]]}}},{"id":1335,"uris":["http://zotero.org/users/15401920/items/WR6UWQPL"],"itemData":{"id":1335,"type":"article-journal","container-title":"International Journal of Biochemistry Research &amp; Review","DOI":"10.9734/ijbcrr/2025/v34i1951","ISSN":"2231-086X","issue":"1","language":"en","page":"76-102","source":"journalijbcrr.com","title":"In Silico Screening of Rauwolfia Serpentina Phytochemicals as Orexin Receptor-2 Agonists for the Management of Narcolepsy","volume":"34","author":[{"family":"Yadav","given":"Pawan"},{"family":"Azram","given":"Mohammad"},{"family":"Faraz","given":"Mohd"},{"family":"Nadeem","given":""},{"family":"Abbas","given":"Kashif"},{"family":"Mustafa","given":"Mohd"},{"family":"Alam","given":"Mudassir"},{"family":"Khan","given":"Sarfaraz"}],"issued":{"date-parts":[["2025",2,3]]}}}],"schema":"https://github.com/citation-style-language/schema/raw/master/csl-citation.json"} </w:instrText>
      </w:r>
      <w:r w:rsidR="00A45358">
        <w:rPr>
          <w:rFonts w:ascii="Times New Roman" w:hAnsi="Times New Roman" w:cs="Times New Roman"/>
          <w:kern w:val="0"/>
          <w:sz w:val="24"/>
          <w:szCs w:val="24"/>
        </w:rPr>
        <w:fldChar w:fldCharType="separate"/>
      </w:r>
      <w:r w:rsidR="0095240E" w:rsidRPr="0095240E">
        <w:rPr>
          <w:rFonts w:ascii="Times New Roman" w:hAnsi="Times New Roman" w:cs="Times New Roman"/>
          <w:sz w:val="24"/>
        </w:rPr>
        <w:t>(Akram et al., 2025; Yadav et al., 2025)</w:t>
      </w:r>
      <w:r w:rsidR="00A45358">
        <w:rPr>
          <w:rFonts w:ascii="Times New Roman" w:hAnsi="Times New Roman" w:cs="Times New Roman"/>
          <w:kern w:val="0"/>
          <w:sz w:val="24"/>
          <w:szCs w:val="24"/>
        </w:rPr>
        <w:fldChar w:fldCharType="end"/>
      </w:r>
      <w:r w:rsidR="00A45358">
        <w:rPr>
          <w:rFonts w:ascii="Times New Roman" w:hAnsi="Times New Roman" w:cs="Times New Roman"/>
          <w:kern w:val="0"/>
          <w:sz w:val="24"/>
          <w:szCs w:val="24"/>
        </w:rPr>
        <w:t>.</w:t>
      </w:r>
    </w:p>
    <w:p w14:paraId="2D3AC250" w14:textId="77777777" w:rsidR="0035583F" w:rsidRDefault="00FB0430">
      <w:pPr>
        <w:pStyle w:val="ListParagraph"/>
        <w:spacing w:line="360" w:lineRule="auto"/>
        <w:ind w:left="0"/>
        <w:jc w:val="both"/>
        <w:rPr>
          <w:rFonts w:ascii="Times New Roman" w:hAnsi="Times New Roman" w:cs="Times New Roman"/>
          <w:kern w:val="0"/>
          <w:sz w:val="24"/>
          <w:szCs w:val="24"/>
        </w:rPr>
      </w:pPr>
      <w:r>
        <w:rPr>
          <w:rFonts w:ascii="Times New Roman" w:hAnsi="Times New Roman" w:cs="Times New Roman"/>
          <w:b/>
          <w:bCs/>
          <w:noProof/>
          <w:sz w:val="24"/>
          <w:szCs w:val="24"/>
        </w:rPr>
        <w:drawing>
          <wp:inline distT="0" distB="0" distL="0" distR="0" wp14:anchorId="494049FD" wp14:editId="30A98443">
            <wp:extent cx="5731510" cy="3209925"/>
            <wp:effectExtent l="57150" t="19050" r="59690" b="104775"/>
            <wp:docPr id="414777484" name="Picture 4" descr="A diagram of a cancer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7484" name="Picture 4" descr="A diagram of a cancer patien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l="5318" r="1050" b="6830"/>
                    <a:stretch>
                      <a:fillRect/>
                    </a:stretch>
                  </pic:blipFill>
                  <pic:spPr>
                    <a:xfrm>
                      <a:off x="0" y="0"/>
                      <a:ext cx="5731510" cy="321009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23D43B7" w14:textId="4E612699" w:rsidR="0035583F" w:rsidRPr="009B07E8" w:rsidRDefault="00FB0430" w:rsidP="008B76E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B76E5">
        <w:rPr>
          <w:rFonts w:ascii="Times New Roman" w:hAnsi="Times New Roman" w:cs="Times New Roman"/>
          <w:b/>
          <w:bCs/>
          <w:sz w:val="20"/>
          <w:szCs w:val="20"/>
        </w:rPr>
        <w:t xml:space="preserve">  </w:t>
      </w:r>
      <w:r w:rsidR="006A3DD4" w:rsidRPr="009B07E8">
        <w:rPr>
          <w:rFonts w:ascii="Times New Roman" w:hAnsi="Times New Roman" w:cs="Times New Roman"/>
          <w:b/>
          <w:bCs/>
          <w:sz w:val="24"/>
          <w:szCs w:val="24"/>
        </w:rPr>
        <w:t>Fig</w:t>
      </w:r>
      <w:r w:rsidR="00A45358">
        <w:rPr>
          <w:rFonts w:ascii="Times New Roman" w:hAnsi="Times New Roman" w:cs="Times New Roman"/>
          <w:b/>
          <w:bCs/>
          <w:sz w:val="24"/>
          <w:szCs w:val="24"/>
        </w:rPr>
        <w:t>.</w:t>
      </w:r>
      <w:r w:rsidRPr="009B07E8">
        <w:rPr>
          <w:rFonts w:ascii="Times New Roman" w:hAnsi="Times New Roman" w:cs="Times New Roman"/>
          <w:b/>
          <w:bCs/>
          <w:sz w:val="24"/>
          <w:szCs w:val="24"/>
        </w:rPr>
        <w:t xml:space="preserve"> 2</w:t>
      </w:r>
      <w:r w:rsidR="009B07E8" w:rsidRPr="009B07E8">
        <w:rPr>
          <w:rFonts w:ascii="Times New Roman" w:hAnsi="Times New Roman" w:cs="Times New Roman"/>
          <w:b/>
          <w:bCs/>
          <w:sz w:val="24"/>
          <w:szCs w:val="24"/>
        </w:rPr>
        <w:t xml:space="preserve">. </w:t>
      </w:r>
      <w:r w:rsidRPr="009B07E8">
        <w:rPr>
          <w:rFonts w:ascii="Times New Roman" w:hAnsi="Times New Roman" w:cs="Times New Roman"/>
          <w:sz w:val="24"/>
          <w:szCs w:val="24"/>
        </w:rPr>
        <w:t xml:space="preserve">Depicts the classification of different stages of cancer using the TNM method. </w:t>
      </w:r>
    </w:p>
    <w:p w14:paraId="52DE1AAD" w14:textId="77777777" w:rsidR="00E67D45" w:rsidRPr="009B07E8" w:rsidRDefault="00E67D45" w:rsidP="008B76E5">
      <w:pPr>
        <w:pStyle w:val="ListParagraph"/>
        <w:spacing w:line="240" w:lineRule="auto"/>
        <w:ind w:left="0"/>
        <w:jc w:val="both"/>
        <w:rPr>
          <w:rFonts w:ascii="Times New Roman" w:hAnsi="Times New Roman" w:cs="Times New Roman"/>
          <w:sz w:val="24"/>
          <w:szCs w:val="24"/>
        </w:rPr>
      </w:pPr>
    </w:p>
    <w:p w14:paraId="4682246D" w14:textId="77777777" w:rsidR="0035583F" w:rsidRDefault="0035583F">
      <w:pPr>
        <w:pStyle w:val="ListParagraph"/>
        <w:spacing w:line="360" w:lineRule="auto"/>
        <w:ind w:left="0"/>
        <w:jc w:val="both"/>
        <w:rPr>
          <w:rFonts w:ascii="Times New Roman" w:hAnsi="Times New Roman" w:cs="Times New Roman"/>
          <w:b/>
          <w:bCs/>
          <w:sz w:val="16"/>
          <w:szCs w:val="16"/>
        </w:rPr>
      </w:pPr>
    </w:p>
    <w:p w14:paraId="09BC3B59" w14:textId="585657CC"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4. Advances in CT scan and MRI technologies for cancer detection </w:t>
      </w:r>
    </w:p>
    <w:p w14:paraId="55361A66" w14:textId="497A08AF" w:rsidR="004061FE" w:rsidRDefault="00FB043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Advances in CT scan and MRI technologies provide superior safety, dependability, and high resolution for the diagnosis, treatment, and management of complicated patients of cancer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{"citationID":"rmYf466L","properties":{"formattedCitation":"(Hussain et al., 2022)","plainCitation":"(Hussain et al., 2022)","noteIndex":0},"citationItems":[{"id":"p7zULTu6/XCdRXgBx","uris":["http://zotero.org/users/16274399/items/JWCDGT3K"],"itemData":{"id":140,"type":"article-journal","abstract":"Medical imaging is the process of visual representation of different tissues and organs of the human body to monitor the normal and abnormal anatomy and physiology of the body. There are many medical imaging techniques used for this purpose such as X-ray, computed tomography (CT), positron emission tomography (PET), magnetic resonance imaging (MRI), single-photon emission computed tomography (SPECT), digital mammography, and diagnostic sonography. These advanced medical imaging techniques have many applications in the diagnosis of myocardial diseases, cancer of different tissues, neurological disorders, congenital heart disease, abdominal illnesses, complex bone fractures, and other serious medical conditions. There are benefits as well as some risks to every imaging technique. There are some steps for minimizing the radiation exposure risks from imaging techniques. Advance medical imaging modalities such as PET/CT hybrid, three-dimensional ultrasound computed tomography (3D USCT), and simultaneous PET/MRI give high resolution, better reliability, and safety to diagnose, treat, and manage complex patient abnormalities. These techniques ensure the production of new accurate imaging tools with improving resolution, sensitivity, and specificity. In the future, with mounting innovations and advancements in technology systems, the medical diagnostic field will become a field of regular measurement of various complex diseases and will provide healthcare solutions.","container-title":"BioMed Research International","DOI":"10.1155/2022/5164970","ISSN":"2314-6141","issue":"1","language":"en","license":"Copyright © 2022 Shah Hussain et al.","note":"_eprint: https://onlinelibrary.wiley.com/doi/pdf/10.1155/2022/5164970","page":"5164970","source":"Wiley Online Library","title":"Modern Diagnostic Imaging Technique Applications and Risk Factors in the Medical Field: A Review","title-short":"Modern Diagnostic Imaging Technique Applications and Risk Factors in the Medical Field","volume":"2022","author":[{"family":"Hussain","given":"Shah"},{"family":"Mubeen","given":"Iqra"},{"family":"Ullah","given":"Niamat"},{"family":"Shah","given":"Syed Shahab Ud Din"},{"family":"Khan","given":"Bakhtawar Abduljalil"},{"family":"Zahoor","given":"Muhammad"},{"family":"Ullah","given":"Riaz"},{"family":"Khan","given":"Farhat Ali"},{"family":"Sultan","given":"Mujeeb A."}],"issued":{"date-parts":[["2022"]]}}}],"schema":"https://github.com/citation-style-language/schema/raw/master/csl-citation.json"}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(Hussain et al., 2022)</w:t>
      </w:r>
      <w:r>
        <w:rPr>
          <w:rFonts w:ascii="Times New Roman" w:hAnsi="Times New Roman" w:cs="Times New Roman"/>
          <w:sz w:val="24"/>
          <w:szCs w:val="24"/>
        </w:rPr>
        <w:fldChar w:fldCharType="end"/>
      </w:r>
      <w:r>
        <w:rPr>
          <w:rFonts w:ascii="Times New Roman" w:hAnsi="Times New Roman" w:cs="Times New Roman"/>
          <w:sz w:val="24"/>
          <w:szCs w:val="24"/>
        </w:rPr>
        <w:t>. DECT, CT Perfusion, single photon emission computed tomography-CT (SPECT-CT), and PET-CT are some advances in CT scan technology. DWI, MRS, Magnetic Resonance Perfusion (MR Perfusion), and PET-MRI are some advances in MRI.</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 xml:space="preserve">These techniques facilitate the development of novel, accurate imaging devices with improved sensitivity, resolution, and specificity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{"citationID":"4WarUKVc","properties":{"formattedCitation":"(Hussain et al., 2022)","plainCitation":"(Hussain et al., 2022)","noteIndex":0},"citationItems":[{"id":"p7zULTu6/XCdRXgBx","uris":["http://zotero.org/users/16274399/items/JWCDGT3K"],"itemData":{"id":140,"type":"article-journal","abstract":"Medical imaging is the process of visual representation of different tissues and organs of the human body to monitor the normal and abnormal anatomy and physiology of the body. There are many medical imaging techniques used for this purpose such as X-ray, computed tomography (CT), positron emission tomography (PET), magnetic resonance imaging (MRI), single-photon emission computed tomography (SPECT), digital mammography, and diagnostic sonography. These advanced medical imaging techniques have many applications in the diagnosis of myocardial diseases, cancer of different tissues, neurological disorders, congenital heart disease, abdominal illnesses, complex bone fractures, and other serious medical conditions. There are benefits as well as some risks to every imaging technique. There are some steps for minimizing the radiation exposure risks from imaging techniques. Advance medical imaging modalities such as PET/CT hybrid, three-dimensional ultrasound computed tomography (3D USCT), and simultaneous PET/MRI give high resolution, better reliability, and safety to diagnose, treat, and manage complex patient abnormalities. These techniques ensure the production of new accurate imaging tools with improving resolution, sensitivity, and specificity. In the future, with mounting innovations and advancements in technology systems, the medical diagnostic field will become a field of regular measurement of various complex diseases and will provide healthcare solutions.","container-title":"BioMed Research International","DOI":"10.1155/2022/5164970","ISSN":"2314-6141","issue":"1","language":"en","license":"Copyright © 2022 Shah Hussain et al.","note":"_eprint: https://onlinelibrary.wiley.com/doi/pdf/10.1155/2022/5164970","page":"5164970","source":"Wiley Online Library","title":"Modern Diagnostic Imaging Technique Applications and Risk Factors in the Medical Field: A Review","title-short":"Modern Diagnostic Imaging Technique Applications and Risk Factors in the Medical Field","volume":"2022","author":[{"family":"Hussain","given":"Shah"},{"family":"Mubeen","given":"Iqra"},{"family":"Ullah","given":"Niamat"},{"family":"Shah","given":"Syed Shahab Ud Din"},{"family":"Khan","given":"Bakhtawar Abduljalil"},{"family":"Zahoor","given":"Muhammad"},{"family":"Ullah","given":"Riaz"},{"family":"Khan","given":"Farhat Ali"},{"family":"Sultan","given":"Mujeeb A."}],"issued":{"date-parts":[["2022"]]}},"label":"page"}],"schema":"https://github.com/citation-style-language/schema/raw/master/csl-citation.json"}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(Hussain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DECT uses two different X-ray energies to acquire images simultaneously (lower energy of 80 kV and higher energy of 120 kV) at different angles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{"citationID":"xOKTEpZR","properties":{"formattedCitation":"(Forghani et al., 2017)","plainCitation":"(Forghani et al., 2017)","noteIndex":0},"citationItems":[{"id":"p7zULTu6/Ru7S4FIO","uris":["http://zotero.org/users/16274399/items/ERMM352C"],"itemData":{"id":143,"type":"article-journal","collection-title":"Dual Energy CT: Applications in Head and Neck and Neurologic Imaging","container-title":"Neuroimaging Clinics of North America","DOI":"10.1016/j.nic.2017.03.002","ISSN":"1052-5149","issue":"3","journalAbbreviation":"Neuroimaging Clinics of North America","page":"371-384","source":"ScienceDirect","title":"Dual-Energy Computed Tomography: Physical Principles, Approaches to Scanning, Usage, and Implementation: Part 1","title-short":"Dual-Energy Computed Tomography","volume":"27","author":[{"family":"Forghani","given":"Reza"},{"family":"De Man","given":"Bruno"},{"family":"Gupta","given":"Rajiv"}],"issued":{"date-parts":[["2017",8,1]]}}}],"schema":"https://github.com/citation-style-language/schema/raw/master/csl-citation.json"}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(Forghani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The use of dual-energy beam settings enhances tissue contrast, thus providing more accurate and reliable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characterization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{"citationID":"XhV3Y1Ek","properties":{"formattedCitation":"(Foti et al., 2024)","plainCitation":"(Foti et al., 2024)","noteIndex":0},"citationItems":[{"id":"p7zULTu6/Y6hh6jsR","uris":["http://zotero.org/users/16274399/items/UI8MWQ3K"],"itemData":{"id":147,"type":"article-journal","abstract":"Dual-energy CT (DECT) is an innovative technology that is increasingly widespread in clinical practice. DECT allows for tissue characterization beyond that of conventional CT as imaging is performed using different energy spectra that can help differentiate tissues based on their specific attenuation properties at different X-ray energies. The most employed post-processing applications of DECT include virtual monoenergetic images (VMIs), iodine density maps, virtual non-contrast images (VNC), and virtual non-calcium (VNCa) for bone marrow edema (BME) detection. The diverse array of images obtained through DECT acquisitions offers numerous benefits, including enhanced lesion detection and characterization, precise determination of material composition, decreased iodine dose, and reduced artifacts. These versatile applications play an increasingly significant role in tumor assessment and oncologic imaging, encompassing the diagnosis of primary tumors, local and metastatic staging, post-therapy evaluation, and complication management. This article provides a comprehensive review of the principal applications and post-processing techniques of DECT, with a specific focus on its utility in managing oncologic patients.","container-title":"Tomography","DOI":"10.3390/tomography10030024","ISSN":"2379-139X","issue":"3","language":"en","license":"http://creativecommons.org/licenses/by/3.0/","note":"number: 3\npublisher: Multidisciplinary Digital Publishing Institute","page":"299-319","source":"www.mdpi.com","title":"Dual-Energy CT in Oncologic Imaging","volume":"10","author":[{"family":"Foti","given":"Giovanni"},{"family":"Ascenti","given":"Giorgio"},{"family":"Agostini","given":"Andrea"},{"family":"Longo","given":"Chiara"},{"family":"Lombardo","given":"Fabio"},{"family":"Inno","given":"Alessandro"},{"family":"Modena","given":"Alessandra"},{"family":"Gori","given":"Stefania"}],"issued":{"date-parts":[["2024",3]]}}}],"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w:t>
      </w:r>
      <w:proofErr w:type="spellStart"/>
      <w:r w:rsidR="0095240E" w:rsidRPr="0095240E">
        <w:rPr>
          <w:rFonts w:ascii="Times New Roman" w:hAnsi="Times New Roman" w:cs="Times New Roman"/>
          <w:sz w:val="24"/>
        </w:rPr>
        <w:t>Foti</w:t>
      </w:r>
      <w:proofErr w:type="spellEnd"/>
      <w:r w:rsidR="0095240E" w:rsidRPr="0095240E">
        <w:rPr>
          <w:rFonts w:ascii="Times New Roman" w:hAnsi="Times New Roman" w:cs="Times New Roman"/>
          <w:sz w:val="24"/>
        </w:rPr>
        <w:t xml:space="preserve">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Additionally, this program can identify and eliminate chemical compounds such as metals, calcium, and iodine-based on their atomic number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{"citationID":"bzEihuqq","properties":{"formattedCitation":"(Yu et al., 2012)","plainCitation":"(Yu et al., 2012)","noteIndex":0},"citationItems":[{"id":"p7zULTu6/Pbm9l2Is","uris":["http://zotero.org/users/16274399/items/ZGYV6VGF"],"itemData":{"id":149,"type":"article-journal","abstract":"OBJECTIVE. We summarize how virtual monochromatic images are synthesized from dual-energy CT using image-domain and projection-domain methods. The quality of virtual monochromatic images is compared with that of polychromatic single-energy images acquired at different tube potentials and the same radiation dose. Clinical applications of dual-energy CT–based virtual monochromatic imaging are reviewed, including beam-hardening correction, contrast and noise optimization, metal artifact reduction, and material differentiation.CONCLUSION. Virtual monochromatic images synthesized from dual-energy CT data have the potential to reduce beam-hardening artifacts and to provide quantitative measurements. If there is no desire to obtain material-specific information or to correct for metal or beam-hardening artifacts from the dual-energy data, however, it is better to perform a conventional single-energy scan at the optimal tube potential.","container-title":"American Journal of Roentgenology","DOI":"10.2214/AJR.12.9121","ISSN":"0361-803X","issue":"5_supplement","note":"publisher: American Roentgen Ray Society","page":"S9-S15","source":"ajronline.org (Atypon)","title":"Dual-Energy CT–Based Monochromatic Imaging","volume":"199","author":[{"family":"Yu","given":"Lifeng"},{"family":"Leng","given":"Shuai"},{"family":"McCollough","given":"Cynthia H."}],"issued":{"date-parts":[["2012",11]]}}}],"schema":"https://github.com/citation-style-language/schema/raw/master/csl-citation.json"}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(Yu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This helps to rule out many problems in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characterization such as identifying even a minimal amount of iodine or calcium in any lesion, which is possible due to low-energy photon acquisition. The perfusion imaging technique helps to assess the flow of blood within the microvasculature of the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{"citationID":"37qW4jM1","properties":{"formattedCitation":"(Aziz et al., 2022)","plainCitation":"(Aziz et al., 2022)","noteIndex":0},"citationItems":[{"id":"p7zULTu6/TZ0I7TCI","uris":["http://zotero.org/users/16274399/items/AXYCFM4S"],"itemData":{"id":151,"type":"article-journal","abstract":"Vascular imaging with color and power Doppler is a useful tool in the assessment\nof various disease processes. Assessment of blood flow, from infarction and\nischemia to hyperemia, in organs, neoplasms, and vessels, is used in nearly\nevery US investigation. Recent developments in this area are sensitive to\nsmall-vessel low velocity flow without use of intravenous contrast agents, known\nas microvascular flow imaging (MVFI). MVFI is more sensitive in detection of\nsmall vessels than color, power, and spectral Doppler, reducing the need for\nfollow-up contrast-enhanced US (CEUS), CT, and MRI, except when arterial and\nvenous wash-in and washout characteristics would be helpful in diagnosis.\nVarying clinical applications of MVFI are reviewed in adult and pediatric\npopulations, including its technical underpinnings. MVFI shows promise in\nassessment of several conditions including benign and malignant lesions in the\nliver and kidney, acute pathologic abnormalities in the gallbladder and testes,\nand superficial lymph nodes. Future potential of MVFI in different conditions\n(eg, endovascular repair) is discussed. Finally, clinical cases in which MVFI\ncorrelated and potentially obviated additional CEUS, CT, or MRI are shown., © RSNA, 2022","container-title":"Radiology","DOI":"10.1148/radiol.213303","ISSN":"0033-8419","issue":"2","journalAbbreviation":"Radiology","note":"PMID: 36165794\nPMCID: PMC9619200","page":"250-264","source":"PubMed Central","title":"Microvascular Flow Imaging: A State-of-the-Art Review of Clinical Use and Promise","title-short":"Microvascular Flow Imaging","volume":"305","author":[{"family":"Aziz","given":"Muhammad Usman"},{"family":"Eisenbrey","given":"John R."},{"family":"Deganello","given":"Annamaria"},{"family":"Zahid","given":"Mohd"},{"family":"Sharbidre","given":"Kedar"},{"family":"Sidhu","given":"Paul"},{"family":"Robbin","given":"Michelle L."}],"issued":{"date-parts":[["2022",9,27]]}}}],"schema":"https://github.com/citation-style-language/schema/raw/master/csl-citation.json"}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(Aziz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It provides information </w:t>
      </w:r>
      <w:r w:rsidR="0046447B">
        <w:rPr>
          <w:rFonts w:ascii="Times New Roman" w:hAnsi="Times New Roman" w:cs="Times New Roman"/>
          <w:sz w:val="24"/>
          <w:szCs w:val="24"/>
        </w:rPr>
        <w:t>of</w:t>
      </w:r>
      <w:r>
        <w:rPr>
          <w:rFonts w:ascii="Times New Roman" w:hAnsi="Times New Roman" w:cs="Times New Roman"/>
          <w:sz w:val="24"/>
          <w:szCs w:val="24"/>
        </w:rPr>
        <w:t xml:space="preserve"> angiogenesis and micronecrosis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{"citationID":"qgtg5GyZ","properties":{"formattedCitation":"(S. H. Kim et al., 2016; Zameer et al., 2025)","plainCitation":"(S. H. Kim et al., 2016; Zameer et al., 2025)","noteIndex":0},"citationItems":[{"id":"p7zULTu6/Sq8gRGLy","uris":["http://zotero.org/users/16274399/items/2WY5JX34"],"itemData":{"id":154,"type":"article-journal","abstract":"Hypoxia in the tumor microenvironment is the leading factor in angiogenesis. Angiogenesis can be identified by dynamic contrast-enhanced breast MRI (DCE MRI). Here we investigate the relationship between perfusion parameters on DCE MRI and angiogenic and prognostic factors in patients with invasive ductal carcinoma (IDC). Perfusion parameters (Ktrans, kep and ve) of 81 IDC were obtained using histogram analysis. Twenty-fifth, 50th and 75th percentile values were calculated and were analyzed for association with microvessel density (MVD), vascular endothelial growth factor (VEGF) and conventional prognostic factors. Correlation between MVD and ve50 was positive (r = 0.33). Ktrans50 was higher in tumors larger than 2 cm than in tumors smaller than 2 cm. In multivariate analysis, Ktrans50 was affected by tumor size and MVD with 12.8% explanation. There was significant association between Ktrans50 and tumor size and MVD. Therefore we conclude that DCE MRI perfusion parameters are potential imaging biomarkers for prediction of tumor angiogenesis and aggressiveness.","container-title":"PLOS ONE","DOI":"10.1371/journal.pone.0168632","ISSN":"1932-6203","issue":"12","journalAbbreviation":"PLOS ONE","language":"en","note":"publisher: Public Library of Science","page":"e0168632","source":"PLoS Journals","title":"Dynamic Contrast-Enhanced MRI Perfusion Parameters as Imaging Biomarkers of Angiogenesis","volume":"11","author":[{"family":"Kim","given":"Sung Hun"},{"family":"Lee","given":"Hyeon Sil"},{"family":"Kang","given":"Bong Joo"},{"family":"Song","given":"Byung Joo"},{"family":"Kim","given":"Hyun-Bin"},{"family":"Lee","given":"Hyunyong"},{"family":"Jin","given":"Min-Sun"},{"family":"Lee","given":"Ahwon"}],"issued":{"date-parts":[["2016",12,30]]}}},{"id":1172,"uris":["http://zotero.org/users/15401920/items/4L8UQD2M"],"itemData":{"id":1172,"type":"article-journal","container-title":"Biotechnology Journal International","DOI":"10.9734/bji/2025/v29i2769","ISSN":"2456-7051","issue":"2","language":"en","page":"27-36","source":"journalbji.com","title":"Apoptosis Mechanisms: Role of Anti-apoptotic Proteins, Cancer Hallmarks and Tumor Microenvironment in Cancer Cell Survival","title-short":"Apoptosis Mechanisms","volume":"29","author":[{"family":"Zameer","given":"Saqib"},{"family":"Akram","given":"Zeeshan"},{"family":"Daniyal","given":"Areeb"},{"family":"Fatima","given":"Urooj"},{"family":"Faraz","given":"Mohd"},{"family":"Anwar","given":"Zarrin"},{"family":"Khatoon","given":"Sheeba"},{"family":"Habib","given":"Safia"},{"family":"Mustafa","given":"Mohd"}],"issued":{"date-parts":[["2025",3,20]]}}}],"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(S. H. Kim et al., 2016; Zameer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This detailed blood flow information within a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increases the accuracy of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characterization or identification and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grading, thus leading to a more reliable diagnosis. Perfusion can be done through both modalities CT and MRI, but generally preferred for MRI because of its high tissue contrast and high resolution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{"citationID":"RzNpLwmR","properties":{"formattedCitation":"(Thakur et al., 2023)","plainCitation":"(Thakur et al., 2023)","noteIndex":0},"citationItems":[{"id":"p7zULTu6/DmtIJJmR","uris":["http://zotero.org/users/16274399/items/WZDNVXEE"],"itemData":{"id":125,"type":"chapter","abstract":"Medical image analysis involves correct interpretation of image data for the proper diagnosis to decide further course of treatment. There are different medical imaging modalities, such as magnetic resonance imaging, computed tomography, ultrasound, positron emission tomography, etc. Each imaging modality is used for the diagnosis of a particular disease according to its features. The image denoising is an important step of the medical image pre-processing part for accurate interpretation of image data. There are different image denoising techniques, such as transform domain-based, fuzzy logic-based, spatial domain-based, optimization-based, and machine learning-based methods. Out of these techniques, machine learning-based convolutional neural networks (CNNs) are widely being used for image denoising applications. The auto extraction of image features by the convolutional operation is the core functionality of CNNs. Moreover, CNN's design is appropriate for image data, and the concept of weight sharing reduces computational complexity as well. This chapter gives an overview of various medical image modalities and corresponding denoising CNN architectures. It has been observed that denoising CNN (DnCNN) Gaussian denoiser is the benchmark model for the design of medical imaging denoisers. The basic design unit is convolution, batch normalization, and rectified linear units. The 3D-parallel RicianNet for Rician Noise removal in MRI, two-stage residual CNN, and complex CNN medical image denoiser for CT images, mixed attention-based residual U-Net for speckle removal in ultrasound, and unsupervised learning with image priors for PET images have outperformed other state-of-the-art methods.","collection-title":"Hybrid Computational Intelligence for Pattern Analysis","container-title":"Digital Image Enhancement and Reconstruction","ISBN":"978-0-323-98370-9","note":"DOI: 10.1016/B978-0-32-398370-9.00012-3","page":"115-138","publisher":"Academic Press","source":"ScienceDirect","title":"Chapter 5 - Medical image denoising using convolutional neural networks","URL":"https://www.sciencedirect.com/science/article/pii/B9780323983709000123","author":[{"family":"Thakur","given":"Rini Smita"},{"family":"Chatterjee","given":"Shubhojeet"},{"family":"Yadav","given":"Ram Narayan"},{"family":"Gupta","given":"Lalita"}],"editor":[{"family":"Rajput","given":"Shyam Singh"},{"family":"Khan","given":"Nafis Uddin"},{"family":"Singh","given":"Amit Kumar"},{"family":"Arya","given":"Karm Veer"}],"accessed":{"date-parts":[["2025",2,2]]},"issued":{"date-parts":[["2023",1,1]]}}}],"schema":"https://github.com/citation-style-language/schema/raw/master/csl-citation.json"}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(Thakur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PET is a nuclear medicine imaging technology that is nowadays also used in combination either with CT or MRI. This hybrid technology provides a more precise and accurate image with high resolution to diagnose subtle lesions or minimal early-stage activity related to cancer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{"citationID":"6uxHDtK0","properties":{"formattedCitation":"(Bashir et al., 2015)","plainCitation":"(Bashir et al., 2015)","noteIndex":0},"citationItems":[{"id":"p7zULTu6/0lzNfCfZ","uris":["http://zotero.org/users/16274399/items/RABVGY97"],"itemData":{"id":156,"type":"article-journal","abstract":"Positron emission tomography (PET) combined with magnetic resonance imaging (MRI) is a hybrid technology which has recently gained interest as a potential cancer imaging tool. Compared with CT, MRI is advantageous due to its lack of ionizing radiation, superior soft-tissue contrast resolution, and wider range of acquisition sequences. Several studies have shown PET/MRI to be equivalent to PET/CT in most oncological applications, possibly superior in certain body parts, e.g., head and neck, pelvis, and in certain situations, e.g., cancer recurrence. This review will update the readers on recent advances in PET/MRI technology and review key literature, while highlighting the strengths and weaknesses of PET/MRI in cancer imaging.","container-title":"Diagnostics","DOI":"10.3390/diagnostics5030333","ISSN":"2075-4418","issue":"3","journalAbbreviation":"Diagnostics (Basel)","note":"PMID: 26854157\nPMCID: PMC4665605","page":"333-357","source":"PubMed Central","title":"PET/MRI in Oncological Imaging: State of the Art","title-short":"PET/MRI in Oncological Imaging","volume":"5","author":[{"family":"Bashir","given":"Usman"},{"family":"Mallia","given":"Andrew"},{"family":"Stirling","given":"James"},{"family":"Joemon","given":"John"},{"family":"MacKewn","given":"Jane"},{"family":"Charles-Edwards","given":"Geoff"},{"family":"Goh","given":"Vicky"},{"family":"Cook","given":"Gary J."}],"issued":{"date-parts":[["2015",7,21]]}}}],"schema":"https://github.com/citation-style-language/schema/raw/master/csl-citation.json"}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(Bashir et al., 2015)</w:t>
      </w:r>
      <w:r>
        <w:rPr>
          <w:rFonts w:ascii="Times New Roman" w:hAnsi="Times New Roman" w:cs="Times New Roman"/>
          <w:sz w:val="24"/>
          <w:szCs w:val="24"/>
        </w:rPr>
        <w:fldChar w:fldCharType="end"/>
      </w:r>
      <w:r>
        <w:rPr>
          <w:rFonts w:ascii="Times New Roman" w:hAnsi="Times New Roman" w:cs="Times New Roman"/>
          <w:sz w:val="24"/>
          <w:szCs w:val="24"/>
        </w:rPr>
        <w:t>. In this technology, the diagnosis is done comparatively considering both scans which decreases the chance of misdiagnosis and even early-stage cancer can be detected easily.</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 xml:space="preserve">When it comes to identifying axillary and extra-axillary nodal metastases, PET-CT and PET-MRI are both more sensitive than MRI. For distant metastases, PET-CT is more effective in detecting lung metastases, but PET-MRI is more effective in detecting liver and bone metastases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{"citationID":"sOFvPJwY","properties":{"formattedCitation":"(AL-Jahdali et al., 2012; Zhang et al., 2023)","plainCitation":"(AL-Jahdali et al., 2012; Zhang et al., 2023)","noteIndex":0},"citationItems":[{"id":"p7zULTu6/wta6DNb9","uris":["http://zotero.org/users/16274399/items/9PIH6A3Y"],"itemData":{"id":159,"type":"article-journal","abstract":"Fluoro-2-deoxy-d-glucose (FDG)-positron emission tomography (PET) and PET/computed tomography (FDG-PET/CT) is regarded as a standard of care in the management of non-small-cell lung carcinoma (NSCLC) and is a useful adjunct in the characterization of indeterminate solitary lung nodules (SLN), and pre-treatment staging of NSCLC, notably mediastinal nodal staging and detection of remote metastases. FDG-PET/CT has the ability to assess locoregional lymph node spread more precisely than CT, to detect metastatic lesions that would have been missed on conventional imaging or are located in difficult areas, and to help in the differentiation of lesions that are equivocal after conventional imaging. Increasingly FDG-PET/CT is employed in radiotherapy planning, prediction of prognosis in terms of tumor response to neo-adjuvant, radiation and chemotherapy treatment. Evidence is accumulating of usefulness of PET/CT in small cell lung cancer.","collection-title":"Saudi Lung Cancer Guidelines Supplement 2012","container-title":"Journal of Infection and Public Health","DOI":"10.1016/j.jiph.2012.09.003","ISSN":"1876-0341","journalAbbreviation":"Journal of Infection and Public Health","page":"S35-S40","source":"ScienceDirect","title":"Guidelines for the role of FDG-PET/CT in lung cancer management","volume":"5","author":[{"family":"AL-Jahdali","given":"Hamdan"},{"family":"Khan","given":"Ali Nawaz"},{"family":"Loutfi","given":"Shukri"},{"family":"Al-Harbi","given":"Abdullah S."}],"issued":{"date-parts":[["2012",12,1]]}}},{"id":"p7zULTu6/gvdXrUGh","uris":["http://zotero.org/users/16274399/items/VRN6TEG5"],"itemData":{"id":161,"type":"article-journal","abstract":"As a first-line imaging modality, whole-body fluorine-18 fluorodeoxyglucose (18F-FDG) positron emission tomography (PET)/computed tomography (CT) and 18F-FDG PET/magnetic resonance imaging (MRI) had been widely applied in clinical practice. However, 18F-FDG PET/MRI may be superior to PET/CT for the diagnosis of distant metastases in patients with advanced-stage. Therefore, it is timely and important to systematically determine the diagnostic accuracy of 18F-FDG PET/MRI compared with that of 18F-FDG PET/CT for the diagnosis of distant metastases.","container-title":"BMC Cancer","DOI":"10.1186/s12885-022-10493-8","ISSN":"1471-2407","issue":"1","journalAbbreviation":"BMC Cancer","page":"37","source":"BioMed Central","title":"Comparison of whole-body 18F-FDG PET/CT and PET/MRI for distant metastases in patients with malignant tumors: a meta-analysis","title-short":"Comparison of whole-body 18F-FDG PET/CT and PET/MRI for distant metastases in patients with malignant tumors","volume":"23","author":[{"family":"Zhang","given":"Cici"},{"family":"Liang","given":"Zhishan"},{"family":"Liu","given":"Wei"},{"family":"Zeng","given":"Xuwen"},{"family":"Mo","given":"Yuzhen"}],"issued":{"date-parts":[["2023",1,10]]}}}],"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(AL-Jahdali et al., 2012; Zhang et al., 2023)</w:t>
      </w:r>
      <w:r>
        <w:rPr>
          <w:rFonts w:ascii="Times New Roman" w:hAnsi="Times New Roman" w:cs="Times New Roman"/>
          <w:sz w:val="24"/>
          <w:szCs w:val="24"/>
        </w:rPr>
        <w:fldChar w:fldCharType="end"/>
      </w:r>
      <w:r>
        <w:rPr>
          <w:rFonts w:ascii="Times New Roman" w:hAnsi="Times New Roman" w:cs="Times New Roman"/>
          <w:sz w:val="24"/>
          <w:szCs w:val="24"/>
        </w:rPr>
        <w:t>.</w:t>
      </w:r>
      <w:r w:rsidR="0046447B">
        <w:rPr>
          <w:rFonts w:ascii="Times New Roman" w:hAnsi="Times New Roman" w:cs="Times New Roman"/>
          <w:sz w:val="24"/>
          <w:szCs w:val="24"/>
        </w:rPr>
        <w:t xml:space="preserve"> </w:t>
      </w:r>
      <w:r>
        <w:rPr>
          <w:rFonts w:ascii="Times New Roman" w:hAnsi="Times New Roman" w:cs="Times New Roman"/>
          <w:sz w:val="24"/>
          <w:szCs w:val="24"/>
        </w:rPr>
        <w:t xml:space="preserve">MRS is a technique based on chemical shift which requires a homogenous magnetic field during the image acquisition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{"citationID":"eUYHsqkZ","properties":{"formattedCitation":"(Tognarelli et al., 2015)","plainCitation":"(Tognarelli et al., 2015)","noteIndex":0},"citationItems":[{"id":"p7zULTu6/yqcWBzwe","uris":["http://zotero.org/users/16274399/items/3HFAQ5FN"],"itemData":{"id":168,"type":"article-journal","container-title":"Journal of Clinical and Experimental Hepatology","DOI":"10.1016/j.jceh.2015.10.006","ISSN":"0973-6883","issue":"4","journalAbbreviation":"Journal of Clinical and Experimental Hepatology","language":"English","note":"publisher: Elsevier","page":"320-328","source":"www.jcehepatology.com","title":"Magnetic Resonance Spectroscopy: Principles and Techniques: Lessons for Clinicians","title-short":"Magnetic Resonance Spectroscopy","volume":"5","author":[{"family":"Tognarelli","given":"Joshua M."},{"family":"Dawood","given":"Mahvish"},{"family":"Shariff","given":"Mohamed I. F."},{"family":"Grover","given":"Vijay P. B."},{"family":"Crossey","given":"Mary M. E."},{"family":"Cox","given":"I. Jane"},{"family":"Taylor-Robinson","given":"Simon D."},{"family":"McPhail","given":"Mark J. W."}],"issued":{"date-parts":[["2015",12,1]]}}}],"schema":"https://github.com/citation-style-language/schema/raw/master/csl-citation.json"}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(Tognarelli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It is an advanced non-invasive technique that is used </w:t>
      </w:r>
      <w:r>
        <w:rPr>
          <w:rFonts w:ascii="Times New Roman" w:hAnsi="Times New Roman" w:cs="Times New Roman"/>
          <w:sz w:val="24"/>
          <w:szCs w:val="24"/>
        </w:rPr>
        <w:lastRenderedPageBreak/>
        <w:t xml:space="preserve">to assess the chemical composition of a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{"citationID":"YbOYkr4q","properties":{"formattedCitation":"(Tognarelli et al., 2015)","plainCitation":"(Tognarelli et al., 2015)","noteIndex":0},"citationItems":[{"id":"p7zULTu6/yqcWBzwe","uris":["http://zotero.org/users/16274399/items/3HFAQ5FN"],"itemData":{"id":168,"type":"article-journal","container-title":"Journal of Clinical and Experimental Hepatology","DOI":"10.1016/j.jceh.2015.10.006","ISSN":"0973-6883","issue":"4","journalAbbreviation":"Journal of Clinical and Experimental Hepatology","language":"English","note":"publisher: Elsevier","page":"320-328","source":"www.jcehepatology.com","title":"Magnetic Resonance Spectroscopy: Principles and Techniques: Lessons for Clinicians","title-short":"Magnetic Resonance Spectroscopy","volume":"5","author":[{"family":"Tognarelli","given":"Joshua M."},{"family":"Dawood","given":"Mahvish"},{"family":"Shariff","given":"Mohamed I. F."},{"family":"Grover","given":"Vijay P. B."},{"family":"Crossey","given":"Mary M. E."},{"family":"Cox","given":"I. Jane"},{"family":"Taylor-Robinson","given":"Simon D."},{"family":"McPhail","given":"Mark J. W."}],"issued":{"date-parts":[["2015",12,1]]}}}],"schema":"https://github.com/citation-style-language/schema/raw/master/csl-citation.json"}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w:t>
      </w:r>
      <w:proofErr w:type="spellStart"/>
      <w:r w:rsidR="0095240E" w:rsidRPr="0095240E">
        <w:rPr>
          <w:rFonts w:ascii="Times New Roman" w:hAnsi="Times New Roman" w:cs="Times New Roman"/>
          <w:sz w:val="24"/>
        </w:rPr>
        <w:t>Tognarelli</w:t>
      </w:r>
      <w:proofErr w:type="spellEnd"/>
      <w:r w:rsidR="0095240E" w:rsidRPr="0095240E">
        <w:rPr>
          <w:rFonts w:ascii="Times New Roman" w:hAnsi="Times New Roman" w:cs="Times New Roman"/>
          <w:sz w:val="24"/>
        </w:rPr>
        <w:t xml:space="preserve">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It helps to draw graphs that show peaks of different chemicals such as choline, N-acetyl aspartate, creatine, and Myo-inositol. Diagnosis is made by comparing the composition of different chemicals in the acquired graph with the normal chemical composition in the tissue. As an example, a high choline peak may be a sign of glioma or other malignancies as choline increases with an increase in cell membrane production </w:t>
      </w:r>
      <w:r>
        <w:rPr>
          <w:rFonts w:ascii="Times New Roman" w:hAnsi="Times New Roman" w:cs="Times New Roman"/>
          <w:sz w:val="24"/>
          <w:szCs w:val="24"/>
        </w:rPr>
        <w:fldChar w:fldCharType="begin"/>
      </w:r>
      <w:r w:rsidR="0095240E">
        <w:rPr>
          <w:rFonts w:ascii="Times New Roman" w:hAnsi="Times New Roman" w:cs="Times New Roman"/>
          <w:sz w:val="24"/>
          <w:szCs w:val="24"/>
        </w:rPr>
        <w:instrText xml:space="preserve"> ADDIN ZOTERO_ITEM CSL_CITATION {"citationID":"Iu7i1Lep","properties":{"formattedCitation":"(Verma et al., 2016)","plainCitation":"(Verma et al., 2016)","noteIndex":0},"citationItems":[{"id":"p7zULTu6/N9lM5Nqk","uris":["http://zotero.org/users/16274399/items/QEPQU9X5"],"itemData":{"id":176,"type":"article-journal","abstract":"Background\nMagnetic resonance spectroscopy (MRS) is an established tool for in-vivo evaluation of the biochemical basis of human diseases. On one hand, such lucid depiction of ‘live biochemistry’ helps one to decipher the true nature of the pathology while on the other hand one can track the response to therapy at sub-cellular level. Brain tumors have been an area of continuous interrogation and instigation for mankind. Evaluation of these lesions by MRS plays a crucial role in the two aspects of disease management described above.\nScope of review\nPresented is an overview of the window provided by MRS into the biochemical aspects of brain tumors. We systematically visit each metabolite deciphered by MRS and discuss the role of deconvoluting the biochemical aspects of pathologies (here in context of brain tumors) in the disease management cycle. We further try to unify a radiologist's perspective of disease with that of a biochemist to prove the point that preclinical work is the mother of the treatment we provide at bedside as clinicians. Furthermore, an integrated approach by various scientific experts help resolve a query encountered in everyday practice.\nMajor conclusions\nMR spectroscopy is an integral tool for evaluation and systematic follow-up of brain tumors. A deeper understanding of this technology by a biochemist would help in a swift and more logical development of the technique while a close collaboration with radiologist would enable definitive application of the same.\nGeneral significance\nThe review aims at inciting closer ties between the two specialists enabling a deeper understanding of this valuable technology.","container-title":"BBA Clinical","DOI":"10.1016/j.bbacli.2016.04.002","ISSN":"2214-6474","journalAbbreviation":"BBA Clinical","page":"170-178","source":"ScienceDirect","title":"Magnetic resonance spectroscopy — Revisiting the biochemical and molecular milieu of brain tumors","volume":"5","author":[{"family":"Verma","given":"Ashish"},{"family":"Kumar","given":"Ishan"},{"family":"Verma","given":"Nimisha"},{"family":"Aggarwal","given":"Priyanka"},{"family":"Ojha","given":"Ritu"}],"issued":{"date-parts":[["2016",6,1]]}}}],"schema":"https://github.com/citation-style-language/schema/raw/master/csl-citation.json"} </w:instrText>
      </w:r>
      <w:r>
        <w:rPr>
          <w:rFonts w:ascii="Times New Roman" w:hAnsi="Times New Roman" w:cs="Times New Roman"/>
          <w:sz w:val="24"/>
          <w:szCs w:val="24"/>
        </w:rPr>
        <w:fldChar w:fldCharType="separate"/>
      </w:r>
      <w:r w:rsidR="0095240E" w:rsidRPr="0095240E">
        <w:rPr>
          <w:rFonts w:ascii="Times New Roman" w:hAnsi="Times New Roman" w:cs="Times New Roman"/>
          <w:sz w:val="24"/>
        </w:rPr>
        <w:t>(Verma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MR spectroscopy and MR perfusion together help in differentiating a malignant and benign </w:t>
      </w:r>
      <w:proofErr w:type="spellStart"/>
      <w:r>
        <w:rPr>
          <w:rFonts w:ascii="Times New Roman" w:hAnsi="Times New Roman" w:cs="Times New Roman"/>
          <w:sz w:val="24"/>
          <w:szCs w:val="24"/>
        </w:rPr>
        <w:t>tumor</w:t>
      </w:r>
      <w:proofErr w:type="spellEnd"/>
      <w:r w:rsidR="00182AA9">
        <w:rPr>
          <w:rFonts w:ascii="Times New Roman" w:hAnsi="Times New Roman" w:cs="Times New Roman"/>
          <w:sz w:val="24"/>
          <w:szCs w:val="24"/>
        </w:rPr>
        <w:t xml:space="preserve"> </w:t>
      </w:r>
      <w:r w:rsidR="00182AA9" w:rsidRPr="00182AA9">
        <w:rPr>
          <w:rFonts w:ascii="Times New Roman" w:hAnsi="Times New Roman" w:cs="Times New Roman"/>
          <w:sz w:val="24"/>
          <w:szCs w:val="24"/>
          <w:highlight w:val="yellow"/>
        </w:rPr>
        <w:fldChar w:fldCharType="begin"/>
      </w:r>
      <w:r w:rsidR="0095240E">
        <w:rPr>
          <w:rFonts w:ascii="Times New Roman" w:hAnsi="Times New Roman" w:cs="Times New Roman"/>
          <w:sz w:val="24"/>
          <w:szCs w:val="24"/>
          <w:highlight w:val="yellow"/>
        </w:rPr>
        <w:instrText xml:space="preserve"> ADDIN ZOTERO_ITEM CSL_CITATION {"citationID":"Ei5yXXzI","properties":{"formattedCitation":"(Hasan et al., 2019)","plainCitation":"(Hasan et al., 2019)","noteIndex":0},"citationItems":[{"id":1456,"uris":["http://zotero.org/users/15401920/items/FTZR48Y3"],"itemData":{"id":1456,"type":"article-journal","abstract":"Brain tumors are an important health problem. The preoperative classification of gliomas by non-invasive techniques is a significant problem. Relative cerebral blood volume and spectroscopy have the ability to sample the entire lesion non-invasively. The present study aims to evaluate the combined role of dynamic susceptibility perfusion and spectroscopy in the classification of primary brain tumors. The combination of both provides overall diagnostic accuracy (100%). Relative cerebral blood volume in peritumoral region plays an important additional role in this regard.","container-title":"Egyptian Journal of Radiology and Nuclear Medicine","DOI":"10.1186/s43055-019-0078-8","ISSN":"2090-4762","issue":"1","journalAbbreviation":"Egyptian Journal of Radiology and Nuclear Medicine","page":"72","source":"BioMed Central","title":"The combined role of MR spectroscopy and perfusion imaging in preoperative differentiation between high- and low-grade gliomas","volume":"50","author":[{"family":"Hasan","given":"Abdel-Monem S."},{"family":"Hasan","given":"Abdel Karem"},{"family":"Megally","given":"Hasan I."},{"family":"Khallaf","given":"Mohammed"},{"family":"Haseib","given":"Abolhasan"}],"issued":{"date-parts":[["2019",12,10]]}}}],"schema":"https://github.com/citation-style-language/schema/raw/master/csl-citation.json"} </w:instrText>
      </w:r>
      <w:r w:rsidR="00182AA9" w:rsidRPr="00182AA9">
        <w:rPr>
          <w:rFonts w:ascii="Times New Roman" w:hAnsi="Times New Roman" w:cs="Times New Roman"/>
          <w:sz w:val="24"/>
          <w:szCs w:val="24"/>
          <w:highlight w:val="yellow"/>
        </w:rPr>
        <w:fldChar w:fldCharType="separate"/>
      </w:r>
      <w:r w:rsidR="0095240E" w:rsidRPr="0095240E">
        <w:rPr>
          <w:rFonts w:ascii="Times New Roman" w:hAnsi="Times New Roman" w:cs="Times New Roman"/>
          <w:sz w:val="24"/>
          <w:highlight w:val="yellow"/>
        </w:rPr>
        <w:t>(Hasan et al., 2019)</w:t>
      </w:r>
      <w:r w:rsidR="00182AA9" w:rsidRPr="00182AA9">
        <w:rPr>
          <w:rFonts w:ascii="Times New Roman" w:hAnsi="Times New Roman" w:cs="Times New Roman"/>
          <w:sz w:val="24"/>
          <w:szCs w:val="24"/>
          <w:highlight w:val="yellow"/>
        </w:rPr>
        <w:fldChar w:fldCharType="end"/>
      </w:r>
      <w:r>
        <w:rPr>
          <w:rFonts w:ascii="Times New Roman" w:hAnsi="Times New Roman" w:cs="Times New Roman"/>
          <w:sz w:val="24"/>
          <w:szCs w:val="24"/>
        </w:rPr>
        <w:t>.</w:t>
      </w:r>
    </w:p>
    <w:p w14:paraId="30D1983F" w14:textId="77777777" w:rsidR="004061FE" w:rsidRPr="004061FE" w:rsidRDefault="004061FE">
      <w:pPr>
        <w:pStyle w:val="ListParagraph"/>
        <w:spacing w:line="360" w:lineRule="auto"/>
        <w:ind w:left="0"/>
        <w:jc w:val="both"/>
        <w:rPr>
          <w:rFonts w:ascii="Times New Roman" w:hAnsi="Times New Roman" w:cs="Times New Roman"/>
          <w:sz w:val="12"/>
          <w:szCs w:val="12"/>
        </w:rPr>
      </w:pPr>
    </w:p>
    <w:p w14:paraId="2C4E9149" w14:textId="531F23EA"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5. CT and MRI in precision medicine </w:t>
      </w:r>
    </w:p>
    <w:p w14:paraId="5D2869CC" w14:textId="1139B72D" w:rsidR="0035583F" w:rsidRDefault="00CF30CC">
      <w:pPr>
        <w:pStyle w:val="ListParagraph"/>
        <w:spacing w:line="360" w:lineRule="auto"/>
        <w:ind w:left="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focus on early diagnosis and individualized therapies, precision medicine is revolutionizing medical practices and has a beneficial effect on diagnostic radiology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{"citationID":"hYGdP2Eu","properties":{"formattedCitation":"(Johnson et al., 2021)","plainCitation":"(Johnson et al., 2021)","noteIndex":0},"citationItems":[{"id":"p7zULTu6/LqkNAfk8","uris":["http://zotero.org/users/16274399/items/7QWBCIBL"],"itemData":{"id":181,"type":"article-journal","abstract":"The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Science","DOI":"10.1111/cts.12884","ISSN":"1752-8062","issue":"1","language":"en","license":"© 2020 The Authors. Clinical and Translational Science published by Wiley Periodicals LLC on behalf of the American Society for Clinical Pharmacology and Therapeutics.","note":"_eprint: https://onlinelibrary.wiley.com/doi/pdf/10.1111/cts.12884","page":"86-93","source":"Wiley Online Library","title":"Precision Medicine, AI, and the Future of Personalized Health Care","volume":"14","author":[{"family":"Johnson","given":"Kevin B."},{"family":"Wei","given":"Wei-Qi"},{"family":"Weeraratne","given":"Dilhan"},{"family":"Frisse","given":"Mark E."},{"family":"Misulis","given":"Karl"},{"family":"Rhee","given":"Kyu"},{"family":"Zhao","given":"Juan"},{"family":"Snowdon","given":"Jane L."}],"issued":{"date-parts":[["2021"]]}}}],"schema":"https://github.com/citation-style-language/schema/raw/master/csl-citation.json"}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(Johnson et al., 2021)</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Precision medicine refers to the tailoring of medical treatment which means customizing or personalizing treatment based on the characteristics of each patient such as their genetics, lifestyle, and environment, instead of one type of treatment for all. For example, using genetic testing to determine the most effective therapy for a patient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{"citationID":"4qWJM6Bw","properties":{"formattedCitation":"(Wang &amp; Wang, 2023)","plainCitation":"(Wang &amp; Wang, 2023)","noteIndex":0},"citationItems":[{"id":"p7zULTu6/Hjt6s73q","uris":["http://zotero.org/users/16274399/items/DK9H95NN"],"itemData":{"id":184,"type":"article-journal","abstract":"Simple Summary\nThe genomics-based concept of precision medicine began to emerge following the completion of the Human Genome Project. In contrast to evidence-based medicine, precision medicine will allow doctors and scientists to tailor the treatment of different subpopulations of patients who differ in their susceptibility to specific diseases or responsiveness to specific therapies. In this review, we examine the history, development, and future perspective of precision medicine. We also discuss the concepts, principles, tools, and applications of precision medicine and related fields.\n\nAbstract\nThe genomics-based concept of precision medicine began to emerge following the completion of the Human Genome Project. In contrast to evidence-based medicine, precision medicine will allow doctors and scientists to tailor the treatment of different subpopulations of patients who differ in their susceptibility to specific diseases or responsiveness to specific therapies. The current precision medicine model was proposed to precisely classify patients into subgroups sharing a common biological basis of diseases for more effective tailored treatment to achieve improved outcomes. Precision medicine has become a term that symbolizes the new age of medicine. In this review, we examine the history, development, and future perspective of precision medicine. We also discuss the concepts, principles, tools, and applications of precision medicine and related fields. In our view, for precision medicine to work, two essential objectives need to be achieved. First, diseases need to be classified into various subtypes. Second, targeted therapies must be available for each specific disease subtype. Therefore, we focused this review on the progress in meeting these two objectives.","container-title":"Cancers","DOI":"10.3390/cancers15153837","ISSN":"2072-6694","issue":"15","journalAbbreviation":"Cancers (Basel)","note":"PMID: 37568653\nPMCID: PMC10417651","page":"3837","source":"PubMed Central","title":"Precision Medicine: Disease Subtyping and Tailored Treatment","title-short":"Precision Medicine","volume":"15","author":[{"family":"Wang","given":"Richard C."},{"family":"Wang","given":"Zhixiang"}],"issued":{"date-parts":[["2023",7,28]]}}}],"schema":"https://github.com/citation-style-language/schema/raw/master/csl-citation.json"}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(Wang &amp; Wang, 2023)</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It helps in adjusting the appropriate dose of medicine based on a person’s metabolism. This minimizes therapy's adverse effects and lowers costs by focusing on preventive or therapeutic actions. Oncology has made substantial use of CT, MRI, and PET to aid in diagnosis and direct therapy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{"citationID":"rxaSgLft","properties":{"formattedCitation":"(Ghasemi et al., 2016)","plainCitation":"(Ghasemi et al., 2016)","noteIndex":0},"citationItems":[{"id":"p7zULTu6/GUJaeB5o","uris":["http://zotero.org/users/16274399/items/YDFMKXU7"],"itemData":{"id":57,"type":"article-journal","abstract":"This paper presents a review of the importance and role of precision medicine and molecular imaging technologies in cancer diagnosis with therapeutics and diagnostics purposes. Precision medicine is progressively becoming a hot topic in all disciplines related to biomedical investigation and has the capacity to become the paradigm for clinical practice. The future of medicine lies in early diagnosis and individually appropriate treatments, a concept that has been named precision medicine, i.e. delivering the right treatment to the right patient at the right time. Molecular imaging is quickly being recognized as a tool with the potential to ameliorate every aspect of cancer treatment. On the other hand, emerging high-throughput technologies such as omics techniques and systems approaches have generated a paradigm shift for biological systems in advanced life science research. In this review, we describe the precision medicine, difference between precision medicine and personalized medicine, precision medicine initiative, systems biology/medicine approaches (such as genomics, radiogenomics, transcriptomics, proteomics, and metabolomics), P4 medicine, relationship between systems biology/medicine approaches and precision medicine, and molecular imaging modalities and their utility in cancer treatment and diagnosis. Accordingly, the precision medicine and molecular imaging will enable us to accelerate and improve cancer management in future medicine.","container-title":"American Journal of Nuclear Medicine and Molecular Imaging","ISSN":"2160-8407","issue":"6","journalAbbreviation":"Am J Nucl Med Mol Imaging","note":"PMID: 28078184\nPMCID: PMC5218860","page":"310-327","source":"PubMed Central","title":"Precision medicine and molecular imaging: new targeted approaches toward cancer therapeutic and diagnosis","title-short":"Precision medicine and molecular imaging","volume":"6","author":[{"family":"Ghasemi","given":"Mojtaba"},{"family":"Nabipour","given":"Iraj"},{"family":"Omrani","given":"Abdolmajid"},{"family":"Alipour","given":"Zeinab"},{"family":"Assadi","given":"Majid"}],"issued":{"date-parts":[["2016",11,30]]}}}],"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(Ghasemi et al., 2016)</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Images can give comprehensive details regarding the structural and functional characteristics of </w:t>
      </w:r>
      <w:proofErr w:type="spellStart"/>
      <w:r>
        <w:rPr>
          <w:rFonts w:ascii="Times New Roman" w:eastAsia="Times New Roman" w:hAnsi="Times New Roman" w:cs="Times New Roman"/>
          <w:kern w:val="0"/>
          <w:sz w:val="24"/>
          <w:szCs w:val="24"/>
          <w:lang w:eastAsia="en-IN"/>
          <w14:ligatures w14:val="none"/>
        </w:rPr>
        <w:t>tumors</w:t>
      </w:r>
      <w:proofErr w:type="spellEnd"/>
      <w:r>
        <w:rPr>
          <w:rFonts w:ascii="Times New Roman" w:eastAsia="Times New Roman" w:hAnsi="Times New Roman" w:cs="Times New Roman"/>
          <w:kern w:val="0"/>
          <w:sz w:val="24"/>
          <w:szCs w:val="24"/>
          <w:lang w:eastAsia="en-IN"/>
          <w14:ligatures w14:val="none"/>
        </w:rPr>
        <w:t xml:space="preserve">. With the development of technology over the past decades, oncology has evolved into a diverse area that enables the development of customized treatment plans for cancer patients as well as the more accurate assessment of their response to therapy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{"citationID":"4MYR5V5R","properties":{"formattedCitation":"(Pulumati et al., 2023)","plainCitation":"(Pulumati et al., 2023)","noteIndex":0},"citationItems":[{"id":"p7zULTu6/VxJLvL6z","uris":["http://zotero.org/users/16274399/items/6HQDDBWU"],"itemData":{"id":187,"type":"article-journal","abstract":"Background\nCancer is characterized by the rampant proliferation, growth, and infiltration of malignantly transformed cancer cells past their normal boundaries into adjacent tissues. It is the leading cause of death worldwide, responsible for approximately 19.3 million new diagnoses and 10 million deaths globally in 2020. In the United States alone, the estimated number of new diagnoses and deaths is 1.9 million and 609 360, respectively. Implementation of currently existing cancer diagnostic techniques such as positron emission tomography (PET), X‐ray computed tomography (CT), and magnetic resonance spectroscopy (MRS), and molecular diagnostic techniques, have enabled early detection rates and are instrumental not only for the therapeutic management of cancer patients, but also for early detection of the cancer itself. The effectiveness of these cancer screening programs are heavily dependent on the rate of accurate precursor lesion identification; an increased rate of identification allows for earlier onset treatment, thus decreasing the incidence of invasive cancer in the long‐term, and improving the overall prognosis. Although these diagnostic techniques are advantageous due to lack of invasiveness and easier accessibility within the clinical setting, several limitations such as optimal target definition, high signal to background ratio and associated artifacts hinder the accurate diagnosis of specific types of deep‐seated tumors, besides associated high cost. In this review we discuss various imaging, molecular, and low‐cost diagnostic tools and related technological advancements, to provide a better understanding of cancer diagnostics, unraveling new opportunities for effective management of cancer, particularly in low‐ and middle‐income countries (LMICs).\n\nRecent Findings\nHerein we discuss various technological advancements that are being utilized to construct an assortment of new diagnostic techniques that incorporate hardware, image reconstruction software, imaging devices, biomarkers, and even artificial intelligence algorithms, thereby providing a reliable diagnosis and analysis of the tumor. Also, we provide a brief account of alternative low cost‐effective cancer therapy devices (CryoPop®, LumaGEM®, MarginProbe®) and picture archiving and communication systems (PACS), emphasizing the need for multi‐disciplinary collaboration among radiologists, pathologists, and other involved specialties for improving cancer diagnostics.\n\nConclusion\nRevolutionary technological advancements in cancer imaging and molecular biology techniques are indispensable for the accurate diagnosis and prognosis of cancer.","container-title":"Cancer Reports","DOI":"10.1002/cnr2.1764","ISSN":"2573-8348","issue":"2","journalAbbreviation":"Cancer Rep (Hoboken)","note":"PMID: 36607830\nPMCID: PMC9940009","page":"e1764","source":"PubMed Central","title":"Technological advancements in cancer diagnostics: Improvements and limitations","title-short":"Technological advancements in cancer diagnostics","volume":"6","author":[{"family":"Pulumati","given":"Akhil"},{"family":"Pulumati","given":"Anika"},{"family":"Dwarakanath","given":"Bilikere S."},{"family":"Verma","given":"Amit"},{"family":"Papineni","given":"Rao V. L."}],"issued":{"date-parts":[["2023",1,6]]}}}],"schema":"https://github.com/citation-style-language/schema/raw/master/csl-citation.json"}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(Pulumati et al., 2023)</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w:t>
      </w:r>
    </w:p>
    <w:p w14:paraId="726F8D80" w14:textId="77777777" w:rsidR="0035583F" w:rsidRDefault="0035583F">
      <w:pPr>
        <w:pStyle w:val="ListParagraph"/>
        <w:spacing w:line="360" w:lineRule="auto"/>
        <w:ind w:left="0"/>
        <w:jc w:val="both"/>
        <w:rPr>
          <w:rFonts w:ascii="Times New Roman" w:eastAsia="Times New Roman" w:hAnsi="Times New Roman" w:cs="Times New Roman"/>
          <w:kern w:val="0"/>
          <w:sz w:val="14"/>
          <w:szCs w:val="14"/>
          <w:lang w:eastAsia="en-IN"/>
          <w14:ligatures w14:val="none"/>
        </w:rPr>
      </w:pPr>
    </w:p>
    <w:p w14:paraId="3C9451E6" w14:textId="084E088B"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6. Clinical Implications and Future Directions</w:t>
      </w:r>
    </w:p>
    <w:p w14:paraId="2116BBB3" w14:textId="1DB5A6B5" w:rsidR="0035583F" w:rsidRDefault="00FB0430">
      <w:pPr>
        <w:pStyle w:val="ListParagraph"/>
        <w:spacing w:line="360" w:lineRule="auto"/>
        <w:ind w:left="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Clinically, a variety of imaging techniques, such as CT and MRI, are utilized to identify primary </w:t>
      </w:r>
      <w:proofErr w:type="spellStart"/>
      <w:r>
        <w:rPr>
          <w:rFonts w:ascii="Times New Roman" w:eastAsia="Times New Roman" w:hAnsi="Times New Roman" w:cs="Times New Roman"/>
          <w:kern w:val="0"/>
          <w:sz w:val="24"/>
          <w:szCs w:val="24"/>
          <w:lang w:eastAsia="en-IN"/>
          <w14:ligatures w14:val="none"/>
        </w:rPr>
        <w:t>tumor</w:t>
      </w:r>
      <w:proofErr w:type="spellEnd"/>
      <w:r>
        <w:rPr>
          <w:rFonts w:ascii="Times New Roman" w:eastAsia="Times New Roman" w:hAnsi="Times New Roman" w:cs="Times New Roman"/>
          <w:kern w:val="0"/>
          <w:sz w:val="24"/>
          <w:szCs w:val="24"/>
          <w:lang w:eastAsia="en-IN"/>
          <w14:ligatures w14:val="none"/>
        </w:rPr>
        <w:t xml:space="preserve"> and  lymph node metastases in cancer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{"citationID":"ct2VRmk8","properties":{"formattedCitation":"(Luo et al., 2020)","plainCitation":"(Luo et al., 2020)","noteIndex":0},"citationItems":[{"id":"p7zULTu6/x7nirGXq","uris":["http://zotero.org/users/16274399/items/Y6WMS45N"],"itemData":{"id":195,"type":"article-journal","abstract":"Diagnostic value and clinical significance of magnetic resonance imaging (MRI) and computed tomography (CT) in detecting lymph node metastasis of early cervical cancer were investigated. From April 2015 to April 2019, 160 patients with lymph node metastasis (stage I–II) of early cervical cancer in Jining No. 1 People's Hospital were retrospectively analyzed. All the patients underwent MRI, CT diagnosis and MRI combined with CT diagnosis before operation. Sensitivity, specificity and diagnostic accordance rate, the diagnostic value and clinical significance of MRI, CT and MRI combined with CT in the diagnosis of lymph node metastasis of early cervical cancer were compared. The sensitivity, specificity and diagnostic accordance rate of MRI in the diagnosis of lymph node metastasis of early cervical cancer in stage Ia-Ib were 75.00, 72.92 and 77.50%, respectively, which were significantly higher than those of PET/CT in the same period (P&lt;0.05). The sensitivity, specificity and diagnostic accordance rate of MRI combined with CT in the diagnosis of early cervical cancer in stage Ia-Ib were 78.13, 87.50 and 83.75%, respectively, which were significantly higher than those of MRI or CT alone (P&lt;0.05). However, the sensitivity, specificity and diagnostic accordance rate of MRI combined with CT in the diagnosis of lymph node metastasis of early cervical cancer in stage IIa-IIb were 91.66, 82.81 and 88.13%, respectively, which were significantly higher than those of MRI or CT alone (P&lt;0.05). MRI is superior to CT in the diagnosis of lymph node metastasis of early cervical cancer. However, the diagnostic efficiency of combined scans of the two is far higher than that of MRI or CT alone, which has more diagnostic value. In clinic, MRI and CT should be combined to improve the diagnostic accuracy of diseases.","container-title":"Oncology Letters","DOI":"10.3892/ol.2019.11180","ISSN":"1792-1074","issue":"1","journalAbbreviation":"Oncol Lett","note":"PMID: 31897185\nPMCID: PMC6924181","page":"700-706","source":"PubMed Central","title":"Diagnostic value and clinical significance of MRI and CT in detecting lymph node metastasis of early cervical cancer","volume":"19","author":[{"family":"Luo","given":"Lan"},{"family":"Luo","given":"Qian"},{"family":"Tang","given":"Liang"}],"issued":{"date-parts":[["2020",1]]}}}],"schema":"https://github.com/citation-style-language/schema/raw/master/csl-citation.json"}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(Luo et al., 2020)</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CT imaging is widely used for many clinical diagnoses. Its non-invasive benefits and clinical use in </w:t>
      </w:r>
      <w:proofErr w:type="spellStart"/>
      <w:r>
        <w:rPr>
          <w:rFonts w:ascii="Times New Roman" w:eastAsia="Times New Roman" w:hAnsi="Times New Roman" w:cs="Times New Roman"/>
          <w:kern w:val="0"/>
          <w:sz w:val="24"/>
          <w:szCs w:val="24"/>
          <w:lang w:eastAsia="en-IN"/>
          <w14:ligatures w14:val="none"/>
        </w:rPr>
        <w:t>tumors</w:t>
      </w:r>
      <w:proofErr w:type="spellEnd"/>
      <w:r>
        <w:rPr>
          <w:rFonts w:ascii="Times New Roman" w:eastAsia="Times New Roman" w:hAnsi="Times New Roman" w:cs="Times New Roman"/>
          <w:kern w:val="0"/>
          <w:sz w:val="24"/>
          <w:szCs w:val="24"/>
          <w:lang w:eastAsia="en-IN"/>
          <w14:ligatures w14:val="none"/>
        </w:rPr>
        <w:t xml:space="preserve"> and other possible diagnoses cannot be overlooked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{"citationID":"puIA0AiD","properties":{"formattedCitation":"(Chacko &amp; Ankri, 2024)","plainCitation":"(Chacko &amp; Ankri, 2024)","noteIndex":0},"citationItems":[{"id":"p7zULTu6/Z8iBfhX5","uris":["http://zotero.org/users/16274399/items/DGS2AXLK"],"itemData":{"id":198,"type":"article-journal","abstract":"This review paper explores the realm of non-invasive methods for early cancer detection. Early identification is crucial for effective therapeutic intervention, and non-invasive techniques have emerged as promising tools to enhance diagnostic accuracy and improve patient outcomes. The paper thoroughly examines the advantages, limitations, and prospects of various non-invasive approaches, including blood tests, non-blood-based tests, and diverse imaging modalities. It discusses the biomarkers found in blood for early-stage cancer detection, specifying the types of cancer associated with each biomarker. The non-blood-based tests focus on components in saliva, urine, and breath for cancer detection, alongside current studies and future perspectives on various cancers. Optical imaging methods covered in this review include fluorescence imaging in the near-infrared (NIR) region, bioluminescence imaging, and Raman spectroscopy for early-stage cancer detection. The review also highlights the pros and cons of ultrasound imaging in early-stage cancer detection. Additionally, the clinical implications of using AI for cancer detection, both present and future, are explored. This paper provides valuable insights for researchers and clinicians working in the field of non-invasive early-stage cancer detection.","container-title":"Clinical and Experimental Medicine","DOI":"10.1007/s10238-024-01513-x","ISSN":"1591-9528","issue":"1","journalAbbreviation":"Clin Exp Med","language":"en","page":"17","source":"Springer Link","title":"Non-invasive early-stage cancer detection: current methods and future perspectives","title-short":"Non-invasive early-stage cancer detection","volume":"25","author":[{"family":"Chacko","given":"Neelima"},{"family":"Ankri","given":"Rinat"}],"issued":{"date-parts":[["2024",12,21]]}}}],"schema":"https://github.com/citation-style-language/schema/raw/master/csl-citation.json"}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(Chacko &amp; Ankri, 2024)</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CT scan best diagnose the calcified </w:t>
      </w:r>
      <w:proofErr w:type="spellStart"/>
      <w:r>
        <w:rPr>
          <w:rFonts w:ascii="Times New Roman" w:eastAsia="Times New Roman" w:hAnsi="Times New Roman" w:cs="Times New Roman"/>
          <w:kern w:val="0"/>
          <w:sz w:val="24"/>
          <w:szCs w:val="24"/>
          <w:lang w:eastAsia="en-IN"/>
          <w14:ligatures w14:val="none"/>
        </w:rPr>
        <w:t>tumor</w:t>
      </w:r>
      <w:proofErr w:type="spellEnd"/>
      <w:r>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{"citationID":"zN6hS9p2","properties":{"formattedCitation":"(Zulfiqar et al., 2020)","plainCitation":"(Zulfiqar et al., 2020)","noteIndex":0},"citationItems":[{"id":"p7zULTu6/WjztPRGz","uris":["http://zotero.org/users/16274399/items/L7B5TULN"],"itemData":{"id":208,"type":"article-journal","abstract":"Intra-abdominal calcifications are common. Multiple pathologic processes manifest                    within the abdomen and pelvis in association with calcifications, which can be                    benign, premalignant, or malignant. Although calcium deposition in the abdomen                    can occur secondary to various mechanisms, the most common cau se is cellular                    injury that leads to dystrophic calcifications. The authors provide a summary of                    various common and uncommon calcifications in the abdomen and pelvis, primarily                    using location to illuminate diagnostic significance. Six broad categories of                    calcifications in the abdomen and pelvis are recognized: mesenteric, peritoneal,                    retroperitoneal, organ-based, vascular, and musculoskeletal. In addition to                    site, the various patterns and morphology of calcifications encountered in                    various conditions can be helpful for diagnosis, especially those depicted on                    radiographs. For example, some patterns diagnostic for various conditions                    include round or oval stones in the biliary or urothelial tracts, curvilinear                    calcifications associated with cysts or neoplasms, and sheetlike calcifications                    along peritoneal surfaces in the setting of chronic peritoneal dialysis or                    metastatic disease. Organ encrustation with calcium may be a premalignant                    finding (eg, porcelain gallbladder). In addition, the development of calcium                    after initiation of treatment can be used as an indicator of response in                    conditions such as tuberculosis, lymphoma, and hydatid disease. As                    calcifications are almost invariably detected at imaging, it is imperative for                    radiologists to be aware of their diagnostic implications and use the presence                    of calcification in an organ, mass, or other anatomic location for problem                    solving. ©RSNA, 2020","container-title":"RadioGraphics","DOI":"10.1148/rg.2020190152","ISSN":"0271-5333","issue":"3","note":"publisher: Radiological Society of North America","page":"731-753","source":"pubs.rsna.org (Atypon)","title":"Diagnostic Approach to Benign and Malignant Calcifications in the                    Abdomen and Pelvis","volume":"40","author":[{"family":"Zulfiqar","given":"Maria"},{"family":"Shetty","given":"Anup"},{"family":"Tsai","given":"Richard"},{"family":"Gagnon","given":"Marie-Helene"},{"family":"Balfe","given":"Dennis                            M."},{"family":"Mellnick","given":"Vincent M."}],"issued":{"date-parts":[["2020",5]]}}}],"schema":"https://github.com/citation-style-language/schema/raw/master/csl-citation.json"}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(Zulfiqar et al., 2020)</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Some silent disorders can be discovered at an early stage and can be treated simply before they become severe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{"citationID":"JNelsbjF","properties":{"formattedCitation":"(Neugut et al., 2019)","plainCitation":"(Neugut et al., 2019)","noteIndex":0},"citationItems":[{"id":"p7zULTu6/NBN5w5kZ","uris":["http://zotero.org/users/16274399/items/DIGKN7KG"],"itemData":{"id":200,"type":"article-journal","abstract":"To improve survival rates, investigators are studying ways to identify brain tumors at the preclinical or early clinical stage. This article reviews the rationale for screening in general, provides a brief overview of brain tumor epidemiology, and evaluates the main studies of the prevalence of various asymptomatic brain tumors in the general population.","container-title":"The Oncologist","DOI":"10.1634/theoncologist.2018-0177","ISSN":"1083-7159","issue":"3","journalAbbreviation":"Oncologist","note":"PMID: 30305414\nPMCID: PMC6519753","page":"375-384","source":"PubMed Central","title":"Magnetic Resonance Imaging‐Based Screening for Asymptomatic Brain Tumors: A Review","title-short":"Magnetic Resonance Imaging‐Based Screening for Asymptomatic Brain Tumors","volume":"24","author":[{"family":"Neugut","given":"Alfred I."},{"family":"Sackstein","given":"Paul"},{"family":"Hillyer","given":"Grace C."},{"family":"Jacobson","given":"Judith S."},{"family":"Bruce","given":"Jeffrey"},{"family":"Lassman","given":"Andrew B."},{"family":"Stieg","given":"Philip A."}],"issued":{"date-parts":[["2019",3]]}}}],"schema":"https://github.com/citation-style-language/schema/raw/master/csl-citation.json"}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(Neugut et al., 2019)</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The human body is not affected by MRI exposure since it acquires images using magnetic fields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{"citationID":"EGW8fL7a","properties":{"formattedCitation":"(Ghadimi &amp; Sapra, 2025)","plainCitation":"(Ghadimi &amp; Sapra, 2025)","noteIndex":0},"citationItems":[{"id":"p7zULTu6/VHvqLtyr","uris":["http://zotero.org/users/16274399/items/4ALQ6BJH"],"itemData":{"id":203,"type":"chapter","abstract":"Magnetic resonance imaging (MRI) is one of the non-invasive imaging techniques that have superior soft tissue contrasts and potential physiological and functional applications. As MRI does not expose the body to radiation, it has become a mainstay of non-invasive diagnostic radiology modality since the 1980s. MRI uses a very powerful magnetic field, rapidly changing magnetic fields, radio waves, and a computer to obtain detailed images. However, MRI is not without risks. As clinical demand for MRI has increased, healthcare professionals have to be trained in MRI safety to protect patients from the potential risks of MRI.","call-number":"NBK551669","container-title":"StatPearls","event-place":"Treasure Island (FL)","language":"eng","license":"Copyright © 2025, StatPearls Publishing LLC.","note":"PMID: 31869133","publisher":"StatPearls Publishing","publisher-place":"Treasure Island (FL)","source":"PubMed","title":"Magnetic Resonance Imaging Contraindications","URL":"http://www.ncbi.nlm.nih.gov/books/NBK551669/","author":[{"family":"Ghadimi","given":"Maryam"},{"family":"Sapra","given":"Amit"}],"accessed":{"date-parts":[["2025",2,3]]},"issued":{"date-parts":[["2025"]]}}}],"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(Ghadimi &amp; Sapra, 2025)</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It can do both whole-body and local scanning, which is safer and more sophisticated. Additionally, it offers more diagnostic anatomical features than CT, and the images have more </w:t>
      </w:r>
      <w:r>
        <w:rPr>
          <w:rFonts w:ascii="Times New Roman" w:eastAsia="Times New Roman" w:hAnsi="Times New Roman" w:cs="Times New Roman"/>
          <w:kern w:val="0"/>
          <w:sz w:val="24"/>
          <w:szCs w:val="24"/>
          <w:lang w:eastAsia="en-IN"/>
          <w14:ligatures w14:val="none"/>
        </w:rPr>
        <w:lastRenderedPageBreak/>
        <w:t xml:space="preserve">textural information overall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{"citationID":"2x6Irtji","properties":{"formattedCitation":"(Alorainy et al., 2024)","plainCitation":"(Alorainy et al., 2024)","noteIndex":0},"citationItems":[{"id":"p7zULTu6/UinQHKVH","uris":["http://zotero.org/users/16274399/items/6E5K6ZXD"],"itemData":{"id":209,"type":"article-journal","abstract":"Background\nMagnetic Resonance Imaging (MRI) is a crucial diagnostic imaging tool as it has a high contrast resolution for soft tissues. In MRI, the artifact is an unwanted appearance in the image which degrades the image quality and hence hampers the accurate diagnosis of disease. The presence of metallic compounds in several personal care products (PCPs) causes artifacts in MR images.\nObjectives\nThis study aimed to find the relationship between hair and body (healthcare) products and MRI artifacts.\nMethods\nA total of 22 PCPs (hairs, body, and a few makeup products) were tested utilizing a 1.5 T MRI scanner. The products were filled in a small plastic bag taped to the performance phantom. The phantom was placed in a brain RF coil and scanned using T1-weighted and T2-weighted images.\nResults\nA total of 16 out of 22 PCPs showed artifacts in the clinical and quantitative analysis, with effects ranging from mild to severe artifacts.\nConclusion\nBased on the quantitative and clinical analysis of personal care products, it can be reported that some hair and body products, as well as cosmetics, can generate visual artifacts. If the artifact is located in the same area of interest as the image, it may degrade the image quality and lead to a medical misdiagnosis.","container-title":"Journal of Radiation Research and Applied Sciences","DOI":"10.1016/j.jrras.2023.100784","ISSN":"1687-8507","issue":"1","journalAbbreviation":"Journal of Radiation Research and Applied Sciences","page":"100784","source":"ScienceDirect","title":"The impact of personal care products on the image quality of Magnetic Resonance Imaging","volume":"17","author":[{"family":"Alorainy","given":"Amal I."},{"family":"Hamd","given":"Zuhal Y."},{"family":"Tamam","given":"Nissren"},{"family":"Alotaibi","given":"Shrouq Z."},{"family":"Alshehri","given":"Raghad A."},{"family":"Alotaibi","given":"Rahaf A."},{"family":"Alsuhaim","given":"Norah S."},{"family":"Albadrani","given":"Shumukh M."},{"family":"Alsakait","given":"Rwa M."},{"family":"Alhenaki","given":"Manal A."},{"family":"Abdelaty","given":"Sahar M."},{"family":"Hanfi","given":"Mohamed Y."},{"family":"Khandaker","given":"Mayeen Uddin"}],"issued":{"date-parts":[["2024",3,1]]}}}],"schema":"https://github.com/citation-style-language/schema/raw/master/csl-citation.json"}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(Alorainy et al., 2024)</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As a result, comparing the benefits and drawbacks of CT and MRI is difficult. A case-by-case analysis is required for this. The most prevalent method of radiographic disease assessment is visual evaluation, which can be further interpreted by complex computational studies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{"citationID":"MxY8CR8k","properties":{"formattedCitation":"(Bi et al., 2019)","plainCitation":"(Bi et al., 2019)","noteIndex":0},"citationItems":[{"id":"p7zULTu6/Xf0sOvpH","uris":["http://zotero.org/users/16274399/items/TSLZCB6R"],"itemData":{"id":190,"type":"article-journal","abstract":"Judgement, as one of the core tenets of medicine, relies upon the integration of multilayered data with nuanced decision making. Cancer offers a unique context for medical decisions given not only its variegated forms with evolution of disease but also the need to take into account the individual condition of patients, their ability to receive treatment, and their responses to treatment. Challenges remain in the accurate detection, characterization, and monitoring of cancers despite improved technologies. Radiographic assessment of disease most commonly relies upon visual evaluations, the interpretations of which may be augmented by advanced computational analyses. In particular, artificial intelligence (AI) promises to make great strides in the qualitative interpretation of cancer imaging by expert clinicians, including volumetric delineation of tumors over time, extrapolation of the tumor genotype and biological course from its radiographic phenotype, prediction of clinical outcome, and assessment of the impact of disease and treatment on adjacent organs. AI may automate processes in the initial interpretation of images and shift the clinical workflow of radiographic detection, management decisions on whether or not to administer an intervention, and subsequent observation to a yet to be envisioned paradigm. Here, the authors review the current state of AI as applied to medical imaging of cancer and describe advances in 4 tumor types (lung, brain, breast, and prostate) to illustrate how common clinical problems are being addressed. Although most studies evaluating AI applications in oncology to date have not been vigorously validated for reproducibility and generalizability, the results do highlight increasingly concerted efforts in pushing AI technology to clinical use and to impact future directions in cancer care.","container-title":"CA: a cancer journal for clinicians","DOI":"10.3322/caac.21552","ISSN":"1542-4863","issue":"2","journalAbbreviation":"CA Cancer J Clin","language":"eng","note":"PMID: 30720861\nPMCID: PMC6403009","page":"127-157","source":"PubMed","title":"Artificial intelligence in cancer imaging: Clinical challenges and applications","title-short":"Artificial intelligence in cancer imaging","volume":"69","author":[{"family":"Bi","given":"Wenya Linda"},{"family":"Hosny","given":"Ahmed"},{"family":"Schabath","given":"Matthew B."},{"family":"Giger","given":"Maryellen L."},{"family":"Birkbak","given":"Nicolai J."},{"family":"Mehrtash","given":"Alireza"},{"family":"Allison","given":"Tavis"},{"family":"Arnaout","given":"Omar"},{"family":"Abbosh","given":"Christopher"},{"family":"Dunn","given":"Ian F."},{"family":"Mak","given":"Raymond H."},{"family":"Tamimi","given":"Rulla M."},{"family":"Tempany","given":"Clare M."},{"family":"Swanton","given":"Charles"},{"family":"Hoffmann","given":"Udo"},{"family":"Schwartz","given":"Lawrence H."},{"family":"Gillies","given":"Robert J."},{"family":"Huang","given":"Raymond Y."},{"family":"Aerts","given":"Hugo J. W. L."}],"issued":{"date-parts":[["2019",3]]}}}],"schema":"https://github.com/citation-style-language/schema/raw/master/csl-citation.json"}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(Bi et al., 2019)</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Artificial intelligence (AI) has the potential to significantly improve the qualitative interpretation of cancer imaging by skilled clinicians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{"citationID":"Iiv3mmwz","properties":{"formattedCitation":"(Koh et al., 2022)","plainCitation":"(Koh et al., 2022)","noteIndex":0},"citationItems":[{"id":"p7zULTu6/wAE3PgBS","uris":["http://zotero.org/users/16274399/items/F6YAE34P"],"itemData":{"id":193,"type":"article-journal","abstract":"An increasing array of tools is being developed using artificial intelligence (AI) and machine learning (ML) for cancer imaging. The development of an optimal tool requires multidisciplinary engagement to ensure that the appropriate use case is met, as well as to undertake robust development and testing prior to its adoption into healthcare systems. This multidisciplinary review highlights key developments in the field. We discuss the challenges and opportunities of AI and ML in cancer imaging; considerations for the development of algorithms into tools that can be widely used and disseminated; and the development of the ecosystem needed to promote growth of AI and ML in cancer imaging.","container-title":"Communications Medicine","DOI":"10.1038/s43856-022-00199-0","ISSN":"2730-664X","issue":"1","journalAbbreviation":"Commun Med","language":"en","license":"2022 The Author(s)","note":"publisher: Nature Publishing Group","page":"1-14","source":"www.nature.com","title":"Artificial intelligence and machine learning in cancer imaging","volume":"2","author":[{"family":"Koh","given":"Dow-Mu"},{"family":"Papanikolaou","given":"Nickolas"},{"family":"Bick","given":"Ulrich"},{"family":"Illing","given":"Rowland"},{"family":"Kahn","given":"Charles E."},{"family":"Kalpathi-Cramer","given":"Jayshree"},{"family":"Matos","given":"Celso"},{"family":"Martí-Bonmatí","given":"Luis"},{"family":"Miles","given":"Anne"},{"family":"Mun","given":"Seong Ki"},{"family":"Napel","given":"Sandy"},{"family":"Rockall","given":"Andrea"},{"family":"Sala","given":"Evis"},{"family":"Strickland","given":"Nicola"},{"family":"Prior","given":"Fred"}],"issued":{"date-parts":[["2022",10,27]]}}}],"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(Koh et al., 2022)</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This includes the ability to volumetrically delineate </w:t>
      </w:r>
      <w:proofErr w:type="spellStart"/>
      <w:r>
        <w:rPr>
          <w:rFonts w:ascii="Times New Roman" w:eastAsia="Times New Roman" w:hAnsi="Times New Roman" w:cs="Times New Roman"/>
          <w:kern w:val="0"/>
          <w:sz w:val="24"/>
          <w:szCs w:val="24"/>
          <w:lang w:eastAsia="en-IN"/>
          <w14:ligatures w14:val="none"/>
        </w:rPr>
        <w:t>tumors</w:t>
      </w:r>
      <w:proofErr w:type="spellEnd"/>
      <w:r>
        <w:rPr>
          <w:rFonts w:ascii="Times New Roman" w:eastAsia="Times New Roman" w:hAnsi="Times New Roman" w:cs="Times New Roman"/>
          <w:kern w:val="0"/>
          <w:sz w:val="24"/>
          <w:szCs w:val="24"/>
          <w:lang w:eastAsia="en-IN"/>
          <w14:ligatures w14:val="none"/>
        </w:rPr>
        <w:t xml:space="preserve"> over time, extrapolate the </w:t>
      </w:r>
      <w:proofErr w:type="spellStart"/>
      <w:r>
        <w:rPr>
          <w:rFonts w:ascii="Times New Roman" w:eastAsia="Times New Roman" w:hAnsi="Times New Roman" w:cs="Times New Roman"/>
          <w:kern w:val="0"/>
          <w:sz w:val="24"/>
          <w:szCs w:val="24"/>
          <w:lang w:eastAsia="en-IN"/>
          <w14:ligatures w14:val="none"/>
        </w:rPr>
        <w:t>tumor's</w:t>
      </w:r>
      <w:proofErr w:type="spellEnd"/>
      <w:r>
        <w:rPr>
          <w:rFonts w:ascii="Times New Roman" w:eastAsia="Times New Roman" w:hAnsi="Times New Roman" w:cs="Times New Roman"/>
          <w:kern w:val="0"/>
          <w:sz w:val="24"/>
          <w:szCs w:val="24"/>
          <w:lang w:eastAsia="en-IN"/>
          <w14:ligatures w14:val="none"/>
        </w:rPr>
        <w:t xml:space="preserve"> biological course and genotype from its radiographic phenotype, predict clinical outcomes, and evaluate the effects of disease and treatment on nearby organs. AI has the potential to automate the first steps in image interpretation and change the clinical workflow of radiography detection, management choices about the administration of an intervention, and follow-up observation to a pattern that has not yet been imagined </w:t>
      </w:r>
      <w:r>
        <w:rPr>
          <w:rFonts w:ascii="Times New Roman" w:eastAsia="Times New Roman" w:hAnsi="Times New Roman" w:cs="Times New Roman"/>
          <w:kern w:val="0"/>
          <w:sz w:val="24"/>
          <w:szCs w:val="24"/>
          <w:lang w:eastAsia="en-IN"/>
          <w14:ligatures w14:val="none"/>
        </w:rPr>
        <w:fldChar w:fldCharType="begin"/>
      </w:r>
      <w:r w:rsidR="0095240E">
        <w:rPr>
          <w:rFonts w:ascii="Times New Roman" w:eastAsia="Times New Roman" w:hAnsi="Times New Roman" w:cs="Times New Roman"/>
          <w:kern w:val="0"/>
          <w:sz w:val="24"/>
          <w:szCs w:val="24"/>
          <w:lang w:eastAsia="en-IN"/>
          <w14:ligatures w14:val="none"/>
        </w:rPr>
        <w:instrText xml:space="preserve"> ADDIN ZOTERO_ITEM CSL_CITATION {"citationID":"3hPiJexi","properties":{"formattedCitation":"(Bi et al., 2019)","plainCitation":"(Bi et al., 2019)","noteIndex":0},"citationItems":[{"id":"p7zULTu6/Xf0sOvpH","uris":["http://zotero.org/users/16274399/items/TSLZCB6R"],"itemData":{"id":190,"type":"article-journal","abstract":"Judgement, as one of the core tenets of medicine, relies upon the integration of multilayered data with nuanced decision making. Cancer offers a unique context for medical decisions given not only its variegated forms with evolution of disease but also the need to take into account the individual condition of patients, their ability to receive treatment, and their responses to treatment. Challenges remain in the accurate detection, characterization, and monitoring of cancers despite improved technologies. Radiographic assessment of disease most commonly relies upon visual evaluations, the interpretations of which may be augmented by advanced computational analyses. In particular, artificial intelligence (AI) promises to make great strides in the qualitative interpretation of cancer imaging by expert clinicians, including volumetric delineation of tumors over time, extrapolation of the tumor genotype and biological course from its radiographic phenotype, prediction of clinical outcome, and assessment of the impact of disease and treatment on adjacent organs. AI may automate processes in the initial interpretation of images and shift the clinical workflow of radiographic detection, management decisions on whether or not to administer an intervention, and subsequent observation to a yet to be envisioned paradigm. Here, the authors review the current state of AI as applied to medical imaging of cancer and describe advances in 4 tumor types (lung, brain, breast, and prostate) to illustrate how common clinical problems are being addressed. Although most studies evaluating AI applications in oncology to date have not been vigorously validated for reproducibility and generalizability, the results do highlight increasingly concerted efforts in pushing AI technology to clinical use and to impact future directions in cancer care.","container-title":"CA: a cancer journal for clinicians","DOI":"10.3322/caac.21552","ISSN":"1542-4863","issue":"2","journalAbbreviation":"CA Cancer J Clin","language":"eng","note":"PMID: 30720861\nPMCID: PMC6403009","page":"127-157","source":"PubMed","title":"Artificial intelligence in cancer imaging: Clinical challenges and applications","title-short":"Artificial intelligence in cancer imaging","volume":"69","author":[{"family":"Bi","given":"Wenya Linda"},{"family":"Hosny","given":"Ahmed"},{"family":"Schabath","given":"Matthew B."},{"family":"Giger","given":"Maryellen L."},{"family":"Birkbak","given":"Nicolai J."},{"family":"Mehrtash","given":"Alireza"},{"family":"Allison","given":"Tavis"},{"family":"Arnaout","given":"Omar"},{"family":"Abbosh","given":"Christopher"},{"family":"Dunn","given":"Ian F."},{"family":"Mak","given":"Raymond H."},{"family":"Tamimi","given":"Rulla M."},{"family":"Tempany","given":"Clare M."},{"family":"Swanton","given":"Charles"},{"family":"Hoffmann","given":"Udo"},{"family":"Schwartz","given":"Lawrence H."},{"family":"Gillies","given":"Robert J."},{"family":"Huang","given":"Raymond Y."},{"family":"Aerts","given":"Hugo J. W. L."}],"issued":{"date-parts":[["2019",3]]}}}],"schema":"https://github.com/citation-style-language/schema/raw/master/csl-citation.json"}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95240E" w:rsidRPr="0095240E">
        <w:rPr>
          <w:rFonts w:ascii="Times New Roman" w:hAnsi="Times New Roman" w:cs="Times New Roman"/>
          <w:sz w:val="24"/>
        </w:rPr>
        <w:t>(Bi et al., 2019)</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w:t>
      </w:r>
    </w:p>
    <w:p w14:paraId="002B7F06" w14:textId="77777777" w:rsidR="0035583F" w:rsidRDefault="0035583F">
      <w:pPr>
        <w:pStyle w:val="ListParagraph"/>
        <w:spacing w:line="360" w:lineRule="auto"/>
        <w:ind w:left="0"/>
        <w:jc w:val="both"/>
        <w:rPr>
          <w:rFonts w:ascii="Times New Roman" w:eastAsia="Times New Roman" w:hAnsi="Times New Roman" w:cs="Times New Roman"/>
          <w:kern w:val="0"/>
          <w:sz w:val="12"/>
          <w:szCs w:val="12"/>
          <w:lang w:eastAsia="en-IN"/>
          <w14:ligatures w14:val="none"/>
        </w:rPr>
      </w:pPr>
    </w:p>
    <w:p w14:paraId="165F16AC" w14:textId="3C07F502" w:rsidR="008B76E5" w:rsidRPr="008B76E5" w:rsidRDefault="00FB0430"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0F487A4C" w14:textId="4C05707F" w:rsidR="00AC3AD9" w:rsidRDefault="00FB0430" w:rsidP="009472B2">
      <w:pPr>
        <w:pStyle w:val="ListParagraph"/>
        <w:spacing w:line="360" w:lineRule="auto"/>
        <w:ind w:left="0"/>
        <w:jc w:val="both"/>
        <w:rPr>
          <w:rFonts w:ascii="Times New Roman" w:hAnsi="Times New Roman" w:cs="Times New Roman"/>
          <w:sz w:val="24"/>
          <w:szCs w:val="24"/>
        </w:rPr>
      </w:pPr>
      <w:r w:rsidRPr="00DF0DE0">
        <w:rPr>
          <w:rFonts w:ascii="Times New Roman" w:eastAsia="Times New Roman" w:hAnsi="Times New Roman" w:cs="Times New Roman"/>
          <w:kern w:val="0"/>
          <w:sz w:val="24"/>
          <w:szCs w:val="24"/>
          <w:lang w:eastAsia="en-IN"/>
          <w14:ligatures w14:val="none"/>
        </w:rPr>
        <w:t>Even though cancer might be fatal or have a bad prognosis</w:t>
      </w:r>
      <w:r w:rsidRPr="00DF0DE0">
        <w:rPr>
          <w:rFonts w:ascii="Times New Roman" w:hAnsi="Times New Roman" w:cs="Times New Roman"/>
          <w:sz w:val="24"/>
          <w:szCs w:val="24"/>
        </w:rPr>
        <w:t>, a proper precise, and early diagnosis proves to</w:t>
      </w:r>
      <w:r w:rsidR="001D1594" w:rsidRPr="00DF0DE0">
        <w:rPr>
          <w:rFonts w:ascii="Times New Roman" w:hAnsi="Times New Roman" w:cs="Times New Roman"/>
          <w:sz w:val="24"/>
          <w:szCs w:val="24"/>
        </w:rPr>
        <w:t xml:space="preserve"> </w:t>
      </w:r>
      <w:r w:rsidR="009472B2">
        <w:rPr>
          <w:rFonts w:ascii="Times New Roman" w:hAnsi="Times New Roman" w:cs="Times New Roman"/>
          <w:sz w:val="24"/>
          <w:szCs w:val="24"/>
        </w:rPr>
        <w:t>help ensure</w:t>
      </w:r>
      <w:r w:rsidRPr="00DF0DE0">
        <w:rPr>
          <w:rFonts w:ascii="Times New Roman" w:hAnsi="Times New Roman" w:cs="Times New Roman"/>
          <w:sz w:val="24"/>
          <w:szCs w:val="24"/>
        </w:rPr>
        <w:t xml:space="preserve"> a high probability prognosis. The first-line modalities that are used after suspecting any lesion are Ultrasonography, CT, and MRI. However, because CT and MRI give a three-dimensional image, they are more accurate in diagnosing conditions than ultrasound. CT and MRI show very clear contrast enhancement within the lesion</w:t>
      </w:r>
      <w:r w:rsidR="00C419F6" w:rsidRPr="00DF0DE0">
        <w:rPr>
          <w:rFonts w:ascii="Times New Roman" w:hAnsi="Times New Roman" w:cs="Times New Roman"/>
          <w:sz w:val="24"/>
          <w:szCs w:val="24"/>
        </w:rPr>
        <w:t>,</w:t>
      </w:r>
      <w:r w:rsidRPr="00DF0DE0">
        <w:rPr>
          <w:rFonts w:ascii="Times New Roman" w:hAnsi="Times New Roman" w:cs="Times New Roman"/>
          <w:sz w:val="24"/>
          <w:szCs w:val="24"/>
        </w:rPr>
        <w:t xml:space="preserve"> which helps to determine the type and staging of the </w:t>
      </w:r>
      <w:proofErr w:type="spellStart"/>
      <w:r w:rsidRPr="00DF0DE0">
        <w:rPr>
          <w:rFonts w:ascii="Times New Roman" w:hAnsi="Times New Roman" w:cs="Times New Roman"/>
          <w:sz w:val="24"/>
          <w:szCs w:val="24"/>
        </w:rPr>
        <w:t>tumor</w:t>
      </w:r>
      <w:proofErr w:type="spellEnd"/>
      <w:r w:rsidRPr="00DF0DE0">
        <w:rPr>
          <w:rFonts w:ascii="Times New Roman" w:hAnsi="Times New Roman" w:cs="Times New Roman"/>
          <w:sz w:val="24"/>
          <w:szCs w:val="24"/>
        </w:rPr>
        <w:t xml:space="preserve"> by using the TNM method. Staging and type of </w:t>
      </w:r>
      <w:proofErr w:type="spellStart"/>
      <w:r w:rsidRPr="00DF0DE0">
        <w:rPr>
          <w:rFonts w:ascii="Times New Roman" w:hAnsi="Times New Roman" w:cs="Times New Roman"/>
          <w:sz w:val="24"/>
          <w:szCs w:val="24"/>
        </w:rPr>
        <w:t>tumor</w:t>
      </w:r>
      <w:proofErr w:type="spellEnd"/>
      <w:r w:rsidRPr="00DF0DE0">
        <w:rPr>
          <w:rFonts w:ascii="Times New Roman" w:hAnsi="Times New Roman" w:cs="Times New Roman"/>
          <w:sz w:val="24"/>
          <w:szCs w:val="24"/>
        </w:rPr>
        <w:t xml:space="preserve"> is an important aspect in cancer treatment, PET-CT enables much more comprehensive cancer staging. However, contrast can occasionally result in allergic reactions and may even be the cause of nephrogenic systemic fibrosis (NFS). Therefore, before administering contrast, the renal function test (RFT) must be normal to prevent NFS</w:t>
      </w:r>
      <w:r w:rsidR="00DF0DE0">
        <w:rPr>
          <w:rFonts w:ascii="Times New Roman" w:hAnsi="Times New Roman" w:cs="Times New Roman"/>
          <w:sz w:val="24"/>
          <w:szCs w:val="24"/>
        </w:rPr>
        <w:t>.</w:t>
      </w:r>
      <w:r w:rsidR="00DF0DE0">
        <w:rPr>
          <w:rFonts w:ascii="Times New Roman" w:eastAsia="Times New Roman" w:hAnsi="Times New Roman" w:cs="Times New Roman"/>
          <w:kern w:val="0"/>
          <w:sz w:val="24"/>
          <w:szCs w:val="24"/>
          <w:lang w:eastAsia="en-IN"/>
          <w14:ligatures w14:val="none"/>
        </w:rPr>
        <w:t xml:space="preserve"> In case</w:t>
      </w:r>
      <w:r w:rsidR="00DF0DE0" w:rsidRPr="00DF0DE0">
        <w:rPr>
          <w:rFonts w:ascii="Times New Roman" w:hAnsi="Times New Roman" w:cs="Times New Roman"/>
          <w:sz w:val="24"/>
          <w:szCs w:val="24"/>
        </w:rPr>
        <w:t xml:space="preserve"> </w:t>
      </w:r>
      <w:r w:rsidR="00DF0DE0">
        <w:rPr>
          <w:rFonts w:ascii="Times New Roman" w:hAnsi="Times New Roman" w:cs="Times New Roman"/>
          <w:sz w:val="24"/>
          <w:szCs w:val="24"/>
        </w:rPr>
        <w:t>RFT</w:t>
      </w:r>
      <w:r w:rsidR="00DF0DE0" w:rsidRPr="00DF0DE0">
        <w:rPr>
          <w:rFonts w:ascii="Times New Roman" w:hAnsi="Times New Roman" w:cs="Times New Roman"/>
          <w:sz w:val="24"/>
          <w:szCs w:val="24"/>
        </w:rPr>
        <w:t xml:space="preserve"> is </w:t>
      </w:r>
      <w:r w:rsidR="00DF0DE0">
        <w:rPr>
          <w:rFonts w:ascii="Times New Roman" w:hAnsi="Times New Roman" w:cs="Times New Roman"/>
          <w:sz w:val="24"/>
          <w:szCs w:val="24"/>
        </w:rPr>
        <w:t xml:space="preserve">not </w:t>
      </w:r>
      <w:r w:rsidR="00DF0DE0" w:rsidRPr="00DF0DE0">
        <w:rPr>
          <w:rFonts w:ascii="Times New Roman" w:hAnsi="Times New Roman" w:cs="Times New Roman"/>
          <w:sz w:val="24"/>
          <w:szCs w:val="24"/>
        </w:rPr>
        <w:t xml:space="preserve">normal, DWI is utilized to partially replace the need for contrast-enhanced imaging for extracting information about the </w:t>
      </w:r>
      <w:proofErr w:type="spellStart"/>
      <w:r w:rsidR="00DF0DE0" w:rsidRPr="00DF0DE0">
        <w:rPr>
          <w:rFonts w:ascii="Times New Roman" w:hAnsi="Times New Roman" w:cs="Times New Roman"/>
          <w:sz w:val="24"/>
          <w:szCs w:val="24"/>
        </w:rPr>
        <w:t>tumor</w:t>
      </w:r>
      <w:proofErr w:type="spellEnd"/>
      <w:r w:rsidR="00C419F6" w:rsidRPr="00DF0DE0">
        <w:rPr>
          <w:rFonts w:ascii="Times New Roman" w:hAnsi="Times New Roman" w:cs="Times New Roman"/>
          <w:sz w:val="24"/>
          <w:szCs w:val="24"/>
        </w:rPr>
        <w:t>.</w:t>
      </w:r>
      <w:r w:rsidRPr="00DF0DE0">
        <w:rPr>
          <w:rFonts w:ascii="Times New Roman" w:hAnsi="Times New Roman" w:cs="Times New Roman"/>
          <w:sz w:val="24"/>
          <w:szCs w:val="24"/>
        </w:rPr>
        <w:t xml:space="preserve"> CT scans use iodine-based contrast (</w:t>
      </w:r>
      <w:proofErr w:type="spellStart"/>
      <w:r w:rsidRPr="00DF0DE0">
        <w:rPr>
          <w:rFonts w:ascii="Times New Roman" w:hAnsi="Times New Roman" w:cs="Times New Roman"/>
          <w:sz w:val="24"/>
          <w:szCs w:val="24"/>
        </w:rPr>
        <w:t>Iohexol</w:t>
      </w:r>
      <w:proofErr w:type="spellEnd"/>
      <w:r w:rsidRPr="00DF0DE0">
        <w:rPr>
          <w:rFonts w:ascii="Times New Roman" w:hAnsi="Times New Roman" w:cs="Times New Roman"/>
          <w:sz w:val="24"/>
          <w:szCs w:val="24"/>
        </w:rPr>
        <w:t xml:space="preserve">), whereas MRI uses gadolinium-based contrast for the enhancement of tissues and </w:t>
      </w:r>
      <w:proofErr w:type="spellStart"/>
      <w:r w:rsidRPr="00DF0DE0">
        <w:rPr>
          <w:rFonts w:ascii="Times New Roman" w:hAnsi="Times New Roman" w:cs="Times New Roman"/>
          <w:sz w:val="24"/>
          <w:szCs w:val="24"/>
        </w:rPr>
        <w:t>tumors</w:t>
      </w:r>
      <w:proofErr w:type="spellEnd"/>
      <w:r w:rsidRPr="00DF0DE0">
        <w:rPr>
          <w:rFonts w:ascii="Times New Roman" w:hAnsi="Times New Roman" w:cs="Times New Roman"/>
          <w:sz w:val="24"/>
          <w:szCs w:val="24"/>
        </w:rPr>
        <w:t>. By enabling early diagnosis, routine screening, treatment evaluations, judging the effectiveness of therapy, and preventing cancer recurrence, these imaging technologies are crucial to precision medicine. Advances in technology like PET-CT, PET-MRI, and MRS have drastically improved precision medicine.</w:t>
      </w:r>
    </w:p>
    <w:p w14:paraId="254C1472" w14:textId="77777777" w:rsidR="00A45358" w:rsidRDefault="00A45358" w:rsidP="00A45358">
      <w:pPr>
        <w:spacing w:line="360" w:lineRule="auto"/>
        <w:jc w:val="both"/>
        <w:rPr>
          <w:rFonts w:ascii="Times New Roman" w:hAnsi="Times New Roman" w:cs="Times New Roman"/>
          <w:sz w:val="24"/>
          <w:szCs w:val="24"/>
        </w:rPr>
      </w:pPr>
      <w:r w:rsidRPr="00825984">
        <w:rPr>
          <w:rFonts w:ascii="Times New Roman" w:hAnsi="Times New Roman" w:cs="Times New Roman"/>
          <w:b/>
          <w:bCs/>
          <w:sz w:val="24"/>
          <w:szCs w:val="24"/>
        </w:rPr>
        <w:t>Disclaimer (artificial intelligence)</w:t>
      </w:r>
      <w:r w:rsidRPr="00825984">
        <w:rPr>
          <w:rFonts w:ascii="Times New Roman" w:hAnsi="Times New Roman" w:cs="Times New Roman"/>
          <w:sz w:val="24"/>
          <w:szCs w:val="24"/>
        </w:rPr>
        <w:t xml:space="preserve"> </w:t>
      </w:r>
    </w:p>
    <w:p w14:paraId="44E7A22F" w14:textId="6CB505D3" w:rsidR="00A45358" w:rsidRPr="00A45358" w:rsidRDefault="00A45358" w:rsidP="00A45358">
      <w:pPr>
        <w:spacing w:line="360" w:lineRule="auto"/>
        <w:jc w:val="both"/>
        <w:rPr>
          <w:rFonts w:ascii="Times New Roman" w:hAnsi="Times New Roman" w:cs="Times New Roman"/>
          <w:sz w:val="24"/>
          <w:szCs w:val="24"/>
        </w:rPr>
      </w:pPr>
      <w:r w:rsidRPr="00825984">
        <w:rPr>
          <w:rFonts w:ascii="Times New Roman" w:hAnsi="Times New Roman" w:cs="Times New Roman"/>
          <w:sz w:val="24"/>
          <w:szCs w:val="24"/>
        </w:rPr>
        <w:lastRenderedPageBreak/>
        <w:t>Author</w:t>
      </w:r>
      <w:r>
        <w:rPr>
          <w:rFonts w:ascii="Times New Roman" w:hAnsi="Times New Roman" w:cs="Times New Roman"/>
          <w:sz w:val="24"/>
          <w:szCs w:val="24"/>
        </w:rPr>
        <w:t>s</w:t>
      </w:r>
      <w:r w:rsidRPr="00825984">
        <w:rPr>
          <w:rFonts w:ascii="Times New Roman" w:hAnsi="Times New Roman" w:cs="Times New Roman"/>
          <w:sz w:val="24"/>
          <w:szCs w:val="24"/>
        </w:rPr>
        <w:t xml:space="preserve"> hereby declare that NO generative AI technologies such as Large Language</w:t>
      </w:r>
      <w:r>
        <w:rPr>
          <w:rFonts w:ascii="Times New Roman" w:hAnsi="Times New Roman" w:cs="Times New Roman"/>
          <w:sz w:val="24"/>
          <w:szCs w:val="24"/>
        </w:rPr>
        <w:t xml:space="preserve"> </w:t>
      </w:r>
      <w:r w:rsidRPr="00825984">
        <w:rPr>
          <w:rFonts w:ascii="Times New Roman" w:hAnsi="Times New Roman" w:cs="Times New Roman"/>
          <w:sz w:val="24"/>
          <w:szCs w:val="24"/>
        </w:rPr>
        <w:t>Models (ChatGPT, COPILOT, etc) and text-to-image generators have</w:t>
      </w:r>
      <w:r>
        <w:rPr>
          <w:rFonts w:ascii="Times New Roman" w:hAnsi="Times New Roman" w:cs="Times New Roman"/>
          <w:sz w:val="24"/>
          <w:szCs w:val="24"/>
        </w:rPr>
        <w:t xml:space="preserve"> </w:t>
      </w:r>
      <w:r w:rsidRPr="00825984">
        <w:rPr>
          <w:rFonts w:ascii="Times New Roman" w:hAnsi="Times New Roman" w:cs="Times New Roman"/>
          <w:sz w:val="24"/>
          <w:szCs w:val="24"/>
        </w:rPr>
        <w:t>been used</w:t>
      </w:r>
      <w:r>
        <w:rPr>
          <w:rFonts w:ascii="Times New Roman" w:hAnsi="Times New Roman" w:cs="Times New Roman"/>
          <w:sz w:val="24"/>
          <w:szCs w:val="24"/>
        </w:rPr>
        <w:t xml:space="preserve"> </w:t>
      </w:r>
      <w:r w:rsidRPr="00825984">
        <w:rPr>
          <w:rFonts w:ascii="Times New Roman" w:hAnsi="Times New Roman" w:cs="Times New Roman"/>
          <w:sz w:val="24"/>
          <w:szCs w:val="24"/>
        </w:rPr>
        <w:t xml:space="preserve">during </w:t>
      </w:r>
      <w:r>
        <w:rPr>
          <w:rFonts w:ascii="Times New Roman" w:hAnsi="Times New Roman" w:cs="Times New Roman"/>
          <w:sz w:val="24"/>
          <w:szCs w:val="24"/>
        </w:rPr>
        <w:t xml:space="preserve">the </w:t>
      </w:r>
      <w:r w:rsidRPr="00825984">
        <w:rPr>
          <w:rFonts w:ascii="Times New Roman" w:hAnsi="Times New Roman" w:cs="Times New Roman"/>
          <w:sz w:val="24"/>
          <w:szCs w:val="24"/>
        </w:rPr>
        <w:t>writing or</w:t>
      </w:r>
      <w:r>
        <w:rPr>
          <w:rFonts w:ascii="Times New Roman" w:hAnsi="Times New Roman" w:cs="Times New Roman"/>
          <w:sz w:val="24"/>
          <w:szCs w:val="24"/>
        </w:rPr>
        <w:t xml:space="preserve"> </w:t>
      </w:r>
      <w:r w:rsidRPr="00825984">
        <w:rPr>
          <w:rFonts w:ascii="Times New Roman" w:hAnsi="Times New Roman" w:cs="Times New Roman"/>
          <w:sz w:val="24"/>
          <w:szCs w:val="24"/>
        </w:rPr>
        <w:t>editing of manuscripts.</w:t>
      </w:r>
    </w:p>
    <w:p w14:paraId="54BE4F74" w14:textId="77777777" w:rsidR="000317F1" w:rsidRDefault="000317F1" w:rsidP="003040E9">
      <w:pPr>
        <w:pStyle w:val="Bibliography1"/>
        <w:spacing w:line="360" w:lineRule="auto"/>
        <w:ind w:left="0" w:firstLine="0"/>
        <w:jc w:val="both"/>
        <w:rPr>
          <w:rFonts w:ascii="Times New Roman" w:hAnsi="Times New Roman" w:cs="Times New Roman"/>
          <w:b/>
          <w:bCs/>
          <w:sz w:val="24"/>
          <w:szCs w:val="24"/>
        </w:rPr>
      </w:pPr>
    </w:p>
    <w:p w14:paraId="14A8E320" w14:textId="484D3385" w:rsidR="0035583F" w:rsidRDefault="00FB0430">
      <w:pPr>
        <w:pStyle w:val="Bibliography1"/>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D064071" w14:textId="77777777" w:rsidR="0095240E" w:rsidRDefault="00FB0430" w:rsidP="0095240E">
      <w:pPr>
        <w:pStyle w:val="Bibliography"/>
      </w:pPr>
      <w:r w:rsidRPr="008B76E5">
        <w:rPr>
          <w:sz w:val="24"/>
        </w:rPr>
        <w:fldChar w:fldCharType="begin"/>
      </w:r>
      <w:r w:rsidR="0095240E">
        <w:rPr>
          <w:sz w:val="24"/>
        </w:rPr>
        <w:instrText xml:space="preserve"> ADDIN ZOTERO_BIBL {"uncited":[],"omitted":[],"custom":[]} CSL_BIBLIOGRAPHY </w:instrText>
      </w:r>
      <w:r w:rsidRPr="008B76E5">
        <w:rPr>
          <w:sz w:val="24"/>
        </w:rPr>
        <w:fldChar w:fldCharType="separate"/>
      </w:r>
      <w:r w:rsidR="0095240E">
        <w:t xml:space="preserve">Aibinu, A., Salami, M., Shafie, A. A., &amp; Najeeb, A. (2008). MRI Reconstruction Using Discrete Fourier Transform: A tutorial. </w:t>
      </w:r>
      <w:r w:rsidR="0095240E">
        <w:rPr>
          <w:i/>
          <w:iCs/>
        </w:rPr>
        <w:t>World Academy of Science Engineering and Technology</w:t>
      </w:r>
      <w:r w:rsidR="0095240E">
        <w:t xml:space="preserve">, </w:t>
      </w:r>
      <w:r w:rsidR="0095240E">
        <w:rPr>
          <w:i/>
          <w:iCs/>
        </w:rPr>
        <w:t>42</w:t>
      </w:r>
      <w:r w:rsidR="0095240E">
        <w:t>.</w:t>
      </w:r>
    </w:p>
    <w:p w14:paraId="63E2E872" w14:textId="77777777" w:rsidR="0095240E" w:rsidRDefault="0095240E" w:rsidP="0095240E">
      <w:pPr>
        <w:pStyle w:val="Bibliography"/>
      </w:pPr>
      <w:r>
        <w:t xml:space="preserve">Akram, Z., Faraz, M., Nigar, A., Parveen, R., Khan, N., Anwer, M. R., Farooqui, A., &amp; Zameer, S. (2025). Clinical Significance of CT and MR Perfusion Imaging in Cancer Diagnosis: Techniques, Parameters, and Diagnostic Implications. </w:t>
      </w:r>
      <w:r>
        <w:rPr>
          <w:i/>
          <w:iCs/>
        </w:rPr>
        <w:t>Journal of Cancer and Tumor International</w:t>
      </w:r>
      <w:r>
        <w:t xml:space="preserve">, </w:t>
      </w:r>
      <w:r>
        <w:rPr>
          <w:i/>
          <w:iCs/>
        </w:rPr>
        <w:t>15</w:t>
      </w:r>
      <w:r>
        <w:t>(3), 43–60. https://doi.org/10.9734/jcti/2025/v15i3301</w:t>
      </w:r>
    </w:p>
    <w:p w14:paraId="12FC3C80" w14:textId="77777777" w:rsidR="0095240E" w:rsidRDefault="0095240E" w:rsidP="0095240E">
      <w:pPr>
        <w:pStyle w:val="Bibliography"/>
      </w:pPr>
      <w:r>
        <w:t xml:space="preserve">Alemu, B. S., Feisso, S., Mohammed, E. A., &amp; Salau, A. O. (2023). Magnetic resonance imaging-based brain tumor image classification performance enhancement. </w:t>
      </w:r>
      <w:r>
        <w:rPr>
          <w:i/>
          <w:iCs/>
        </w:rPr>
        <w:t>Scientific African</w:t>
      </w:r>
      <w:r>
        <w:t xml:space="preserve">, </w:t>
      </w:r>
      <w:r>
        <w:rPr>
          <w:i/>
          <w:iCs/>
        </w:rPr>
        <w:t>22</w:t>
      </w:r>
      <w:r>
        <w:t>, e01963. https://doi.org/10.1016/j.sciaf.2023.e01963</w:t>
      </w:r>
    </w:p>
    <w:p w14:paraId="71A9C13B" w14:textId="77777777" w:rsidR="0095240E" w:rsidRDefault="0095240E" w:rsidP="0095240E">
      <w:pPr>
        <w:pStyle w:val="Bibliography"/>
      </w:pPr>
      <w:r>
        <w:t xml:space="preserve">AL-Jahdali, H., Khan, A. N., Loutfi, S., &amp; Al-Harbi, A. S. (2012). Guidelines for the role of FDG-PET/CT in lung cancer management. </w:t>
      </w:r>
      <w:r>
        <w:rPr>
          <w:i/>
          <w:iCs/>
        </w:rPr>
        <w:t>Journal of Infection and Public Health</w:t>
      </w:r>
      <w:r>
        <w:t xml:space="preserve">, </w:t>
      </w:r>
      <w:r>
        <w:rPr>
          <w:i/>
          <w:iCs/>
        </w:rPr>
        <w:t>5</w:t>
      </w:r>
      <w:r>
        <w:t>, S35–S40. https://doi.org/10.1016/j.jiph.2012.09.003</w:t>
      </w:r>
    </w:p>
    <w:p w14:paraId="1866E042" w14:textId="77777777" w:rsidR="0095240E" w:rsidRDefault="0095240E" w:rsidP="0095240E">
      <w:pPr>
        <w:pStyle w:val="Bibliography"/>
      </w:pPr>
      <w:r>
        <w:t xml:space="preserve">Alorainy, A. I., Hamd, Z. Y., Tamam, N., Alotaibi, S. Z., Alshehri, R. A., Alotaibi, R. A., Alsuhaim, N. S., Albadrani, S. M., Alsakait, R. M., Alhenaki, M. A., Abdelaty, S. M., Hanfi, M. Y., &amp; Khandaker, M. U. (2024). The impact of personal care products on the image quality of Magnetic Resonance Imaging. </w:t>
      </w:r>
      <w:r>
        <w:rPr>
          <w:i/>
          <w:iCs/>
        </w:rPr>
        <w:t>Journal of Radiation Research and Applied Sciences</w:t>
      </w:r>
      <w:r>
        <w:t xml:space="preserve">, </w:t>
      </w:r>
      <w:r>
        <w:rPr>
          <w:i/>
          <w:iCs/>
        </w:rPr>
        <w:t>17</w:t>
      </w:r>
      <w:r>
        <w:t>(1), 100784. https://doi.org/10.1016/j.jrras.2023.100784</w:t>
      </w:r>
    </w:p>
    <w:p w14:paraId="3DB60624" w14:textId="77777777" w:rsidR="0095240E" w:rsidRDefault="0095240E" w:rsidP="0095240E">
      <w:pPr>
        <w:pStyle w:val="Bibliography"/>
      </w:pPr>
      <w:r>
        <w:t xml:space="preserve">Aziz, M. U., Eisenbrey, J. R., Deganello, A., Zahid, M., Sharbidre, K., Sidhu, P., &amp; Robbin, M. L. (2022). Microvascular Flow Imaging: A State-of-the-Art Review of Clinical Use and Promise. </w:t>
      </w:r>
      <w:r>
        <w:rPr>
          <w:i/>
          <w:iCs/>
        </w:rPr>
        <w:t>Radiology</w:t>
      </w:r>
      <w:r>
        <w:t xml:space="preserve">, </w:t>
      </w:r>
      <w:r>
        <w:rPr>
          <w:i/>
          <w:iCs/>
        </w:rPr>
        <w:t>305</w:t>
      </w:r>
      <w:r>
        <w:t>(2), 250–264. https://doi.org/10.1148/radiol.213303</w:t>
      </w:r>
    </w:p>
    <w:p w14:paraId="0B165578" w14:textId="77777777" w:rsidR="0095240E" w:rsidRDefault="0095240E" w:rsidP="0095240E">
      <w:pPr>
        <w:pStyle w:val="Bibliography"/>
      </w:pPr>
      <w:r>
        <w:lastRenderedPageBreak/>
        <w:t xml:space="preserve">Baliyan, V., Das, C. J., Sharma, R., &amp; Gupta, A. K. (2016). Diffusion weighted imaging: Technique and applications. </w:t>
      </w:r>
      <w:r>
        <w:rPr>
          <w:i/>
          <w:iCs/>
        </w:rPr>
        <w:t>World Journal of Radiology</w:t>
      </w:r>
      <w:r>
        <w:t xml:space="preserve">, </w:t>
      </w:r>
      <w:r>
        <w:rPr>
          <w:i/>
          <w:iCs/>
        </w:rPr>
        <w:t>8</w:t>
      </w:r>
      <w:r>
        <w:t>(9), 785–798. https://doi.org/10.4329/wjr.v8.i9.785</w:t>
      </w:r>
    </w:p>
    <w:p w14:paraId="72D98D85" w14:textId="77777777" w:rsidR="0095240E" w:rsidRDefault="0095240E" w:rsidP="0095240E">
      <w:pPr>
        <w:pStyle w:val="Bibliography"/>
      </w:pPr>
      <w:r>
        <w:t xml:space="preserve">Bashir, U., Mallia, A., Stirling, J., Joemon, J., MacKewn, J., Charles-Edwards, G., Goh, V., &amp; Cook, G. J. (2015). PET/MRI in Oncological Imaging: State of the Art. </w:t>
      </w:r>
      <w:r>
        <w:rPr>
          <w:i/>
          <w:iCs/>
        </w:rPr>
        <w:t>Diagnostics</w:t>
      </w:r>
      <w:r>
        <w:t xml:space="preserve">, </w:t>
      </w:r>
      <w:r>
        <w:rPr>
          <w:i/>
          <w:iCs/>
        </w:rPr>
        <w:t>5</w:t>
      </w:r>
      <w:r>
        <w:t>(3), 333–357. https://doi.org/10.3390/diagnostics5030333</w:t>
      </w:r>
    </w:p>
    <w:p w14:paraId="1F17189C" w14:textId="77777777" w:rsidR="0095240E" w:rsidRDefault="0095240E" w:rsidP="0095240E">
      <w:pPr>
        <w:pStyle w:val="Bibliography"/>
      </w:pPr>
      <w:r>
        <w:t xml:space="preserve">Bhat, A. S., Ahmed, M., Abbas, K., Mustafa, M., Alam, M., Salem, M. A. S., Islam, S., Tantry, I. Q., Singh, Y., Fatima, M., Usmani, N., Faraz, M., Afeef, M., &amp; Habib, S. (2024). Cancer Initiation and Progression: A Comprehensive Review of Carcinogenic Substances, Anti-Cancer Therapies, and Regulatory Frameworks. </w:t>
      </w:r>
      <w:r>
        <w:rPr>
          <w:i/>
          <w:iCs/>
        </w:rPr>
        <w:t>Asian Journal of Research in Biochemistry</w:t>
      </w:r>
      <w:r>
        <w:t xml:space="preserve">, </w:t>
      </w:r>
      <w:r>
        <w:rPr>
          <w:i/>
          <w:iCs/>
        </w:rPr>
        <w:t>14</w:t>
      </w:r>
      <w:r>
        <w:t>(4), 111–125. https://doi.org/10.9734/ajrb/2024/v14i4300</w:t>
      </w:r>
    </w:p>
    <w:p w14:paraId="5417E4B9" w14:textId="77777777" w:rsidR="0095240E" w:rsidRDefault="0095240E" w:rsidP="0095240E">
      <w:pPr>
        <w:pStyle w:val="Bibliography"/>
      </w:pPr>
      <w:r>
        <w:t xml:space="preserve">Bi, W. L., Hosny, A., Schabath, M. B., Giger, M. L., Birkbak, N. J., Mehrtash, A., Allison, T., Arnaout, O., Abbosh, C., Dunn, I. F., Mak, R. H., Tamimi, R. M., Tempany, C. M., Swanton, C., Hoffmann, U., Schwartz, L. H., Gillies, R. J., Huang, R. Y., &amp; Aerts, H. J. W. L. (2019). Artificial intelligence in cancer imaging: Clinical challenges and applications. </w:t>
      </w:r>
      <w:r>
        <w:rPr>
          <w:i/>
          <w:iCs/>
        </w:rPr>
        <w:t>CA: A Cancer Journal for Clinicians</w:t>
      </w:r>
      <w:r>
        <w:t xml:space="preserve">, </w:t>
      </w:r>
      <w:r>
        <w:rPr>
          <w:i/>
          <w:iCs/>
        </w:rPr>
        <w:t>69</w:t>
      </w:r>
      <w:r>
        <w:t>(2), 127–157. https://doi.org/10.3322/caac.21552</w:t>
      </w:r>
    </w:p>
    <w:p w14:paraId="33AE750F" w14:textId="77777777" w:rsidR="0095240E" w:rsidRDefault="0095240E" w:rsidP="0095240E">
      <w:pPr>
        <w:pStyle w:val="Bibliography"/>
      </w:pPr>
      <w:r w:rsidRPr="001D4CD5">
        <w:rPr>
          <w:lang w:val="nl-BE"/>
        </w:rPr>
        <w:t xml:space="preserve">Bialecki, E. S., &amp; Di Bisceglie, A. M. (2005). </w:t>
      </w:r>
      <w:r>
        <w:t xml:space="preserve">Diagnosis of hepatocellular carcinoma. </w:t>
      </w:r>
      <w:r>
        <w:rPr>
          <w:i/>
          <w:iCs/>
        </w:rPr>
        <w:t>HPB</w:t>
      </w:r>
      <w:r>
        <w:t xml:space="preserve">, </w:t>
      </w:r>
      <w:r>
        <w:rPr>
          <w:i/>
          <w:iCs/>
        </w:rPr>
        <w:t>7</w:t>
      </w:r>
      <w:r>
        <w:t>(1), 26–34. https://doi.org/10.1080/13651820410024049</w:t>
      </w:r>
    </w:p>
    <w:p w14:paraId="46CD90D9" w14:textId="77777777" w:rsidR="0095240E" w:rsidRDefault="0095240E" w:rsidP="0095240E">
      <w:pPr>
        <w:pStyle w:val="Bibliography"/>
      </w:pPr>
      <w:r>
        <w:t xml:space="preserve">Brower, C., &amp; Rehani, M. M. (2021). Radiation risk issues in recurrent imaging. </w:t>
      </w:r>
      <w:r>
        <w:rPr>
          <w:i/>
          <w:iCs/>
        </w:rPr>
        <w:t>The British Journal of Radiology</w:t>
      </w:r>
      <w:r>
        <w:t xml:space="preserve">, </w:t>
      </w:r>
      <w:r>
        <w:rPr>
          <w:i/>
          <w:iCs/>
        </w:rPr>
        <w:t>94</w:t>
      </w:r>
      <w:r>
        <w:t>(1126), 20210389. https://doi.org/10.1259/bjr.20210389</w:t>
      </w:r>
    </w:p>
    <w:p w14:paraId="573AAAD9" w14:textId="77777777" w:rsidR="0095240E" w:rsidRDefault="0095240E" w:rsidP="0095240E">
      <w:pPr>
        <w:pStyle w:val="Bibliography"/>
      </w:pPr>
      <w:r>
        <w:t xml:space="preserve">Campbell, B. C. V., &amp; Khatri, P. (2020). Stroke. </w:t>
      </w:r>
      <w:r>
        <w:rPr>
          <w:i/>
          <w:iCs/>
        </w:rPr>
        <w:t>The Lancet</w:t>
      </w:r>
      <w:r>
        <w:t xml:space="preserve">, </w:t>
      </w:r>
      <w:r>
        <w:rPr>
          <w:i/>
          <w:iCs/>
        </w:rPr>
        <w:t>396</w:t>
      </w:r>
      <w:r>
        <w:t>(10244), 129–142. https://doi.org/10.1016/S0140-6736(20)31179-X</w:t>
      </w:r>
    </w:p>
    <w:p w14:paraId="00B934C2" w14:textId="77777777" w:rsidR="0095240E" w:rsidRDefault="0095240E" w:rsidP="0095240E">
      <w:pPr>
        <w:pStyle w:val="Bibliography"/>
      </w:pPr>
      <w:r>
        <w:t xml:space="preserve">Chacko, N., &amp; Ankri, R. (2024). Non-invasive early-stage cancer detection: Current methods and future perspectives. </w:t>
      </w:r>
      <w:r>
        <w:rPr>
          <w:i/>
          <w:iCs/>
        </w:rPr>
        <w:t>Clinical and Experimental Medicine</w:t>
      </w:r>
      <w:r>
        <w:t xml:space="preserve">, </w:t>
      </w:r>
      <w:r>
        <w:rPr>
          <w:i/>
          <w:iCs/>
        </w:rPr>
        <w:t>25</w:t>
      </w:r>
      <w:r>
        <w:t>(1), 17. https://doi.org/10.1007/s10238-024-01513-x</w:t>
      </w:r>
    </w:p>
    <w:p w14:paraId="5C29957F" w14:textId="77777777" w:rsidR="0095240E" w:rsidRDefault="0095240E" w:rsidP="0095240E">
      <w:pPr>
        <w:pStyle w:val="Bibliography"/>
      </w:pPr>
      <w:r>
        <w:lastRenderedPageBreak/>
        <w:t xml:space="preserve">De Witte, E., &amp; Mariën, P. (2013). The neurolinguistic approach to awake surgery reviewed. </w:t>
      </w:r>
      <w:r>
        <w:rPr>
          <w:i/>
          <w:iCs/>
        </w:rPr>
        <w:t>Clinical Neurology and Neurosurgery</w:t>
      </w:r>
      <w:r>
        <w:t xml:space="preserve">, </w:t>
      </w:r>
      <w:r>
        <w:rPr>
          <w:i/>
          <w:iCs/>
        </w:rPr>
        <w:t>115</w:t>
      </w:r>
      <w:r>
        <w:t>(2), 127–145. https://doi.org/10.1016/j.clineuro.2012.09.015</w:t>
      </w:r>
    </w:p>
    <w:p w14:paraId="42590A9F" w14:textId="77777777" w:rsidR="0095240E" w:rsidRDefault="0095240E" w:rsidP="0095240E">
      <w:pPr>
        <w:pStyle w:val="Bibliography"/>
      </w:pPr>
      <w:r>
        <w:t xml:space="preserve">Forghani, R., De Man, B., &amp; Gupta, R. (2017). Dual-Energy Computed Tomography: Physical Principles, Approaches to Scanning, Usage, and Implementation: Part 1. </w:t>
      </w:r>
      <w:r>
        <w:rPr>
          <w:i/>
          <w:iCs/>
        </w:rPr>
        <w:t>Neuroimaging Clinics of North America</w:t>
      </w:r>
      <w:r>
        <w:t xml:space="preserve">, </w:t>
      </w:r>
      <w:r>
        <w:rPr>
          <w:i/>
          <w:iCs/>
        </w:rPr>
        <w:t>27</w:t>
      </w:r>
      <w:r>
        <w:t>(3), 371–384. https://doi.org/10.1016/j.nic.2017.03.002</w:t>
      </w:r>
    </w:p>
    <w:p w14:paraId="6CF940C3" w14:textId="77777777" w:rsidR="0095240E" w:rsidRDefault="0095240E" w:rsidP="0095240E">
      <w:pPr>
        <w:pStyle w:val="Bibliography"/>
      </w:pPr>
      <w:r>
        <w:t xml:space="preserve">Foti, G., Ascenti, G., Agostini, A., Longo, C., Lombardo, F., Inno, A., Modena, A., &amp; Gori, S. (2024). Dual-Energy CT in Oncologic Imaging. </w:t>
      </w:r>
      <w:r>
        <w:rPr>
          <w:i/>
          <w:iCs/>
        </w:rPr>
        <w:t>Tomography</w:t>
      </w:r>
      <w:r>
        <w:t xml:space="preserve">, </w:t>
      </w:r>
      <w:r>
        <w:rPr>
          <w:i/>
          <w:iCs/>
        </w:rPr>
        <w:t>10</w:t>
      </w:r>
      <w:r>
        <w:t>(3), Article 3. https://doi.org/10.3390/tomography10030024</w:t>
      </w:r>
    </w:p>
    <w:p w14:paraId="3136723A" w14:textId="77777777" w:rsidR="0095240E" w:rsidRDefault="0095240E" w:rsidP="0095240E">
      <w:pPr>
        <w:pStyle w:val="Bibliography"/>
      </w:pPr>
      <w:r>
        <w:t xml:space="preserve">Ghadimi, M., &amp; Sapra, A. (2025). Magnetic Resonance Imaging Contraindications. In </w:t>
      </w:r>
      <w:r>
        <w:rPr>
          <w:i/>
          <w:iCs/>
        </w:rPr>
        <w:t>StatPearls</w:t>
      </w:r>
      <w:r>
        <w:t>. StatPearls Publishing. http://www.ncbi.nlm.nih.gov/books/NBK551669/</w:t>
      </w:r>
    </w:p>
    <w:p w14:paraId="10C8D871" w14:textId="77777777" w:rsidR="0095240E" w:rsidRDefault="0095240E" w:rsidP="0095240E">
      <w:pPr>
        <w:pStyle w:val="Bibliography"/>
      </w:pPr>
      <w:r>
        <w:t xml:space="preserve">Ghasemi, M., Nabipour, I., Omrani, A., Alipour, Z., &amp; Assadi, M. (2016). Precision medicine and molecular imaging: New targeted approaches toward cancer therapeutic and diagnosis. </w:t>
      </w:r>
      <w:r>
        <w:rPr>
          <w:i/>
          <w:iCs/>
        </w:rPr>
        <w:t>American Journal of Nuclear Medicine and Molecular Imaging</w:t>
      </w:r>
      <w:r>
        <w:t xml:space="preserve">, </w:t>
      </w:r>
      <w:r>
        <w:rPr>
          <w:i/>
          <w:iCs/>
        </w:rPr>
        <w:t>6</w:t>
      </w:r>
      <w:r>
        <w:t>(6), 310–327.</w:t>
      </w:r>
    </w:p>
    <w:p w14:paraId="04241177" w14:textId="77777777" w:rsidR="0095240E" w:rsidRPr="001D4CD5" w:rsidRDefault="0095240E" w:rsidP="0095240E">
      <w:pPr>
        <w:pStyle w:val="Bibliography"/>
        <w:rPr>
          <w:lang w:val="nl-BE"/>
        </w:rPr>
      </w:pPr>
      <w:r>
        <w:t xml:space="preserve">Gilbert, F. J., &amp; Pinker-Domenig, K. (2019). Diagnosis and Staging of Breast Cancer: When and How to Use Mammography, Tomosynthesis, Ultrasound, Contrast-Enhanced Mammography, and Magnetic Resonance Imaging. In J. Hodler, R. A. Kubik-Huch, &amp; G. K. von Schulthess (Eds.), </w:t>
      </w:r>
      <w:r>
        <w:rPr>
          <w:i/>
          <w:iCs/>
        </w:rPr>
        <w:t>Diseases of the Chest, Breast, Heart and Vessels 2019-2022: Diagnostic and Interventional Imaging</w:t>
      </w:r>
      <w:r>
        <w:t xml:space="preserve">. </w:t>
      </w:r>
      <w:r w:rsidRPr="001D4CD5">
        <w:rPr>
          <w:lang w:val="nl-BE"/>
        </w:rPr>
        <w:t>Springer. http://www.ncbi.nlm.nih.gov/books/NBK553859/</w:t>
      </w:r>
    </w:p>
    <w:p w14:paraId="76BEAE5C" w14:textId="77777777" w:rsidR="0095240E" w:rsidRDefault="0095240E" w:rsidP="0095240E">
      <w:pPr>
        <w:pStyle w:val="Bibliography"/>
      </w:pPr>
      <w:r w:rsidRPr="001D4CD5">
        <w:rPr>
          <w:lang w:val="nl-BE"/>
        </w:rPr>
        <w:t xml:space="preserve">Glunde, K., Jiang, L., Moestue, S. A., &amp; Gribbestad, I. S. (2011). </w:t>
      </w:r>
      <w:r>
        <w:t xml:space="preserve">Magnetic Resonance Spectroscopy and Imaging Guidance in Molecular Medicine: Targeting and Monitoring of Choline and Glucose Metabolism in Cancer. </w:t>
      </w:r>
      <w:r>
        <w:rPr>
          <w:i/>
          <w:iCs/>
        </w:rPr>
        <w:t>NMR in Biomedicine</w:t>
      </w:r>
      <w:r>
        <w:t xml:space="preserve">, </w:t>
      </w:r>
      <w:r>
        <w:rPr>
          <w:i/>
          <w:iCs/>
        </w:rPr>
        <w:t>24</w:t>
      </w:r>
      <w:r>
        <w:t>(6), 673–690. https://doi.org/10.1002/nbm.1751</w:t>
      </w:r>
    </w:p>
    <w:p w14:paraId="0C33FF1A" w14:textId="77777777" w:rsidR="0095240E" w:rsidRDefault="0095240E" w:rsidP="0095240E">
      <w:pPr>
        <w:pStyle w:val="Bibliography"/>
      </w:pPr>
      <w:r>
        <w:t xml:space="preserve">Gruber, L., Loizides, A., Luger, A. K., Glodny, B., Moser, P., Henninger, B., &amp; Gruber, H. (2017). Soft-Tissue Tumor Contrast Enhancement Patterns: Diagnostic Value and Comparison Between </w:t>
      </w:r>
      <w:r>
        <w:lastRenderedPageBreak/>
        <w:t xml:space="preserve">Ultrasound and MRI. </w:t>
      </w:r>
      <w:r>
        <w:rPr>
          <w:i/>
          <w:iCs/>
        </w:rPr>
        <w:t>American Journal of Roentgenology</w:t>
      </w:r>
      <w:r>
        <w:t xml:space="preserve">, </w:t>
      </w:r>
      <w:r>
        <w:rPr>
          <w:i/>
          <w:iCs/>
        </w:rPr>
        <w:t>208</w:t>
      </w:r>
      <w:r>
        <w:t>(2), 393–401. https://doi.org/10.2214/AJR.16.16859</w:t>
      </w:r>
    </w:p>
    <w:p w14:paraId="41CE4FB4" w14:textId="77777777" w:rsidR="0095240E" w:rsidRDefault="0095240E" w:rsidP="0095240E">
      <w:pPr>
        <w:pStyle w:val="Bibliography"/>
      </w:pPr>
      <w:r>
        <w:t xml:space="preserve">Guedes, F., Henriques, V. M., Torrão, F. L., Haikal, N. P., Sanches, G. E., Barbosa, D. A. N., Marsicano, F. G., Rosa, L. A. N., Siquara, A. C., &amp; Malessy, M. J. A. (2024). When biopsy goes wrong: A case series of misdiagnoses and complications from biopsies of masses of unknown origin potentially originating from a peripheral nerve. </w:t>
      </w:r>
      <w:r>
        <w:rPr>
          <w:i/>
          <w:iCs/>
        </w:rPr>
        <w:t>Journal of Neurosurgery</w:t>
      </w:r>
      <w:r>
        <w:t xml:space="preserve">, </w:t>
      </w:r>
      <w:r>
        <w:rPr>
          <w:i/>
          <w:iCs/>
        </w:rPr>
        <w:t>140</w:t>
      </w:r>
      <w:r>
        <w:t>(2), 480–488. https://doi.org/10.3171/2023.5.JNS23385</w:t>
      </w:r>
    </w:p>
    <w:p w14:paraId="22D47C44" w14:textId="77777777" w:rsidR="0095240E" w:rsidRDefault="0095240E" w:rsidP="0095240E">
      <w:pPr>
        <w:pStyle w:val="Bibliography"/>
      </w:pPr>
      <w:r>
        <w:t xml:space="preserve">Hasan, A.-M. S., Hasan, A. K., Megally, H. I., Khallaf, M., &amp; Haseib, A. (2019). The combined role of MR spectroscopy and perfusion imaging in preoperative differentiation between high- and low-grade gliomas. </w:t>
      </w:r>
      <w:r>
        <w:rPr>
          <w:i/>
          <w:iCs/>
        </w:rPr>
        <w:t>Egyptian Journal of Radiology and Nuclear Medicine</w:t>
      </w:r>
      <w:r>
        <w:t xml:space="preserve">, </w:t>
      </w:r>
      <w:r>
        <w:rPr>
          <w:i/>
          <w:iCs/>
        </w:rPr>
        <w:t>50</w:t>
      </w:r>
      <w:r>
        <w:t>(1), 72. https://doi.org/10.1186/s43055-019-0078-8</w:t>
      </w:r>
    </w:p>
    <w:p w14:paraId="4CB0084E" w14:textId="77777777" w:rsidR="0095240E" w:rsidRDefault="0095240E" w:rsidP="0095240E">
      <w:pPr>
        <w:pStyle w:val="Bibliography"/>
      </w:pPr>
      <w:r>
        <w:t xml:space="preserve">Hermena, S., &amp; Young, M. (2025). CT-scan Image Production Procedures. In </w:t>
      </w:r>
      <w:r>
        <w:rPr>
          <w:i/>
          <w:iCs/>
        </w:rPr>
        <w:t>StatPearls</w:t>
      </w:r>
      <w:r>
        <w:t>. StatPearls Publishing. http://www.ncbi.nlm.nih.gov/books/NBK574548/</w:t>
      </w:r>
    </w:p>
    <w:p w14:paraId="183B7CBE" w14:textId="77777777" w:rsidR="0095240E" w:rsidRDefault="0095240E" w:rsidP="0095240E">
      <w:pPr>
        <w:pStyle w:val="Bibliography"/>
      </w:pPr>
      <w:r>
        <w:t xml:space="preserve">Ho, D., Quake, S. R., McCabe, E. R. B., Chng, W. J., Chow, E. K., Ding, X., Gelb, B. D., Ginsburg, G. S., Hassenstab, J., Ho, C.-M., Mobley, W. C., Nolan, G. P., Rosen, S. T., Tan, P., Yen, Y., &amp; Zarrinpar, A. (2020). Enabling technologies for personalized and precision medicine. </w:t>
      </w:r>
      <w:r>
        <w:rPr>
          <w:i/>
          <w:iCs/>
        </w:rPr>
        <w:t>Trends in Biotechnology</w:t>
      </w:r>
      <w:r>
        <w:t xml:space="preserve">, </w:t>
      </w:r>
      <w:r>
        <w:rPr>
          <w:i/>
          <w:iCs/>
        </w:rPr>
        <w:t>38</w:t>
      </w:r>
      <w:r>
        <w:t>(5), 497–518. https://doi.org/10.1016/j.tibtech.2019.12.021</w:t>
      </w:r>
    </w:p>
    <w:p w14:paraId="3D2D47C9" w14:textId="77777777" w:rsidR="0095240E" w:rsidRDefault="0095240E" w:rsidP="0095240E">
      <w:pPr>
        <w:pStyle w:val="Bibliography"/>
      </w:pPr>
      <w:r>
        <w:t xml:space="preserve">Hore, P. J. (2017). NMR Principles. In J. C. Lindon, G. E. Tranter, &amp; D. W. Koppenaal (Eds.), </w:t>
      </w:r>
      <w:r>
        <w:rPr>
          <w:i/>
          <w:iCs/>
        </w:rPr>
        <w:t>Encyclopedia of Spectroscopy and Spectrometry (Third Edition)</w:t>
      </w:r>
      <w:r>
        <w:t xml:space="preserve"> (pp. 187–194). Academic Press. https://doi.org/10.1016/B978-0-12-803224-4.00230-2</w:t>
      </w:r>
    </w:p>
    <w:p w14:paraId="0D27BDCB" w14:textId="77777777" w:rsidR="0095240E" w:rsidRDefault="0095240E" w:rsidP="0095240E">
      <w:pPr>
        <w:pStyle w:val="Bibliography"/>
      </w:pPr>
      <w:r>
        <w:t xml:space="preserve">Hussain, S., Mubeen, I., Ullah, N., Shah, S. S. U. D., Khan, B. A., Zahoor, M., Ullah, R., Khan, F. A., &amp; Sultan, M. A. (2022). Modern Diagnostic Imaging Technique Applications and Risk Factors in the Medical Field: A Review. </w:t>
      </w:r>
      <w:r>
        <w:rPr>
          <w:i/>
          <w:iCs/>
        </w:rPr>
        <w:t>BioMed Research International</w:t>
      </w:r>
      <w:r>
        <w:t xml:space="preserve">, </w:t>
      </w:r>
      <w:r>
        <w:rPr>
          <w:i/>
          <w:iCs/>
        </w:rPr>
        <w:t>2022</w:t>
      </w:r>
      <w:r>
        <w:t>(1), 5164970. https://doi.org/10.1155/2022/5164970</w:t>
      </w:r>
    </w:p>
    <w:p w14:paraId="48A8CB12" w14:textId="77777777" w:rsidR="0095240E" w:rsidRDefault="0095240E" w:rsidP="0095240E">
      <w:pPr>
        <w:pStyle w:val="Bibliography"/>
      </w:pPr>
      <w:r>
        <w:lastRenderedPageBreak/>
        <w:t xml:space="preserve">Johnson, K. B., Wei, W.-Q., Weeraratne, D., Frisse, M. E., Misulis, K., Rhee, K., Zhao, J., &amp; Snowdon, J. L. (2021). Precision Medicine, AI, and the Future of Personalized Health Care. </w:t>
      </w:r>
      <w:r>
        <w:rPr>
          <w:i/>
          <w:iCs/>
        </w:rPr>
        <w:t>Clinical and Translational Science</w:t>
      </w:r>
      <w:r>
        <w:t xml:space="preserve">, </w:t>
      </w:r>
      <w:r>
        <w:rPr>
          <w:i/>
          <w:iCs/>
        </w:rPr>
        <w:t>14</w:t>
      </w:r>
      <w:r>
        <w:t>(1), 86–93. https://doi.org/10.1111/cts.12884</w:t>
      </w:r>
    </w:p>
    <w:p w14:paraId="0E833F78" w14:textId="77777777" w:rsidR="0095240E" w:rsidRDefault="0095240E" w:rsidP="0095240E">
      <w:pPr>
        <w:pStyle w:val="Bibliography"/>
      </w:pPr>
      <w:r>
        <w:t xml:space="preserve">Kaunitz, J. D. (2018). Magnetic Resonance Imaging: The Nuclear Option. </w:t>
      </w:r>
      <w:r>
        <w:rPr>
          <w:i/>
          <w:iCs/>
        </w:rPr>
        <w:t>Digestive Diseases and Sciences</w:t>
      </w:r>
      <w:r>
        <w:t xml:space="preserve">, </w:t>
      </w:r>
      <w:r>
        <w:rPr>
          <w:i/>
          <w:iCs/>
        </w:rPr>
        <w:t>63</w:t>
      </w:r>
      <w:r>
        <w:t>(5), 1100–1101. https://doi.org/10.1007/s10620-018-4992-9</w:t>
      </w:r>
    </w:p>
    <w:p w14:paraId="5C268E79" w14:textId="77777777" w:rsidR="0095240E" w:rsidRDefault="0095240E" w:rsidP="0095240E">
      <w:pPr>
        <w:pStyle w:val="Bibliography"/>
      </w:pPr>
      <w:r>
        <w:t xml:space="preserve">Kim, D.-W., Park, S.-A., &amp; Kim, C. G. (2011). Detecting the Recurrence of Gastric Cancer after Curative Resection: Comparison of FDG PET/CT and Contrast-Enhanced Abdominal CT. </w:t>
      </w:r>
      <w:r>
        <w:rPr>
          <w:i/>
          <w:iCs/>
        </w:rPr>
        <w:t>Journal of Korean Medical Science</w:t>
      </w:r>
      <w:r>
        <w:t xml:space="preserve">, </w:t>
      </w:r>
      <w:r>
        <w:rPr>
          <w:i/>
          <w:iCs/>
        </w:rPr>
        <w:t>26</w:t>
      </w:r>
      <w:r>
        <w:t>(7), 875–880. https://doi.org/10.3346/jkms.2011.26.7.875</w:t>
      </w:r>
    </w:p>
    <w:p w14:paraId="4E34946B" w14:textId="77777777" w:rsidR="0095240E" w:rsidRDefault="0095240E" w:rsidP="0095240E">
      <w:pPr>
        <w:pStyle w:val="Bibliography"/>
      </w:pPr>
      <w:r>
        <w:t xml:space="preserve">Kim, S. H., Lee, H. S., Kang, B. J., Song, B. J., Kim, H.-B., Lee, H., Jin, M.-S., &amp; Lee, A. (2016). Dynamic Contrast-Enhanced MRI Perfusion Parameters as Imaging Biomarkers of Angiogenesis. </w:t>
      </w:r>
      <w:r>
        <w:rPr>
          <w:i/>
          <w:iCs/>
        </w:rPr>
        <w:t>PLOS ONE</w:t>
      </w:r>
      <w:r>
        <w:t xml:space="preserve">, </w:t>
      </w:r>
      <w:r>
        <w:rPr>
          <w:i/>
          <w:iCs/>
        </w:rPr>
        <w:t>11</w:t>
      </w:r>
      <w:r>
        <w:t>(12), e0168632. https://doi.org/10.1371/journal.pone.0168632</w:t>
      </w:r>
    </w:p>
    <w:p w14:paraId="522EAC41" w14:textId="77777777" w:rsidR="0095240E" w:rsidRDefault="0095240E" w:rsidP="0095240E">
      <w:pPr>
        <w:pStyle w:val="Bibliography"/>
      </w:pPr>
      <w:r>
        <w:t xml:space="preserve">Koh, D.-M., Papanikolaou, N., Bick, U., Illing, R., Kahn, C. E., Kalpathi-Cramer, J., Matos, C., Martí-Bonmatí, L., Miles, A., Mun, S. K., Napel, S., Rockall, A., Sala, E., Strickland, N., &amp; Prior, F. (2022). Artificial intelligence and machine learning in cancer imaging. </w:t>
      </w:r>
      <w:r>
        <w:rPr>
          <w:i/>
          <w:iCs/>
        </w:rPr>
        <w:t>Communications Medicine</w:t>
      </w:r>
      <w:r>
        <w:t xml:space="preserve">, </w:t>
      </w:r>
      <w:r>
        <w:rPr>
          <w:i/>
          <w:iCs/>
        </w:rPr>
        <w:t>2</w:t>
      </w:r>
      <w:r>
        <w:t>(1), 1–14. https://doi.org/10.1038/s43856-022-00199-0</w:t>
      </w:r>
    </w:p>
    <w:p w14:paraId="63931C38" w14:textId="77777777" w:rsidR="0095240E" w:rsidRDefault="0095240E" w:rsidP="0095240E">
      <w:pPr>
        <w:pStyle w:val="Bibliography"/>
      </w:pPr>
      <w:r>
        <w:t xml:space="preserve">Krupa, K., &amp; Bekiesińska-Figatowska, M. (2015). Artifacts in Magnetic Resonance Imaging. </w:t>
      </w:r>
      <w:r>
        <w:rPr>
          <w:i/>
          <w:iCs/>
        </w:rPr>
        <w:t>Polish Journal of Radiology</w:t>
      </w:r>
      <w:r>
        <w:t xml:space="preserve">, </w:t>
      </w:r>
      <w:r>
        <w:rPr>
          <w:i/>
          <w:iCs/>
        </w:rPr>
        <w:t>80</w:t>
      </w:r>
      <w:r>
        <w:t>, 93–106. https://doi.org/10.12659/PJR.892628</w:t>
      </w:r>
    </w:p>
    <w:p w14:paraId="1DAE6BAF" w14:textId="77777777" w:rsidR="0095240E" w:rsidRDefault="0095240E" w:rsidP="0095240E">
      <w:pPr>
        <w:pStyle w:val="Bibliography"/>
      </w:pPr>
      <w:r>
        <w:t xml:space="preserve">Loud, J., &amp; Murphy, J. (2017). Cancer screening and early detection in the 21st century. </w:t>
      </w:r>
      <w:r>
        <w:rPr>
          <w:i/>
          <w:iCs/>
        </w:rPr>
        <w:t>Seminars in Oncology Nursing</w:t>
      </w:r>
      <w:r>
        <w:t xml:space="preserve">, </w:t>
      </w:r>
      <w:r>
        <w:rPr>
          <w:i/>
          <w:iCs/>
        </w:rPr>
        <w:t>33</w:t>
      </w:r>
      <w:r>
        <w:t>(2), 121–128. https://doi.org/10.1016/j.soncn.2017.02.002</w:t>
      </w:r>
    </w:p>
    <w:p w14:paraId="4765DC29" w14:textId="77777777" w:rsidR="0095240E" w:rsidRDefault="0095240E" w:rsidP="0095240E">
      <w:pPr>
        <w:pStyle w:val="Bibliography"/>
      </w:pPr>
      <w:r>
        <w:t xml:space="preserve">Luo, L., Luo, Q., &amp; Tang, L. (2020). Diagnostic value and clinical significance of MRI and CT in detecting lymph node metastasis of early cervical cancer. </w:t>
      </w:r>
      <w:r>
        <w:rPr>
          <w:i/>
          <w:iCs/>
        </w:rPr>
        <w:t>Oncology Letters</w:t>
      </w:r>
      <w:r>
        <w:t xml:space="preserve">, </w:t>
      </w:r>
      <w:r>
        <w:rPr>
          <w:i/>
          <w:iCs/>
        </w:rPr>
        <w:t>19</w:t>
      </w:r>
      <w:r>
        <w:t>(1), 700–706. https://doi.org/10.3892/ol.2019.11180</w:t>
      </w:r>
    </w:p>
    <w:p w14:paraId="29BBE497" w14:textId="77777777" w:rsidR="0095240E" w:rsidRDefault="0095240E" w:rsidP="0095240E">
      <w:pPr>
        <w:pStyle w:val="Bibliography"/>
      </w:pPr>
      <w:r>
        <w:t xml:space="preserve">Messina, C., Bignone, R., Bruno, A., Bruno, A., Bruno, F., Calandri, M., Caruso, D., Coppolino, P., De Robertis, R., Gentili, F., Grazzini, I., Natella, R., Scalise, P., Barile, A., Grassi, R., &amp; Albano, D. (2020). Diffusion-Weighted Imaging in Oncology: An Update. </w:t>
      </w:r>
      <w:r>
        <w:rPr>
          <w:i/>
          <w:iCs/>
        </w:rPr>
        <w:t>Cancers</w:t>
      </w:r>
      <w:r>
        <w:t xml:space="preserve">, </w:t>
      </w:r>
      <w:r>
        <w:rPr>
          <w:i/>
          <w:iCs/>
        </w:rPr>
        <w:t>12</w:t>
      </w:r>
      <w:r>
        <w:t>(6), 1493. https://doi.org/10.3390/cancers12061493</w:t>
      </w:r>
    </w:p>
    <w:p w14:paraId="283D4A93" w14:textId="77777777" w:rsidR="0095240E" w:rsidRDefault="0095240E" w:rsidP="0095240E">
      <w:pPr>
        <w:pStyle w:val="Bibliography"/>
      </w:pPr>
      <w:r>
        <w:lastRenderedPageBreak/>
        <w:t xml:space="preserve">Millet, I., Doyon, F. C., Hoa, D., Thuret, R., Merigeaud, S., Serre, I., &amp; Taourel, P. (2011). Characterization of Small Solid Renal Lesions: Can Benign and Malignant Tumors Be Differentiated With CT? </w:t>
      </w:r>
      <w:r>
        <w:rPr>
          <w:i/>
          <w:iCs/>
        </w:rPr>
        <w:t>American Journal of Roentgenology</w:t>
      </w:r>
      <w:r>
        <w:t xml:space="preserve">, </w:t>
      </w:r>
      <w:r>
        <w:rPr>
          <w:i/>
          <w:iCs/>
        </w:rPr>
        <w:t>197</w:t>
      </w:r>
      <w:r>
        <w:t>(4), 887–896. https://doi.org/10.2214/AJR.10.6276</w:t>
      </w:r>
    </w:p>
    <w:p w14:paraId="5262BB73" w14:textId="77777777" w:rsidR="0095240E" w:rsidRDefault="0095240E" w:rsidP="0095240E">
      <w:pPr>
        <w:pStyle w:val="Bibliography"/>
      </w:pPr>
      <w:r>
        <w:t xml:space="preserve">Neal, R. D., Tharmanathan, P., France, B., Din, N. U., Cotton, S., Fallon-Ferguson, J., Hamilton, W., Hendry, A., Hendry, M., Lewis, R., Macleod, U., Mitchell, E. D., Pickett, M., Rai, T., Shaw, K., Stuart, N., Tørring, M. L., Wilkinson, C., Williams, B., … Emery, J. (2015). Is increased time to diagnosis and treatment in symptomatic cancer associated with poorer outcomes? Systematic review. </w:t>
      </w:r>
      <w:r>
        <w:rPr>
          <w:i/>
          <w:iCs/>
        </w:rPr>
        <w:t>British Journal of Cancer</w:t>
      </w:r>
      <w:r>
        <w:t xml:space="preserve">, </w:t>
      </w:r>
      <w:r>
        <w:rPr>
          <w:i/>
          <w:iCs/>
        </w:rPr>
        <w:t>112</w:t>
      </w:r>
      <w:r>
        <w:t>(1), S92–S107. https://doi.org/10.1038/bjc.2015.48</w:t>
      </w:r>
    </w:p>
    <w:p w14:paraId="30BE00A5" w14:textId="77777777" w:rsidR="0095240E" w:rsidRDefault="0095240E" w:rsidP="0095240E">
      <w:pPr>
        <w:pStyle w:val="Bibliography"/>
      </w:pPr>
      <w:r>
        <w:t xml:space="preserve">Neugut, A. I., Sackstein, P., Hillyer, G. C., Jacobson, J. S., Bruce, J., Lassman, A. B., &amp; Stieg, P. A. (2019). Magnetic Resonance Imaging‐Based Screening for Asymptomatic Brain Tumors: A Review. </w:t>
      </w:r>
      <w:r>
        <w:rPr>
          <w:i/>
          <w:iCs/>
        </w:rPr>
        <w:t>The Oncologist</w:t>
      </w:r>
      <w:r>
        <w:t xml:space="preserve">, </w:t>
      </w:r>
      <w:r>
        <w:rPr>
          <w:i/>
          <w:iCs/>
        </w:rPr>
        <w:t>24</w:t>
      </w:r>
      <w:r>
        <w:t>(3), 375–384. https://doi.org/10.1634/theoncologist.2018-0177</w:t>
      </w:r>
    </w:p>
    <w:p w14:paraId="042B99EE" w14:textId="77777777" w:rsidR="0095240E" w:rsidRDefault="0095240E" w:rsidP="0095240E">
      <w:pPr>
        <w:pStyle w:val="Bibliography"/>
      </w:pPr>
      <w:r>
        <w:t xml:space="preserve">Pai, A., Shetty, R., Hodis, B., &amp; Chowdhury, Y. S. (2025). Magnetic Resonance Imaging Physics. In </w:t>
      </w:r>
      <w:r>
        <w:rPr>
          <w:i/>
          <w:iCs/>
        </w:rPr>
        <w:t>StatPearls</w:t>
      </w:r>
      <w:r>
        <w:t>. StatPearls Publishing. http://www.ncbi.nlm.nih.gov/books/NBK564320/</w:t>
      </w:r>
    </w:p>
    <w:p w14:paraId="17BCE6BA" w14:textId="77777777" w:rsidR="0095240E" w:rsidRDefault="0095240E" w:rsidP="0095240E">
      <w:pPr>
        <w:pStyle w:val="Bibliography"/>
      </w:pPr>
      <w:r w:rsidRPr="001D4CD5">
        <w:rPr>
          <w:lang w:val="nl-BE"/>
        </w:rPr>
        <w:t xml:space="preserve">Patel, P. R., &amp; De Jesus, O. (2025a). </w:t>
      </w:r>
      <w:r>
        <w:t xml:space="preserve">CT Scan. In </w:t>
      </w:r>
      <w:r>
        <w:rPr>
          <w:i/>
          <w:iCs/>
        </w:rPr>
        <w:t>StatPearls</w:t>
      </w:r>
      <w:r>
        <w:t>. StatPearls Publishing. http://www.ncbi.nlm.nih.gov/books/NBK567796/</w:t>
      </w:r>
    </w:p>
    <w:p w14:paraId="44EC27F1" w14:textId="77777777" w:rsidR="0095240E" w:rsidRDefault="0095240E" w:rsidP="0095240E">
      <w:pPr>
        <w:pStyle w:val="Bibliography"/>
      </w:pPr>
      <w:r w:rsidRPr="001D4CD5">
        <w:rPr>
          <w:lang w:val="nl-BE"/>
        </w:rPr>
        <w:t xml:space="preserve">Patel, P. R., &amp; De Jesus, O. (2025b). </w:t>
      </w:r>
      <w:r>
        <w:t xml:space="preserve">CT Scan. In </w:t>
      </w:r>
      <w:r>
        <w:rPr>
          <w:i/>
          <w:iCs/>
        </w:rPr>
        <w:t>StatPearls</w:t>
      </w:r>
      <w:r>
        <w:t>. StatPearls Publishing. http://www.ncbi.nlm.nih.gov/books/NBK567796/</w:t>
      </w:r>
    </w:p>
    <w:p w14:paraId="32C50F22" w14:textId="77777777" w:rsidR="0095240E" w:rsidRDefault="0095240E" w:rsidP="0095240E">
      <w:pPr>
        <w:pStyle w:val="Bibliography"/>
      </w:pPr>
      <w:r>
        <w:t xml:space="preserve">Prasad, T. V., Thulkar, S., Hari, S., Sharma, D. N., &amp; Kumar, S. (2014). Role of computed tomography (CT) scan in staging of cervical carcinoma. </w:t>
      </w:r>
      <w:r>
        <w:rPr>
          <w:i/>
          <w:iCs/>
        </w:rPr>
        <w:t>The Indian Journal of Medical Research</w:t>
      </w:r>
      <w:r>
        <w:t xml:space="preserve">, </w:t>
      </w:r>
      <w:r>
        <w:rPr>
          <w:i/>
          <w:iCs/>
        </w:rPr>
        <w:t>139</w:t>
      </w:r>
      <w:r>
        <w:t>(5), 714–719.</w:t>
      </w:r>
    </w:p>
    <w:p w14:paraId="4CE2693C" w14:textId="77777777" w:rsidR="0095240E" w:rsidRDefault="0095240E" w:rsidP="0095240E">
      <w:pPr>
        <w:pStyle w:val="Bibliography"/>
      </w:pPr>
      <w:r>
        <w:t xml:space="preserve">Pulumati, A., Pulumati, A., Dwarakanath, B. S., Verma, A., &amp; Papineni, R. V. L. (2023). Technological advancements in cancer diagnostics: Improvements and limitations. </w:t>
      </w:r>
      <w:r>
        <w:rPr>
          <w:i/>
          <w:iCs/>
        </w:rPr>
        <w:t>Cancer Reports</w:t>
      </w:r>
      <w:r>
        <w:t xml:space="preserve">, </w:t>
      </w:r>
      <w:r>
        <w:rPr>
          <w:i/>
          <w:iCs/>
        </w:rPr>
        <w:t>6</w:t>
      </w:r>
      <w:r>
        <w:t>(2), e1764. https://doi.org/10.1002/cnr2.1764</w:t>
      </w:r>
    </w:p>
    <w:p w14:paraId="24EC137E" w14:textId="77777777" w:rsidR="0095240E" w:rsidRDefault="0095240E" w:rsidP="0095240E">
      <w:pPr>
        <w:pStyle w:val="Bibliography"/>
      </w:pPr>
      <w:r>
        <w:lastRenderedPageBreak/>
        <w:t xml:space="preserve">Raj, G., Singh, B., Raj, R., &amp; Singh, R. (--). Lymph Nodal Metastatic Pattern in Carcinoma Gallbladder with Multidetector Computed Tomography: An Institutional Experience. </w:t>
      </w:r>
      <w:r>
        <w:rPr>
          <w:i/>
          <w:iCs/>
        </w:rPr>
        <w:t>Asian Journal of Oncology</w:t>
      </w:r>
      <w:r>
        <w:t xml:space="preserve">, </w:t>
      </w:r>
      <w:r>
        <w:rPr>
          <w:i/>
          <w:iCs/>
        </w:rPr>
        <w:t>07</w:t>
      </w:r>
      <w:r>
        <w:t>(01), 22–27. https://doi.org/10.1055/s-0040-1714306</w:t>
      </w:r>
    </w:p>
    <w:p w14:paraId="0FB48372" w14:textId="77777777" w:rsidR="0095240E" w:rsidRDefault="0095240E" w:rsidP="0095240E">
      <w:pPr>
        <w:pStyle w:val="Bibliography"/>
      </w:pPr>
      <w:r>
        <w:t xml:space="preserve">Re, G. L., Cucinella, G., Zaccaria, G., Crapanzano, A., Salerno, S., Pinto, A., Casto, A. L., &amp; Chiantera, V. (2023). Role of MRI in the Assessment of Cervical Cancer. </w:t>
      </w:r>
      <w:r>
        <w:rPr>
          <w:i/>
          <w:iCs/>
        </w:rPr>
        <w:t>Seminars in Ultrasound, CT and MRI</w:t>
      </w:r>
      <w:r>
        <w:t xml:space="preserve">, </w:t>
      </w:r>
      <w:r>
        <w:rPr>
          <w:i/>
          <w:iCs/>
        </w:rPr>
        <w:t>44</w:t>
      </w:r>
      <w:r>
        <w:t>(3), 228–237. https://doi.org/10.1053/j.sult.2023.03.010</w:t>
      </w:r>
    </w:p>
    <w:p w14:paraId="1B236882" w14:textId="77777777" w:rsidR="0095240E" w:rsidRDefault="0095240E" w:rsidP="0095240E">
      <w:pPr>
        <w:pStyle w:val="Bibliography"/>
      </w:pPr>
      <w:r>
        <w:t xml:space="preserve">Rindy, L. J., &amp; Chambers, A. R. (2025). Bone Marrow Aspiration and Biopsy. In </w:t>
      </w:r>
      <w:r>
        <w:rPr>
          <w:i/>
          <w:iCs/>
        </w:rPr>
        <w:t>StatPearls</w:t>
      </w:r>
      <w:r>
        <w:t>. StatPearls Publishing. http://www.ncbi.nlm.nih.gov/books/NBK559232/</w:t>
      </w:r>
    </w:p>
    <w:p w14:paraId="386D10A1" w14:textId="77777777" w:rsidR="0095240E" w:rsidRDefault="0095240E" w:rsidP="0095240E">
      <w:pPr>
        <w:pStyle w:val="Bibliography"/>
      </w:pPr>
      <w:r>
        <w:t xml:space="preserve">Sathishkumar, K., Chaturvedi, M., Das, P., Stephen, S., &amp; Mathur, P. (2022). Cancer incidence estimates for 2022 &amp; projection for 2025: Result from National Cancer Registry Programme, India. </w:t>
      </w:r>
      <w:r>
        <w:rPr>
          <w:i/>
          <w:iCs/>
        </w:rPr>
        <w:t>The Indian Journal of Medical Research</w:t>
      </w:r>
      <w:r>
        <w:t xml:space="preserve">, </w:t>
      </w:r>
      <w:r>
        <w:rPr>
          <w:i/>
          <w:iCs/>
        </w:rPr>
        <w:t>156</w:t>
      </w:r>
      <w:r>
        <w:t>(4–5), 598–607. https://doi.org/10.4103/ijmr.ijmr_1821_22</w:t>
      </w:r>
    </w:p>
    <w:p w14:paraId="4B23BC51" w14:textId="77777777" w:rsidR="0095240E" w:rsidRDefault="0095240E" w:rsidP="0095240E">
      <w:pPr>
        <w:pStyle w:val="Bibliography"/>
      </w:pPr>
      <w:r>
        <w:t xml:space="preserve">Shah, A., &amp; Rojas, C. A. (2022). Imaging modalities (MRI, CT, PET/CT), indications, differential diagnosis and imaging characteristics of cystic mediastinal masses: A review. </w:t>
      </w:r>
      <w:r>
        <w:rPr>
          <w:i/>
          <w:iCs/>
        </w:rPr>
        <w:t>Mediastinum</w:t>
      </w:r>
      <w:r>
        <w:t xml:space="preserve">, </w:t>
      </w:r>
      <w:r>
        <w:rPr>
          <w:i/>
          <w:iCs/>
        </w:rPr>
        <w:t>7</w:t>
      </w:r>
      <w:r>
        <w:t>, 3. https://doi.org/10.21037/med-22-31</w:t>
      </w:r>
    </w:p>
    <w:p w14:paraId="34FC425F" w14:textId="77777777" w:rsidR="0095240E" w:rsidRDefault="0095240E" w:rsidP="0095240E">
      <w:pPr>
        <w:pStyle w:val="Bibliography"/>
      </w:pPr>
      <w:r>
        <w:t xml:space="preserve">Shaji, A., Keechilat, P., DK, V., &amp; Sauvaget, C. (2023). Analysis of the Mortality Trends of 23 Major Cancers in the Indian Population Between 2000 and 2019: A Joinpoint Regression Analysis. </w:t>
      </w:r>
      <w:r>
        <w:rPr>
          <w:i/>
          <w:iCs/>
        </w:rPr>
        <w:t>JCO Global Oncology</w:t>
      </w:r>
      <w:r>
        <w:t xml:space="preserve">, </w:t>
      </w:r>
      <w:r>
        <w:rPr>
          <w:i/>
          <w:iCs/>
        </w:rPr>
        <w:t>9</w:t>
      </w:r>
      <w:r>
        <w:t>, e2200405. https://doi.org/10.1200/GO.22.00405</w:t>
      </w:r>
    </w:p>
    <w:p w14:paraId="4C8B1346" w14:textId="77777777" w:rsidR="0095240E" w:rsidRDefault="0095240E" w:rsidP="0095240E">
      <w:pPr>
        <w:pStyle w:val="Bibliography"/>
      </w:pPr>
      <w:r>
        <w:t xml:space="preserve">Shampo, M. A., Kyle, R. A., &amp; Steensma, D. P. (2012). Richard Ernst—Nobel Prize for Nuclear Magnetic Resonance Spectroscopy. </w:t>
      </w:r>
      <w:r>
        <w:rPr>
          <w:i/>
          <w:iCs/>
        </w:rPr>
        <w:t>Mayo Clinic Proceedings</w:t>
      </w:r>
      <w:r>
        <w:t xml:space="preserve">, </w:t>
      </w:r>
      <w:r>
        <w:rPr>
          <w:i/>
          <w:iCs/>
        </w:rPr>
        <w:t>87</w:t>
      </w:r>
      <w:r>
        <w:t>(12), e109. https://doi.org/10.1016/j.mayocp.2012.01.023</w:t>
      </w:r>
    </w:p>
    <w:p w14:paraId="0E6F3954" w14:textId="77777777" w:rsidR="0095240E" w:rsidRDefault="0095240E" w:rsidP="0095240E">
      <w:pPr>
        <w:pStyle w:val="Bibliography"/>
      </w:pPr>
      <w:r>
        <w:t xml:space="preserve">Teke Kısa, P., &amp; Emir, S. (2021). Role of surveillance screening in detecting tumor recurrence after treatment of childhood cancers. </w:t>
      </w:r>
      <w:r>
        <w:rPr>
          <w:i/>
          <w:iCs/>
        </w:rPr>
        <w:t>Turkish Archives of Pediatrics</w:t>
      </w:r>
      <w:r>
        <w:t xml:space="preserve">, </w:t>
      </w:r>
      <w:r>
        <w:rPr>
          <w:i/>
          <w:iCs/>
        </w:rPr>
        <w:t>56</w:t>
      </w:r>
      <w:r>
        <w:t>(2), 147–151. https://doi.org/10.14744/TurkPediatriArs.2020.38243</w:t>
      </w:r>
    </w:p>
    <w:p w14:paraId="5BF6F746" w14:textId="77777777" w:rsidR="0095240E" w:rsidRDefault="0095240E" w:rsidP="0095240E">
      <w:pPr>
        <w:pStyle w:val="Bibliography"/>
      </w:pPr>
      <w:r>
        <w:t xml:space="preserve">Thakur, R. S., Chatterjee, S., Yadav, R. N., &amp; Gupta, L. (2023). Chapter 5—Medical image denoising using convolutional neural networks. In S. S. Rajput, N. U. Khan, A. K. Singh, &amp; K. V. Arya </w:t>
      </w:r>
      <w:r>
        <w:lastRenderedPageBreak/>
        <w:t xml:space="preserve">(Eds.), </w:t>
      </w:r>
      <w:r>
        <w:rPr>
          <w:i/>
          <w:iCs/>
        </w:rPr>
        <w:t>Digital Image Enhancement and Reconstruction</w:t>
      </w:r>
      <w:r>
        <w:t xml:space="preserve"> (pp. 115–138). Academic Press. https://doi.org/10.1016/B978-0-32-398370-9.00012-3</w:t>
      </w:r>
    </w:p>
    <w:p w14:paraId="2C791544" w14:textId="77777777" w:rsidR="0095240E" w:rsidRDefault="0095240E" w:rsidP="0095240E">
      <w:pPr>
        <w:pStyle w:val="Bibliography"/>
      </w:pPr>
      <w:r>
        <w:t xml:space="preserve">Tognarelli, J. M., Dawood, M., Shariff, M. I. F., Grover, V. P. B., Crossey, M. M. E., Cox, I. J., Taylor-Robinson, S. D., &amp; McPhail, M. J. W. (2015). Magnetic Resonance Spectroscopy: Principles and Techniques: Lessons for Clinicians. </w:t>
      </w:r>
      <w:r>
        <w:rPr>
          <w:i/>
          <w:iCs/>
        </w:rPr>
        <w:t>Journal of Clinical and Experimental Hepatology</w:t>
      </w:r>
      <w:r>
        <w:t xml:space="preserve">, </w:t>
      </w:r>
      <w:r>
        <w:rPr>
          <w:i/>
          <w:iCs/>
        </w:rPr>
        <w:t>5</w:t>
      </w:r>
      <w:r>
        <w:t>(4), 320–328. https://doi.org/10.1016/j.jceh.2015.10.006</w:t>
      </w:r>
    </w:p>
    <w:p w14:paraId="3C31AD91" w14:textId="77777777" w:rsidR="0095240E" w:rsidRDefault="0095240E" w:rsidP="0095240E">
      <w:pPr>
        <w:pStyle w:val="Bibliography"/>
      </w:pPr>
      <w:r w:rsidRPr="001D4CD5">
        <w:rPr>
          <w:lang w:val="nl-BE"/>
        </w:rPr>
        <w:t xml:space="preserve">Verma, A., Kumar, I., Verma, N., Aggarwal, P., &amp; Ojha, R. (2016). </w:t>
      </w:r>
      <w:r>
        <w:t xml:space="preserve">Magnetic resonance spectroscopy—Revisiting the biochemical and molecular milieu of brain tumors. </w:t>
      </w:r>
      <w:r>
        <w:rPr>
          <w:i/>
          <w:iCs/>
        </w:rPr>
        <w:t>BBA Clinical</w:t>
      </w:r>
      <w:r>
        <w:t xml:space="preserve">, </w:t>
      </w:r>
      <w:r>
        <w:rPr>
          <w:i/>
          <w:iCs/>
        </w:rPr>
        <w:t>5</w:t>
      </w:r>
      <w:r>
        <w:t>, 170–178. https://doi.org/10.1016/j.bbacli.2016.04.002</w:t>
      </w:r>
    </w:p>
    <w:p w14:paraId="58DC61AD" w14:textId="77777777" w:rsidR="0095240E" w:rsidRDefault="0095240E" w:rsidP="0095240E">
      <w:pPr>
        <w:pStyle w:val="Bibliography"/>
      </w:pPr>
      <w:r>
        <w:t xml:space="preserve">Wang, R. C., &amp; Wang, Z. (2023). Precision Medicine: Disease Subtyping and Tailored Treatment. </w:t>
      </w:r>
      <w:r>
        <w:rPr>
          <w:i/>
          <w:iCs/>
        </w:rPr>
        <w:t>Cancers</w:t>
      </w:r>
      <w:r>
        <w:t xml:space="preserve">, </w:t>
      </w:r>
      <w:r>
        <w:rPr>
          <w:i/>
          <w:iCs/>
        </w:rPr>
        <w:t>15</w:t>
      </w:r>
      <w:r>
        <w:t>(15), 3837. https://doi.org/10.3390/cancers15153837</w:t>
      </w:r>
    </w:p>
    <w:p w14:paraId="199C0710" w14:textId="77777777" w:rsidR="0095240E" w:rsidRDefault="0095240E" w:rsidP="0095240E">
      <w:pPr>
        <w:pStyle w:val="Bibliography"/>
      </w:pPr>
      <w:r>
        <w:t xml:space="preserve">Wasa, J., Nishida, Y., Tsukushi, S., Shido, Y., Sugiura, H., Nakashima, H., &amp; Ishiguro, N. (2010). MRI Features in the Differentiation of Malignant Peripheral Nerve Sheath Tumors and Neurofibromas. </w:t>
      </w:r>
      <w:r>
        <w:rPr>
          <w:i/>
          <w:iCs/>
        </w:rPr>
        <w:t>American Journal of Roentgenology</w:t>
      </w:r>
      <w:r>
        <w:t xml:space="preserve">, </w:t>
      </w:r>
      <w:r>
        <w:rPr>
          <w:i/>
          <w:iCs/>
        </w:rPr>
        <w:t>194</w:t>
      </w:r>
      <w:r>
        <w:t>(6), 1568–1574. https://doi.org/10.2214/AJR.09.2724</w:t>
      </w:r>
    </w:p>
    <w:p w14:paraId="11C7A2CB" w14:textId="77777777" w:rsidR="0095240E" w:rsidRDefault="0095240E" w:rsidP="0095240E">
      <w:pPr>
        <w:pStyle w:val="Bibliography"/>
      </w:pPr>
      <w:r>
        <w:t xml:space="preserve">Yadav, P., Azram, M., Faraz, M., Nadeem, Abbas, K., Mustafa, M., Alam, M., &amp; Khan, S. (2025). In Silico Screening of Rauwolfia Serpentina Phytochemicals as Orexin Receptor-2 Agonists for the Management of Narcolepsy. </w:t>
      </w:r>
      <w:r>
        <w:rPr>
          <w:i/>
          <w:iCs/>
        </w:rPr>
        <w:t>International Journal of Biochemistry Research &amp; Review</w:t>
      </w:r>
      <w:r>
        <w:t xml:space="preserve">, </w:t>
      </w:r>
      <w:r>
        <w:rPr>
          <w:i/>
          <w:iCs/>
        </w:rPr>
        <w:t>34</w:t>
      </w:r>
      <w:r>
        <w:t>(1), 76–102. https://doi.org/10.9734/ijbcrr/2025/v34i1951</w:t>
      </w:r>
    </w:p>
    <w:p w14:paraId="32BCFF24" w14:textId="77777777" w:rsidR="0095240E" w:rsidRDefault="0095240E" w:rsidP="0095240E">
      <w:pPr>
        <w:pStyle w:val="Bibliography"/>
      </w:pPr>
      <w:r>
        <w:t xml:space="preserve">Yu, L., Leng, S., &amp; McCollough, C. H. (2012). Dual-Energy CT–Based Monochromatic Imaging. </w:t>
      </w:r>
      <w:r>
        <w:rPr>
          <w:i/>
          <w:iCs/>
        </w:rPr>
        <w:t>American Journal of Roentgenology</w:t>
      </w:r>
      <w:r>
        <w:t xml:space="preserve">, </w:t>
      </w:r>
      <w:r>
        <w:rPr>
          <w:i/>
          <w:iCs/>
        </w:rPr>
        <w:t>199</w:t>
      </w:r>
      <w:r>
        <w:t>(5_supplement), S9–S15. https://doi.org/10.2214/AJR.12.9121</w:t>
      </w:r>
    </w:p>
    <w:p w14:paraId="1794E72A" w14:textId="77777777" w:rsidR="0095240E" w:rsidRDefault="0095240E" w:rsidP="0095240E">
      <w:pPr>
        <w:pStyle w:val="Bibliography"/>
      </w:pPr>
      <w:r>
        <w:t xml:space="preserve">Zameer, S., Akram, Z., Daniyal, A., Fatima, U., Faraz, M., Anwar, Z., Khatoon, S., Habib, S., &amp; Mustafa, M. (2025). Apoptosis Mechanisms: Role of Anti-apoptotic Proteins, Cancer Hallmarks and Tumor Microenvironment in Cancer Cell Survival. </w:t>
      </w:r>
      <w:r>
        <w:rPr>
          <w:i/>
          <w:iCs/>
        </w:rPr>
        <w:t>Biotechnology Journal International</w:t>
      </w:r>
      <w:r>
        <w:t xml:space="preserve">, </w:t>
      </w:r>
      <w:r>
        <w:rPr>
          <w:i/>
          <w:iCs/>
        </w:rPr>
        <w:t>29</w:t>
      </w:r>
      <w:r>
        <w:t>(2), 27–36. https://doi.org/10.9734/bji/2025/v29i2769</w:t>
      </w:r>
    </w:p>
    <w:p w14:paraId="4674FCFD" w14:textId="77777777" w:rsidR="0095240E" w:rsidRDefault="0095240E" w:rsidP="0095240E">
      <w:pPr>
        <w:pStyle w:val="Bibliography"/>
      </w:pPr>
      <w:r>
        <w:lastRenderedPageBreak/>
        <w:t xml:space="preserve">Zhang, C., Liang, Z., Liu, W., Zeng, X., &amp; Mo, Y. (2023). Comparison of whole-body 18F-FDG PET/CT and PET/MRI for distant metastases in patients with malignant tumors: A meta-analysis. </w:t>
      </w:r>
      <w:r>
        <w:rPr>
          <w:i/>
          <w:iCs/>
        </w:rPr>
        <w:t>BMC Cancer</w:t>
      </w:r>
      <w:r>
        <w:t xml:space="preserve">, </w:t>
      </w:r>
      <w:r>
        <w:rPr>
          <w:i/>
          <w:iCs/>
        </w:rPr>
        <w:t>23</w:t>
      </w:r>
      <w:r>
        <w:t>(1), 37. https://doi.org/10.1186/s12885-022-10493-8</w:t>
      </w:r>
    </w:p>
    <w:p w14:paraId="111A61BC" w14:textId="77777777" w:rsidR="0095240E" w:rsidRDefault="0095240E" w:rsidP="0095240E">
      <w:pPr>
        <w:pStyle w:val="Bibliography"/>
      </w:pPr>
      <w:r>
        <w:t xml:space="preserve">Zulfiqar, M., Shetty, A., Tsai, R., Gagnon, M.-H., Balfe, D. M., &amp; Mellnick, V. M. (2020). Diagnostic Approach to Benign and Malignant Calcifications in the                    Abdomen and Pelvis. </w:t>
      </w:r>
      <w:r>
        <w:rPr>
          <w:i/>
          <w:iCs/>
        </w:rPr>
        <w:t>RadioGraphics</w:t>
      </w:r>
      <w:r>
        <w:t xml:space="preserve">, </w:t>
      </w:r>
      <w:r>
        <w:rPr>
          <w:i/>
          <w:iCs/>
        </w:rPr>
        <w:t>40</w:t>
      </w:r>
      <w:r>
        <w:t>(3), 731–753. https://doi.org/10.1148/rg.2020190152</w:t>
      </w:r>
    </w:p>
    <w:p w14:paraId="4E0CFBF6" w14:textId="52A13062" w:rsidR="0035583F" w:rsidRPr="008B76E5" w:rsidRDefault="00FB0430">
      <w:pPr>
        <w:pStyle w:val="ListParagraph"/>
        <w:spacing w:line="360" w:lineRule="auto"/>
        <w:ind w:left="0"/>
        <w:jc w:val="both"/>
        <w:rPr>
          <w:rFonts w:ascii="Times New Roman" w:hAnsi="Times New Roman" w:cs="Times New Roman"/>
          <w:sz w:val="24"/>
          <w:szCs w:val="24"/>
        </w:rPr>
      </w:pPr>
      <w:r w:rsidRPr="008B76E5">
        <w:rPr>
          <w:rFonts w:ascii="Times New Roman" w:hAnsi="Times New Roman" w:cs="Times New Roman"/>
          <w:sz w:val="24"/>
          <w:szCs w:val="24"/>
        </w:rPr>
        <w:fldChar w:fldCharType="end"/>
      </w:r>
    </w:p>
    <w:p w14:paraId="632ADAE4" w14:textId="77777777" w:rsidR="0035583F" w:rsidRPr="008B76E5" w:rsidRDefault="0035583F">
      <w:pPr>
        <w:spacing w:line="360" w:lineRule="auto"/>
        <w:ind w:firstLine="142"/>
        <w:jc w:val="both"/>
        <w:rPr>
          <w:rFonts w:ascii="Times New Roman" w:hAnsi="Times New Roman" w:cs="Times New Roman"/>
          <w:sz w:val="24"/>
          <w:szCs w:val="24"/>
        </w:rPr>
      </w:pPr>
    </w:p>
    <w:p w14:paraId="7E1C4473" w14:textId="77777777" w:rsidR="0035583F" w:rsidRPr="008B76E5" w:rsidRDefault="0035583F">
      <w:pPr>
        <w:pStyle w:val="ListParagraph"/>
        <w:spacing w:line="360" w:lineRule="auto"/>
        <w:ind w:left="-284"/>
        <w:jc w:val="both"/>
        <w:rPr>
          <w:rFonts w:ascii="Times New Roman" w:hAnsi="Times New Roman" w:cs="Times New Roman"/>
          <w:sz w:val="24"/>
          <w:szCs w:val="24"/>
        </w:rPr>
      </w:pPr>
    </w:p>
    <w:sectPr w:rsidR="0035583F" w:rsidRPr="008B76E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EC354" w14:textId="77777777" w:rsidR="002C5F66" w:rsidRDefault="002C5F66">
      <w:pPr>
        <w:spacing w:line="240" w:lineRule="auto"/>
      </w:pPr>
      <w:r>
        <w:separator/>
      </w:r>
    </w:p>
  </w:endnote>
  <w:endnote w:type="continuationSeparator" w:id="0">
    <w:p w14:paraId="50B9AC88" w14:textId="77777777" w:rsidR="002C5F66" w:rsidRDefault="002C5F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53E02" w14:textId="77777777" w:rsidR="000317F1" w:rsidRDefault="00031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A8183" w14:textId="77777777" w:rsidR="000317F1" w:rsidRDefault="00031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AE99" w14:textId="77777777" w:rsidR="000317F1" w:rsidRDefault="00031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5D275" w14:textId="77777777" w:rsidR="002C5F66" w:rsidRDefault="002C5F66">
      <w:pPr>
        <w:spacing w:after="0"/>
      </w:pPr>
      <w:r>
        <w:separator/>
      </w:r>
    </w:p>
  </w:footnote>
  <w:footnote w:type="continuationSeparator" w:id="0">
    <w:p w14:paraId="61959EB1" w14:textId="77777777" w:rsidR="002C5F66" w:rsidRDefault="002C5F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A2DE" w14:textId="7FA7872E" w:rsidR="000317F1" w:rsidRDefault="002C5F66">
    <w:pPr>
      <w:pStyle w:val="Header"/>
    </w:pPr>
    <w:r>
      <w:rPr>
        <w:noProof/>
      </w:rPr>
      <w:pict w14:anchorId="365BE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21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7985" w14:textId="079DE286" w:rsidR="000317F1" w:rsidRDefault="002C5F66">
    <w:pPr>
      <w:pStyle w:val="Header"/>
    </w:pPr>
    <w:r>
      <w:rPr>
        <w:noProof/>
      </w:rPr>
      <w:pict w14:anchorId="02F83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21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68D0" w14:textId="35057F07" w:rsidR="000317F1" w:rsidRDefault="002C5F66">
    <w:pPr>
      <w:pStyle w:val="Header"/>
    </w:pPr>
    <w:r>
      <w:rPr>
        <w:noProof/>
      </w:rPr>
      <w:pict w14:anchorId="5E386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21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B1B73"/>
    <w:multiLevelType w:val="hybridMultilevel"/>
    <w:tmpl w:val="67CEBB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7D5184"/>
    <w:multiLevelType w:val="hybridMultilevel"/>
    <w:tmpl w:val="196EEF4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91856DA"/>
    <w:multiLevelType w:val="hybridMultilevel"/>
    <w:tmpl w:val="411E9B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305499"/>
    <w:multiLevelType w:val="multilevel"/>
    <w:tmpl w:val="683054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E82"/>
    <w:rsid w:val="00007499"/>
    <w:rsid w:val="0000762D"/>
    <w:rsid w:val="00012E07"/>
    <w:rsid w:val="00021810"/>
    <w:rsid w:val="00022B5D"/>
    <w:rsid w:val="0002433C"/>
    <w:rsid w:val="000317F1"/>
    <w:rsid w:val="00031ED7"/>
    <w:rsid w:val="0004069F"/>
    <w:rsid w:val="00042DA9"/>
    <w:rsid w:val="00051F30"/>
    <w:rsid w:val="0006339C"/>
    <w:rsid w:val="000650FF"/>
    <w:rsid w:val="00082E85"/>
    <w:rsid w:val="000843FA"/>
    <w:rsid w:val="00090AF0"/>
    <w:rsid w:val="00095F45"/>
    <w:rsid w:val="000964A0"/>
    <w:rsid w:val="000B03EA"/>
    <w:rsid w:val="000B5C79"/>
    <w:rsid w:val="000B7E7F"/>
    <w:rsid w:val="000C432A"/>
    <w:rsid w:val="000C6BE9"/>
    <w:rsid w:val="000D0783"/>
    <w:rsid w:val="000D408F"/>
    <w:rsid w:val="000D4EFA"/>
    <w:rsid w:val="000D6F0F"/>
    <w:rsid w:val="000D7E7F"/>
    <w:rsid w:val="000E0B6F"/>
    <w:rsid w:val="000E31E9"/>
    <w:rsid w:val="000E76AA"/>
    <w:rsid w:val="000F2575"/>
    <w:rsid w:val="0010426E"/>
    <w:rsid w:val="00111A7E"/>
    <w:rsid w:val="00120638"/>
    <w:rsid w:val="00127D18"/>
    <w:rsid w:val="001305A7"/>
    <w:rsid w:val="00135975"/>
    <w:rsid w:val="00140349"/>
    <w:rsid w:val="00142B13"/>
    <w:rsid w:val="001432E4"/>
    <w:rsid w:val="0014530A"/>
    <w:rsid w:val="00145681"/>
    <w:rsid w:val="00150F7A"/>
    <w:rsid w:val="00157152"/>
    <w:rsid w:val="00157ECA"/>
    <w:rsid w:val="0016738D"/>
    <w:rsid w:val="00175131"/>
    <w:rsid w:val="0017683A"/>
    <w:rsid w:val="00176FC2"/>
    <w:rsid w:val="00180B85"/>
    <w:rsid w:val="00182AA9"/>
    <w:rsid w:val="001858F3"/>
    <w:rsid w:val="00194F36"/>
    <w:rsid w:val="001963F9"/>
    <w:rsid w:val="00196B8B"/>
    <w:rsid w:val="001A5AC6"/>
    <w:rsid w:val="001B64F7"/>
    <w:rsid w:val="001C0048"/>
    <w:rsid w:val="001C4EC9"/>
    <w:rsid w:val="001D1594"/>
    <w:rsid w:val="001D3154"/>
    <w:rsid w:val="001D4CD5"/>
    <w:rsid w:val="001D5A33"/>
    <w:rsid w:val="001D731B"/>
    <w:rsid w:val="001D73BF"/>
    <w:rsid w:val="001D74A4"/>
    <w:rsid w:val="001D7E9A"/>
    <w:rsid w:val="001E0EBA"/>
    <w:rsid w:val="001E6801"/>
    <w:rsid w:val="001F417D"/>
    <w:rsid w:val="00203326"/>
    <w:rsid w:val="00203ED4"/>
    <w:rsid w:val="00204BEA"/>
    <w:rsid w:val="00204DCE"/>
    <w:rsid w:val="00214F95"/>
    <w:rsid w:val="00216785"/>
    <w:rsid w:val="00216A19"/>
    <w:rsid w:val="00224B6E"/>
    <w:rsid w:val="002264B6"/>
    <w:rsid w:val="00233FA9"/>
    <w:rsid w:val="00235FE8"/>
    <w:rsid w:val="00240556"/>
    <w:rsid w:val="0024304F"/>
    <w:rsid w:val="00247893"/>
    <w:rsid w:val="002502BC"/>
    <w:rsid w:val="002563E6"/>
    <w:rsid w:val="00261733"/>
    <w:rsid w:val="002747BE"/>
    <w:rsid w:val="00274F7F"/>
    <w:rsid w:val="002855D0"/>
    <w:rsid w:val="00286F8B"/>
    <w:rsid w:val="002910F1"/>
    <w:rsid w:val="0029115B"/>
    <w:rsid w:val="002912FC"/>
    <w:rsid w:val="002A1ACE"/>
    <w:rsid w:val="002A43AA"/>
    <w:rsid w:val="002A5C06"/>
    <w:rsid w:val="002A7FC8"/>
    <w:rsid w:val="002B6CAC"/>
    <w:rsid w:val="002B7F5A"/>
    <w:rsid w:val="002C1E73"/>
    <w:rsid w:val="002C5040"/>
    <w:rsid w:val="002C5F66"/>
    <w:rsid w:val="002D0791"/>
    <w:rsid w:val="002D0B58"/>
    <w:rsid w:val="002D26F9"/>
    <w:rsid w:val="002D69E6"/>
    <w:rsid w:val="002E0135"/>
    <w:rsid w:val="002F2176"/>
    <w:rsid w:val="002F306C"/>
    <w:rsid w:val="002F34D2"/>
    <w:rsid w:val="002F5E83"/>
    <w:rsid w:val="002F6A1F"/>
    <w:rsid w:val="002F6E79"/>
    <w:rsid w:val="002F715A"/>
    <w:rsid w:val="003040E9"/>
    <w:rsid w:val="00305369"/>
    <w:rsid w:val="00307137"/>
    <w:rsid w:val="00331BF5"/>
    <w:rsid w:val="00332262"/>
    <w:rsid w:val="00333F0D"/>
    <w:rsid w:val="00347F92"/>
    <w:rsid w:val="0035583F"/>
    <w:rsid w:val="0035673C"/>
    <w:rsid w:val="00357A47"/>
    <w:rsid w:val="003602EE"/>
    <w:rsid w:val="00364CB9"/>
    <w:rsid w:val="003701F2"/>
    <w:rsid w:val="00370D5C"/>
    <w:rsid w:val="0037545F"/>
    <w:rsid w:val="00377448"/>
    <w:rsid w:val="00377588"/>
    <w:rsid w:val="00383052"/>
    <w:rsid w:val="00386191"/>
    <w:rsid w:val="00391411"/>
    <w:rsid w:val="003915E2"/>
    <w:rsid w:val="00393AA5"/>
    <w:rsid w:val="003A6C5E"/>
    <w:rsid w:val="003C3C99"/>
    <w:rsid w:val="003C56F1"/>
    <w:rsid w:val="003C7292"/>
    <w:rsid w:val="003D613B"/>
    <w:rsid w:val="003E0092"/>
    <w:rsid w:val="003F2B5D"/>
    <w:rsid w:val="003F69EB"/>
    <w:rsid w:val="003F7028"/>
    <w:rsid w:val="00400F82"/>
    <w:rsid w:val="004014F2"/>
    <w:rsid w:val="00404B3F"/>
    <w:rsid w:val="004061FE"/>
    <w:rsid w:val="00412109"/>
    <w:rsid w:val="00416A76"/>
    <w:rsid w:val="004200D4"/>
    <w:rsid w:val="00431842"/>
    <w:rsid w:val="00435F6A"/>
    <w:rsid w:val="00436BF0"/>
    <w:rsid w:val="00440B21"/>
    <w:rsid w:val="00441265"/>
    <w:rsid w:val="00446965"/>
    <w:rsid w:val="0045144C"/>
    <w:rsid w:val="004549FE"/>
    <w:rsid w:val="00455E4B"/>
    <w:rsid w:val="004610D0"/>
    <w:rsid w:val="004628F3"/>
    <w:rsid w:val="0046447B"/>
    <w:rsid w:val="00470B0A"/>
    <w:rsid w:val="00471040"/>
    <w:rsid w:val="00477C7A"/>
    <w:rsid w:val="00477EAB"/>
    <w:rsid w:val="004832DB"/>
    <w:rsid w:val="00484C1C"/>
    <w:rsid w:val="00486743"/>
    <w:rsid w:val="0048754B"/>
    <w:rsid w:val="00487F71"/>
    <w:rsid w:val="00491641"/>
    <w:rsid w:val="00496AE7"/>
    <w:rsid w:val="004A06E5"/>
    <w:rsid w:val="004A71C2"/>
    <w:rsid w:val="004B0829"/>
    <w:rsid w:val="004B5C9A"/>
    <w:rsid w:val="004B68F8"/>
    <w:rsid w:val="004C24A9"/>
    <w:rsid w:val="004C29C9"/>
    <w:rsid w:val="004D00EF"/>
    <w:rsid w:val="004E511E"/>
    <w:rsid w:val="004E7AB9"/>
    <w:rsid w:val="004F24E5"/>
    <w:rsid w:val="004F3B39"/>
    <w:rsid w:val="00500FCE"/>
    <w:rsid w:val="00505101"/>
    <w:rsid w:val="0051019E"/>
    <w:rsid w:val="00510FFB"/>
    <w:rsid w:val="00511A36"/>
    <w:rsid w:val="00511D40"/>
    <w:rsid w:val="005236BE"/>
    <w:rsid w:val="0052754D"/>
    <w:rsid w:val="0053064F"/>
    <w:rsid w:val="00530804"/>
    <w:rsid w:val="00542D12"/>
    <w:rsid w:val="00546D15"/>
    <w:rsid w:val="00554A7E"/>
    <w:rsid w:val="0055783C"/>
    <w:rsid w:val="00561659"/>
    <w:rsid w:val="00565FFC"/>
    <w:rsid w:val="00573823"/>
    <w:rsid w:val="005761A9"/>
    <w:rsid w:val="0058605D"/>
    <w:rsid w:val="00592075"/>
    <w:rsid w:val="00592082"/>
    <w:rsid w:val="00595FEC"/>
    <w:rsid w:val="00596AF0"/>
    <w:rsid w:val="005A14DE"/>
    <w:rsid w:val="005A371B"/>
    <w:rsid w:val="005B035C"/>
    <w:rsid w:val="005B07C8"/>
    <w:rsid w:val="005B488C"/>
    <w:rsid w:val="005D68AC"/>
    <w:rsid w:val="005D6FDB"/>
    <w:rsid w:val="005F0524"/>
    <w:rsid w:val="005F079C"/>
    <w:rsid w:val="005F4D33"/>
    <w:rsid w:val="005F5C91"/>
    <w:rsid w:val="005F5CA0"/>
    <w:rsid w:val="00600B90"/>
    <w:rsid w:val="00601DC1"/>
    <w:rsid w:val="00612FED"/>
    <w:rsid w:val="00613E81"/>
    <w:rsid w:val="0062330A"/>
    <w:rsid w:val="00627D0B"/>
    <w:rsid w:val="00631655"/>
    <w:rsid w:val="00634004"/>
    <w:rsid w:val="00634063"/>
    <w:rsid w:val="00636F3B"/>
    <w:rsid w:val="006372F0"/>
    <w:rsid w:val="00640592"/>
    <w:rsid w:val="0065057F"/>
    <w:rsid w:val="00654571"/>
    <w:rsid w:val="00654705"/>
    <w:rsid w:val="006610F2"/>
    <w:rsid w:val="00661F58"/>
    <w:rsid w:val="00662A78"/>
    <w:rsid w:val="00663A86"/>
    <w:rsid w:val="006753B7"/>
    <w:rsid w:val="0068058E"/>
    <w:rsid w:val="006810DC"/>
    <w:rsid w:val="00681F36"/>
    <w:rsid w:val="0068792A"/>
    <w:rsid w:val="00696C88"/>
    <w:rsid w:val="006973F4"/>
    <w:rsid w:val="006A0857"/>
    <w:rsid w:val="006A08ED"/>
    <w:rsid w:val="006A14BD"/>
    <w:rsid w:val="006A3DD4"/>
    <w:rsid w:val="006A6431"/>
    <w:rsid w:val="006B089A"/>
    <w:rsid w:val="006B0BC2"/>
    <w:rsid w:val="006C5C65"/>
    <w:rsid w:val="006D2E93"/>
    <w:rsid w:val="006D324D"/>
    <w:rsid w:val="006D6DA5"/>
    <w:rsid w:val="006E2915"/>
    <w:rsid w:val="006E4A1A"/>
    <w:rsid w:val="006E6526"/>
    <w:rsid w:val="006E66B2"/>
    <w:rsid w:val="00701AD6"/>
    <w:rsid w:val="0070435D"/>
    <w:rsid w:val="0070676C"/>
    <w:rsid w:val="00711C82"/>
    <w:rsid w:val="0071327B"/>
    <w:rsid w:val="00720DC4"/>
    <w:rsid w:val="00723C16"/>
    <w:rsid w:val="00724C76"/>
    <w:rsid w:val="0072529A"/>
    <w:rsid w:val="007253AC"/>
    <w:rsid w:val="0073190D"/>
    <w:rsid w:val="007326D6"/>
    <w:rsid w:val="00734BBF"/>
    <w:rsid w:val="0074147E"/>
    <w:rsid w:val="0074570F"/>
    <w:rsid w:val="00754082"/>
    <w:rsid w:val="00754C32"/>
    <w:rsid w:val="00755A6C"/>
    <w:rsid w:val="007566AB"/>
    <w:rsid w:val="00760B27"/>
    <w:rsid w:val="00761840"/>
    <w:rsid w:val="00762999"/>
    <w:rsid w:val="0076614B"/>
    <w:rsid w:val="0077374C"/>
    <w:rsid w:val="00781016"/>
    <w:rsid w:val="007810D6"/>
    <w:rsid w:val="00782BDD"/>
    <w:rsid w:val="007906C4"/>
    <w:rsid w:val="00792A5F"/>
    <w:rsid w:val="00796625"/>
    <w:rsid w:val="007976CD"/>
    <w:rsid w:val="007A23DA"/>
    <w:rsid w:val="007A44F4"/>
    <w:rsid w:val="007B0EE9"/>
    <w:rsid w:val="007B781E"/>
    <w:rsid w:val="007C04BF"/>
    <w:rsid w:val="007C3CA1"/>
    <w:rsid w:val="007C6527"/>
    <w:rsid w:val="007C68B5"/>
    <w:rsid w:val="007D01CC"/>
    <w:rsid w:val="007D3631"/>
    <w:rsid w:val="007F0B25"/>
    <w:rsid w:val="007F689F"/>
    <w:rsid w:val="00801CD7"/>
    <w:rsid w:val="00806B8B"/>
    <w:rsid w:val="00810751"/>
    <w:rsid w:val="0082122A"/>
    <w:rsid w:val="00825AFA"/>
    <w:rsid w:val="0082632D"/>
    <w:rsid w:val="00837934"/>
    <w:rsid w:val="0084012C"/>
    <w:rsid w:val="00841A36"/>
    <w:rsid w:val="00842CBC"/>
    <w:rsid w:val="00845EA8"/>
    <w:rsid w:val="008520AD"/>
    <w:rsid w:val="00857F97"/>
    <w:rsid w:val="008668A9"/>
    <w:rsid w:val="00881C4D"/>
    <w:rsid w:val="008842B3"/>
    <w:rsid w:val="008849A0"/>
    <w:rsid w:val="00885DCE"/>
    <w:rsid w:val="00892D6C"/>
    <w:rsid w:val="00897B33"/>
    <w:rsid w:val="008B1BFC"/>
    <w:rsid w:val="008B20CA"/>
    <w:rsid w:val="008B23B0"/>
    <w:rsid w:val="008B7168"/>
    <w:rsid w:val="008B76E5"/>
    <w:rsid w:val="008C038B"/>
    <w:rsid w:val="008C1A3E"/>
    <w:rsid w:val="008C74B2"/>
    <w:rsid w:val="008D2018"/>
    <w:rsid w:val="008D2163"/>
    <w:rsid w:val="008D71B4"/>
    <w:rsid w:val="008E3944"/>
    <w:rsid w:val="008F0462"/>
    <w:rsid w:val="008F3050"/>
    <w:rsid w:val="008F3311"/>
    <w:rsid w:val="008F53E3"/>
    <w:rsid w:val="00902B60"/>
    <w:rsid w:val="00906782"/>
    <w:rsid w:val="00907AC6"/>
    <w:rsid w:val="00910B83"/>
    <w:rsid w:val="00912B7B"/>
    <w:rsid w:val="00912FB0"/>
    <w:rsid w:val="00914A68"/>
    <w:rsid w:val="00921A1B"/>
    <w:rsid w:val="009265CF"/>
    <w:rsid w:val="009266BE"/>
    <w:rsid w:val="00926C58"/>
    <w:rsid w:val="009332E6"/>
    <w:rsid w:val="0093418C"/>
    <w:rsid w:val="0093759B"/>
    <w:rsid w:val="00941176"/>
    <w:rsid w:val="0094204F"/>
    <w:rsid w:val="00945303"/>
    <w:rsid w:val="009472B2"/>
    <w:rsid w:val="0095240E"/>
    <w:rsid w:val="00954CF1"/>
    <w:rsid w:val="00955142"/>
    <w:rsid w:val="00955A0D"/>
    <w:rsid w:val="00971A5C"/>
    <w:rsid w:val="009809B4"/>
    <w:rsid w:val="00982D60"/>
    <w:rsid w:val="00987EF1"/>
    <w:rsid w:val="009905B0"/>
    <w:rsid w:val="00991CA5"/>
    <w:rsid w:val="009A4A5E"/>
    <w:rsid w:val="009A7ADD"/>
    <w:rsid w:val="009B07E8"/>
    <w:rsid w:val="009B0CEA"/>
    <w:rsid w:val="009B3C11"/>
    <w:rsid w:val="009B79A0"/>
    <w:rsid w:val="009B7EDB"/>
    <w:rsid w:val="009C007B"/>
    <w:rsid w:val="009C0D70"/>
    <w:rsid w:val="009C1CDD"/>
    <w:rsid w:val="009C408F"/>
    <w:rsid w:val="009C4130"/>
    <w:rsid w:val="009D1784"/>
    <w:rsid w:val="009D4F90"/>
    <w:rsid w:val="009D5E1E"/>
    <w:rsid w:val="009D69C7"/>
    <w:rsid w:val="009F21FA"/>
    <w:rsid w:val="009F3769"/>
    <w:rsid w:val="00A170A9"/>
    <w:rsid w:val="00A21F7F"/>
    <w:rsid w:val="00A23FFF"/>
    <w:rsid w:val="00A307CA"/>
    <w:rsid w:val="00A356F8"/>
    <w:rsid w:val="00A45358"/>
    <w:rsid w:val="00A52A8E"/>
    <w:rsid w:val="00A54C35"/>
    <w:rsid w:val="00A5640A"/>
    <w:rsid w:val="00A6189C"/>
    <w:rsid w:val="00A67BEF"/>
    <w:rsid w:val="00A71803"/>
    <w:rsid w:val="00A7772B"/>
    <w:rsid w:val="00A853D3"/>
    <w:rsid w:val="00A87DD4"/>
    <w:rsid w:val="00A9593C"/>
    <w:rsid w:val="00A97A6C"/>
    <w:rsid w:val="00AA3144"/>
    <w:rsid w:val="00AA3402"/>
    <w:rsid w:val="00AA5577"/>
    <w:rsid w:val="00AB1A5B"/>
    <w:rsid w:val="00AB2E08"/>
    <w:rsid w:val="00AC3AD9"/>
    <w:rsid w:val="00AE11CF"/>
    <w:rsid w:val="00AE23E9"/>
    <w:rsid w:val="00AF3480"/>
    <w:rsid w:val="00AF7F88"/>
    <w:rsid w:val="00B014DF"/>
    <w:rsid w:val="00B0390F"/>
    <w:rsid w:val="00B13CBD"/>
    <w:rsid w:val="00B16305"/>
    <w:rsid w:val="00B16F12"/>
    <w:rsid w:val="00B31CE3"/>
    <w:rsid w:val="00B3457B"/>
    <w:rsid w:val="00B37914"/>
    <w:rsid w:val="00B51FA5"/>
    <w:rsid w:val="00B54753"/>
    <w:rsid w:val="00B57A6D"/>
    <w:rsid w:val="00B64675"/>
    <w:rsid w:val="00B661A0"/>
    <w:rsid w:val="00B70AA6"/>
    <w:rsid w:val="00B72C22"/>
    <w:rsid w:val="00B7563D"/>
    <w:rsid w:val="00B77007"/>
    <w:rsid w:val="00B84A5C"/>
    <w:rsid w:val="00B854F7"/>
    <w:rsid w:val="00B855FC"/>
    <w:rsid w:val="00B85620"/>
    <w:rsid w:val="00B85EDB"/>
    <w:rsid w:val="00B91E82"/>
    <w:rsid w:val="00B96436"/>
    <w:rsid w:val="00BA1856"/>
    <w:rsid w:val="00BA2E44"/>
    <w:rsid w:val="00BA6D4D"/>
    <w:rsid w:val="00BB6DAE"/>
    <w:rsid w:val="00BC7B84"/>
    <w:rsid w:val="00BC7E17"/>
    <w:rsid w:val="00BD5521"/>
    <w:rsid w:val="00BD64D1"/>
    <w:rsid w:val="00BD6C06"/>
    <w:rsid w:val="00BD7AD8"/>
    <w:rsid w:val="00BD7F0C"/>
    <w:rsid w:val="00BE1C74"/>
    <w:rsid w:val="00BF7C0A"/>
    <w:rsid w:val="00C01BC3"/>
    <w:rsid w:val="00C0207E"/>
    <w:rsid w:val="00C03654"/>
    <w:rsid w:val="00C04BE3"/>
    <w:rsid w:val="00C215F3"/>
    <w:rsid w:val="00C3413F"/>
    <w:rsid w:val="00C36429"/>
    <w:rsid w:val="00C378D4"/>
    <w:rsid w:val="00C419F6"/>
    <w:rsid w:val="00C431A3"/>
    <w:rsid w:val="00C4750B"/>
    <w:rsid w:val="00C47E67"/>
    <w:rsid w:val="00C5541E"/>
    <w:rsid w:val="00C61BC7"/>
    <w:rsid w:val="00C641FC"/>
    <w:rsid w:val="00C64F4D"/>
    <w:rsid w:val="00C64FD1"/>
    <w:rsid w:val="00C71ED3"/>
    <w:rsid w:val="00C8095D"/>
    <w:rsid w:val="00C80AEE"/>
    <w:rsid w:val="00C8148A"/>
    <w:rsid w:val="00C82AB4"/>
    <w:rsid w:val="00C84C6F"/>
    <w:rsid w:val="00C87E79"/>
    <w:rsid w:val="00C93093"/>
    <w:rsid w:val="00C955A3"/>
    <w:rsid w:val="00C97C9C"/>
    <w:rsid w:val="00CA1237"/>
    <w:rsid w:val="00CA41BF"/>
    <w:rsid w:val="00CA6A74"/>
    <w:rsid w:val="00CC0E35"/>
    <w:rsid w:val="00CD217C"/>
    <w:rsid w:val="00CD5954"/>
    <w:rsid w:val="00CD5C80"/>
    <w:rsid w:val="00CE4825"/>
    <w:rsid w:val="00CE5999"/>
    <w:rsid w:val="00CE6767"/>
    <w:rsid w:val="00CF09B3"/>
    <w:rsid w:val="00CF1D60"/>
    <w:rsid w:val="00CF30CC"/>
    <w:rsid w:val="00D1099B"/>
    <w:rsid w:val="00D11167"/>
    <w:rsid w:val="00D128DD"/>
    <w:rsid w:val="00D12FE8"/>
    <w:rsid w:val="00D24F22"/>
    <w:rsid w:val="00D25D21"/>
    <w:rsid w:val="00D27D86"/>
    <w:rsid w:val="00D34124"/>
    <w:rsid w:val="00D4486E"/>
    <w:rsid w:val="00D50254"/>
    <w:rsid w:val="00D52ED4"/>
    <w:rsid w:val="00D56A4B"/>
    <w:rsid w:val="00D60DCB"/>
    <w:rsid w:val="00D62F59"/>
    <w:rsid w:val="00D63E0D"/>
    <w:rsid w:val="00D70391"/>
    <w:rsid w:val="00D7310A"/>
    <w:rsid w:val="00D75922"/>
    <w:rsid w:val="00D75A3D"/>
    <w:rsid w:val="00D8212A"/>
    <w:rsid w:val="00D84EB4"/>
    <w:rsid w:val="00D93F0F"/>
    <w:rsid w:val="00D94C24"/>
    <w:rsid w:val="00DA491F"/>
    <w:rsid w:val="00DA58DF"/>
    <w:rsid w:val="00DB0322"/>
    <w:rsid w:val="00DB444A"/>
    <w:rsid w:val="00DC7B23"/>
    <w:rsid w:val="00DD3C7A"/>
    <w:rsid w:val="00DD4E30"/>
    <w:rsid w:val="00DD52A3"/>
    <w:rsid w:val="00DE57DA"/>
    <w:rsid w:val="00DE7A58"/>
    <w:rsid w:val="00DF0DE0"/>
    <w:rsid w:val="00DF2E2E"/>
    <w:rsid w:val="00E00E67"/>
    <w:rsid w:val="00E02628"/>
    <w:rsid w:val="00E03ADA"/>
    <w:rsid w:val="00E115B0"/>
    <w:rsid w:val="00E13CCD"/>
    <w:rsid w:val="00E15022"/>
    <w:rsid w:val="00E152D0"/>
    <w:rsid w:val="00E17D3D"/>
    <w:rsid w:val="00E24A88"/>
    <w:rsid w:val="00E35641"/>
    <w:rsid w:val="00E35BFA"/>
    <w:rsid w:val="00E35FD2"/>
    <w:rsid w:val="00E46CA6"/>
    <w:rsid w:val="00E55CD2"/>
    <w:rsid w:val="00E573DB"/>
    <w:rsid w:val="00E57862"/>
    <w:rsid w:val="00E64714"/>
    <w:rsid w:val="00E65330"/>
    <w:rsid w:val="00E67D45"/>
    <w:rsid w:val="00E80B2C"/>
    <w:rsid w:val="00E85BB3"/>
    <w:rsid w:val="00E923CB"/>
    <w:rsid w:val="00E9504E"/>
    <w:rsid w:val="00E97F0C"/>
    <w:rsid w:val="00EC2433"/>
    <w:rsid w:val="00EC4702"/>
    <w:rsid w:val="00ED0AFA"/>
    <w:rsid w:val="00ED291C"/>
    <w:rsid w:val="00EF1593"/>
    <w:rsid w:val="00EF3E23"/>
    <w:rsid w:val="00EF5B0F"/>
    <w:rsid w:val="00EF6B87"/>
    <w:rsid w:val="00F002D7"/>
    <w:rsid w:val="00F01431"/>
    <w:rsid w:val="00F02A50"/>
    <w:rsid w:val="00F0553C"/>
    <w:rsid w:val="00F152ED"/>
    <w:rsid w:val="00F1781F"/>
    <w:rsid w:val="00F238D5"/>
    <w:rsid w:val="00F25B0D"/>
    <w:rsid w:val="00F36FD5"/>
    <w:rsid w:val="00F37BE0"/>
    <w:rsid w:val="00F50152"/>
    <w:rsid w:val="00F74FD5"/>
    <w:rsid w:val="00F75ADD"/>
    <w:rsid w:val="00F81EC9"/>
    <w:rsid w:val="00F826E0"/>
    <w:rsid w:val="00F83AB0"/>
    <w:rsid w:val="00F86B89"/>
    <w:rsid w:val="00F968CD"/>
    <w:rsid w:val="00FA1C8E"/>
    <w:rsid w:val="00FB0430"/>
    <w:rsid w:val="00FC22E7"/>
    <w:rsid w:val="00FC5182"/>
    <w:rsid w:val="00FC690D"/>
    <w:rsid w:val="00FC6FF0"/>
    <w:rsid w:val="00FC77ED"/>
    <w:rsid w:val="00FD6CFC"/>
    <w:rsid w:val="00FD78E6"/>
    <w:rsid w:val="00FE6FA6"/>
    <w:rsid w:val="00FF322C"/>
    <w:rsid w:val="00FF3890"/>
    <w:rsid w:val="31C74937"/>
    <w:rsid w:val="386C3259"/>
    <w:rsid w:val="3FDD35C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27CA3F"/>
  <w15:docId w15:val="{B3EEFB9F-55C5-4406-88CA-AF8FE665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semiHidden/>
    <w:unhideWhenUsed/>
    <w:qFormat/>
    <w:pPr>
      <w:spacing w:after="0" w:line="240" w:lineRule="auto"/>
    </w:pPr>
    <w:rPr>
      <w:rFonts w:ascii="Consolas" w:hAnsi="Consolas"/>
      <w:sz w:val="20"/>
      <w:szCs w:val="20"/>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semiHidden/>
    <w:qFormat/>
    <w:rPr>
      <w:sz w:val="20"/>
      <w:szCs w:val="20"/>
    </w:rPr>
  </w:style>
  <w:style w:type="paragraph" w:customStyle="1" w:styleId="Bibliography1">
    <w:name w:val="Bibliography1"/>
    <w:basedOn w:val="Normal"/>
    <w:next w:val="Normal"/>
    <w:uiPriority w:val="37"/>
    <w:unhideWhenUsed/>
    <w:qFormat/>
    <w:pPr>
      <w:spacing w:after="0" w:line="480" w:lineRule="auto"/>
      <w:ind w:left="720" w:hanging="720"/>
    </w:pPr>
  </w:style>
  <w:style w:type="character" w:customStyle="1" w:styleId="HTMLPreformattedChar">
    <w:name w:val="HTML Preformatted Char"/>
    <w:basedOn w:val="DefaultParagraphFont"/>
    <w:link w:val="HTMLPreformatted"/>
    <w:uiPriority w:val="99"/>
    <w:semiHidden/>
    <w:qFormat/>
    <w:rPr>
      <w:rFonts w:ascii="Consolas" w:hAnsi="Consolas"/>
      <w:sz w:val="20"/>
      <w:szCs w:val="20"/>
    </w:rPr>
  </w:style>
  <w:style w:type="paragraph" w:styleId="Bibliography">
    <w:name w:val="Bibliography"/>
    <w:basedOn w:val="Normal"/>
    <w:next w:val="Normal"/>
    <w:uiPriority w:val="37"/>
    <w:unhideWhenUsed/>
    <w:rsid w:val="00111A7E"/>
    <w:pPr>
      <w:spacing w:after="0" w:line="480" w:lineRule="auto"/>
      <w:ind w:left="720" w:hanging="720"/>
    </w:pPr>
  </w:style>
  <w:style w:type="character" w:styleId="Hyperlink">
    <w:name w:val="Hyperlink"/>
    <w:basedOn w:val="DefaultParagraphFont"/>
    <w:uiPriority w:val="99"/>
    <w:unhideWhenUsed/>
    <w:rsid w:val="00F36FD5"/>
    <w:rPr>
      <w:color w:val="0563C1" w:themeColor="hyperlink"/>
      <w:u w:val="single"/>
    </w:rPr>
  </w:style>
  <w:style w:type="paragraph" w:styleId="BodyText">
    <w:name w:val="Body Text"/>
    <w:link w:val="BodyTextChar"/>
    <w:rsid w:val="00F36FD5"/>
    <w:pPr>
      <w:widowControl w:val="0"/>
      <w:pBdr>
        <w:top w:val="nil"/>
        <w:left w:val="nil"/>
        <w:bottom w:val="nil"/>
        <w:right w:val="nil"/>
        <w:between w:val="nil"/>
        <w:bar w:val="nil"/>
      </w:pBdr>
      <w:ind w:right="257"/>
      <w:jc w:val="both"/>
    </w:pPr>
    <w:rPr>
      <w:rFonts w:ascii="Times New Roman" w:eastAsia="Times New Roman" w:hAnsi="Times New Roman" w:cs="Times New Roman"/>
      <w:color w:val="000000"/>
      <w:sz w:val="24"/>
      <w:szCs w:val="24"/>
      <w:u w:color="000000"/>
      <w:bdr w:val="nil"/>
      <w:lang w:val="en-US"/>
    </w:rPr>
  </w:style>
  <w:style w:type="character" w:customStyle="1" w:styleId="BodyTextChar">
    <w:name w:val="Body Text Char"/>
    <w:basedOn w:val="DefaultParagraphFont"/>
    <w:link w:val="BodyText"/>
    <w:rsid w:val="00F36FD5"/>
    <w:rPr>
      <w:rFonts w:ascii="Times New Roman" w:eastAsia="Times New Roman" w:hAnsi="Times New Roman" w:cs="Times New Roman"/>
      <w:color w:val="000000"/>
      <w:sz w:val="24"/>
      <w:szCs w:val="24"/>
      <w:u w:color="000000"/>
      <w:bdr w:val="nil"/>
      <w:lang w:val="en-US"/>
    </w:rPr>
  </w:style>
  <w:style w:type="character" w:customStyle="1" w:styleId="NoneA">
    <w:name w:val="None A"/>
    <w:rsid w:val="00F36FD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057">
      <w:bodyDiv w:val="1"/>
      <w:marLeft w:val="0"/>
      <w:marRight w:val="0"/>
      <w:marTop w:val="0"/>
      <w:marBottom w:val="0"/>
      <w:divBdr>
        <w:top w:val="none" w:sz="0" w:space="0" w:color="auto"/>
        <w:left w:val="none" w:sz="0" w:space="0" w:color="auto"/>
        <w:bottom w:val="none" w:sz="0" w:space="0" w:color="auto"/>
        <w:right w:val="none" w:sz="0" w:space="0" w:color="auto"/>
      </w:divBdr>
    </w:div>
    <w:div w:id="119148506">
      <w:bodyDiv w:val="1"/>
      <w:marLeft w:val="0"/>
      <w:marRight w:val="0"/>
      <w:marTop w:val="0"/>
      <w:marBottom w:val="0"/>
      <w:divBdr>
        <w:top w:val="none" w:sz="0" w:space="0" w:color="auto"/>
        <w:left w:val="none" w:sz="0" w:space="0" w:color="auto"/>
        <w:bottom w:val="none" w:sz="0" w:space="0" w:color="auto"/>
        <w:right w:val="none" w:sz="0" w:space="0" w:color="auto"/>
      </w:divBdr>
    </w:div>
    <w:div w:id="359429923">
      <w:bodyDiv w:val="1"/>
      <w:marLeft w:val="0"/>
      <w:marRight w:val="0"/>
      <w:marTop w:val="0"/>
      <w:marBottom w:val="0"/>
      <w:divBdr>
        <w:top w:val="none" w:sz="0" w:space="0" w:color="auto"/>
        <w:left w:val="none" w:sz="0" w:space="0" w:color="auto"/>
        <w:bottom w:val="none" w:sz="0" w:space="0" w:color="auto"/>
        <w:right w:val="none" w:sz="0" w:space="0" w:color="auto"/>
      </w:divBdr>
    </w:div>
    <w:div w:id="582643631">
      <w:bodyDiv w:val="1"/>
      <w:marLeft w:val="0"/>
      <w:marRight w:val="0"/>
      <w:marTop w:val="0"/>
      <w:marBottom w:val="0"/>
      <w:divBdr>
        <w:top w:val="none" w:sz="0" w:space="0" w:color="auto"/>
        <w:left w:val="none" w:sz="0" w:space="0" w:color="auto"/>
        <w:bottom w:val="none" w:sz="0" w:space="0" w:color="auto"/>
        <w:right w:val="none" w:sz="0" w:space="0" w:color="auto"/>
      </w:divBdr>
    </w:div>
    <w:div w:id="646587480">
      <w:bodyDiv w:val="1"/>
      <w:marLeft w:val="0"/>
      <w:marRight w:val="0"/>
      <w:marTop w:val="0"/>
      <w:marBottom w:val="0"/>
      <w:divBdr>
        <w:top w:val="none" w:sz="0" w:space="0" w:color="auto"/>
        <w:left w:val="none" w:sz="0" w:space="0" w:color="auto"/>
        <w:bottom w:val="none" w:sz="0" w:space="0" w:color="auto"/>
        <w:right w:val="none" w:sz="0" w:space="0" w:color="auto"/>
      </w:divBdr>
    </w:div>
    <w:div w:id="1068918747">
      <w:bodyDiv w:val="1"/>
      <w:marLeft w:val="0"/>
      <w:marRight w:val="0"/>
      <w:marTop w:val="0"/>
      <w:marBottom w:val="0"/>
      <w:divBdr>
        <w:top w:val="none" w:sz="0" w:space="0" w:color="auto"/>
        <w:left w:val="none" w:sz="0" w:space="0" w:color="auto"/>
        <w:bottom w:val="none" w:sz="0" w:space="0" w:color="auto"/>
        <w:right w:val="none" w:sz="0" w:space="0" w:color="auto"/>
      </w:divBdr>
    </w:div>
    <w:div w:id="1150099360">
      <w:bodyDiv w:val="1"/>
      <w:marLeft w:val="0"/>
      <w:marRight w:val="0"/>
      <w:marTop w:val="0"/>
      <w:marBottom w:val="0"/>
      <w:divBdr>
        <w:top w:val="none" w:sz="0" w:space="0" w:color="auto"/>
        <w:left w:val="none" w:sz="0" w:space="0" w:color="auto"/>
        <w:bottom w:val="none" w:sz="0" w:space="0" w:color="auto"/>
        <w:right w:val="none" w:sz="0" w:space="0" w:color="auto"/>
      </w:divBdr>
    </w:div>
    <w:div w:id="1183283596">
      <w:bodyDiv w:val="1"/>
      <w:marLeft w:val="0"/>
      <w:marRight w:val="0"/>
      <w:marTop w:val="0"/>
      <w:marBottom w:val="0"/>
      <w:divBdr>
        <w:top w:val="none" w:sz="0" w:space="0" w:color="auto"/>
        <w:left w:val="none" w:sz="0" w:space="0" w:color="auto"/>
        <w:bottom w:val="none" w:sz="0" w:space="0" w:color="auto"/>
        <w:right w:val="none" w:sz="0" w:space="0" w:color="auto"/>
      </w:divBdr>
    </w:div>
    <w:div w:id="1453934859">
      <w:bodyDiv w:val="1"/>
      <w:marLeft w:val="0"/>
      <w:marRight w:val="0"/>
      <w:marTop w:val="0"/>
      <w:marBottom w:val="0"/>
      <w:divBdr>
        <w:top w:val="none" w:sz="0" w:space="0" w:color="auto"/>
        <w:left w:val="none" w:sz="0" w:space="0" w:color="auto"/>
        <w:bottom w:val="none" w:sz="0" w:space="0" w:color="auto"/>
        <w:right w:val="none" w:sz="0" w:space="0" w:color="auto"/>
      </w:divBdr>
    </w:div>
    <w:div w:id="214114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9127F-3A78-4F0D-9420-D11C7CA20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29055</Words>
  <Characters>165620</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Zeeshan Akram</dc:creator>
  <cp:lastModifiedBy>SDI 1158</cp:lastModifiedBy>
  <cp:revision>5</cp:revision>
  <dcterms:created xsi:type="dcterms:W3CDTF">2025-07-15T08:13:00Z</dcterms:created>
  <dcterms:modified xsi:type="dcterms:W3CDTF">2025-07-17T10:32:00Z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id="p7zULTu6"/&gt;&lt;style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_DocHome">
    <vt:i4>-397940952</vt:i4>
  </property>
  <property fmtid="{D5CDD505-2E9C-101B-9397-08002B2CF9AE}" pid="5" name="GrammarlyDocumentId">
    <vt:lpwstr>4033abe494da383bd8edeb3207ebaaf05117ea926bbf582ecc9e3fd626018284</vt:lpwstr>
  </property>
  <property fmtid="{D5CDD505-2E9C-101B-9397-08002B2CF9AE}" pid="6" name="KSOProductBuildVer">
    <vt:lpwstr>1033-12.2.0.19805</vt:lpwstr>
  </property>
  <property fmtid="{D5CDD505-2E9C-101B-9397-08002B2CF9AE}" pid="7" name="ICV">
    <vt:lpwstr>8EE74A64B79049AD858D01FC40093EFD_12</vt:lpwstr>
  </property>
</Properties>
</file>