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B36D1" w14:textId="77777777" w:rsidR="00701379" w:rsidRDefault="00000000">
      <w:pPr>
        <w:widowControl w:val="0"/>
        <w:pBdr>
          <w:top w:val="nil"/>
          <w:left w:val="nil"/>
          <w:bottom w:val="nil"/>
          <w:right w:val="nil"/>
          <w:between w:val="nil"/>
        </w:pBdr>
        <w:spacing w:after="0" w:line="276" w:lineRule="auto"/>
      </w:pPr>
      <w:r>
        <w:pict w14:anchorId="435DD7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0213FD44">
          <v:shape id="_x0000_s2051" type="#_x0000_t136" style="position:absolute;margin-left:0;margin-top:0;width:50pt;height:50pt;z-index:251657728;visibility:hidden">
            <o:lock v:ext="edit" selection="t"/>
          </v:shape>
        </w:pict>
      </w:r>
      <w:r>
        <w:pict w14:anchorId="53E7DB1D">
          <v:shape id="_x0000_s2050" type="#_x0000_t136" style="position:absolute;margin-left:0;margin-top:0;width:50pt;height:50pt;z-index:251658752;visibility:hidden">
            <o:lock v:ext="edit" selection="t"/>
          </v:shape>
        </w:pict>
      </w:r>
    </w:p>
    <w:p w14:paraId="7952DB12" w14:textId="77777777" w:rsidR="00701379" w:rsidRDefault="00701379">
      <w:pPr>
        <w:spacing w:after="280" w:line="240" w:lineRule="auto"/>
        <w:jc w:val="both"/>
        <w:rPr>
          <w:rFonts w:ascii="Times New Roman" w:eastAsia="Times New Roman" w:hAnsi="Times New Roman" w:cs="Times New Roman"/>
          <w:b/>
          <w:sz w:val="24"/>
          <w:szCs w:val="24"/>
        </w:rPr>
      </w:pPr>
    </w:p>
    <w:p w14:paraId="7AAB37FF" w14:textId="77777777" w:rsidR="00701379" w:rsidRDefault="00000000">
      <w:pPr>
        <w:spacing w:before="280" w:after="28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Review Article</w:t>
      </w:r>
    </w:p>
    <w:p w14:paraId="15903896" w14:textId="77777777" w:rsidR="00701379"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Decoding Tumor Heterogeneity Through Multi-Omics: Insights into Cancer Evolution, microenvironment and Therapy Resistance. </w:t>
      </w:r>
    </w:p>
    <w:p w14:paraId="58D78B36" w14:textId="77777777" w:rsidR="00701379" w:rsidRDefault="00000000">
      <w:pPr>
        <w:pStyle w:val="Heading3"/>
        <w:jc w:val="both"/>
      </w:pPr>
      <w:r>
        <w:t xml:space="preserve">Abstract </w:t>
      </w:r>
    </w:p>
    <w:p w14:paraId="600483B6"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 The existence of genetically, epigenetically, and phenotypically distinct cell populations inside and between tumors is known as tumor heterogeneity, and it is one of the main barriers to effective cancer treatment. This intricacy affects the likelihood of metastasis, therapeutic resistance, and disease recurrence, rendering single-omics methods and conventional diagnostics inadequate for whole-tumor profiling. As a result, multi-omics methods, which incorporate data from multiple biological layers, such as transcriptomics, proteomics, metabolomics, genomes, and epigenomics, have emerged as powerful tools for thoroughly examining intra- and inter-tumoral complexity.</w:t>
      </w:r>
    </w:p>
    <w:p w14:paraId="13AE8D7A" w14:textId="77777777" w:rsidR="004C437A" w:rsidRDefault="004C437A">
      <w:pPr>
        <w:spacing w:after="0" w:line="240" w:lineRule="auto"/>
        <w:jc w:val="both"/>
        <w:rPr>
          <w:rFonts w:ascii="Times New Roman" w:eastAsia="Times New Roman" w:hAnsi="Times New Roman" w:cs="Times New Roman"/>
          <w:sz w:val="24"/>
          <w:szCs w:val="24"/>
        </w:rPr>
      </w:pPr>
    </w:p>
    <w:p w14:paraId="35528191" w14:textId="77777777" w:rsidR="004C43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Methods: </w:t>
      </w:r>
      <w:r w:rsidR="004C437A" w:rsidRPr="004C437A">
        <w:rPr>
          <w:rFonts w:ascii="Times New Roman" w:eastAsia="Times New Roman" w:hAnsi="Times New Roman" w:cs="Times New Roman"/>
          <w:sz w:val="24"/>
          <w:szCs w:val="24"/>
        </w:rPr>
        <w:t>A comprehensive literature synthesis was conducted, emphasizing high-impact studies that illustrate technological innovation and translational impact in multi-omics applications. Key case studies in glioblastoma, non-small cell lung cancer, and breast cancer are highlighted to demonstrate real-world clinical relevance.</w:t>
      </w:r>
    </w:p>
    <w:p w14:paraId="283DC8F1" w14:textId="304A8163"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ECC5B1" w14:textId="59CB363F" w:rsidR="004C43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Aims and objectives: This paper explores the ways in which integrated multi-omics has transformed our understanding of clonal dynamics,</w:t>
      </w:r>
      <w:r w:rsidR="004C43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tumor growth, and resistance mechanisms</w:t>
      </w:r>
      <w:r w:rsidR="004C437A">
        <w:rPr>
          <w:rFonts w:ascii="Times New Roman" w:eastAsia="Times New Roman" w:hAnsi="Times New Roman" w:cs="Times New Roman"/>
          <w:sz w:val="24"/>
          <w:szCs w:val="24"/>
        </w:rPr>
        <w:t xml:space="preserve"> </w:t>
      </w:r>
      <w:r w:rsidR="004C437A" w:rsidRPr="004C437A">
        <w:rPr>
          <w:rFonts w:ascii="Times New Roman" w:eastAsia="Times New Roman" w:hAnsi="Times New Roman" w:cs="Times New Roman"/>
          <w:sz w:val="24"/>
          <w:szCs w:val="24"/>
        </w:rPr>
        <w:t>while charting a path toward precision oncology.</w:t>
      </w:r>
    </w:p>
    <w:p w14:paraId="11F99EB7" w14:textId="77777777" w:rsidR="004C437A" w:rsidRDefault="004C437A">
      <w:pPr>
        <w:spacing w:after="0" w:line="240" w:lineRule="auto"/>
        <w:jc w:val="both"/>
        <w:rPr>
          <w:rFonts w:ascii="Times New Roman" w:eastAsia="Times New Roman" w:hAnsi="Times New Roman" w:cs="Times New Roman"/>
          <w:sz w:val="24"/>
          <w:szCs w:val="24"/>
        </w:rPr>
      </w:pPr>
    </w:p>
    <w:p w14:paraId="655287A3" w14:textId="45CDB321"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Insights: The latest methods, such as single-cell multi-omics, spatial transcriptomics, and proteogenomics, were examined, along with computational frameworks including network-based models, probabilistic inference algorithms, and AI-driven tools that make it easier to integrate high-dimensional data. Along with discussing new technologies like in vivo biosensors, organoid-based modeling, and point-of-care omics, the function of the tumor microenvironment, lineage tracing, and liquid biopsies in monitoring the real-time progression of tumors was also discussed. Translational hurdles, including cost, complexity, and ethical issues were addressed while highlighting the importance of equity and worldwide access.</w:t>
      </w:r>
    </w:p>
    <w:p w14:paraId="150D99B0" w14:textId="77777777" w:rsidR="004C437A" w:rsidRDefault="004C437A">
      <w:pPr>
        <w:spacing w:after="0" w:line="240" w:lineRule="auto"/>
        <w:jc w:val="both"/>
        <w:rPr>
          <w:rFonts w:ascii="Times New Roman" w:eastAsia="Times New Roman" w:hAnsi="Times New Roman" w:cs="Times New Roman"/>
          <w:sz w:val="24"/>
          <w:szCs w:val="24"/>
        </w:rPr>
      </w:pPr>
    </w:p>
    <w:p w14:paraId="2A2A59FF"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 Multi-omics has great promise for truly personalized oncology by providing the integrated insights required for dynamic monitoring, predictive diagnosis, and tailored therapy design in future cancer care.</w:t>
      </w:r>
    </w:p>
    <w:p w14:paraId="35CB670D" w14:textId="77777777" w:rsidR="00701379" w:rsidRDefault="00701379">
      <w:pPr>
        <w:spacing w:after="0" w:line="240" w:lineRule="auto"/>
        <w:jc w:val="both"/>
        <w:rPr>
          <w:rFonts w:ascii="Times New Roman" w:eastAsia="Times New Roman" w:hAnsi="Times New Roman" w:cs="Times New Roman"/>
          <w:sz w:val="24"/>
          <w:szCs w:val="24"/>
        </w:rPr>
      </w:pPr>
    </w:p>
    <w:p w14:paraId="573D2846" w14:textId="54E0D62C"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w:t>
      </w:r>
      <w:r w:rsidR="004C43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Heterogeneity</w:t>
      </w:r>
      <w:r w:rsidR="004C437A">
        <w:rPr>
          <w:rFonts w:ascii="Times New Roman" w:eastAsia="Times New Roman" w:hAnsi="Times New Roman" w:cs="Times New Roman"/>
          <w:sz w:val="24"/>
          <w:szCs w:val="24"/>
        </w:rPr>
        <w:t xml:space="preserve">, </w:t>
      </w:r>
      <w:r w:rsidR="00140593">
        <w:rPr>
          <w:rFonts w:ascii="Times New Roman" w:eastAsia="Times New Roman" w:hAnsi="Times New Roman" w:cs="Times New Roman"/>
          <w:sz w:val="24"/>
          <w:szCs w:val="24"/>
        </w:rPr>
        <w:t>Multi-omics</w:t>
      </w:r>
      <w:r>
        <w:rPr>
          <w:rFonts w:ascii="Times New Roman" w:eastAsia="Times New Roman" w:hAnsi="Times New Roman" w:cs="Times New Roman"/>
          <w:sz w:val="24"/>
          <w:szCs w:val="24"/>
        </w:rPr>
        <w:t xml:space="preserve">, </w:t>
      </w:r>
      <w:r w:rsidR="00140593">
        <w:rPr>
          <w:rFonts w:ascii="Times New Roman" w:eastAsia="Times New Roman" w:hAnsi="Times New Roman" w:cs="Times New Roman"/>
          <w:sz w:val="24"/>
          <w:szCs w:val="24"/>
        </w:rPr>
        <w:t>T</w:t>
      </w:r>
      <w:r w:rsidR="004C437A" w:rsidRPr="004C437A">
        <w:rPr>
          <w:rFonts w:ascii="Times New Roman" w:eastAsia="Times New Roman" w:hAnsi="Times New Roman" w:cs="Times New Roman"/>
          <w:sz w:val="24"/>
          <w:szCs w:val="24"/>
        </w:rPr>
        <w:t xml:space="preserve">herapy </w:t>
      </w:r>
      <w:r w:rsidR="00140593">
        <w:rPr>
          <w:rFonts w:ascii="Times New Roman" w:eastAsia="Times New Roman" w:hAnsi="Times New Roman" w:cs="Times New Roman"/>
          <w:sz w:val="24"/>
          <w:szCs w:val="24"/>
        </w:rPr>
        <w:t>R</w:t>
      </w:r>
      <w:r w:rsidR="004C437A" w:rsidRPr="004C437A">
        <w:rPr>
          <w:rFonts w:ascii="Times New Roman" w:eastAsia="Times New Roman" w:hAnsi="Times New Roman" w:cs="Times New Roman"/>
          <w:sz w:val="24"/>
          <w:szCs w:val="24"/>
        </w:rPr>
        <w:t xml:space="preserve">esistance, </w:t>
      </w:r>
      <w:r w:rsidR="00140593">
        <w:rPr>
          <w:rFonts w:ascii="Times New Roman" w:eastAsia="Times New Roman" w:hAnsi="Times New Roman" w:cs="Times New Roman"/>
          <w:sz w:val="24"/>
          <w:szCs w:val="24"/>
        </w:rPr>
        <w:t>T</w:t>
      </w:r>
      <w:r w:rsidR="004C437A" w:rsidRPr="004C437A">
        <w:rPr>
          <w:rFonts w:ascii="Times New Roman" w:eastAsia="Times New Roman" w:hAnsi="Times New Roman" w:cs="Times New Roman"/>
          <w:sz w:val="24"/>
          <w:szCs w:val="24"/>
        </w:rPr>
        <w:t xml:space="preserve">umor </w:t>
      </w:r>
      <w:r w:rsidR="00140593">
        <w:rPr>
          <w:rFonts w:ascii="Times New Roman" w:eastAsia="Times New Roman" w:hAnsi="Times New Roman" w:cs="Times New Roman"/>
          <w:sz w:val="24"/>
          <w:szCs w:val="24"/>
        </w:rPr>
        <w:t>M</w:t>
      </w:r>
      <w:r w:rsidR="004C437A" w:rsidRPr="004C437A">
        <w:rPr>
          <w:rFonts w:ascii="Times New Roman" w:eastAsia="Times New Roman" w:hAnsi="Times New Roman" w:cs="Times New Roman"/>
          <w:sz w:val="24"/>
          <w:szCs w:val="24"/>
        </w:rPr>
        <w:t xml:space="preserve">icroenvironment, </w:t>
      </w:r>
      <w:r w:rsidR="00140593">
        <w:rPr>
          <w:rFonts w:ascii="Times New Roman" w:eastAsia="Times New Roman" w:hAnsi="Times New Roman" w:cs="Times New Roman"/>
          <w:sz w:val="24"/>
          <w:szCs w:val="24"/>
        </w:rPr>
        <w:t>P</w:t>
      </w:r>
      <w:r w:rsidR="004C437A" w:rsidRPr="004C437A">
        <w:rPr>
          <w:rFonts w:ascii="Times New Roman" w:eastAsia="Times New Roman" w:hAnsi="Times New Roman" w:cs="Times New Roman"/>
          <w:sz w:val="24"/>
          <w:szCs w:val="24"/>
        </w:rPr>
        <w:t xml:space="preserve">ersonalized </w:t>
      </w:r>
      <w:r w:rsidR="00140593">
        <w:rPr>
          <w:rFonts w:ascii="Times New Roman" w:eastAsia="Times New Roman" w:hAnsi="Times New Roman" w:cs="Times New Roman"/>
          <w:sz w:val="24"/>
          <w:szCs w:val="24"/>
        </w:rPr>
        <w:t>O</w:t>
      </w:r>
      <w:r w:rsidR="004C437A" w:rsidRPr="004C437A">
        <w:rPr>
          <w:rFonts w:ascii="Times New Roman" w:eastAsia="Times New Roman" w:hAnsi="Times New Roman" w:cs="Times New Roman"/>
          <w:sz w:val="24"/>
          <w:szCs w:val="24"/>
        </w:rPr>
        <w:t>ncology</w:t>
      </w:r>
    </w:p>
    <w:p w14:paraId="603EFB5D" w14:textId="77777777" w:rsidR="00701379" w:rsidRDefault="00701379">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6B3E1B3D" w14:textId="77777777" w:rsidR="00701379" w:rsidRDefault="00701379">
      <w:pPr>
        <w:pBdr>
          <w:top w:val="nil"/>
          <w:left w:val="nil"/>
          <w:bottom w:val="nil"/>
          <w:right w:val="nil"/>
          <w:between w:val="nil"/>
        </w:pBdr>
        <w:spacing w:line="240" w:lineRule="auto"/>
        <w:jc w:val="both"/>
        <w:rPr>
          <w:rFonts w:ascii="Times New Roman" w:eastAsia="Times New Roman" w:hAnsi="Times New Roman" w:cs="Times New Roman"/>
          <w:b/>
          <w:color w:val="000000"/>
          <w:sz w:val="27"/>
          <w:szCs w:val="27"/>
        </w:rPr>
      </w:pPr>
    </w:p>
    <w:p w14:paraId="48A7E80C" w14:textId="77777777" w:rsidR="00701379" w:rsidRDefault="00701379">
      <w:pPr>
        <w:pBdr>
          <w:top w:val="nil"/>
          <w:left w:val="nil"/>
          <w:bottom w:val="nil"/>
          <w:right w:val="nil"/>
          <w:between w:val="nil"/>
        </w:pBdr>
        <w:spacing w:line="240" w:lineRule="auto"/>
        <w:jc w:val="both"/>
        <w:rPr>
          <w:rFonts w:ascii="Times New Roman" w:eastAsia="Times New Roman" w:hAnsi="Times New Roman" w:cs="Times New Roman"/>
          <w:b/>
          <w:color w:val="000000"/>
          <w:sz w:val="27"/>
          <w:szCs w:val="27"/>
        </w:rPr>
      </w:pPr>
    </w:p>
    <w:p w14:paraId="6C7DFBFC" w14:textId="77777777" w:rsidR="00701379" w:rsidRDefault="00701379">
      <w:pPr>
        <w:pBdr>
          <w:top w:val="nil"/>
          <w:left w:val="nil"/>
          <w:bottom w:val="nil"/>
          <w:right w:val="nil"/>
          <w:between w:val="nil"/>
        </w:pBdr>
        <w:spacing w:line="240" w:lineRule="auto"/>
        <w:jc w:val="both"/>
        <w:rPr>
          <w:rFonts w:ascii="Times New Roman" w:eastAsia="Times New Roman" w:hAnsi="Times New Roman" w:cs="Times New Roman"/>
          <w:b/>
          <w:color w:val="000000"/>
          <w:sz w:val="27"/>
          <w:szCs w:val="27"/>
        </w:rPr>
      </w:pPr>
    </w:p>
    <w:p w14:paraId="3838D467" w14:textId="77777777" w:rsidR="00701379" w:rsidRDefault="00701379">
      <w:pPr>
        <w:pBdr>
          <w:top w:val="nil"/>
          <w:left w:val="nil"/>
          <w:bottom w:val="nil"/>
          <w:right w:val="nil"/>
          <w:between w:val="nil"/>
        </w:pBdr>
        <w:spacing w:line="240" w:lineRule="auto"/>
        <w:jc w:val="both"/>
        <w:rPr>
          <w:rFonts w:ascii="Times New Roman" w:eastAsia="Times New Roman" w:hAnsi="Times New Roman" w:cs="Times New Roman"/>
          <w:b/>
          <w:color w:val="000000"/>
          <w:sz w:val="27"/>
          <w:szCs w:val="27"/>
        </w:rPr>
      </w:pPr>
    </w:p>
    <w:p w14:paraId="773955F2" w14:textId="77777777" w:rsidR="00701379" w:rsidRDefault="00701379">
      <w:pPr>
        <w:pBdr>
          <w:top w:val="nil"/>
          <w:left w:val="nil"/>
          <w:bottom w:val="nil"/>
          <w:right w:val="nil"/>
          <w:between w:val="nil"/>
        </w:pBdr>
        <w:spacing w:line="240" w:lineRule="auto"/>
        <w:jc w:val="both"/>
        <w:rPr>
          <w:rFonts w:ascii="Times New Roman" w:eastAsia="Times New Roman" w:hAnsi="Times New Roman" w:cs="Times New Roman"/>
          <w:b/>
          <w:color w:val="000000"/>
          <w:sz w:val="27"/>
          <w:szCs w:val="27"/>
        </w:rPr>
      </w:pPr>
    </w:p>
    <w:p w14:paraId="6DA31FA5" w14:textId="77777777" w:rsidR="00701379" w:rsidRDefault="00701379">
      <w:pPr>
        <w:pBdr>
          <w:top w:val="nil"/>
          <w:left w:val="nil"/>
          <w:bottom w:val="nil"/>
          <w:right w:val="nil"/>
          <w:between w:val="nil"/>
        </w:pBdr>
        <w:spacing w:line="240" w:lineRule="auto"/>
        <w:jc w:val="both"/>
        <w:rPr>
          <w:rFonts w:ascii="Times New Roman" w:eastAsia="Times New Roman" w:hAnsi="Times New Roman" w:cs="Times New Roman"/>
          <w:b/>
          <w:color w:val="000000"/>
          <w:sz w:val="27"/>
          <w:szCs w:val="27"/>
        </w:rPr>
      </w:pPr>
    </w:p>
    <w:p w14:paraId="2601EB2A" w14:textId="77777777" w:rsidR="00701379" w:rsidRDefault="00701379">
      <w:pPr>
        <w:pBdr>
          <w:top w:val="nil"/>
          <w:left w:val="nil"/>
          <w:bottom w:val="nil"/>
          <w:right w:val="nil"/>
          <w:between w:val="nil"/>
        </w:pBdr>
        <w:spacing w:line="240" w:lineRule="auto"/>
        <w:jc w:val="both"/>
        <w:rPr>
          <w:rFonts w:ascii="Times New Roman" w:eastAsia="Times New Roman" w:hAnsi="Times New Roman" w:cs="Times New Roman"/>
          <w:b/>
          <w:color w:val="000000"/>
          <w:sz w:val="27"/>
          <w:szCs w:val="27"/>
        </w:rPr>
      </w:pPr>
    </w:p>
    <w:p w14:paraId="32A7653A" w14:textId="77777777" w:rsidR="00701379" w:rsidRDefault="00000000">
      <w:pPr>
        <w:pBdr>
          <w:top w:val="nil"/>
          <w:left w:val="nil"/>
          <w:bottom w:val="nil"/>
          <w:right w:val="nil"/>
          <w:between w:val="nil"/>
        </w:pBdr>
        <w:spacing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Introduction </w:t>
      </w:r>
    </w:p>
    <w:p w14:paraId="5AE33A09"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Cancer is a multifaceted disease with significant tumor heterogeneity rather than a single illness.</w:t>
      </w:r>
    </w:p>
    <w:p w14:paraId="5A364E8C" w14:textId="0503A31A"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heterogeneity can be viewed in three ways: spatially (differences between primary and metastatic sites or between regions within a tumor), temporally (evolution over time and under therapeutic pressure), and biologically (difference at the genetic, epigenetic, transcriptomic, proteomic, and metabolic levels)</w:t>
      </w:r>
      <w:r w:rsidR="00BE66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(MacDonald et al., 2025). The tumor microenvironment (TME), composed of stromal, immunological, and endothelial cells, further complicates the situation by altering cellular signaling, immune evasion, and resistance mechanisms. According to growing evidence, this multilayered heterogeneity plays a significant role in the disease's progression, metastasis, and most importantly, therapy resistance</w:t>
      </w:r>
      <w:r w:rsidR="00BE66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(Biray Avci et al., 2024).  Even among malignancies that are histologically comparable, this diversity is clinically associated with poor survival outcomes, high rates of treatment failure, and tumor recurrence</w:t>
      </w:r>
      <w:r w:rsidR="00BE66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(Melariri et al., 2023).</w:t>
      </w:r>
    </w:p>
    <w:p w14:paraId="7070448C" w14:textId="5E33C95D"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Conventional approaches to tumor research, often based on bulk sequencing and single-omics datasets, have helped to better understand oncogenesis and driver mutations. The small but important distinctions between individual cells and molecular layers are often obscured by these methods. Bulk measurements, which often average out signals from several subpopulations, mask rare clones that may lead to resistance or relapse. In addition, single-omics studies, whether transcriptomic, proteomic, or genomic, fail to capture the complex connections that drive the development of cancer</w:t>
      </w:r>
      <w:r w:rsidR="00BE66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 Sun et al., 2021). In order to adequately evaluate tumor complexity, multi-omics integration is necessary. This method simultaneously analyzes and synthesizes data from multiple biological domains, such as transcriptomics (gene expression), proteomics (protein abundance and variations), metabolomics (metabolic fluxes), genomics (DNA mutations), and epigenomics (chromatin modifications). Combining these datasets can reveal non-linear relationships and causal pathways that are not apparent when examined as distinct layers. Crucially, multi-omics methods offer a dynamic, system-level viewpoint on tumor progression, adaptive resistance, and microenvironmental crosstalk, offering significant prospects for precision oncology development</w:t>
      </w:r>
      <w:r w:rsidR="00BE66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(Hayes et al., 2024). In an effort to provide a comprehensive overview of the state of the art on tumor heterogeneity, this review focuses on how multi-omics technologies and integrative analytics are transforming our knowledge of cancer biology. We examine therapeutic applications, give typical case studies, talk about current problems and possible directions for the field, and delve into methodological developments</w:t>
      </w:r>
      <w:r w:rsidR="00BE66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(Chen et al., 2023a).</w:t>
      </w:r>
    </w:p>
    <w:p w14:paraId="1E029A16" w14:textId="77777777" w:rsidR="00701379" w:rsidRDefault="00701379">
      <w:pPr>
        <w:spacing w:after="0" w:line="240" w:lineRule="auto"/>
        <w:jc w:val="both"/>
        <w:rPr>
          <w:rFonts w:ascii="Times New Roman" w:eastAsia="Times New Roman" w:hAnsi="Times New Roman" w:cs="Times New Roman"/>
          <w:sz w:val="24"/>
          <w:szCs w:val="24"/>
        </w:rPr>
      </w:pPr>
    </w:p>
    <w:p w14:paraId="311DDEEC" w14:textId="77777777" w:rsidR="00701379" w:rsidRDefault="00000000">
      <w:pPr>
        <w:pStyle w:val="Heading3"/>
        <w:jc w:val="both"/>
      </w:pPr>
      <w:r>
        <w:t xml:space="preserve">2. Understanding Tumor Heterogeneity </w:t>
      </w:r>
    </w:p>
    <w:p w14:paraId="61FDD807" w14:textId="0CC9EFBB"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Tumor heterogeneity refers to the significant biological variability observed both within individual tumors and among different tumors. This variability poses a major challenge for effective cancer </w:t>
      </w:r>
      <w:r>
        <w:rPr>
          <w:rFonts w:ascii="Times New Roman" w:eastAsia="Times New Roman" w:hAnsi="Times New Roman" w:cs="Times New Roman"/>
          <w:sz w:val="24"/>
          <w:szCs w:val="24"/>
        </w:rPr>
        <w:lastRenderedPageBreak/>
        <w:t>diagnosis and treatment. Intra-tumoral heterogeneity specifically describes the differences in cancer cells found within a single tumor mass. This often includes variations in genetic, epigenetic, transcriptomic, and phenotypic profiles among different subclones (Proietto et al., 2023).</w:t>
      </w:r>
      <w:r>
        <w:rPr>
          <w:rFonts w:ascii="Times New Roman" w:eastAsia="Times New Roman" w:hAnsi="Times New Roman" w:cs="Times New Roman"/>
          <w:color w:val="000000"/>
          <w:sz w:val="24"/>
          <w:szCs w:val="24"/>
        </w:rPr>
        <w:t xml:space="preserve"> Inter-tumoral heterogeneity, on the other hand, describes the diversity seen amongst tumors of the same histological subtype, whether within a single patient or between patients with comparable diagnoses. These types of heterogeneity are responsible for differences in tumor behavior, treatment response, and disease prognosis</w:t>
      </w:r>
      <w:r w:rsidR="00BE662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(Ramón y Cajal et al., 2020b). Multiple layers of variation drive tumor heterogeneity at the molecular level. A tumor's overall mutational load is influenced by genetic heterogeneity, which is frequently the consequence of continuous clonal evolution and is defined by changes in somatic mutations, copy number variations, and chromosomal rearrangements</w:t>
      </w:r>
      <w:r w:rsidR="00FF05D2">
        <w:rPr>
          <w:rFonts w:ascii="Times New Roman" w:eastAsia="Times New Roman" w:hAnsi="Times New Roman" w:cs="Times New Roman"/>
          <w:color w:val="000000"/>
          <w:sz w:val="24"/>
          <w:szCs w:val="24"/>
        </w:rPr>
        <w:t xml:space="preserve"> </w:t>
      </w:r>
      <w:r w:rsidR="00FF05D2">
        <w:rPr>
          <w:rFonts w:ascii="Times New Roman" w:eastAsia="Times New Roman" w:hAnsi="Times New Roman" w:cs="Times New Roman"/>
          <w:color w:val="000000"/>
          <w:sz w:val="24"/>
          <w:szCs w:val="24"/>
        </w:rPr>
        <w:fldChar w:fldCharType="begin"/>
      </w:r>
      <w:r w:rsidR="00FF05D2">
        <w:rPr>
          <w:rFonts w:ascii="Times New Roman" w:eastAsia="Times New Roman" w:hAnsi="Times New Roman" w:cs="Times New Roman"/>
          <w:color w:val="000000"/>
          <w:sz w:val="24"/>
          <w:szCs w:val="24"/>
        </w:rPr>
        <w:instrText xml:space="preserve"> ADDIN ZOTERO_ITEM CSL_CITATION {"citationID":"6w1oe8qt","properties":{"formattedCitation":"(Folorunsho, Sanmori, et al., 2025)","plainCitation":"(Folorunsho, Sanmori, et al., 2025)","noteIndex":0},"citationItems":[{"id":339,"uris":["http://zotero.org/users/local/AJmTDxS7/items/AQGDNJEE"],"itemData":{"id":339,"type":"article-journal","abstract":", As Nigeria’s aging population increases, older adults living in poverty face growing threats to their psychological well-being. This study examines the role of formal social networks such as government programs, non-governmental organizations and faith-based initiatives in alleviating mental stress, defined as persistent psychological distress characterized by anxiety, loneliness and emotional strain, distinct from clinically diagnosed mental illness. Using Social Capital Theory as a guiding framework, the review explores how bonding, bridging and linking social capital influence the ability of formal networks to reduce financial insecurity, social isolation and health-related vulnerabilities. Traditional family caregiving structures are weakening due to rapid urbanization and economic pressures, leaving many older Nigerians unsupported. Although formal initiatives like the National Social Safety Nets Project exist, their effectiveness is limited by delayed disbursements, poor coordination and cultural stigma surrounding mental health. Strengthening the National Senior Citizens Centre as a coordinating body, expanding culturally relevant community-based care and integrating informal support systems are identified as crucial steps forward. Without such reforms, the continued neglect of this population risks worsening mental health outcomes, straining public health resources, and undermining intergenerational solidarity. This review offers actionable insights for improving older adult-care systems in Nigeria and provides guidance for other low-resource settings confronting similar demographic transitions.","container-title":"Cambridge Prisms: Global Mental Health","DOI":"10.1017/gmh.2025.10012","ISSN":"2054-4251","language":"en","page":"e56","source":"Cambridge University Press","title":"The role of formal social networks in mitigating age-related mental stress among older Nigerians living in poverty: Insights from social capital theory","title-short":"The role of formal social networks in mitigating age-related mental stress among older Nigerians living in poverty","volume":"12","author":[{"family":"Folorunsho","given":"Sunkanmi"},{"family":"Sanmori","given":"Munirat"},{"family":"Suleiman","given":"Medinah"}],"issued":{"date-parts":[["2025",1]]}}}],"schema":"https://github.com/citation-style-language/schema/raw/master/csl-citation.json"} </w:instrText>
      </w:r>
      <w:r w:rsidR="00FF05D2">
        <w:rPr>
          <w:rFonts w:ascii="Times New Roman" w:eastAsia="Times New Roman" w:hAnsi="Times New Roman" w:cs="Times New Roman"/>
          <w:color w:val="000000"/>
          <w:sz w:val="24"/>
          <w:szCs w:val="24"/>
        </w:rPr>
        <w:fldChar w:fldCharType="separate"/>
      </w:r>
      <w:r w:rsidR="00FF05D2" w:rsidRPr="00FF05D2">
        <w:rPr>
          <w:rFonts w:ascii="Times New Roman" w:hAnsi="Times New Roman" w:cs="Times New Roman"/>
          <w:sz w:val="24"/>
        </w:rPr>
        <w:t>(Folorunsho, Sanmori, et al., 2025)</w:t>
      </w:r>
      <w:r w:rsidR="00FF05D2">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Without changing the DNA sequence, epigenetic heterogeneity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which includes differences in histone modifications and DNA methylation patterns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affects gene expression and can be quite responsive to environmental sti</w:t>
      </w:r>
      <w:r w:rsidR="005714CD">
        <w:rPr>
          <w:rFonts w:ascii="Times New Roman" w:eastAsia="Times New Roman" w:hAnsi="Times New Roman" w:cs="Times New Roman"/>
          <w:color w:val="000000"/>
          <w:sz w:val="24"/>
          <w:szCs w:val="24"/>
        </w:rPr>
        <w:t>MULTI</w:t>
      </w:r>
      <w:r w:rsidR="00BE662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(Dentro et al., 2021). The variety of gene expression profiles, impacted by both internal and external causes, is reflected in transcriptomic variations. Comparably, metabolic heterogeneity represents unique metabolic dependencies and adaptations that support tumor growth under various microenvironmental conditions, whereas proteomic heterogeneity results from differences in protein expression, post-translational modifications, and signaling pathway </w:t>
      </w:r>
      <w:r w:rsidR="00BE662B">
        <w:rPr>
          <w:rFonts w:ascii="Times New Roman" w:eastAsia="Times New Roman" w:hAnsi="Times New Roman" w:cs="Times New Roman"/>
          <w:color w:val="000000"/>
          <w:sz w:val="24"/>
          <w:szCs w:val="24"/>
        </w:rPr>
        <w:t>activation (</w:t>
      </w:r>
      <w:r>
        <w:rPr>
          <w:rFonts w:ascii="Times New Roman" w:eastAsia="Times New Roman" w:hAnsi="Times New Roman" w:cs="Times New Roman"/>
          <w:color w:val="000000"/>
          <w:sz w:val="24"/>
          <w:szCs w:val="24"/>
        </w:rPr>
        <w:t xml:space="preserve">Ortmayr et al., 2019). </w:t>
      </w:r>
      <w:r>
        <w:rPr>
          <w:rFonts w:ascii="Times New Roman" w:eastAsia="Times New Roman" w:hAnsi="Times New Roman" w:cs="Times New Roman"/>
          <w:sz w:val="24"/>
          <w:szCs w:val="24"/>
        </w:rPr>
        <w:t>Tumor heterogeneity arises from several key factors. Clonal diversity is driven by random mutations and genomic instability. The tumor microenvironment (TME), comprising immune cells, fibroblasts, endothelial cells, and extracellular matrix components, affects tumor cell behavior through paracrine signaling and immunoediting. Resistant clones can evade immune surveillance by reducing interferon signaling or deleting antigens. Additionally, treatment pressures favor the proliferation of these resistant subclones (Marusyk &amp; Polyak, 2010).</w:t>
      </w:r>
      <w:r>
        <w:rPr>
          <w:rFonts w:ascii="Times New Roman" w:eastAsia="Times New Roman" w:hAnsi="Times New Roman" w:cs="Times New Roman"/>
          <w:color w:val="000000"/>
          <w:sz w:val="24"/>
          <w:szCs w:val="24"/>
        </w:rPr>
        <w:t xml:space="preserve"> Tumor heterogeneity has been outlined by three conceptual models. According to Nowell's original description of the clonal evolution concept, tumor development is the consequence of clones with favorable mutations being selected one after the other. According to the cancer stem cell theory, there is a hierarchical structure in place, and heterogeneity and treatment resistance are driven by stem-like cells</w:t>
      </w:r>
      <w:r w:rsidR="00BE662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(Lawal et al., 2024). Finally, according to the Big Bang hypothesis, neutral evolution is widespread since most mutations take place early in the neoplastic process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there are not many selective pressures after that. It is possible for these models to function simultaneously in various tumor situations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they are not exclusive. As illustrated in Figure 1 below, tumor heterogeneity encompasses several molecular levels, ranging from the genome to the metabolome, each of which adds to the complexity of the cancer's phenotype and response to treatment</w:t>
      </w:r>
      <w:r w:rsidR="00BE662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 Sun et al., 2018).</w:t>
      </w:r>
    </w:p>
    <w:p w14:paraId="62556BA4" w14:textId="77777777" w:rsidR="0070137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0CDD756" wp14:editId="73CAA2A8">
            <wp:extent cx="5943600" cy="59436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5943600"/>
                    </a:xfrm>
                    <a:prstGeom prst="rect">
                      <a:avLst/>
                    </a:prstGeom>
                    <a:ln/>
                  </pic:spPr>
                </pic:pic>
              </a:graphicData>
            </a:graphic>
          </wp:inline>
        </w:drawing>
      </w:r>
    </w:p>
    <w:p w14:paraId="020F7063" w14:textId="77777777" w:rsidR="00701379" w:rsidRDefault="00000000">
      <w:pPr>
        <w:pBdr>
          <w:top w:val="nil"/>
          <w:left w:val="nil"/>
          <w:bottom w:val="nil"/>
          <w:right w:val="nil"/>
          <w:between w:val="nil"/>
        </w:pBdr>
        <w:rPr>
          <w:color w:val="000000"/>
        </w:rPr>
      </w:pPr>
      <w:r>
        <w:rPr>
          <w:rFonts w:ascii="Times New Roman" w:eastAsia="Times New Roman" w:hAnsi="Times New Roman" w:cs="Times New Roman"/>
          <w:b/>
          <w:color w:val="000000"/>
          <w:sz w:val="24"/>
          <w:szCs w:val="24"/>
        </w:rPr>
        <w:t>Figure 1. Layers of Tumor Heterogeneity: From Genome to Metabolome</w:t>
      </w:r>
      <w:r>
        <w:rPr>
          <w:rFonts w:ascii="Times New Roman" w:eastAsia="Times New Roman" w:hAnsi="Times New Roman" w:cs="Times New Roman"/>
          <w:color w:val="000000"/>
          <w:sz w:val="24"/>
          <w:szCs w:val="24"/>
        </w:rPr>
        <w:t xml:space="preserve">. This diagram depicts the hierarchical layers </w:t>
      </w:r>
      <w:r>
        <w:rPr>
          <w:rFonts w:ascii="Times New Roman" w:eastAsia="Times New Roman" w:hAnsi="Times New Roman" w:cs="Times New Roman"/>
          <w:sz w:val="24"/>
          <w:szCs w:val="24"/>
        </w:rPr>
        <w:t xml:space="preserve">of </w:t>
      </w:r>
      <w:r>
        <w:rPr>
          <w:rFonts w:ascii="Times New Roman" w:eastAsia="Times New Roman" w:hAnsi="Times New Roman" w:cs="Times New Roman"/>
          <w:color w:val="000000"/>
          <w:sz w:val="24"/>
          <w:szCs w:val="24"/>
        </w:rPr>
        <w:t>genomic, epigenomic, transcriptomic, proteomic, and metabolomic that contribute to tumor heterogeneity. DNA methylation and histone modifications, RNA expression dynamics, protein post-translational modifications (PTMs), metabolite profiles, and mutations and copy number variations (CNVs) at the DNA level are all examples of the unique molecular processes that are contained inside each layer. These levels work together to influence tumor behavior, evolution, and responsiveness to treatment</w:t>
      </w:r>
      <w:r>
        <w:rPr>
          <w:color w:val="000000"/>
        </w:rPr>
        <w:t xml:space="preserve"> (</w:t>
      </w:r>
      <w:r>
        <w:rPr>
          <w:rFonts w:ascii="Times New Roman" w:eastAsia="Times New Roman" w:hAnsi="Times New Roman" w:cs="Times New Roman"/>
          <w:color w:val="000000"/>
          <w:sz w:val="24"/>
          <w:szCs w:val="24"/>
        </w:rPr>
        <w:t>Li et al., 2023)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Histopathologic and proteogenomic heterogeneity reveals features of clear cell renal cell carcinoma aggressiveness. Cancer Cell, 41(1), 139-163.e17. https://doi.org/10.1016/j.ccell.2022.12.001)</w:t>
      </w:r>
    </w:p>
    <w:p w14:paraId="25573878" w14:textId="77777777" w:rsidR="00701379" w:rsidRDefault="00701379">
      <w:pPr>
        <w:jc w:val="both"/>
      </w:pPr>
    </w:p>
    <w:p w14:paraId="1E1E1769" w14:textId="77777777" w:rsidR="00701379" w:rsidRDefault="00000000">
      <w:pPr>
        <w:pStyle w:val="Heading3"/>
        <w:jc w:val="both"/>
      </w:pPr>
      <w:r>
        <w:t xml:space="preserve">3. Multi-Omics Approaches: An Integrated Lens </w:t>
      </w:r>
    </w:p>
    <w:p w14:paraId="0374CA06" w14:textId="7ED74B56"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Analytical techniques that go beyond the constraints of single-omics profiling are required due to the multifaceted complexity of cancer. To present a thorough molecular picture of malignancies, multi-omics involves the systematic integration of data from several biological layers, from the genome to the metabolome. Multi-omics integration can be defined by two main strategies: vertical integration, which connects various layers across the molecular cascade (e.g., DNA mutations influencing RNA expression and downstream protein activity), and horizontal integration, which combines data from the same omics level but different platforms or modalities (e.g., bulk RNA-seq with single-cell RNA-seq to capture population and cellular resolution). The latter approach offers a systems biology perspective</w:t>
      </w:r>
      <w:r w:rsidR="00B86A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(Cai et al., 2022). Understanding tumor biology is supported by the distinct contributions of each omics layer. Single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nucleotide variations (SNVs), copy number variations (CNVs), and structural rearrangements are aspects of the fundamental mutational architecture that are captured by genomics. The patterns of clonal evolution and oncogenic drivers are identified by this layer</w:t>
      </w:r>
      <w:r w:rsidR="00B86A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(Ortega-Batista et al., 2025). Heritable but reversible changes like DNA methylation, histone modifications, and chromatin accessibility are revealed by epigenomics, and techniques like ATAC-seq shed light on the regulatory environment and transcriptional potential of tumor cells. With single-cell RNA-seq (scRNA-seq) collecting cell-specific expression and isoform variety, revealing subclonal states and plasticity, and bulk RNA-seq providing averaged profiles, transcriptomics represents dynamic gene expression programs</w:t>
      </w:r>
      <w:r w:rsidR="00B86A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(Carter &amp; Zhao, 2021). This knowledge is further enhanced by proteomics, which measures protein abundance, post-translational modifications (PTMs), and signaling network dynamics, usually using methods based on mass spectrometry. The direct impact of proteins on cellular function and pharmacological targets makes this layer crucial. Metabolomics, the last layer of the omics cascade, records metabolic fluxes and rewiring processes, such as the Warburg effect and modifications in the metabolism of lipids and amino acids that support tumor growth and survival in stressful situations</w:t>
      </w:r>
      <w:r w:rsidR="00B86A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(Birhanu, 2023). It takes advanced computational frameworks to integrate such complex datasets. In order to identify functional modules and regulatory hubs, network-based techniques, such as multi-layered or multiplex networks, map interactions across omics layers. Particularly in high-dimensional, sparse datasets, machine learning and artificial intelligence facilitate feature selection, pattern recognition, and predictive modeling. Probabilistic and unsupervised techniques for identifying latent structures and shared variation across datasets are provided by Bayesian frameworks and matrix factorization techniques (e.g., iCluster, MOFA). When combined, these integrative approaches provide a potent toolkit for revealing the emergent characteristics of malignancies and advancing precision oncology</w:t>
      </w:r>
      <w:r w:rsidR="00B86A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(Wörheide et al., 2021). The integrated multi-omics pathway used for thorough tumor profiling, from sample collection to data integration and computational modeling, is simplified in Figure 2.</w:t>
      </w:r>
    </w:p>
    <w:p w14:paraId="32770878" w14:textId="77777777"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B8CB797" w14:textId="77777777" w:rsidR="00701379" w:rsidRDefault="00000000">
      <w:pPr>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lastRenderedPageBreak/>
        <w:drawing>
          <wp:inline distT="0" distB="0" distL="0" distR="0" wp14:anchorId="3FCEEB83" wp14:editId="002DD5F0">
            <wp:extent cx="5943600" cy="39624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r>
        <w:rPr>
          <w:rFonts w:ascii="Times New Roman" w:eastAsia="Times New Roman" w:hAnsi="Times New Roman" w:cs="Times New Roman"/>
          <w:b/>
          <w:color w:val="000000"/>
          <w:sz w:val="24"/>
          <w:szCs w:val="24"/>
        </w:rPr>
        <w:t>Figure 2. Integrated Multi-Omics Pipeline for Tumor Profiling</w:t>
      </w:r>
      <w:r>
        <w:rPr>
          <w:rFonts w:ascii="Times New Roman" w:eastAsia="Times New Roman" w:hAnsi="Times New Roman" w:cs="Times New Roman"/>
          <w:color w:val="000000"/>
          <w:sz w:val="24"/>
          <w:szCs w:val="24"/>
        </w:rPr>
        <w:t>. This flowchart illustrates the multi-step pipeline for integrated tumor profiling using multi-omics approaches. The process begins with sample acquisition from solid tumors or liquid biopsies, followed by omics profiling across multiple layers: genomics (mutations, CNVs), epigenomics (DNA methylation, histone modifications), transcriptomics (gene expression), proteomics (proteins, PTMs), and metabolomics (metabolites). These diverse data types are then subjected to computational analysis and modeling, including network analysis, machine learning, and data visualization. Finally, data integration frameworks synthesize insights across omics layers to enable a systems-level view of tumor biology. (Heo et al., 2021) Integrative Multi-Omics Approaches in Cancer Research: From Biological Networks to Clinical Subtypes. Molecules and Cells, 44(7), 433–443. https://doi.org/10.14348/molcells.2021.0042</w:t>
      </w:r>
    </w:p>
    <w:p w14:paraId="7CE9754E" w14:textId="77777777" w:rsidR="00701379" w:rsidRDefault="00701379">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23463789" w14:textId="3CBE2F0E"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Below is 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concise overview of the core omics layers, associated technologies, and their respective biological contributions to tumor profiling is presented in Table</w:t>
      </w:r>
      <w:r>
        <w:rPr>
          <w:rFonts w:ascii="Times New Roman" w:eastAsia="Times New Roman" w:hAnsi="Times New Roman" w:cs="Times New Roman"/>
          <w:sz w:val="24"/>
          <w:szCs w:val="24"/>
        </w:rPr>
        <w:t xml:space="preserve"> 1.</w:t>
      </w:r>
      <w:r>
        <w:rPr>
          <w:rFonts w:ascii="Times New Roman" w:eastAsia="Times New Roman" w:hAnsi="Times New Roman" w:cs="Times New Roman"/>
          <w:color w:val="000000"/>
          <w:sz w:val="24"/>
          <w:szCs w:val="24"/>
        </w:rPr>
        <w:t xml:space="preserve"> It highlights how each dimension of molecular data enhances our understanding of cancer complexity and therapeutic response. This table provides an overview of the major omics layers involved in multi-omics studies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genomics, epigenomics, transcriptomics, proteomics, and metabolomics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alongside the primary technologies used to interrogate each layer. It also highlights the specific biological processes captured and the critical insights each layer contributes to understanding tumor heterogeneity, evolution, and therapy resistance</w:t>
      </w:r>
      <w:r w:rsidR="00B86A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(Menyhárt &amp; Győrffy, 2021),</w:t>
      </w:r>
    </w:p>
    <w:p w14:paraId="57CD4288" w14:textId="77777777" w:rsidR="00701379" w:rsidRDefault="00000000">
      <w:pPr>
        <w:pBdr>
          <w:top w:val="nil"/>
          <w:left w:val="nil"/>
          <w:bottom w:val="nil"/>
          <w:right w:val="nil"/>
          <w:between w:val="nil"/>
        </w:pBdr>
        <w:spacing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4"/>
          <w:szCs w:val="24"/>
        </w:rPr>
        <w:lastRenderedPageBreak/>
        <w:t>Table 1. Summary of Omics Layers, Representative Technologies, and Key Biological Insights in Tumor Profiling.</w:t>
      </w:r>
    </w:p>
    <w:tbl>
      <w:tblPr>
        <w:tblStyle w:val="a"/>
        <w:tblW w:w="9360" w:type="dxa"/>
        <w:tblLayout w:type="fixed"/>
        <w:tblLook w:val="0400" w:firstRow="0" w:lastRow="0" w:firstColumn="0" w:lastColumn="0" w:noHBand="0" w:noVBand="1"/>
      </w:tblPr>
      <w:tblGrid>
        <w:gridCol w:w="1769"/>
        <w:gridCol w:w="2469"/>
        <w:gridCol w:w="2206"/>
        <w:gridCol w:w="2916"/>
      </w:tblGrid>
      <w:tr w:rsidR="00701379" w14:paraId="07C8B7E1" w14:textId="77777777">
        <w:trPr>
          <w:tblHeader/>
        </w:trPr>
        <w:tc>
          <w:tcPr>
            <w:tcW w:w="1769" w:type="dxa"/>
            <w:vAlign w:val="center"/>
          </w:tcPr>
          <w:p w14:paraId="787E4B59" w14:textId="77777777" w:rsidR="00701379"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Omics Layer</w:t>
            </w:r>
          </w:p>
        </w:tc>
        <w:tc>
          <w:tcPr>
            <w:tcW w:w="2469" w:type="dxa"/>
            <w:vAlign w:val="center"/>
          </w:tcPr>
          <w:p w14:paraId="201D7D69" w14:textId="77777777" w:rsidR="00701379"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Representative Technologies</w:t>
            </w:r>
          </w:p>
        </w:tc>
        <w:tc>
          <w:tcPr>
            <w:tcW w:w="2206" w:type="dxa"/>
            <w:vAlign w:val="center"/>
          </w:tcPr>
          <w:p w14:paraId="2660E429" w14:textId="77777777" w:rsidR="00701379"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Biological Focus</w:t>
            </w:r>
          </w:p>
        </w:tc>
        <w:tc>
          <w:tcPr>
            <w:tcW w:w="2916" w:type="dxa"/>
            <w:vAlign w:val="center"/>
          </w:tcPr>
          <w:p w14:paraId="6E1DC984" w14:textId="77777777" w:rsidR="00701379"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Insights</w:t>
            </w:r>
          </w:p>
        </w:tc>
      </w:tr>
      <w:tr w:rsidR="00701379" w14:paraId="5749E0FA" w14:textId="77777777">
        <w:tc>
          <w:tcPr>
            <w:tcW w:w="1769" w:type="dxa"/>
            <w:vAlign w:val="center"/>
          </w:tcPr>
          <w:p w14:paraId="3A42EE02"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Genomics</w:t>
            </w:r>
          </w:p>
        </w:tc>
        <w:tc>
          <w:tcPr>
            <w:tcW w:w="2469" w:type="dxa"/>
            <w:vAlign w:val="center"/>
          </w:tcPr>
          <w:p w14:paraId="34B19034"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Whole-genome sequencing (WGS), whole-exome sequencing (WES), and ctDNA</w:t>
            </w:r>
          </w:p>
        </w:tc>
        <w:tc>
          <w:tcPr>
            <w:tcW w:w="2206" w:type="dxa"/>
            <w:vAlign w:val="center"/>
          </w:tcPr>
          <w:p w14:paraId="1AF5EDB0"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DNA mutations, copy number variations (CNVs), structural variants</w:t>
            </w:r>
          </w:p>
        </w:tc>
        <w:tc>
          <w:tcPr>
            <w:tcW w:w="2916" w:type="dxa"/>
            <w:vAlign w:val="center"/>
          </w:tcPr>
          <w:p w14:paraId="67AC47C3"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Identifies driver mutations, clonal architectures, and resistance-associated alterations</w:t>
            </w:r>
          </w:p>
        </w:tc>
      </w:tr>
      <w:tr w:rsidR="00701379" w14:paraId="376176FA" w14:textId="77777777">
        <w:tc>
          <w:tcPr>
            <w:tcW w:w="1769" w:type="dxa"/>
            <w:vAlign w:val="center"/>
          </w:tcPr>
          <w:p w14:paraId="4848A831"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Epigenomics</w:t>
            </w:r>
          </w:p>
        </w:tc>
        <w:tc>
          <w:tcPr>
            <w:tcW w:w="2469" w:type="dxa"/>
            <w:vAlign w:val="center"/>
          </w:tcPr>
          <w:p w14:paraId="266943AF"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Bisulfite sequencing, ChIP-seq, ATAC-seq</w:t>
            </w:r>
          </w:p>
        </w:tc>
        <w:tc>
          <w:tcPr>
            <w:tcW w:w="2206" w:type="dxa"/>
            <w:vAlign w:val="center"/>
          </w:tcPr>
          <w:p w14:paraId="2F5648EC"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DNA methylation, histone modifications, chromatin accessibility</w:t>
            </w:r>
          </w:p>
        </w:tc>
        <w:tc>
          <w:tcPr>
            <w:tcW w:w="2916" w:type="dxa"/>
            <w:vAlign w:val="center"/>
          </w:tcPr>
          <w:p w14:paraId="1C384FFE"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Reveals regulatory plasticity, enhancer hijacking, epigenetic reprogramming</w:t>
            </w:r>
          </w:p>
        </w:tc>
      </w:tr>
      <w:tr w:rsidR="00701379" w14:paraId="057EADA1" w14:textId="77777777">
        <w:tc>
          <w:tcPr>
            <w:tcW w:w="1769" w:type="dxa"/>
            <w:vAlign w:val="center"/>
          </w:tcPr>
          <w:p w14:paraId="311E1509"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Transcriptomics</w:t>
            </w:r>
          </w:p>
        </w:tc>
        <w:tc>
          <w:tcPr>
            <w:tcW w:w="2469" w:type="dxa"/>
            <w:vAlign w:val="center"/>
          </w:tcPr>
          <w:p w14:paraId="6A19C74B"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Bulk RNA-seq, scRNA-seq, spatial transcriptomics</w:t>
            </w:r>
          </w:p>
        </w:tc>
        <w:tc>
          <w:tcPr>
            <w:tcW w:w="2206" w:type="dxa"/>
            <w:vAlign w:val="center"/>
          </w:tcPr>
          <w:p w14:paraId="79FF7DF5"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 expression, alternative splicing, isoform usage</w:t>
            </w:r>
          </w:p>
        </w:tc>
        <w:tc>
          <w:tcPr>
            <w:tcW w:w="2916" w:type="dxa"/>
            <w:vAlign w:val="center"/>
          </w:tcPr>
          <w:p w14:paraId="5990078E"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Captures cell states, lineage transitions, and immune activation/exclusion signatures</w:t>
            </w:r>
          </w:p>
        </w:tc>
      </w:tr>
      <w:tr w:rsidR="00701379" w14:paraId="5FBBD06B" w14:textId="77777777">
        <w:tc>
          <w:tcPr>
            <w:tcW w:w="1769" w:type="dxa"/>
            <w:vAlign w:val="center"/>
          </w:tcPr>
          <w:p w14:paraId="67D7A133"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Proteomics</w:t>
            </w:r>
          </w:p>
        </w:tc>
        <w:tc>
          <w:tcPr>
            <w:tcW w:w="2469" w:type="dxa"/>
            <w:vAlign w:val="center"/>
          </w:tcPr>
          <w:p w14:paraId="565005B5"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 spectrometry, reverse-phase protein arrays, phospho-proteomics</w:t>
            </w:r>
          </w:p>
        </w:tc>
        <w:tc>
          <w:tcPr>
            <w:tcW w:w="2206" w:type="dxa"/>
            <w:vAlign w:val="center"/>
          </w:tcPr>
          <w:p w14:paraId="56F7C4F9"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abundance, post-translational modifications (PTMs)</w:t>
            </w:r>
          </w:p>
        </w:tc>
        <w:tc>
          <w:tcPr>
            <w:tcW w:w="2916" w:type="dxa"/>
            <w:vAlign w:val="center"/>
          </w:tcPr>
          <w:p w14:paraId="7A4C6496"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Uncovers active signaling cascades, resistance networks, and proteogenomic biomarkers</w:t>
            </w:r>
          </w:p>
        </w:tc>
      </w:tr>
      <w:tr w:rsidR="00701379" w14:paraId="2772B962" w14:textId="77777777">
        <w:tc>
          <w:tcPr>
            <w:tcW w:w="1769" w:type="dxa"/>
            <w:vAlign w:val="center"/>
          </w:tcPr>
          <w:p w14:paraId="43377183"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Metabolomics</w:t>
            </w:r>
          </w:p>
        </w:tc>
        <w:tc>
          <w:tcPr>
            <w:tcW w:w="2469" w:type="dxa"/>
            <w:vAlign w:val="center"/>
          </w:tcPr>
          <w:p w14:paraId="410A83DC"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LC-MS, GC-MS, NMR spectroscopy</w:t>
            </w:r>
          </w:p>
        </w:tc>
        <w:tc>
          <w:tcPr>
            <w:tcW w:w="2206" w:type="dxa"/>
            <w:vAlign w:val="center"/>
          </w:tcPr>
          <w:p w14:paraId="4B715D85"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Metabolic fluxes, energy pathways, and redox state</w:t>
            </w:r>
          </w:p>
        </w:tc>
        <w:tc>
          <w:tcPr>
            <w:tcW w:w="2916" w:type="dxa"/>
            <w:vAlign w:val="center"/>
          </w:tcPr>
          <w:p w14:paraId="571DA5E9" w14:textId="77777777" w:rsidR="00701379"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Reveals tumor-specific metabolic rewiring and adaptation under therapy</w:t>
            </w:r>
          </w:p>
        </w:tc>
      </w:tr>
    </w:tbl>
    <w:p w14:paraId="5DB077CD" w14:textId="77777777" w:rsidR="00701379" w:rsidRDefault="00701379">
      <w:pPr>
        <w:pStyle w:val="Heading3"/>
        <w:jc w:val="both"/>
      </w:pPr>
    </w:p>
    <w:p w14:paraId="55F0DB19" w14:textId="77777777" w:rsidR="00701379" w:rsidRDefault="00000000">
      <w:pPr>
        <w:pStyle w:val="Heading3"/>
        <w:jc w:val="both"/>
      </w:pPr>
      <w:r>
        <w:t xml:space="preserve">4. Technological Platforms Enabling Multi-Omics </w:t>
      </w:r>
    </w:p>
    <w:p w14:paraId="14122FF1" w14:textId="36ACE6F6"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Recent developments in high-throughput technology have transformed our ability to analyze tumor heterogeneity using multi-omics, providing previously unheard-of resolution in molecular, temporal, and geographic dimensions. The integration of genotype, epigenotype, phenotype, and microenvironmental context is supported by these </w:t>
      </w:r>
      <w:r w:rsidR="00B86A0A">
        <w:rPr>
          <w:rFonts w:ascii="Times New Roman" w:eastAsia="Times New Roman" w:hAnsi="Times New Roman" w:cs="Times New Roman"/>
          <w:color w:val="000000"/>
          <w:sz w:val="24"/>
          <w:szCs w:val="24"/>
        </w:rPr>
        <w:t>platforms (</w:t>
      </w:r>
      <w:r>
        <w:rPr>
          <w:rFonts w:ascii="Times New Roman" w:eastAsia="Times New Roman" w:hAnsi="Times New Roman" w:cs="Times New Roman"/>
          <w:color w:val="000000"/>
          <w:sz w:val="24"/>
          <w:szCs w:val="24"/>
        </w:rPr>
        <w:t xml:space="preserve">Lee et al., 2021). At the resolution of individual cells, single-cell multi-omics technologies enable the simultaneous investigation of many molecular modalities. Single-cell assay for transposase-accessible chromatin sequencing (scATAC-seq) provides chromatin accessibility landscapes across different cell populations, whereas single-cell RNA sequencing (scRNA-seq) offers insights into transcriptional variation. By concurrently assessing surface protein abundance and transcriptomes, CITE-seq (Cellular Indexing of Transcriptomes and Epitopes by </w:t>
      </w:r>
      <w:r>
        <w:rPr>
          <w:rFonts w:ascii="Times New Roman" w:eastAsia="Times New Roman" w:hAnsi="Times New Roman" w:cs="Times New Roman"/>
          <w:sz w:val="24"/>
          <w:szCs w:val="24"/>
        </w:rPr>
        <w:t>Sequencing</w:t>
      </w:r>
      <w:r>
        <w:rPr>
          <w:rFonts w:ascii="Times New Roman" w:eastAsia="Times New Roman" w:hAnsi="Times New Roman" w:cs="Times New Roman"/>
          <w:color w:val="000000"/>
          <w:sz w:val="24"/>
          <w:szCs w:val="24"/>
        </w:rPr>
        <w:t>) improves phenotypic characterization. More comprehensive techniques like scNMT-seq provide holistic perspectives of the regulatory mechanisms influencing cellular identity and plasticity in malignancies by simultaneously profiling transcriptomes, chromatin accessibility, and DNA methylation</w:t>
      </w:r>
      <w:r w:rsidR="00B86A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(Kim &amp; Takahashi, 2025). A crucial spatial component is added to tumor profiling by spatial omics platforms. Spatial transcriptomics preserves the contextual link between tumor cells and the surrounding milieu by enabling mapping of gene expression in situ within tissue architecture. Numerous proteins can be detected simultaneously in intact tissue sections using methods like imaging mass cytometry and multiplexed immunofluorescence, which makes high-dimensional cellular phenotyping and microenvironmental mapping easier</w:t>
      </w:r>
      <w:r w:rsidR="00B86A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(Jin et al., 2024). Figure 3 illustrates the state of the art in </w:t>
      </w:r>
      <w:r>
        <w:rPr>
          <w:rFonts w:ascii="Times New Roman" w:eastAsia="Times New Roman" w:hAnsi="Times New Roman" w:cs="Times New Roman"/>
          <w:color w:val="000000"/>
          <w:sz w:val="24"/>
          <w:szCs w:val="24"/>
        </w:rPr>
        <w:lastRenderedPageBreak/>
        <w:t>terms of single-cell and spatial multi-omics platforms, which allow for fine-scale resolution of microenvironmental and tumor complexity.</w:t>
      </w:r>
    </w:p>
    <w:p w14:paraId="18C5EC92" w14:textId="77777777"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C116378" w14:textId="77777777"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9750764" wp14:editId="19A971CE">
            <wp:extent cx="5943600" cy="39624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14:paraId="4221E8E8" w14:textId="77777777" w:rsidR="0070137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 Spatial and Single-cell Multi-Omics Technologies Landscape</w:t>
      </w:r>
      <w:r>
        <w:rPr>
          <w:rFonts w:ascii="Times New Roman" w:eastAsia="Times New Roman" w:hAnsi="Times New Roman" w:cs="Times New Roman"/>
          <w:sz w:val="24"/>
          <w:szCs w:val="24"/>
        </w:rPr>
        <w:t xml:space="preserve">. This figure highlights the functions of important technologies in single-cell multi-omics and spatial omics in addressing tumor heterogeneity by classifying and contrasting them. The localization of molecular characteristics inside intact tissue architecture is made possible by spatial omics techniques, including multiplexed immunofluorescence, imaging mass cytometry, and spatial transcriptomics. Single-cell methods, such as scRNA-seq, scATAC-seq, CITE-seq, and scNMT-seq, on the other hand, isolate individual cells for deep molecular profiling, concurrently recording surface protein, transcriptional, and epigenetic information. When combined, these methods enable high-resolution analysis of tumor cell states, lineage hierarchies, and interactions with the microenvironment. (Zhang et al., 2025). Application of spatial and single-cell omics in tumor immunotherapy biomarkers. </w:t>
      </w:r>
      <w:r>
        <w:rPr>
          <w:rFonts w:ascii="Times New Roman" w:eastAsia="Times New Roman" w:hAnsi="Times New Roman" w:cs="Times New Roman"/>
          <w:i/>
          <w:sz w:val="24"/>
          <w:szCs w:val="24"/>
        </w:rPr>
        <w:t>LabMed Discovery</w:t>
      </w:r>
      <w:r>
        <w:rPr>
          <w:rFonts w:ascii="Times New Roman" w:eastAsia="Times New Roman" w:hAnsi="Times New Roman" w:cs="Times New Roman"/>
          <w:sz w:val="24"/>
          <w:szCs w:val="24"/>
        </w:rPr>
        <w:t xml:space="preserve">, 100076. https://doi.org/10.1016/j.lmd.2025.100076. </w:t>
      </w:r>
    </w:p>
    <w:p w14:paraId="29F0DEEE" w14:textId="133F3BAE" w:rsidR="0070137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resolve structural variants, repetitive areas, and epigenetic alterations, third-generation sequencing technologies like Oxford Nanopore and Pacific Biosciences (PacBio) offer long-read sequencing capabilities that get beyond the drawbacks of short-read platforms. These methods are especially useful for identifying base alterations like 5-methylcytosine without bisulfite conversion, complicated rearrangements, and oncogenic fusions</w:t>
      </w:r>
      <w:r w:rsidR="00B86A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(Satam et al., 2023a). By combining mass spectrometry-based proteomic data with genomic or transcriptomic information, proteogenomics fills the gap between proteomics and genomics. It can be used to discover </w:t>
      </w:r>
      <w:r>
        <w:rPr>
          <w:rFonts w:ascii="Times New Roman" w:eastAsia="Times New Roman" w:hAnsi="Times New Roman" w:cs="Times New Roman"/>
          <w:sz w:val="24"/>
          <w:szCs w:val="24"/>
        </w:rPr>
        <w:lastRenderedPageBreak/>
        <w:t>neoantigens, measure the expression of mutant proteins, and describe signaling cascades that are important for drug targeting. This method has proved crucial in improving treatment approaches for conditions including colorectal and breast cancer</w:t>
      </w:r>
      <w:r w:rsidR="00B86A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(Sheynkman et al., 2016). It takes strong computational platforms to manage the amount and complexity of multi-omics data. Biomarker identification, batch correction, data integration, dimensionality reduction, and cell-cell interaction modeling are all supported by tools like MOFA (Multi-Omics Factor Analysis), Seurat v4, Harmony, Liger, CellPhoneDB, and iCluster. The analysis of intricate, high-dimensional datasets is powered by these bioinformatics tools, which provide mechanistic insights and translational applications in oncology</w:t>
      </w:r>
      <w:r w:rsidR="00B86A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(Saliba et al., 2024).</w:t>
      </w:r>
    </w:p>
    <w:p w14:paraId="18A5115A" w14:textId="77777777" w:rsidR="00701379" w:rsidRDefault="00000000">
      <w:pPr>
        <w:pStyle w:val="Heading3"/>
        <w:jc w:val="both"/>
      </w:pPr>
      <w:r>
        <w:t xml:space="preserve">5. Tracking Tumor Evolution Using Multi-Omics </w:t>
      </w:r>
    </w:p>
    <w:p w14:paraId="0F9768B7" w14:textId="53BDB8A0"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predict treatment resistance and the course of the disease, it is crucial to comprehend the evolutionary dynamics of tumors. When used longitudinally, multi-omics techniques offer a potent framework for documenting the geographical and temporal trajectories of tumor progression. It is possible to reconstruct clonal architecture and identify subclonal expansions that occur prior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to relapse by doing </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temporal study of clonal dynamics by repeated sampling over time. Circulating free DNA (cfDNA), circulating tumor DNA (ctDNA), and tumor-derived exosomes are examples of liquid biopsies that provide a minimally invasive way to track the progression of tumors over time. These biopsies can record both genomic changes and dynamic transcriptomic or proteomic variations</w:t>
      </w:r>
      <w:r w:rsidR="00B86A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(Zhang &amp; Wang, 2025). Case studies of various tumor types demonstrate how multi-omics can be used to decipher evolutionary pathways. Mechanisms of resistance to HER2-targeted therapy, including compensatory PI3K/AKT pathway activation and epigenetic remodeling, have been identified in HER2-positive breast cancer by integrated investigations that combine genomic profiling, transcriptome changes, and proteomic reprogramming</w:t>
      </w:r>
      <w:r w:rsidR="00B86A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(Roszkowska, 2024). Multi-omics analysis of serial tumor samples in glioblastoma </w:t>
      </w:r>
      <w:r>
        <w:rPr>
          <w:rFonts w:ascii="Times New Roman" w:eastAsia="Times New Roman" w:hAnsi="Times New Roman" w:cs="Times New Roman"/>
          <w:sz w:val="24"/>
          <w:szCs w:val="24"/>
        </w:rPr>
        <w:t>has</w:t>
      </w:r>
      <w:r>
        <w:rPr>
          <w:rFonts w:ascii="Times New Roman" w:eastAsia="Times New Roman" w:hAnsi="Times New Roman" w:cs="Times New Roman"/>
          <w:color w:val="000000"/>
          <w:sz w:val="24"/>
          <w:szCs w:val="24"/>
        </w:rPr>
        <w:t xml:space="preserve"> revealed that IDH1 mutations, which were previously believed to be early and stable occurrences, might change under the influence of treatment, producing genetically distinct subclones that aid in recurrence. Another classic example is non-small cell lung cancer (NSCLC), where EGFR-mutant tumors treated with tyrosine kinase inhibitors (TKIs) frequently develop secondary resistance mutations (e.g., T790M, C797S)</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(Garrett et al., 2021). These mutations can be identified by serial ctDNA sequencing and validated by proteomic signaling analysis, which helps guide real-time therapy adjustments. Real-world instances of tumor progression and treatment resistance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as shown by multi-omics profiling in lung, brain, and breast malignancies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are shown in Figure 4.</w:t>
      </w:r>
    </w:p>
    <w:p w14:paraId="3E98DEBE" w14:textId="77777777"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147FB20C" wp14:editId="01DE3168">
            <wp:extent cx="5943600" cy="59436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5943600"/>
                    </a:xfrm>
                    <a:prstGeom prst="rect">
                      <a:avLst/>
                    </a:prstGeom>
                    <a:ln/>
                  </pic:spPr>
                </pic:pic>
              </a:graphicData>
            </a:graphic>
          </wp:inline>
        </w:drawing>
      </w:r>
    </w:p>
    <w:p w14:paraId="09A5E396" w14:textId="77777777" w:rsidR="007013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 Case Studies of Tumor Evolution Tracked by Multi-Omics</w:t>
      </w:r>
      <w:r>
        <w:rPr>
          <w:rFonts w:ascii="Times New Roman" w:eastAsia="Times New Roman" w:hAnsi="Times New Roman" w:cs="Times New Roman"/>
          <w:sz w:val="24"/>
          <w:szCs w:val="24"/>
        </w:rPr>
        <w:t xml:space="preserve">. Breast cancer, glioblastoma, and lung cancer are the three main cancer types for which this infographic provides three helpful illustrations of how multi-omics methods have revealed the molecular evolution of drug resistance. Clonal selection and metabolic reprogramming in resistant clones were identified in HER2+ breast cancer by means of comprehensive transcriptome and methylation analysis. The development of IDH1 mutations and the corresponding epigenetic reprogramming in glioblastoma was monitored by longitudinal multi-omics profiling. EGFR-TKI resistance was shown in lung cancer by serial liquid biopsies and proteomics, which also highlighted changes in post-translational modifications and bypass signaling pathways. The effectiveness of multi-layered profiling in tracking clonal dynamics and resistance mechanisms throughout time is demonstrated by these case studies. (Malta, et al., 2024) The Epigenetic Evolution of Glioma Is Determined by </w:t>
      </w:r>
      <w:r>
        <w:rPr>
          <w:rFonts w:ascii="Times New Roman" w:eastAsia="Times New Roman" w:hAnsi="Times New Roman" w:cs="Times New Roman"/>
          <w:sz w:val="24"/>
          <w:szCs w:val="24"/>
        </w:rPr>
        <w:lastRenderedPageBreak/>
        <w:t>the IDH1 Mutation Status and Treatment Regimen. Cancer Research, 84(5), 741–756. https://doi.org/10.1158/0008-5472.CAN-23-2093.</w:t>
      </w:r>
    </w:p>
    <w:p w14:paraId="3C18ACB0" w14:textId="28EBD95A" w:rsidR="0070137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growing number of lineage tracing techniques are being used to rebuild the lineage links among changing tumor subpopulations. Natural lineage markers can be found in copy number evolution and mitochondrial mutation patterns, whereas synthetic tracking of clonal descent can be achieved by techniques like CRISPR barcoding. From multi-region or multi-timepoint omics data, clonal hierarchies and ancestral links are inferred using phylogenetic reconstruction techniques</w:t>
      </w:r>
      <w:r w:rsidR="00B86A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(Yang et al., 2022). These initiatives are aided by a variety of bioinformatics technologies. By reconstructing clonal evolution from bulk and single-cell genomic data, PhyloWGS, CloneFinder, SciClone, and MACHINA allow the inference of tumor phylogenies and evolutionary bottlenecks. Unmatched resolution into how cancers adapt, resist, and re-emerge is provided by these integrative technologies when used on longitudinal multi-omics datasets. This information is crucial for the planning and development of adaptive therapeutic approaches</w:t>
      </w:r>
      <w:r w:rsidR="00B86A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(Sandmann et al., 2023).</w:t>
      </w:r>
    </w:p>
    <w:p w14:paraId="19A5A273" w14:textId="77777777" w:rsidR="00701379" w:rsidRDefault="00000000">
      <w:pPr>
        <w:pStyle w:val="Heading3"/>
        <w:jc w:val="both"/>
        <w:rPr>
          <w:b w:val="0"/>
          <w:sz w:val="28"/>
          <w:szCs w:val="28"/>
        </w:rPr>
      </w:pPr>
      <w:r>
        <w:rPr>
          <w:sz w:val="28"/>
          <w:szCs w:val="28"/>
        </w:rPr>
        <w:t>6. Mechanisms of Therapy Resistance Uncovered by Multi-Omics</w:t>
      </w:r>
      <w:r>
        <w:rPr>
          <w:b w:val="0"/>
          <w:sz w:val="28"/>
          <w:szCs w:val="28"/>
        </w:rPr>
        <w:t xml:space="preserve"> </w:t>
      </w:r>
    </w:p>
    <w:p w14:paraId="0255C656" w14:textId="38232981"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Therapy resistance is still an important challenge in the treatment of cancer, even with advancements in immunotherapy and targeted medicines. Resistance may be acquired, emerging in reaction to therapeutic pressure, or intrinsic, resulting from underlying changes that render a patient insensitive to therapy. By analyzing tumors at several molecular levels, multi-omics techniques offer a thorough framework for revealing the complex and dynamic character of these resistance mechanisms</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(Garg et al., 2024). Resistance frequently arises at the genetic level as a result of secondary mutations that change drug-binding sites or reactivate downstream pathways. The EGFR T790M mutation in non-small cell lung cancer, which results in resistance to first-generation EGFR inhibitors, is a well-known example. Targeted treatments are ineffectual since bypass signaling is also driven by gene amplifications, such as MET or ERBB2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in different malignancies</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(Leonetti et al., 2019). Through chromatin remodeling, histone modification, and enhancer hijacking, epigenomic modifications play a major role in resistance. Without changing the underlying DNA sequence, these occurrences may result in the silencing of tumor suppressor genes or the reactivation of carcinogenic pathways</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(Onwuemelem et al., 2025). The small-cell transformation of EGFR-mutant lung tumors during TKI treatment demonstrates how this flexibility promotes phenotypic switching and cellular dedifferentiation</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(Gu et al., 2024). Functional adaptations that are not identifiable at the transcriptome or genomic levels are revealed by proteomics. Escape from inhibition is often mediated through post-translational modifications (PTMs) and activation of compensatory signaling pathways, such as PI3K/AKT or MAPK reactivation. Reactivation of the MAPK pathway through different RAF isoforms or upstream RTKs is a typical mechanism of BRAF inhibitor resistance in melanoma</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(Hu et al., 2025). Through improved nutritional flexibility and stress tolerance, metabolic rewiring promotes resistance. In order to withstand oxidative stress brought on by drugs, tumors can increase glycolysis, glutaminolysis, and antioxidant pathways. In cancers lacking BRCA1/2, for example, resistance to PARP inhibitors may result from either alternative DNA repair mechanisms driven by altered metabolism or regained redox equilibrium</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(Schiliro &amp; Firestein, 2021). The necessity of multi-omics to comprehend the tumor-immune environment is highlighted by immunotherapy resistance. Immune escape is facilitated by mechanisms like epigenetic silencing of antigen-</w:t>
      </w:r>
      <w:r>
        <w:rPr>
          <w:rFonts w:ascii="Times New Roman" w:eastAsia="Times New Roman" w:hAnsi="Times New Roman" w:cs="Times New Roman"/>
          <w:color w:val="000000"/>
          <w:sz w:val="24"/>
          <w:szCs w:val="24"/>
        </w:rPr>
        <w:lastRenderedPageBreak/>
        <w:t>presentation machinery, loss of interferon-γ signaling, and downregulation of MHC class I. Tumor-intrinsic mutations, stromal remodeling, and immune cell depletion work together to compromise immune checkpoint inhibition, according to multi-omics research(Sari &amp; Rock, 2023). Multi-omics reveals the intricate, frequently non-linear processes causing resistance by combining genomic, epigenomic, proteomic, and metabolomic information. This information informs the creation of logical combination medicines and effective treatment plans(Chen et al., 2023b).</w:t>
      </w:r>
    </w:p>
    <w:p w14:paraId="2FA67955" w14:textId="77777777" w:rsidR="00701379" w:rsidRDefault="00000000">
      <w:pPr>
        <w:pStyle w:val="Heading3"/>
        <w:jc w:val="both"/>
      </w:pPr>
      <w:r>
        <w:t xml:space="preserve">7. Role of Tumor Microenvironment and Multi-Omics Dissection </w:t>
      </w:r>
    </w:p>
    <w:p w14:paraId="5307D0F7" w14:textId="57862FA7"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Tumor microenvironment (TME) influences immune surveillance, treatment response, and the course of cancer. The TME functions as a physical and physiological niche that promotes tumor heterogeneity and resilience. It is made up of a dynamic network of endothelial and stromal elements, cancer-associated fibroblasts (CAFs), myeloid-derived suppressor cells, and tumor-infiltrating lymphocytes (TILs). The complex cell-cell interactions inside the TME may be decoded using multi-omics technologies, especially when spatially resolved. This reveals the paracrine signaling, immunosuppressive networks, and stromal regulation that underpin tumor adaptability</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(El-Tanani et al., 2024). The TME's physical and functional variability has been shown using spatially-resolved multi-omics perspectives. Multiplexed imaging platforms and spatial transcriptomics are two examples of technologies that enable the mapping of cellular niches, the identification of metabolic zonation, hypoxia gradients, and immunological exclusion zones</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(Jing et al., 2025). For instance, hypoxic tumor cores frequently show downregulated antigen presentation and elevated glycolytic gene expression, which are spatially limited and undetectable to bulk profiling</w:t>
      </w:r>
      <w:r w:rsidR="00FF05D2">
        <w:rPr>
          <w:rFonts w:ascii="Times New Roman" w:eastAsia="Times New Roman" w:hAnsi="Times New Roman" w:cs="Times New Roman"/>
          <w:color w:val="000000"/>
          <w:sz w:val="24"/>
          <w:szCs w:val="24"/>
        </w:rPr>
        <w:fldChar w:fldCharType="begin"/>
      </w:r>
      <w:r w:rsidR="00FF05D2">
        <w:rPr>
          <w:rFonts w:ascii="Times New Roman" w:eastAsia="Times New Roman" w:hAnsi="Times New Roman" w:cs="Times New Roman"/>
          <w:color w:val="000000"/>
          <w:sz w:val="24"/>
          <w:szCs w:val="24"/>
        </w:rPr>
        <w:instrText xml:space="preserve"> ADDIN ZOTERO_ITEM CSL_CITATION {"citationID":"VYDtj0GL","properties":{"formattedCitation":"(Folorunsho, Ajayi, et al., 2025)","plainCitation":"(Folorunsho, Ajayi, et al., 2025)","noteIndex":0},"citationItems":[{"id":333,"uris":["http://zotero.org/users/local/AJmTDxS7/items/3VXS9599"],"itemData":{"id":333,"type":"article-journal","abstract":"Aims Nigeria's rapidly aging population presents urgent challenges for the healthcare system, particularly in oral health, which remains an overlooked aspect of well-being. While older adults are especially vulnerable to dental issues such as tooth loss, periodontal disease, and oral pain, access to care remains limited due to systemic, economic, and cultural barriers. This qualitative study explored the lived experiences of older Nigerians in accessing and utilizing dental care, with the goal of identifying key barriers, facilitators, and policy-relevant insights. Methods Fifteen participants aged 50–83 years were purposively selected from urban and peri-urban areas of Ilorin, North-Central Nigeria. Using a semi-structured interview guide, data were collected through face-to-face interviews and analyzed thematically following Braun and Clarke's methodology. Results Three overarching themes emerged: (1) barriers to accessing dental care, including high treatment costs, geographic inaccessibility, mobility challenges, and long waiting times; (2) facilitators of care, such as family support, employment-based insurance, and culturally supportive health beliefs; and (3) perceptions of dental care, with participants recognizing its importance for nutrition, dignity, and overall quality of life. Findings reveal that dental care for older adults in Nigeria is shaped by a combination of structural neglect and individual adaptation. While participants valued preventive care, financial constraints, poor infrastructure, and a lack of geriatric-trained professionals limited consistent access. However, social support networks and respectful provider interactions were critical enablers of care. Conclusions This study points to the need for age-inclusive health policies that integrate dental services into primary healthcare, expand insurance coverage, and strengthen community-based outreach. Addressing these gaps is not only a matter of public health, but of equity, dignity, and the right to age well.","container-title":"Special Care in Dentistry","DOI":"10.1111/scd.70040","ISSN":"1754-4505","issue":"3","language":"en","license":"© 2025 The Author(s). Special Care in Dentistry published by Special Care Dentistry Association and Wiley Periodicals LLC.","note":"_eprint: https://onlinelibrary.wiley.com/doi/pdf/10.1111/scd.70040","page":"e70040","source":"Wiley Online Library","title":"Access to and Utilization of Dental Care Services by Older Adults in Nigeria: Barriers and Facilitators","title-short":"Access to and Utilization of Dental Care Services by Older Adults in Nigeria","volume":"45","author":[{"family":"Folorunsho","given":"Sunkanmi"},{"family":"Ajayi","given":"Victor"},{"family":"Sanmori","given":"Munirat"},{"family":"Suleiman","given":"Medinah"},{"family":"Abdullateef","given":"Raji"},{"family":"Abdulganiyu","given":"Abdulazeez"}],"issued":{"date-parts":[["2025"]]}}}],"schema":"https://github.com/citation-style-language/schema/raw/master/csl-citation.json"} </w:instrText>
      </w:r>
      <w:r w:rsidR="00FF05D2">
        <w:rPr>
          <w:rFonts w:ascii="Times New Roman" w:eastAsia="Times New Roman" w:hAnsi="Times New Roman" w:cs="Times New Roman"/>
          <w:color w:val="000000"/>
          <w:sz w:val="24"/>
          <w:szCs w:val="24"/>
        </w:rPr>
        <w:fldChar w:fldCharType="separate"/>
      </w:r>
      <w:r w:rsidR="00FF05D2" w:rsidRPr="00FF05D2">
        <w:rPr>
          <w:rFonts w:ascii="Times New Roman" w:hAnsi="Times New Roman" w:cs="Times New Roman"/>
          <w:sz w:val="24"/>
        </w:rPr>
        <w:t>(Folorunsho, Ajayi, et al., 2025)</w:t>
      </w:r>
      <w:r w:rsidR="00FF05D2">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The response to treatment is significantly impacted by these geographical patterns, particularly with regard to immunotherapies and anti-angiogenic medicines</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(Estephan et al., 2025). The microbiome has become an essential facilitator of tumor behavior and immune reactivity, independent of host-derived variables. By producing metabolites and educating the immune system, gut microbiota can affect T cell priming and systemic inflammation</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(Graham &amp; Xavier, 2023). According to recent data, intratumoral bacteria that live inside cancer cells or the stromal compartment may also alter drug metabolism, resistance mechanisms, and local immunological tone. Certain microbial profiles linked to response to checkpoint inhibitors and chemotherapies have been identified by multi-omics profiling that combines 16S rRNA sequencing, metagenomics, and host transcriptomics</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 Wang et al., 2023). The TME actively contributes to treatment resistance in a number of ways. Stromal shielding, which is made by fibroblasts and ECM components and comprises physical and metabolic barriers, prevents drug penetration and immune cell trafficking. Although hypoxia-induced signaling promotes metabolic rewiring and epithelial-mesenchymal transition, cytokine networks (such as TGF-β and IL-6) reorganize immune cells toward suppressive phenotypes, enhancing stress survival. To investigate these complex interactions, sophisticated methods including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as STARMAP, CODEX, MERFISH, and CellCHAT have been developed</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(Yuan et al., 2023). By combining spatial resolution, multiplexing, and computational modeling, these systems decode the functional topography of the TME, map ligand-receptor interactions, and reconstruct cell communication networks. Such understanding is necessary to design context-specific medicines that increase anti-tumor immunity and break down stromal barriers</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(Armingol et al., 2022).</w:t>
      </w:r>
    </w:p>
    <w:p w14:paraId="2AE374A2" w14:textId="77777777" w:rsidR="00976DF6" w:rsidRDefault="00976DF6">
      <w:pPr>
        <w:pStyle w:val="Heading3"/>
        <w:jc w:val="both"/>
      </w:pPr>
    </w:p>
    <w:p w14:paraId="1E64BA12" w14:textId="77777777" w:rsidR="00976DF6" w:rsidRDefault="00976DF6">
      <w:pPr>
        <w:pStyle w:val="Heading3"/>
        <w:jc w:val="both"/>
      </w:pPr>
    </w:p>
    <w:p w14:paraId="6DE86CAB" w14:textId="72FE3C85" w:rsidR="00701379" w:rsidRDefault="00000000">
      <w:pPr>
        <w:pStyle w:val="Heading3"/>
        <w:jc w:val="both"/>
      </w:pPr>
      <w:r>
        <w:lastRenderedPageBreak/>
        <w:t xml:space="preserve">8. Multi-Omics and Precision Oncology: Clinical Applications </w:t>
      </w:r>
    </w:p>
    <w:p w14:paraId="089DCD44" w14:textId="4503AC37"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Precision medicine is changing due to the incorporation of multi-omics into clinical oncology, which makes stratified treatment strategies based on thorough molecular profiling possible. Multi-omics enables the discovery of multi-modal biomarkers for prognosis, treatment stratification, and response prediction by examining tumors across genomic, transcriptomic, epigenomic, proteomic, and metabolomic levels</w:t>
      </w:r>
      <w:r w:rsidR="000B16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(Molla &amp; Bitew, 2024). These composite signatures, in contrast to conventional single-gene biomarkers, provide more reliable and practically useful insights by taking into consideration the functional interactions between several molecular determinants. Multi-omics biomarker discovery has revealed predictive and prognostic markers that go beyond individual modalities</w:t>
      </w:r>
      <w:r w:rsidR="000B16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(Okafor et al., 2025). For example, coupled proteogenomic signatures in breast cancer have improved the classification of HER2-negative subgroups with unique treatment vulnerabilities, and combined DNA methylation and transcriptome profiles can identify immunological subtypes in colorectal cancer</w:t>
      </w:r>
      <w:r w:rsidR="000B16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(Aerqin et al., 2022). </w:t>
      </w:r>
      <w:r>
        <w:rPr>
          <w:rFonts w:ascii="Times New Roman" w:eastAsia="Times New Roman" w:hAnsi="Times New Roman" w:cs="Times New Roman"/>
          <w:sz w:val="24"/>
          <w:szCs w:val="24"/>
        </w:rPr>
        <w:t xml:space="preserve">Integrative biomarkers are essential for risk assessment and therapy selection across all cancer types. By combining exome sequencing with immunopeptidomics, multi-omics allows for the identification of tumor-specific neoantigens, altered peptides that arise from non-synonymous mutations, facilitating the discovery of therapeutic targets. Furthermore, integrating genomic and transcriptomic data helps map synthetic lethality networks and identifies context-dependent vulnerabilities in tumors with specific genetic mutations, such as the use of PARP inhibitors in BRCA-mutated cancers (Naffaa et al., 2025). </w:t>
      </w:r>
      <w:r>
        <w:rPr>
          <w:rFonts w:ascii="Times New Roman" w:eastAsia="Times New Roman" w:hAnsi="Times New Roman" w:cs="Times New Roman"/>
          <w:color w:val="000000"/>
          <w:sz w:val="24"/>
          <w:szCs w:val="24"/>
        </w:rPr>
        <w:t>Clinical trials are increasingly using multi-omics classifiers to improve patient stratification. Multi-layered molecular data is used in trials like as NCI-MATCH and I-PREDICT to match patients with targeted medicines according to their distinct tumor characteristics. These initiatives highlight the increasing awareness of molecular complexity in medication development and clinical decision-making</w:t>
      </w:r>
      <w:r w:rsidR="000B16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(Teleanu et al., 2025). A sensitive, non-invasive technique for identifying subclinical disease and new resistance clones for minimal residual disease (MRD) and medication resistance monitoring is provided by the integration of liquid biopsy technology with transcriptome and epigenomic profiling. This dynamic monitoring may help with early intervention and adaptive treatment change</w:t>
      </w:r>
      <w:r w:rsidR="000B16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(Pandey &amp; Yadav, 2025). There are many obstacles in the way of the therapeutic application of multi-omics, notwithstanding its revolutionary promise. Widespread adoption is restricted by high prices, computational complexity, difficulties integrating data, and regulatory uncertainty</w:t>
      </w:r>
      <w:r w:rsidR="000B16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(Wu &amp; Xie, 2025). Furthermore, to guarantee reproducibility and usefulness in practical contexts, it is critically necessary to standardize procedures, validate in sizable cohorts, and create clinically interpretable algorithms. Resolving these issues is essential to integrating multi-omics into standard oncologic treatment</w:t>
      </w:r>
      <w:r w:rsidR="000B16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(Rozera et al., 2025).</w:t>
      </w:r>
    </w:p>
    <w:p w14:paraId="176E3C40" w14:textId="64307303" w:rsidR="00701379" w:rsidRPr="00E50C6A" w:rsidRDefault="00B86A0A">
      <w:pPr>
        <w:pStyle w:val="Heading2"/>
        <w:keepNext w:val="0"/>
        <w:keepLines w:val="0"/>
        <w:shd w:val="clear" w:color="auto" w:fill="FFFFFF"/>
        <w:spacing w:before="460" w:after="160" w:line="360" w:lineRule="auto"/>
        <w:jc w:val="both"/>
        <w:rPr>
          <w:rFonts w:ascii="Times New Roman" w:eastAsia="Times New Roman" w:hAnsi="Times New Roman" w:cs="Times New Roman"/>
          <w:sz w:val="27"/>
          <w:szCs w:val="27"/>
        </w:rPr>
      </w:pPr>
      <w:bookmarkStart w:id="0" w:name="_heading=h.r80rmfby8wj3" w:colFirst="0" w:colLast="0"/>
      <w:bookmarkStart w:id="1" w:name="_heading=h.ncd7a33o3war" w:colFirst="0" w:colLast="0"/>
      <w:bookmarkEnd w:id="0"/>
      <w:bookmarkEnd w:id="1"/>
      <w:r>
        <w:rPr>
          <w:rFonts w:ascii="Times New Roman" w:eastAsia="Times New Roman" w:hAnsi="Times New Roman" w:cs="Times New Roman"/>
          <w:sz w:val="27"/>
          <w:szCs w:val="27"/>
        </w:rPr>
        <w:t xml:space="preserve">9. </w:t>
      </w:r>
      <w:r w:rsidR="00BE662B">
        <w:rPr>
          <w:rFonts w:ascii="Times New Roman" w:eastAsia="Times New Roman" w:hAnsi="Times New Roman" w:cs="Times New Roman"/>
          <w:sz w:val="27"/>
          <w:szCs w:val="27"/>
        </w:rPr>
        <w:t>Multi-</w:t>
      </w:r>
      <w:r w:rsidRPr="00E50C6A">
        <w:rPr>
          <w:rFonts w:ascii="Times New Roman" w:eastAsia="Times New Roman" w:hAnsi="Times New Roman" w:cs="Times New Roman"/>
          <w:sz w:val="27"/>
          <w:szCs w:val="27"/>
        </w:rPr>
        <w:t>Omics Technologies Used for Guiding Precision Cancer Therapies</w:t>
      </w:r>
    </w:p>
    <w:p w14:paraId="25985FBD" w14:textId="0CDFDB67" w:rsidR="00E50C6A" w:rsidRPr="00E50C6A" w:rsidRDefault="00E50C6A" w:rsidP="00BE662B">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E50C6A">
        <w:rPr>
          <w:rFonts w:ascii="Times New Roman" w:eastAsia="Times New Roman" w:hAnsi="Times New Roman" w:cs="Times New Roman"/>
          <w:color w:val="000000"/>
          <w:sz w:val="24"/>
          <w:szCs w:val="24"/>
        </w:rPr>
        <w:t>A notable multi-omics program is MASTER (Molecularly Aided Stratification for Tumor Eradication Research; ClinicalTrials.gov: NCT05852522), which directs precision cancer treatment. The German Cancer Research Center (DKFZ), the National Center for Tumor Diseases (NCT), and the German Cancer Consortium (DKTK) collaborate to form MASTER, a coordinated precision oncology network that was established in 2012</w:t>
      </w:r>
      <w:r w:rsidR="000B1690">
        <w:rPr>
          <w:rFonts w:ascii="Times New Roman" w:eastAsia="Times New Roman" w:hAnsi="Times New Roman" w:cs="Times New Roman"/>
          <w:color w:val="000000"/>
          <w:sz w:val="24"/>
          <w:szCs w:val="24"/>
        </w:rPr>
        <w:t xml:space="preserve"> </w:t>
      </w:r>
      <w:r w:rsidR="00BE662B">
        <w:rPr>
          <w:rFonts w:ascii="Times New Roman" w:eastAsia="Times New Roman" w:hAnsi="Times New Roman" w:cs="Times New Roman"/>
          <w:color w:val="000000"/>
          <w:sz w:val="24"/>
          <w:szCs w:val="24"/>
        </w:rPr>
        <w:fldChar w:fldCharType="begin"/>
      </w:r>
      <w:r w:rsidR="00A90086">
        <w:rPr>
          <w:rFonts w:ascii="Times New Roman" w:eastAsia="Times New Roman" w:hAnsi="Times New Roman" w:cs="Times New Roman"/>
          <w:color w:val="000000"/>
          <w:sz w:val="24"/>
          <w:szCs w:val="24"/>
        </w:rPr>
        <w:instrText xml:space="preserve"> ADDIN ZOTERO_ITEM CSL_CITATION {"citationID":"go9EDdLn","properties":{"formattedCitation":"(Teleanu et al., 2025a)","plainCitation":"(Teleanu et al., 2025a)","noteIndex":0},"citationItems":[{"id":235,"uris":["http://zotero.org/users/local/AJmTDxS7/items/YE6DTNCH"],"itemData":{"id":235,"type":"article-journal","abstract":"Precision oncology is becoming a mainstay in the standard of care for cancer patients. Recent technological advancements have significantly lowered the cost of various tumor profiling approaches, broadening the reach of molecular diagnostics and improving patient access to precision oncology. In parallel, drug development and discovery pipelines continue to evolve, driving targeted therapeutic options forward. Yet, not all patients harboring actionable molecular alterations respond to these interventions, and existing therapies do not cover the entire spectrum of potential molecular targets. In this review, we examine the current suite of omics technologies employed in clinical settings and underscore their roles in deepening our understanding of tumor biology and optimizing patient stratification for targeted treatments. We also highlight relevant precision oncology trials and share our own experiences using multi-omics data within a molecular tumor board framework. Finally, we discuss areas for future exploration aimed at propelling precision oncology to new heights.","container-title":"Biomolecules","DOI":"10.3390/biom15050693","ISSN":"2218-273X","issue":"5","journalAbbreviation":"Biomolecules","note":"PMID: 40427586\nPMCID: PMC12108785","page":"693","source":"PubMed Central","title":"Celebrating Ulrik Ringborg: Multi-Omics-Based Patient Stratification for Precision Cancer Treatment","title-short":"Celebrating Ulrik Ringborg","volume":"15","author":[{"family":"Teleanu","given":"Maria-Veronica"},{"family":"Schneider","given":"Annika"},{"family":"Ball","given":"Claudia R."},{"family":"Leber","given":"Mathias Felix"},{"family":"Stange","given":"Christoph"},{"family":"Krieghoff-Henning","given":"Eva"},{"family":"Beck","given":"Katja"},{"family":"Heilig","given":"Christoph E."},{"family":"Kreutzfeldt","given":"Simon"},{"family":"Kuster","given":"Bernhard"},{"family":"Lipka","given":"Daniel B."},{"family":"Fröhling","given":"Stefan"}],"issued":{"date-parts":[["2025",5,10]]}}}],"schema":"https://github.com/citation-style-language/schema/raw/master/csl-citation.json"} </w:instrText>
      </w:r>
      <w:r w:rsidR="00BE662B">
        <w:rPr>
          <w:rFonts w:ascii="Times New Roman" w:eastAsia="Times New Roman" w:hAnsi="Times New Roman" w:cs="Times New Roman"/>
          <w:color w:val="000000"/>
          <w:sz w:val="24"/>
          <w:szCs w:val="24"/>
        </w:rPr>
        <w:fldChar w:fldCharType="separate"/>
      </w:r>
      <w:r w:rsidR="00A90086" w:rsidRPr="00A90086">
        <w:rPr>
          <w:rFonts w:ascii="Times New Roman" w:hAnsi="Times New Roman" w:cs="Times New Roman"/>
          <w:sz w:val="24"/>
        </w:rPr>
        <w:t>(Teleanu et al., 2025a)</w:t>
      </w:r>
      <w:r w:rsidR="00BE662B">
        <w:rPr>
          <w:rFonts w:ascii="Times New Roman" w:eastAsia="Times New Roman" w:hAnsi="Times New Roman" w:cs="Times New Roman"/>
          <w:color w:val="000000"/>
          <w:sz w:val="24"/>
          <w:szCs w:val="24"/>
        </w:rPr>
        <w:fldChar w:fldCharType="end"/>
      </w:r>
      <w:r w:rsidRPr="00E50C6A">
        <w:rPr>
          <w:rFonts w:ascii="Times New Roman" w:eastAsia="Times New Roman" w:hAnsi="Times New Roman" w:cs="Times New Roman"/>
          <w:color w:val="000000"/>
          <w:sz w:val="24"/>
          <w:szCs w:val="24"/>
        </w:rPr>
        <w:t xml:space="preserve">. A central diagnostic pipeline that combines ex vivo drug sensitivity testing, DNA methylation profiling, RNA sequencing (RNA-seq), whole-genome or whole-exome sequencing (WGS/WES), and </w:t>
      </w:r>
      <w:r w:rsidRPr="00E50C6A">
        <w:rPr>
          <w:rFonts w:ascii="Times New Roman" w:eastAsia="Times New Roman" w:hAnsi="Times New Roman" w:cs="Times New Roman"/>
          <w:color w:val="000000"/>
          <w:sz w:val="24"/>
          <w:szCs w:val="24"/>
        </w:rPr>
        <w:lastRenderedPageBreak/>
        <w:t>proteome profiling is its main characteristic. This approach allows MASTER to customize clinical decisions for patients with rare cancers or young individuals facing challenging common malignancies. The following sections will cover the strengths and limitations of these technologies and share experiences with MASTER</w:t>
      </w:r>
      <w:r w:rsidR="000B1690">
        <w:rPr>
          <w:rFonts w:ascii="Times New Roman" w:eastAsia="Times New Roman" w:hAnsi="Times New Roman" w:cs="Times New Roman"/>
          <w:color w:val="000000"/>
          <w:sz w:val="24"/>
          <w:szCs w:val="24"/>
        </w:rPr>
        <w:t xml:space="preserve"> </w:t>
      </w:r>
      <w:r w:rsidR="000B1690">
        <w:rPr>
          <w:rFonts w:ascii="Times New Roman" w:eastAsia="Times New Roman" w:hAnsi="Times New Roman" w:cs="Times New Roman"/>
          <w:color w:val="000000"/>
          <w:sz w:val="24"/>
          <w:szCs w:val="24"/>
        </w:rPr>
        <w:fldChar w:fldCharType="begin"/>
      </w:r>
      <w:r w:rsidR="000B1690">
        <w:rPr>
          <w:rFonts w:ascii="Times New Roman" w:eastAsia="Times New Roman" w:hAnsi="Times New Roman" w:cs="Times New Roman"/>
          <w:color w:val="000000"/>
          <w:sz w:val="24"/>
          <w:szCs w:val="24"/>
        </w:rPr>
        <w:instrText xml:space="preserve"> ADDIN ZOTERO_ITEM CSL_CITATION {"citationID":"Umw9eKJJ","properties":{"formattedCitation":"(Masucci et al., 2024)","plainCitation":"(Masucci et al., 2024)","noteIndex":0},"citationItems":[{"id":237,"uris":["http://zotero.org/users/local/AJmTDxS7/items/V9LMZQWN"],"itemData":{"id":237,"type":"article-journal","abstract":"The shift towards personalized cancer medicine (PCM) represents a significant transformation in cancer care, emphasizing tailored treatments based on the genetic understanding of cancer at the cellular level. This review draws on recent literature to explore key factors influencing PCM implementation, highlighting the role of innovative leadership, interdisciplinary collaboration, and coordinated funding and regulatory strategies. Success in PCM relies on overcoming challenges such as integrating diverse medical disciplines, securing sustainable investment for shared infrastructures, and navigating complex regulatory landscapes. Effective leadership is crucial for fostering a culture of innovation and teamwork, essential for translating complex biological insights into personalized treatment strategies. The transition to PCM necessitates not only organizational adaptation but also the development of new professional roles and training programs, underscoring the need for a multidisciplinary approach and the importance of team science in overcoming the limitations of traditional medical paradigms. The conclusion underscores that PCM’s success hinges on creating collaborative environments that support innovation, adaptability, and shared vision among all stakeholders involved in cancer care.","container-title":"Journal of Personalized Medicine","DOI":"10.3390/jpm14060561","ISSN":"2075-4426","issue":"6","journalAbbreviation":"J Pers Med","note":"PMID: 38929782\nPMCID: PMC11204735","page":"561","source":"PubMed Central","title":"Bridging the Divide: A Review on the Implementation of Personalized Cancer Medicine","title-short":"Bridging the Divide","volume":"14","author":[{"family":"Masucci","given":"Michele"},{"family":"Karlsson","given":"Claes"},{"family":"Blomqvist","given":"Lennart"},{"family":"Ernberg","given":"Ingemar"}],"issued":{"date-parts":[["2024",5,24]]}}}],"schema":"https://github.com/citation-style-language/schema/raw/master/csl-citation.json"} </w:instrText>
      </w:r>
      <w:r w:rsidR="000B1690">
        <w:rPr>
          <w:rFonts w:ascii="Times New Roman" w:eastAsia="Times New Roman" w:hAnsi="Times New Roman" w:cs="Times New Roman"/>
          <w:color w:val="000000"/>
          <w:sz w:val="24"/>
          <w:szCs w:val="24"/>
        </w:rPr>
        <w:fldChar w:fldCharType="separate"/>
      </w:r>
      <w:r w:rsidR="000B1690" w:rsidRPr="000B1690">
        <w:rPr>
          <w:rFonts w:ascii="Times New Roman" w:hAnsi="Times New Roman" w:cs="Times New Roman"/>
          <w:sz w:val="24"/>
        </w:rPr>
        <w:t>(Masucci et al., 2024)</w:t>
      </w:r>
      <w:r w:rsidR="000B1690">
        <w:rPr>
          <w:rFonts w:ascii="Times New Roman" w:eastAsia="Times New Roman" w:hAnsi="Times New Roman" w:cs="Times New Roman"/>
          <w:color w:val="000000"/>
          <w:sz w:val="24"/>
          <w:szCs w:val="24"/>
        </w:rPr>
        <w:fldChar w:fldCharType="end"/>
      </w:r>
      <w:r w:rsidRPr="00E50C6A">
        <w:rPr>
          <w:rFonts w:ascii="Times New Roman" w:eastAsia="Times New Roman" w:hAnsi="Times New Roman" w:cs="Times New Roman"/>
          <w:color w:val="000000"/>
          <w:sz w:val="24"/>
          <w:szCs w:val="24"/>
        </w:rPr>
        <w:t>.</w:t>
      </w:r>
    </w:p>
    <w:p w14:paraId="619D9AAB" w14:textId="46281E70" w:rsidR="00E50C6A" w:rsidRPr="00B86A0A" w:rsidRDefault="00E50C6A" w:rsidP="00B86A0A">
      <w:pPr>
        <w:pStyle w:val="ListParagraph"/>
        <w:numPr>
          <w:ilvl w:val="0"/>
          <w:numId w:val="3"/>
        </w:num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rPr>
      </w:pPr>
      <w:r w:rsidRPr="00B86A0A">
        <w:rPr>
          <w:rFonts w:ascii="Times New Roman" w:eastAsia="Times New Roman" w:hAnsi="Times New Roman" w:cs="Times New Roman"/>
          <w:b/>
          <w:bCs/>
          <w:color w:val="000000"/>
          <w:sz w:val="24"/>
          <w:szCs w:val="24"/>
        </w:rPr>
        <w:t>Whole-Genome/Exome and RNA Sequencing</w:t>
      </w:r>
    </w:p>
    <w:p w14:paraId="00FE90CF" w14:textId="44999187" w:rsidR="00E50C6A" w:rsidRDefault="00E50C6A" w:rsidP="00B86A0A">
      <w:pPr>
        <w:pStyle w:val="ListParagraph"/>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B86A0A">
        <w:rPr>
          <w:rFonts w:ascii="Times New Roman" w:eastAsia="Times New Roman" w:hAnsi="Times New Roman" w:cs="Times New Roman"/>
          <w:color w:val="000000"/>
          <w:sz w:val="24"/>
          <w:szCs w:val="24"/>
        </w:rPr>
        <w:t>DNA-based gene panel analysis and targeted RNA sequencing for fusion gene detection have significantly advanced precision oncology</w:t>
      </w:r>
      <w:r w:rsidR="002105CE" w:rsidRPr="00B86A0A">
        <w:rPr>
          <w:rFonts w:ascii="Times New Roman" w:eastAsia="Times New Roman" w:hAnsi="Times New Roman" w:cs="Times New Roman"/>
          <w:color w:val="000000"/>
          <w:sz w:val="24"/>
          <w:szCs w:val="24"/>
        </w:rPr>
        <w:t xml:space="preserve"> and is</w:t>
      </w:r>
      <w:r w:rsidRPr="00B86A0A">
        <w:rPr>
          <w:rFonts w:ascii="Times New Roman" w:eastAsia="Times New Roman" w:hAnsi="Times New Roman" w:cs="Times New Roman"/>
          <w:color w:val="000000"/>
          <w:sz w:val="24"/>
          <w:szCs w:val="24"/>
        </w:rPr>
        <w:t xml:space="preserve"> now essential in molecular cancer diagnostics</w:t>
      </w:r>
      <w:r w:rsidR="00D85F5A">
        <w:rPr>
          <w:rFonts w:ascii="Times New Roman" w:eastAsia="Times New Roman" w:hAnsi="Times New Roman" w:cs="Times New Roman"/>
          <w:color w:val="000000"/>
          <w:sz w:val="24"/>
          <w:szCs w:val="24"/>
        </w:rPr>
        <w:t xml:space="preserve"> </w:t>
      </w:r>
      <w:r w:rsidR="00D85F5A">
        <w:rPr>
          <w:rFonts w:ascii="Times New Roman" w:eastAsia="Times New Roman" w:hAnsi="Times New Roman" w:cs="Times New Roman"/>
          <w:color w:val="000000"/>
          <w:sz w:val="24"/>
          <w:szCs w:val="24"/>
        </w:rPr>
        <w:fldChar w:fldCharType="begin"/>
      </w:r>
      <w:r w:rsidR="00D85F5A">
        <w:rPr>
          <w:rFonts w:ascii="Times New Roman" w:eastAsia="Times New Roman" w:hAnsi="Times New Roman" w:cs="Times New Roman"/>
          <w:color w:val="000000"/>
          <w:sz w:val="24"/>
          <w:szCs w:val="24"/>
        </w:rPr>
        <w:instrText xml:space="preserve"> ADDIN ZOTERO_ITEM CSL_CITATION {"citationID":"yQ6D27S8","properties":{"formattedCitation":"(Ji et al., 2025)","plainCitation":"(Ji et al., 2025)","noteIndex":0},"citationItems":[{"id":242,"uris":["http://zotero.org/users/local/AJmTDxS7/items/79NE82ZT"],"itemData":{"id":242,"type":"article-journal","abstract":"Gene fusions are one of the most important molecular biomarkers for tumor diagnosis, classification and targeted therapy. How to accurately detect them is a key issue in clinical work. In this study, a custom-designed integration of DNA and RNA-based next generation sequencing (NGS) assay including 16 targeted therapy related genes was developed and validated to identify gene fusions in solid tumors. This assay accurately identified all 10 different types of fusion in 8 commercial fusion spiked-in reference standards and 29 fusions including 16 different fusion forms in 60 clinical solid tumor samples previously identified by clinical testing methods. In addition, a TPM3::NTRK1 fusion was additionally identified and validated by Sanger sequencing, which showed a false-negative result for the previous result. Mutational abundance limit of detection for the assay was assessed with a series of dilution experiments. These fusions can be stably detected when the mutational abundance is down to 5% for DNA and 250–400 copies/100 ng for RNA. The intra-assay and inter-assay reproducibility was observed in three samples and three replicates. This integration of DNA and RNA-based NGS assay shows excellent performance on formalin-fixed, paraffin-embedded samples, results at different levels can complement each other, thereby facilitating precise diagnosis and treatment.","container-title":"Scientific Reports","DOI":"10.1038/s41598-025-91640-6","ISSN":"2045-2322","issue":"1","journalAbbreviation":"Sci Rep","language":"en","license":"2025 The Author(s)","note":"publisher: Nature Publishing Group","page":"7223","source":"www.nature.com","title":"An accurate DNA and RNA based targeted sequencing assay for clinical detection of gene fusions in solid tumors","volume":"15","author":[{"family":"Ji","given":"Gang"},{"family":"Yao","given":"Qianlan"},{"family":"Ren","given":"Min"},{"family":"Bai","given":"Qianming"},{"family":"Zhu","given":"Xiaoli"},{"family":"Zhou","given":"Xiaoyan"}],"issued":{"date-parts":[["2025",2,28]]}}}],"schema":"https://github.com/citation-style-language/schema/raw/master/csl-citation.json"} </w:instrText>
      </w:r>
      <w:r w:rsidR="00D85F5A">
        <w:rPr>
          <w:rFonts w:ascii="Times New Roman" w:eastAsia="Times New Roman" w:hAnsi="Times New Roman" w:cs="Times New Roman"/>
          <w:color w:val="000000"/>
          <w:sz w:val="24"/>
          <w:szCs w:val="24"/>
        </w:rPr>
        <w:fldChar w:fldCharType="separate"/>
      </w:r>
      <w:r w:rsidR="00D85F5A" w:rsidRPr="00D85F5A">
        <w:rPr>
          <w:rFonts w:ascii="Times New Roman" w:hAnsi="Times New Roman" w:cs="Times New Roman"/>
          <w:sz w:val="24"/>
        </w:rPr>
        <w:t>(Ji et al., 2025)</w:t>
      </w:r>
      <w:r w:rsidR="00D85F5A">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This has led to the integration of targeted therapies as first-line treatments for various solid tumors, such as hormone receptor-positive breast cancer and non-small cell lung cancer.  With this method, MASTER can customize clinical choices for patients with uncommon tumors or those who were diagnosed with difficult common cancers at an early age</w:t>
      </w:r>
      <w:r w:rsidR="00D85F5A">
        <w:rPr>
          <w:rFonts w:ascii="Times New Roman" w:eastAsia="Times New Roman" w:hAnsi="Times New Roman" w:cs="Times New Roman"/>
          <w:color w:val="000000"/>
          <w:sz w:val="24"/>
          <w:szCs w:val="24"/>
        </w:rPr>
        <w:fldChar w:fldCharType="begin"/>
      </w:r>
      <w:r w:rsidR="00D85F5A">
        <w:rPr>
          <w:rFonts w:ascii="Times New Roman" w:eastAsia="Times New Roman" w:hAnsi="Times New Roman" w:cs="Times New Roman"/>
          <w:color w:val="000000"/>
          <w:sz w:val="24"/>
          <w:szCs w:val="24"/>
        </w:rPr>
        <w:instrText xml:space="preserve"> ADDIN ZOTERO_ITEM CSL_CITATION {"citationID":"msAYgpFN","properties":{"formattedCitation":"(Masoud &amp; Pag\\uc0\\u232{}s, 2017)","plainCitation":"(Masoud &amp; Pagès, 2017)","noteIndex":0},"citationItems":[{"id":244,"uris":["http://zotero.org/users/local/AJmTDxS7/items/9FBKJVYM"],"itemData":{"id":244,"type":"article-journal","abstract":"Breast cancer is the most common type of cancer found in women and today represents a significant challenge to public health. With the latest breakthroughs in molecular biology and immunotherapy, very specific targeted therapies have been tailored to the specific pathophysiology of different types of breast cancers. These recent developments have contributed to a more efficient and specific treatment protocol in breast cancer patients. However, the main challenge to be further investigated still remains the emergence of therapeutic resistance mechanisms, which develop soon after the onset of therapy and need urgent attention and further elucidation. What are the recent emerging molecular resistance mechanisms in breast cancer targeted therapy and what are the best strategies to apply in order to circumvent this important obstacle? The main scope of this review is to provide a thorough update of recent developments in the field and discuss future prospects for preventing resistance mechanisms in the quest to increase overall survival of patients suffering from the disease.","container-title":"World Journal of Clinical Oncology","DOI":"10.5306/wjco.v8.i2.120","ISSN":"2218-4333","issue":"2","journalAbbreviation":"World J Clin Oncol","note":"PMID: 28439493\nPMCID: PMC5385433","page":"120-134","source":"PubMed Central","title":"Targeted therapies in breast cancer: New challenges to fight against resistance","title-short":"Targeted therapies in breast cancer","volume":"8","author":[{"family":"Masoud","given":"Viviana"},{"family":"Pagès","given":"Gilles"}],"issued":{"date-parts":[["2017",4,10]]}}}],"schema":"https://github.com/citation-style-language/schema/raw/master/csl-citation.json"} </w:instrText>
      </w:r>
      <w:r w:rsidR="00D85F5A">
        <w:rPr>
          <w:rFonts w:ascii="Times New Roman" w:eastAsia="Times New Roman" w:hAnsi="Times New Roman" w:cs="Times New Roman"/>
          <w:color w:val="000000"/>
          <w:sz w:val="24"/>
          <w:szCs w:val="24"/>
        </w:rPr>
        <w:fldChar w:fldCharType="separate"/>
      </w:r>
      <w:r w:rsidR="00D85F5A" w:rsidRPr="00D85F5A">
        <w:rPr>
          <w:rFonts w:ascii="Times New Roman" w:hAnsi="Times New Roman" w:cs="Times New Roman"/>
          <w:sz w:val="24"/>
        </w:rPr>
        <w:t>(Masoud &amp; Pagès, 2017)</w:t>
      </w:r>
      <w:r w:rsidR="00D85F5A">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The advantages and disadvantages of various technologies, as well as the MASTER experience, will be covered in the parts that follow.</w:t>
      </w:r>
      <w:r w:rsidR="00B86A0A">
        <w:rPr>
          <w:rFonts w:ascii="Times New Roman" w:eastAsia="Times New Roman" w:hAnsi="Times New Roman" w:cs="Times New Roman"/>
          <w:color w:val="000000"/>
          <w:sz w:val="24"/>
          <w:szCs w:val="24"/>
        </w:rPr>
        <w:t xml:space="preserve"> </w:t>
      </w:r>
      <w:r w:rsidRPr="00B86A0A">
        <w:rPr>
          <w:rFonts w:ascii="Times New Roman" w:eastAsia="Times New Roman" w:hAnsi="Times New Roman" w:cs="Times New Roman"/>
          <w:color w:val="000000"/>
          <w:sz w:val="24"/>
          <w:szCs w:val="24"/>
        </w:rPr>
        <w:t>Research on broad profiling techniques such as RNA sequencing (RNA-seq), whole-genome sequencing (WGS), and whole-exome sequencing (WES) has advanced our knowledge of cancer therapy</w:t>
      </w:r>
      <w:r w:rsidR="00D85F5A">
        <w:rPr>
          <w:rFonts w:ascii="Times New Roman" w:eastAsia="Times New Roman" w:hAnsi="Times New Roman" w:cs="Times New Roman"/>
          <w:color w:val="000000"/>
          <w:sz w:val="24"/>
          <w:szCs w:val="24"/>
        </w:rPr>
        <w:t xml:space="preserve"> </w:t>
      </w:r>
      <w:r w:rsidR="00D85F5A">
        <w:rPr>
          <w:rFonts w:ascii="Times New Roman" w:eastAsia="Times New Roman" w:hAnsi="Times New Roman" w:cs="Times New Roman"/>
          <w:color w:val="000000"/>
          <w:sz w:val="24"/>
          <w:szCs w:val="24"/>
        </w:rPr>
        <w:fldChar w:fldCharType="begin"/>
      </w:r>
      <w:r w:rsidR="00D85F5A">
        <w:rPr>
          <w:rFonts w:ascii="Times New Roman" w:eastAsia="Times New Roman" w:hAnsi="Times New Roman" w:cs="Times New Roman"/>
          <w:color w:val="000000"/>
          <w:sz w:val="24"/>
          <w:szCs w:val="24"/>
        </w:rPr>
        <w:instrText xml:space="preserve"> ADDIN ZOTERO_ITEM CSL_CITATION {"citationID":"XhWmDbD4","properties":{"formattedCitation":"(Satam et al., 2023a)","plainCitation":"(Satam et al., 2023a)","noteIndex":0},"citationItems":[{"id":247,"uris":["http://zotero.org/users/local/AJmTDxS7/items/ZRE3PSIK"],"itemData":{"id":247,"type":"article-journal","abstract":"Simple Summary\nNext-generation sequencing (NGS) is a powerful tool used in genomics research. NGS can sequence millions of DNA fragments at once, providing detailed information about the structure of genomes, genetic variations, gene activity, and changes in gene behavior. Recent advancements have focused on faster and more accurate sequencing, reduced costs, and improved data analysis. These advancements hold great promise for unlocking new insights into genomics and improving our understanding of diseases and personalized healthcare. This review article provides an overview of NGS technology and its impact on various areas of research, such as clinical genomics, cancer, infectious diseases, and the study of the microbiome.\n\nAbstract\nThe advent of next-generation sequencing (NGS) has brought about a paradigm shift in genomics research, offering unparalleled capabilities for analyzing DNA and RNA molecules in a high-throughput and cost-effective manner. This transformative technology has swiftly propelled genomics advancements across diverse domains. NGS allows for the rapid sequencing of millions of DNA fragments simultaneously, providing comprehensive insights into genome structure, genetic variations, gene expression profiles, and epigenetic modifications. The versatility of NGS platforms has expanded the scope of genomics research, facilitating studies on rare genetic diseases, cancer genomics, microbiome analysis, infectious diseases, and population genetics. Moreover, NGS has enabled the development of targeted therapies, precision medicine approaches, and improved diagnostic methods. This review provides an insightful overview of the current trends and recent advancements in NGS technology, highlighting its potential impact on diverse areas of genomic research. Moreover, the review delves into the challenges encountered and future directions of NGS technology, including endeavors to enhance the accuracy and sensitivity of sequencing data, the development of novel algorithms for data analysis, and the pursuit of more efficient, scalable, and cost-effective solutions that lie ahead.","container-title":"Biology","DOI":"10.3390/biology12070997","ISSN":"2079-7737","issue":"7","journalAbbreviation":"Biology (Basel)","note":"PMID: 37508427\nPMCID: PMC10376292","page":"997","source":"PubMed Central","title":"Next-Generation Sequencing Technology: Current Trends and Advancements","title-short":"Next-Generation Sequencing Technology","volume":"12","author":[{"family":"Satam","given":"Heena"},{"family":"Joshi","given":"Kandarp"},{"family":"Mangrolia","given":"Upasana"},{"family":"Waghoo","given":"Sanober"},{"family":"Zaidi","given":"Gulnaz"},{"family":"Rawool","given":"Shravani"},{"family":"Thakare","given":"Ritesh P."},{"family":"Banday","given":"Shahid"},{"family":"Mishra","given":"Alok K."},{"family":"Das","given":"Gautam"},{"family":"Malonia","given":"Sunil K."}],"issued":{"date-parts":[["2023",7,13]]}}}],"schema":"https://github.com/citation-style-language/schema/raw/master/csl-citation.json"} </w:instrText>
      </w:r>
      <w:r w:rsidR="00D85F5A">
        <w:rPr>
          <w:rFonts w:ascii="Times New Roman" w:eastAsia="Times New Roman" w:hAnsi="Times New Roman" w:cs="Times New Roman"/>
          <w:color w:val="000000"/>
          <w:sz w:val="24"/>
          <w:szCs w:val="24"/>
        </w:rPr>
        <w:fldChar w:fldCharType="separate"/>
      </w:r>
      <w:r w:rsidR="00D85F5A" w:rsidRPr="00D85F5A">
        <w:rPr>
          <w:rFonts w:ascii="Times New Roman" w:hAnsi="Times New Roman" w:cs="Times New Roman"/>
          <w:sz w:val="24"/>
        </w:rPr>
        <w:t>(Satam et al., 2023a)</w:t>
      </w:r>
      <w:r w:rsidR="00D85F5A">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Although it is currently unknown how incorporating these methods into clinical practice will affect overall survival, they have benefits over targeted RNA assays and conventional gene panel sequencing. WGS and WES are capable of detecting structural variations (SVs), viral DNA, tumor mutational burden (TMB), microsatellite instability (MSI), copy number changes, minor insertions/deletions (indels), and single-nucleotide variants (SNVs). Furthermore, the intratumoral immune landscape can be analyzed using RNA-seq deconvolution, improving the usage of immune checkpoint inhibitors</w:t>
      </w:r>
      <w:r w:rsidR="00D85F5A">
        <w:rPr>
          <w:rFonts w:ascii="Times New Roman" w:eastAsia="Times New Roman" w:hAnsi="Times New Roman" w:cs="Times New Roman"/>
          <w:color w:val="000000"/>
          <w:sz w:val="24"/>
          <w:szCs w:val="24"/>
        </w:rPr>
        <w:t xml:space="preserve"> </w:t>
      </w:r>
      <w:r w:rsidR="00D85F5A">
        <w:rPr>
          <w:rFonts w:ascii="Times New Roman" w:eastAsia="Times New Roman" w:hAnsi="Times New Roman" w:cs="Times New Roman"/>
          <w:color w:val="000000"/>
          <w:sz w:val="24"/>
          <w:szCs w:val="24"/>
        </w:rPr>
        <w:fldChar w:fldCharType="begin"/>
      </w:r>
      <w:r w:rsidR="00D85F5A">
        <w:rPr>
          <w:rFonts w:ascii="Times New Roman" w:eastAsia="Times New Roman" w:hAnsi="Times New Roman" w:cs="Times New Roman"/>
          <w:color w:val="000000"/>
          <w:sz w:val="24"/>
          <w:szCs w:val="24"/>
        </w:rPr>
        <w:instrText xml:space="preserve"> ADDIN ZOTERO_ITEM CSL_CITATION {"citationID":"cL3Tb606","properties":{"formattedCitation":"(Satam et al., 2023b)","plainCitation":"(Satam et al., 2023b)","noteIndex":0},"citationItems":[{"id":250,"uris":["http://zotero.org/users/local/AJmTDxS7/items/A6KP65U5"],"itemData":{"id":250,"type":"article-journal","abstract":"Simple Summary\nNext-generation sequencing (NGS) is a powerful tool used in genomics research. NGS can sequence millions of DNA fragments at once, providing detailed information about the structure of genomes, genetic variations, gene activity, and changes in gene behavior. Recent advancements have focused on faster and more accurate sequencing, reduced costs, and improved data analysis. These advancements hold great promise for unlocking new insights into genomics and improving our understanding of diseases and personalized healthcare. This review article provides an overview of NGS technology and its impact on various areas of research, such as clinical genomics, cancer, infectious diseases, and the study of the microbiome.\n\nAbstract\nThe advent of next-generation sequencing (NGS) has brought about a paradigm shift in genomics research, offering unparalleled capabilities for analyzing DNA and RNA molecules in a high-throughput and cost-effective manner. This transformative technology has swiftly propelled genomics advancements across diverse domains. NGS allows for the rapid sequencing of millions of DNA fragments simultaneously, providing comprehensive insights into genome structure, genetic variations, gene expression profiles, and epigenetic modifications. The versatility of NGS platforms has expanded the scope of genomics research, facilitating studies on rare genetic diseases, cancer genomics, microbiome analysis, infectious diseases, and population genetics. Moreover, NGS has enabled the development of targeted therapies, precision medicine approaches, and improved diagnostic methods. This review provides an insightful overview of the current trends and recent advancements in NGS technology, highlighting its potential impact on diverse areas of genomic research. Moreover, the review delves into the challenges encountered and future directions of NGS technology, including endeavors to enhance the accuracy and sensitivity of sequencing data, the development of novel algorithms for data analysis, and the pursuit of more efficient, scalable, and cost-effective solutions that lie ahead.","container-title":"Biology","DOI":"10.3390/biology12070997","ISSN":"2079-7737","issue":"7","journalAbbreviation":"Biology (Basel)","note":"PMID: 37508427\nPMCID: PMC10376292","page":"997","source":"PubMed Central","title":"Next-Generation Sequencing Technology: Current Trends and Advancements","title-short":"Next-Generation Sequencing Technology","volume":"12","author":[{"family":"Satam","given":"Heena"},{"family":"Joshi","given":"Kandarp"},{"family":"Mangrolia","given":"Upasana"},{"family":"Waghoo","given":"Sanober"},{"family":"Zaidi","given":"Gulnaz"},{"family":"Rawool","given":"Shravani"},{"family":"Thakare","given":"Ritesh P."},{"family":"Banday","given":"Shahid"},{"family":"Mishra","given":"Alok K."},{"family":"Das","given":"Gautam"},{"family":"Malonia","given":"Sunil K."}],"issued":{"date-parts":[["2023",7,13]]}}}],"schema":"https://github.com/citation-style-language/schema/raw/master/csl-citation.json"} </w:instrText>
      </w:r>
      <w:r w:rsidR="00D85F5A">
        <w:rPr>
          <w:rFonts w:ascii="Times New Roman" w:eastAsia="Times New Roman" w:hAnsi="Times New Roman" w:cs="Times New Roman"/>
          <w:color w:val="000000"/>
          <w:sz w:val="24"/>
          <w:szCs w:val="24"/>
        </w:rPr>
        <w:fldChar w:fldCharType="separate"/>
      </w:r>
      <w:r w:rsidR="00D85F5A" w:rsidRPr="00D85F5A">
        <w:rPr>
          <w:rFonts w:ascii="Times New Roman" w:hAnsi="Times New Roman" w:cs="Times New Roman"/>
          <w:sz w:val="24"/>
        </w:rPr>
        <w:t>(Satam et al., 2023b)</w:t>
      </w:r>
      <w:r w:rsidR="00D85F5A">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xml:space="preserve">. Treatment recommendations based on RNA-based biomarkers were made for 47% of the cases from the first 1310 patients analyzed in the MASTER </w:t>
      </w:r>
      <w:r w:rsidR="002105CE" w:rsidRPr="00B86A0A">
        <w:rPr>
          <w:rFonts w:ascii="Times New Roman" w:eastAsia="Times New Roman" w:hAnsi="Times New Roman" w:cs="Times New Roman"/>
          <w:color w:val="000000"/>
          <w:sz w:val="24"/>
          <w:szCs w:val="24"/>
        </w:rPr>
        <w:t>program,</w:t>
      </w:r>
      <w:r w:rsidRPr="00B86A0A">
        <w:rPr>
          <w:rFonts w:ascii="Times New Roman" w:eastAsia="Times New Roman" w:hAnsi="Times New Roman" w:cs="Times New Roman"/>
          <w:color w:val="000000"/>
          <w:sz w:val="24"/>
          <w:szCs w:val="24"/>
        </w:rPr>
        <w:t xml:space="preserve"> primarily in the tyrosine kinase and immune evasion baskets. In contrast, somatic copy number alterations and SNVs guided treatment in 25.5% and 13.2% of the cases, respectively</w:t>
      </w:r>
      <w:r w:rsidR="00D85F5A">
        <w:rPr>
          <w:rFonts w:ascii="Times New Roman" w:eastAsia="Times New Roman" w:hAnsi="Times New Roman" w:cs="Times New Roman"/>
          <w:color w:val="000000"/>
          <w:sz w:val="24"/>
          <w:szCs w:val="24"/>
        </w:rPr>
        <w:t xml:space="preserve"> </w:t>
      </w:r>
      <w:r w:rsidR="00D85F5A">
        <w:rPr>
          <w:rFonts w:ascii="Times New Roman" w:eastAsia="Times New Roman" w:hAnsi="Times New Roman" w:cs="Times New Roman"/>
          <w:color w:val="000000"/>
          <w:sz w:val="24"/>
          <w:szCs w:val="24"/>
        </w:rPr>
        <w:fldChar w:fldCharType="begin"/>
      </w:r>
      <w:r w:rsidR="00D85F5A">
        <w:rPr>
          <w:rFonts w:ascii="Times New Roman" w:eastAsia="Times New Roman" w:hAnsi="Times New Roman" w:cs="Times New Roman"/>
          <w:color w:val="000000"/>
          <w:sz w:val="24"/>
          <w:szCs w:val="24"/>
        </w:rPr>
        <w:instrText xml:space="preserve"> ADDIN ZOTERO_ITEM CSL_CITATION {"citationID":"6bYzYW3o","properties":{"formattedCitation":"(Shohdy et al., 2024)","plainCitation":"(Shohdy et al., 2024)","noteIndex":0},"citationItems":[{"id":253,"uris":["http://zotero.org/users/local/AJmTDxS7/items/7R6EJ3CA"],"itemData":{"id":253,"type":"article-journal","abstract":"BACKGROUND: Predictive biomarkers for immune checkpoint blockade in the second-line treatment of metastatic renal cell carcinoma (mRCC) are lacking.\nMATERIALS AND METHODS: Patients with histologically confirmed RCC who started nivolumab after at least 4 months of tyrosine kinase inhibitors (TKIs) were recruited for this study. Serial tissue and blood samples were collected for immune biomarker evaluation. The primary endpoint was to determine the association of specific T-cell subsets with clinical outcomes tested using Wilcoxon rank sum for clinical benefit rate (CBR) and log-rank test for progression-free survival (PFS).\nRESULTS: Twenty patients were included in this trial with a median age of 64 years and followed-up for a median of 12 months. The median PFS for patients who received TKI was 13.8 months, while for those subsequently treated with nivolumab following TKI therapy, the median PFS was 2.6 months. CBR of nivolumab was 20% with two partial responses. Functionally active programmed cell death protein 1+ CD4+ T cells were enriched in non-responders (q = 0.003) and associated with worse PFS on nivolumab (P = 0.04). Responders showed a significant reduction in the effector CD4+T-cell (TEF) fraction compared to non-responders at 3 months on nivolumab (0.40 versus 0.80, P = 0.0005). CD127+CD4+ T cells were enriched in patients who developed immune-related adverse effects (q = 0.003). Using in-house validated multiplex immunohistochemistry for six markers, we measured tumour-associated immune cell densities in tissue samples. Responders to nivolumab showed a significantly higher mean of immune cell densities in tissue samples compared to non-responders (346 versus 87 cells/mm2, P = 0.04).\nCONCLUSIONS: In this small study, analysis of tissue-based and peripheral blood immune cell subsets predicted clinical outcomes of nivolumab. Further studies are warranted with larger populations to validate these observations.","container-title":"Immuno-Oncology Technology","DOI":"10.1016/j.iotech.2024.100712","ISSN":"2590-0188","journalAbbreviation":"Immunooncol Technol","language":"eng","note":"PMID: 38694705\nPMCID: PMC11059457","page":"100712","source":"PubMed","title":"Immune biomarker evaluation of sequential tyrosine kinase inhibitor and nivolumab monotherapies in renal cell carcinoma: the phase I TRIBE trial","title-short":"Immune biomarker evaluation of sequential tyrosine kinase inhibitor and nivolumab monotherapies in renal cell carcinoma","volume":"22","author":[{"family":"Shohdy","given":"K. S."},{"family":"Pillai","given":"M."},{"family":"Abbas","given":"K. S."},{"family":"Allison","given":"J."},{"family":"Waddell","given":"T."},{"family":"Darlington","given":"E."},{"family":"Mohammad","given":"S."},{"family":"Hood","given":"S."},{"family":"Atkinson","given":"S."},{"family":"Simpson","given":"K."},{"family":"Morgan","given":"D."},{"family":"Nathan","given":"P."},{"family":"Kilgour","given":"E."},{"family":"Dive","given":"C."},{"family":"Thistlethwaite","given":"F."}],"issued":{"date-parts":[["2024",6]]}}}],"schema":"https://github.com/citation-style-language/schema/raw/master/csl-citation.json"} </w:instrText>
      </w:r>
      <w:r w:rsidR="00D85F5A">
        <w:rPr>
          <w:rFonts w:ascii="Times New Roman" w:eastAsia="Times New Roman" w:hAnsi="Times New Roman" w:cs="Times New Roman"/>
          <w:color w:val="000000"/>
          <w:sz w:val="24"/>
          <w:szCs w:val="24"/>
        </w:rPr>
        <w:fldChar w:fldCharType="separate"/>
      </w:r>
      <w:r w:rsidR="00D85F5A" w:rsidRPr="00D85F5A">
        <w:rPr>
          <w:rFonts w:ascii="Times New Roman" w:hAnsi="Times New Roman" w:cs="Times New Roman"/>
          <w:sz w:val="24"/>
        </w:rPr>
        <w:t>(Shohdy et al., 2024)</w:t>
      </w:r>
      <w:r w:rsidR="00D85F5A">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In contrast, only 3.7% of individuals had gene fusions, and 8.7% had composite biomarkers. These results highlight how, particularly for uncommon malignancies, RNA-seq can greatly increase the number of actionable targets. According to the Canadian Personalized OncoGenomics Initiative, 25% of 570 patients with advanced or metastatic cancer who had RNA-seq and WGS were treated exclusively using RNA expression data</w:t>
      </w:r>
      <w:r w:rsidR="00A90086">
        <w:rPr>
          <w:rFonts w:ascii="Times New Roman" w:eastAsia="Times New Roman" w:hAnsi="Times New Roman" w:cs="Times New Roman"/>
          <w:color w:val="000000"/>
          <w:sz w:val="24"/>
          <w:szCs w:val="24"/>
        </w:rPr>
        <w:t xml:space="preserve"> </w:t>
      </w:r>
      <w:r w:rsidR="00A90086">
        <w:rPr>
          <w:rFonts w:ascii="Times New Roman" w:eastAsia="Times New Roman" w:hAnsi="Times New Roman" w:cs="Times New Roman"/>
          <w:color w:val="000000"/>
          <w:sz w:val="24"/>
          <w:szCs w:val="24"/>
        </w:rPr>
        <w:fldChar w:fldCharType="begin"/>
      </w:r>
      <w:r w:rsidR="00A90086">
        <w:rPr>
          <w:rFonts w:ascii="Times New Roman" w:eastAsia="Times New Roman" w:hAnsi="Times New Roman" w:cs="Times New Roman"/>
          <w:color w:val="000000"/>
          <w:sz w:val="24"/>
          <w:szCs w:val="24"/>
        </w:rPr>
        <w:instrText xml:space="preserve"> ADDIN ZOTERO_ITEM CSL_CITATION {"citationID":"qMNj55Z6","properties":{"formattedCitation":"(Tsang et al., 2021)","plainCitation":"(Tsang et al., 2021)","noteIndex":0},"citationItems":[{"id":257,"uris":["http://zotero.org/users/local/AJmTDxS7/items/665H3JT5"],"itemData":{"id":257,"type":"article-journal","abstract":"PURPOSE: Gene fusions are important oncogenic drivers and many are actionable. Whole-genome and transcriptome (WGS and RNA-seq, respectively) sequencing can discover novel clinically relevant fusions.\nEXPERIMENTAL DESIGN: Using WGS and RNA-seq, we reviewed the prevalence of fusions in a cohort of 570 patients with cancer, and compared prevalence to that predicted with commercially available panels. Fusions were annotated using a consensus variant calling pipeline (MAVIS) and required that a contig of the breakpoint could be constructed and supported from ≥2 structural variant detection approaches.\nRESULTS: In 570 patients with advanced cancer, MAVIS identified 81 recurrent fusions by WGS and 111 by RNA-seq, of which 18 fusions by WGS and 19 by RNA-seq were noted in at least 3 separate patients. The most common fusions were EML4-ALK in thoracic malignancies (9/69, 13%), and CMTM8-CMTM7 in colorectal cancer (4/73, 5.5%). Combined genomic and transcriptomic analysis identified novel fusion partners for clinically relevant genes, such as NTRK2 (novel partners: SHC3, DAPK1), and NTRK3 (novel partners: POLG, PIBF1).\nCONCLUSIONS: Utilizing WGS/RNA-seq facilitates identification of novel fusions in clinically relevant genes, and detected a greater proportion than commercially available panels are expected to find. A significant benefit of WGS and RNA-seq is the innate ability to retrospectively identify variants that becomes clinically relevant over time, without the need for additional testing, which is not possible with panel-based approaches.","container-title":"Clinical Cancer Research: An Official Journal of the American Association for Cancer Research","DOI":"10.1158/1078-0432.CCR-20-1900","ISSN":"1557-3265","issue":"2","journalAbbreviation":"Clin Cancer Res","language":"eng","note":"PMID: 33148671","page":"522-531","source":"PubMed","title":"Uncovering Clinically Relevant Gene Fusions with Integrated Genomic and Transcriptomic Profiling of Metastatic Cancers","volume":"27","author":[{"family":"Tsang","given":"Erica S."},{"family":"Grisdale","given":"Cameron J."},{"family":"Pleasance","given":"Erin"},{"family":"Topham","given":"James T."},{"family":"Mungall","given":"Karen"},{"family":"Reisle","given":"Caralyn"},{"family":"Choo","given":"Caleb"},{"family":"Carreira","given":"Marcus"},{"family":"Bowlby","given":"Reanne"},{"family":"Karasinska","given":"Joanna M."},{"family":"MacMillan","given":"Daniel"},{"family":"Williamson","given":"Laura M."},{"family":"Chuah","given":"Eric"},{"family":"Moore","given":"Richard A."},{"family":"Mungall","given":"Andrew J."},{"family":"Zhao","given":"Yongjun"},{"family":"Tessier-Cloutier","given":"Basile"},{"family":"Ng","given":"Tony"},{"family":"Sun","given":"Sophie"},{"family":"Lim","given":"Howard J."},{"family":"Schaeffer","given":"David F."},{"family":"Renouf","given":"Daniel J."},{"family":"Yip","given":"Stephen"},{"family":"Laskin","given":"Janessa"},{"family":"Marra","given":"Marco A."},{"family":"Jones","given":"Steven J. M."},{"family":"Loree","given":"Jonathan M."}],"issued":{"date-parts":[["2021",1,15]]}}}],"schema":"https://github.com/citation-style-language/schema/raw/master/csl-citation.json"} </w:instrText>
      </w:r>
      <w:r w:rsidR="00A90086">
        <w:rPr>
          <w:rFonts w:ascii="Times New Roman" w:eastAsia="Times New Roman" w:hAnsi="Times New Roman" w:cs="Times New Roman"/>
          <w:color w:val="000000"/>
          <w:sz w:val="24"/>
          <w:szCs w:val="24"/>
        </w:rPr>
        <w:fldChar w:fldCharType="separate"/>
      </w:r>
      <w:r w:rsidR="00A90086" w:rsidRPr="00A90086">
        <w:rPr>
          <w:rFonts w:ascii="Times New Roman" w:hAnsi="Times New Roman" w:cs="Times New Roman"/>
          <w:sz w:val="24"/>
        </w:rPr>
        <w:t>(Tsang et al., 2021)</w:t>
      </w:r>
      <w:r w:rsidR="00A90086">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It is anticipated that RNA-seq will become even more valuable as antibody-mediated immunotherapies evolve further, allowing for the identification of new tumor antigens and hastening the creation of next-generation therapeutics. WGS or WES provides important insights into tumor heterogeneity and the molecular basis of cancer growth and therapy resistance, in addition to its direct therapeutic uses</w:t>
      </w:r>
      <w:r w:rsidR="00A90086">
        <w:rPr>
          <w:rFonts w:ascii="Times New Roman" w:eastAsia="Times New Roman" w:hAnsi="Times New Roman" w:cs="Times New Roman"/>
          <w:color w:val="000000"/>
          <w:sz w:val="24"/>
          <w:szCs w:val="24"/>
        </w:rPr>
        <w:fldChar w:fldCharType="begin"/>
      </w:r>
      <w:r w:rsidR="00A90086">
        <w:rPr>
          <w:rFonts w:ascii="Times New Roman" w:eastAsia="Times New Roman" w:hAnsi="Times New Roman" w:cs="Times New Roman"/>
          <w:color w:val="000000"/>
          <w:sz w:val="24"/>
          <w:szCs w:val="24"/>
        </w:rPr>
        <w:instrText xml:space="preserve"> ADDIN ZOTERO_ITEM CSL_CITATION {"citationID":"30EYi2X5","properties":{"formattedCitation":"(Xie et al., 2023)","plainCitation":"(Xie et al., 2023)","noteIndex":0},"citationItems":[{"id":260,"uris":["http://zotero.org/users/local/AJmTDxS7/items/P7RUIMLB"],"itemData":{"id":260,"type":"article-journal","abstract":"Recent advances in neoantigen research have accelerated the development and regulatory approval of tumor immunotherapies, including cancer vaccines, adoptive cell therapy and antibody-based therapies, especially for solid tumors. Neoantigens are newly formed antigens generated by tumor cells as a result of various tumor-specific alterations, such as genomic mutation, dysregulated RNA splicing, disordered post-translational modification, and integrated viral open reading frames. Neoantigens are recognized as non-self and trigger an immune response that is not subject to central and peripheral tolerance. The quick identification and prediction of tumor-specific neoantigens have been made possible by the advanced development of next-generation sequencing and bioinformatic technologies. Compared to tumor-associated antigens, the highly immunogenic and tumor-specific neoantigens provide emerging targets for personalized cancer immunotherapies, and serve as prospective predictors for tumor survival prognosis and immune checkpoint blockade responses. The development of cancer therapies will be aided by understanding the mechanism underlying neoantigen-induced anti-tumor immune response and by streamlining the process of neoantigen-based immunotherapies. This review provides an overview on the identification and characterization of neoantigens and outlines the clinical applications of prospective immunotherapeutic strategies based on neoantigens. We also explore their current status, inherent challenges, and clinical translation potential.","container-title":"Signal Transduction and Targeted Therapy","DOI":"10.1038/s41392-022-01270-x","ISSN":"2059-3635","issue":"1","journalAbbreviation":"Sig Transduct Target Ther","language":"en","license":"2022 The Author(s)","note":"publisher: Nature Publishing Group","page":"9","source":"www.nature.com","title":"Neoantigens: promising targets for cancer therapy","title-short":"Neoantigens","volume":"8","author":[{"family":"Xie","given":"Na"},{"family":"Shen","given":"Guobo"},{"family":"Gao","given":"Wei"},{"family":"Huang","given":"Zhao"},{"family":"Huang","given":"Canhua"},{"family":"Fu","given":"Li"}],"issued":{"date-parts":[["2023",1,6]]}}}],"schema":"https://github.com/citation-style-language/schema/raw/master/csl-citation.json"} </w:instrText>
      </w:r>
      <w:r w:rsidR="00A90086">
        <w:rPr>
          <w:rFonts w:ascii="Times New Roman" w:eastAsia="Times New Roman" w:hAnsi="Times New Roman" w:cs="Times New Roman"/>
          <w:color w:val="000000"/>
          <w:sz w:val="24"/>
          <w:szCs w:val="24"/>
        </w:rPr>
        <w:fldChar w:fldCharType="separate"/>
      </w:r>
      <w:r w:rsidR="00A90086" w:rsidRPr="00A90086">
        <w:rPr>
          <w:rFonts w:ascii="Times New Roman" w:hAnsi="Times New Roman" w:cs="Times New Roman"/>
          <w:sz w:val="24"/>
        </w:rPr>
        <w:t>(Xie et al., 2023)</w:t>
      </w:r>
      <w:r w:rsidR="00A90086">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xml:space="preserve">. Different genetic characteristics were found at every stage of the disease in </w:t>
      </w:r>
      <w:r w:rsidR="002105CE" w:rsidRPr="00B86A0A">
        <w:rPr>
          <w:rFonts w:ascii="Times New Roman" w:eastAsia="Times New Roman" w:hAnsi="Times New Roman" w:cs="Times New Roman"/>
          <w:color w:val="000000"/>
          <w:sz w:val="24"/>
          <w:szCs w:val="24"/>
        </w:rPr>
        <w:t>comprehensive research</w:t>
      </w:r>
      <w:r w:rsidRPr="00B86A0A">
        <w:rPr>
          <w:rFonts w:ascii="Times New Roman" w:eastAsia="Times New Roman" w:hAnsi="Times New Roman" w:cs="Times New Roman"/>
          <w:color w:val="000000"/>
          <w:sz w:val="24"/>
          <w:szCs w:val="24"/>
        </w:rPr>
        <w:t xml:space="preserve"> that included 7108 genomes from primary, treatment-naive tumors and late-stage, treated tumors. In particular, metastatic tumors showed increased SVs, decreased intratumor heterogeneity, and increased genomic instability</w:t>
      </w:r>
      <w:r w:rsidR="002105CE" w:rsidRPr="00B86A0A">
        <w:rPr>
          <w:rFonts w:ascii="Times New Roman" w:eastAsia="Times New Roman" w:hAnsi="Times New Roman" w:cs="Times New Roman"/>
          <w:color w:val="000000"/>
          <w:sz w:val="24"/>
          <w:szCs w:val="24"/>
        </w:rPr>
        <w:t xml:space="preserve"> </w:t>
      </w:r>
      <w:r w:rsidRPr="00B86A0A">
        <w:rPr>
          <w:rFonts w:ascii="Times New Roman" w:eastAsia="Times New Roman" w:hAnsi="Times New Roman" w:cs="Times New Roman"/>
          <w:color w:val="000000"/>
          <w:sz w:val="24"/>
          <w:szCs w:val="24"/>
        </w:rPr>
        <w:t>differences seen in over half of the 23 cancer types analyzed. Increased ploidy and TP53 mutations, two indicators of genomic instability, were linked to this increase in SVs</w:t>
      </w:r>
      <w:r w:rsidR="00A90086">
        <w:rPr>
          <w:rFonts w:ascii="Times New Roman" w:eastAsia="Times New Roman" w:hAnsi="Times New Roman" w:cs="Times New Roman"/>
          <w:color w:val="000000"/>
          <w:sz w:val="24"/>
          <w:szCs w:val="24"/>
        </w:rPr>
        <w:t xml:space="preserve"> </w:t>
      </w:r>
      <w:r w:rsidR="00A90086">
        <w:rPr>
          <w:rFonts w:ascii="Times New Roman" w:eastAsia="Times New Roman" w:hAnsi="Times New Roman" w:cs="Times New Roman"/>
          <w:color w:val="000000"/>
          <w:sz w:val="24"/>
          <w:szCs w:val="24"/>
        </w:rPr>
        <w:fldChar w:fldCharType="begin"/>
      </w:r>
      <w:r w:rsidR="00A90086">
        <w:rPr>
          <w:rFonts w:ascii="Times New Roman" w:eastAsia="Times New Roman" w:hAnsi="Times New Roman" w:cs="Times New Roman"/>
          <w:color w:val="000000"/>
          <w:sz w:val="24"/>
          <w:szCs w:val="24"/>
        </w:rPr>
        <w:instrText xml:space="preserve"> ADDIN ZOTERO_ITEM CSL_CITATION {"citationID":"cuDPx7Kd","properties":{"formattedCitation":"(Zhong et al., 2023)","plainCitation":"(Zhong et al., 2023)","noteIndex":0},"citationItems":[{"id":263,"uris":["http://zotero.org/users/local/AJmTDxS7/items/5PR8HN4N"],"itemData":{"id":263,"type":"article-journal","container-title":"Signal Transduction and Targeted Therapy","DOI":"10.1038/s41392-023-01596-0","ISSN":"2095-9907","journalAbbreviation":"Signal Transduct Target Ther","note":"PMID: 37770470\nPMCID: PMC10539520","page":"363","source":"PubMed Central","title":"Genetic differences between primary and metastatic cancer: a pan-cancer whole-genome comparison study","title-short":"Genetic differences between primary and metastatic cancer","volume":"8","author":[{"family":"Zhong","given":"Lei"},{"family":"Zhao","given":"Zhipeng"},{"family":"Zhang","given":"Xiaonan"}],"issued":{"date-parts":[["2023",9,29]]}}}],"schema":"https://github.com/citation-style-language/schema/raw/master/csl-citation.json"} </w:instrText>
      </w:r>
      <w:r w:rsidR="00A90086">
        <w:rPr>
          <w:rFonts w:ascii="Times New Roman" w:eastAsia="Times New Roman" w:hAnsi="Times New Roman" w:cs="Times New Roman"/>
          <w:color w:val="000000"/>
          <w:sz w:val="24"/>
          <w:szCs w:val="24"/>
        </w:rPr>
        <w:fldChar w:fldCharType="separate"/>
      </w:r>
      <w:r w:rsidR="00A90086" w:rsidRPr="00A90086">
        <w:rPr>
          <w:rFonts w:ascii="Times New Roman" w:hAnsi="Times New Roman" w:cs="Times New Roman"/>
          <w:sz w:val="24"/>
        </w:rPr>
        <w:t>(Zhong et al., 2023)</w:t>
      </w:r>
      <w:r w:rsidR="00A90086">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xml:space="preserve">. It's interesting to note that there were only minor changes in the overall driver landscape between primary and metastatic illness. Nonetheless, at the metastatic stage, some cancer types displayed enrichment of resistance-related driver genes (e.g., ESR1 mutations in HR-positive breast </w:t>
      </w:r>
      <w:r w:rsidRPr="00B86A0A">
        <w:rPr>
          <w:rFonts w:ascii="Times New Roman" w:eastAsia="Times New Roman" w:hAnsi="Times New Roman" w:cs="Times New Roman"/>
          <w:color w:val="000000"/>
          <w:sz w:val="24"/>
          <w:szCs w:val="24"/>
        </w:rPr>
        <w:lastRenderedPageBreak/>
        <w:t>cancer or androgen receptor</w:t>
      </w:r>
      <w:r w:rsidR="002105CE" w:rsidRPr="00B86A0A">
        <w:rPr>
          <w:rFonts w:ascii="Times New Roman" w:eastAsia="Times New Roman" w:hAnsi="Times New Roman" w:cs="Times New Roman"/>
          <w:color w:val="000000"/>
          <w:sz w:val="24"/>
          <w:szCs w:val="24"/>
        </w:rPr>
        <w:t xml:space="preserve"> </w:t>
      </w:r>
      <w:r w:rsidRPr="00B86A0A">
        <w:rPr>
          <w:rFonts w:ascii="Times New Roman" w:eastAsia="Times New Roman" w:hAnsi="Times New Roman" w:cs="Times New Roman"/>
          <w:color w:val="000000"/>
          <w:sz w:val="24"/>
          <w:szCs w:val="24"/>
        </w:rPr>
        <w:t>amplification in prostate cancer). Three genes</w:t>
      </w:r>
      <w:r w:rsidR="002105CE" w:rsidRPr="00B86A0A">
        <w:rPr>
          <w:rFonts w:ascii="Times New Roman" w:eastAsia="Times New Roman" w:hAnsi="Times New Roman" w:cs="Times New Roman"/>
          <w:color w:val="000000"/>
          <w:sz w:val="24"/>
          <w:szCs w:val="24"/>
        </w:rPr>
        <w:t xml:space="preserve"> </w:t>
      </w:r>
      <w:r w:rsidRPr="00B86A0A">
        <w:rPr>
          <w:rFonts w:ascii="Times New Roman" w:eastAsia="Times New Roman" w:hAnsi="Times New Roman" w:cs="Times New Roman"/>
          <w:color w:val="000000"/>
          <w:sz w:val="24"/>
          <w:szCs w:val="24"/>
        </w:rPr>
        <w:t>TP53, CDKN2A, and TERT</w:t>
      </w:r>
      <w:r w:rsidR="002105CE" w:rsidRPr="00B86A0A">
        <w:rPr>
          <w:rFonts w:ascii="Times New Roman" w:eastAsia="Times New Roman" w:hAnsi="Times New Roman" w:cs="Times New Roman"/>
          <w:color w:val="000000"/>
          <w:sz w:val="24"/>
          <w:szCs w:val="24"/>
        </w:rPr>
        <w:t xml:space="preserve"> </w:t>
      </w:r>
      <w:r w:rsidRPr="00B86A0A">
        <w:rPr>
          <w:rFonts w:ascii="Times New Roman" w:eastAsia="Times New Roman" w:hAnsi="Times New Roman" w:cs="Times New Roman"/>
          <w:color w:val="000000"/>
          <w:sz w:val="24"/>
          <w:szCs w:val="24"/>
        </w:rPr>
        <w:t>were consistently enriched across a variety of cancer types, highlighting their wide-ranging involvement in carcinogenesis</w:t>
      </w:r>
      <w:r w:rsidR="00A90086">
        <w:rPr>
          <w:rFonts w:ascii="Times New Roman" w:eastAsia="Times New Roman" w:hAnsi="Times New Roman" w:cs="Times New Roman"/>
          <w:color w:val="000000"/>
          <w:sz w:val="24"/>
          <w:szCs w:val="24"/>
        </w:rPr>
        <w:t xml:space="preserve"> </w:t>
      </w:r>
      <w:r w:rsidR="00A90086">
        <w:rPr>
          <w:rFonts w:ascii="Times New Roman" w:eastAsia="Times New Roman" w:hAnsi="Times New Roman" w:cs="Times New Roman"/>
          <w:color w:val="000000"/>
          <w:sz w:val="24"/>
          <w:szCs w:val="24"/>
        </w:rPr>
        <w:fldChar w:fldCharType="begin"/>
      </w:r>
      <w:r w:rsidR="00A90086">
        <w:rPr>
          <w:rFonts w:ascii="Times New Roman" w:eastAsia="Times New Roman" w:hAnsi="Times New Roman" w:cs="Times New Roman"/>
          <w:color w:val="000000"/>
          <w:sz w:val="24"/>
          <w:szCs w:val="24"/>
        </w:rPr>
        <w:instrText xml:space="preserve"> ADDIN ZOTERO_ITEM CSL_CITATION {"citationID":"WgezPQlK","properties":{"formattedCitation":"(Razavi et al., 2018)","plainCitation":"(Razavi et al., 2018)","noteIndex":0},"citationItems":[{"id":266,"uris":["http://zotero.org/users/local/AJmTDxS7/items/BV5DNZJC"],"itemData":{"id":266,"type":"article-journal","abstract":"We integrated the genomic sequencing of 1,918 breast cancers, including\n1,501 hormone receptor-positive tumors, with detailed clinical information and\ntreatment outcomes. In 692 tumors previously exposed to hormonal therapy, we\nidentified an increased number of alterations in genes involved in the\nmitogen-activated protein kinase (MAPK) pathway and in the estrogen receptor\ntranscriptional machinery. Activating ERBB2 mutations and\nNF1 loss-of-function mutations were more than twice as\ncommon in endocrine resistant tumors. Alterations in other MAPK pathway genes\n(EGFR, KRAS, among others) and estrogen\nreceptor transcriptional regulators (MYC,\nCTCF, FOXA1, and TBX3) were\nalso enriched. Altogether, these alterations were present in 22% of tumors,\nmutually exclusive with ESR1 mutations, and associated with a\nshorter duration of response to subsequent hormonal therapies","container-title":"Cancer cell","DOI":"10.1016/j.ccell.2018.08.008","ISSN":"1535-6108","issue":"3","journalAbbreviation":"Cancer Cell","note":"PMID: 30205045\nPMCID: PMC6327853","page":"427-438.e6","source":"PubMed Central","title":"The Genomic Landscape of Endocrine-Resistant Advanced Breast Cancers","volume":"34","author":[{"family":"Razavi","given":"Pedram"},{"family":"Chang","given":"Matthew T."},{"family":"Xu","given":"Guotai"},{"family":"Bandlamudi","given":"Chaitanya"},{"family":"Ross","given":"Dara S."},{"family":"Vasan","given":"Neil"},{"family":"Cai","given":"Yanyan"},{"family":"Bielski","given":"Craig M."},{"family":"Donoghue","given":"Mark T.A."},{"family":"Jonsson","given":"Philip"},{"family":"Penson","given":"Alexander"},{"family":"Shen","given":"Ronglai"},{"family":"Pareja","given":"Fresia"},{"family":"Kundra","given":"Ritika"},{"family":"Middha","given":"Sumit"},{"family":"Cheng","given":"Michael L."},{"family":"Zehir","given":"Ahmet"},{"family":"Kandoth","given":"Cyriac"},{"family":"Patel","given":"Ruchi"},{"family":"Huberman","given":"Kety"},{"family":"Smyth","given":"Lillian M."},{"family":"Jhaveri","given":"Komal"},{"family":"Modi","given":"Shanu"},{"family":"Traina","given":"Tiffany A."},{"family":"Dang","given":"Chau"},{"family":"Zhang","given":"Wen"},{"family":"Weigelt","given":"Britta"},{"family":"Li","given":"Bob T."},{"family":"Ladanyi","given":"Marc"},{"family":"Hyman","given":"David M."},{"family":"Schultz","given":"Nikolaus"},{"family":"Robson","given":"Mark E."},{"family":"Hudis","given":"Clifford"},{"family":"Brogi","given":"Edi"},{"family":"Viale","given":"Agnes"},{"family":"Norton","given":"Larry"},{"family":"Dickler","given":"Maura N."},{"family":"Berger","given":"Michael F."},{"family":"Iacobuzio-Donahue","given":"Christine A."},{"family":"Chandarlapaty","given":"Sarat"},{"family":"Scaltriti","given":"Maurizio"},{"family":"Reis-Filho","given":"Jorge S."},{"family":"Solit","given":"David B."},{"family":"Taylor","given":"Barry S."},{"family":"Baselga","given":"José"}],"issued":{"date-parts":[["2018",9,10]]}}}],"schema":"https://github.com/citation-style-language/schema/raw/master/csl-citation.json"} </w:instrText>
      </w:r>
      <w:r w:rsidR="00A90086">
        <w:rPr>
          <w:rFonts w:ascii="Times New Roman" w:eastAsia="Times New Roman" w:hAnsi="Times New Roman" w:cs="Times New Roman"/>
          <w:color w:val="000000"/>
          <w:sz w:val="24"/>
          <w:szCs w:val="24"/>
        </w:rPr>
        <w:fldChar w:fldCharType="separate"/>
      </w:r>
      <w:r w:rsidR="00A90086" w:rsidRPr="00A90086">
        <w:rPr>
          <w:rFonts w:ascii="Times New Roman" w:hAnsi="Times New Roman" w:cs="Times New Roman"/>
          <w:sz w:val="24"/>
        </w:rPr>
        <w:t>(Razavi et al., 2018)</w:t>
      </w:r>
      <w:r w:rsidR="00A90086">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w:t>
      </w:r>
    </w:p>
    <w:p w14:paraId="38642C2D" w14:textId="77777777" w:rsidR="00B86A0A" w:rsidRPr="00B86A0A" w:rsidRDefault="00B86A0A" w:rsidP="00B86A0A">
      <w:pPr>
        <w:pStyle w:val="ListParagraph"/>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4106157D" w14:textId="0001ADFE" w:rsidR="00E50C6A" w:rsidRPr="00B86A0A" w:rsidRDefault="00E50C6A" w:rsidP="00B86A0A">
      <w:pPr>
        <w:pStyle w:val="ListParagraph"/>
        <w:numPr>
          <w:ilvl w:val="0"/>
          <w:numId w:val="3"/>
        </w:num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rPr>
      </w:pPr>
      <w:r w:rsidRPr="00B86A0A">
        <w:rPr>
          <w:rFonts w:ascii="Times New Roman" w:eastAsia="Times New Roman" w:hAnsi="Times New Roman" w:cs="Times New Roman"/>
          <w:b/>
          <w:bCs/>
          <w:color w:val="000000"/>
          <w:sz w:val="24"/>
          <w:szCs w:val="24"/>
        </w:rPr>
        <w:t>DNA Methylation Profiling</w:t>
      </w:r>
    </w:p>
    <w:p w14:paraId="5EF99B09" w14:textId="77777777" w:rsidR="004B5617" w:rsidRDefault="00E50C6A" w:rsidP="004B5617">
      <w:pPr>
        <w:pStyle w:val="ListParagraph"/>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B86A0A">
        <w:rPr>
          <w:rFonts w:ascii="Times New Roman" w:eastAsia="Times New Roman" w:hAnsi="Times New Roman" w:cs="Times New Roman"/>
          <w:color w:val="000000"/>
          <w:sz w:val="24"/>
          <w:szCs w:val="24"/>
        </w:rPr>
        <w:t>The diagnostic value of DNA methylome analysis is another significant advantage of broad molecular profiling in clinical practice, particularly for uncommon tumors such as sarcomas and cancers of the central nervous system, where genome-wide methylation patterns aid in the classification of tumor subtypes</w:t>
      </w:r>
      <w:r w:rsidR="00A90086">
        <w:rPr>
          <w:rFonts w:ascii="Times New Roman" w:eastAsia="Times New Roman" w:hAnsi="Times New Roman" w:cs="Times New Roman"/>
          <w:color w:val="000000"/>
          <w:sz w:val="24"/>
          <w:szCs w:val="24"/>
        </w:rPr>
        <w:t xml:space="preserve"> </w:t>
      </w:r>
      <w:r w:rsidR="00A90086">
        <w:rPr>
          <w:rFonts w:ascii="Times New Roman" w:eastAsia="Times New Roman" w:hAnsi="Times New Roman" w:cs="Times New Roman"/>
          <w:color w:val="000000"/>
          <w:sz w:val="24"/>
          <w:szCs w:val="24"/>
        </w:rPr>
        <w:fldChar w:fldCharType="begin"/>
      </w:r>
      <w:r w:rsidR="00A90086">
        <w:rPr>
          <w:rFonts w:ascii="Times New Roman" w:eastAsia="Times New Roman" w:hAnsi="Times New Roman" w:cs="Times New Roman"/>
          <w:color w:val="000000"/>
          <w:sz w:val="24"/>
          <w:szCs w:val="24"/>
        </w:rPr>
        <w:instrText xml:space="preserve"> ADDIN ZOTERO_ITEM CSL_CITATION {"citationID":"iLWDmyVf","properties":{"formattedCitation":"(Park et al., 2023)","plainCitation":"(Park et al., 2023)","noteIndex":0},"citationItems":[{"id":269,"uris":["http://zotero.org/users/local/AJmTDxS7/items/FP2WN6D6"],"itemData":{"id":269,"type":"article-journal","abstract":"The goal of the methylation classifier in brain tumor classification is to accurately classify tumors based on their methylation profiles. Accurate brain tumor diagnosis is the first step for healthcare professionals to predict tumor prognosis and establish personalized treatment plans for patients. The methylation classifier can be used to perform classification on tumor samples with diagnostic difficulties due to ambiguous histology or mismatch between histopathology and molecular signatures, i.e., not otherwise specified (NOS) cases or not elsewhere classified (NEC) cases, aiding in pathological decision-making. Here, the authors elucidate upon the application of a methylation classifier as a tool to mitigate the inherent complexities associated with the pathological evaluation of brain tumors, even when pathologists are experts in histopathological diagnosis and have access to enough molecular genetic information. Also, it should be emphasized that methylome cannot classify all types of brain tumors, and it often produces erroneous matches even with high matching scores, so, excessive trust is prohibited. The primary issue is the considerable difficulty in obtaining reference data regarding the methylation profile of each type of brain tumor. This challenge is further amplified when dealing with recently identified novel types or subtypes of brain tumors, as such data are not readily accessible through open databases or authors of publications. An additional obstacle arises from the fact that methylation classifiers are primarily research-based, leading to the unavailability of charging patients. It is important to note that the application of methylation classifiers may require specialized laboratory techniques and expertise in DNA methylation analysis.,","container-title":"Journal of Korean Medical Science","DOI":"10.3346/jkms.2023.38.e356","ISSN":"1011-8934","issue":"43","journalAbbreviation":"J Korean Med Sci","note":"PMID: 37935168\nPMCID: PMC10627723","page":"e356","source":"PubMed Central","title":"Brain Tumor Classification by Methylation Profile","volume":"38","author":[{"family":"Park","given":"Jin Woo"},{"family":"Lee","given":"Kwanghoon"},{"family":"Kim","given":"Eric Eunshik"},{"family":"Kim","given":"Seong-Ik"},{"family":"Park","given":"Sung-Hye"}],"issued":{"date-parts":[["2023",10,23]]}}}],"schema":"https://github.com/citation-style-language/schema/raw/master/csl-citation.json"} </w:instrText>
      </w:r>
      <w:r w:rsidR="00A90086">
        <w:rPr>
          <w:rFonts w:ascii="Times New Roman" w:eastAsia="Times New Roman" w:hAnsi="Times New Roman" w:cs="Times New Roman"/>
          <w:color w:val="000000"/>
          <w:sz w:val="24"/>
          <w:szCs w:val="24"/>
        </w:rPr>
        <w:fldChar w:fldCharType="separate"/>
      </w:r>
      <w:r w:rsidR="00A90086" w:rsidRPr="00A90086">
        <w:rPr>
          <w:rFonts w:ascii="Times New Roman" w:hAnsi="Times New Roman" w:cs="Times New Roman"/>
          <w:sz w:val="24"/>
        </w:rPr>
        <w:t>(Park et al., 2023)</w:t>
      </w:r>
      <w:r w:rsidR="00A90086">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Molecular data led to pathologic re-evaluation for about 3% of patients in a recent retrospective examination of over 3000 cases from the MASTER cohort; expert pathology review verified up to 90% of these findings</w:t>
      </w:r>
      <w:r w:rsidR="00A90086">
        <w:rPr>
          <w:rFonts w:ascii="Times New Roman" w:eastAsia="Times New Roman" w:hAnsi="Times New Roman" w:cs="Times New Roman"/>
          <w:color w:val="000000"/>
          <w:sz w:val="24"/>
          <w:szCs w:val="24"/>
        </w:rPr>
        <w:t xml:space="preserve"> </w:t>
      </w:r>
      <w:r w:rsidR="00A90086">
        <w:rPr>
          <w:rFonts w:ascii="Times New Roman" w:eastAsia="Times New Roman" w:hAnsi="Times New Roman" w:cs="Times New Roman"/>
          <w:color w:val="000000"/>
          <w:sz w:val="24"/>
          <w:szCs w:val="24"/>
        </w:rPr>
        <w:fldChar w:fldCharType="begin"/>
      </w:r>
      <w:r w:rsidR="00A90086">
        <w:rPr>
          <w:rFonts w:ascii="Times New Roman" w:eastAsia="Times New Roman" w:hAnsi="Times New Roman" w:cs="Times New Roman"/>
          <w:color w:val="000000"/>
          <w:sz w:val="24"/>
          <w:szCs w:val="24"/>
        </w:rPr>
        <w:instrText xml:space="preserve"> ADDIN ZOTERO_ITEM CSL_CITATION {"citationID":"IbRT05Ln","properties":{"formattedCitation":"(Teleanu et al., 2025b)","plainCitation":"(Teleanu et al., 2025b)","noteIndex":0},"citationItems":[{"id":272,"uris":["http://zotero.org/users/local/AJmTDxS7/items/YK67RUB9"],"itemData":{"id":272,"type":"article-journal","abstract":"Precision oncology is becoming a mainstay in the standard of care for cancer patients. Recent technological advancements have significantly lowered the cost of various tumor profiling approaches, broadening the reach of molecular diagnostics and improving patient access to precision oncology. In parallel, drug development and discovery pipelines continue to evolve, driving targeted therapeutic options forward. Yet, not all patients harboring actionable molecular alterations respond to these interventions, and existing therapies do not cover the entire spectrum of potential molecular targets. In this review, we examine the current suite of omics technologies employed in clinical settings and underscore their roles in deepening our understanding of tumor biology and optimizing patient stratification for targeted treatments. We also highlight relevant precision oncology trials and share our own experiences using multi-omics data within a molecular tumor board framework. Finally, we discuss areas for future exploration aimed at propelling precision oncology to new heights.","container-title":"Biomolecules","DOI":"10.3390/biom15050693","ISSN":"2218-273X","issue":"5","journalAbbreviation":"Biomolecules","note":"PMID: 40427586\nPMCID: PMC12108785","page":"693","source":"PubMed Central","title":"Celebrating Ulrik Ringborg: Multi-Omics-Based Patient Stratification for Precision Cancer Treatment","title-short":"Celebrating Ulrik Ringborg","volume":"15","author":[{"family":"Teleanu","given":"Maria-Veronica"},{"family":"Schneider","given":"Annika"},{"family":"Ball","given":"Claudia R."},{"family":"Leber","given":"Mathias Felix"},{"family":"Stange","given":"Christoph"},{"family":"Krieghoff-Henning","given":"Eva"},{"family":"Beck","given":"Katja"},{"family":"Heilig","given":"Christoph E."},{"family":"Kreutzfeldt","given":"Simon"},{"family":"Kuster","given":"Bernhard"},{"family":"Lipka","given":"Daniel B."},{"family":"Fröhling","given":"Stefan"}],"issued":{"date-parts":[["2025",5,10]]}}}],"schema":"https://github.com/citation-style-language/schema/raw/master/csl-citation.json"} </w:instrText>
      </w:r>
      <w:r w:rsidR="00A90086">
        <w:rPr>
          <w:rFonts w:ascii="Times New Roman" w:eastAsia="Times New Roman" w:hAnsi="Times New Roman" w:cs="Times New Roman"/>
          <w:color w:val="000000"/>
          <w:sz w:val="24"/>
          <w:szCs w:val="24"/>
        </w:rPr>
        <w:fldChar w:fldCharType="separate"/>
      </w:r>
      <w:r w:rsidR="00A90086" w:rsidRPr="00A90086">
        <w:rPr>
          <w:rFonts w:ascii="Times New Roman" w:hAnsi="Times New Roman" w:cs="Times New Roman"/>
          <w:sz w:val="24"/>
        </w:rPr>
        <w:t>(Teleanu et al., 2025b)</w:t>
      </w:r>
      <w:r w:rsidR="00A90086">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Cancer of unknown origin (20%) and different sarcomas (50%) were the most common presenting diagnoses. In 62% of the cases, gene fusions led to a diagnosis; in nine of these cases, a desmoplastic small cell round tumor was found, with EWSR1::WT1 being the most significant</w:t>
      </w:r>
      <w:r w:rsidR="00A90086">
        <w:rPr>
          <w:rFonts w:ascii="Times New Roman" w:eastAsia="Times New Roman" w:hAnsi="Times New Roman" w:cs="Times New Roman"/>
          <w:color w:val="000000"/>
          <w:sz w:val="24"/>
          <w:szCs w:val="24"/>
        </w:rPr>
        <w:t xml:space="preserve"> </w:t>
      </w:r>
      <w:r w:rsidR="00A90086">
        <w:rPr>
          <w:rFonts w:ascii="Times New Roman" w:eastAsia="Times New Roman" w:hAnsi="Times New Roman" w:cs="Times New Roman"/>
          <w:color w:val="000000"/>
          <w:sz w:val="24"/>
          <w:szCs w:val="24"/>
        </w:rPr>
        <w:fldChar w:fldCharType="begin"/>
      </w:r>
      <w:r w:rsidR="004B5617">
        <w:rPr>
          <w:rFonts w:ascii="Times New Roman" w:eastAsia="Times New Roman" w:hAnsi="Times New Roman" w:cs="Times New Roman"/>
          <w:color w:val="000000"/>
          <w:sz w:val="24"/>
          <w:szCs w:val="24"/>
        </w:rPr>
        <w:instrText xml:space="preserve"> ADDIN ZOTERO_ITEM CSL_CITATION {"citationID":"lnAve8Fg","properties":{"formattedCitation":"(Gonzalez et al., 2024)","plainCitation":"(Gonzalez et al., 2024)","noteIndex":0},"citationItems":[{"id":274,"uris":["http://zotero.org/users/local/AJmTDxS7/items/6AI6Z6CA"],"itemData":{"id":274,"type":"article-journal","abstract":"Desmoplastic small round cell tumors (DSRCTs) are rare, aggressive malignant neoplasms that typically affect the abdominal region. The challenge in diagnosing those tumors is rendered to their histopathologic resemblance to other small round cell tumors, such as Ewing sarcoma and rhabdomyosarcoma. Our review aims to provide a better understanding of the key histomorphologic and genetic features that make DSRCTs unique, including specific gene fusions. We highlight the importance of ancillary tests, including immunohistochemical staining and molecular profiling, in making an accurate diagnosis. By improving the way these tumors are identified and treated, we hope this review will help guide both pathologists and clinicians and improve outcomes for patients with DSRCTs., Desmoplastic small round cell tumors (DSRCTs) of the gastrointestinal (GI) tract are a rare and highly aggressive variant of soft tissue sarcomas, predominantly affecting the abdominal region. These tumors are believed to originate from multipotent mesenchymal stem cells or primitive progenitor cells. They are composed of small round tumor cells associated with prominent stromal desmoplasia, polyphenotypic differentiation, and EWSR1::WT1 gene fusion. Diagnostically, DSRCTs present a significant challenge due to their histological resemblance to other small round cell tumors, such as Ewing sarcoma and rhabdomyosarcoma, necessitating the use of ancillary tests, including immunopanels and molecular analysis, to reach a definitive diagnosis. Immunohistochemical staining, including markers like cytokeratin, vimentin, desmin, and WT1, has proven valuable in differentiating DSRCTs from their mimickers. The prognosis of these tumors is highly dependent on factors such as tumor location and stage at diagnosis, and given their aggressive nature, a multidisciplinary approach may be required that combines surgical resection, chemotherapy, and radiation therapy, among other options. In this review, we provide a synopsis of the pathophysiology of DSRCTs and the latest diagnostic advancements, including the utility of molecular profiling and novel biomarkers.","container-title":"Cancers","DOI":"10.3390/cancers16234101","ISSN":"2072-6694","issue":"23","journalAbbreviation":"Cancers (Basel)","note":"PMID: 39682287\nPMCID: PMC11639822","page":"4101","source":"PubMed Central","title":"Desmoplastic Small Round Cell Tumors of the Gastrointestinal Tract","volume":"16","author":[{"family":"Gonzalez","given":"Jeffrey"},{"family":"Ocejo","given":"Stephanie"},{"family":"Iribarren","given":"Mercy"},{"family":"Abreu","given":"Alvaro"},{"family":"Bahmad","given":"Hisham F."},{"family":"Poppiti","given":"Robert"}],"issued":{"date-parts":[["2024",12,7]]}}}],"schema":"https://github.com/citation-style-language/schema/raw/master/csl-citation.json"} </w:instrText>
      </w:r>
      <w:r w:rsidR="00A90086">
        <w:rPr>
          <w:rFonts w:ascii="Times New Roman" w:eastAsia="Times New Roman" w:hAnsi="Times New Roman" w:cs="Times New Roman"/>
          <w:color w:val="000000"/>
          <w:sz w:val="24"/>
          <w:szCs w:val="24"/>
        </w:rPr>
        <w:fldChar w:fldCharType="separate"/>
      </w:r>
      <w:r w:rsidR="004B5617" w:rsidRPr="004B5617">
        <w:rPr>
          <w:rFonts w:ascii="Times New Roman" w:hAnsi="Times New Roman" w:cs="Times New Roman"/>
          <w:sz w:val="24"/>
        </w:rPr>
        <w:t>(Gonzalez et al., 2024)</w:t>
      </w:r>
      <w:r w:rsidR="00A90086">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Just expression or methylation patterns prompted diagnostic re-evaluation in almost 10% of the instances. These discoveries draw attention to the intricacy of some entities' diagnosis and emphasize how crucial it is to use all available data layers to improve diagnoses and direct treatment</w:t>
      </w:r>
      <w:r w:rsidR="004B5617">
        <w:rPr>
          <w:rFonts w:ascii="Times New Roman" w:eastAsia="Times New Roman" w:hAnsi="Times New Roman" w:cs="Times New Roman"/>
          <w:color w:val="000000"/>
          <w:sz w:val="24"/>
          <w:szCs w:val="24"/>
        </w:rPr>
        <w:t xml:space="preserve"> </w:t>
      </w:r>
      <w:r w:rsidR="004B5617">
        <w:rPr>
          <w:rFonts w:ascii="Times New Roman" w:eastAsia="Times New Roman" w:hAnsi="Times New Roman" w:cs="Times New Roman"/>
          <w:color w:val="000000"/>
          <w:sz w:val="24"/>
          <w:szCs w:val="24"/>
        </w:rPr>
        <w:fldChar w:fldCharType="begin"/>
      </w:r>
      <w:r w:rsidR="004B5617">
        <w:rPr>
          <w:rFonts w:ascii="Times New Roman" w:eastAsia="Times New Roman" w:hAnsi="Times New Roman" w:cs="Times New Roman"/>
          <w:color w:val="000000"/>
          <w:sz w:val="24"/>
          <w:szCs w:val="24"/>
        </w:rPr>
        <w:instrText xml:space="preserve"> ADDIN ZOTERO_ITEM CSL_CITATION {"citationID":"iLXZPgwy","properties":{"formattedCitation":"(Mio &amp; Damante, 2022)","plainCitation":"(Mio &amp; Damante, 2022)","noteIndex":0},"citationItems":[{"id":277,"uris":["http://zotero.org/users/local/AJmTDxS7/items/9KWV7U4W"],"itemData":{"id":277,"type":"article-journal","abstract":"Toward the discovery of novel reliable biomarkers, epigenetic alterations have been repeatedly proposed for the diagnosis and the development of therapeutic strategies against cancer. Indeed, for promoter methylation to actively become a tumor marker for clinical use, it must be combined with a highly informative technology evaluated in an appropriate biospecimen. Methodological standardization related to epigenetic research is, in fact, one of the most challenging tasks. Moreover, tissue-based biopsy is being complemented and, in some cases, replaced by liquid biopsy. This review will highlight the advancements made for both pre-analytical and analytical implementation for the prospective use of methylation biomarkers in clinical settings, with particular emphasis on liquid biopsy.","container-title":"Biochimica et Biophysica Acta (BBA) - Molecular Basis of Disease","DOI":"10.1016/j.bbadis.2022.166390","ISSN":"0925-4439","issue":"6","journalAbbreviation":"Biochimica et Biophysica Acta (BBA) - Molecular Basis of Disease","page":"166390","source":"ScienceDirect","title":"Challenges in promoter methylation analysis in the new era of translational oncology: a focus on liquid biopsy","title-short":"Challenges in promoter methylation analysis in the new era of translational oncology","volume":"1868","author":[{"family":"Mio","given":"Catia"},{"family":"Damante","given":"Giuseppe"}],"issued":{"date-parts":[["2022",6,1]]}}}],"schema":"https://github.com/citation-style-language/schema/raw/master/csl-citation.json"} </w:instrText>
      </w:r>
      <w:r w:rsidR="004B5617">
        <w:rPr>
          <w:rFonts w:ascii="Times New Roman" w:eastAsia="Times New Roman" w:hAnsi="Times New Roman" w:cs="Times New Roman"/>
          <w:color w:val="000000"/>
          <w:sz w:val="24"/>
          <w:szCs w:val="24"/>
        </w:rPr>
        <w:fldChar w:fldCharType="separate"/>
      </w:r>
      <w:r w:rsidR="004B5617" w:rsidRPr="004B5617">
        <w:rPr>
          <w:rFonts w:ascii="Times New Roman" w:hAnsi="Times New Roman" w:cs="Times New Roman"/>
          <w:sz w:val="24"/>
        </w:rPr>
        <w:t>(Mio &amp; Damante, 2022)</w:t>
      </w:r>
      <w:r w:rsidR="004B5617">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Additionally, DNA methylation profiling can be very helpful in identifying the probable tumor type or tissue of origin in cases of carcinoma of uncertain source. Moreover, abnormal methylation patterns can be used as indicators for different disease subtypes and as possible targets for treatment. GISTs with succinate dehydrogenase (SDH) impairment, for example, show unique hypermethylation patterns that set them apart from classical GIST, and some GIST instances have also been found to silence SDHC by promoter hypermethylation</w:t>
      </w:r>
      <w:r w:rsidR="004B5617">
        <w:rPr>
          <w:rFonts w:ascii="Times New Roman" w:eastAsia="Times New Roman" w:hAnsi="Times New Roman" w:cs="Times New Roman"/>
          <w:color w:val="000000"/>
          <w:sz w:val="24"/>
          <w:szCs w:val="24"/>
        </w:rPr>
        <w:t xml:space="preserve"> </w:t>
      </w:r>
      <w:r w:rsidR="004B5617">
        <w:rPr>
          <w:rFonts w:ascii="Times New Roman" w:eastAsia="Times New Roman" w:hAnsi="Times New Roman" w:cs="Times New Roman"/>
          <w:color w:val="000000"/>
          <w:sz w:val="24"/>
          <w:szCs w:val="24"/>
        </w:rPr>
        <w:fldChar w:fldCharType="begin"/>
      </w:r>
      <w:r w:rsidR="004B5617">
        <w:rPr>
          <w:rFonts w:ascii="Times New Roman" w:eastAsia="Times New Roman" w:hAnsi="Times New Roman" w:cs="Times New Roman"/>
          <w:color w:val="000000"/>
          <w:sz w:val="24"/>
          <w:szCs w:val="24"/>
        </w:rPr>
        <w:instrText xml:space="preserve"> ADDIN ZOTERO_ITEM CSL_CITATION {"citationID":"OxbGKAjb","properties":{"formattedCitation":"(Zhu et al., 2024)","plainCitation":"(Zhu et al., 2024)","noteIndex":0},"citationItems":[{"id":280,"uris":["http://zotero.org/users/local/AJmTDxS7/items/R2EW9SZV"],"itemData":{"id":280,"type":"article-journal","container-title":"Cancer Biology &amp; Medicine","DOI":"10.20892/j.issn.2095-3941.2023.0403","ISSN":"2095-3941","issue":"2","journalAbbreviation":"Cancer Biol Med","note":"PMID: 38062785\nPMCID: PMC10884540","page":"111-116","source":"PubMed Central","title":"DNA methylation profiles in cancer: functions, therapy, and beyond","title-short":"DNA methylation profiles in cancer","volume":"21","author":[{"family":"Zhu","given":"Jinrong"},{"family":"Yang","given":"Yongjie"},{"family":"Li","given":"Li"},{"family":"Tang","given":"Jiuren"},{"family":"Zhang","given":"Rongxin"}],"issued":{"date-parts":[["2024",2,15]]}}}],"schema":"https://github.com/citation-style-language/schema/raw/master/csl-citation.json"} </w:instrText>
      </w:r>
      <w:r w:rsidR="004B5617">
        <w:rPr>
          <w:rFonts w:ascii="Times New Roman" w:eastAsia="Times New Roman" w:hAnsi="Times New Roman" w:cs="Times New Roman"/>
          <w:color w:val="000000"/>
          <w:sz w:val="24"/>
          <w:szCs w:val="24"/>
        </w:rPr>
        <w:fldChar w:fldCharType="separate"/>
      </w:r>
      <w:r w:rsidR="004B5617" w:rsidRPr="004B5617">
        <w:rPr>
          <w:rFonts w:ascii="Times New Roman" w:hAnsi="Times New Roman" w:cs="Times New Roman"/>
          <w:sz w:val="24"/>
        </w:rPr>
        <w:t>(Zhu et al., 2024)</w:t>
      </w:r>
      <w:r w:rsidR="004B5617">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Furthermore, MGMT promoter hypermethylation, which codes for O6-methylguanine-DNA methyltransferase, is employed as a biomarker of MGMT silencing, which is associated with decreased glioblastoma response to temozolomide. In more recent times, MGMT silencing has also surfaced as a possible prognostic indicator for pancreatic and biliary tract malignancies</w:t>
      </w:r>
      <w:r w:rsidR="004B5617">
        <w:rPr>
          <w:rFonts w:ascii="Times New Roman" w:eastAsia="Times New Roman" w:hAnsi="Times New Roman" w:cs="Times New Roman"/>
          <w:color w:val="000000"/>
          <w:sz w:val="24"/>
          <w:szCs w:val="24"/>
        </w:rPr>
        <w:t xml:space="preserve"> </w:t>
      </w:r>
      <w:r w:rsidR="004B5617">
        <w:rPr>
          <w:rFonts w:ascii="Times New Roman" w:eastAsia="Times New Roman" w:hAnsi="Times New Roman" w:cs="Times New Roman"/>
          <w:color w:val="000000"/>
          <w:sz w:val="24"/>
          <w:szCs w:val="24"/>
        </w:rPr>
        <w:fldChar w:fldCharType="begin"/>
      </w:r>
      <w:r w:rsidR="004B5617">
        <w:rPr>
          <w:rFonts w:ascii="Times New Roman" w:eastAsia="Times New Roman" w:hAnsi="Times New Roman" w:cs="Times New Roman"/>
          <w:color w:val="000000"/>
          <w:sz w:val="24"/>
          <w:szCs w:val="24"/>
        </w:rPr>
        <w:instrText xml:space="preserve"> ADDIN ZOTERO_ITEM CSL_CITATION {"citationID":"jbftE6s4","properties":{"formattedCitation":"(Goh et al., 2021)","plainCitation":"(Goh et al., 2021)","noteIndex":0},"citationItems":[{"id":283,"uris":["http://zotero.org/users/local/AJmTDxS7/items/8ZBN4CU7"],"itemData":{"id":283,"type":"article-journal","abstract":"Potential of epigenetic biomarker O6-methylguanine-DNA methyltransferase gene in glioma - Gulhane Medical Journal","container-title":"Gulhane Medical Journal","DOI":"10.4274/gulhane.galenos.2021.1595","ISSN":"2146-8052","note":"publisher: Gulhane Medical Journal","source":"gulhanemedj.org","title":"Potential of epigenetic biomarker O6-methylguanine-DNA methyltransferase gene in glioma","URL":"https://gulhanemedj.org/articles/potential-of-epigenetic-biomarker-o6-methylguanine-dna-methyltransferase-gene-in-glioma/gulhane.galenos.2021.1595","author":[{"family":"Goh","given":"Wei Chiang"},{"family":"Murali","given":"Revathy"},{"family":"Shamsuddin","given":"Shaharum"},{"family":"Idris","given":"Badrisyah"},{"family":"Idris","given":"Zamzuri"},{"family":"Ahmad","given":"Farizan"},{"family":"Goh","given":"Wei Chiang"},{"family":"Murali","given":"Revathy"},{"family":"Shamsuddin","given":"Shaharum"},{"family":"Idris","given":"Badrisyah"},{"family":"Idris","given":"Zamzuri"},{"family":"Ahmad","given":"Farizan"}],"accessed":{"date-parts":[["2025",6,30]]},"issued":{"date-parts":[["2021",12,20]]}}}],"schema":"https://github.com/citation-style-language/schema/raw/master/csl-citation.json"} </w:instrText>
      </w:r>
      <w:r w:rsidR="004B5617">
        <w:rPr>
          <w:rFonts w:ascii="Times New Roman" w:eastAsia="Times New Roman" w:hAnsi="Times New Roman" w:cs="Times New Roman"/>
          <w:color w:val="000000"/>
          <w:sz w:val="24"/>
          <w:szCs w:val="24"/>
        </w:rPr>
        <w:fldChar w:fldCharType="separate"/>
      </w:r>
      <w:r w:rsidR="004B5617" w:rsidRPr="004B5617">
        <w:rPr>
          <w:rFonts w:ascii="Times New Roman" w:hAnsi="Times New Roman" w:cs="Times New Roman"/>
          <w:sz w:val="24"/>
        </w:rPr>
        <w:t>(Goh et al., 2021)</w:t>
      </w:r>
      <w:r w:rsidR="004B5617">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xml:space="preserve">. </w:t>
      </w:r>
    </w:p>
    <w:p w14:paraId="3D3694D4" w14:textId="77777777" w:rsidR="00976DF6" w:rsidRDefault="00976DF6" w:rsidP="004B5617">
      <w:pPr>
        <w:pStyle w:val="ListParagraph"/>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4A5AEDDD" w14:textId="7C1AE651" w:rsidR="00E50C6A" w:rsidRPr="00B86A0A" w:rsidRDefault="00E50C6A" w:rsidP="004B5617">
      <w:pPr>
        <w:pStyle w:val="ListParagraph"/>
        <w:numPr>
          <w:ilvl w:val="0"/>
          <w:numId w:val="3"/>
        </w:numPr>
        <w:pBdr>
          <w:top w:val="nil"/>
          <w:left w:val="nil"/>
          <w:bottom w:val="nil"/>
          <w:right w:val="nil"/>
          <w:between w:val="nil"/>
        </w:pBdr>
        <w:spacing w:line="240" w:lineRule="auto"/>
        <w:jc w:val="both"/>
        <w:rPr>
          <w:rFonts w:ascii="Times New Roman" w:eastAsia="Times New Roman" w:hAnsi="Times New Roman" w:cs="Times New Roman"/>
          <w:b/>
          <w:bCs/>
          <w:color w:val="000000"/>
          <w:sz w:val="27"/>
          <w:szCs w:val="27"/>
        </w:rPr>
      </w:pPr>
      <w:r w:rsidRPr="00B86A0A">
        <w:rPr>
          <w:rFonts w:ascii="Times New Roman" w:eastAsia="Times New Roman" w:hAnsi="Times New Roman" w:cs="Times New Roman"/>
          <w:b/>
          <w:bCs/>
          <w:color w:val="000000"/>
          <w:sz w:val="27"/>
          <w:szCs w:val="27"/>
        </w:rPr>
        <w:t>(Phospho)Proteomic Profiling</w:t>
      </w:r>
    </w:p>
    <w:p w14:paraId="19D39FF6" w14:textId="69975868" w:rsidR="00B86A0A" w:rsidRDefault="00E50C6A" w:rsidP="00B86A0A">
      <w:pPr>
        <w:pStyle w:val="ListParagraph"/>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B86A0A">
        <w:rPr>
          <w:rFonts w:ascii="Times New Roman" w:eastAsia="Times New Roman" w:hAnsi="Times New Roman" w:cs="Times New Roman"/>
          <w:color w:val="000000"/>
          <w:sz w:val="24"/>
          <w:szCs w:val="24"/>
        </w:rPr>
        <w:t>Dysregulated lipid or protein kinase signaling pathways are essential for the growth, survival, and advancement of many cancers. Kinase inhibitors are, therefore, one of the most important molecularly focused treatments for cancer. Most patients do not have such highly actionable changes, even while some biomarker–drug combinations (such as those associated with NTRK fusions or BRAF V600E mutations) elicit deep responses</w:t>
      </w:r>
      <w:r w:rsidR="00A93F9A">
        <w:rPr>
          <w:rFonts w:ascii="Times New Roman" w:eastAsia="Times New Roman" w:hAnsi="Times New Roman" w:cs="Times New Roman"/>
          <w:color w:val="000000"/>
          <w:sz w:val="24"/>
          <w:szCs w:val="24"/>
        </w:rPr>
        <w:fldChar w:fldCharType="begin"/>
      </w:r>
      <w:r w:rsidR="00A93F9A">
        <w:rPr>
          <w:rFonts w:ascii="Times New Roman" w:eastAsia="Times New Roman" w:hAnsi="Times New Roman" w:cs="Times New Roman"/>
          <w:color w:val="000000"/>
          <w:sz w:val="24"/>
          <w:szCs w:val="24"/>
        </w:rPr>
        <w:instrText xml:space="preserve"> ADDIN ZOTERO_ITEM CSL_CITATION {"citationID":"qlcetsim","properties":{"formattedCitation":"(Bhullar et al., 2018)","plainCitation":"(Bhullar et al., 2018)","noteIndex":0},"citationItems":[{"id":285,"uris":["http://zotero.org/users/local/AJmTDxS7/items/AI525WGL"],"itemData":{"id":285,"type":"article-journal","abstract":"The human genome encodes 538 protein kinases that transfer a γ-phosphate group from ATP to serine, threonine, or tyrosine residues. Many of these kinases are associated with human cancer initiation and progression. The recent development of small-molecule kinase inhibitors for the treatment of diverse types of cancer has proven successful in clinical therapy. Significantly, protein kinases are the second most targeted group of drug targets, after the G-protein-coupled receptors. Since the development of the first protein kinase inhibitor, in the early 1980s, 37 kinase inhibitors have received FDA approval for treatment of malignancies such as breast and lung cancer. Furthermore, about 150 kinase-targeted drugs are in clinical phase trials, and many kinase-specific inhibitors are in the preclinical stage of drug development. Nevertheless, many factors confound the clinical efficacy of these molecules. Specific tumor genetics, tumor microenvironment, drug resistance, and pharmacogenomics determine how useful a compound will be in the treatment of a given cancer. This review provides an overview of kinase-targeted drug discovery and development in relation to oncology and highlights the challenges and future potential for kinase-targeted cancer therapies.","container-title":"Molecular Cancer","DOI":"10.1186/s12943-018-0804-2","ISSN":"1476-4598","journalAbbreviation":"Mol Cancer","note":"PMID: 29455673\nPMCID: PMC5817855","page":"48","source":"PubMed Central","title":"Kinase-targeted cancer therapies: progress, challenges and future directions","title-short":"Kinase-targeted cancer therapies","volume":"17","author":[{"family":"Bhullar","given":"Khushwant S."},{"family":"Lagarón","given":"Naiara Orrego"},{"family":"McGowan","given":"Eileen M."},{"family":"Parmar","given":"Indu"},{"family":"Jha","given":"Amitabh"},{"family":"Hubbard","given":"Basil P."},{"family":"Rupasinghe","given":"H. P. Vasantha"}],"issued":{"date-parts":[["2018",2,19]]}}}],"schema":"https://github.com/citation-style-language/schema/raw/master/csl-citation.json"} </w:instrText>
      </w:r>
      <w:r w:rsidR="00A93F9A">
        <w:rPr>
          <w:rFonts w:ascii="Times New Roman" w:eastAsia="Times New Roman" w:hAnsi="Times New Roman" w:cs="Times New Roman"/>
          <w:color w:val="000000"/>
          <w:sz w:val="24"/>
          <w:szCs w:val="24"/>
        </w:rPr>
        <w:fldChar w:fldCharType="separate"/>
      </w:r>
      <w:r w:rsidR="00A93F9A" w:rsidRPr="00A93F9A">
        <w:rPr>
          <w:rFonts w:ascii="Times New Roman" w:hAnsi="Times New Roman" w:cs="Times New Roman"/>
          <w:sz w:val="24"/>
        </w:rPr>
        <w:t>(Bhullar et al., 2018)</w:t>
      </w:r>
      <w:r w:rsidR="00A93F9A">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To make matters more complicated, patients may respond differently to targeted treatments even if they have the same actionable biomarker and tumor type. It is difficult to identify which changes actually promote tumor growth and confer resistance because the majority of advanced tumors exhibit a wide range of genomic and transcriptomic characteristics, many of which are poorly understood</w:t>
      </w:r>
      <w:r w:rsidR="00A93F9A">
        <w:rPr>
          <w:rFonts w:ascii="Times New Roman" w:eastAsia="Times New Roman" w:hAnsi="Times New Roman" w:cs="Times New Roman"/>
          <w:color w:val="000000"/>
          <w:sz w:val="24"/>
          <w:szCs w:val="24"/>
        </w:rPr>
        <w:t xml:space="preserve"> </w:t>
      </w:r>
      <w:r w:rsidR="00A93F9A">
        <w:rPr>
          <w:rFonts w:ascii="Times New Roman" w:eastAsia="Times New Roman" w:hAnsi="Times New Roman" w:cs="Times New Roman"/>
          <w:color w:val="000000"/>
          <w:sz w:val="24"/>
          <w:szCs w:val="24"/>
        </w:rPr>
        <w:fldChar w:fldCharType="begin"/>
      </w:r>
      <w:r w:rsidR="00A93F9A">
        <w:rPr>
          <w:rFonts w:ascii="Times New Roman" w:eastAsia="Times New Roman" w:hAnsi="Times New Roman" w:cs="Times New Roman"/>
          <w:color w:val="000000"/>
          <w:sz w:val="24"/>
          <w:szCs w:val="24"/>
        </w:rPr>
        <w:instrText xml:space="preserve"> ADDIN ZOTERO_ITEM CSL_CITATION {"citationID":"a82Vw5MC","properties":{"formattedCitation":"(Passaro et al., 2024)","plainCitation":"(Passaro et al., 2024)","noteIndex":0},"citationItems":[{"id":288,"uris":["http://zotero.org/users/local/AJmTDxS7/items/TQFGUZHP"],"itemData":{"id":288,"type":"article-journal","abstract":"The integration of cancer biomarkers into oncology has revolutionized cancer treatment, yielding remarkable advancements in cancer therapeutics and the prognosis of cancer patients. The development of personalized medicine represents a turning point and a new paradigm in cancer management, as biomarkers enable oncologists to tailor treatments based on the unique molecular profile of each patient’s tumor., In this review, we discuss the scientific milestones of cancer biomarkers and explore future possibilities to improve the management of patients with solid tumors. This progress is primarily attributed to the biological characterization of cancers, advancements in testing methodologies, elucidation of the immune microenvironment, and the ability to profile circulating tumor fractions. Integrating these insights promises to continually advance the precision oncology field, fostering better patient outcomes.","container-title":"Cell","DOI":"10.1016/j.cell.2024.02.041","ISSN":"0092-8674","issue":"7","journalAbbreviation":"Cell","note":"PMID: 38552610\nPMCID: PMC7616034","page":"1617-1635","source":"PubMed Central","title":"Cancer Biomarkers - Emerging Trends and Clinical Implications for personalized treatment","volume":"187","author":[{"family":"Passaro","given":"Antonio"},{"family":"Al Bakir","given":"Maise"},{"family":"Hamilton","given":"Emily G."},{"family":"Diehn","given":"Maximilian"},{"family":"André","given":"Fabrice"},{"family":"Roy-Chowdhuri","given":"Sinchita"},{"family":"Mountzios","given":"Giannis"},{"family":"Witsuba","given":"Ignacio"},{"family":"Swanton","given":"Charlie"},{"family":"Peters","given":"Solange"}],"issued":{"date-parts":[["2024",3,28]]}}}],"schema":"https://github.com/citation-style-language/schema/raw/master/csl-citation.json"} </w:instrText>
      </w:r>
      <w:r w:rsidR="00A93F9A">
        <w:rPr>
          <w:rFonts w:ascii="Times New Roman" w:eastAsia="Times New Roman" w:hAnsi="Times New Roman" w:cs="Times New Roman"/>
          <w:color w:val="000000"/>
          <w:sz w:val="24"/>
          <w:szCs w:val="24"/>
        </w:rPr>
        <w:fldChar w:fldCharType="separate"/>
      </w:r>
      <w:r w:rsidR="00A93F9A" w:rsidRPr="00A93F9A">
        <w:rPr>
          <w:rFonts w:ascii="Times New Roman" w:hAnsi="Times New Roman" w:cs="Times New Roman"/>
          <w:sz w:val="24"/>
        </w:rPr>
        <w:t>(Passaro et al., 2024)</w:t>
      </w:r>
      <w:r w:rsidR="00A93F9A">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xml:space="preserve">. This disparity between genotype and phenotype, which is probably caused by the context-dependent carcinogenicity of different mutations as well as nongenetic causes, highlights the urgent need to advance beyond molecular diagnostics that are solely focused on the genome. The functional status of the proteome at the main site of therapeutic intervention </w:t>
      </w:r>
      <w:r w:rsidRPr="00B86A0A">
        <w:rPr>
          <w:rFonts w:ascii="Times New Roman" w:eastAsia="Times New Roman" w:hAnsi="Times New Roman" w:cs="Times New Roman"/>
          <w:color w:val="000000"/>
          <w:sz w:val="24"/>
          <w:szCs w:val="24"/>
        </w:rPr>
        <w:lastRenderedPageBreak/>
        <w:t>can be captured by comprehensive phosphoproteome analysis of tumor tissue, which presents a promising method of bridging the genotype-phenotype gap</w:t>
      </w:r>
      <w:r w:rsidR="00A93F9A">
        <w:rPr>
          <w:rFonts w:ascii="Times New Roman" w:eastAsia="Times New Roman" w:hAnsi="Times New Roman" w:cs="Times New Roman"/>
          <w:color w:val="000000"/>
          <w:sz w:val="24"/>
          <w:szCs w:val="24"/>
        </w:rPr>
        <w:t xml:space="preserve"> </w:t>
      </w:r>
      <w:r w:rsidR="00A93F9A">
        <w:rPr>
          <w:rFonts w:ascii="Times New Roman" w:eastAsia="Times New Roman" w:hAnsi="Times New Roman" w:cs="Times New Roman"/>
          <w:color w:val="000000"/>
          <w:sz w:val="24"/>
          <w:szCs w:val="24"/>
        </w:rPr>
        <w:fldChar w:fldCharType="begin"/>
      </w:r>
      <w:r w:rsidR="00A93F9A">
        <w:rPr>
          <w:rFonts w:ascii="Times New Roman" w:eastAsia="Times New Roman" w:hAnsi="Times New Roman" w:cs="Times New Roman"/>
          <w:color w:val="000000"/>
          <w:sz w:val="24"/>
          <w:szCs w:val="24"/>
        </w:rPr>
        <w:instrText xml:space="preserve"> ADDIN ZOTERO_ITEM CSL_CITATION {"citationID":"lwxQiWnx","properties":{"formattedCitation":"(Feng et al., 2018)","plainCitation":"(Feng et al., 2018)","noteIndex":0},"citationItems":[{"id":291,"uris":["http://zotero.org/users/local/AJmTDxS7/items/N3TK8C83"],"itemData":{"id":291,"type":"article-journal","abstract":"As the most commonly occurring cancer in women worldwide, breast cancer poses a formidable public health challenge on a global scale. Breast cancer consists of a group of biologically and molecularly heterogeneous diseases originated from the breast. While the risk factors associated with this cancer varies with respect to other cancers, genetic predisposition, most notably mutations in BRCA1 or BRCA2 gene, is an important causative factor for this malignancy. Breast cancers can begin in different areas of the breast, such as the ducts, the lobules, or the tissue in between. Within the large group of diverse breast carcinomas, there are various denoted types of breast cancer based on their invasiveness relative to the primary tumor sites. It is important to distinguish between the various subtypes because they have different prognoses and treatment implications. As there are remarkable parallels between normal development and breast cancer progression at the molecular level, it has been postulated that breast cancer may be derived from mammary cancer stem cells. Normal breast development and mammary stem cells are regulated by several signaling pathways, such as estrogen receptors (ERs), HER2, and Wnt/β-catenin signaling pathways, which control stem cell proliferation, cell death, cell differentiation, and cell motility. Furthermore, emerging evidence indicates that epigenetic regulations and noncoding RNAs may play important roles in breast cancer development and may contribute to the heterogeneity and metastatic aspects of breast cancer, especially for triple-negative breast cancer. This review provides a comprehensive survey of the molecular, cellular and genetic aspects of breast cancer.","container-title":"Genes &amp; Diseases","DOI":"10.1016/j.gendis.2018.05.001","ISSN":"2352-3042","issue":"2","journalAbbreviation":"Genes &amp; Diseases","page":"77-106","source":"ScienceDirect","title":"Breast cancer development and progression: Risk factors, cancer stem cells, signaling pathways, genomics, and molecular pathogenesis","title-short":"Breast cancer development and progression","volume":"5","author":[{"family":"Feng","given":"Yixiao"},{"family":"Spezia","given":"Mia"},{"family":"Huang","given":"Shifeng"},{"family":"Yuan","given":"Chengfu"},{"family":"Zeng","given":"Zongyue"},{"family":"Zhang","given":"Linghuan"},{"family":"Ji","given":"Xiaojuan"},{"family":"Liu","given":"Wei"},{"family":"Huang","given":"Bo"},{"family":"Luo","given":"Wenping"},{"family":"Liu","given":"Bo"},{"family":"Lei","given":"Yan"},{"family":"Du","given":"Scott"},{"family":"Vuppalapati","given":"Akhila"},{"family":"Luu","given":"Hue H."},{"family":"Haydon","given":"Rex C."},{"family":"He","given":"Tong-Chuan"},{"family":"Ren","given":"Guosheng"}],"issued":{"date-parts":[["2018",6,1]]}}}],"schema":"https://github.com/citation-style-language/schema/raw/master/csl-citation.json"} </w:instrText>
      </w:r>
      <w:r w:rsidR="00A93F9A">
        <w:rPr>
          <w:rFonts w:ascii="Times New Roman" w:eastAsia="Times New Roman" w:hAnsi="Times New Roman" w:cs="Times New Roman"/>
          <w:color w:val="000000"/>
          <w:sz w:val="24"/>
          <w:szCs w:val="24"/>
        </w:rPr>
        <w:fldChar w:fldCharType="separate"/>
      </w:r>
      <w:r w:rsidR="00A93F9A" w:rsidRPr="00A93F9A">
        <w:rPr>
          <w:rFonts w:ascii="Times New Roman" w:hAnsi="Times New Roman" w:cs="Times New Roman"/>
          <w:sz w:val="24"/>
        </w:rPr>
        <w:t>(Feng et al., 2018)</w:t>
      </w:r>
      <w:r w:rsidR="00A93F9A">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Recent proteogenomic analyses of more than 1000 untreated tumors from over ten different cancer types by the Clinical Proteomic Tumor Analysis Consortium demonstrated that combining genomic information with (phospho)proteomics can identify molecular subtypes that share oncogenic pathways and may be especially responsive to targeted treatments that target these pathways</w:t>
      </w:r>
      <w:r w:rsidR="00A93F9A">
        <w:rPr>
          <w:rFonts w:ascii="Times New Roman" w:eastAsia="Times New Roman" w:hAnsi="Times New Roman" w:cs="Times New Roman"/>
          <w:color w:val="000000"/>
          <w:sz w:val="24"/>
          <w:szCs w:val="24"/>
        </w:rPr>
        <w:t xml:space="preserve"> </w:t>
      </w:r>
      <w:r w:rsidR="00A93F9A">
        <w:rPr>
          <w:rFonts w:ascii="Times New Roman" w:eastAsia="Times New Roman" w:hAnsi="Times New Roman" w:cs="Times New Roman"/>
          <w:color w:val="000000"/>
          <w:sz w:val="24"/>
          <w:szCs w:val="24"/>
        </w:rPr>
        <w:fldChar w:fldCharType="begin"/>
      </w:r>
      <w:r w:rsidR="003A4ED1">
        <w:rPr>
          <w:rFonts w:ascii="Times New Roman" w:eastAsia="Times New Roman" w:hAnsi="Times New Roman" w:cs="Times New Roman"/>
          <w:color w:val="000000"/>
          <w:sz w:val="24"/>
          <w:szCs w:val="24"/>
        </w:rPr>
        <w:instrText xml:space="preserve"> ADDIN ZOTERO_ITEM CSL_CITATION {"citationID":"H74VsjGx","properties":{"formattedCitation":"(Vasaikar et al., 2019)","plainCitation":"(Vasaikar et al., 2019)","noteIndex":0},"citationItems":[{"id":294,"uris":["http://zotero.org/users/local/AJmTDxS7/items/EBXKTVII"],"itemData":{"id":294,"type":"article-journal","abstract":"We performed the first proteogenomic study on a prospectively collected colon cancer cohort. Comparative proteomic and phosphoproteomic analysis of paired tumor and normal adjacent tissues produced a catalogue of colon cancer-associated proteins and phosphosites, including known and putative new biomarkers, drug targets, and cancer/testis antigens. Proteogenomic integration not only prioritized genomically inferred targets, such as copy number drivers and mutation-derived neoantigens, but also yielded novel findings. Phosphoproteomics data associated Rb phosphorylation with increased proliferation and decreased apoptosis in colon cancer, which explains why this classical tumor suppressor is amplified in colon tumors and suggests a rationale for targeting Rb phosphorylation in colon cancer. Proteomics identified an association between decreased CD8 T cell infiltration and increased glycolysis in microsatellite instability-high (MSI-H) tumors, suggesting glycolysis as a potential target to overcome the resistance of MSI-H tumors to immune checkpoint blockade. Proteogenomics presents new avenues for biological discoveries and therapeutic development., , A systematic proteogenomic analysis of colon cancer reveals vulnerabilities of potential clinical value inaccessible from genomic assessment alone.","container-title":"Cell","DOI":"10.1016/j.cell.2019.03.030","ISSN":"0092-8674","issue":"4","journalAbbreviation":"Cell","note":"PMID: 31031003\nPMCID: PMC6768830","page":"1035-1049.e19","source":"PubMed Central","title":"Proteogenomic analysis of human colon cancer reveals new therapeutic opportunities","volume":"177","author":[{"family":"Vasaikar","given":"Suhas"},{"family":"Huang","given":"Chen"},{"family":"Wang","given":"Xiaojing"},{"family":"Petyuk","given":"Vladislav A."},{"family":"Savage","given":"Sara R."},{"family":"Wen","given":"Bo"},{"family":"Dou","given":"Yongchao"},{"family":"Zhang","given":"Yun"},{"family":"Shi","given":"Zhiao"},{"family":"Arshad","given":"Osama A."},{"family":"Gritsenko","given":"Marina A."},{"family":"Zimmerman","given":"Lisa J."},{"family":"McDermott","given":"Jason E."},{"family":"Clauss","given":"Therese R."},{"family":"Moore","given":"Ronald J."},{"family":"Zhao","given":"Rui"},{"family":"Monroe","given":"Matthew E."},{"family":"Wang","given":"Yi-Ting"},{"family":"Chambers","given":"Matthew C."},{"family":"Slebos","given":"Robbert J. C."},{"family":"Lau","given":"Ken S."},{"family":"Mo","given":"Qianxing"},{"family":"Ding","given":"Li"},{"family":"Ellis","given":"Matthew"},{"family":"Thiagarajan","given":"Mathangi"},{"family":"Kinsinger","given":"Christopher R."},{"family":"Rodriguez","given":"Henry"},{"family":"Smith","given":"Richard D."},{"family":"Rodland","given":"Karin D."},{"family":"Liebler","given":"Daniel C."},{"family":"Liu","given":"Tao"},{"family":"Zhang","given":"Bing"}],"issued":{"date-parts":[["2019",5,2]]}}}],"schema":"https://github.com/citation-style-language/schema/raw/master/csl-citation.json"} </w:instrText>
      </w:r>
      <w:r w:rsidR="00A93F9A">
        <w:rPr>
          <w:rFonts w:ascii="Times New Roman" w:eastAsia="Times New Roman" w:hAnsi="Times New Roman" w:cs="Times New Roman"/>
          <w:color w:val="000000"/>
          <w:sz w:val="24"/>
          <w:szCs w:val="24"/>
        </w:rPr>
        <w:fldChar w:fldCharType="separate"/>
      </w:r>
      <w:r w:rsidR="003A4ED1" w:rsidRPr="003A4ED1">
        <w:rPr>
          <w:rFonts w:ascii="Times New Roman" w:hAnsi="Times New Roman" w:cs="Times New Roman"/>
          <w:sz w:val="24"/>
        </w:rPr>
        <w:t>(Vasaikar et al., 2019)</w:t>
      </w:r>
      <w:r w:rsidR="00A93F9A">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Several preclinical investigations have demonstrated the better efficacy of co-tailoring kinase inhibitor medicines using integrative inferred kinase activity scoring. We demonstrated for the first time in the MASTER program that comprehensive phosphoproteome profiling is both practical and informative in a prospective, real-world molecular tumor board (MTB) setting</w:t>
      </w:r>
      <w:r w:rsidR="00A93F9A">
        <w:rPr>
          <w:rFonts w:ascii="Times New Roman" w:eastAsia="Times New Roman" w:hAnsi="Times New Roman" w:cs="Times New Roman"/>
          <w:color w:val="000000"/>
          <w:sz w:val="24"/>
          <w:szCs w:val="24"/>
        </w:rPr>
        <w:t xml:space="preserve"> </w:t>
      </w:r>
      <w:r w:rsidR="00A93F9A">
        <w:rPr>
          <w:rFonts w:ascii="Times New Roman" w:eastAsia="Times New Roman" w:hAnsi="Times New Roman" w:cs="Times New Roman"/>
          <w:color w:val="000000"/>
          <w:sz w:val="24"/>
          <w:szCs w:val="24"/>
        </w:rPr>
        <w:fldChar w:fldCharType="begin"/>
      </w:r>
      <w:r w:rsidR="00A93F9A">
        <w:rPr>
          <w:rFonts w:ascii="Times New Roman" w:eastAsia="Times New Roman" w:hAnsi="Times New Roman" w:cs="Times New Roman"/>
          <w:color w:val="000000"/>
          <w:sz w:val="24"/>
          <w:szCs w:val="24"/>
        </w:rPr>
        <w:instrText xml:space="preserve"> ADDIN ZOTERO_ITEM CSL_CITATION {"citationID":"wWRtJLKe","properties":{"formattedCitation":"(Vall\\uc0\\u233{}s-Mart\\uc0\\u237{} et al., 2024)","plainCitation":"(Vallés-Martí et al., 2024)","noteIndex":0},"citationItems":[{"id":299,"uris":["http://zotero.org/users/local/AJmTDxS7/items/76XRKE8B"],"itemData":{"id":299,"type":"article-journal","abstract":"Pancreatic ductal adenocarcinoma (PDAC) is a devastating disease with a limited number of known driver mutations but considerable cancer cell heterogeneity. Phosphoproteomics provides a direct read-out of aberrant signaling and the resultant clinically relevant phenotype. Mass spectrometry (MS)-based proteomics and phosphoproteomics were applied to 42 PDAC tumors. Data encompassed over 19 936 phosphoserine or phosphothreonine (pS/T; in 5412 phosphoproteins) and 1208 phosphotyrosine (pY; in 501 phosphoproteins) sites and a total of 3756 proteins. Proteome data identified three distinct subtypes with tumor intrinsic and stromal features. Subsequently, three phospho-subtypes were apparent: two tumor intrinsic (Phos1/2) and one stromal (Phos3), resembling known PDAC molecular subtypes. Kinase activity was analyzed by the Integrative iNferred Kinase Activity (INKA) scoring. Phospho-subtypes displayed differential phosphorylation signals and kinase activity, such as FGR and GSK3 activation in Phos1, SRC kinase family and EPHA2 in Phos2, and EGFR, INSR, MET, ABL1, HIPK1, JAK, and PRKCD in Phos3. Kinase activity analysis of an external PDAC cohort supported our findings and underscored the importance of PI3K/AKT and ERK pathways, among others. Interestingly, unfavorable patient prognosis correlated with higher RTK, PAK2, STK10, and CDK7 activity and high proliferation, whereas long survival was associated with MYLK and PTK6 activity, which was previously unknown. Subtype-associated activity profiles can guide therapeutic combination approaches in tumor and stroma-enriched tissues, and emphasize the critical role of parallel signaling pathways. In addition, kinase activity profiling identifies potential disease markers with prognostic significance.","container-title":"Molecular Oncology","DOI":"10.1002/1878-0261.13625","ISSN":"1878-0261","issue":"8","language":"en","license":"© 2024 The Authors. Molecular Oncology published by John Wiley &amp; Sons Ltd on behalf of Federation of European Biochemical Societies.","note":"_eprint: https://febs.onlinelibrary.wiley.com/doi/pdf/10.1002/1878-0261.13625","page":"2020-2041","source":"Wiley Online Library","title":"Kinase activities in pancreatic ductal adenocarcinoma with prognostic and therapeutic avenues","volume":"18","author":[{"family":"Vallés-Martí","given":"Andrea"},{"family":"Goeij-de Haas","given":"Richard R.","non-dropping-particle":"de"},{"family":"Henneman","given":"Alex A."},{"family":"Piersma","given":"Sander R."},{"family":"Pham","given":"Thang V."},{"family":"Knol","given":"Jaco C."},{"family":"Verheij","given":"Joanne"},{"family":"Dijk","given":"Frederike"},{"family":"Halfwerk","given":"Hans"},{"family":"Giovannetti","given":"Elisa"},{"family":"Jiménez","given":"Connie R."},{"family":"Bijlsma","given":"Maarten F."}],"issued":{"date-parts":[["2024"]]}}}],"schema":"https://github.com/citation-style-language/schema/raw/master/csl-citation.json"} </w:instrText>
      </w:r>
      <w:r w:rsidR="00A93F9A">
        <w:rPr>
          <w:rFonts w:ascii="Times New Roman" w:eastAsia="Times New Roman" w:hAnsi="Times New Roman" w:cs="Times New Roman"/>
          <w:color w:val="000000"/>
          <w:sz w:val="24"/>
          <w:szCs w:val="24"/>
        </w:rPr>
        <w:fldChar w:fldCharType="separate"/>
      </w:r>
      <w:r w:rsidR="00A93F9A" w:rsidRPr="00A93F9A">
        <w:rPr>
          <w:rFonts w:ascii="Times New Roman" w:hAnsi="Times New Roman" w:cs="Times New Roman"/>
          <w:sz w:val="24"/>
        </w:rPr>
        <w:t>(Vallés-Martí et al., 2024)</w:t>
      </w:r>
      <w:r w:rsidR="00A93F9A">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We discovered that about 40% of advanced cancers have nongenetic activity by methodically examining aberrant receptor tyrosine kinase activity in over 1200 tumor tissues. In addition to highlighting the significance of functionally interpreting genetic anomalies within the larger context of individual tumor biology, this study emphasizes the significance of kinase activity assessment in a patient-specific way</w:t>
      </w:r>
      <w:r w:rsidR="00A93F9A">
        <w:rPr>
          <w:rFonts w:ascii="Times New Roman" w:eastAsia="Times New Roman" w:hAnsi="Times New Roman" w:cs="Times New Roman"/>
          <w:color w:val="000000"/>
          <w:sz w:val="24"/>
          <w:szCs w:val="24"/>
        </w:rPr>
        <w:fldChar w:fldCharType="begin"/>
      </w:r>
      <w:r w:rsidR="003A4ED1">
        <w:rPr>
          <w:rFonts w:ascii="Times New Roman" w:eastAsia="Times New Roman" w:hAnsi="Times New Roman" w:cs="Times New Roman"/>
          <w:color w:val="000000"/>
          <w:sz w:val="24"/>
          <w:szCs w:val="24"/>
        </w:rPr>
        <w:instrText xml:space="preserve"> ADDIN ZOTERO_ITEM CSL_CITATION {"citationID":"qN2Y7iCC","properties":{"formattedCitation":"(Muneer et al., 2025)","plainCitation":"(Muneer et al., 2025)","noteIndex":0},"citationItems":[{"id":305,"uris":["http://zotero.org/users/local/AJmTDxS7/items/6J5859HF"],"itemData":{"id":305,"type":"article-journal","abstract":"Protein phosphorylation introduces post‐genomic diversity to proteins, which plays a crucial role in various cellular activities. Elucidation of system‐wide signaling cascades requires high‐performance tools for precise identification and quantification of dynamics of site‐specific phosphorylation events. Recent advances in phosphoproteomic technologies have enabled the comprehensive mapping of the dynamic phosphoproteomic landscape, which has opened new avenues for exploring cell type‐specific functional networks underlying cellular functions and clinical phenotypes. Here, we provide an overview of the basics and challenges of phosphoproteomics, as well as the technological evolution and current state‐of‐the‐art global and quantitative phosphoproteomics methodologies. With a specific focus on highly sensitive platforms, we summarize recent trends and innovations in miniaturized sample preparation strategies for micro‐to‐nanoscale and single‐cell profiling, data‐independent acquisition mass spectrometry (DIA‐MS) for enhanced coverage, and quantitative phosphoproteomic pipelines for deep mapping of cell and disease biology. Each aspect of phosphoproteomic analysis presents unique challenges and opportunities for improvement and innovation. We specifically highlight evolving phosphoproteomic technologies that enable deep profiling from low‐input samples. Finally, we discuss the persistent challenges in phosphoproteomic technologies, including the feasibility of nanoscale and single‐cell phosphoproteomics, as well as future outlooks for biomedical applications.","container-title":"Proteomics","DOI":"10.1002/pmic.202400087","ISSN":"1615-9853","issue":"1-2","journalAbbreviation":"Proteomics","note":"PMID: 39696887\nPMCID: PMC11735659","page":"e202400087","source":"PubMed Central","title":"Advancements in Global Phosphoproteomics Profiling: Overcoming Challenges in Sensitivity and Quantification","title-short":"Advancements in Global Phosphoproteomics Profiling","volume":"25","author":[{"family":"Muneer","given":"Gul"},{"family":"Chen","given":"Ciao‐Syuan"},{"family":"Chen","given":"Yu‐Ju"}],"issued":{"date-parts":[["2025",1]]}}}],"schema":"https://github.com/citation-style-language/schema/raw/master/csl-citation.json"} </w:instrText>
      </w:r>
      <w:r w:rsidR="00A93F9A">
        <w:rPr>
          <w:rFonts w:ascii="Times New Roman" w:eastAsia="Times New Roman" w:hAnsi="Times New Roman" w:cs="Times New Roman"/>
          <w:color w:val="000000"/>
          <w:sz w:val="24"/>
          <w:szCs w:val="24"/>
        </w:rPr>
        <w:fldChar w:fldCharType="separate"/>
      </w:r>
      <w:r w:rsidR="003A4ED1" w:rsidRPr="003A4ED1">
        <w:rPr>
          <w:rFonts w:ascii="Times New Roman" w:hAnsi="Times New Roman" w:cs="Times New Roman"/>
          <w:sz w:val="24"/>
        </w:rPr>
        <w:t>(Muneer et al., 2025)</w:t>
      </w:r>
      <w:r w:rsidR="00A93F9A">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Approximately 8000 proteins and 30,000 phosphopeptides can be quantified in single biopsy specimens thanks to recent advances in mass spectrometry, but this deeper exploration of the phosphoproteome also reveals the limited biological annotation of proteins and phosphopeptides, which complicates our understanding of tumor-specific signaling pathways and limits the full potential of such data. To enable precise molecular subtyping through phosphoproteomics and match these subtypes with appropriate therapies, more research is required to improve the functional annotation of the phosphoproteome and better characterize the target landscape of kinase inhibitors</w:t>
      </w:r>
      <w:r w:rsidR="003A4ED1">
        <w:rPr>
          <w:rFonts w:ascii="Times New Roman" w:eastAsia="Times New Roman" w:hAnsi="Times New Roman" w:cs="Times New Roman"/>
          <w:color w:val="000000"/>
          <w:sz w:val="24"/>
          <w:szCs w:val="24"/>
        </w:rPr>
        <w:t xml:space="preserve"> </w:t>
      </w:r>
      <w:r w:rsidR="003A4ED1">
        <w:rPr>
          <w:rFonts w:ascii="Times New Roman" w:eastAsia="Times New Roman" w:hAnsi="Times New Roman" w:cs="Times New Roman"/>
          <w:color w:val="000000"/>
          <w:sz w:val="24"/>
          <w:szCs w:val="24"/>
        </w:rPr>
        <w:fldChar w:fldCharType="begin"/>
      </w:r>
      <w:r w:rsidR="003A4ED1">
        <w:rPr>
          <w:rFonts w:ascii="Times New Roman" w:eastAsia="Times New Roman" w:hAnsi="Times New Roman" w:cs="Times New Roman"/>
          <w:color w:val="000000"/>
          <w:sz w:val="24"/>
          <w:szCs w:val="24"/>
        </w:rPr>
        <w:instrText xml:space="preserve"> ADDIN ZOTERO_ITEM CSL_CITATION {"citationID":"ORUlw77n","properties":{"formattedCitation":"(Muneer et al., 2025)","plainCitation":"(Muneer et al., 2025)","noteIndex":0},"citationItems":[{"id":305,"uris":["http://zotero.org/users/local/AJmTDxS7/items/6J5859HF"],"itemData":{"id":305,"type":"article-journal","abstract":"Protein phosphorylation introduces post‐genomic diversity to proteins, which plays a crucial role in various cellular activities. Elucidation of system‐wide signaling cascades requires high‐performance tools for precise identification and quantification of dynamics of site‐specific phosphorylation events. Recent advances in phosphoproteomic technologies have enabled the comprehensive mapping of the dynamic phosphoproteomic landscape, which has opened new avenues for exploring cell type‐specific functional networks underlying cellular functions and clinical phenotypes. Here, we provide an overview of the basics and challenges of phosphoproteomics, as well as the technological evolution and current state‐of‐the‐art global and quantitative phosphoproteomics methodologies. With a specific focus on highly sensitive platforms, we summarize recent trends and innovations in miniaturized sample preparation strategies for micro‐to‐nanoscale and single‐cell profiling, data‐independent acquisition mass spectrometry (DIA‐MS) for enhanced coverage, and quantitative phosphoproteomic pipelines for deep mapping of cell and disease biology. Each aspect of phosphoproteomic analysis presents unique challenges and opportunities for improvement and innovation. We specifically highlight evolving phosphoproteomic technologies that enable deep profiling from low‐input samples. Finally, we discuss the persistent challenges in phosphoproteomic technologies, including the feasibility of nanoscale and single‐cell phosphoproteomics, as well as future outlooks for biomedical applications.","container-title":"Proteomics","DOI":"10.1002/pmic.202400087","ISSN":"1615-9853","issue":"1-2","journalAbbreviation":"Proteomics","note":"PMID: 39696887\nPMCID: PMC11735659","page":"e202400087","source":"PubMed Central","title":"Advancements in Global Phosphoproteomics Profiling: Overcoming Challenges in Sensitivity and Quantification","title-short":"Advancements in Global Phosphoproteomics Profiling","volume":"25","author":[{"family":"Muneer","given":"Gul"},{"family":"Chen","given":"Ciao‐Syuan"},{"family":"Chen","given":"Yu‐Ju"}],"issued":{"date-parts":[["2025",1]]}}}],"schema":"https://github.com/citation-style-language/schema/raw/master/csl-citation.json"} </w:instrText>
      </w:r>
      <w:r w:rsidR="003A4ED1">
        <w:rPr>
          <w:rFonts w:ascii="Times New Roman" w:eastAsia="Times New Roman" w:hAnsi="Times New Roman" w:cs="Times New Roman"/>
          <w:color w:val="000000"/>
          <w:sz w:val="24"/>
          <w:szCs w:val="24"/>
        </w:rPr>
        <w:fldChar w:fldCharType="separate"/>
      </w:r>
      <w:r w:rsidR="003A4ED1" w:rsidRPr="003A4ED1">
        <w:rPr>
          <w:rFonts w:ascii="Times New Roman" w:hAnsi="Times New Roman" w:cs="Times New Roman"/>
          <w:sz w:val="24"/>
        </w:rPr>
        <w:t>(Muneer et al., 2025)</w:t>
      </w:r>
      <w:r w:rsidR="003A4ED1">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Finally, incorporating longitudinal phosphoproteome profiling into clinical trials will be crucial for identifying predictive biomarkers of therapeutic response</w:t>
      </w:r>
      <w:r w:rsidR="003A4ED1">
        <w:rPr>
          <w:rFonts w:ascii="Times New Roman" w:eastAsia="Times New Roman" w:hAnsi="Times New Roman" w:cs="Times New Roman"/>
          <w:color w:val="000000"/>
          <w:sz w:val="24"/>
          <w:szCs w:val="24"/>
        </w:rPr>
        <w:t xml:space="preserve"> </w:t>
      </w:r>
      <w:r w:rsidRPr="00B86A0A">
        <w:rPr>
          <w:rFonts w:ascii="Times New Roman" w:eastAsia="Times New Roman" w:hAnsi="Times New Roman" w:cs="Times New Roman"/>
          <w:color w:val="000000"/>
          <w:sz w:val="24"/>
          <w:szCs w:val="24"/>
        </w:rPr>
        <w:t>.</w:t>
      </w:r>
    </w:p>
    <w:p w14:paraId="6C23B5E0" w14:textId="77777777" w:rsidR="00B86A0A" w:rsidRPr="00B86A0A" w:rsidRDefault="00B86A0A" w:rsidP="00B86A0A">
      <w:pPr>
        <w:pStyle w:val="ListParagraph"/>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77548301" w14:textId="4FE402AD" w:rsidR="00E50C6A" w:rsidRPr="00B86A0A" w:rsidRDefault="00E50C6A" w:rsidP="00B86A0A">
      <w:pPr>
        <w:pStyle w:val="ListParagraph"/>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B86A0A">
        <w:rPr>
          <w:rFonts w:ascii="Times New Roman" w:eastAsia="Times New Roman" w:hAnsi="Times New Roman" w:cs="Times New Roman"/>
          <w:b/>
          <w:bCs/>
          <w:color w:val="000000"/>
          <w:sz w:val="27"/>
          <w:szCs w:val="27"/>
        </w:rPr>
        <w:t>Drug Sensitivity Profiling</w:t>
      </w:r>
    </w:p>
    <w:p w14:paraId="52E2EA4C" w14:textId="28DC73B2" w:rsidR="00E50C6A" w:rsidRPr="00B86A0A" w:rsidRDefault="00E50C6A" w:rsidP="00B86A0A">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B86A0A">
        <w:rPr>
          <w:rFonts w:ascii="Times New Roman" w:eastAsia="Times New Roman" w:hAnsi="Times New Roman" w:cs="Times New Roman"/>
          <w:color w:val="000000"/>
          <w:sz w:val="24"/>
          <w:szCs w:val="24"/>
        </w:rPr>
        <w:t>Genetic methods like RNA-seq and WGS/WES give a static picture of the genomic landscape of the tumor and might not account for changes in tumor dependency brought on by therapy</w:t>
      </w:r>
      <w:r w:rsidR="003A4ED1">
        <w:rPr>
          <w:rFonts w:ascii="Times New Roman" w:eastAsia="Times New Roman" w:hAnsi="Times New Roman" w:cs="Times New Roman"/>
          <w:color w:val="000000"/>
          <w:sz w:val="24"/>
          <w:szCs w:val="24"/>
        </w:rPr>
        <w:t xml:space="preserve"> </w:t>
      </w:r>
      <w:r w:rsidR="003A4ED1">
        <w:rPr>
          <w:rFonts w:ascii="Times New Roman" w:eastAsia="Times New Roman" w:hAnsi="Times New Roman" w:cs="Times New Roman"/>
          <w:color w:val="000000"/>
          <w:sz w:val="24"/>
          <w:szCs w:val="24"/>
        </w:rPr>
        <w:fldChar w:fldCharType="begin"/>
      </w:r>
      <w:r w:rsidR="003A4ED1">
        <w:rPr>
          <w:rFonts w:ascii="Times New Roman" w:eastAsia="Times New Roman" w:hAnsi="Times New Roman" w:cs="Times New Roman"/>
          <w:color w:val="000000"/>
          <w:sz w:val="24"/>
          <w:szCs w:val="24"/>
        </w:rPr>
        <w:instrText xml:space="preserve"> ADDIN ZOTERO_ITEM CSL_CITATION {"citationID":"zsTTqgwA","properties":{"formattedCitation":"(Zhao et al., 2019)","plainCitation":"(Zhao et al., 2019)","noteIndex":0},"citationItems":[{"id":311,"uris":["http://zotero.org/users/local/AJmTDxS7/items/23HI7QZN"],"itemData":{"id":311,"type":"article-journal","abstract":"Genome sequencing of cancer has fundamentally advanced our understanding of the underlying biology of this disease, and more recently has provided approaches to characterize and monitor tumors in the clinic, guiding and evaluating treatment. Although cancer research is relying more on whole-genome characterization, the clinical application of genomics is largely limited to targeted sequencing approaches, tailored to capture specific clinically relevant biomarkers. However, as sequencing costs reduce, and the tools to effectively analyze complex and large-scale data improve, the ability to effectively characterize whole genomes at scale in a clinically relevant time frame is now being piloted. This ability effectively blurs the line between clinical cancer research and the clinical management of the disease. This leads to a new paradigm in cancer management in which real-time analysis of an individual’s disease can have a rapid and lasting impact on our understanding of how clinical practices need to change to exploit novel therapeutic rationales. In this article, we will discuss how whole-genome sequencing (WGS), often combined with transcriptome analysis, has been used to understand cancer and how this approach is uniquely positioned to provide a comprehensive view of an evolving disease in response to therapy.","container-title":"Cold Spring Harbor Perspectives in Medicine","DOI":"10.1101/cshperspect.a034579","ISSN":"2157-1422","issue":"3","journalAbbreviation":"Cold Spring Harb Perspect Med","note":"PMID: 29844223\nPMCID: PMC6396343","page":"a034579","source":"PubMed Central","title":"Whole-Genome Sequencing in Cancer","volume":"9","author":[{"family":"Zhao","given":"Eric Y."},{"family":"Jones","given":"Martin"},{"family":"Jones","given":"Steven J.M."}],"issued":{"date-parts":[["2019",3]]}}}],"schema":"https://github.com/citation-style-language/schema/raw/master/csl-citation.json"} </w:instrText>
      </w:r>
      <w:r w:rsidR="003A4ED1">
        <w:rPr>
          <w:rFonts w:ascii="Times New Roman" w:eastAsia="Times New Roman" w:hAnsi="Times New Roman" w:cs="Times New Roman"/>
          <w:color w:val="000000"/>
          <w:sz w:val="24"/>
          <w:szCs w:val="24"/>
        </w:rPr>
        <w:fldChar w:fldCharType="separate"/>
      </w:r>
      <w:r w:rsidR="003A4ED1" w:rsidRPr="003A4ED1">
        <w:rPr>
          <w:rFonts w:ascii="Times New Roman" w:hAnsi="Times New Roman" w:cs="Times New Roman"/>
          <w:sz w:val="24"/>
        </w:rPr>
        <w:t>(Zhao et al., 2019)</w:t>
      </w:r>
      <w:r w:rsidR="003A4ED1">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There is increasing interest in using extra data layers that look at therapeutic response in tumor models taken from patients in order to overcome this constraint. Tumor cells taken from surgery or biopsies can be used directly for these functional tests, or they can be expanded into long-term three-dimensional organoids or spheroids. By doing this, they provide further data that can improve patient classification and help with treatment decisions</w:t>
      </w:r>
      <w:r w:rsidR="003A4ED1">
        <w:rPr>
          <w:rFonts w:ascii="Times New Roman" w:eastAsia="Times New Roman" w:hAnsi="Times New Roman" w:cs="Times New Roman"/>
          <w:color w:val="000000"/>
          <w:sz w:val="24"/>
          <w:szCs w:val="24"/>
        </w:rPr>
        <w:t xml:space="preserve"> </w:t>
      </w:r>
      <w:r w:rsidR="003A4ED1">
        <w:rPr>
          <w:rFonts w:ascii="Times New Roman" w:eastAsia="Times New Roman" w:hAnsi="Times New Roman" w:cs="Times New Roman"/>
          <w:color w:val="000000"/>
          <w:sz w:val="24"/>
          <w:szCs w:val="24"/>
        </w:rPr>
        <w:fldChar w:fldCharType="begin"/>
      </w:r>
      <w:r w:rsidR="003A4ED1">
        <w:rPr>
          <w:rFonts w:ascii="Times New Roman" w:eastAsia="Times New Roman" w:hAnsi="Times New Roman" w:cs="Times New Roman"/>
          <w:color w:val="000000"/>
          <w:sz w:val="24"/>
          <w:szCs w:val="24"/>
        </w:rPr>
        <w:instrText xml:space="preserve"> ADDIN ZOTERO_ITEM CSL_CITATION {"citationID":"pYhoJrAl","properties":{"formattedCitation":"(Liu et al., 2023)","plainCitation":"(Liu et al., 2023)","noteIndex":0},"citationItems":[{"id":314,"uris":["http://zotero.org/users/local/AJmTDxS7/items/P59L3VC6"],"itemData":{"id":314,"type":"article-journal","abstract":"Patient-derived xenograft (PDX) models, in which tumor tissues from patients are implanted into immunocompromised or humanized mice, have shown superiority in recapitulating the characteristics of cancer, such as the spatial structure of cancer and the intratumor heterogeneity of cancer. Moreover, PDX models retain the genomic features of patients across different stages, subtypes, and diversified treatment backgrounds. Optimized PDX engraftment procedures and modern technologies such as multi-omics and deep learning have enabled a more comprehensive depiction of the PDX molecular landscape and boosted the utilization of PDX models. These irreplaceable advantages make PDX models an ideal choice in cancer treatment studies, such as preclinical trials of novel drugs, validating novel drug combinations, screening drug-sensitive patients, and exploring drug resistance mechanisms. In this review, we gave an overview of the history of PDX models and the process of PDX model establishment. Subsequently, the review presents the strengths and weaknesses of PDX models and highlights the integration of novel technologies in PDX model research. Finally, we delineated the broad application of PDX models in chemotherapy, targeted therapy, immunotherapy, and other novel therapies.","container-title":"Signal Transduction and Targeted Therapy","DOI":"10.1038/s41392-023-01419-2","ISSN":"2095-9907","journalAbbreviation":"Signal Transduct Target Ther","note":"PMID: 37045827\nPMCID: PMC10097874","page":"160","source":"PubMed Central","title":"Patient-derived xenograft models in cancer therapy: technologies and applications","title-short":"Patient-derived xenograft models in cancer therapy","volume":"8","author":[{"family":"Liu","given":"Yihan"},{"family":"Wu","given":"Wantao"},{"family":"Cai","given":"Changjing"},{"family":"Zhang","given":"Hao"},{"family":"Shen","given":"Hong"},{"family":"Han","given":"Ying"}],"issued":{"date-parts":[["2023",4,12]]}}}],"schema":"https://github.com/citation-style-language/schema/raw/master/csl-citation.json"} </w:instrText>
      </w:r>
      <w:r w:rsidR="003A4ED1">
        <w:rPr>
          <w:rFonts w:ascii="Times New Roman" w:eastAsia="Times New Roman" w:hAnsi="Times New Roman" w:cs="Times New Roman"/>
          <w:color w:val="000000"/>
          <w:sz w:val="24"/>
          <w:szCs w:val="24"/>
        </w:rPr>
        <w:fldChar w:fldCharType="separate"/>
      </w:r>
      <w:r w:rsidR="003A4ED1" w:rsidRPr="003A4ED1">
        <w:rPr>
          <w:rFonts w:ascii="Times New Roman" w:hAnsi="Times New Roman" w:cs="Times New Roman"/>
          <w:sz w:val="24"/>
        </w:rPr>
        <w:t>(Liu et al., 2023)</w:t>
      </w:r>
      <w:r w:rsidR="003A4ED1">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According to preliminary research, drug screening in living biobanks made from expandable tumor models acquired from patients may reveal new therapeutic targets and weaknesses</w:t>
      </w:r>
      <w:r w:rsidR="0088446F">
        <w:rPr>
          <w:rFonts w:ascii="Times New Roman" w:eastAsia="Times New Roman" w:hAnsi="Times New Roman" w:cs="Times New Roman"/>
          <w:color w:val="000000"/>
          <w:sz w:val="24"/>
          <w:szCs w:val="24"/>
        </w:rPr>
        <w:fldChar w:fldCharType="begin"/>
      </w:r>
      <w:r w:rsidR="0088446F">
        <w:rPr>
          <w:rFonts w:ascii="Times New Roman" w:eastAsia="Times New Roman" w:hAnsi="Times New Roman" w:cs="Times New Roman"/>
          <w:color w:val="000000"/>
          <w:sz w:val="24"/>
          <w:szCs w:val="24"/>
        </w:rPr>
        <w:instrText xml:space="preserve"> ADDIN ZOTERO_ITEM CSL_CITATION {"citationID":"E0LGT0cX","properties":{"formattedCitation":"(Folorunsho &amp; Okyere, 2025)","plainCitation":"(Folorunsho &amp; Okyere, 2025)","noteIndex":0},"citationItems":[{"id":341,"uris":["http://zotero.org/users/local/AJmTDxS7/items/KK7MY88P"],"itemData":{"id":341,"type":"article-journal","container-title":"Aging &amp; Mental Health","DOI":"10.1080/13607863.2024.2436468","ISSN":"1360-7863, 1364-6915","issue":"4","journalAbbreviation":"Aging &amp; Mental Health","language":"en","page":"567-577","source":"DOI.org (Crossref)","title":"The impact of neglect, physical, and financial abuse on mental health among older adults: a systematic review","title-short":"The impact of neglect, physical, and financial abuse on mental health among older adults","volume":"29","author":[{"family":"Folorunsho","given":"Sunkanmi"},{"family":"Okyere","given":"Michael"}],"issued":{"date-parts":[["2025",4,3]]}}}],"schema":"https://github.com/citation-style-language/schema/raw/master/csl-citation.json"} </w:instrText>
      </w:r>
      <w:r w:rsidR="0088446F">
        <w:rPr>
          <w:rFonts w:ascii="Times New Roman" w:eastAsia="Times New Roman" w:hAnsi="Times New Roman" w:cs="Times New Roman"/>
          <w:color w:val="000000"/>
          <w:sz w:val="24"/>
          <w:szCs w:val="24"/>
        </w:rPr>
        <w:fldChar w:fldCharType="separate"/>
      </w:r>
      <w:r w:rsidR="0088446F" w:rsidRPr="0088446F">
        <w:rPr>
          <w:rFonts w:ascii="Times New Roman" w:hAnsi="Times New Roman" w:cs="Times New Roman"/>
          <w:sz w:val="24"/>
        </w:rPr>
        <w:t>(Folorunsho &amp; Okyere, 2025)</w:t>
      </w:r>
      <w:r w:rsidR="0088446F">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Functional genomic approaches, on the other hand, allow for the systematic modulation of gene expression, exposing possible therapeutic opportunities and liabilities particular to subgroups. These developments emphasize how crucial it is to combine molecular and functional data in order to more accurately classify patients into therapy groups that may be put into action</w:t>
      </w:r>
      <w:r w:rsidR="003A4ED1">
        <w:rPr>
          <w:rFonts w:ascii="Times New Roman" w:eastAsia="Times New Roman" w:hAnsi="Times New Roman" w:cs="Times New Roman"/>
          <w:color w:val="000000"/>
          <w:sz w:val="24"/>
          <w:szCs w:val="24"/>
        </w:rPr>
        <w:t xml:space="preserve"> </w:t>
      </w:r>
      <w:r w:rsidR="003A4ED1">
        <w:rPr>
          <w:rFonts w:ascii="Times New Roman" w:eastAsia="Times New Roman" w:hAnsi="Times New Roman" w:cs="Times New Roman"/>
          <w:color w:val="000000"/>
          <w:sz w:val="24"/>
          <w:szCs w:val="24"/>
        </w:rPr>
        <w:fldChar w:fldCharType="begin"/>
      </w:r>
      <w:r w:rsidR="003A4ED1">
        <w:rPr>
          <w:rFonts w:ascii="Times New Roman" w:eastAsia="Times New Roman" w:hAnsi="Times New Roman" w:cs="Times New Roman"/>
          <w:color w:val="000000"/>
          <w:sz w:val="24"/>
          <w:szCs w:val="24"/>
        </w:rPr>
        <w:instrText xml:space="preserve"> ADDIN ZOTERO_ITEM CSL_CITATION {"citationID":"D2LWyvqP","properties":{"formattedCitation":"(Liu et al., 2023)","plainCitation":"(Liu et al., 2023)","noteIndex":0},"citationItems":[{"id":314,"uris":["http://zotero.org/users/local/AJmTDxS7/items/P59L3VC6"],"itemData":{"id":314,"type":"article-journal","abstract":"Patient-derived xenograft (PDX) models, in which tumor tissues from patients are implanted into immunocompromised or humanized mice, have shown superiority in recapitulating the characteristics of cancer, such as the spatial structure of cancer and the intratumor heterogeneity of cancer. Moreover, PDX models retain the genomic features of patients across different stages, subtypes, and diversified treatment backgrounds. Optimized PDX engraftment procedures and modern technologies such as multi-omics and deep learning have enabled a more comprehensive depiction of the PDX molecular landscape and boosted the utilization of PDX models. These irreplaceable advantages make PDX models an ideal choice in cancer treatment studies, such as preclinical trials of novel drugs, validating novel drug combinations, screening drug-sensitive patients, and exploring drug resistance mechanisms. In this review, we gave an overview of the history of PDX models and the process of PDX model establishment. Subsequently, the review presents the strengths and weaknesses of PDX models and highlights the integration of novel technologies in PDX model research. Finally, we delineated the broad application of PDX models in chemotherapy, targeted therapy, immunotherapy, and other novel therapies.","container-title":"Signal Transduction and Targeted Therapy","DOI":"10.1038/s41392-023-01419-2","ISSN":"2095-9907","journalAbbreviation":"Signal Transduct Target Ther","note":"PMID: 37045827\nPMCID: PMC10097874","page":"160","source":"PubMed Central","title":"Patient-derived xenograft models in cancer therapy: technologies and applications","title-short":"Patient-derived xenograft models in cancer therapy","volume":"8","author":[{"family":"Liu","given":"Yihan"},{"family":"Wu","given":"Wantao"},{"family":"Cai","given":"Changjing"},{"family":"Zhang","given":"Hao"},{"family":"Shen","given":"Hong"},{"family":"Han","given":"Ying"}],"issued":{"date-parts":[["2023",4,12]]}}}],"schema":"https://github.com/citation-style-language/schema/raw/master/csl-citation.json"} </w:instrText>
      </w:r>
      <w:r w:rsidR="003A4ED1">
        <w:rPr>
          <w:rFonts w:ascii="Times New Roman" w:eastAsia="Times New Roman" w:hAnsi="Times New Roman" w:cs="Times New Roman"/>
          <w:color w:val="000000"/>
          <w:sz w:val="24"/>
          <w:szCs w:val="24"/>
        </w:rPr>
        <w:fldChar w:fldCharType="separate"/>
      </w:r>
      <w:r w:rsidR="003A4ED1" w:rsidRPr="003A4ED1">
        <w:rPr>
          <w:rFonts w:ascii="Times New Roman" w:hAnsi="Times New Roman" w:cs="Times New Roman"/>
          <w:sz w:val="24"/>
        </w:rPr>
        <w:t>(Liu et al., 2023)</w:t>
      </w:r>
      <w:r w:rsidR="003A4ED1">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xml:space="preserve">. Our knowledge of tumor dependencies is greatly enhanced by functional testing, which identifies dynamic interactions and weaknesses that molecular profiling alone could miss. This knowledge is especially helpful for uncommon malignancies, as purely molecular techniques may be hampered by small patient cohorts </w:t>
      </w:r>
      <w:r w:rsidRPr="00B86A0A">
        <w:rPr>
          <w:rFonts w:ascii="Times New Roman" w:eastAsia="Times New Roman" w:hAnsi="Times New Roman" w:cs="Times New Roman"/>
          <w:color w:val="000000"/>
          <w:sz w:val="24"/>
          <w:szCs w:val="24"/>
        </w:rPr>
        <w:lastRenderedPageBreak/>
        <w:t>and significant tumor heterogeneity</w:t>
      </w:r>
      <w:r w:rsidR="00684913">
        <w:rPr>
          <w:rFonts w:ascii="Times New Roman" w:eastAsia="Times New Roman" w:hAnsi="Times New Roman" w:cs="Times New Roman"/>
          <w:color w:val="000000"/>
          <w:sz w:val="24"/>
          <w:szCs w:val="24"/>
        </w:rPr>
        <w:t xml:space="preserve"> </w:t>
      </w:r>
      <w:r w:rsidR="00684913">
        <w:rPr>
          <w:rFonts w:ascii="Times New Roman" w:eastAsia="Times New Roman" w:hAnsi="Times New Roman" w:cs="Times New Roman"/>
          <w:color w:val="000000"/>
          <w:sz w:val="24"/>
          <w:szCs w:val="24"/>
        </w:rPr>
        <w:fldChar w:fldCharType="begin"/>
      </w:r>
      <w:r w:rsidR="00684913">
        <w:rPr>
          <w:rFonts w:ascii="Times New Roman" w:eastAsia="Times New Roman" w:hAnsi="Times New Roman" w:cs="Times New Roman"/>
          <w:color w:val="000000"/>
          <w:sz w:val="24"/>
          <w:szCs w:val="24"/>
        </w:rPr>
        <w:instrText xml:space="preserve"> ADDIN ZOTERO_ITEM CSL_CITATION {"citationID":"x3AX0eyS","properties":{"formattedCitation":"(El\\uc0\\u8208{}Deiry et al., 2019)","plainCitation":"(El‐Deiry et al., 2019)","noteIndex":0},"citationItems":[{"id":320,"uris":["http://zotero.org/users/local/AJmTDxS7/items/7DW46Q7Y"],"itemData":{"id":320,"type":"article-journal","abstract":"The world of molecular profiling has undergone revolutionary changes over the last few years as knowledge, technology, and even standard clinical practice have evolved. Broad molecular profiling is now nearly essential for all patients with metastatic solid tumors. New agents have been approved based on molecular testing instead of tumor site of origin. Molecular profiling methodologies have likewise changed such that tests that were performed on patients a few years ago are no longer complete and possibly inaccurate today. As with all rapid change, medical providers can quickly fall behind or struggle to find up‐to‐date sources to ensure he or she provides optimum care. In this review, the authors provide the current state of the art for molecular profiling/precision medicine, practice standards, and a view into the future ahead.","container-title":"Ca","DOI":"10.3322/caac.21560","ISSN":"0007-9235","issue":"4","journalAbbreviation":"CA Cancer J Clin","note":"PMID: 31116423\nPMCID: PMC6767457","page":"305-343","source":"PubMed Central","title":"The current state of molecular testing in the treatment of patients with solid tumors, 2019","volume":"69","author":[{"family":"El‐Deiry","given":"Wafik S."},{"family":"Goldberg","given":"Richard M."},{"family":"Lenz","given":"Heinz‐Josef"},{"family":"Shields","given":"Anthony F."},{"family":"Gibney","given":"Geoffrey T."},{"family":"Tan","given":"Antoinette R."},{"family":"Brown","given":"Jubilee"},{"family":"Eisenberg","given":"Burton"},{"family":"Heath","given":"Elisabeth I."},{"family":"Phuphanich","given":"Surasak"},{"family":"Kim","given":"Edward"},{"family":"Brenner","given":"Andrew J."},{"family":"Marshall","given":"John L."}],"issued":{"date-parts":[["2019"]]}}}],"schema":"https://github.com/citation-style-language/schema/raw/master/csl-citation.json"} </w:instrText>
      </w:r>
      <w:r w:rsidR="00684913">
        <w:rPr>
          <w:rFonts w:ascii="Times New Roman" w:eastAsia="Times New Roman" w:hAnsi="Times New Roman" w:cs="Times New Roman"/>
          <w:color w:val="000000"/>
          <w:sz w:val="24"/>
          <w:szCs w:val="24"/>
        </w:rPr>
        <w:fldChar w:fldCharType="separate"/>
      </w:r>
      <w:r w:rsidR="00684913" w:rsidRPr="00684913">
        <w:rPr>
          <w:rFonts w:ascii="Times New Roman" w:hAnsi="Times New Roman" w:cs="Times New Roman"/>
          <w:sz w:val="24"/>
        </w:rPr>
        <w:t>(El‐Deiry et al., 2019)</w:t>
      </w:r>
      <w:r w:rsidR="00684913">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xml:space="preserve">. For example, a recent work by </w:t>
      </w:r>
      <w:r w:rsidR="00684913">
        <w:rPr>
          <w:rFonts w:ascii="Times New Roman" w:eastAsia="Times New Roman" w:hAnsi="Times New Roman" w:cs="Times New Roman"/>
          <w:color w:val="000000"/>
          <w:sz w:val="24"/>
          <w:szCs w:val="24"/>
        </w:rPr>
        <w:t>(</w:t>
      </w:r>
      <w:r w:rsidR="00684913">
        <w:rPr>
          <w:rFonts w:ascii="Times New Roman" w:eastAsia="Times New Roman" w:hAnsi="Times New Roman" w:cs="Times New Roman"/>
          <w:color w:val="000000"/>
          <w:sz w:val="24"/>
          <w:szCs w:val="24"/>
        </w:rPr>
        <w:fldChar w:fldCharType="begin"/>
      </w:r>
      <w:r w:rsidR="00684913">
        <w:rPr>
          <w:rFonts w:ascii="Times New Roman" w:eastAsia="Times New Roman" w:hAnsi="Times New Roman" w:cs="Times New Roman"/>
          <w:color w:val="000000"/>
          <w:sz w:val="24"/>
          <w:szCs w:val="24"/>
        </w:rPr>
        <w:instrText xml:space="preserve"> ADDIN ZOTERO_ITEM CSL_CITATION {"citationID":"uKAI6z4w","properties":{"formattedCitation":"(Al Shihabi et al., 2024)","plainCitation":"(Al Shihabi et al., 2024)","noteIndex":0},"citationItems":[{"id":323,"uris":["http://zotero.org/users/local/AJmTDxS7/items/K8UCPDS4"],"itemData":{"id":323,"type":"article-journal","abstract":"Sarcomas are rare malignancies with over 100 distinct histological subtypes. Their rarity and heterogeneity pose significant challenges to identifying effective therapies, and approved regimens show varied responses. Novel, personalized approaches to therapy are needed to improve patient outcomes. Patient-derived tumor organoids (PDTOs) model tumor behavior across an array of malignancies. We leverage PDTOs to characterize the landscape of drug resistance and sensitivity in sarcoma, collecting 194 specimens from 126 patients spanning 24 distinct sarcoma subtypes. Our high-throughput organoid screening pipeline tested single agents and combinations, with results available within a week from surgery. Drug sensitivity correlated with clinical features such as tumor subtype, treatment history, and disease trajectory. PDTO screening can facilitate optimal drug selection and mirror patient outcomes in sarcoma. We could identify at least one FDA-approved or NCCN-recommended effective regimen for 59% of the specimens, demonstrating the potential of our pipeline to provide actionable treatment information.","container-title":"Cell Stem Cell","DOI":"10.1016/j.stem.2024.08.010","ISSN":"1875-9777","issue":"10","journalAbbreviation":"Cell Stem Cell","language":"eng","note":"PMID: 39305899","page":"1524-1542.e4","source":"PubMed","title":"The landscape of drug sensitivity and resistance in sarcoma","volume":"31","author":[{"family":"Al Shihabi","given":"Ahmad"},{"family":"Tebon","given":"Peyton J."},{"family":"Nguyen","given":"Huyen Thi Lam"},{"family":"Chantharasamee","given":"Jomjit"},{"family":"Sartini","given":"Sara"},{"family":"Davarifar","given":"Ardalan"},{"family":"Jensen","given":"Alexandra Y."},{"family":"Diaz-Infante","given":"Miranda"},{"family":"Cox","given":"Hannah"},{"family":"Gonzalez","given":"Alfredo Enrique"},{"family":"Norris","given":"Summer"},{"family":"Sperry","given":"Jantzen"},{"family":"Nakashima","given":"Jonathan"},{"family":"Tavanaie","given":"Nasrin"},{"family":"Winata","given":"Helena"},{"family":"Fitz-Gibbon","given":"Sorel T."},{"family":"Yamaguchi","given":"Takafumi N."},{"family":"Jeong","given":"Jae H."},{"family":"Dry","given":"Sarah"},{"family":"Singh","given":"Arun S."},{"family":"Chmielowski","given":"Bartosz"},{"family":"Crompton","given":"Joseph G."},{"family":"Kalbasi","given":"Anusha K."},{"family":"Eilber","given":"Fritz C."},{"family":"Hornicek","given":"Francis"},{"family":"Bernthal","given":"Nicholas M."},{"family":"Nelson","given":"Scott D."},{"family":"Boutros","given":"Paul C."},{"family":"Federman","given":"Noah C."},{"family":"Yanagawa","given":"Jane"},{"family":"Soragni","given":"Alice"}],"issued":{"date-parts":[["2024",10,3]]}}}],"schema":"https://github.com/citation-style-language/schema/raw/master/csl-citation.json"} </w:instrText>
      </w:r>
      <w:r w:rsidR="00684913">
        <w:rPr>
          <w:rFonts w:ascii="Times New Roman" w:eastAsia="Times New Roman" w:hAnsi="Times New Roman" w:cs="Times New Roman"/>
          <w:color w:val="000000"/>
          <w:sz w:val="24"/>
          <w:szCs w:val="24"/>
        </w:rPr>
        <w:fldChar w:fldCharType="separate"/>
      </w:r>
      <w:r w:rsidR="00684913" w:rsidRPr="00684913">
        <w:rPr>
          <w:rFonts w:ascii="Times New Roman" w:hAnsi="Times New Roman" w:cs="Times New Roman"/>
          <w:sz w:val="24"/>
        </w:rPr>
        <w:t>Al Shihabi et al., 2024</w:t>
      </w:r>
      <w:r w:rsidR="00684913">
        <w:rPr>
          <w:rFonts w:ascii="Times New Roman" w:hAnsi="Times New Roman" w:cs="Times New Roman"/>
          <w:sz w:val="24"/>
        </w:rPr>
        <w:t xml:space="preserve"> </w:t>
      </w:r>
      <w:r w:rsidR="00684913" w:rsidRPr="00684913">
        <w:rPr>
          <w:rFonts w:ascii="Times New Roman" w:hAnsi="Times New Roman" w:cs="Times New Roman"/>
          <w:sz w:val="24"/>
        </w:rPr>
        <w:t>)</w:t>
      </w:r>
      <w:r w:rsidR="00684913">
        <w:rPr>
          <w:rFonts w:ascii="Times New Roman" w:eastAsia="Times New Roman" w:hAnsi="Times New Roman" w:cs="Times New Roman"/>
          <w:color w:val="000000"/>
          <w:sz w:val="24"/>
          <w:szCs w:val="24"/>
        </w:rPr>
        <w:fldChar w:fldCharType="end"/>
      </w:r>
      <w:r w:rsidR="00684913">
        <w:rPr>
          <w:rFonts w:ascii="Times New Roman" w:eastAsia="Times New Roman" w:hAnsi="Times New Roman" w:cs="Times New Roman"/>
          <w:color w:val="000000"/>
          <w:sz w:val="24"/>
          <w:szCs w:val="24"/>
        </w:rPr>
        <w:t xml:space="preserve"> </w:t>
      </w:r>
      <w:r w:rsidRPr="00B86A0A">
        <w:rPr>
          <w:rFonts w:ascii="Times New Roman" w:eastAsia="Times New Roman" w:hAnsi="Times New Roman" w:cs="Times New Roman"/>
          <w:color w:val="000000"/>
          <w:sz w:val="24"/>
          <w:szCs w:val="24"/>
        </w:rPr>
        <w:t>showed that medication sensitivity testing may be performed within a week of tumor removal using short-term sarcoma cultures grown in Matrigel, giving clinicians fast, useful information for therapeutic decision-making. Functional profile can reveal additional therapeutic dependencies, particularly when standard therapies fail or resistance develops, according to similar work in more widely used cancer models. By evaluating several therapies or combinations at the same time, high-throughput in vitro screening techniques can help patients with few treatment options by identifying new therapeutic targets, helping to prioritize medication regimens, and clarifying resistance mechanisms</w:t>
      </w:r>
      <w:r w:rsidR="00684913">
        <w:rPr>
          <w:rFonts w:ascii="Times New Roman" w:eastAsia="Times New Roman" w:hAnsi="Times New Roman" w:cs="Times New Roman"/>
          <w:color w:val="000000"/>
          <w:sz w:val="24"/>
          <w:szCs w:val="24"/>
        </w:rPr>
        <w:t xml:space="preserve"> </w:t>
      </w:r>
      <w:r w:rsidR="00684913">
        <w:rPr>
          <w:rFonts w:ascii="Times New Roman" w:eastAsia="Times New Roman" w:hAnsi="Times New Roman" w:cs="Times New Roman"/>
          <w:color w:val="000000"/>
          <w:sz w:val="24"/>
          <w:szCs w:val="24"/>
        </w:rPr>
        <w:fldChar w:fldCharType="begin"/>
      </w:r>
      <w:r w:rsidR="00684913">
        <w:rPr>
          <w:rFonts w:ascii="Times New Roman" w:eastAsia="Times New Roman" w:hAnsi="Times New Roman" w:cs="Times New Roman"/>
          <w:color w:val="000000"/>
          <w:sz w:val="24"/>
          <w:szCs w:val="24"/>
        </w:rPr>
        <w:instrText xml:space="preserve"> ADDIN ZOTERO_ITEM CSL_CITATION {"citationID":"4agfHAiy","properties":{"formattedCitation":"(Plana et al., 2022)","plainCitation":"(Plana et al., 2022)","noteIndex":0},"citationItems":[{"id":326,"uris":["http://zotero.org/users/local/AJmTDxS7/items/HVNUYQF2"],"itemData":{"id":326,"type":"article-journal","abstract":"Combination therapies are superior to monotherapy for many cancers. This advantage was historically ascribed to the ability of combinations to address tumor heterogeneity, but synergistic interaction is now a common explanation as well as a design criterion for new combinations. We review evidence that independent drug action, described in 1961, explains the efficacy of many practice-changing combination therapies: it provides populations of patients with heterogeneous drug sensitivities multiple chances of benefit from at least one drug. Understanding response heterogeneity could reveal predictive or pharmacodynamic biomarkers for more precise use of existing drugs and realize the benefits of additivity or synergy.","container-title":"Cancer Discovery","DOI":"10.1158/2159-8290.CD-21-0212","ISSN":"2159-8274","issue":"3","journalAbbreviation":"Cancer Discov","note":"PMID: 34983746\nPMCID: PMC8904281","page":"606-624","source":"PubMed Central","title":"Independent Drug Action in Combination Therapy: Implications for Precision Oncology","title-short":"Independent Drug Action in Combination Therapy","volume":"12","author":[{"family":"Plana","given":"Deborah"},{"family":"Palmer","given":"Adam C."},{"family":"Sorger","given":"Peter K."}],"issued":{"date-parts":[["2022",3,1]]}}}],"schema":"https://github.com/citation-style-language/schema/raw/master/csl-citation.json"} </w:instrText>
      </w:r>
      <w:r w:rsidR="00684913">
        <w:rPr>
          <w:rFonts w:ascii="Times New Roman" w:eastAsia="Times New Roman" w:hAnsi="Times New Roman" w:cs="Times New Roman"/>
          <w:color w:val="000000"/>
          <w:sz w:val="24"/>
          <w:szCs w:val="24"/>
        </w:rPr>
        <w:fldChar w:fldCharType="separate"/>
      </w:r>
      <w:r w:rsidR="00684913" w:rsidRPr="00684913">
        <w:rPr>
          <w:rFonts w:ascii="Times New Roman" w:hAnsi="Times New Roman" w:cs="Times New Roman"/>
          <w:sz w:val="24"/>
        </w:rPr>
        <w:t>(Plana et al., 2022)</w:t>
      </w:r>
      <w:r w:rsidR="00684913">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xml:space="preserve">. </w:t>
      </w:r>
      <w:bookmarkStart w:id="2" w:name="_Hlk202187333"/>
      <w:r w:rsidRPr="00B86A0A">
        <w:rPr>
          <w:rFonts w:ascii="Times New Roman" w:eastAsia="Times New Roman" w:hAnsi="Times New Roman" w:cs="Times New Roman"/>
          <w:color w:val="000000"/>
          <w:sz w:val="24"/>
          <w:szCs w:val="24"/>
        </w:rPr>
        <w:t xml:space="preserve">Half of the patients in the EXALT1 trial (NCT03096821), which was carried out in patients with advanced hematologic malignancies, saw significant clinical benefit, including exceptional responders, demonstrating the clinical viability and effectiveness of therapy selection informed by drug response </w:t>
      </w:r>
      <w:r w:rsidR="00723E90" w:rsidRPr="00B86A0A">
        <w:rPr>
          <w:rFonts w:ascii="Times New Roman" w:eastAsia="Times New Roman" w:hAnsi="Times New Roman" w:cs="Times New Roman"/>
          <w:color w:val="000000"/>
          <w:sz w:val="24"/>
          <w:szCs w:val="24"/>
        </w:rPr>
        <w:t>profiling.</w:t>
      </w:r>
      <w:r w:rsidRPr="00B86A0A">
        <w:rPr>
          <w:rFonts w:ascii="Times New Roman" w:eastAsia="Times New Roman" w:hAnsi="Times New Roman" w:cs="Times New Roman"/>
          <w:color w:val="000000"/>
          <w:sz w:val="24"/>
          <w:szCs w:val="24"/>
        </w:rPr>
        <w:t xml:space="preserve"> Building on these findings, the EXALT2 trial will include an interdisciplinary tumor board to discuss treatment recommendations and prospectively compare standard-of-care approaches, genomic profiling, and functional testing in patients with relapsed or refractory hematologic malignancies. The development and expansion of these techniques will be critical to the future of</w:t>
      </w:r>
      <w:bookmarkEnd w:id="2"/>
      <w:r w:rsidRPr="00B86A0A">
        <w:rPr>
          <w:rFonts w:ascii="Times New Roman" w:eastAsia="Times New Roman" w:hAnsi="Times New Roman" w:cs="Times New Roman"/>
          <w:color w:val="000000"/>
          <w:sz w:val="24"/>
          <w:szCs w:val="24"/>
        </w:rPr>
        <w:t xml:space="preserve"> functional patient stratification</w:t>
      </w:r>
      <w:r w:rsidR="00684913">
        <w:rPr>
          <w:rFonts w:ascii="Times New Roman" w:eastAsia="Times New Roman" w:hAnsi="Times New Roman" w:cs="Times New Roman"/>
          <w:color w:val="000000"/>
          <w:sz w:val="24"/>
          <w:szCs w:val="24"/>
        </w:rPr>
        <w:t xml:space="preserve"> </w:t>
      </w:r>
      <w:r w:rsidR="00684913">
        <w:rPr>
          <w:rFonts w:ascii="Times New Roman" w:eastAsia="Times New Roman" w:hAnsi="Times New Roman" w:cs="Times New Roman"/>
          <w:color w:val="000000"/>
          <w:sz w:val="24"/>
          <w:szCs w:val="24"/>
        </w:rPr>
        <w:fldChar w:fldCharType="begin"/>
      </w:r>
      <w:r w:rsidR="00684913">
        <w:rPr>
          <w:rFonts w:ascii="Times New Roman" w:eastAsia="Times New Roman" w:hAnsi="Times New Roman" w:cs="Times New Roman"/>
          <w:color w:val="000000"/>
          <w:sz w:val="24"/>
          <w:szCs w:val="24"/>
        </w:rPr>
        <w:instrText xml:space="preserve"> ADDIN ZOTERO_ITEM CSL_CITATION {"citationID":"0wcHxTBf","properties":{"formattedCitation":"(Kornauth et al., 2022)","plainCitation":"(Kornauth et al., 2022)","noteIndex":0},"citationItems":[{"id":329,"uris":["http://zotero.org/users/local/AJmTDxS7/items/F2FE7CUE"],"itemData":{"id":329,"type":"article-journal","abstract":"Analysis of data from the Extended Analysis for Leukemia/Lymphoma Treatment (EXALT) trial revealed that guidance of treatment decisions based on single-cell functional drug testing is achievable and efficacious in relapsed and refractory hematologic cancers., Personalized medicine aims to match the right drug with the right patient by using specific features of the individual patient's tumor. However, current strategies of personalized therapy matching provide treatment opportunities for less than 10% of patients with cancer. A promising method may be drug profiling of patient biopsy specimens with single-cell resolution to directly quantify drug effects. We prospectively tested an image-based single-cell functional precision medicine (scFPM) approach to guide treatments in 143 patients with advanced aggressive hematologic cancers. Fifty-six patients (39%) were treated according to scFPM results. At a median follow-up of 23.9 months, 30 patients (54%) demonstrated a clinical benefit of more than 1.3-fold enhanced progression-free survival compared with their previous therapy. Twelve patients (40% of responders) experienced exceptional responses lasting three times longer than expected for their respective disease. We conclude that therapy matching by scFPM is clinically feasible and effective in advanced aggressive hematologic cancers.","container-title":"Cancer Discovery","DOI":"10.1158/2159-8290.CD-21-0538","ISSN":"2159-8274","issue":"2","journalAbbreviation":"Cancer Discov","note":"PMID: 34635570\nPMCID: PMC9762339","page":"372-387","source":"PubMed Central","title":"Functional Precision Medicine Provides Clinical Benefit in Advanced Aggressive Hematologic Cancers and Identifies Exceptional Responders","volume":"12","author":[{"family":"Kornauth","given":"Christoph"},{"family":"Pemovska","given":"Tea"},{"family":"Vladimer","given":"Gregory I."},{"family":"Bayer","given":"Günther"},{"family":"Bergmann","given":"Michael"},{"family":"Eder","given":"Sandra"},{"family":"Eichner","given":"Ruth"},{"family":"Erl","given":"Martin"},{"family":"Esterbauer","given":"Harald"},{"family":"Exner","given":"Ruth"},{"family":"Felsleitner-Hauer","given":"Verena"},{"family":"Forte","given":"Maurizio"},{"family":"Gaiger","given":"Alexander"},{"family":"Geissler","given":"Klaus"},{"family":"Greinix","given":"Hildegard T."},{"family":"Gstöttner","given":"Wolfgang"},{"family":"Hacker","given":"Marcus"},{"family":"Hartmann","given":"Bernd Lorenz"},{"family":"Hauswirth","given":"Alexander W."},{"family":"Heinemann","given":"Tim"},{"family":"Heintel","given":"Daniel"},{"family":"Hoda","given":"Mir Alireza"},{"family":"Hopfinger","given":"Georg"},{"family":"Jaeger","given":"Ulrich"},{"family":"Kazianka","given":"Lukas"},{"family":"Kenner","given":"Lukas"},{"family":"Kiesewetter","given":"Barbara"},{"family":"Krall","given":"Nikolaus"},{"family":"Krajnik","given":"Gerhard"},{"family":"Kubicek","given":"Stefan"},{"family":"Le","given":"Trang"},{"family":"Lubowitzki","given":"Simone"},{"family":"Mayerhoefer","given":"Marius E."},{"family":"Menschel","given":"Elisabeth"},{"family":"Merkel","given":"Olaf"},{"family":"Miura","given":"Katsuhiro"},{"family":"Müllauer","given":"Leonhard"},{"family":"Neumeister","given":"Peter"},{"family":"Noesslinger","given":"Thomas"},{"family":"Ocko","given":"Katharina"},{"family":"Öhler","given":"Leopold"},{"family":"Panny","given":"Michael"},{"family":"Pichler","given":"Alexander"},{"family":"Porpaczy","given":"Edit"},{"family":"Prager","given":"Gerald W."},{"family":"Raderer","given":"Markus"},{"family":"Ristl","given":"Robin"},{"family":"Ruckser","given":"Reinhard"},{"family":"Salamon","given":"Julius"},{"family":"Schiefer","given":"Ana-Iris"},{"family":"Schmolke","given":"Ann-Sofie"},{"family":"Schwarzinger","given":"Ilse"},{"family":"Selzer","given":"Edgar"},{"family":"Sillaber","given":"Christian"},{"family":"Skrabs","given":"Cathrin"},{"family":"Sperr","given":"Wolfgang R."},{"family":"Srndic","given":"Ismet"},{"family":"Thalhammer","given":"Renate"},{"family":"Valent","given":"Peter"},{"family":"Kouwe","given":"Emiel","non-dropping-particle":"van der"},{"family":"Vanura","given":"Katrina"},{"family":"Vogt","given":"Stefan"},{"family":"Waldstein","given":"Cora"},{"family":"Wolf","given":"Dominik"},{"family":"Zielinski","given":"Christoph C."},{"family":"Zojer","given":"Niklas"},{"family":"Simonitsch-Klupp","given":"Ingrid"},{"family":"Superti-Furga","given":"Giulio"},{"family":"Snijder","given":"Berend"},{"family":"Staber","given":"Philipp B."}],"issued":{"date-parts":[["2022",2,1]]}}}],"schema":"https://github.com/citation-style-language/schema/raw/master/csl-citation.json"} </w:instrText>
      </w:r>
      <w:r w:rsidR="00684913">
        <w:rPr>
          <w:rFonts w:ascii="Times New Roman" w:eastAsia="Times New Roman" w:hAnsi="Times New Roman" w:cs="Times New Roman"/>
          <w:color w:val="000000"/>
          <w:sz w:val="24"/>
          <w:szCs w:val="24"/>
        </w:rPr>
        <w:fldChar w:fldCharType="separate"/>
      </w:r>
      <w:r w:rsidR="00684913" w:rsidRPr="00684913">
        <w:rPr>
          <w:rFonts w:ascii="Times New Roman" w:hAnsi="Times New Roman" w:cs="Times New Roman"/>
          <w:sz w:val="24"/>
        </w:rPr>
        <w:t>(Kornauth et al., 2022)</w:t>
      </w:r>
      <w:r w:rsidR="00684913">
        <w:rPr>
          <w:rFonts w:ascii="Times New Roman" w:eastAsia="Times New Roman" w:hAnsi="Times New Roman" w:cs="Times New Roman"/>
          <w:color w:val="000000"/>
          <w:sz w:val="24"/>
          <w:szCs w:val="24"/>
        </w:rPr>
        <w:fldChar w:fldCharType="end"/>
      </w:r>
      <w:r w:rsidRPr="00B86A0A">
        <w:rPr>
          <w:rFonts w:ascii="Times New Roman" w:eastAsia="Times New Roman" w:hAnsi="Times New Roman" w:cs="Times New Roman"/>
          <w:color w:val="000000"/>
          <w:sz w:val="24"/>
          <w:szCs w:val="24"/>
        </w:rPr>
        <w:t xml:space="preserve">. </w:t>
      </w:r>
    </w:p>
    <w:p w14:paraId="66434883" w14:textId="5EDA6E81" w:rsidR="00E50C6A" w:rsidRPr="00723E90" w:rsidRDefault="00E50C6A" w:rsidP="00E50C6A">
      <w:pPr>
        <w:pBdr>
          <w:top w:val="nil"/>
          <w:left w:val="nil"/>
          <w:bottom w:val="nil"/>
          <w:right w:val="nil"/>
          <w:between w:val="nil"/>
        </w:pBdr>
        <w:spacing w:line="240" w:lineRule="auto"/>
        <w:jc w:val="both"/>
        <w:rPr>
          <w:rFonts w:ascii="Times New Roman" w:eastAsia="Times New Roman" w:hAnsi="Times New Roman" w:cs="Times New Roman"/>
          <w:b/>
          <w:bCs/>
          <w:color w:val="000000"/>
          <w:sz w:val="27"/>
          <w:szCs w:val="27"/>
        </w:rPr>
      </w:pPr>
      <w:r w:rsidRPr="00723E90">
        <w:rPr>
          <w:rFonts w:ascii="Times New Roman" w:eastAsia="Times New Roman" w:hAnsi="Times New Roman" w:cs="Times New Roman"/>
          <w:b/>
          <w:bCs/>
          <w:color w:val="000000"/>
          <w:sz w:val="27"/>
          <w:szCs w:val="27"/>
        </w:rPr>
        <w:t>1</w:t>
      </w:r>
      <w:r w:rsidR="00723E90" w:rsidRPr="00723E90">
        <w:rPr>
          <w:rFonts w:ascii="Times New Roman" w:eastAsia="Times New Roman" w:hAnsi="Times New Roman" w:cs="Times New Roman"/>
          <w:b/>
          <w:bCs/>
          <w:color w:val="000000"/>
          <w:sz w:val="27"/>
          <w:szCs w:val="27"/>
        </w:rPr>
        <w:t>1</w:t>
      </w:r>
      <w:r w:rsidRPr="00723E90">
        <w:rPr>
          <w:rFonts w:ascii="Times New Roman" w:eastAsia="Times New Roman" w:hAnsi="Times New Roman" w:cs="Times New Roman"/>
          <w:b/>
          <w:bCs/>
          <w:color w:val="000000"/>
          <w:sz w:val="27"/>
          <w:szCs w:val="27"/>
        </w:rPr>
        <w:t xml:space="preserve">. Challenges and Limitations of Multi-Omics Integration </w:t>
      </w:r>
    </w:p>
    <w:p w14:paraId="2462DCAB" w14:textId="5E435C44" w:rsidR="00701379" w:rsidRDefault="00E50C6A" w:rsidP="00E50C6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E50C6A">
        <w:rPr>
          <w:rFonts w:ascii="Times New Roman" w:eastAsia="Times New Roman" w:hAnsi="Times New Roman" w:cs="Times New Roman"/>
          <w:color w:val="000000"/>
          <w:sz w:val="24"/>
          <w:szCs w:val="24"/>
        </w:rPr>
        <w:t xml:space="preserve">Notwithstanding its enormous potential, a number of technical, computational, biological, and ethical obstacles must be carefully overcome before multi-omics integration in cancer research and clinical practice may reach its full </w:t>
      </w:r>
      <w:r w:rsidR="00723E90" w:rsidRPr="00E50C6A">
        <w:rPr>
          <w:rFonts w:ascii="Times New Roman" w:eastAsia="Times New Roman" w:hAnsi="Times New Roman" w:cs="Times New Roman"/>
          <w:color w:val="000000"/>
          <w:sz w:val="24"/>
          <w:szCs w:val="24"/>
        </w:rPr>
        <w:t>potential</w:t>
      </w:r>
      <w:r w:rsidR="00976DF6">
        <w:rPr>
          <w:rFonts w:ascii="Times New Roman" w:eastAsia="Times New Roman" w:hAnsi="Times New Roman" w:cs="Times New Roman"/>
          <w:color w:val="000000"/>
          <w:sz w:val="24"/>
          <w:szCs w:val="24"/>
        </w:rPr>
        <w:t xml:space="preserve"> </w:t>
      </w:r>
      <w:r w:rsidR="00723E90" w:rsidRPr="00E50C6A">
        <w:rPr>
          <w:rFonts w:ascii="Times New Roman" w:eastAsia="Times New Roman" w:hAnsi="Times New Roman" w:cs="Times New Roman"/>
          <w:color w:val="000000"/>
          <w:sz w:val="24"/>
          <w:szCs w:val="24"/>
        </w:rPr>
        <w:t>(</w:t>
      </w:r>
      <w:r w:rsidRPr="00E50C6A">
        <w:rPr>
          <w:rFonts w:ascii="Times New Roman" w:eastAsia="Times New Roman" w:hAnsi="Times New Roman" w:cs="Times New Roman"/>
          <w:color w:val="000000"/>
          <w:sz w:val="24"/>
          <w:szCs w:val="24"/>
        </w:rPr>
        <w:t xml:space="preserve">Magro et al., 2024a). Technically speaking, problems including inconsistent sample preparation methods, protein and nucleic acid deterioration, and the identification of low-abundance molecules can jeopardize data quality and cross-omics layer comparability. Results are frequently distorted by batch effects and platform-specific biases, necessitating rigorous quality control and normalization </w:t>
      </w:r>
      <w:r w:rsidR="00723E90" w:rsidRPr="00E50C6A">
        <w:rPr>
          <w:rFonts w:ascii="Times New Roman" w:eastAsia="Times New Roman" w:hAnsi="Times New Roman" w:cs="Times New Roman"/>
          <w:color w:val="000000"/>
          <w:sz w:val="24"/>
          <w:szCs w:val="24"/>
        </w:rPr>
        <w:t>processes (</w:t>
      </w:r>
      <w:r w:rsidRPr="00E50C6A">
        <w:rPr>
          <w:rFonts w:ascii="Times New Roman" w:eastAsia="Times New Roman" w:hAnsi="Times New Roman" w:cs="Times New Roman"/>
          <w:color w:val="000000"/>
          <w:sz w:val="24"/>
          <w:szCs w:val="24"/>
        </w:rPr>
        <w:t xml:space="preserve">Lou &amp; Therkildsen, 2022). The computational issues are especially important since omics data is diverse, with varying noise levels, scales, and distributions. There are still no standardized procedures for preprocessing, integrating, and interpreting data, which makes it difficult for studies to be repeated. Furthermore, it is possible that the majority of current algorithms do not translate well to multi-modal environments because they were </w:t>
      </w:r>
      <w:r w:rsidR="00723E90" w:rsidRPr="00E50C6A">
        <w:rPr>
          <w:rFonts w:ascii="Times New Roman" w:eastAsia="Times New Roman" w:hAnsi="Times New Roman" w:cs="Times New Roman"/>
          <w:color w:val="000000"/>
          <w:sz w:val="24"/>
          <w:szCs w:val="24"/>
        </w:rPr>
        <w:t>designed</w:t>
      </w:r>
      <w:r w:rsidR="00723E90">
        <w:rPr>
          <w:rFonts w:ascii="Times New Roman" w:eastAsia="Times New Roman" w:hAnsi="Times New Roman" w:cs="Times New Roman"/>
          <w:color w:val="000000"/>
          <w:sz w:val="24"/>
          <w:szCs w:val="24"/>
        </w:rPr>
        <w:t xml:space="preserve"> </w:t>
      </w:r>
      <w:r w:rsidR="00723E90" w:rsidRPr="00E50C6A">
        <w:rPr>
          <w:rFonts w:ascii="Times New Roman" w:eastAsia="Times New Roman" w:hAnsi="Times New Roman" w:cs="Times New Roman"/>
          <w:color w:val="000000"/>
          <w:sz w:val="24"/>
          <w:szCs w:val="24"/>
        </w:rPr>
        <w:t>(</w:t>
      </w:r>
      <w:r w:rsidRPr="00E50C6A">
        <w:rPr>
          <w:rFonts w:ascii="Times New Roman" w:eastAsia="Times New Roman" w:hAnsi="Times New Roman" w:cs="Times New Roman"/>
          <w:color w:val="000000"/>
          <w:sz w:val="24"/>
          <w:szCs w:val="24"/>
        </w:rPr>
        <w:t>Magro et al., 2024b). An additional level of complexity arises in the understanding of biology. Using observational information to infer causal links between molecular alterations and phenotypic outcomes is intrinsically challenging. Furthermore, multi-omics data sometimes have insufficient temporal resolution, which makes it challenging to discern between initial events and subsequent consequences in treatment resistance and tumor growth</w:t>
      </w:r>
      <w:r w:rsidR="00723E90">
        <w:rPr>
          <w:rFonts w:ascii="Times New Roman" w:eastAsia="Times New Roman" w:hAnsi="Times New Roman" w:cs="Times New Roman"/>
          <w:color w:val="000000"/>
          <w:sz w:val="24"/>
          <w:szCs w:val="24"/>
        </w:rPr>
        <w:t xml:space="preserve"> </w:t>
      </w:r>
      <w:r w:rsidRPr="00E50C6A">
        <w:rPr>
          <w:rFonts w:ascii="Times New Roman" w:eastAsia="Times New Roman" w:hAnsi="Times New Roman" w:cs="Times New Roman"/>
          <w:color w:val="000000"/>
          <w:sz w:val="24"/>
          <w:szCs w:val="24"/>
        </w:rPr>
        <w:t xml:space="preserve">(Clarke et al., 2020). Privacy and ethical issues are also quite important. Because multi-omics datasets are naturally recognizable, they raise important questions about patient permission, data sharing, and handling incidental findings that may have therapeutic significance. It is crucial to have transparent governance structures and strong anonymization </w:t>
      </w:r>
      <w:r w:rsidR="00723E90" w:rsidRPr="00E50C6A">
        <w:rPr>
          <w:rFonts w:ascii="Times New Roman" w:eastAsia="Times New Roman" w:hAnsi="Times New Roman" w:cs="Times New Roman"/>
          <w:color w:val="000000"/>
          <w:sz w:val="24"/>
          <w:szCs w:val="24"/>
        </w:rPr>
        <w:t>techniques (</w:t>
      </w:r>
      <w:r w:rsidRPr="00E50C6A">
        <w:rPr>
          <w:rFonts w:ascii="Times New Roman" w:eastAsia="Times New Roman" w:hAnsi="Times New Roman" w:cs="Times New Roman"/>
          <w:color w:val="000000"/>
          <w:sz w:val="24"/>
          <w:szCs w:val="24"/>
        </w:rPr>
        <w:t xml:space="preserve">Chiruvella &amp; Guddati, 2021). Last but not least, one of the biggest obstacles is still the scalability of multi-omics platforms in low- and middle-income (LMIC) nations. The requirement for specialist staff, high expenses, and limited infrastructure restricts access and global equity in cancer research. Strategic </w:t>
      </w:r>
      <w:r>
        <w:rPr>
          <w:rFonts w:ascii="Times New Roman" w:eastAsia="Times New Roman" w:hAnsi="Times New Roman" w:cs="Times New Roman"/>
          <w:color w:val="000000"/>
          <w:sz w:val="24"/>
          <w:szCs w:val="24"/>
        </w:rPr>
        <w:t>investment in local capacity building and affordable, decentralized omics solutions will be necessary to address these inequities</w:t>
      </w:r>
      <w:r w:rsidR="00976D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(Nacis et al., 2024).</w:t>
      </w:r>
    </w:p>
    <w:p w14:paraId="7FB83F25" w14:textId="77777777" w:rsidR="00701379" w:rsidRDefault="00701379">
      <w:pPr>
        <w:pStyle w:val="Heading3"/>
        <w:jc w:val="both"/>
      </w:pPr>
    </w:p>
    <w:p w14:paraId="5A5B6307" w14:textId="77777777" w:rsidR="00701379" w:rsidRDefault="00000000">
      <w:pPr>
        <w:pStyle w:val="Heading3"/>
        <w:jc w:val="both"/>
      </w:pPr>
      <w:r>
        <w:t xml:space="preserve">10. Future Perspectives and Innovations </w:t>
      </w:r>
    </w:p>
    <w:p w14:paraId="7EF2F5A8" w14:textId="586FE5E5"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future of multi-omics in oncology is poised to be shaped by breakthroughs in technology, data science, and global collaboration, with a common objective of improving precision cancer care more predictive, preventive, and </w:t>
      </w:r>
      <w:r w:rsidR="00723E90">
        <w:rPr>
          <w:rFonts w:ascii="Times New Roman" w:eastAsia="Times New Roman" w:hAnsi="Times New Roman" w:cs="Times New Roman"/>
          <w:color w:val="000000"/>
          <w:sz w:val="24"/>
          <w:szCs w:val="24"/>
        </w:rPr>
        <w:t>equitable (</w:t>
      </w:r>
      <w:r>
        <w:rPr>
          <w:rFonts w:ascii="Times New Roman" w:eastAsia="Times New Roman" w:hAnsi="Times New Roman" w:cs="Times New Roman"/>
          <w:color w:val="000000"/>
          <w:sz w:val="24"/>
          <w:szCs w:val="24"/>
        </w:rPr>
        <w:t xml:space="preserve">Luo et al., 2025). New technologies are pushing the limits of what can be measured and understood. Tools driven by artificial intelligence (AI), including AlphaFold for protein structure prediction and massive language models for biological sequence interpretation, are transforming our capacity to quickly and accurately process omics </w:t>
      </w:r>
      <w:r w:rsidR="00723E90">
        <w:rPr>
          <w:rFonts w:ascii="Times New Roman" w:eastAsia="Times New Roman" w:hAnsi="Times New Roman" w:cs="Times New Roman"/>
          <w:color w:val="000000"/>
          <w:sz w:val="24"/>
          <w:szCs w:val="24"/>
        </w:rPr>
        <w:t>data (</w:t>
      </w:r>
      <w:r>
        <w:rPr>
          <w:rFonts w:ascii="Times New Roman" w:eastAsia="Times New Roman" w:hAnsi="Times New Roman" w:cs="Times New Roman"/>
          <w:color w:val="000000"/>
          <w:sz w:val="24"/>
          <w:szCs w:val="24"/>
        </w:rPr>
        <w:t xml:space="preserve">Lateef Junaid, 2025). Nanoscale spatial-omics, on the other hand, is improving subcellular resolution and enabling fine-grained mapping of molecular events in tissue microenvironments. Real-time multi-omics monitoring in vivo biosensors are a promising development for dynamic illness tracking and therapy response </w:t>
      </w:r>
      <w:r w:rsidR="00723E90">
        <w:rPr>
          <w:rFonts w:ascii="Times New Roman" w:eastAsia="Times New Roman" w:hAnsi="Times New Roman" w:cs="Times New Roman"/>
          <w:color w:val="000000"/>
          <w:sz w:val="24"/>
          <w:szCs w:val="24"/>
        </w:rPr>
        <w:t>evaluation (</w:t>
      </w:r>
      <w:r>
        <w:rPr>
          <w:rFonts w:ascii="Times New Roman" w:eastAsia="Times New Roman" w:hAnsi="Times New Roman" w:cs="Times New Roman"/>
          <w:color w:val="000000"/>
          <w:sz w:val="24"/>
          <w:szCs w:val="24"/>
        </w:rPr>
        <w:t xml:space="preserve">R. Wang et al., 2025). With the advent of point-of-care sequencing platforms and ultra-rapid diagnostics, the goal of real-time omics in clinical practice is becoming more and more realistic. This is because it allows for immediate molecular profiling to inform treatment decisions that are time-sensitive, especially in low-resource or oncology </w:t>
      </w:r>
      <w:r w:rsidR="00723E90">
        <w:rPr>
          <w:rFonts w:ascii="Times New Roman" w:eastAsia="Times New Roman" w:hAnsi="Times New Roman" w:cs="Times New Roman"/>
          <w:color w:val="000000"/>
          <w:sz w:val="24"/>
          <w:szCs w:val="24"/>
        </w:rPr>
        <w:t>emergencies (</w:t>
      </w:r>
      <w:r>
        <w:rPr>
          <w:rFonts w:ascii="Times New Roman" w:eastAsia="Times New Roman" w:hAnsi="Times New Roman" w:cs="Times New Roman"/>
          <w:color w:val="000000"/>
          <w:sz w:val="24"/>
          <w:szCs w:val="24"/>
        </w:rPr>
        <w:t xml:space="preserve">Satam et al., 2023b). Synthetic multi-omics models, like multi-layered omics profiling and patient-derived organoids combined with CRISPR gene editing, are developing strong platforms for in vitro drug response testing, tumor evolution modeling, and therapeutic regimen personalization. Initiatives centered on accessibility and equity are essential to ensuring global </w:t>
      </w:r>
      <w:r w:rsidR="00723E90">
        <w:rPr>
          <w:rFonts w:ascii="Times New Roman" w:eastAsia="Times New Roman" w:hAnsi="Times New Roman" w:cs="Times New Roman"/>
          <w:color w:val="000000"/>
          <w:sz w:val="24"/>
          <w:szCs w:val="24"/>
        </w:rPr>
        <w:t>inclusion (</w:t>
      </w:r>
      <w:r>
        <w:rPr>
          <w:rFonts w:ascii="Times New Roman" w:eastAsia="Times New Roman" w:hAnsi="Times New Roman" w:cs="Times New Roman"/>
          <w:color w:val="000000"/>
          <w:sz w:val="24"/>
          <w:szCs w:val="24"/>
        </w:rPr>
        <w:t>Zhu et al., 2025). In low- and middle-income countries (LMICs), initiatives like H3Africa and the Pan-Cancer Analysis of Whole Genomes (PCAWG) collaboration are democratizing access to omics technology and promoting capacity-</w:t>
      </w:r>
      <w:r w:rsidR="00723E90">
        <w:rPr>
          <w:rFonts w:ascii="Times New Roman" w:eastAsia="Times New Roman" w:hAnsi="Times New Roman" w:cs="Times New Roman"/>
          <w:color w:val="000000"/>
          <w:sz w:val="24"/>
          <w:szCs w:val="24"/>
        </w:rPr>
        <w:t>building (</w:t>
      </w:r>
      <w:r>
        <w:rPr>
          <w:rFonts w:ascii="Times New Roman" w:eastAsia="Times New Roman" w:hAnsi="Times New Roman" w:cs="Times New Roman"/>
          <w:color w:val="000000"/>
          <w:sz w:val="24"/>
          <w:szCs w:val="24"/>
        </w:rPr>
        <w:t xml:space="preserve">Shaffer et al., 2019). Through the promotion of open-access data, local biobanking, and infrastructure development, these cooperative initiatives seek to lessen inequities in cancer research and outcomes. The future of multi-omics in precision oncology will ultimately be determined by the meeting point of clinical integration, technical innovation, and international </w:t>
      </w:r>
      <w:r w:rsidR="00723E90">
        <w:rPr>
          <w:rFonts w:ascii="Times New Roman" w:eastAsia="Times New Roman" w:hAnsi="Times New Roman" w:cs="Times New Roman"/>
          <w:color w:val="000000"/>
          <w:sz w:val="24"/>
          <w:szCs w:val="24"/>
        </w:rPr>
        <w:t>collaboration (</w:t>
      </w:r>
      <w:r>
        <w:rPr>
          <w:rFonts w:ascii="Times New Roman" w:eastAsia="Times New Roman" w:hAnsi="Times New Roman" w:cs="Times New Roman"/>
          <w:color w:val="000000"/>
          <w:sz w:val="24"/>
          <w:szCs w:val="24"/>
        </w:rPr>
        <w:t>Gueye et al., 2024).</w:t>
      </w:r>
    </w:p>
    <w:p w14:paraId="49C7205F" w14:textId="77777777" w:rsidR="00701379" w:rsidRDefault="00000000">
      <w:pPr>
        <w:pStyle w:val="Heading3"/>
        <w:jc w:val="both"/>
      </w:pPr>
      <w:r>
        <w:t xml:space="preserve">11. Conclusion </w:t>
      </w:r>
    </w:p>
    <w:p w14:paraId="7731BD8A" w14:textId="77777777" w:rsidR="0070137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order to </w:t>
      </w:r>
      <w:r>
        <w:rPr>
          <w:rFonts w:ascii="Times New Roman" w:eastAsia="Times New Roman" w:hAnsi="Times New Roman" w:cs="Times New Roman"/>
          <w:sz w:val="24"/>
          <w:szCs w:val="24"/>
        </w:rPr>
        <w:t>understand</w:t>
      </w:r>
      <w:r>
        <w:rPr>
          <w:rFonts w:ascii="Times New Roman" w:eastAsia="Times New Roman" w:hAnsi="Times New Roman" w:cs="Times New Roman"/>
          <w:color w:val="000000"/>
          <w:sz w:val="24"/>
          <w:szCs w:val="24"/>
        </w:rPr>
        <w:t xml:space="preserve"> the deep complexity of tumor heterogeneity, multi-omics techniques have become indispensable instruments, providing hitherto unheard-of insights into the molecular, geographical, and temporal dynamics of cancer. A systems-level knowledge of cancer evolution, therapeutic resistance, and tumor-immune interactions is made possible by multi-omics, which integrates data from the genomic, epigenomic, transcriptomic, proteomic, and metabolomic levels. This is not possible with single-layer analysis.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Multi-omics' capacity to figure out clonal trajectories, spot actionable weaknesses, and track resistance mechanisms places it at the forefront of next-generation precision oncology. These technologies are changing the field of patient classification, therapeutic target selection, and biomarker discovery with the goal of providing genuinely customized treatment based on the distinct molecular composition of every tumor. Interdisciplinary cooperation, a strong bioinformatics infrastructure, and close attention to accessibility, ethical, and legal issues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especially in settings with limited resources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are necessary to fulfill this promise. It will be </w:t>
      </w:r>
      <w:r>
        <w:rPr>
          <w:rFonts w:ascii="Times New Roman" w:eastAsia="Times New Roman" w:hAnsi="Times New Roman" w:cs="Times New Roman"/>
          <w:sz w:val="24"/>
          <w:szCs w:val="24"/>
        </w:rPr>
        <w:t>necessary</w:t>
      </w:r>
      <w:r>
        <w:rPr>
          <w:rFonts w:ascii="Times New Roman" w:eastAsia="Times New Roman" w:hAnsi="Times New Roman" w:cs="Times New Roman"/>
          <w:color w:val="000000"/>
          <w:sz w:val="24"/>
          <w:szCs w:val="24"/>
        </w:rPr>
        <w:t xml:space="preserve"> to invest in scalable, affordable platforms and fair international initiatives. Multi-omics integration into standard clinical procedures is not only possible but also inevitable as new technologies and AI-powered analytics develop further. </w:t>
      </w:r>
      <w:r>
        <w:rPr>
          <w:rFonts w:ascii="Times New Roman" w:eastAsia="Times New Roman" w:hAnsi="Times New Roman" w:cs="Times New Roman"/>
          <w:color w:val="000000"/>
          <w:sz w:val="24"/>
          <w:szCs w:val="24"/>
        </w:rPr>
        <w:lastRenderedPageBreak/>
        <w:t>Offering more accurate, flexible, and fair ways to combat cancer, this paradigm shift has the potential to completely transform cancer care.</w:t>
      </w:r>
    </w:p>
    <w:p w14:paraId="4A415FF4" w14:textId="77777777" w:rsidR="00701379" w:rsidRDefault="00000000">
      <w:pPr>
        <w:rPr>
          <w:highlight w:val="yellow"/>
        </w:rPr>
      </w:pPr>
      <w:bookmarkStart w:id="3" w:name="_heading=h.o10mgreboi55" w:colFirst="0" w:colLast="0"/>
      <w:bookmarkEnd w:id="3"/>
      <w:r>
        <w:rPr>
          <w:highlight w:val="yellow"/>
        </w:rPr>
        <w:t>Disclaimer (Artificial intelligence)</w:t>
      </w:r>
    </w:p>
    <w:p w14:paraId="490AE131" w14:textId="77777777" w:rsidR="00701379" w:rsidRDefault="00000000">
      <w:pPr>
        <w:rPr>
          <w:highlight w:val="yellow"/>
        </w:rPr>
      </w:pPr>
      <w:r>
        <w:rPr>
          <w:highlight w:val="yellow"/>
        </w:rPr>
        <w:t xml:space="preserve">Option 1: </w:t>
      </w:r>
    </w:p>
    <w:p w14:paraId="416DEE91" w14:textId="77777777" w:rsidR="00701379" w:rsidRDefault="00000000">
      <w:pPr>
        <w:rPr>
          <w:highlight w:val="yellow"/>
        </w:rPr>
      </w:pPr>
      <w:r>
        <w:rPr>
          <w:highlight w:val="yellow"/>
        </w:rPr>
        <w:t xml:space="preserve">Author(s) hereby declare that NO generative AI technologies such as Large Language Models (ChatGPT, manuscript. </w:t>
      </w:r>
    </w:p>
    <w:p w14:paraId="3165FB61" w14:textId="77777777" w:rsidR="00701379" w:rsidRDefault="00000000">
      <w:pPr>
        <w:rPr>
          <w:highlight w:val="yellow"/>
        </w:rPr>
      </w:pPr>
      <w:r>
        <w:rPr>
          <w:highlight w:val="yellow"/>
        </w:rPr>
        <w:t xml:space="preserve">Option 2: </w:t>
      </w:r>
    </w:p>
    <w:p w14:paraId="306995C0" w14:textId="77777777" w:rsidR="00701379" w:rsidRDefault="00000000">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DA2B499" w14:textId="77777777" w:rsidR="00701379" w:rsidRDefault="00000000">
      <w:pPr>
        <w:rPr>
          <w:highlight w:val="yellow"/>
        </w:rPr>
      </w:pPr>
      <w:r>
        <w:rPr>
          <w:highlight w:val="yellow"/>
        </w:rPr>
        <w:t>Details of the AI usage are given below:</w:t>
      </w:r>
    </w:p>
    <w:p w14:paraId="45F74738" w14:textId="77777777" w:rsidR="00701379" w:rsidRDefault="00000000">
      <w:pPr>
        <w:rPr>
          <w:highlight w:val="yellow"/>
        </w:rPr>
      </w:pPr>
      <w:r>
        <w:rPr>
          <w:highlight w:val="yellow"/>
        </w:rPr>
        <w:t>1.</w:t>
      </w:r>
    </w:p>
    <w:p w14:paraId="3A740FED" w14:textId="77777777" w:rsidR="00701379" w:rsidRDefault="00000000">
      <w:pPr>
        <w:rPr>
          <w:highlight w:val="yellow"/>
        </w:rPr>
      </w:pPr>
      <w:r>
        <w:rPr>
          <w:highlight w:val="yellow"/>
        </w:rPr>
        <w:t>2.</w:t>
      </w:r>
    </w:p>
    <w:p w14:paraId="1193D61C" w14:textId="77777777" w:rsidR="00701379" w:rsidRDefault="00000000">
      <w:r>
        <w:rPr>
          <w:highlight w:val="yellow"/>
        </w:rPr>
        <w:t>3.</w:t>
      </w:r>
    </w:p>
    <w:p w14:paraId="6F89AFEF" w14:textId="77777777" w:rsidR="00701379" w:rsidRDefault="00000000" w:rsidP="00976D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bookmarkStart w:id="4" w:name="_heading=h.f9o5vo22zxc3" w:colFirst="0" w:colLast="0"/>
      <w:bookmarkEnd w:id="4"/>
      <w:r>
        <w:rPr>
          <w:rFonts w:ascii="Times New Roman" w:eastAsia="Times New Roman" w:hAnsi="Times New Roman" w:cs="Times New Roman"/>
          <w:sz w:val="24"/>
          <w:szCs w:val="24"/>
        </w:rPr>
        <w:t>Option 1.</w:t>
      </w:r>
    </w:p>
    <w:p w14:paraId="102F53C5" w14:textId="77777777" w:rsidR="00701379" w:rsidRDefault="00701379" w:rsidP="00976D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2AD6E6F" w14:textId="77777777" w:rsidR="00701379" w:rsidRDefault="00701379" w:rsidP="00976D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52723ED6" w14:textId="77777777" w:rsidR="00701379" w:rsidRDefault="00701379" w:rsidP="00976D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3E17F86" w14:textId="77777777" w:rsidR="00701379" w:rsidRDefault="00701379" w:rsidP="00976D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7CE5F1BF" w14:textId="77777777" w:rsidR="00701379" w:rsidRDefault="00701379" w:rsidP="00976D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1C7823D3" w14:textId="77777777" w:rsidR="00701379" w:rsidRDefault="00701379" w:rsidP="00976D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48031DCF" w14:textId="77777777" w:rsidR="00701379" w:rsidRDefault="00701379" w:rsidP="00976D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3A9B64F8" w14:textId="77777777" w:rsidR="00701379" w:rsidRDefault="00000000" w:rsidP="00976DF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REFRENCES</w:t>
      </w:r>
    </w:p>
    <w:p w14:paraId="767D3E9B" w14:textId="77777777" w:rsidR="00701379" w:rsidRDefault="00000000" w:rsidP="00976DF6">
      <w:pPr>
        <w:pBdr>
          <w:top w:val="nil"/>
          <w:left w:val="nil"/>
          <w:bottom w:val="nil"/>
          <w:right w:val="nil"/>
          <w:between w:val="nil"/>
        </w:pBdr>
        <w:rPr>
          <w:color w:val="000000"/>
        </w:rPr>
      </w:pPr>
      <w:r>
        <w:rPr>
          <w:color w:val="000000"/>
        </w:rPr>
        <w:t xml:space="preserve">Aerqin, Q., Wang, Z.-T., Wu, K.-M., He, X.-Y., Dong, Q., &amp; Yu, J.-T. (2022). Omics-based biomarkers discovery for Alzheimer’s disease. </w:t>
      </w:r>
      <w:r>
        <w:rPr>
          <w:i/>
          <w:color w:val="000000"/>
        </w:rPr>
        <w:t>Cellular and Molecular Life Sciences: CMLS</w:t>
      </w:r>
      <w:r>
        <w:rPr>
          <w:color w:val="000000"/>
        </w:rPr>
        <w:t xml:space="preserve">, </w:t>
      </w:r>
      <w:r>
        <w:rPr>
          <w:i/>
          <w:color w:val="000000"/>
        </w:rPr>
        <w:t>79</w:t>
      </w:r>
      <w:r>
        <w:rPr>
          <w:color w:val="000000"/>
        </w:rPr>
        <w:t>(12), 585. https://doi.org/10.1007/s00018-022-04614-6</w:t>
      </w:r>
    </w:p>
    <w:p w14:paraId="3DD7A935" w14:textId="77777777" w:rsidR="00701379" w:rsidRDefault="00000000" w:rsidP="00976DF6">
      <w:pPr>
        <w:pBdr>
          <w:top w:val="nil"/>
          <w:left w:val="nil"/>
          <w:bottom w:val="nil"/>
          <w:right w:val="nil"/>
          <w:between w:val="nil"/>
        </w:pBdr>
        <w:rPr>
          <w:color w:val="000000"/>
        </w:rPr>
      </w:pPr>
      <w:r>
        <w:rPr>
          <w:color w:val="000000"/>
        </w:rPr>
        <w:t xml:space="preserve">Altorki, N. K., Markowitz, G. J., Gao, D., Port, J. L., Saxena, A., Stiles, B., McGraw, T., &amp; Mittal, V. (2019). The lung microenvironment: An important regulator of tumour growth and metastasis. </w:t>
      </w:r>
      <w:r>
        <w:rPr>
          <w:i/>
          <w:color w:val="000000"/>
        </w:rPr>
        <w:t>Nature Reviews. Cancer</w:t>
      </w:r>
      <w:r>
        <w:rPr>
          <w:color w:val="000000"/>
        </w:rPr>
        <w:t xml:space="preserve">, </w:t>
      </w:r>
      <w:r>
        <w:rPr>
          <w:i/>
          <w:color w:val="000000"/>
        </w:rPr>
        <w:t>19</w:t>
      </w:r>
      <w:r>
        <w:rPr>
          <w:color w:val="000000"/>
        </w:rPr>
        <w:t>(1), 9–31. https://doi.org/10.1038/s41568-018-0081-9</w:t>
      </w:r>
    </w:p>
    <w:p w14:paraId="15833B7C" w14:textId="77777777" w:rsidR="00701379" w:rsidRDefault="00000000" w:rsidP="00976DF6">
      <w:pPr>
        <w:pBdr>
          <w:top w:val="nil"/>
          <w:left w:val="nil"/>
          <w:bottom w:val="nil"/>
          <w:right w:val="nil"/>
          <w:between w:val="nil"/>
        </w:pBdr>
        <w:rPr>
          <w:color w:val="000000"/>
        </w:rPr>
      </w:pPr>
      <w:r>
        <w:rPr>
          <w:color w:val="000000"/>
        </w:rPr>
        <w:t xml:space="preserve">Armingol, E., Baghdassarian, H. M., Martino, C., Perez-Lopez, A., Aamodt, C., Knight, R., &amp; Lewis, N. E. (2022). Context-aware deconvolution of cell–cell communication with Tensor-cell2cell. </w:t>
      </w:r>
      <w:r>
        <w:rPr>
          <w:i/>
          <w:color w:val="000000"/>
        </w:rPr>
        <w:t>Nature Communications</w:t>
      </w:r>
      <w:r>
        <w:rPr>
          <w:color w:val="000000"/>
        </w:rPr>
        <w:t xml:space="preserve">, </w:t>
      </w:r>
      <w:r>
        <w:rPr>
          <w:i/>
          <w:color w:val="000000"/>
        </w:rPr>
        <w:t>13</w:t>
      </w:r>
      <w:r>
        <w:rPr>
          <w:color w:val="000000"/>
        </w:rPr>
        <w:t>, 3665. https://doi.org/10.1038/s41467-022-31369-2</w:t>
      </w:r>
    </w:p>
    <w:p w14:paraId="668DC6BB" w14:textId="77777777" w:rsidR="00701379" w:rsidRDefault="00000000" w:rsidP="00976DF6">
      <w:pPr>
        <w:pBdr>
          <w:top w:val="nil"/>
          <w:left w:val="nil"/>
          <w:bottom w:val="nil"/>
          <w:right w:val="nil"/>
          <w:between w:val="nil"/>
        </w:pBdr>
        <w:rPr>
          <w:color w:val="000000"/>
        </w:rPr>
      </w:pPr>
      <w:r>
        <w:rPr>
          <w:color w:val="000000"/>
        </w:rPr>
        <w:lastRenderedPageBreak/>
        <w:t xml:space="preserve">Biray Avci, C., Goker Bagca, B., Nikanfar, M., Takanlou, L. S., Takanlou, M. S., &amp; Nourazarian, A. (2024). Tumor microenvironment and cancer metastasis: Molecular mechanisms and therapeutic implications. </w:t>
      </w:r>
      <w:r>
        <w:rPr>
          <w:i/>
          <w:color w:val="000000"/>
        </w:rPr>
        <w:t>Frontiers in Pharmacology</w:t>
      </w:r>
      <w:r>
        <w:rPr>
          <w:color w:val="000000"/>
        </w:rPr>
        <w:t xml:space="preserve">, </w:t>
      </w:r>
      <w:r>
        <w:rPr>
          <w:i/>
          <w:color w:val="000000"/>
        </w:rPr>
        <w:t>15</w:t>
      </w:r>
      <w:r>
        <w:rPr>
          <w:color w:val="000000"/>
        </w:rPr>
        <w:t>, 1442888. https://doi.org/10.3389/fphar.2024.1442888</w:t>
      </w:r>
    </w:p>
    <w:p w14:paraId="680DE719" w14:textId="77777777" w:rsidR="00701379" w:rsidRDefault="00000000" w:rsidP="00976DF6">
      <w:pPr>
        <w:pBdr>
          <w:top w:val="nil"/>
          <w:left w:val="nil"/>
          <w:bottom w:val="nil"/>
          <w:right w:val="nil"/>
          <w:between w:val="nil"/>
        </w:pBdr>
        <w:rPr>
          <w:color w:val="000000"/>
        </w:rPr>
      </w:pPr>
      <w:r>
        <w:rPr>
          <w:color w:val="000000"/>
        </w:rPr>
        <w:t xml:space="preserve">Birhanu, A. G. (2023). Mass spectrometry-based proteomics as an emerging tool in clinical laboratories. </w:t>
      </w:r>
      <w:r>
        <w:rPr>
          <w:i/>
          <w:color w:val="000000"/>
        </w:rPr>
        <w:t>Clinical Proteomics</w:t>
      </w:r>
      <w:r>
        <w:rPr>
          <w:color w:val="000000"/>
        </w:rPr>
        <w:t xml:space="preserve">, </w:t>
      </w:r>
      <w:r>
        <w:rPr>
          <w:i/>
          <w:color w:val="000000"/>
        </w:rPr>
        <w:t>20</w:t>
      </w:r>
      <w:r>
        <w:rPr>
          <w:color w:val="000000"/>
        </w:rPr>
        <w:t>, 32. https://doi.org/10.1186/s12014-023-09424-x</w:t>
      </w:r>
    </w:p>
    <w:p w14:paraId="78678AE3" w14:textId="77777777" w:rsidR="00701379" w:rsidRDefault="00000000" w:rsidP="00976DF6">
      <w:pPr>
        <w:pBdr>
          <w:top w:val="nil"/>
          <w:left w:val="nil"/>
          <w:bottom w:val="nil"/>
          <w:right w:val="nil"/>
          <w:between w:val="nil"/>
        </w:pBdr>
        <w:rPr>
          <w:color w:val="000000"/>
        </w:rPr>
      </w:pPr>
      <w:r>
        <w:rPr>
          <w:color w:val="000000"/>
        </w:rPr>
        <w:t xml:space="preserve">Cai, Z., Poulos, R. C., Liu, J., &amp; Zhong, Q. (2022). Machine learning for multi-omics data integration in cancer. </w:t>
      </w:r>
      <w:r>
        <w:rPr>
          <w:i/>
          <w:color w:val="000000"/>
        </w:rPr>
        <w:t>iScience</w:t>
      </w:r>
      <w:r>
        <w:rPr>
          <w:color w:val="000000"/>
        </w:rPr>
        <w:t xml:space="preserve">, </w:t>
      </w:r>
      <w:r>
        <w:rPr>
          <w:i/>
          <w:color w:val="000000"/>
        </w:rPr>
        <w:t>25</w:t>
      </w:r>
      <w:r>
        <w:rPr>
          <w:color w:val="000000"/>
        </w:rPr>
        <w:t>(2), 103798. https://doi.org/10.1016/j.isci.2022.103798</w:t>
      </w:r>
    </w:p>
    <w:p w14:paraId="37481A61" w14:textId="77777777" w:rsidR="00701379" w:rsidRDefault="00000000" w:rsidP="00976DF6">
      <w:pPr>
        <w:pBdr>
          <w:top w:val="nil"/>
          <w:left w:val="nil"/>
          <w:bottom w:val="nil"/>
          <w:right w:val="nil"/>
          <w:between w:val="nil"/>
        </w:pBdr>
        <w:rPr>
          <w:color w:val="000000"/>
        </w:rPr>
      </w:pPr>
      <w:r>
        <w:rPr>
          <w:color w:val="000000"/>
        </w:rPr>
        <w:t xml:space="preserve">Carter, B., &amp; Zhao, K. (2021). The epigenetic basis of cellular heterogeneity. </w:t>
      </w:r>
      <w:r>
        <w:rPr>
          <w:i/>
          <w:color w:val="000000"/>
        </w:rPr>
        <w:t>Nature Reviews. Genetics</w:t>
      </w:r>
      <w:r>
        <w:rPr>
          <w:color w:val="000000"/>
        </w:rPr>
        <w:t xml:space="preserve">, </w:t>
      </w:r>
      <w:r>
        <w:rPr>
          <w:i/>
          <w:color w:val="000000"/>
        </w:rPr>
        <w:t>22</w:t>
      </w:r>
      <w:r>
        <w:rPr>
          <w:color w:val="000000"/>
        </w:rPr>
        <w:t>(4), 235–250. https://doi.org/10.1038/s41576-020-00300-0</w:t>
      </w:r>
    </w:p>
    <w:p w14:paraId="6428D513" w14:textId="77777777" w:rsidR="00701379" w:rsidRDefault="00000000" w:rsidP="00976DF6">
      <w:pPr>
        <w:pBdr>
          <w:top w:val="nil"/>
          <w:left w:val="nil"/>
          <w:bottom w:val="nil"/>
          <w:right w:val="nil"/>
          <w:between w:val="nil"/>
        </w:pBdr>
        <w:rPr>
          <w:color w:val="000000"/>
        </w:rPr>
      </w:pPr>
      <w:r>
        <w:rPr>
          <w:color w:val="000000"/>
        </w:rPr>
        <w:t xml:space="preserve">Chen, C., Wang, J., Pan, D., Wang, X., Xu, Y., Yan, J., Wang, L., Yang, X., Yang, M., &amp; Liu, G. (2023a). Applications of multi‐omics analysis in human diseases. </w:t>
      </w:r>
      <w:r>
        <w:rPr>
          <w:i/>
          <w:color w:val="000000"/>
        </w:rPr>
        <w:t>MedComm</w:t>
      </w:r>
      <w:r>
        <w:rPr>
          <w:color w:val="000000"/>
        </w:rPr>
        <w:t xml:space="preserve">, </w:t>
      </w:r>
      <w:r>
        <w:rPr>
          <w:i/>
          <w:color w:val="000000"/>
        </w:rPr>
        <w:t>4</w:t>
      </w:r>
      <w:r>
        <w:rPr>
          <w:color w:val="000000"/>
        </w:rPr>
        <w:t>(4), e315. https://doi.org/10.1002/mco2.315</w:t>
      </w:r>
    </w:p>
    <w:p w14:paraId="0D8331F1" w14:textId="77777777" w:rsidR="00701379" w:rsidRDefault="00000000" w:rsidP="00976DF6">
      <w:pPr>
        <w:pBdr>
          <w:top w:val="nil"/>
          <w:left w:val="nil"/>
          <w:bottom w:val="nil"/>
          <w:right w:val="nil"/>
          <w:between w:val="nil"/>
        </w:pBdr>
        <w:rPr>
          <w:color w:val="000000"/>
        </w:rPr>
      </w:pPr>
      <w:r>
        <w:rPr>
          <w:color w:val="000000"/>
        </w:rPr>
        <w:t xml:space="preserve">Chen, C., Wang, J., Pan, D., Wang, X., Xu, Y., Yan, J., Wang, L., Yang, X., Yang, M., &amp; Liu, G. (2023b). Applications of multi‐omics analysis in human diseases. </w:t>
      </w:r>
      <w:r>
        <w:rPr>
          <w:i/>
          <w:color w:val="000000"/>
        </w:rPr>
        <w:t>MedComm</w:t>
      </w:r>
      <w:r>
        <w:rPr>
          <w:color w:val="000000"/>
        </w:rPr>
        <w:t xml:space="preserve">, </w:t>
      </w:r>
      <w:r>
        <w:rPr>
          <w:i/>
          <w:color w:val="000000"/>
        </w:rPr>
        <w:t>4</w:t>
      </w:r>
      <w:r>
        <w:rPr>
          <w:color w:val="000000"/>
        </w:rPr>
        <w:t>(4), e315. https://doi.org/10.1002/mco2.315</w:t>
      </w:r>
    </w:p>
    <w:p w14:paraId="7D1F9D93" w14:textId="77777777" w:rsidR="00701379" w:rsidRDefault="00000000" w:rsidP="00976DF6">
      <w:pPr>
        <w:pBdr>
          <w:top w:val="nil"/>
          <w:left w:val="nil"/>
          <w:bottom w:val="nil"/>
          <w:right w:val="nil"/>
          <w:between w:val="nil"/>
        </w:pBdr>
        <w:rPr>
          <w:color w:val="000000"/>
        </w:rPr>
      </w:pPr>
      <w:r>
        <w:rPr>
          <w:color w:val="000000"/>
        </w:rPr>
        <w:t xml:space="preserve">Chiruvella, V., &amp; Guddati, A. K. (2021). Ethical Issues in Patient Data Ownership. </w:t>
      </w:r>
      <w:r>
        <w:rPr>
          <w:i/>
          <w:color w:val="000000"/>
        </w:rPr>
        <w:t>Interactive Journal of Medical Research</w:t>
      </w:r>
      <w:r>
        <w:rPr>
          <w:color w:val="000000"/>
        </w:rPr>
        <w:t xml:space="preserve">, </w:t>
      </w:r>
      <w:r>
        <w:rPr>
          <w:i/>
          <w:color w:val="000000"/>
        </w:rPr>
        <w:t>10</w:t>
      </w:r>
      <w:r>
        <w:rPr>
          <w:color w:val="000000"/>
        </w:rPr>
        <w:t>(2), e22269. https://doi.org/10.2196/22269</w:t>
      </w:r>
    </w:p>
    <w:p w14:paraId="40ED04FE" w14:textId="77777777" w:rsidR="00701379" w:rsidRDefault="00000000" w:rsidP="00976DF6">
      <w:pPr>
        <w:pBdr>
          <w:top w:val="nil"/>
          <w:left w:val="nil"/>
          <w:bottom w:val="nil"/>
          <w:right w:val="nil"/>
          <w:between w:val="nil"/>
        </w:pBdr>
        <w:rPr>
          <w:color w:val="000000"/>
        </w:rPr>
      </w:pPr>
      <w:r>
        <w:rPr>
          <w:color w:val="000000"/>
        </w:rPr>
        <w:t xml:space="preserve">Clarke, R., Kraikivski, P., Jones, B. C., Sevigny, C. M., Sengupta, S., &amp; Wang, Y. (2020). A Systems Biology Approach to Discovering Pathway Signaling Dysregulation in Metastasis. </w:t>
      </w:r>
      <w:r>
        <w:rPr>
          <w:i/>
          <w:color w:val="000000"/>
        </w:rPr>
        <w:t>Cancer Metastasis Reviews</w:t>
      </w:r>
      <w:r>
        <w:rPr>
          <w:color w:val="000000"/>
        </w:rPr>
        <w:t xml:space="preserve">, </w:t>
      </w:r>
      <w:r>
        <w:rPr>
          <w:i/>
          <w:color w:val="000000"/>
        </w:rPr>
        <w:t>39</w:t>
      </w:r>
      <w:r>
        <w:rPr>
          <w:color w:val="000000"/>
        </w:rPr>
        <w:t>(3), 903–918. https://doi.org/10.1007/s10555-020-09921-7</w:t>
      </w:r>
    </w:p>
    <w:p w14:paraId="5FE55006" w14:textId="77777777" w:rsidR="00701379" w:rsidRDefault="00000000" w:rsidP="00976DF6">
      <w:pPr>
        <w:pBdr>
          <w:top w:val="nil"/>
          <w:left w:val="nil"/>
          <w:bottom w:val="nil"/>
          <w:right w:val="nil"/>
          <w:between w:val="nil"/>
        </w:pBdr>
        <w:rPr>
          <w:color w:val="000000"/>
        </w:rPr>
      </w:pPr>
      <w:r>
        <w:rPr>
          <w:color w:val="000000"/>
        </w:rPr>
        <w:t xml:space="preserve">Dentro, S. C., Leshchiner, I., Haase, K., Tarabichi, M., Wintersinger, J., Deshwar, A. G., Yu, K., Rubanova, Y., Macintyre, G., Demeulemeester, J., Vázquez-García, I., Kleinheinz, K., Livitz, D. G., Malikic, S., Donmez, N., Sengupta, S., Anur, P., Jolly, C., Cmero, M., … Van Loo, P. (2021). Characterizing genetic intra-tumor heterogeneity across 2,658 human cancer genomes. </w:t>
      </w:r>
      <w:r>
        <w:rPr>
          <w:i/>
          <w:color w:val="000000"/>
        </w:rPr>
        <w:t>Cell</w:t>
      </w:r>
      <w:r>
        <w:rPr>
          <w:color w:val="000000"/>
        </w:rPr>
        <w:t xml:space="preserve">, </w:t>
      </w:r>
      <w:r>
        <w:rPr>
          <w:i/>
          <w:color w:val="000000"/>
        </w:rPr>
        <w:t>184</w:t>
      </w:r>
      <w:r>
        <w:rPr>
          <w:color w:val="000000"/>
        </w:rPr>
        <w:t>(8), 2239-2254.e39. https://doi.org/10.1016/j.cell.2021.03.009</w:t>
      </w:r>
    </w:p>
    <w:p w14:paraId="7B3BE884" w14:textId="77777777" w:rsidR="00701379" w:rsidRDefault="00000000" w:rsidP="00976DF6">
      <w:pPr>
        <w:pBdr>
          <w:top w:val="nil"/>
          <w:left w:val="nil"/>
          <w:bottom w:val="nil"/>
          <w:right w:val="nil"/>
          <w:between w:val="nil"/>
        </w:pBdr>
        <w:rPr>
          <w:color w:val="000000"/>
        </w:rPr>
      </w:pPr>
      <w:r>
        <w:rPr>
          <w:color w:val="000000"/>
        </w:rPr>
        <w:t xml:space="preserve">El-Tanani, M., Rabbani, S. A., Babiker, R., Rangraze, I., Kapre, S., Palakurthi, S. S., Alnuqaydan, A. M., Aljabali, A. A., Rizzo, M., El-Tanani, Y., &amp; Tambuwala, M. M. (2024). Unraveling the tumor microenvironment: Insights into cancer metastasis and therapeutic strategies. </w:t>
      </w:r>
      <w:r>
        <w:rPr>
          <w:i/>
          <w:color w:val="000000"/>
        </w:rPr>
        <w:t>Cancer Letters</w:t>
      </w:r>
      <w:r>
        <w:rPr>
          <w:color w:val="000000"/>
        </w:rPr>
        <w:t xml:space="preserve">, </w:t>
      </w:r>
      <w:r>
        <w:rPr>
          <w:i/>
          <w:color w:val="000000"/>
        </w:rPr>
        <w:t>591</w:t>
      </w:r>
      <w:r>
        <w:rPr>
          <w:color w:val="000000"/>
        </w:rPr>
        <w:t>, 216894. https://doi.org/10.1016/j.canlet.2024.216894</w:t>
      </w:r>
    </w:p>
    <w:p w14:paraId="44541733" w14:textId="77777777" w:rsidR="00701379" w:rsidRDefault="00000000" w:rsidP="00976DF6">
      <w:pPr>
        <w:pBdr>
          <w:top w:val="nil"/>
          <w:left w:val="nil"/>
          <w:bottom w:val="nil"/>
          <w:right w:val="nil"/>
          <w:between w:val="nil"/>
        </w:pBdr>
        <w:rPr>
          <w:color w:val="000000"/>
        </w:rPr>
      </w:pPr>
      <w:r>
        <w:rPr>
          <w:color w:val="000000"/>
        </w:rPr>
        <w:t xml:space="preserve">Estephan, H., Tailor, A., Parker, R., Kreamer, M., Papandreou, I., Campo, L., Easton, A., Moon, E. J., Denko, N. C., Ternette, N., Hammond, E. M., &amp; Giaccia, A. J. (2025). Hypoxia promotes tumor immune evasion by suppressing MHC-I expression and antigen presentation. </w:t>
      </w:r>
      <w:r>
        <w:rPr>
          <w:i/>
          <w:color w:val="000000"/>
        </w:rPr>
        <w:t>The EMBO Journal</w:t>
      </w:r>
      <w:r>
        <w:rPr>
          <w:color w:val="000000"/>
        </w:rPr>
        <w:t xml:space="preserve">, </w:t>
      </w:r>
      <w:r>
        <w:rPr>
          <w:i/>
          <w:color w:val="000000"/>
        </w:rPr>
        <w:t>44</w:t>
      </w:r>
      <w:r>
        <w:rPr>
          <w:color w:val="000000"/>
        </w:rPr>
        <w:t>(3), 903–922. https://doi.org/10.1038/s44318-024-00319-7</w:t>
      </w:r>
    </w:p>
    <w:p w14:paraId="690AD41F" w14:textId="77777777" w:rsidR="00701379" w:rsidRDefault="00000000" w:rsidP="00976DF6">
      <w:pPr>
        <w:pBdr>
          <w:top w:val="nil"/>
          <w:left w:val="nil"/>
          <w:bottom w:val="nil"/>
          <w:right w:val="nil"/>
          <w:between w:val="nil"/>
        </w:pBdr>
        <w:rPr>
          <w:color w:val="000000"/>
        </w:rPr>
      </w:pPr>
      <w:r>
        <w:rPr>
          <w:color w:val="000000"/>
        </w:rPr>
        <w:t xml:space="preserve">Garg, P., Malhotra, J., Kulkarni, P., Horne, D., Salgia, R., &amp; Singhal, S. S. (2024). Emerging Therapeutic Strategies to Overcome Drug Resistance in Cancer Cells. </w:t>
      </w:r>
      <w:r>
        <w:rPr>
          <w:i/>
          <w:color w:val="000000"/>
        </w:rPr>
        <w:t>Cancers</w:t>
      </w:r>
      <w:r>
        <w:rPr>
          <w:color w:val="000000"/>
        </w:rPr>
        <w:t xml:space="preserve">, </w:t>
      </w:r>
      <w:r>
        <w:rPr>
          <w:i/>
          <w:color w:val="000000"/>
        </w:rPr>
        <w:t>16</w:t>
      </w:r>
      <w:r>
        <w:rPr>
          <w:color w:val="000000"/>
        </w:rPr>
        <w:t>(13), 2478. https://doi.org/10.3390/cancers16132478</w:t>
      </w:r>
    </w:p>
    <w:p w14:paraId="5F7885DF" w14:textId="77777777" w:rsidR="00701379" w:rsidRDefault="00000000" w:rsidP="00976DF6">
      <w:pPr>
        <w:pBdr>
          <w:top w:val="nil"/>
          <w:left w:val="nil"/>
          <w:bottom w:val="nil"/>
          <w:right w:val="nil"/>
          <w:between w:val="nil"/>
        </w:pBdr>
        <w:rPr>
          <w:color w:val="000000"/>
        </w:rPr>
      </w:pPr>
      <w:r>
        <w:rPr>
          <w:color w:val="000000"/>
        </w:rPr>
        <w:lastRenderedPageBreak/>
        <w:t xml:space="preserve">Garrett, M., Fujii, Y., Osaka, N., Ito, D., Hirota, Y., &amp; Sasaki, A. T. (2021). Emerging Roles of Wild-type and Mutant IDH1 in Growth, Metabolism and Therapeutics of Glioma. In W. Debinski (Ed.), </w:t>
      </w:r>
      <w:r>
        <w:rPr>
          <w:i/>
          <w:color w:val="000000"/>
        </w:rPr>
        <w:t>Gliomas</w:t>
      </w:r>
      <w:r>
        <w:rPr>
          <w:color w:val="000000"/>
        </w:rPr>
        <w:t>. Exon Publications. http://www.ncbi.nlm.nih.gov/books/NBK570701/</w:t>
      </w:r>
    </w:p>
    <w:p w14:paraId="2DB4A955" w14:textId="77777777" w:rsidR="00701379" w:rsidRDefault="00000000" w:rsidP="00976DF6">
      <w:pPr>
        <w:pBdr>
          <w:top w:val="nil"/>
          <w:left w:val="nil"/>
          <w:bottom w:val="nil"/>
          <w:right w:val="nil"/>
          <w:between w:val="nil"/>
        </w:pBdr>
        <w:rPr>
          <w:color w:val="000000"/>
        </w:rPr>
      </w:pPr>
      <w:r>
        <w:rPr>
          <w:color w:val="000000"/>
        </w:rPr>
        <w:t xml:space="preserve">Graham, D. B., &amp; Xavier, R. J. (2023). Conditioning of the immune system by the microbiome. </w:t>
      </w:r>
      <w:r>
        <w:rPr>
          <w:i/>
          <w:color w:val="000000"/>
        </w:rPr>
        <w:t>Trends in Immunology</w:t>
      </w:r>
      <w:r>
        <w:rPr>
          <w:color w:val="000000"/>
        </w:rPr>
        <w:t xml:space="preserve">, </w:t>
      </w:r>
      <w:r>
        <w:rPr>
          <w:i/>
          <w:color w:val="000000"/>
        </w:rPr>
        <w:t>44</w:t>
      </w:r>
      <w:r>
        <w:rPr>
          <w:color w:val="000000"/>
        </w:rPr>
        <w:t>(7), 499–511. https://doi.org/10.1016/j.it.2023.05.002</w:t>
      </w:r>
    </w:p>
    <w:p w14:paraId="06D0FC3F" w14:textId="77777777" w:rsidR="00701379" w:rsidRDefault="00000000" w:rsidP="00976DF6">
      <w:pPr>
        <w:pBdr>
          <w:top w:val="nil"/>
          <w:left w:val="nil"/>
          <w:bottom w:val="nil"/>
          <w:right w:val="nil"/>
          <w:between w:val="nil"/>
        </w:pBdr>
        <w:rPr>
          <w:color w:val="000000"/>
        </w:rPr>
      </w:pPr>
      <w:r>
        <w:rPr>
          <w:color w:val="000000"/>
        </w:rPr>
        <w:t xml:space="preserve">Gu, M., Ren, B., Fang, Y., Ren, J., Liu, X., Wang, X., Zhou, F., Xiao, R., Luo, X., You, L., &amp; Zhao, Y. (2024). Epigenetic regulation in cancer. </w:t>
      </w:r>
      <w:r>
        <w:rPr>
          <w:i/>
          <w:color w:val="000000"/>
        </w:rPr>
        <w:t>MedComm</w:t>
      </w:r>
      <w:r>
        <w:rPr>
          <w:color w:val="000000"/>
        </w:rPr>
        <w:t xml:space="preserve">, </w:t>
      </w:r>
      <w:r>
        <w:rPr>
          <w:i/>
          <w:color w:val="000000"/>
        </w:rPr>
        <w:t>5</w:t>
      </w:r>
      <w:r>
        <w:rPr>
          <w:color w:val="000000"/>
        </w:rPr>
        <w:t>(2), e495. https://doi.org/10.1002/mco2.495</w:t>
      </w:r>
    </w:p>
    <w:p w14:paraId="1A69B29D" w14:textId="77777777" w:rsidR="00701379" w:rsidRDefault="00000000" w:rsidP="00976DF6">
      <w:pPr>
        <w:pBdr>
          <w:top w:val="nil"/>
          <w:left w:val="nil"/>
          <w:bottom w:val="nil"/>
          <w:right w:val="nil"/>
          <w:between w:val="nil"/>
        </w:pBdr>
        <w:rPr>
          <w:color w:val="000000"/>
        </w:rPr>
      </w:pPr>
      <w:r>
        <w:rPr>
          <w:color w:val="000000"/>
        </w:rPr>
        <w:t xml:space="preserve">Gueye, A., Maroun, B., Zimur, A., Berkovits, T., &amp; Tan, S. M. (2024). The future of collaborative precision oncology approaches in sub-Saharan Africa: Learnings from around the globe. </w:t>
      </w:r>
      <w:r>
        <w:rPr>
          <w:i/>
          <w:color w:val="000000"/>
        </w:rPr>
        <w:t>Frontiers in Oncology</w:t>
      </w:r>
      <w:r>
        <w:rPr>
          <w:color w:val="000000"/>
        </w:rPr>
        <w:t xml:space="preserve">, </w:t>
      </w:r>
      <w:r>
        <w:rPr>
          <w:i/>
          <w:color w:val="000000"/>
        </w:rPr>
        <w:t>14</w:t>
      </w:r>
      <w:r>
        <w:rPr>
          <w:color w:val="000000"/>
        </w:rPr>
        <w:t>, 1426558. https://doi.org/10.3389/fonc.2024.1426558</w:t>
      </w:r>
    </w:p>
    <w:p w14:paraId="63F5ED93" w14:textId="77777777" w:rsidR="00701379" w:rsidRDefault="00000000" w:rsidP="00976DF6">
      <w:pPr>
        <w:pBdr>
          <w:top w:val="nil"/>
          <w:left w:val="nil"/>
          <w:bottom w:val="nil"/>
          <w:right w:val="nil"/>
          <w:between w:val="nil"/>
        </w:pBdr>
        <w:rPr>
          <w:color w:val="000000"/>
        </w:rPr>
      </w:pPr>
      <w:r>
        <w:rPr>
          <w:color w:val="000000"/>
        </w:rPr>
        <w:t xml:space="preserve">Hayes, C. N., Nakahara, H., Ono, A., Tsuge, M., &amp; Oka, S. (2024). From Omics to Multi-Omics: A Review of Advantages and Tradeoffs. </w:t>
      </w:r>
      <w:r>
        <w:rPr>
          <w:i/>
          <w:color w:val="000000"/>
        </w:rPr>
        <w:t>Genes</w:t>
      </w:r>
      <w:r>
        <w:rPr>
          <w:color w:val="000000"/>
        </w:rPr>
        <w:t xml:space="preserve">, </w:t>
      </w:r>
      <w:r>
        <w:rPr>
          <w:i/>
          <w:color w:val="000000"/>
        </w:rPr>
        <w:t>15</w:t>
      </w:r>
      <w:r>
        <w:rPr>
          <w:color w:val="000000"/>
        </w:rPr>
        <w:t>(12), 1551. https://doi.org/10.3390/genes15121551</w:t>
      </w:r>
    </w:p>
    <w:p w14:paraId="6CA8179C" w14:textId="77777777" w:rsidR="00701379" w:rsidRDefault="00000000" w:rsidP="00976DF6">
      <w:pPr>
        <w:pBdr>
          <w:top w:val="nil"/>
          <w:left w:val="nil"/>
          <w:bottom w:val="nil"/>
          <w:right w:val="nil"/>
          <w:between w:val="nil"/>
        </w:pBdr>
        <w:rPr>
          <w:color w:val="000000"/>
        </w:rPr>
      </w:pPr>
      <w:r>
        <w:rPr>
          <w:color w:val="000000"/>
        </w:rPr>
        <w:t xml:space="preserve">Hu, S., Xu, J., Cui, W., Jin, H., Wang, X., &amp; Maimaitiyiming, Y. (2025). Post-Translational Modifications in Multiple Myeloma: Mechanisms of Drug Resistance and Therapeutic Opportunities. </w:t>
      </w:r>
      <w:r>
        <w:rPr>
          <w:i/>
          <w:color w:val="000000"/>
        </w:rPr>
        <w:t>Biomolecules</w:t>
      </w:r>
      <w:r>
        <w:rPr>
          <w:color w:val="000000"/>
        </w:rPr>
        <w:t xml:space="preserve">, </w:t>
      </w:r>
      <w:r>
        <w:rPr>
          <w:i/>
          <w:color w:val="000000"/>
        </w:rPr>
        <w:t>15</w:t>
      </w:r>
      <w:r>
        <w:rPr>
          <w:color w:val="000000"/>
        </w:rPr>
        <w:t>(5), Article 5. https://doi.org/10.3390/biom15050702</w:t>
      </w:r>
    </w:p>
    <w:p w14:paraId="079EBB81" w14:textId="77777777" w:rsidR="00701379" w:rsidRDefault="00000000" w:rsidP="00976DF6">
      <w:pPr>
        <w:pBdr>
          <w:top w:val="nil"/>
          <w:left w:val="nil"/>
          <w:bottom w:val="nil"/>
          <w:right w:val="nil"/>
          <w:between w:val="nil"/>
        </w:pBdr>
        <w:rPr>
          <w:color w:val="000000"/>
        </w:rPr>
      </w:pPr>
      <w:r>
        <w:rPr>
          <w:color w:val="000000"/>
        </w:rPr>
        <w:t xml:space="preserve">Jin, Y., Zuo, Y., Li, G., Liu, W., Pan, Y., Fan, T., Fu, X., Yao, X., &amp; Peng, Y. (2024). Advances in spatial transcriptomics and its applications in cancer research. </w:t>
      </w:r>
      <w:r>
        <w:rPr>
          <w:i/>
          <w:color w:val="000000"/>
        </w:rPr>
        <w:t>Molecular Cancer</w:t>
      </w:r>
      <w:r>
        <w:rPr>
          <w:color w:val="000000"/>
        </w:rPr>
        <w:t xml:space="preserve">, </w:t>
      </w:r>
      <w:r>
        <w:rPr>
          <w:i/>
          <w:color w:val="000000"/>
        </w:rPr>
        <w:t>23</w:t>
      </w:r>
      <w:r>
        <w:rPr>
          <w:color w:val="000000"/>
        </w:rPr>
        <w:t>, 129. https://doi.org/10.1186/s12943-024-02040-9</w:t>
      </w:r>
    </w:p>
    <w:p w14:paraId="6F8BF2D7" w14:textId="77777777" w:rsidR="00701379" w:rsidRDefault="00000000" w:rsidP="00976DF6">
      <w:pPr>
        <w:pBdr>
          <w:top w:val="nil"/>
          <w:left w:val="nil"/>
          <w:bottom w:val="nil"/>
          <w:right w:val="nil"/>
          <w:between w:val="nil"/>
        </w:pBdr>
        <w:rPr>
          <w:color w:val="000000"/>
        </w:rPr>
      </w:pPr>
      <w:r>
        <w:rPr>
          <w:color w:val="000000"/>
        </w:rPr>
        <w:t xml:space="preserve">Jing, S., Wang, H., Lin, P., Yuan, J., Tang, Z., &amp; Li, H. (2025). Quantifying and interpreting biologically meaningful spatial signatures within tumor microenvironments. </w:t>
      </w:r>
      <w:r>
        <w:rPr>
          <w:i/>
          <w:color w:val="000000"/>
        </w:rPr>
        <w:t>NPJ Precision Oncology</w:t>
      </w:r>
      <w:r>
        <w:rPr>
          <w:color w:val="000000"/>
        </w:rPr>
        <w:t xml:space="preserve">, </w:t>
      </w:r>
      <w:r>
        <w:rPr>
          <w:i/>
          <w:color w:val="000000"/>
        </w:rPr>
        <w:t>9</w:t>
      </w:r>
      <w:r>
        <w:rPr>
          <w:color w:val="000000"/>
        </w:rPr>
        <w:t>, 68. https://doi.org/10.1038/s41698-025-00857-1</w:t>
      </w:r>
    </w:p>
    <w:p w14:paraId="66F01E09" w14:textId="77777777" w:rsidR="00701379" w:rsidRDefault="00000000" w:rsidP="00976DF6">
      <w:pPr>
        <w:pBdr>
          <w:top w:val="nil"/>
          <w:left w:val="nil"/>
          <w:bottom w:val="nil"/>
          <w:right w:val="nil"/>
          <w:between w:val="nil"/>
        </w:pBdr>
        <w:rPr>
          <w:color w:val="000000"/>
        </w:rPr>
      </w:pPr>
      <w:r>
        <w:rPr>
          <w:color w:val="000000"/>
        </w:rPr>
        <w:t xml:space="preserve">Kim, Y. J., &amp; Takahashi, K. (2025). Emerging technologies of single-cell multi-omics. </w:t>
      </w:r>
      <w:r>
        <w:rPr>
          <w:i/>
          <w:color w:val="000000"/>
        </w:rPr>
        <w:t>Haematologica</w:t>
      </w:r>
      <w:r>
        <w:rPr>
          <w:color w:val="000000"/>
        </w:rPr>
        <w:t xml:space="preserve">, </w:t>
      </w:r>
      <w:r>
        <w:rPr>
          <w:i/>
          <w:color w:val="000000"/>
        </w:rPr>
        <w:t>110</w:t>
      </w:r>
      <w:r>
        <w:rPr>
          <w:color w:val="000000"/>
        </w:rPr>
        <w:t>(6), 1269–1277. https://doi.org/10.3324/haematol.2022.282557</w:t>
      </w:r>
    </w:p>
    <w:p w14:paraId="24BD29E5" w14:textId="77777777" w:rsidR="00701379" w:rsidRDefault="00000000" w:rsidP="00976DF6">
      <w:pPr>
        <w:pBdr>
          <w:top w:val="nil"/>
          <w:left w:val="nil"/>
          <w:bottom w:val="nil"/>
          <w:right w:val="nil"/>
          <w:between w:val="nil"/>
        </w:pBdr>
        <w:rPr>
          <w:color w:val="000000"/>
        </w:rPr>
      </w:pPr>
      <w:r>
        <w:rPr>
          <w:color w:val="000000"/>
        </w:rPr>
        <w:t xml:space="preserve">Lateef Junaid, M. A. (2025). Artificial intelligence driven innovations in biochemistry: A review of emerging research frontiers. </w:t>
      </w:r>
      <w:r>
        <w:rPr>
          <w:i/>
          <w:color w:val="000000"/>
        </w:rPr>
        <w:t>Biomolecules and Biomedicine</w:t>
      </w:r>
      <w:r>
        <w:rPr>
          <w:color w:val="000000"/>
        </w:rPr>
        <w:t xml:space="preserve">, </w:t>
      </w:r>
      <w:r>
        <w:rPr>
          <w:i/>
          <w:color w:val="000000"/>
        </w:rPr>
        <w:t>25</w:t>
      </w:r>
      <w:r>
        <w:rPr>
          <w:color w:val="000000"/>
        </w:rPr>
        <w:t>(4), 739–750. https://doi.org/10.17305/bb.2024.11537</w:t>
      </w:r>
    </w:p>
    <w:p w14:paraId="07FCFBE1" w14:textId="77777777" w:rsidR="00701379" w:rsidRDefault="00000000" w:rsidP="00976DF6">
      <w:pPr>
        <w:pBdr>
          <w:top w:val="nil"/>
          <w:left w:val="nil"/>
          <w:bottom w:val="nil"/>
          <w:right w:val="nil"/>
          <w:between w:val="nil"/>
        </w:pBdr>
        <w:rPr>
          <w:color w:val="000000"/>
        </w:rPr>
      </w:pPr>
      <w:r>
        <w:rPr>
          <w:color w:val="000000"/>
        </w:rPr>
        <w:t xml:space="preserve">Lawal, O. P., Ahmed, N. K., Ilesanmi, T. A., Anthony, G. I., Nwosu, S. N., Ogungbemiro, F. O., Olaide, Z., Adeniyi, M. M., Okoye, U. L., Olufunmilayo, A. M., Christopher, A. A., &amp; Oseghale, I. D. (2024). The Impact of Antimicrobial Resistance on Cancer Treatment: A Systematic Review of Current Evidence and Future Directions. </w:t>
      </w:r>
      <w:r>
        <w:rPr>
          <w:i/>
          <w:color w:val="000000"/>
        </w:rPr>
        <w:t>Asian Journal of Research in Medical and Pharmaceutical Sciences</w:t>
      </w:r>
      <w:r>
        <w:rPr>
          <w:color w:val="000000"/>
        </w:rPr>
        <w:t xml:space="preserve">, </w:t>
      </w:r>
      <w:r>
        <w:rPr>
          <w:i/>
          <w:color w:val="000000"/>
        </w:rPr>
        <w:t>13</w:t>
      </w:r>
      <w:r>
        <w:rPr>
          <w:color w:val="000000"/>
        </w:rPr>
        <w:t>(4), 9–27. https://doi.org/10.9734/ajrimps/2024/v13i4270</w:t>
      </w:r>
    </w:p>
    <w:p w14:paraId="0F57975F" w14:textId="77777777" w:rsidR="00701379" w:rsidRDefault="00000000" w:rsidP="00976DF6">
      <w:pPr>
        <w:pBdr>
          <w:top w:val="nil"/>
          <w:left w:val="nil"/>
          <w:bottom w:val="nil"/>
          <w:right w:val="nil"/>
          <w:between w:val="nil"/>
        </w:pBdr>
        <w:rPr>
          <w:color w:val="000000"/>
        </w:rPr>
      </w:pPr>
      <w:r>
        <w:rPr>
          <w:color w:val="000000"/>
        </w:rPr>
        <w:t xml:space="preserve">Lee, D., Park, Y., &amp; Kim, S. (2021). Towards multi-omics characterization of tumor heterogeneity: A comprehensive review of statistical and machine learning approaches. </w:t>
      </w:r>
      <w:r>
        <w:rPr>
          <w:i/>
          <w:color w:val="000000"/>
        </w:rPr>
        <w:t>Briefings in Bioinformatics</w:t>
      </w:r>
      <w:r>
        <w:rPr>
          <w:color w:val="000000"/>
        </w:rPr>
        <w:t xml:space="preserve">, </w:t>
      </w:r>
      <w:r>
        <w:rPr>
          <w:i/>
          <w:color w:val="000000"/>
        </w:rPr>
        <w:t>22</w:t>
      </w:r>
      <w:r>
        <w:rPr>
          <w:color w:val="000000"/>
        </w:rPr>
        <w:t>(3), bbaa188. https://doi.org/10.1093/bib/bbaa188</w:t>
      </w:r>
    </w:p>
    <w:p w14:paraId="2E56C691" w14:textId="77777777" w:rsidR="00701379" w:rsidRDefault="00000000" w:rsidP="00976DF6">
      <w:pPr>
        <w:pBdr>
          <w:top w:val="nil"/>
          <w:left w:val="nil"/>
          <w:bottom w:val="nil"/>
          <w:right w:val="nil"/>
          <w:between w:val="nil"/>
        </w:pBdr>
        <w:rPr>
          <w:color w:val="000000"/>
        </w:rPr>
      </w:pPr>
      <w:r>
        <w:rPr>
          <w:color w:val="000000"/>
        </w:rPr>
        <w:t xml:space="preserve">Leonetti, A., Sharma, S., Minari, R., Perego, P., Giovannetti, E., &amp; Tiseo, M. (2019). Resistance mechanisms to osimertinib in EGFR-mutated non-small cell lung cancer. </w:t>
      </w:r>
      <w:r>
        <w:rPr>
          <w:i/>
          <w:color w:val="000000"/>
        </w:rPr>
        <w:t>British Journal of Cancer</w:t>
      </w:r>
      <w:r>
        <w:rPr>
          <w:color w:val="000000"/>
        </w:rPr>
        <w:t xml:space="preserve">, </w:t>
      </w:r>
      <w:r>
        <w:rPr>
          <w:i/>
          <w:color w:val="000000"/>
        </w:rPr>
        <w:t>121</w:t>
      </w:r>
      <w:r>
        <w:rPr>
          <w:color w:val="000000"/>
        </w:rPr>
        <w:t>(9), 725–737. https://doi.org/10.1038/s41416-019-0573-8</w:t>
      </w:r>
    </w:p>
    <w:p w14:paraId="520C8536" w14:textId="77777777" w:rsidR="00701379" w:rsidRDefault="00000000" w:rsidP="00976DF6">
      <w:pPr>
        <w:pBdr>
          <w:top w:val="nil"/>
          <w:left w:val="nil"/>
          <w:bottom w:val="nil"/>
          <w:right w:val="nil"/>
          <w:between w:val="nil"/>
        </w:pBdr>
        <w:rPr>
          <w:color w:val="000000"/>
        </w:rPr>
      </w:pPr>
      <w:r>
        <w:rPr>
          <w:color w:val="000000"/>
        </w:rPr>
        <w:lastRenderedPageBreak/>
        <w:t xml:space="preserve">Li, Y., Lih, T.-S. M., Dhanasekaran, S. M., Mannan, R., Chen, L., Cieslik, M., Wu, Y., Lu, R. J.-H., Clark, D. J., Kołodziejczak, I., Hong, R., Chen, S., Zhao, Y., Chugh, S., Caravan, W., Naser Al Deen, N., Hosseini, N., Newton, C. J., Krug, K., … Zhang, Z. (2023). Histopathologic and proteogenomic heterogeneity reveals features of clear cell renal cell carcinoma aggressiveness. </w:t>
      </w:r>
      <w:r>
        <w:rPr>
          <w:i/>
          <w:color w:val="000000"/>
        </w:rPr>
        <w:t>Cancer Cell</w:t>
      </w:r>
      <w:r>
        <w:rPr>
          <w:color w:val="000000"/>
        </w:rPr>
        <w:t xml:space="preserve">, </w:t>
      </w:r>
      <w:r>
        <w:rPr>
          <w:i/>
          <w:color w:val="000000"/>
        </w:rPr>
        <w:t>41</w:t>
      </w:r>
      <w:r>
        <w:rPr>
          <w:color w:val="000000"/>
        </w:rPr>
        <w:t>(1), 139-163.e17. https://doi.org/10.1016/j.ccell.2022.12.001</w:t>
      </w:r>
    </w:p>
    <w:p w14:paraId="455F4EF8" w14:textId="77777777" w:rsidR="00701379" w:rsidRDefault="00000000" w:rsidP="00976DF6">
      <w:pPr>
        <w:pBdr>
          <w:top w:val="nil"/>
          <w:left w:val="nil"/>
          <w:bottom w:val="nil"/>
          <w:right w:val="nil"/>
          <w:between w:val="nil"/>
        </w:pBdr>
        <w:rPr>
          <w:color w:val="000000"/>
        </w:rPr>
      </w:pPr>
      <w:r>
        <w:rPr>
          <w:color w:val="000000"/>
        </w:rPr>
        <w:t xml:space="preserve">Lou, R. N., &amp; Therkildsen, N. O. (2022). Batch effects in population genomic studies with low-coverage whole genome sequencing data: Causes, detection and mitigation. </w:t>
      </w:r>
      <w:r>
        <w:rPr>
          <w:i/>
          <w:color w:val="000000"/>
        </w:rPr>
        <w:t>Molecular Ecology Resources</w:t>
      </w:r>
      <w:r>
        <w:rPr>
          <w:color w:val="000000"/>
        </w:rPr>
        <w:t xml:space="preserve">, </w:t>
      </w:r>
      <w:r>
        <w:rPr>
          <w:i/>
          <w:color w:val="000000"/>
        </w:rPr>
        <w:t>22</w:t>
      </w:r>
      <w:r>
        <w:rPr>
          <w:color w:val="000000"/>
        </w:rPr>
        <w:t>(5), 1678–1692. https://doi.org/10.1111/1755-0998.13559</w:t>
      </w:r>
    </w:p>
    <w:p w14:paraId="74655E93" w14:textId="77777777" w:rsidR="00701379" w:rsidRDefault="00000000" w:rsidP="00976DF6">
      <w:pPr>
        <w:pBdr>
          <w:top w:val="nil"/>
          <w:left w:val="nil"/>
          <w:bottom w:val="nil"/>
          <w:right w:val="nil"/>
          <w:between w:val="nil"/>
        </w:pBdr>
        <w:rPr>
          <w:color w:val="000000"/>
        </w:rPr>
      </w:pPr>
      <w:r>
        <w:rPr>
          <w:color w:val="000000"/>
        </w:rPr>
        <w:t xml:space="preserve">Luo, Y., Li, Y., Fang, M., Wang, S., Shao, L., Zou, R., Dong, D., Liu, Z., Wei, J., &amp; Tian, J. (2025). Multi-omics synergy in oncology: Unraveling the complex interplay of radiomic, genoproteomic, and pathological data. </w:t>
      </w:r>
      <w:r>
        <w:rPr>
          <w:i/>
          <w:color w:val="000000"/>
        </w:rPr>
        <w:t>Intelligent Oncology</w:t>
      </w:r>
      <w:r>
        <w:rPr>
          <w:color w:val="000000"/>
        </w:rPr>
        <w:t xml:space="preserve">, </w:t>
      </w:r>
      <w:r>
        <w:rPr>
          <w:i/>
          <w:color w:val="000000"/>
        </w:rPr>
        <w:t>1</w:t>
      </w:r>
      <w:r>
        <w:rPr>
          <w:color w:val="000000"/>
        </w:rPr>
        <w:t>(1), 17–30. https://doi.org/10.1016/j.intonc.2024.10.003</w:t>
      </w:r>
    </w:p>
    <w:p w14:paraId="6FEA2F7A" w14:textId="77777777" w:rsidR="00701379" w:rsidRDefault="00000000" w:rsidP="00976DF6">
      <w:pPr>
        <w:pBdr>
          <w:top w:val="nil"/>
          <w:left w:val="nil"/>
          <w:bottom w:val="nil"/>
          <w:right w:val="nil"/>
          <w:between w:val="nil"/>
        </w:pBdr>
        <w:rPr>
          <w:color w:val="000000"/>
        </w:rPr>
      </w:pPr>
      <w:r>
        <w:rPr>
          <w:color w:val="000000"/>
        </w:rPr>
        <w:t xml:space="preserve">MacDonald, W. J., Purcell, C., Pinho-Schwermann, M., Stubbs, N. M., Srinivasan, P. R., &amp; El-Deiry, W. S. (2025). Heterogeneity in Cancer. </w:t>
      </w:r>
      <w:r>
        <w:rPr>
          <w:i/>
          <w:color w:val="000000"/>
        </w:rPr>
        <w:t>Cancers</w:t>
      </w:r>
      <w:r>
        <w:rPr>
          <w:color w:val="000000"/>
        </w:rPr>
        <w:t xml:space="preserve">, </w:t>
      </w:r>
      <w:r>
        <w:rPr>
          <w:i/>
          <w:color w:val="000000"/>
        </w:rPr>
        <w:t>17</w:t>
      </w:r>
      <w:r>
        <w:rPr>
          <w:color w:val="000000"/>
        </w:rPr>
        <w:t>(3), 441. https://doi.org/10.3390/cancers17030441</w:t>
      </w:r>
    </w:p>
    <w:p w14:paraId="062C41C0" w14:textId="77777777" w:rsidR="00701379" w:rsidRDefault="00000000" w:rsidP="00976DF6">
      <w:pPr>
        <w:pBdr>
          <w:top w:val="nil"/>
          <w:left w:val="nil"/>
          <w:bottom w:val="nil"/>
          <w:right w:val="nil"/>
          <w:between w:val="nil"/>
        </w:pBdr>
        <w:rPr>
          <w:color w:val="000000"/>
        </w:rPr>
      </w:pPr>
      <w:r>
        <w:rPr>
          <w:color w:val="000000"/>
        </w:rPr>
        <w:t xml:space="preserve">Magro, D., Venezia, M., &amp; Rita Balistreri, C. (2024a). The omics technologies and liquid biopsies: Advantages, limitations, applications. </w:t>
      </w:r>
      <w:r>
        <w:rPr>
          <w:i/>
          <w:color w:val="000000"/>
        </w:rPr>
        <w:t>Medicine in Omics</w:t>
      </w:r>
      <w:r>
        <w:rPr>
          <w:color w:val="000000"/>
        </w:rPr>
        <w:t xml:space="preserve">, </w:t>
      </w:r>
      <w:r>
        <w:rPr>
          <w:i/>
          <w:color w:val="000000"/>
        </w:rPr>
        <w:t>11</w:t>
      </w:r>
      <w:r>
        <w:rPr>
          <w:color w:val="000000"/>
        </w:rPr>
        <w:t>, 100039. https://doi.org/10.1016/j.meomic.2024.100039</w:t>
      </w:r>
    </w:p>
    <w:p w14:paraId="6AE321EA" w14:textId="77777777" w:rsidR="00701379" w:rsidRDefault="00000000" w:rsidP="00976DF6">
      <w:pPr>
        <w:pBdr>
          <w:top w:val="nil"/>
          <w:left w:val="nil"/>
          <w:bottom w:val="nil"/>
          <w:right w:val="nil"/>
          <w:between w:val="nil"/>
        </w:pBdr>
        <w:rPr>
          <w:color w:val="000000"/>
        </w:rPr>
      </w:pPr>
      <w:r>
        <w:rPr>
          <w:color w:val="000000"/>
        </w:rPr>
        <w:t xml:space="preserve">Magro, D., Venezia, M., &amp; Rita Balistreri, C. (2024b). The omics technologies and liquid biopsies: Advantages, limitations, applications. </w:t>
      </w:r>
      <w:r>
        <w:rPr>
          <w:i/>
          <w:color w:val="000000"/>
        </w:rPr>
        <w:t>Medicine in Omics</w:t>
      </w:r>
      <w:r>
        <w:rPr>
          <w:color w:val="000000"/>
        </w:rPr>
        <w:t xml:space="preserve">, </w:t>
      </w:r>
      <w:r>
        <w:rPr>
          <w:i/>
          <w:color w:val="000000"/>
        </w:rPr>
        <w:t>11</w:t>
      </w:r>
      <w:r>
        <w:rPr>
          <w:color w:val="000000"/>
        </w:rPr>
        <w:t>, 100039. https://doi.org/10.1016/j.meomic.2024.100039</w:t>
      </w:r>
    </w:p>
    <w:p w14:paraId="2698EC92" w14:textId="77777777" w:rsidR="00701379" w:rsidRDefault="00000000" w:rsidP="00976DF6">
      <w:pPr>
        <w:pBdr>
          <w:top w:val="nil"/>
          <w:left w:val="nil"/>
          <w:bottom w:val="nil"/>
          <w:right w:val="nil"/>
          <w:between w:val="nil"/>
        </w:pBdr>
        <w:rPr>
          <w:color w:val="000000"/>
        </w:rPr>
      </w:pPr>
      <w:r>
        <w:rPr>
          <w:color w:val="000000"/>
        </w:rPr>
        <w:t xml:space="preserve">Marusyk, A., &amp; Polyak, K. (2010). Tumor heterogeneity: Causes and consequences. </w:t>
      </w:r>
      <w:r>
        <w:rPr>
          <w:i/>
          <w:color w:val="000000"/>
        </w:rPr>
        <w:t>Biochimica et Biophysica Acta</w:t>
      </w:r>
      <w:r>
        <w:rPr>
          <w:color w:val="000000"/>
        </w:rPr>
        <w:t xml:space="preserve">, </w:t>
      </w:r>
      <w:r>
        <w:rPr>
          <w:i/>
          <w:color w:val="000000"/>
        </w:rPr>
        <w:t>1805</w:t>
      </w:r>
      <w:r>
        <w:rPr>
          <w:color w:val="000000"/>
        </w:rPr>
        <w:t>(1), 105. https://doi.org/10.1016/j.bbcan.2009.11.002</w:t>
      </w:r>
    </w:p>
    <w:p w14:paraId="53B85981" w14:textId="77777777" w:rsidR="00701379" w:rsidRDefault="00000000" w:rsidP="00976DF6">
      <w:pPr>
        <w:pBdr>
          <w:top w:val="nil"/>
          <w:left w:val="nil"/>
          <w:bottom w:val="nil"/>
          <w:right w:val="nil"/>
          <w:between w:val="nil"/>
        </w:pBdr>
        <w:rPr>
          <w:color w:val="000000"/>
        </w:rPr>
      </w:pPr>
      <w:r>
        <w:rPr>
          <w:color w:val="000000"/>
        </w:rPr>
        <w:t xml:space="preserve">Melariri, H., Els, T., Oyedele, O., Suttle, T. K., Bermosky, K. T., De Freitas, A., Murtaza, A., Moosajee, M., &amp; Melariri, P. E. (2023). Prevalence of locoregional recurrence and survival post-treatment of head and neck cancers in Africa: A systematic review and meta-analysis. </w:t>
      </w:r>
      <w:r>
        <w:rPr>
          <w:i/>
          <w:color w:val="000000"/>
        </w:rPr>
        <w:t>eClinicalMedicine</w:t>
      </w:r>
      <w:r>
        <w:rPr>
          <w:color w:val="000000"/>
        </w:rPr>
        <w:t xml:space="preserve">, </w:t>
      </w:r>
      <w:r>
        <w:rPr>
          <w:i/>
          <w:color w:val="000000"/>
        </w:rPr>
        <w:t>59</w:t>
      </w:r>
      <w:r>
        <w:rPr>
          <w:color w:val="000000"/>
        </w:rPr>
        <w:t>, 101964. https://doi.org/10.1016/j.eclinm.2023.101964</w:t>
      </w:r>
    </w:p>
    <w:p w14:paraId="624E9A1B" w14:textId="77777777" w:rsidR="00701379" w:rsidRDefault="00000000" w:rsidP="00976DF6">
      <w:pPr>
        <w:pBdr>
          <w:top w:val="nil"/>
          <w:left w:val="nil"/>
          <w:bottom w:val="nil"/>
          <w:right w:val="nil"/>
          <w:between w:val="nil"/>
        </w:pBdr>
        <w:rPr>
          <w:color w:val="000000"/>
        </w:rPr>
      </w:pPr>
      <w:r>
        <w:rPr>
          <w:color w:val="000000"/>
        </w:rPr>
        <w:t xml:space="preserve">Menyhárt, O., &amp; Győrffy, B. (2021). Multi-omics approaches in cancer research with applications in tumor subtyping, prognosis, and diagnosis. </w:t>
      </w:r>
      <w:r>
        <w:rPr>
          <w:i/>
          <w:color w:val="000000"/>
        </w:rPr>
        <w:t>Computational and Structural Biotechnology Journal</w:t>
      </w:r>
      <w:r>
        <w:rPr>
          <w:color w:val="000000"/>
        </w:rPr>
        <w:t xml:space="preserve">, </w:t>
      </w:r>
      <w:r>
        <w:rPr>
          <w:i/>
          <w:color w:val="000000"/>
        </w:rPr>
        <w:t>19</w:t>
      </w:r>
      <w:r>
        <w:rPr>
          <w:color w:val="000000"/>
        </w:rPr>
        <w:t>, 949–960. https://doi.org/10.1016/j.csbj.2021.01.009</w:t>
      </w:r>
    </w:p>
    <w:p w14:paraId="7C7ADB64" w14:textId="77777777" w:rsidR="00701379" w:rsidRDefault="00000000" w:rsidP="00976DF6">
      <w:pPr>
        <w:pBdr>
          <w:top w:val="nil"/>
          <w:left w:val="nil"/>
          <w:bottom w:val="nil"/>
          <w:right w:val="nil"/>
          <w:between w:val="nil"/>
        </w:pBdr>
        <w:rPr>
          <w:color w:val="000000"/>
        </w:rPr>
      </w:pPr>
      <w:r>
        <w:rPr>
          <w:color w:val="000000"/>
        </w:rPr>
        <w:t xml:space="preserve">Molla, G., &amp; Bitew, M. (2024). Revolutionizing Personalized Medicine: Synergy with Multi-Omics Data Generation, Main Hurdles, and Future Perspectives. </w:t>
      </w:r>
      <w:r>
        <w:rPr>
          <w:i/>
          <w:color w:val="000000"/>
        </w:rPr>
        <w:t>Biomedicines</w:t>
      </w:r>
      <w:r>
        <w:rPr>
          <w:color w:val="000000"/>
        </w:rPr>
        <w:t xml:space="preserve">, </w:t>
      </w:r>
      <w:r>
        <w:rPr>
          <w:i/>
          <w:color w:val="000000"/>
        </w:rPr>
        <w:t>12</w:t>
      </w:r>
      <w:r>
        <w:rPr>
          <w:color w:val="000000"/>
        </w:rPr>
        <w:t>(12), 2750. https://doi.org/10.3390/biomedicines12122750</w:t>
      </w:r>
    </w:p>
    <w:p w14:paraId="103F8683" w14:textId="77777777" w:rsidR="00701379" w:rsidRDefault="00000000" w:rsidP="00976DF6">
      <w:pPr>
        <w:pBdr>
          <w:top w:val="nil"/>
          <w:left w:val="nil"/>
          <w:bottom w:val="nil"/>
          <w:right w:val="nil"/>
          <w:between w:val="nil"/>
        </w:pBdr>
        <w:rPr>
          <w:color w:val="000000"/>
        </w:rPr>
      </w:pPr>
      <w:r>
        <w:rPr>
          <w:color w:val="000000"/>
        </w:rPr>
        <w:t xml:space="preserve">Nacis, J. S., Kamande, P., Toni, A. T., Mudibo, E., Musyimi, R., Popluechai, S., Dailey-Chwalibóg, T., Voskuijl, W., Dable-Tupas, G., Shahid, A. S. M. S. B., Bascos, N. A., Afroze, F., Chisti, M. J., Singa, B., Ngari, M., Tigoi, C., Mhango, G., Freitag, H., Potani, I., … Gonzales, G. B. (2024). Barriers and enablers to the effective implementation of omics research in low- and middle-income countries. </w:t>
      </w:r>
      <w:r>
        <w:rPr>
          <w:i/>
          <w:color w:val="000000"/>
        </w:rPr>
        <w:t>Nature Biotechnology</w:t>
      </w:r>
      <w:r>
        <w:rPr>
          <w:color w:val="000000"/>
        </w:rPr>
        <w:t xml:space="preserve">, </w:t>
      </w:r>
      <w:r>
        <w:rPr>
          <w:i/>
          <w:color w:val="000000"/>
        </w:rPr>
        <w:t>42</w:t>
      </w:r>
      <w:r>
        <w:rPr>
          <w:color w:val="000000"/>
        </w:rPr>
        <w:t>(6), 988–991. https://doi.org/10.1038/s41587-024-02274-4</w:t>
      </w:r>
    </w:p>
    <w:p w14:paraId="70181ABE" w14:textId="77777777" w:rsidR="00701379" w:rsidRDefault="00000000" w:rsidP="00976DF6">
      <w:pPr>
        <w:pBdr>
          <w:top w:val="nil"/>
          <w:left w:val="nil"/>
          <w:bottom w:val="nil"/>
          <w:right w:val="nil"/>
          <w:between w:val="nil"/>
        </w:pBdr>
        <w:rPr>
          <w:color w:val="000000"/>
        </w:rPr>
      </w:pPr>
      <w:r>
        <w:rPr>
          <w:color w:val="000000"/>
        </w:rPr>
        <w:lastRenderedPageBreak/>
        <w:t xml:space="preserve">Naffaa, M. M., Al-Ewaidat, O. A., Gogia, S., &amp; Begiashvili, V. (2025). Neoantigen-based immunotherapy: Advancing precision medicine in cancer and glioblastoma treatment through discovery and innovation. </w:t>
      </w:r>
      <w:r>
        <w:rPr>
          <w:i/>
          <w:color w:val="000000"/>
        </w:rPr>
        <w:t>Exploration of Targeted Anti-Tumor Therapy</w:t>
      </w:r>
      <w:r>
        <w:rPr>
          <w:color w:val="000000"/>
        </w:rPr>
        <w:t xml:space="preserve">, </w:t>
      </w:r>
      <w:r>
        <w:rPr>
          <w:i/>
          <w:color w:val="000000"/>
        </w:rPr>
        <w:t>6</w:t>
      </w:r>
      <w:r>
        <w:rPr>
          <w:color w:val="000000"/>
        </w:rPr>
        <w:t>, 1002313. https://doi.org/10.37349/etat.2025.1002313</w:t>
      </w:r>
    </w:p>
    <w:p w14:paraId="67C6CBFB" w14:textId="77777777" w:rsidR="00701379" w:rsidRDefault="00000000" w:rsidP="00976DF6">
      <w:pPr>
        <w:pBdr>
          <w:top w:val="nil"/>
          <w:left w:val="nil"/>
          <w:bottom w:val="nil"/>
          <w:right w:val="nil"/>
          <w:between w:val="nil"/>
        </w:pBdr>
        <w:rPr>
          <w:color w:val="000000"/>
        </w:rPr>
      </w:pPr>
      <w:r>
        <w:rPr>
          <w:color w:val="000000"/>
        </w:rPr>
        <w:t xml:space="preserve">Okafor, C. E., Egwuatu, E. C., Owosagba, V. A., Njei, T., Adeyemi, B. I., Onuche, P. U. O., Adams, A., Ugwuja, C. B., Chibueze, E. S., &amp; Lawal, O. P. (2025). From Bench to Bedside: Medicinal Chemistry Strategies in the Development of Kinase Inhibitors for Cancer Therapy. </w:t>
      </w:r>
      <w:r>
        <w:rPr>
          <w:i/>
          <w:color w:val="000000"/>
        </w:rPr>
        <w:t>Journal of Cancer and Tumor International</w:t>
      </w:r>
      <w:r>
        <w:rPr>
          <w:color w:val="000000"/>
        </w:rPr>
        <w:t xml:space="preserve">, </w:t>
      </w:r>
      <w:r>
        <w:rPr>
          <w:i/>
          <w:color w:val="000000"/>
        </w:rPr>
        <w:t>15</w:t>
      </w:r>
      <w:r>
        <w:rPr>
          <w:color w:val="000000"/>
        </w:rPr>
        <w:t>(2), 79–96. https://doi.org/10.9734/jcti/2025/v15i2294</w:t>
      </w:r>
    </w:p>
    <w:p w14:paraId="508C37D2" w14:textId="77777777" w:rsidR="00701379" w:rsidRDefault="00000000" w:rsidP="00976DF6">
      <w:pPr>
        <w:pBdr>
          <w:top w:val="nil"/>
          <w:left w:val="nil"/>
          <w:bottom w:val="nil"/>
          <w:right w:val="nil"/>
          <w:between w:val="nil"/>
        </w:pBdr>
        <w:rPr>
          <w:color w:val="000000"/>
        </w:rPr>
      </w:pPr>
      <w:r>
        <w:rPr>
          <w:color w:val="000000"/>
        </w:rPr>
        <w:t xml:space="preserve">Onwuemelem, L. A., Orobator, E. T., Onyedum, N. N., Chibueze, E. S., Kanu, I., Christopher, A. A., Lawal, O., &amp; Ben-Anioke, B. (2025). Molecular Mechanisms of Clonal Hematopoiesis in Age-Related Cardiovascular Disease and Hematologic Malignancies: Review Article. </w:t>
      </w:r>
      <w:r>
        <w:rPr>
          <w:i/>
          <w:color w:val="000000"/>
        </w:rPr>
        <w:t>Journal of Pharma Insights and Research</w:t>
      </w:r>
      <w:r>
        <w:rPr>
          <w:color w:val="000000"/>
        </w:rPr>
        <w:t xml:space="preserve">, </w:t>
      </w:r>
      <w:r>
        <w:rPr>
          <w:i/>
          <w:color w:val="000000"/>
        </w:rPr>
        <w:t>3</w:t>
      </w:r>
      <w:r>
        <w:rPr>
          <w:color w:val="000000"/>
        </w:rPr>
        <w:t>(2), Article 2. https://doi.org/10.69613/gexxbw35</w:t>
      </w:r>
    </w:p>
    <w:p w14:paraId="2E4652C0" w14:textId="77777777" w:rsidR="00701379" w:rsidRDefault="00000000" w:rsidP="00976DF6">
      <w:pPr>
        <w:pBdr>
          <w:top w:val="nil"/>
          <w:left w:val="nil"/>
          <w:bottom w:val="nil"/>
          <w:right w:val="nil"/>
          <w:between w:val="nil"/>
        </w:pBdr>
        <w:rPr>
          <w:color w:val="000000"/>
        </w:rPr>
      </w:pPr>
      <w:r>
        <w:rPr>
          <w:color w:val="000000"/>
        </w:rPr>
        <w:t xml:space="preserve">Ortega-Batista, A., Jaén-Alvarado, Y., Moreno-Labrador, D., Gómez, N., García, G., &amp; Guerrero, E. N. (2025). Single-Cell Sequencing: Genomic and Transcriptomic Approaches in Cancer Cell Biology. </w:t>
      </w:r>
      <w:r>
        <w:rPr>
          <w:i/>
          <w:color w:val="000000"/>
        </w:rPr>
        <w:t>International Journal of Molecular Sciences</w:t>
      </w:r>
      <w:r>
        <w:rPr>
          <w:color w:val="000000"/>
        </w:rPr>
        <w:t xml:space="preserve">, </w:t>
      </w:r>
      <w:r>
        <w:rPr>
          <w:i/>
          <w:color w:val="000000"/>
        </w:rPr>
        <w:t>26</w:t>
      </w:r>
      <w:r>
        <w:rPr>
          <w:color w:val="000000"/>
        </w:rPr>
        <w:t>(5), Article 5. https://doi.org/10.3390/ijms26052074</w:t>
      </w:r>
    </w:p>
    <w:p w14:paraId="5AE152F6" w14:textId="77777777" w:rsidR="00701379" w:rsidRDefault="00000000" w:rsidP="00976DF6">
      <w:pPr>
        <w:pBdr>
          <w:top w:val="nil"/>
          <w:left w:val="nil"/>
          <w:bottom w:val="nil"/>
          <w:right w:val="nil"/>
          <w:between w:val="nil"/>
        </w:pBdr>
        <w:rPr>
          <w:color w:val="000000"/>
        </w:rPr>
      </w:pPr>
      <w:r>
        <w:rPr>
          <w:color w:val="000000"/>
        </w:rPr>
        <w:t xml:space="preserve">Ortmayr, K., Dubuis, S., &amp; Zampieri, M. (2019). Metabolic profiling of cancer cells reveals genome-wide crosstalk between transcriptional regulators and metabolism. </w:t>
      </w:r>
      <w:r>
        <w:rPr>
          <w:i/>
          <w:color w:val="000000"/>
        </w:rPr>
        <w:t>Nature Communications</w:t>
      </w:r>
      <w:r>
        <w:rPr>
          <w:color w:val="000000"/>
        </w:rPr>
        <w:t xml:space="preserve">, </w:t>
      </w:r>
      <w:r>
        <w:rPr>
          <w:i/>
          <w:color w:val="000000"/>
        </w:rPr>
        <w:t>10</w:t>
      </w:r>
      <w:r>
        <w:rPr>
          <w:color w:val="000000"/>
        </w:rPr>
        <w:t>(1), 1841. https://doi.org/10.1038/s41467-019-09695-9</w:t>
      </w:r>
    </w:p>
    <w:p w14:paraId="11387E96" w14:textId="77777777" w:rsidR="00701379" w:rsidRDefault="00000000" w:rsidP="00976DF6">
      <w:pPr>
        <w:pBdr>
          <w:top w:val="nil"/>
          <w:left w:val="nil"/>
          <w:bottom w:val="nil"/>
          <w:right w:val="nil"/>
          <w:between w:val="nil"/>
        </w:pBdr>
        <w:rPr>
          <w:color w:val="000000"/>
        </w:rPr>
      </w:pPr>
      <w:r>
        <w:rPr>
          <w:color w:val="000000"/>
        </w:rPr>
        <w:t xml:space="preserve">Pandey, S., &amp; Yadav, P. (2025). Liquid biopsy in cancer management: Integrating diagnostics and clinical applications. </w:t>
      </w:r>
      <w:r>
        <w:rPr>
          <w:i/>
          <w:color w:val="000000"/>
        </w:rPr>
        <w:t>Practical Laboratory Medicine</w:t>
      </w:r>
      <w:r>
        <w:rPr>
          <w:color w:val="000000"/>
        </w:rPr>
        <w:t xml:space="preserve">, </w:t>
      </w:r>
      <w:r>
        <w:rPr>
          <w:i/>
          <w:color w:val="000000"/>
        </w:rPr>
        <w:t>43</w:t>
      </w:r>
      <w:r>
        <w:rPr>
          <w:color w:val="000000"/>
        </w:rPr>
        <w:t>, e00446. https://doi.org/10.1016/j.plabm.2024.e00446</w:t>
      </w:r>
    </w:p>
    <w:p w14:paraId="3F5D0474" w14:textId="77777777" w:rsidR="00701379" w:rsidRDefault="00000000" w:rsidP="00976DF6">
      <w:pPr>
        <w:pBdr>
          <w:top w:val="nil"/>
          <w:left w:val="nil"/>
          <w:bottom w:val="nil"/>
          <w:right w:val="nil"/>
          <w:between w:val="nil"/>
        </w:pBdr>
        <w:rPr>
          <w:color w:val="000000"/>
        </w:rPr>
      </w:pPr>
      <w:r>
        <w:rPr>
          <w:color w:val="000000"/>
        </w:rPr>
        <w:t xml:space="preserve">Proietto, M., Crippa, M., Damiani, C., Pasquale, V., Sacco, E., Vanoni, M., &amp; Gilardi, M. (2023). Tumor heterogeneity: Preclinical models, emerging technologies, and future applications. </w:t>
      </w:r>
      <w:r>
        <w:rPr>
          <w:i/>
          <w:color w:val="000000"/>
        </w:rPr>
        <w:t>Frontiers in Oncology</w:t>
      </w:r>
      <w:r>
        <w:rPr>
          <w:color w:val="000000"/>
        </w:rPr>
        <w:t xml:space="preserve">, </w:t>
      </w:r>
      <w:r>
        <w:rPr>
          <w:i/>
          <w:color w:val="000000"/>
        </w:rPr>
        <w:t>13</w:t>
      </w:r>
      <w:r>
        <w:rPr>
          <w:color w:val="000000"/>
        </w:rPr>
        <w:t>, 1164535. https://doi.org/10.3389/fonc.2023.1164535</w:t>
      </w:r>
    </w:p>
    <w:p w14:paraId="6E80A650" w14:textId="77777777" w:rsidR="00701379" w:rsidRDefault="00000000" w:rsidP="00976DF6">
      <w:pPr>
        <w:pBdr>
          <w:top w:val="nil"/>
          <w:left w:val="nil"/>
          <w:bottom w:val="nil"/>
          <w:right w:val="nil"/>
          <w:between w:val="nil"/>
        </w:pBdr>
        <w:rPr>
          <w:color w:val="000000"/>
        </w:rPr>
      </w:pPr>
      <w:r>
        <w:rPr>
          <w:color w:val="000000"/>
        </w:rPr>
        <w:t xml:space="preserve">Ramón y Cajal, S., Sesé, M., Capdevila, C., Aasen, T., De Mattos-Arruda, L., Diaz-Cano, S. J., Hernández-Losa, J., &amp; Castellví, J. (2020a). Clinical implications of intratumor heterogeneity: Challenges and opportunities. </w:t>
      </w:r>
      <w:r>
        <w:rPr>
          <w:i/>
          <w:color w:val="000000"/>
        </w:rPr>
        <w:t>Journal of Molecular Medicine (Berlin, Germany)</w:t>
      </w:r>
      <w:r>
        <w:rPr>
          <w:color w:val="000000"/>
        </w:rPr>
        <w:t xml:space="preserve">, </w:t>
      </w:r>
      <w:r>
        <w:rPr>
          <w:i/>
          <w:color w:val="000000"/>
        </w:rPr>
        <w:t>98</w:t>
      </w:r>
      <w:r>
        <w:rPr>
          <w:color w:val="000000"/>
        </w:rPr>
        <w:t>(2), 161–177. https://doi.org/10.1007/s00109-020-01874-2</w:t>
      </w:r>
    </w:p>
    <w:p w14:paraId="5879328A" w14:textId="77777777" w:rsidR="00701379" w:rsidRDefault="00000000" w:rsidP="00976DF6">
      <w:pPr>
        <w:pBdr>
          <w:top w:val="nil"/>
          <w:left w:val="nil"/>
          <w:bottom w:val="nil"/>
          <w:right w:val="nil"/>
          <w:between w:val="nil"/>
        </w:pBdr>
        <w:rPr>
          <w:color w:val="000000"/>
        </w:rPr>
      </w:pPr>
      <w:r>
        <w:rPr>
          <w:color w:val="000000"/>
        </w:rPr>
        <w:t xml:space="preserve">Ramón y Cajal, S., Sesé, M., Capdevila, C., Aasen, T., De Mattos-Arruda, L., Diaz-Cano, S. J., Hernández-Losa, J., &amp; Castellví, J. (2020b). Clinical implications of intratumor heterogeneity: Challenges and opportunities. </w:t>
      </w:r>
      <w:r>
        <w:rPr>
          <w:i/>
          <w:color w:val="000000"/>
        </w:rPr>
        <w:t>Journal of Molecular Medicine (Berlin, Germany)</w:t>
      </w:r>
      <w:r>
        <w:rPr>
          <w:color w:val="000000"/>
        </w:rPr>
        <w:t xml:space="preserve">, </w:t>
      </w:r>
      <w:r>
        <w:rPr>
          <w:i/>
          <w:color w:val="000000"/>
        </w:rPr>
        <w:t>98</w:t>
      </w:r>
      <w:r>
        <w:rPr>
          <w:color w:val="000000"/>
        </w:rPr>
        <w:t>(2), 161–177. https://doi.org/10.1007/s00109-020-01874-2</w:t>
      </w:r>
    </w:p>
    <w:p w14:paraId="3C94AC21" w14:textId="77777777" w:rsidR="00701379" w:rsidRDefault="00000000" w:rsidP="00976DF6">
      <w:pPr>
        <w:pBdr>
          <w:top w:val="nil"/>
          <w:left w:val="nil"/>
          <w:bottom w:val="nil"/>
          <w:right w:val="nil"/>
          <w:between w:val="nil"/>
        </w:pBdr>
        <w:rPr>
          <w:color w:val="000000"/>
        </w:rPr>
      </w:pPr>
      <w:r>
        <w:rPr>
          <w:color w:val="000000"/>
        </w:rPr>
        <w:t xml:space="preserve">Roszkowska, M. (2024). Multilevel Mechanisms of Cancer Drug Resistance. </w:t>
      </w:r>
      <w:r>
        <w:rPr>
          <w:i/>
          <w:color w:val="000000"/>
        </w:rPr>
        <w:t>International Journal of Molecular Sciences</w:t>
      </w:r>
      <w:r>
        <w:rPr>
          <w:color w:val="000000"/>
        </w:rPr>
        <w:t xml:space="preserve">, </w:t>
      </w:r>
      <w:r>
        <w:rPr>
          <w:i/>
          <w:color w:val="000000"/>
        </w:rPr>
        <w:t>25</w:t>
      </w:r>
      <w:r>
        <w:rPr>
          <w:color w:val="000000"/>
        </w:rPr>
        <w:t>(22), Article 22. https://doi.org/10.3390/ijms252212402</w:t>
      </w:r>
    </w:p>
    <w:p w14:paraId="2E9C3938" w14:textId="77777777" w:rsidR="00701379" w:rsidRDefault="00000000" w:rsidP="00976DF6">
      <w:pPr>
        <w:pBdr>
          <w:top w:val="nil"/>
          <w:left w:val="nil"/>
          <w:bottom w:val="nil"/>
          <w:right w:val="nil"/>
          <w:between w:val="nil"/>
        </w:pBdr>
        <w:rPr>
          <w:color w:val="000000"/>
        </w:rPr>
      </w:pPr>
      <w:r>
        <w:rPr>
          <w:color w:val="000000"/>
        </w:rPr>
        <w:t xml:space="preserve">Rozera, T., Pasolli, E., Segata, N., &amp; Ianiro, G. (2025). Machine Learning and Artificial Intelligence in the Multi-Omics Approach to Gut Microbiota. </w:t>
      </w:r>
      <w:r>
        <w:rPr>
          <w:i/>
          <w:color w:val="000000"/>
        </w:rPr>
        <w:t>Gastroenterology</w:t>
      </w:r>
      <w:r>
        <w:rPr>
          <w:color w:val="000000"/>
        </w:rPr>
        <w:t>. https://doi.org/10.1053/j.gastro.2025.02.035</w:t>
      </w:r>
    </w:p>
    <w:p w14:paraId="3A4BDAE8" w14:textId="77777777" w:rsidR="00701379" w:rsidRDefault="00000000" w:rsidP="00976DF6">
      <w:pPr>
        <w:pBdr>
          <w:top w:val="nil"/>
          <w:left w:val="nil"/>
          <w:bottom w:val="nil"/>
          <w:right w:val="nil"/>
          <w:between w:val="nil"/>
        </w:pBdr>
        <w:rPr>
          <w:color w:val="000000"/>
        </w:rPr>
      </w:pPr>
      <w:r>
        <w:rPr>
          <w:color w:val="000000"/>
        </w:rPr>
        <w:t xml:space="preserve">Saliba, A., Du, Y., Feng, T., &amp; Garmire, L. (2024). Multi-Omics Integration in Nephrology: Advances, Challenges, and Future Directions. </w:t>
      </w:r>
      <w:r>
        <w:rPr>
          <w:i/>
          <w:color w:val="000000"/>
        </w:rPr>
        <w:t>Seminars in Nephrology</w:t>
      </w:r>
      <w:r>
        <w:rPr>
          <w:color w:val="000000"/>
        </w:rPr>
        <w:t xml:space="preserve">, </w:t>
      </w:r>
      <w:r>
        <w:rPr>
          <w:i/>
          <w:color w:val="000000"/>
        </w:rPr>
        <w:t>44</w:t>
      </w:r>
      <w:r>
        <w:rPr>
          <w:color w:val="000000"/>
        </w:rPr>
        <w:t>(6), 151584. https://doi.org/10.1016/j.semnephrol.2025.151584</w:t>
      </w:r>
    </w:p>
    <w:p w14:paraId="0B19CDA7" w14:textId="77777777" w:rsidR="00701379" w:rsidRDefault="00000000" w:rsidP="00976DF6">
      <w:pPr>
        <w:pBdr>
          <w:top w:val="nil"/>
          <w:left w:val="nil"/>
          <w:bottom w:val="nil"/>
          <w:right w:val="nil"/>
          <w:between w:val="nil"/>
        </w:pBdr>
        <w:rPr>
          <w:color w:val="000000"/>
        </w:rPr>
      </w:pPr>
      <w:r>
        <w:rPr>
          <w:color w:val="000000"/>
        </w:rPr>
        <w:lastRenderedPageBreak/>
        <w:t xml:space="preserve">Sari, G., &amp; Rock, K. L. (2023). TUMOR IMMUNE EVASION THROUGH LOSS OF MHC CLASS I ANTIGEN PRESENTATION. </w:t>
      </w:r>
      <w:r>
        <w:rPr>
          <w:i/>
          <w:color w:val="000000"/>
        </w:rPr>
        <w:t>Current Opinion in Immunology</w:t>
      </w:r>
      <w:r>
        <w:rPr>
          <w:color w:val="000000"/>
        </w:rPr>
        <w:t xml:space="preserve">, </w:t>
      </w:r>
      <w:r>
        <w:rPr>
          <w:i/>
          <w:color w:val="000000"/>
        </w:rPr>
        <w:t>83</w:t>
      </w:r>
      <w:r>
        <w:rPr>
          <w:color w:val="000000"/>
        </w:rPr>
        <w:t>, 102329. https://doi.org/10.1016/j.coi.2023.102329</w:t>
      </w:r>
    </w:p>
    <w:p w14:paraId="77F32B33" w14:textId="77777777" w:rsidR="00701379" w:rsidRDefault="00000000" w:rsidP="00976DF6">
      <w:pPr>
        <w:pBdr>
          <w:top w:val="nil"/>
          <w:left w:val="nil"/>
          <w:bottom w:val="nil"/>
          <w:right w:val="nil"/>
          <w:between w:val="nil"/>
        </w:pBdr>
        <w:rPr>
          <w:color w:val="000000"/>
        </w:rPr>
      </w:pPr>
      <w:r>
        <w:rPr>
          <w:color w:val="000000"/>
        </w:rPr>
        <w:t xml:space="preserve">Satam, H., Joshi, K., Mangrolia, U., Waghoo, S., Zaidi, G., Rawool, S., Thakare, R. P., Banday, S., Mishra, A. K., Das, G., &amp; Malonia, S. K. (2023a). Next-Generation Sequencing Technology: Current Trends and Advancements. </w:t>
      </w:r>
      <w:r>
        <w:rPr>
          <w:i/>
          <w:color w:val="000000"/>
        </w:rPr>
        <w:t>Biology</w:t>
      </w:r>
      <w:r>
        <w:rPr>
          <w:color w:val="000000"/>
        </w:rPr>
        <w:t xml:space="preserve">, </w:t>
      </w:r>
      <w:r>
        <w:rPr>
          <w:i/>
          <w:color w:val="000000"/>
        </w:rPr>
        <w:t>12</w:t>
      </w:r>
      <w:r>
        <w:rPr>
          <w:color w:val="000000"/>
        </w:rPr>
        <w:t>(7), 997. https://doi.org/10.3390/biology12070997</w:t>
      </w:r>
    </w:p>
    <w:p w14:paraId="46CD31D2" w14:textId="77777777" w:rsidR="00701379" w:rsidRDefault="00000000" w:rsidP="00976DF6">
      <w:pPr>
        <w:pBdr>
          <w:top w:val="nil"/>
          <w:left w:val="nil"/>
          <w:bottom w:val="nil"/>
          <w:right w:val="nil"/>
          <w:between w:val="nil"/>
        </w:pBdr>
        <w:rPr>
          <w:color w:val="000000"/>
        </w:rPr>
      </w:pPr>
      <w:r>
        <w:rPr>
          <w:color w:val="000000"/>
        </w:rPr>
        <w:t xml:space="preserve">Satam, H., Joshi, K., Mangrolia, U., Waghoo, S., Zaidi, G., Rawool, S., Thakare, R. P., Banday, S., Mishra, A. K., Das, G., &amp; Malonia, S. K. (2023b). Next-Generation Sequencing Technology: Current Trends and Advancements. </w:t>
      </w:r>
      <w:r>
        <w:rPr>
          <w:i/>
          <w:color w:val="000000"/>
        </w:rPr>
        <w:t>Biology</w:t>
      </w:r>
      <w:r>
        <w:rPr>
          <w:color w:val="000000"/>
        </w:rPr>
        <w:t xml:space="preserve">, </w:t>
      </w:r>
      <w:r>
        <w:rPr>
          <w:i/>
          <w:color w:val="000000"/>
        </w:rPr>
        <w:t>12</w:t>
      </w:r>
      <w:r>
        <w:rPr>
          <w:color w:val="000000"/>
        </w:rPr>
        <w:t>(7), 997. https://doi.org/10.3390/biology12070997</w:t>
      </w:r>
    </w:p>
    <w:p w14:paraId="48FD2D84" w14:textId="77777777" w:rsidR="00701379" w:rsidRDefault="00000000" w:rsidP="00976DF6">
      <w:pPr>
        <w:pBdr>
          <w:top w:val="nil"/>
          <w:left w:val="nil"/>
          <w:bottom w:val="nil"/>
          <w:right w:val="nil"/>
          <w:between w:val="nil"/>
        </w:pBdr>
        <w:rPr>
          <w:color w:val="000000"/>
        </w:rPr>
      </w:pPr>
      <w:r>
        <w:rPr>
          <w:color w:val="000000"/>
        </w:rPr>
        <w:t xml:space="preserve">Schiliro, C., &amp; Firestein, B. L. (2021). Mechanisms of Metabolic Reprogramming in Cancer Cells Supporting Enhanced Growth and Proliferation. </w:t>
      </w:r>
      <w:r>
        <w:rPr>
          <w:i/>
          <w:color w:val="000000"/>
        </w:rPr>
        <w:t>Cells</w:t>
      </w:r>
      <w:r>
        <w:rPr>
          <w:color w:val="000000"/>
        </w:rPr>
        <w:t xml:space="preserve">, </w:t>
      </w:r>
      <w:r>
        <w:rPr>
          <w:i/>
          <w:color w:val="000000"/>
        </w:rPr>
        <w:t>10</w:t>
      </w:r>
      <w:r>
        <w:rPr>
          <w:color w:val="000000"/>
        </w:rPr>
        <w:t>(5), 1056. https://doi.org/10.3390/cells10051056</w:t>
      </w:r>
    </w:p>
    <w:p w14:paraId="33C7EDD5" w14:textId="77777777" w:rsidR="00701379" w:rsidRDefault="00000000" w:rsidP="00976DF6">
      <w:pPr>
        <w:pBdr>
          <w:top w:val="nil"/>
          <w:left w:val="nil"/>
          <w:bottom w:val="nil"/>
          <w:right w:val="nil"/>
          <w:between w:val="nil"/>
        </w:pBdr>
        <w:rPr>
          <w:color w:val="000000"/>
        </w:rPr>
      </w:pPr>
      <w:r>
        <w:rPr>
          <w:color w:val="000000"/>
        </w:rPr>
        <w:t xml:space="preserve">Shaffer, J. G., Mather, F. J., Wele, M., Li, J., Tangara, C. O., Kassogue, Y., Srivastav, S. K., Thiero, O., Diakite, M., Sangare, M., Dabitao, D., Toure, M., Djimde, A. A., Traore, S., Diakite, B., Coulibaly, M. B., Liu, Y., Lacey, M., Lefante, J. J., … Doumbia, S. O. (2019). Expanding Research Capacity in Sub-Saharan Africa Through Informatics, Bioinformatics, and Data Science Training Programs in Mali. </w:t>
      </w:r>
      <w:r>
        <w:rPr>
          <w:i/>
          <w:color w:val="000000"/>
        </w:rPr>
        <w:t>Frontiers in Genetics</w:t>
      </w:r>
      <w:r>
        <w:rPr>
          <w:color w:val="000000"/>
        </w:rPr>
        <w:t xml:space="preserve">, </w:t>
      </w:r>
      <w:r>
        <w:rPr>
          <w:i/>
          <w:color w:val="000000"/>
        </w:rPr>
        <w:t>10</w:t>
      </w:r>
      <w:r>
        <w:rPr>
          <w:color w:val="000000"/>
        </w:rPr>
        <w:t>. https://doi.org/10.3389/fgene.2019.00331</w:t>
      </w:r>
    </w:p>
    <w:p w14:paraId="17FBC5CB" w14:textId="77777777" w:rsidR="00701379" w:rsidRDefault="00000000" w:rsidP="00976DF6">
      <w:pPr>
        <w:pBdr>
          <w:top w:val="nil"/>
          <w:left w:val="nil"/>
          <w:bottom w:val="nil"/>
          <w:right w:val="nil"/>
          <w:between w:val="nil"/>
        </w:pBdr>
        <w:rPr>
          <w:color w:val="000000"/>
        </w:rPr>
      </w:pPr>
      <w:r>
        <w:rPr>
          <w:color w:val="000000"/>
        </w:rPr>
        <w:t xml:space="preserve">Sheynkman, G. M., Shortreed, M. R., Cesnik, A. J., &amp; Smith, L. M. (2016). Proteogenomics: Integrating Next-Generation Sequencing and Mass Spectrometry to Characterize Human Proteomic Variation. </w:t>
      </w:r>
      <w:r>
        <w:rPr>
          <w:i/>
          <w:color w:val="000000"/>
        </w:rPr>
        <w:t>Annual Review of Analytical Chemistry (Palo Alto, Calif.)</w:t>
      </w:r>
      <w:r>
        <w:rPr>
          <w:color w:val="000000"/>
        </w:rPr>
        <w:t xml:space="preserve">, </w:t>
      </w:r>
      <w:r>
        <w:rPr>
          <w:i/>
          <w:color w:val="000000"/>
        </w:rPr>
        <w:t>9</w:t>
      </w:r>
      <w:r>
        <w:rPr>
          <w:color w:val="000000"/>
        </w:rPr>
        <w:t>(1), 521–545. https://doi.org/10.1146/annurev-anchem-071015-041722</w:t>
      </w:r>
    </w:p>
    <w:p w14:paraId="30DFC62D" w14:textId="77777777" w:rsidR="00701379" w:rsidRDefault="00000000" w:rsidP="00976DF6">
      <w:pPr>
        <w:pBdr>
          <w:top w:val="nil"/>
          <w:left w:val="nil"/>
          <w:bottom w:val="nil"/>
          <w:right w:val="nil"/>
          <w:between w:val="nil"/>
        </w:pBdr>
        <w:rPr>
          <w:color w:val="000000"/>
        </w:rPr>
      </w:pPr>
      <w:r>
        <w:rPr>
          <w:color w:val="000000"/>
        </w:rPr>
        <w:t xml:space="preserve">Sun, G., Li, Z., Rong, D., Zhang, H., Shi, X., Yang, W., Zheng, W., Sun, G., Wu, F., Cao, H., Tang, W., &amp; Sun, Y. (2021). Single-cell RNA sequencing in cancer: Applications, advances, and emerging challenges. </w:t>
      </w:r>
      <w:r>
        <w:rPr>
          <w:i/>
          <w:color w:val="000000"/>
        </w:rPr>
        <w:t>Molecular Therapy Oncolytics</w:t>
      </w:r>
      <w:r>
        <w:rPr>
          <w:color w:val="000000"/>
        </w:rPr>
        <w:t xml:space="preserve">, </w:t>
      </w:r>
      <w:r>
        <w:rPr>
          <w:i/>
          <w:color w:val="000000"/>
        </w:rPr>
        <w:t>21</w:t>
      </w:r>
      <w:r>
        <w:rPr>
          <w:color w:val="000000"/>
        </w:rPr>
        <w:t>, 183–206. https://doi.org/10.1016/j.omto.2021.04.001</w:t>
      </w:r>
    </w:p>
    <w:p w14:paraId="13C2867D" w14:textId="77777777" w:rsidR="00701379" w:rsidRDefault="00000000" w:rsidP="00976DF6">
      <w:pPr>
        <w:pBdr>
          <w:top w:val="nil"/>
          <w:left w:val="nil"/>
          <w:bottom w:val="nil"/>
          <w:right w:val="nil"/>
          <w:between w:val="nil"/>
        </w:pBdr>
        <w:rPr>
          <w:color w:val="000000"/>
        </w:rPr>
      </w:pPr>
      <w:r>
        <w:rPr>
          <w:color w:val="000000"/>
        </w:rPr>
        <w:t xml:space="preserve">Sun, R., Hu, Z., &amp; Curtis, C. (2018). Big Bang Tumor Growth and Clonal Evolution. </w:t>
      </w:r>
      <w:r>
        <w:rPr>
          <w:i/>
          <w:color w:val="000000"/>
        </w:rPr>
        <w:t>Cold Spring Harbor Perspectives in Medicine</w:t>
      </w:r>
      <w:r>
        <w:rPr>
          <w:color w:val="000000"/>
        </w:rPr>
        <w:t xml:space="preserve">, </w:t>
      </w:r>
      <w:r>
        <w:rPr>
          <w:i/>
          <w:color w:val="000000"/>
        </w:rPr>
        <w:t>8</w:t>
      </w:r>
      <w:r>
        <w:rPr>
          <w:color w:val="000000"/>
        </w:rPr>
        <w:t>(5), a028381. https://doi.org/10.1101/cshperspect.a028381</w:t>
      </w:r>
    </w:p>
    <w:p w14:paraId="28AE3098" w14:textId="77777777" w:rsidR="00701379" w:rsidRDefault="00000000" w:rsidP="00976DF6">
      <w:pPr>
        <w:pBdr>
          <w:top w:val="nil"/>
          <w:left w:val="nil"/>
          <w:bottom w:val="nil"/>
          <w:right w:val="nil"/>
          <w:between w:val="nil"/>
        </w:pBdr>
        <w:rPr>
          <w:color w:val="000000"/>
        </w:rPr>
      </w:pPr>
      <w:r>
        <w:rPr>
          <w:color w:val="000000"/>
        </w:rPr>
        <w:t xml:space="preserve">Teleanu, M.-V., Schneider, A., Ball, C. R., Leber, M. F., Stange, C., Krieghoff-Henning, E., Beck, K., Heilig, C. E., Kreutzfeldt, S., Kuster, B., Lipka, D. B., &amp; Fröhling, S. (2025). Celebrating Ulrik Ringborg: Multi-Omics-Based Patient Stratification for Precision Cancer Treatment. </w:t>
      </w:r>
      <w:r>
        <w:rPr>
          <w:i/>
          <w:color w:val="000000"/>
        </w:rPr>
        <w:t>Biomolecules</w:t>
      </w:r>
      <w:r>
        <w:rPr>
          <w:color w:val="000000"/>
        </w:rPr>
        <w:t xml:space="preserve">, </w:t>
      </w:r>
      <w:r>
        <w:rPr>
          <w:i/>
          <w:color w:val="000000"/>
        </w:rPr>
        <w:t>15</w:t>
      </w:r>
      <w:r>
        <w:rPr>
          <w:color w:val="000000"/>
        </w:rPr>
        <w:t>(5), 693. https://doi.org/10.3390/biom15050693</w:t>
      </w:r>
    </w:p>
    <w:p w14:paraId="3D8B0020" w14:textId="77777777" w:rsidR="00701379" w:rsidRDefault="00000000" w:rsidP="00976DF6">
      <w:pPr>
        <w:pBdr>
          <w:top w:val="nil"/>
          <w:left w:val="nil"/>
          <w:bottom w:val="nil"/>
          <w:right w:val="nil"/>
          <w:between w:val="nil"/>
        </w:pBdr>
        <w:rPr>
          <w:color w:val="000000"/>
        </w:rPr>
      </w:pPr>
      <w:r>
        <w:rPr>
          <w:color w:val="000000"/>
        </w:rPr>
        <w:t xml:space="preserve">Wang, M., Yu, F., &amp; Li, P. (2023). Intratumor microbiota in cancer pathogenesis and immunity: From mechanisms of action to therapeutic opportunities. </w:t>
      </w:r>
      <w:r>
        <w:rPr>
          <w:i/>
          <w:color w:val="000000"/>
        </w:rPr>
        <w:t>Frontiers in Immunology</w:t>
      </w:r>
      <w:r>
        <w:rPr>
          <w:color w:val="000000"/>
        </w:rPr>
        <w:t xml:space="preserve">, </w:t>
      </w:r>
      <w:r>
        <w:rPr>
          <w:i/>
          <w:color w:val="000000"/>
        </w:rPr>
        <w:t>14</w:t>
      </w:r>
      <w:r>
        <w:rPr>
          <w:color w:val="000000"/>
        </w:rPr>
        <w:t>. https://doi.org/10.3389/fimmu.2023.1269054</w:t>
      </w:r>
    </w:p>
    <w:p w14:paraId="18909B5A" w14:textId="77777777" w:rsidR="00701379" w:rsidRDefault="00000000" w:rsidP="00976DF6">
      <w:pPr>
        <w:pBdr>
          <w:top w:val="nil"/>
          <w:left w:val="nil"/>
          <w:bottom w:val="nil"/>
          <w:right w:val="nil"/>
          <w:between w:val="nil"/>
        </w:pBdr>
        <w:rPr>
          <w:color w:val="000000"/>
        </w:rPr>
      </w:pPr>
      <w:r>
        <w:rPr>
          <w:color w:val="000000"/>
        </w:rPr>
        <w:t xml:space="preserve">Wang, R., Hastings, W. J., Saliba, J. G., Bao, D., Huang, Y., Maity, S., Kamal Ahmad, O. M., Hu, L., Wang, S., Fan, J., &amp; Ning, B. (2025). Applications of Nanotechnology for Spatial Omics: Biological Structures and Functions at Nanoscale Resolution. </w:t>
      </w:r>
      <w:r>
        <w:rPr>
          <w:i/>
          <w:color w:val="000000"/>
        </w:rPr>
        <w:t>ACS Nano</w:t>
      </w:r>
      <w:r>
        <w:rPr>
          <w:color w:val="000000"/>
        </w:rPr>
        <w:t xml:space="preserve">, </w:t>
      </w:r>
      <w:r>
        <w:rPr>
          <w:i/>
          <w:color w:val="000000"/>
        </w:rPr>
        <w:t>19</w:t>
      </w:r>
      <w:r>
        <w:rPr>
          <w:color w:val="000000"/>
        </w:rPr>
        <w:t>(1), 73–100. https://doi.org/10.1021/acsnano.4c11505</w:t>
      </w:r>
    </w:p>
    <w:p w14:paraId="7EA4895C" w14:textId="77777777" w:rsidR="00701379" w:rsidRDefault="00000000" w:rsidP="00976DF6">
      <w:pPr>
        <w:pBdr>
          <w:top w:val="nil"/>
          <w:left w:val="nil"/>
          <w:bottom w:val="nil"/>
          <w:right w:val="nil"/>
          <w:between w:val="nil"/>
        </w:pBdr>
        <w:rPr>
          <w:color w:val="000000"/>
        </w:rPr>
      </w:pPr>
      <w:r>
        <w:rPr>
          <w:color w:val="000000"/>
        </w:rPr>
        <w:t xml:space="preserve">Wörheide, M. A., Krumsiek, J., Kastenmüller, G., &amp; Arnold, M. (2021). Multi-omics integration in biomedical research – A metabolomics-centric review. </w:t>
      </w:r>
      <w:r>
        <w:rPr>
          <w:i/>
          <w:color w:val="000000"/>
        </w:rPr>
        <w:t>Analytica Chimica Acta</w:t>
      </w:r>
      <w:r>
        <w:rPr>
          <w:color w:val="000000"/>
        </w:rPr>
        <w:t xml:space="preserve">, </w:t>
      </w:r>
      <w:r>
        <w:rPr>
          <w:i/>
          <w:color w:val="000000"/>
        </w:rPr>
        <w:t>1141</w:t>
      </w:r>
      <w:r>
        <w:rPr>
          <w:color w:val="000000"/>
        </w:rPr>
        <w:t>, 144–162. https://doi.org/10.1016/j.aca.2020.10.038</w:t>
      </w:r>
    </w:p>
    <w:p w14:paraId="09367B12" w14:textId="77777777" w:rsidR="00701379" w:rsidRDefault="00000000" w:rsidP="00976DF6">
      <w:pPr>
        <w:pBdr>
          <w:top w:val="nil"/>
          <w:left w:val="nil"/>
          <w:bottom w:val="nil"/>
          <w:right w:val="nil"/>
          <w:between w:val="nil"/>
        </w:pBdr>
        <w:rPr>
          <w:color w:val="000000"/>
        </w:rPr>
      </w:pPr>
      <w:r>
        <w:rPr>
          <w:color w:val="000000"/>
        </w:rPr>
        <w:lastRenderedPageBreak/>
        <w:t xml:space="preserve">Wu, Y., &amp; Xie, L. (2025). AI-driven multi-omics integration for multi-scale predictive modeling of genotype-environment-phenotype relationships. </w:t>
      </w:r>
      <w:r>
        <w:rPr>
          <w:i/>
          <w:color w:val="000000"/>
        </w:rPr>
        <w:t>Computational and Structural Biotechnology Journal</w:t>
      </w:r>
      <w:r>
        <w:rPr>
          <w:color w:val="000000"/>
        </w:rPr>
        <w:t xml:space="preserve">, </w:t>
      </w:r>
      <w:r>
        <w:rPr>
          <w:i/>
          <w:color w:val="000000"/>
        </w:rPr>
        <w:t>27</w:t>
      </w:r>
      <w:r>
        <w:rPr>
          <w:color w:val="000000"/>
        </w:rPr>
        <w:t>, 265–277. https://doi.org/10.1016/j.csbj.2024.12.030</w:t>
      </w:r>
    </w:p>
    <w:p w14:paraId="0A1C23B4" w14:textId="77777777" w:rsidR="00701379" w:rsidRDefault="00000000" w:rsidP="00976DF6">
      <w:pPr>
        <w:pBdr>
          <w:top w:val="nil"/>
          <w:left w:val="nil"/>
          <w:bottom w:val="nil"/>
          <w:right w:val="nil"/>
          <w:between w:val="nil"/>
        </w:pBdr>
        <w:rPr>
          <w:color w:val="000000"/>
        </w:rPr>
      </w:pPr>
      <w:r>
        <w:rPr>
          <w:color w:val="000000"/>
        </w:rPr>
        <w:t xml:space="preserve">Yuan, Z., Li, Y., Zhang, S., Wang, X., Dou, H., Yu, X., Zhang, Z., Yang, S., &amp; Xiao, M. (2023). Extracellular matrix remodeling in tumor progression and immune escape: From mechanisms to treatments. </w:t>
      </w:r>
      <w:r>
        <w:rPr>
          <w:i/>
          <w:color w:val="000000"/>
        </w:rPr>
        <w:t>Molecular Cancer</w:t>
      </w:r>
      <w:r>
        <w:rPr>
          <w:color w:val="000000"/>
        </w:rPr>
        <w:t xml:space="preserve">, </w:t>
      </w:r>
      <w:r>
        <w:rPr>
          <w:i/>
          <w:color w:val="000000"/>
        </w:rPr>
        <w:t>22</w:t>
      </w:r>
      <w:r>
        <w:rPr>
          <w:color w:val="000000"/>
        </w:rPr>
        <w:t>, 48. https://doi.org/10.1186/s12943-023-01744-8</w:t>
      </w:r>
    </w:p>
    <w:p w14:paraId="749272C6" w14:textId="77777777" w:rsidR="00701379" w:rsidRDefault="00000000" w:rsidP="00976DF6">
      <w:pPr>
        <w:pBdr>
          <w:top w:val="nil"/>
          <w:left w:val="nil"/>
          <w:bottom w:val="nil"/>
          <w:right w:val="nil"/>
          <w:between w:val="nil"/>
        </w:pBdr>
        <w:rPr>
          <w:color w:val="000000"/>
        </w:rPr>
      </w:pPr>
      <w:r>
        <w:rPr>
          <w:color w:val="000000"/>
        </w:rPr>
        <w:t xml:space="preserve">Zhang, Y., &amp; Wang, W. (2025). Advances in tumor subclone formation and mechanisms of growth and invasion. </w:t>
      </w:r>
      <w:r>
        <w:rPr>
          <w:i/>
          <w:color w:val="000000"/>
        </w:rPr>
        <w:t>Journal of Translational Medicine</w:t>
      </w:r>
      <w:r>
        <w:rPr>
          <w:color w:val="000000"/>
        </w:rPr>
        <w:t xml:space="preserve">, </w:t>
      </w:r>
      <w:r>
        <w:rPr>
          <w:i/>
          <w:color w:val="000000"/>
        </w:rPr>
        <w:t>23</w:t>
      </w:r>
      <w:r>
        <w:rPr>
          <w:color w:val="000000"/>
        </w:rPr>
        <w:t>, 461. https://doi.org/10.1186/s12967-025-06486-3</w:t>
      </w:r>
    </w:p>
    <w:p w14:paraId="314A1396" w14:textId="05D6559D" w:rsidR="00701379" w:rsidRDefault="00000000" w:rsidP="00976DF6">
      <w:pPr>
        <w:pBdr>
          <w:top w:val="nil"/>
          <w:left w:val="nil"/>
          <w:bottom w:val="nil"/>
          <w:right w:val="nil"/>
          <w:between w:val="nil"/>
        </w:pBdr>
        <w:rPr>
          <w:color w:val="000000"/>
        </w:rPr>
      </w:pPr>
      <w:r>
        <w:rPr>
          <w:color w:val="000000"/>
        </w:rPr>
        <w:t xml:space="preserve">Zhu, Z., Shen, J., Ho, P. C.-L., Hu, Y., Ma, Z., &amp; Wang, L. (2025). Transforming cancer treatment: Integrating patient-derived organoids and CRISPR screening for precision medicine. </w:t>
      </w:r>
      <w:r>
        <w:rPr>
          <w:i/>
          <w:color w:val="000000"/>
        </w:rPr>
        <w:t>Frontiers in Pharmacology</w:t>
      </w:r>
      <w:r>
        <w:rPr>
          <w:color w:val="000000"/>
        </w:rPr>
        <w:t xml:space="preserve">, </w:t>
      </w:r>
      <w:r>
        <w:rPr>
          <w:i/>
          <w:color w:val="000000"/>
        </w:rPr>
        <w:t>16</w:t>
      </w:r>
      <w:r>
        <w:rPr>
          <w:color w:val="000000"/>
        </w:rPr>
        <w:t xml:space="preserve">. </w:t>
      </w:r>
      <w:hyperlink r:id="rId12" w:history="1">
        <w:r w:rsidR="000B1690" w:rsidRPr="00100AFF">
          <w:rPr>
            <w:rStyle w:val="Hyperlink"/>
          </w:rPr>
          <w:t>https://doi.org/10.3389/fphar.2025.1563198</w:t>
        </w:r>
      </w:hyperlink>
    </w:p>
    <w:p w14:paraId="40D375D5" w14:textId="77777777" w:rsidR="0088446F" w:rsidRPr="0088446F" w:rsidRDefault="000B1690" w:rsidP="0088446F">
      <w:pPr>
        <w:pStyle w:val="Bibliography"/>
      </w:pPr>
      <w:r>
        <w:rPr>
          <w:color w:val="000000"/>
        </w:rPr>
        <w:fldChar w:fldCharType="begin"/>
      </w:r>
      <w:r w:rsidR="0088446F">
        <w:rPr>
          <w:color w:val="000000"/>
        </w:rPr>
        <w:instrText xml:space="preserve"> ADDIN ZOTERO_BIBL {"uncited":[],"omitted":[],"custom":[]} CSL_BIBLIOGRAPHY </w:instrText>
      </w:r>
      <w:r>
        <w:rPr>
          <w:color w:val="000000"/>
        </w:rPr>
        <w:fldChar w:fldCharType="separate"/>
      </w:r>
      <w:r w:rsidR="0088446F" w:rsidRPr="0088446F">
        <w:t xml:space="preserve">Al Shihabi, A., Tebon, P. J., Nguyen, H. T. L., Chantharasamee, J., Sartini, S., Davarifar, A., Jensen, A. Y., Diaz-Infante, M., Cox, H., Gonzalez, A. E., Norris, S., Sperry, J., Nakashima, J., Tavanaie, N., Winata, H., Fitz-Gibbon, S. T., Yamaguchi, T. N., Jeong, J. H., Dry, S., … Soragni, A. (2024). The landscape of drug sensitivity and resistance in sarcoma. </w:t>
      </w:r>
      <w:r w:rsidR="0088446F" w:rsidRPr="0088446F">
        <w:rPr>
          <w:i/>
          <w:iCs/>
        </w:rPr>
        <w:t>Cell Stem Cell</w:t>
      </w:r>
      <w:r w:rsidR="0088446F" w:rsidRPr="0088446F">
        <w:t xml:space="preserve">, </w:t>
      </w:r>
      <w:r w:rsidR="0088446F" w:rsidRPr="0088446F">
        <w:rPr>
          <w:i/>
          <w:iCs/>
        </w:rPr>
        <w:t>31</w:t>
      </w:r>
      <w:r w:rsidR="0088446F" w:rsidRPr="0088446F">
        <w:t>(10), 1524-1542.e4. https://doi.org/10.1016/j.stem.2024.08.010</w:t>
      </w:r>
    </w:p>
    <w:p w14:paraId="0B5C51FC" w14:textId="77777777" w:rsidR="0088446F" w:rsidRPr="0088446F" w:rsidRDefault="0088446F" w:rsidP="0088446F">
      <w:pPr>
        <w:pStyle w:val="Bibliography"/>
      </w:pPr>
      <w:r w:rsidRPr="0088446F">
        <w:t xml:space="preserve">Bhullar, K. S., Lagarón, N. O., McGowan, E. M., Parmar, I., Jha, A., Hubbard, B. P., &amp; Rupasinghe, H. P. V. (2018). Kinase-targeted cancer therapies: Progress, challenges and future directions. </w:t>
      </w:r>
      <w:r w:rsidRPr="0088446F">
        <w:rPr>
          <w:i/>
          <w:iCs/>
        </w:rPr>
        <w:t>Molecular Cancer</w:t>
      </w:r>
      <w:r w:rsidRPr="0088446F">
        <w:t xml:space="preserve">, </w:t>
      </w:r>
      <w:r w:rsidRPr="0088446F">
        <w:rPr>
          <w:i/>
          <w:iCs/>
        </w:rPr>
        <w:t>17</w:t>
      </w:r>
      <w:r w:rsidRPr="0088446F">
        <w:t>, 48. https://doi.org/10.1186/s12943-018-0804-2</w:t>
      </w:r>
    </w:p>
    <w:p w14:paraId="6FC1EFB5" w14:textId="77777777" w:rsidR="0088446F" w:rsidRPr="0088446F" w:rsidRDefault="0088446F" w:rsidP="0088446F">
      <w:pPr>
        <w:pStyle w:val="Bibliography"/>
      </w:pPr>
      <w:r w:rsidRPr="0088446F">
        <w:t xml:space="preserve">El‐Deiry, W. S., Goldberg, R. M., Lenz, H., Shields, A. F., Gibney, G. T., Tan, A. R., Brown, J., Eisenberg, B., Heath, E. I., Phuphanich, S., Kim, E., Brenner, A. J., &amp; Marshall, J. L. (2019). The current state of molecular testing in the treatment of patients with solid tumors, 2019. </w:t>
      </w:r>
      <w:r w:rsidRPr="0088446F">
        <w:rPr>
          <w:i/>
          <w:iCs/>
        </w:rPr>
        <w:t>Ca</w:t>
      </w:r>
      <w:r w:rsidRPr="0088446F">
        <w:t xml:space="preserve">, </w:t>
      </w:r>
      <w:r w:rsidRPr="0088446F">
        <w:rPr>
          <w:i/>
          <w:iCs/>
        </w:rPr>
        <w:t>69</w:t>
      </w:r>
      <w:r w:rsidRPr="0088446F">
        <w:t>(4), 305–343. https://doi.org/10.3322/caac.21560</w:t>
      </w:r>
    </w:p>
    <w:p w14:paraId="7E15F7AC" w14:textId="77777777" w:rsidR="0088446F" w:rsidRPr="0088446F" w:rsidRDefault="0088446F" w:rsidP="0088446F">
      <w:pPr>
        <w:pStyle w:val="Bibliography"/>
      </w:pPr>
      <w:r w:rsidRPr="0088446F">
        <w:t xml:space="preserve">Feng, Y., Spezia, M., Huang, S., Yuan, C., Zeng, Z., Zhang, L., Ji, X., Liu, W., Huang, B., Luo, W., Liu, B., Lei, Y., Du, S., Vuppalapati, A., Luu, H. H., Haydon, R. C., He, T.-C., &amp; Ren, G. (2018). Breast cancer development and progression: Risk factors, cancer stem cells, signaling pathways, genomics, and molecular pathogenesis. </w:t>
      </w:r>
      <w:r w:rsidRPr="0088446F">
        <w:rPr>
          <w:i/>
          <w:iCs/>
        </w:rPr>
        <w:t>Genes &amp; Diseases</w:t>
      </w:r>
      <w:r w:rsidRPr="0088446F">
        <w:t xml:space="preserve">, </w:t>
      </w:r>
      <w:r w:rsidRPr="0088446F">
        <w:rPr>
          <w:i/>
          <w:iCs/>
        </w:rPr>
        <w:t>5</w:t>
      </w:r>
      <w:r w:rsidRPr="0088446F">
        <w:t>(2), 77–106. https://doi.org/10.1016/j.gendis.2018.05.001</w:t>
      </w:r>
    </w:p>
    <w:p w14:paraId="2BCB8AAE" w14:textId="77777777" w:rsidR="0088446F" w:rsidRPr="0088446F" w:rsidRDefault="0088446F" w:rsidP="0088446F">
      <w:pPr>
        <w:pStyle w:val="Bibliography"/>
      </w:pPr>
      <w:r w:rsidRPr="0088446F">
        <w:t xml:space="preserve">Folorunsho, S., Ajayi, V., Sanmori, M., Suleiman, M., Abdullateef, R., &amp; Abdulganiyu, A. (2025). Access to and Utilization of Dental Care Services by Older Adults in Nigeria: Barriers and Facilitators. </w:t>
      </w:r>
      <w:r w:rsidRPr="0088446F">
        <w:rPr>
          <w:i/>
          <w:iCs/>
        </w:rPr>
        <w:t>Special Care in Dentistry</w:t>
      </w:r>
      <w:r w:rsidRPr="0088446F">
        <w:t xml:space="preserve">, </w:t>
      </w:r>
      <w:r w:rsidRPr="0088446F">
        <w:rPr>
          <w:i/>
          <w:iCs/>
        </w:rPr>
        <w:t>45</w:t>
      </w:r>
      <w:r w:rsidRPr="0088446F">
        <w:t>(3), e70040. https://doi.org/10.1111/scd.70040</w:t>
      </w:r>
    </w:p>
    <w:p w14:paraId="3A93FF2A" w14:textId="77777777" w:rsidR="0088446F" w:rsidRPr="0088446F" w:rsidRDefault="0088446F" w:rsidP="0088446F">
      <w:pPr>
        <w:pStyle w:val="Bibliography"/>
      </w:pPr>
      <w:r w:rsidRPr="0088446F">
        <w:t xml:space="preserve">Folorunsho, S., &amp; Okyere, M. (2025). The impact of neglect, physical, and financial abuse on mental health among older adults: A systematic review. </w:t>
      </w:r>
      <w:r w:rsidRPr="0088446F">
        <w:rPr>
          <w:i/>
          <w:iCs/>
        </w:rPr>
        <w:t>Aging &amp; Mental Health</w:t>
      </w:r>
      <w:r w:rsidRPr="0088446F">
        <w:t xml:space="preserve">, </w:t>
      </w:r>
      <w:r w:rsidRPr="0088446F">
        <w:rPr>
          <w:i/>
          <w:iCs/>
        </w:rPr>
        <w:t>29</w:t>
      </w:r>
      <w:r w:rsidRPr="0088446F">
        <w:t>(4), 567–577. https://doi.org/10.1080/13607863.2024.2436468</w:t>
      </w:r>
    </w:p>
    <w:p w14:paraId="5AB0D2CF" w14:textId="77777777" w:rsidR="0088446F" w:rsidRPr="0088446F" w:rsidRDefault="0088446F" w:rsidP="0088446F">
      <w:pPr>
        <w:pStyle w:val="Bibliography"/>
      </w:pPr>
      <w:r w:rsidRPr="0088446F">
        <w:t xml:space="preserve">Folorunsho, S., Sanmori, M., &amp; Suleiman, M. (2025). The role of formal social networks in mitigating age-related mental stress among older Nigerians living in poverty: Insights from social capital theory. </w:t>
      </w:r>
      <w:r w:rsidRPr="0088446F">
        <w:rPr>
          <w:i/>
          <w:iCs/>
        </w:rPr>
        <w:t>Cambridge Prisms: Global Mental Health</w:t>
      </w:r>
      <w:r w:rsidRPr="0088446F">
        <w:t xml:space="preserve">, </w:t>
      </w:r>
      <w:r w:rsidRPr="0088446F">
        <w:rPr>
          <w:i/>
          <w:iCs/>
        </w:rPr>
        <w:t>12</w:t>
      </w:r>
      <w:r w:rsidRPr="0088446F">
        <w:t>, e56. https://doi.org/10.1017/gmh.2025.10012</w:t>
      </w:r>
    </w:p>
    <w:p w14:paraId="4C944643" w14:textId="77777777" w:rsidR="0088446F" w:rsidRPr="0088446F" w:rsidRDefault="0088446F" w:rsidP="0088446F">
      <w:pPr>
        <w:pStyle w:val="Bibliography"/>
      </w:pPr>
      <w:r w:rsidRPr="0088446F">
        <w:t xml:space="preserve">Goh, W. C., Murali, R., Shamsuddin, S., Idris, B., Idris, Z., Ahmad, F., Goh, W. C., Murali, R., Shamsuddin, S., Idris, B., Idris, Z., &amp; Ahmad, F. (2021). Potential of epigenetic biomarker O6-methylguanine-DNA </w:t>
      </w:r>
      <w:r w:rsidRPr="0088446F">
        <w:lastRenderedPageBreak/>
        <w:t xml:space="preserve">methyltransferase gene in glioma. </w:t>
      </w:r>
      <w:r w:rsidRPr="0088446F">
        <w:rPr>
          <w:i/>
          <w:iCs/>
        </w:rPr>
        <w:t>Gulhane Medical Journal</w:t>
      </w:r>
      <w:r w:rsidRPr="0088446F">
        <w:t>. https://doi.org/10.4274/gulhane.galenos.2021.1595</w:t>
      </w:r>
    </w:p>
    <w:p w14:paraId="6F5843DD" w14:textId="77777777" w:rsidR="0088446F" w:rsidRPr="0088446F" w:rsidRDefault="0088446F" w:rsidP="0088446F">
      <w:pPr>
        <w:pStyle w:val="Bibliography"/>
      </w:pPr>
      <w:r w:rsidRPr="0088446F">
        <w:t xml:space="preserve">Gonzalez, J., Ocejo, S., Iribarren, M., Abreu, A., Bahmad, H. F., &amp; Poppiti, R. (2024). Desmoplastic Small Round Cell Tumors of the Gastrointestinal Tract. </w:t>
      </w:r>
      <w:r w:rsidRPr="0088446F">
        <w:rPr>
          <w:i/>
          <w:iCs/>
        </w:rPr>
        <w:t>Cancers</w:t>
      </w:r>
      <w:r w:rsidRPr="0088446F">
        <w:t xml:space="preserve">, </w:t>
      </w:r>
      <w:r w:rsidRPr="0088446F">
        <w:rPr>
          <w:i/>
          <w:iCs/>
        </w:rPr>
        <w:t>16</w:t>
      </w:r>
      <w:r w:rsidRPr="0088446F">
        <w:t>(23), 4101. https://doi.org/10.3390/cancers16234101</w:t>
      </w:r>
    </w:p>
    <w:p w14:paraId="28307916" w14:textId="77777777" w:rsidR="0088446F" w:rsidRPr="0088446F" w:rsidRDefault="0088446F" w:rsidP="0088446F">
      <w:pPr>
        <w:pStyle w:val="Bibliography"/>
      </w:pPr>
      <w:r w:rsidRPr="0088446F">
        <w:t xml:space="preserve">Ji, G., Yao, Q., Ren, M., Bai, Q., Zhu, X., &amp; Zhou, X. (2025). An accurate DNA and RNA based targeted sequencing assay for clinical detection of gene fusions in solid tumors. </w:t>
      </w:r>
      <w:r w:rsidRPr="0088446F">
        <w:rPr>
          <w:i/>
          <w:iCs/>
        </w:rPr>
        <w:t>Scientific Reports</w:t>
      </w:r>
      <w:r w:rsidRPr="0088446F">
        <w:t xml:space="preserve">, </w:t>
      </w:r>
      <w:r w:rsidRPr="0088446F">
        <w:rPr>
          <w:i/>
          <w:iCs/>
        </w:rPr>
        <w:t>15</w:t>
      </w:r>
      <w:r w:rsidRPr="0088446F">
        <w:t>(1), 7223. https://doi.org/10.1038/s41598-025-91640-6</w:t>
      </w:r>
    </w:p>
    <w:p w14:paraId="66A207F2" w14:textId="77777777" w:rsidR="0088446F" w:rsidRPr="0088446F" w:rsidRDefault="0088446F" w:rsidP="0088446F">
      <w:pPr>
        <w:pStyle w:val="Bibliography"/>
      </w:pPr>
      <w:r w:rsidRPr="0088446F">
        <w:t xml:space="preserve">Kornauth, C., Pemovska, T., Vladimer, G. I., Bayer, G., Bergmann, M., Eder, S., Eichner, R., Erl, M., Esterbauer, H., Exner, R., Felsleitner-Hauer, V., Forte, M., Gaiger, A., Geissler, K., Greinix, H. T., Gstöttner, W., Hacker, M., Hartmann, B. L., Hauswirth, A. W., … Staber, P. B. (2022). Functional Precision Medicine Provides Clinical Benefit in Advanced Aggressive Hematologic Cancers and Identifies Exceptional Responders. </w:t>
      </w:r>
      <w:r w:rsidRPr="0088446F">
        <w:rPr>
          <w:i/>
          <w:iCs/>
        </w:rPr>
        <w:t>Cancer Discovery</w:t>
      </w:r>
      <w:r w:rsidRPr="0088446F">
        <w:t xml:space="preserve">, </w:t>
      </w:r>
      <w:r w:rsidRPr="0088446F">
        <w:rPr>
          <w:i/>
          <w:iCs/>
        </w:rPr>
        <w:t>12</w:t>
      </w:r>
      <w:r w:rsidRPr="0088446F">
        <w:t>(2), 372–387. https://doi.org/10.1158/2159-8290.CD-21-0538</w:t>
      </w:r>
    </w:p>
    <w:p w14:paraId="7117CFA3" w14:textId="77777777" w:rsidR="0088446F" w:rsidRPr="0088446F" w:rsidRDefault="0088446F" w:rsidP="0088446F">
      <w:pPr>
        <w:pStyle w:val="Bibliography"/>
      </w:pPr>
      <w:r w:rsidRPr="0088446F">
        <w:t xml:space="preserve">Liu, Y., Wu, W., Cai, C., Zhang, H., Shen, H., &amp; Han, Y. (2023). Patient-derived xenograft models in cancer therapy: Technologies and applications. </w:t>
      </w:r>
      <w:r w:rsidRPr="0088446F">
        <w:rPr>
          <w:i/>
          <w:iCs/>
        </w:rPr>
        <w:t>Signal Transduction and Targeted Therapy</w:t>
      </w:r>
      <w:r w:rsidRPr="0088446F">
        <w:t xml:space="preserve">, </w:t>
      </w:r>
      <w:r w:rsidRPr="0088446F">
        <w:rPr>
          <w:i/>
          <w:iCs/>
        </w:rPr>
        <w:t>8</w:t>
      </w:r>
      <w:r w:rsidRPr="0088446F">
        <w:t>, 160. https://doi.org/10.1038/s41392-023-01419-2</w:t>
      </w:r>
    </w:p>
    <w:p w14:paraId="3985A2AA" w14:textId="77777777" w:rsidR="0088446F" w:rsidRPr="0088446F" w:rsidRDefault="0088446F" w:rsidP="0088446F">
      <w:pPr>
        <w:pStyle w:val="Bibliography"/>
      </w:pPr>
      <w:r w:rsidRPr="0088446F">
        <w:t xml:space="preserve">Masoud, V., &amp; Pagès, G. (2017). Targeted therapies in breast cancer: New challenges to fight against resistance. </w:t>
      </w:r>
      <w:r w:rsidRPr="0088446F">
        <w:rPr>
          <w:i/>
          <w:iCs/>
        </w:rPr>
        <w:t>World Journal of Clinical Oncology</w:t>
      </w:r>
      <w:r w:rsidRPr="0088446F">
        <w:t xml:space="preserve">, </w:t>
      </w:r>
      <w:r w:rsidRPr="0088446F">
        <w:rPr>
          <w:i/>
          <w:iCs/>
        </w:rPr>
        <w:t>8</w:t>
      </w:r>
      <w:r w:rsidRPr="0088446F">
        <w:t>(2), 120–134. https://doi.org/10.5306/wjco.v8.i2.120</w:t>
      </w:r>
    </w:p>
    <w:p w14:paraId="56BE36BD" w14:textId="77777777" w:rsidR="0088446F" w:rsidRPr="0088446F" w:rsidRDefault="0088446F" w:rsidP="0088446F">
      <w:pPr>
        <w:pStyle w:val="Bibliography"/>
      </w:pPr>
      <w:r w:rsidRPr="0088446F">
        <w:t xml:space="preserve">Masucci, M., Karlsson, C., Blomqvist, L., &amp; Ernberg, I. (2024). Bridging the Divide: A Review on the Implementation of Personalized Cancer Medicine. </w:t>
      </w:r>
      <w:r w:rsidRPr="0088446F">
        <w:rPr>
          <w:i/>
          <w:iCs/>
        </w:rPr>
        <w:t>Journal of Personalized Medicine</w:t>
      </w:r>
      <w:r w:rsidRPr="0088446F">
        <w:t xml:space="preserve">, </w:t>
      </w:r>
      <w:r w:rsidRPr="0088446F">
        <w:rPr>
          <w:i/>
          <w:iCs/>
        </w:rPr>
        <w:t>14</w:t>
      </w:r>
      <w:r w:rsidRPr="0088446F">
        <w:t>(6), 561. https://doi.org/10.3390/jpm14060561</w:t>
      </w:r>
    </w:p>
    <w:p w14:paraId="5A46C87A" w14:textId="77777777" w:rsidR="0088446F" w:rsidRPr="0088446F" w:rsidRDefault="0088446F" w:rsidP="0088446F">
      <w:pPr>
        <w:pStyle w:val="Bibliography"/>
      </w:pPr>
      <w:r w:rsidRPr="0088446F">
        <w:t xml:space="preserve">Mio, C., &amp; Damante, G. (2022). Challenges in promoter methylation analysis in the new era of translational oncology: A focus on liquid biopsy. </w:t>
      </w:r>
      <w:r w:rsidRPr="0088446F">
        <w:rPr>
          <w:i/>
          <w:iCs/>
        </w:rPr>
        <w:t>Biochimica et Biophysica Acta (BBA) - Molecular Basis of Disease</w:t>
      </w:r>
      <w:r w:rsidRPr="0088446F">
        <w:t xml:space="preserve">, </w:t>
      </w:r>
      <w:r w:rsidRPr="0088446F">
        <w:rPr>
          <w:i/>
          <w:iCs/>
        </w:rPr>
        <w:t>1868</w:t>
      </w:r>
      <w:r w:rsidRPr="0088446F">
        <w:t>(6), 166390. https://doi.org/10.1016/j.bbadis.2022.166390</w:t>
      </w:r>
    </w:p>
    <w:p w14:paraId="6885C5A9" w14:textId="77777777" w:rsidR="0088446F" w:rsidRPr="0088446F" w:rsidRDefault="0088446F" w:rsidP="0088446F">
      <w:pPr>
        <w:pStyle w:val="Bibliography"/>
      </w:pPr>
      <w:r w:rsidRPr="0088446F">
        <w:t xml:space="preserve">Muneer, G., Chen, C., &amp; Chen, Y. (2025). Advancements in Global Phosphoproteomics Profiling: Overcoming Challenges in Sensitivity and Quantification. </w:t>
      </w:r>
      <w:r w:rsidRPr="0088446F">
        <w:rPr>
          <w:i/>
          <w:iCs/>
        </w:rPr>
        <w:t>Proteomics</w:t>
      </w:r>
      <w:r w:rsidRPr="0088446F">
        <w:t xml:space="preserve">, </w:t>
      </w:r>
      <w:r w:rsidRPr="0088446F">
        <w:rPr>
          <w:i/>
          <w:iCs/>
        </w:rPr>
        <w:t>25</w:t>
      </w:r>
      <w:r w:rsidRPr="0088446F">
        <w:t>(1–2), e202400087. https://doi.org/10.1002/pmic.202400087</w:t>
      </w:r>
    </w:p>
    <w:p w14:paraId="6EFCE053" w14:textId="77777777" w:rsidR="0088446F" w:rsidRPr="0088446F" w:rsidRDefault="0088446F" w:rsidP="0088446F">
      <w:pPr>
        <w:pStyle w:val="Bibliography"/>
      </w:pPr>
      <w:r w:rsidRPr="0088446F">
        <w:t xml:space="preserve">Park, J. W., Lee, K., Kim, E. E., Kim, S.-I., &amp; Park, S.-H. (2023). Brain Tumor Classification by Methylation Profile. </w:t>
      </w:r>
      <w:r w:rsidRPr="0088446F">
        <w:rPr>
          <w:i/>
          <w:iCs/>
        </w:rPr>
        <w:t>Journal of Korean Medical Science</w:t>
      </w:r>
      <w:r w:rsidRPr="0088446F">
        <w:t xml:space="preserve">, </w:t>
      </w:r>
      <w:r w:rsidRPr="0088446F">
        <w:rPr>
          <w:i/>
          <w:iCs/>
        </w:rPr>
        <w:t>38</w:t>
      </w:r>
      <w:r w:rsidRPr="0088446F">
        <w:t>(43), e356. https://doi.org/10.3346/jkms.2023.38.e356</w:t>
      </w:r>
    </w:p>
    <w:p w14:paraId="7636BA9F" w14:textId="77777777" w:rsidR="0088446F" w:rsidRPr="0088446F" w:rsidRDefault="0088446F" w:rsidP="0088446F">
      <w:pPr>
        <w:pStyle w:val="Bibliography"/>
      </w:pPr>
      <w:r w:rsidRPr="0088446F">
        <w:t xml:space="preserve">Passaro, A., Al Bakir, M., Hamilton, E. G., Diehn, M., André, F., Roy-Chowdhuri, S., Mountzios, G., Witsuba, I., Swanton, C., &amp; Peters, S. (2024). Cancer Biomarkers—Emerging Trends and Clinical Implications for personalized treatment. </w:t>
      </w:r>
      <w:r w:rsidRPr="0088446F">
        <w:rPr>
          <w:i/>
          <w:iCs/>
        </w:rPr>
        <w:t>Cell</w:t>
      </w:r>
      <w:r w:rsidRPr="0088446F">
        <w:t xml:space="preserve">, </w:t>
      </w:r>
      <w:r w:rsidRPr="0088446F">
        <w:rPr>
          <w:i/>
          <w:iCs/>
        </w:rPr>
        <w:t>187</w:t>
      </w:r>
      <w:r w:rsidRPr="0088446F">
        <w:t>(7), 1617–1635. https://doi.org/10.1016/j.cell.2024.02.041</w:t>
      </w:r>
    </w:p>
    <w:p w14:paraId="2CA26A50" w14:textId="77777777" w:rsidR="0088446F" w:rsidRPr="0088446F" w:rsidRDefault="0088446F" w:rsidP="0088446F">
      <w:pPr>
        <w:pStyle w:val="Bibliography"/>
      </w:pPr>
      <w:r w:rsidRPr="0088446F">
        <w:t xml:space="preserve">Plana, D., Palmer, A. C., &amp; Sorger, P. K. (2022). Independent Drug Action in Combination Therapy: Implications for Precision Oncology. </w:t>
      </w:r>
      <w:r w:rsidRPr="0088446F">
        <w:rPr>
          <w:i/>
          <w:iCs/>
        </w:rPr>
        <w:t>Cancer Discovery</w:t>
      </w:r>
      <w:r w:rsidRPr="0088446F">
        <w:t xml:space="preserve">, </w:t>
      </w:r>
      <w:r w:rsidRPr="0088446F">
        <w:rPr>
          <w:i/>
          <w:iCs/>
        </w:rPr>
        <w:t>12</w:t>
      </w:r>
      <w:r w:rsidRPr="0088446F">
        <w:t>(3), 606–624. https://doi.org/10.1158/2159-8290.CD-21-0212</w:t>
      </w:r>
    </w:p>
    <w:p w14:paraId="6DD53EF9" w14:textId="77777777" w:rsidR="0088446F" w:rsidRPr="0088446F" w:rsidRDefault="0088446F" w:rsidP="0088446F">
      <w:pPr>
        <w:pStyle w:val="Bibliography"/>
      </w:pPr>
      <w:r w:rsidRPr="0088446F">
        <w:lastRenderedPageBreak/>
        <w:t xml:space="preserve">Razavi, P., Chang, M. T., Xu, G., Bandlamudi, C., Ross, D. S., Vasan, N., Cai, Y., Bielski, C. M., Donoghue, M. T. A., Jonsson, P., Penson, A., Shen, R., Pareja, F., Kundra, R., Middha, S., Cheng, M. L., Zehir, A., Kandoth, C., Patel, R., … Baselga, J. (2018). The Genomic Landscape of Endocrine-Resistant Advanced Breast Cancers. </w:t>
      </w:r>
      <w:r w:rsidRPr="0088446F">
        <w:rPr>
          <w:i/>
          <w:iCs/>
        </w:rPr>
        <w:t>Cancer Cell</w:t>
      </w:r>
      <w:r w:rsidRPr="0088446F">
        <w:t xml:space="preserve">, </w:t>
      </w:r>
      <w:r w:rsidRPr="0088446F">
        <w:rPr>
          <w:i/>
          <w:iCs/>
        </w:rPr>
        <w:t>34</w:t>
      </w:r>
      <w:r w:rsidRPr="0088446F">
        <w:t>(3), 427-438.e6. https://doi.org/10.1016/j.ccell.2018.08.008</w:t>
      </w:r>
    </w:p>
    <w:p w14:paraId="28DDD457" w14:textId="77777777" w:rsidR="0088446F" w:rsidRPr="0088446F" w:rsidRDefault="0088446F" w:rsidP="0088446F">
      <w:pPr>
        <w:pStyle w:val="Bibliography"/>
      </w:pPr>
      <w:r w:rsidRPr="0088446F">
        <w:t xml:space="preserve">Satam, H., Joshi, K., Mangrolia, U., Waghoo, S., Zaidi, G., Rawool, S., Thakare, R. P., Banday, S., Mishra, A. K., Das, G., &amp; Malonia, S. K. (2023a). Next-Generation Sequencing Technology: Current Trends and Advancements. </w:t>
      </w:r>
      <w:r w:rsidRPr="0088446F">
        <w:rPr>
          <w:i/>
          <w:iCs/>
        </w:rPr>
        <w:t>Biology</w:t>
      </w:r>
      <w:r w:rsidRPr="0088446F">
        <w:t xml:space="preserve">, </w:t>
      </w:r>
      <w:r w:rsidRPr="0088446F">
        <w:rPr>
          <w:i/>
          <w:iCs/>
        </w:rPr>
        <w:t>12</w:t>
      </w:r>
      <w:r w:rsidRPr="0088446F">
        <w:t>(7), 997. https://doi.org/10.3390/biology12070997</w:t>
      </w:r>
    </w:p>
    <w:p w14:paraId="6127C713" w14:textId="77777777" w:rsidR="0088446F" w:rsidRPr="0088446F" w:rsidRDefault="0088446F" w:rsidP="0088446F">
      <w:pPr>
        <w:pStyle w:val="Bibliography"/>
      </w:pPr>
      <w:r w:rsidRPr="0088446F">
        <w:t xml:space="preserve">Satam, H., Joshi, K., Mangrolia, U., Waghoo, S., Zaidi, G., Rawool, S., Thakare, R. P., Banday, S., Mishra, A. K., Das, G., &amp; Malonia, S. K. (2023b). Next-Generation Sequencing Technology: Current Trends and Advancements. </w:t>
      </w:r>
      <w:r w:rsidRPr="0088446F">
        <w:rPr>
          <w:i/>
          <w:iCs/>
        </w:rPr>
        <w:t>Biology</w:t>
      </w:r>
      <w:r w:rsidRPr="0088446F">
        <w:t xml:space="preserve">, </w:t>
      </w:r>
      <w:r w:rsidRPr="0088446F">
        <w:rPr>
          <w:i/>
          <w:iCs/>
        </w:rPr>
        <w:t>12</w:t>
      </w:r>
      <w:r w:rsidRPr="0088446F">
        <w:t>(7), 997. https://doi.org/10.3390/biology12070997</w:t>
      </w:r>
    </w:p>
    <w:p w14:paraId="4E0D09F4" w14:textId="77777777" w:rsidR="0088446F" w:rsidRPr="0088446F" w:rsidRDefault="0088446F" w:rsidP="0088446F">
      <w:pPr>
        <w:pStyle w:val="Bibliography"/>
      </w:pPr>
      <w:r w:rsidRPr="0088446F">
        <w:t xml:space="preserve">Shohdy, K. S., Pillai, M., Abbas, K. S., Allison, J., Waddell, T., Darlington, E., Mohammad, S., Hood, S., Atkinson, S., Simpson, K., Morgan, D., Nathan, P., Kilgour, E., Dive, C., &amp; Thistlethwaite, F. (2024). Immune biomarker evaluation of sequential tyrosine kinase inhibitor and nivolumab monotherapies in renal cell carcinoma: The phase I TRIBE trial. </w:t>
      </w:r>
      <w:r w:rsidRPr="0088446F">
        <w:rPr>
          <w:i/>
          <w:iCs/>
        </w:rPr>
        <w:t>Immuno-Oncology Technology</w:t>
      </w:r>
      <w:r w:rsidRPr="0088446F">
        <w:t xml:space="preserve">, </w:t>
      </w:r>
      <w:r w:rsidRPr="0088446F">
        <w:rPr>
          <w:i/>
          <w:iCs/>
        </w:rPr>
        <w:t>22</w:t>
      </w:r>
      <w:r w:rsidRPr="0088446F">
        <w:t>, 100712. https://doi.org/10.1016/j.iotech.2024.100712</w:t>
      </w:r>
    </w:p>
    <w:p w14:paraId="6543BE9D" w14:textId="77777777" w:rsidR="0088446F" w:rsidRPr="0088446F" w:rsidRDefault="0088446F" w:rsidP="0088446F">
      <w:pPr>
        <w:pStyle w:val="Bibliography"/>
      </w:pPr>
      <w:r w:rsidRPr="0088446F">
        <w:t xml:space="preserve">Teleanu, M.-V., Schneider, A., Ball, C. R., Leber, M. F., Stange, C., Krieghoff-Henning, E., Beck, K., Heilig, C. E., Kreutzfeldt, S., Kuster, B., Lipka, D. B., &amp; Fröhling, S. (2025a). Celebrating Ulrik Ringborg: Multi-Omics-Based Patient Stratification for Precision Cancer Treatment. </w:t>
      </w:r>
      <w:r w:rsidRPr="0088446F">
        <w:rPr>
          <w:i/>
          <w:iCs/>
        </w:rPr>
        <w:t>Biomolecules</w:t>
      </w:r>
      <w:r w:rsidRPr="0088446F">
        <w:t xml:space="preserve">, </w:t>
      </w:r>
      <w:r w:rsidRPr="0088446F">
        <w:rPr>
          <w:i/>
          <w:iCs/>
        </w:rPr>
        <w:t>15</w:t>
      </w:r>
      <w:r w:rsidRPr="0088446F">
        <w:t>(5), 693. https://doi.org/10.3390/biom15050693</w:t>
      </w:r>
    </w:p>
    <w:p w14:paraId="72F4793B" w14:textId="77777777" w:rsidR="0088446F" w:rsidRPr="0088446F" w:rsidRDefault="0088446F" w:rsidP="0088446F">
      <w:pPr>
        <w:pStyle w:val="Bibliography"/>
      </w:pPr>
      <w:r w:rsidRPr="0088446F">
        <w:t xml:space="preserve">Teleanu, M.-V., Schneider, A., Ball, C. R., Leber, M. F., Stange, C., Krieghoff-Henning, E., Beck, K., Heilig, C. E., Kreutzfeldt, S., Kuster, B., Lipka, D. B., &amp; Fröhling, S. (2025b). Celebrating Ulrik Ringborg: Multi-Omics-Based Patient Stratification for Precision Cancer Treatment. </w:t>
      </w:r>
      <w:r w:rsidRPr="0088446F">
        <w:rPr>
          <w:i/>
          <w:iCs/>
        </w:rPr>
        <w:t>Biomolecules</w:t>
      </w:r>
      <w:r w:rsidRPr="0088446F">
        <w:t xml:space="preserve">, </w:t>
      </w:r>
      <w:r w:rsidRPr="0088446F">
        <w:rPr>
          <w:i/>
          <w:iCs/>
        </w:rPr>
        <w:t>15</w:t>
      </w:r>
      <w:r w:rsidRPr="0088446F">
        <w:t>(5), 693. https://doi.org/10.3390/biom15050693</w:t>
      </w:r>
    </w:p>
    <w:p w14:paraId="27DBB15D" w14:textId="77777777" w:rsidR="0088446F" w:rsidRPr="0088446F" w:rsidRDefault="0088446F" w:rsidP="0088446F">
      <w:pPr>
        <w:pStyle w:val="Bibliography"/>
      </w:pPr>
      <w:r w:rsidRPr="0088446F">
        <w:t xml:space="preserve">Tsang, E. S., Grisdale, C. J., Pleasance, E., Topham, J. T., Mungall, K., Reisle, C., Choo, C., Carreira, M., Bowlby, R., Karasinska, J. M., MacMillan, D., Williamson, L. M., Chuah, E., Moore, R. A., Mungall, A. J., Zhao, Y., Tessier-Cloutier, B., Ng, T., Sun, S., … Loree, J. M. (2021). Uncovering Clinically Relevant Gene Fusions with Integrated Genomic and Transcriptomic Profiling of Metastatic Cancers. </w:t>
      </w:r>
      <w:r w:rsidRPr="0088446F">
        <w:rPr>
          <w:i/>
          <w:iCs/>
        </w:rPr>
        <w:t>Clinical Cancer Research: An Official Journal of the American Association for Cancer Research</w:t>
      </w:r>
      <w:r w:rsidRPr="0088446F">
        <w:t xml:space="preserve">, </w:t>
      </w:r>
      <w:r w:rsidRPr="0088446F">
        <w:rPr>
          <w:i/>
          <w:iCs/>
        </w:rPr>
        <w:t>27</w:t>
      </w:r>
      <w:r w:rsidRPr="0088446F">
        <w:t>(2), 522–531. https://doi.org/10.1158/1078-0432.CCR-20-1900</w:t>
      </w:r>
    </w:p>
    <w:p w14:paraId="32300A0A" w14:textId="77777777" w:rsidR="0088446F" w:rsidRPr="0088446F" w:rsidRDefault="0088446F" w:rsidP="0088446F">
      <w:pPr>
        <w:pStyle w:val="Bibliography"/>
      </w:pPr>
      <w:r w:rsidRPr="0088446F">
        <w:t xml:space="preserve">Vallés-Martí, A., de Goeij-de Haas, R. R., Henneman, A. A., Piersma, S. R., Pham, T. V., Knol, J. C., Verheij, J., Dijk, F., Halfwerk, H., Giovannetti, E., Jiménez, C. R., &amp; Bijlsma, M. F. (2024). Kinase activities in pancreatic ductal adenocarcinoma with prognostic and therapeutic avenues. </w:t>
      </w:r>
      <w:r w:rsidRPr="0088446F">
        <w:rPr>
          <w:i/>
          <w:iCs/>
        </w:rPr>
        <w:t>Molecular Oncology</w:t>
      </w:r>
      <w:r w:rsidRPr="0088446F">
        <w:t xml:space="preserve">, </w:t>
      </w:r>
      <w:r w:rsidRPr="0088446F">
        <w:rPr>
          <w:i/>
          <w:iCs/>
        </w:rPr>
        <w:t>18</w:t>
      </w:r>
      <w:r w:rsidRPr="0088446F">
        <w:t>(8), 2020–2041. https://doi.org/10.1002/1878-0261.13625</w:t>
      </w:r>
    </w:p>
    <w:p w14:paraId="77FDDF85" w14:textId="77777777" w:rsidR="0088446F" w:rsidRPr="0088446F" w:rsidRDefault="0088446F" w:rsidP="0088446F">
      <w:pPr>
        <w:pStyle w:val="Bibliography"/>
      </w:pPr>
      <w:r w:rsidRPr="0088446F">
        <w:t xml:space="preserve">Vasaikar, S., Huang, C., Wang, X., Petyuk, V. A., Savage, S. R., Wen, B., Dou, Y., Zhang, Y., Shi, Z., Arshad, O. A., Gritsenko, M. A., Zimmerman, L. J., McDermott, J. E., Clauss, T. R., Moore, R. J., Zhao, R., Monroe, M. E., Wang, Y.-T., Chambers, M. C., … Zhang, B. (2019). Proteogenomic analysis of human colon cancer reveals new therapeutic opportunities. </w:t>
      </w:r>
      <w:r w:rsidRPr="0088446F">
        <w:rPr>
          <w:i/>
          <w:iCs/>
        </w:rPr>
        <w:t>Cell</w:t>
      </w:r>
      <w:r w:rsidRPr="0088446F">
        <w:t xml:space="preserve">, </w:t>
      </w:r>
      <w:r w:rsidRPr="0088446F">
        <w:rPr>
          <w:i/>
          <w:iCs/>
        </w:rPr>
        <w:t>177</w:t>
      </w:r>
      <w:r w:rsidRPr="0088446F">
        <w:t>(4), 1035-1049.e19. https://doi.org/10.1016/j.cell.2019.03.030</w:t>
      </w:r>
    </w:p>
    <w:p w14:paraId="6174F2DE" w14:textId="77777777" w:rsidR="0088446F" w:rsidRPr="0088446F" w:rsidRDefault="0088446F" w:rsidP="0088446F">
      <w:pPr>
        <w:pStyle w:val="Bibliography"/>
      </w:pPr>
      <w:r w:rsidRPr="0088446F">
        <w:lastRenderedPageBreak/>
        <w:t xml:space="preserve">Xie, N., Shen, G., Gao, W., Huang, Z., Huang, C., &amp; Fu, L. (2023). Neoantigens: Promising targets for cancer therapy. </w:t>
      </w:r>
      <w:r w:rsidRPr="0088446F">
        <w:rPr>
          <w:i/>
          <w:iCs/>
        </w:rPr>
        <w:t>Signal Transduction and Targeted Therapy</w:t>
      </w:r>
      <w:r w:rsidRPr="0088446F">
        <w:t xml:space="preserve">, </w:t>
      </w:r>
      <w:r w:rsidRPr="0088446F">
        <w:rPr>
          <w:i/>
          <w:iCs/>
        </w:rPr>
        <w:t>8</w:t>
      </w:r>
      <w:r w:rsidRPr="0088446F">
        <w:t>(1), 9. https://doi.org/10.1038/s41392-022-01270-x</w:t>
      </w:r>
    </w:p>
    <w:p w14:paraId="5E960ABC" w14:textId="77777777" w:rsidR="0088446F" w:rsidRPr="0088446F" w:rsidRDefault="0088446F" w:rsidP="0088446F">
      <w:pPr>
        <w:pStyle w:val="Bibliography"/>
      </w:pPr>
      <w:r w:rsidRPr="0088446F">
        <w:t xml:space="preserve">Zhao, E. Y., Jones, M., &amp; Jones, S. J. M. (2019). Whole-Genome Sequencing in Cancer. </w:t>
      </w:r>
      <w:r w:rsidRPr="0088446F">
        <w:rPr>
          <w:i/>
          <w:iCs/>
        </w:rPr>
        <w:t>Cold Spring Harbor Perspectives in Medicine</w:t>
      </w:r>
      <w:r w:rsidRPr="0088446F">
        <w:t xml:space="preserve">, </w:t>
      </w:r>
      <w:r w:rsidRPr="0088446F">
        <w:rPr>
          <w:i/>
          <w:iCs/>
        </w:rPr>
        <w:t>9</w:t>
      </w:r>
      <w:r w:rsidRPr="0088446F">
        <w:t>(3), a034579. https://doi.org/10.1101/cshperspect.a034579</w:t>
      </w:r>
    </w:p>
    <w:p w14:paraId="3D26B134" w14:textId="77777777" w:rsidR="0088446F" w:rsidRPr="0088446F" w:rsidRDefault="0088446F" w:rsidP="0088446F">
      <w:pPr>
        <w:pStyle w:val="Bibliography"/>
      </w:pPr>
      <w:r w:rsidRPr="0088446F">
        <w:t xml:space="preserve">Zhong, L., Zhao, Z., &amp; Zhang, X. (2023). Genetic differences between primary and metastatic cancer: A pan-cancer whole-genome comparison study. </w:t>
      </w:r>
      <w:r w:rsidRPr="0088446F">
        <w:rPr>
          <w:i/>
          <w:iCs/>
        </w:rPr>
        <w:t>Signal Transduction and Targeted Therapy</w:t>
      </w:r>
      <w:r w:rsidRPr="0088446F">
        <w:t xml:space="preserve">, </w:t>
      </w:r>
      <w:r w:rsidRPr="0088446F">
        <w:rPr>
          <w:i/>
          <w:iCs/>
        </w:rPr>
        <w:t>8</w:t>
      </w:r>
      <w:r w:rsidRPr="0088446F">
        <w:t>, 363. https://doi.org/10.1038/s41392-023-01596-0</w:t>
      </w:r>
    </w:p>
    <w:p w14:paraId="1068E8BE" w14:textId="77777777" w:rsidR="0088446F" w:rsidRPr="0088446F" w:rsidRDefault="0088446F" w:rsidP="0088446F">
      <w:pPr>
        <w:pStyle w:val="Bibliography"/>
      </w:pPr>
      <w:r w:rsidRPr="0088446F">
        <w:t xml:space="preserve">Zhu, J., Yang, Y., Li, L., Tang, J., &amp; Zhang, R. (2024). DNA methylation profiles in cancer: Functions, therapy, and beyond. </w:t>
      </w:r>
      <w:r w:rsidRPr="0088446F">
        <w:rPr>
          <w:i/>
          <w:iCs/>
        </w:rPr>
        <w:t>Cancer Biology &amp; Medicine</w:t>
      </w:r>
      <w:r w:rsidRPr="0088446F">
        <w:t xml:space="preserve">, </w:t>
      </w:r>
      <w:r w:rsidRPr="0088446F">
        <w:rPr>
          <w:i/>
          <w:iCs/>
        </w:rPr>
        <w:t>21</w:t>
      </w:r>
      <w:r w:rsidRPr="0088446F">
        <w:t>(2), 111–116. https://doi.org/10.20892/j.issn.2095-3941.2023.0403</w:t>
      </w:r>
    </w:p>
    <w:p w14:paraId="2606E61B" w14:textId="0334C4D3" w:rsidR="000B1690" w:rsidRDefault="000B1690">
      <w:pPr>
        <w:pBdr>
          <w:top w:val="nil"/>
          <w:left w:val="nil"/>
          <w:bottom w:val="nil"/>
          <w:right w:val="nil"/>
          <w:between w:val="nil"/>
        </w:pBdr>
        <w:rPr>
          <w:color w:val="000000"/>
        </w:rPr>
      </w:pPr>
      <w:r>
        <w:rPr>
          <w:color w:val="000000"/>
        </w:rPr>
        <w:fldChar w:fldCharType="end"/>
      </w:r>
    </w:p>
    <w:p w14:paraId="01DE2C80" w14:textId="77777777" w:rsidR="00701379" w:rsidRDefault="00701379">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sectPr w:rsidR="0070137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68C64" w14:textId="77777777" w:rsidR="00CB7161" w:rsidRDefault="00CB7161">
      <w:pPr>
        <w:spacing w:after="0" w:line="240" w:lineRule="auto"/>
      </w:pPr>
      <w:r>
        <w:separator/>
      </w:r>
    </w:p>
  </w:endnote>
  <w:endnote w:type="continuationSeparator" w:id="0">
    <w:p w14:paraId="2FD75E80" w14:textId="77777777" w:rsidR="00CB7161" w:rsidRDefault="00CB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252D6" w14:textId="77777777" w:rsidR="00701379" w:rsidRDefault="0070137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FA76" w14:textId="77777777" w:rsidR="00701379" w:rsidRDefault="0070137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6292" w14:textId="77777777" w:rsidR="00701379" w:rsidRDefault="0070137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F6DA1" w14:textId="77777777" w:rsidR="00CB7161" w:rsidRDefault="00CB7161">
      <w:pPr>
        <w:spacing w:after="0" w:line="240" w:lineRule="auto"/>
      </w:pPr>
      <w:r>
        <w:separator/>
      </w:r>
    </w:p>
  </w:footnote>
  <w:footnote w:type="continuationSeparator" w:id="0">
    <w:p w14:paraId="05453E32" w14:textId="77777777" w:rsidR="00CB7161" w:rsidRDefault="00CB7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12C6" w14:textId="77777777" w:rsidR="00701379"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E339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55.6pt;height:104.1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7432" w14:textId="77777777" w:rsidR="00701379"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0D42D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55.6pt;height:104.1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2506F" w14:textId="77777777" w:rsidR="00701379"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5934B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55.6pt;height:104.1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567275"/>
    <w:multiLevelType w:val="hybridMultilevel"/>
    <w:tmpl w:val="35AA4AF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3A0BA3"/>
    <w:multiLevelType w:val="hybridMultilevel"/>
    <w:tmpl w:val="0DEC628A"/>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07B7A11"/>
    <w:multiLevelType w:val="hybridMultilevel"/>
    <w:tmpl w:val="0F22E68E"/>
    <w:lvl w:ilvl="0" w:tplc="7D20A8CE">
      <w:start w:val="1"/>
      <w:numFmt w:val="upperLetter"/>
      <w:lvlText w:val="%1."/>
      <w:lvlJc w:val="left"/>
      <w:pPr>
        <w:ind w:left="1777" w:hanging="360"/>
      </w:pPr>
      <w:rPr>
        <w:rFonts w:hint="default"/>
        <w:sz w:val="27"/>
        <w:szCs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9981194">
    <w:abstractNumId w:val="2"/>
  </w:num>
  <w:num w:numId="2" w16cid:durableId="111440600">
    <w:abstractNumId w:val="1"/>
  </w:num>
  <w:num w:numId="3" w16cid:durableId="140004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379"/>
    <w:rsid w:val="000B1690"/>
    <w:rsid w:val="00140593"/>
    <w:rsid w:val="001631E9"/>
    <w:rsid w:val="002105CE"/>
    <w:rsid w:val="003A4ED1"/>
    <w:rsid w:val="004B5617"/>
    <w:rsid w:val="004C437A"/>
    <w:rsid w:val="00526FD4"/>
    <w:rsid w:val="0054550B"/>
    <w:rsid w:val="005714CD"/>
    <w:rsid w:val="00684913"/>
    <w:rsid w:val="00701379"/>
    <w:rsid w:val="00723E90"/>
    <w:rsid w:val="00787820"/>
    <w:rsid w:val="0088446F"/>
    <w:rsid w:val="00976DF6"/>
    <w:rsid w:val="00A90086"/>
    <w:rsid w:val="00A93F9A"/>
    <w:rsid w:val="00B86A0A"/>
    <w:rsid w:val="00BA13B7"/>
    <w:rsid w:val="00BE662B"/>
    <w:rsid w:val="00CB7161"/>
    <w:rsid w:val="00D85F5A"/>
    <w:rsid w:val="00E50C6A"/>
    <w:rsid w:val="00EE3B9B"/>
    <w:rsid w:val="00FF0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063AA02"/>
  <w15:docId w15:val="{2685C075-BEA6-481E-99DE-46FC75FDA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426978"/>
    <w:rPr>
      <w:rFonts w:ascii="Times New Roman" w:eastAsia="Times New Roman" w:hAnsi="Times New Roman" w:cs="Times New Roman"/>
      <w:b/>
      <w:bCs/>
      <w:sz w:val="27"/>
      <w:szCs w:val="27"/>
    </w:rPr>
  </w:style>
  <w:style w:type="character" w:styleId="Strong">
    <w:name w:val="Strong"/>
    <w:basedOn w:val="DefaultParagraphFont"/>
    <w:uiPriority w:val="22"/>
    <w:qFormat/>
    <w:rsid w:val="00426978"/>
    <w:rPr>
      <w:b/>
      <w:bCs/>
    </w:rPr>
  </w:style>
  <w:style w:type="paragraph" w:styleId="NormalWeb">
    <w:name w:val="Normal (Web)"/>
    <w:basedOn w:val="Normal"/>
    <w:uiPriority w:val="99"/>
    <w:unhideWhenUsed/>
    <w:rsid w:val="0042697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2267F"/>
    <w:pPr>
      <w:ind w:left="720"/>
      <w:contextualSpacing/>
    </w:pPr>
  </w:style>
  <w:style w:type="paragraph" w:styleId="FootnoteText">
    <w:name w:val="footnote text"/>
    <w:basedOn w:val="Normal"/>
    <w:link w:val="FootnoteTextChar"/>
    <w:uiPriority w:val="99"/>
    <w:semiHidden/>
    <w:unhideWhenUsed/>
    <w:rsid w:val="00653D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3D29"/>
    <w:rPr>
      <w:sz w:val="20"/>
      <w:szCs w:val="20"/>
    </w:rPr>
  </w:style>
  <w:style w:type="character" w:styleId="FootnoteReference">
    <w:name w:val="footnote reference"/>
    <w:basedOn w:val="DefaultParagraphFont"/>
    <w:uiPriority w:val="99"/>
    <w:semiHidden/>
    <w:unhideWhenUsed/>
    <w:rsid w:val="00653D29"/>
    <w:rPr>
      <w:vertAlign w:val="superscript"/>
    </w:rPr>
  </w:style>
  <w:style w:type="paragraph" w:styleId="Bibliography">
    <w:name w:val="Bibliography"/>
    <w:basedOn w:val="Normal"/>
    <w:next w:val="Normal"/>
    <w:uiPriority w:val="37"/>
    <w:unhideWhenUsed/>
    <w:rsid w:val="00A15391"/>
  </w:style>
  <w:style w:type="character" w:styleId="Hyperlink">
    <w:name w:val="Hyperlink"/>
    <w:basedOn w:val="DefaultParagraphFont"/>
    <w:uiPriority w:val="99"/>
    <w:unhideWhenUsed/>
    <w:rsid w:val="0037258F"/>
    <w:rPr>
      <w:color w:val="0563C1" w:themeColor="hyperlink"/>
      <w:u w:val="single"/>
    </w:rPr>
  </w:style>
  <w:style w:type="character" w:styleId="UnresolvedMention">
    <w:name w:val="Unresolved Mention"/>
    <w:basedOn w:val="DefaultParagraphFont"/>
    <w:uiPriority w:val="99"/>
    <w:semiHidden/>
    <w:unhideWhenUsed/>
    <w:rsid w:val="0037258F"/>
    <w:rPr>
      <w:color w:val="605E5C"/>
      <w:shd w:val="clear" w:color="auto" w:fill="E1DFDD"/>
    </w:rPr>
  </w:style>
  <w:style w:type="paragraph" w:styleId="Header">
    <w:name w:val="header"/>
    <w:basedOn w:val="Normal"/>
    <w:link w:val="HeaderChar"/>
    <w:uiPriority w:val="99"/>
    <w:unhideWhenUsed/>
    <w:rsid w:val="008C2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F9E"/>
  </w:style>
  <w:style w:type="paragraph" w:styleId="Footer">
    <w:name w:val="footer"/>
    <w:basedOn w:val="Normal"/>
    <w:link w:val="FooterChar"/>
    <w:uiPriority w:val="99"/>
    <w:unhideWhenUsed/>
    <w:rsid w:val="008C2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F9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389/fphar.2025.1563198"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kB5LXmr4k/fGM/uXmzuAKejymg==">CgMxLjAyDmgucjgwcm1mYnk4d2ozMg5oLm5jZDdhMzNvM3dhcjIOaC5haXhiaGlkM3c0Y3IyDmguOHdwN2FuZTh4bWh3Mg5oLm8xMG1ncmVib2k1NTIOaC5mOW81dm8yMnp4YzM4AHIhMV9sN0IzWkxQWFM4R0F2N1ZkU3Nxamh6cmlCNXRFNm45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28</Pages>
  <Words>25502</Words>
  <Characters>145363</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Olabisi Lawal</dc:creator>
  <cp:lastModifiedBy>HP</cp:lastModifiedBy>
  <cp:revision>7</cp:revision>
  <dcterms:created xsi:type="dcterms:W3CDTF">2025-06-24T19:26:00Z</dcterms:created>
  <dcterms:modified xsi:type="dcterms:W3CDTF">2025-06-30T15:16:00Z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id="8pkHQNAR"/&gt;&lt;style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