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11D750" w14:textId="77777777" w:rsidR="000F4B04" w:rsidRPr="000F4B04" w:rsidRDefault="000F4B04" w:rsidP="000F4B04">
      <w:pPr>
        <w:spacing w:before="100" w:beforeAutospacing="1" w:after="100" w:afterAutospacing="1" w:line="240" w:lineRule="auto"/>
        <w:rPr>
          <w:rFonts w:ascii="Times New Roman" w:eastAsia="Times New Roman" w:hAnsi="Times New Roman" w:cs="Times New Roman"/>
          <w:b/>
          <w:bCs/>
          <w:i/>
          <w:iCs/>
          <w:sz w:val="24"/>
          <w:szCs w:val="24"/>
          <w:u w:val="single"/>
        </w:rPr>
      </w:pPr>
      <w:r w:rsidRPr="000F4B04">
        <w:rPr>
          <w:rFonts w:ascii="Times New Roman" w:eastAsia="Times New Roman" w:hAnsi="Times New Roman" w:cs="Times New Roman"/>
          <w:b/>
          <w:bCs/>
          <w:i/>
          <w:iCs/>
          <w:sz w:val="24"/>
          <w:szCs w:val="24"/>
          <w:u w:val="single"/>
        </w:rPr>
        <w:t>Review Article</w:t>
      </w:r>
    </w:p>
    <w:p w14:paraId="09A5546C" w14:textId="179656AB" w:rsidR="00913684" w:rsidRDefault="00913684" w:rsidP="00913684">
      <w:pPr>
        <w:spacing w:before="100" w:beforeAutospacing="1" w:after="100" w:afterAutospacing="1" w:line="240" w:lineRule="auto"/>
        <w:rPr>
          <w:rFonts w:ascii="Times New Roman" w:eastAsia="Times New Roman" w:hAnsi="Times New Roman" w:cs="Times New Roman"/>
          <w:b/>
          <w:bCs/>
          <w:sz w:val="24"/>
          <w:szCs w:val="24"/>
        </w:rPr>
      </w:pPr>
      <w:r w:rsidRPr="00913684">
        <w:rPr>
          <w:rFonts w:ascii="Times New Roman" w:eastAsia="Times New Roman" w:hAnsi="Times New Roman" w:cs="Times New Roman"/>
          <w:b/>
          <w:bCs/>
          <w:sz w:val="24"/>
          <w:szCs w:val="24"/>
        </w:rPr>
        <w:t>Why Cancer Immunotherapy Fails: Mechanisms of Resistance and Emerging Reversal Strategies</w:t>
      </w:r>
    </w:p>
    <w:p w14:paraId="3C2E8516" w14:textId="77777777" w:rsidR="00B12953" w:rsidRDefault="00B12953" w:rsidP="004A3783">
      <w:pPr>
        <w:pStyle w:val="Heading3"/>
        <w:rPr>
          <w:rStyle w:val="Strong"/>
          <w:b/>
          <w:bCs/>
        </w:rPr>
      </w:pPr>
    </w:p>
    <w:p w14:paraId="22BBA245" w14:textId="41E653ED" w:rsidR="004A3783" w:rsidRDefault="004A3783" w:rsidP="004A3783">
      <w:pPr>
        <w:pStyle w:val="Heading3"/>
      </w:pPr>
      <w:r>
        <w:rPr>
          <w:rStyle w:val="Strong"/>
          <w:b/>
          <w:bCs/>
        </w:rPr>
        <w:t>Abstract</w:t>
      </w:r>
    </w:p>
    <w:p w14:paraId="267055C1" w14:textId="77777777" w:rsidR="00F47CBC" w:rsidRPr="00B113B2" w:rsidRDefault="00F47CBC" w:rsidP="00F47CBC">
      <w:pPr>
        <w:spacing w:before="100" w:beforeAutospacing="1" w:after="100" w:afterAutospacing="1" w:line="240" w:lineRule="auto"/>
        <w:rPr>
          <w:rFonts w:ascii="Times New Roman" w:eastAsia="Times New Roman" w:hAnsi="Times New Roman" w:cs="Times New Roman"/>
          <w:sz w:val="24"/>
          <w:szCs w:val="24"/>
        </w:rPr>
      </w:pPr>
      <w:r w:rsidRPr="00B113B2">
        <w:rPr>
          <w:rFonts w:ascii="Times New Roman" w:eastAsia="Times New Roman" w:hAnsi="Times New Roman" w:cs="Times New Roman"/>
          <w:sz w:val="24"/>
          <w:szCs w:val="24"/>
        </w:rPr>
        <w:t>Cancer immunotherapy has revolutionized the field of oncology by enabling the immune system to target and destroy cancer cells. Therapies such as immune checkpoint inhibitors, including PD-1/PD-L1 and CTLA-4 blockade, and chimeric antigen receptor T (CAR-T) cells have shown unprecedented clinical efficacy, especially in melanoma, non-small cell lung cancer, and hematologic malignancies. These advances have transformed treatment paradigms, leading to significant improvements in outcomes for some patients. However, a major challenge remains: a substantial proportion of patients exhibit primary resistance or relapse after initial response, limiting the broader success of these therapies. In this review, we highlight cancer-intrinsic, immune microenvironment-related, and host-related mechanisms that underlie immunotherapy resistance, including tumor antigen loss, MHC downregulation, immunosuppressive microenvironments, and host factors such as microbiome composition. We also discuss emerging strategies to overcome resistance, such as combination therapies (e.g., checkpoint inhibitors with targeted agents or chemotherapy), novel immune checkpoint targets (e.g., LAG-3, TIM-3, TIGIT), and personalized immunotherapies including neoantigen vaccines. By breaking down the complex biology of resistance and highlighting innovative approaches under development, this review aims to guide future research and clinical efforts toward more durable and widely applicable immunotherapy responses.</w:t>
      </w:r>
    </w:p>
    <w:p w14:paraId="66395B2D" w14:textId="77777777" w:rsidR="00913684" w:rsidRDefault="00913684" w:rsidP="00913684">
      <w:pPr>
        <w:pStyle w:val="Heading3"/>
      </w:pPr>
      <w:r>
        <w:rPr>
          <w:rStyle w:val="Strong"/>
          <w:b/>
          <w:bCs/>
        </w:rPr>
        <w:t>1. Introduction</w:t>
      </w:r>
    </w:p>
    <w:p w14:paraId="678ABAF3" w14:textId="11FC01BD"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 xml:space="preserve">Cancers and cancer </w:t>
      </w:r>
      <w:proofErr w:type="spellStart"/>
      <w:r w:rsidRPr="00C4290D">
        <w:rPr>
          <w:rFonts w:ascii="Times New Roman" w:eastAsia="Times New Roman" w:hAnsi="Times New Roman" w:cs="Times New Roman"/>
          <w:sz w:val="24"/>
          <w:szCs w:val="24"/>
        </w:rPr>
        <w:t>treatmentsImmuno</w:t>
      </w:r>
      <w:proofErr w:type="spellEnd"/>
      <w:r w:rsidRPr="00C4290D">
        <w:rPr>
          <w:rFonts w:ascii="Times New Roman" w:eastAsia="Times New Roman" w:hAnsi="Times New Roman" w:cs="Times New Roman"/>
          <w:sz w:val="24"/>
          <w:szCs w:val="24"/>
        </w:rPr>
        <w:t>-oncology – one year in... Immunotherapy for cancer (CIT) has</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 xml:space="preserve">transformed cancer treatment, using the patient's immune system to </w:t>
      </w:r>
      <w:proofErr w:type="spellStart"/>
      <w:r w:rsidRPr="00C4290D">
        <w:rPr>
          <w:rFonts w:ascii="Times New Roman" w:eastAsia="Times New Roman" w:hAnsi="Times New Roman" w:cs="Times New Roman"/>
          <w:sz w:val="24"/>
          <w:szCs w:val="24"/>
        </w:rPr>
        <w:t>recognise</w:t>
      </w:r>
      <w:proofErr w:type="spellEnd"/>
      <w:r w:rsidRPr="00C4290D">
        <w:rPr>
          <w:rFonts w:ascii="Times New Roman" w:eastAsia="Times New Roman" w:hAnsi="Times New Roman" w:cs="Times New Roman"/>
          <w:sz w:val="24"/>
          <w:szCs w:val="24"/>
        </w:rPr>
        <w:t xml:space="preserve"> and destroy cancer cells</w:t>
      </w:r>
      <w:r w:rsidR="00995877">
        <w:rPr>
          <w:rFonts w:ascii="Times New Roman" w:eastAsia="Times New Roman" w:hAnsi="Times New Roman" w:cs="Times New Roman"/>
          <w:sz w:val="24"/>
          <w:szCs w:val="24"/>
        </w:rPr>
        <w:fldChar w:fldCharType="begin"/>
      </w:r>
      <w:r w:rsidR="00995877">
        <w:rPr>
          <w:rFonts w:ascii="Times New Roman" w:eastAsia="Times New Roman" w:hAnsi="Times New Roman" w:cs="Times New Roman"/>
          <w:sz w:val="24"/>
          <w:szCs w:val="24"/>
        </w:rPr>
        <w:instrText xml:space="preserve"> ADDIN ZOTERO_ITEM CSL_CITATION {"citationID":"KSycjmWp","properties":{"formattedCitation":"[1]","plainCitation":"[1]","noteIndex":0},"citationItems":[{"id":3918,"uris":["http://zotero.org/users/16652950/items/NIH64ULM"],"itemData":{"id":3918,"type":"article-journal","abstract":"Cancer immunotherapy has drawn much attention because it can restart the recognition and killing function of the immune system to normalize the antitumor immune response. However, the role of radiotherapy and chemotherapy in cancer treatment cannot be ignored. Due to cancer heterogeneity, combined therapy has become a new trend, and its efficacy has been confirmed in many studies. This review discussed the clinical implications and the underlying mechanisms of cancer immunotherapy in combination with radiotherapy or chemotherapy, offering an outline for clinicians as well as inspiration for future research.","container-title":"Oxidative Medicine and Cellular Longevity","DOI":"10.1155/2023/7530794","ISSN":"1942-0900","journalAbbreviation":"Oxid Med Cell Longev","note":"PMID: 36778203\nPMCID: PMC9911251","page":"7530794","source":"PubMed Central","title":"Radiotherapy/Chemotherapy-Immunotherapy for Cancer Management: From Mechanisms to Clinical Implications","title-short":"Radiotherapy/Chemotherapy-Immunotherapy for Cancer Management","volume":"2023","author":[{"family":"Li","given":"Qian"},{"family":"Lei","given":"Xu"},{"family":"Zhu","given":"Jing"},{"family":"Zhong","given":"Yanping"},{"family":"Yang","given":"Junjie"},{"family":"Wang","given":"Jincheng"},{"family":"Tan","given":"Huabing"}],"issued":{"date-parts":[["2023",2,2]]}}}],"schema":"https://github.com/citation-style-language/schema/raw/master/csl-citation.json"} </w:instrText>
      </w:r>
      <w:r w:rsidR="00995877">
        <w:rPr>
          <w:rFonts w:ascii="Times New Roman" w:eastAsia="Times New Roman" w:hAnsi="Times New Roman" w:cs="Times New Roman"/>
          <w:sz w:val="24"/>
          <w:szCs w:val="24"/>
        </w:rPr>
        <w:fldChar w:fldCharType="separate"/>
      </w:r>
      <w:r w:rsidR="00995877" w:rsidRPr="00995877">
        <w:rPr>
          <w:rFonts w:ascii="Times New Roman" w:hAnsi="Times New Roman" w:cs="Times New Roman"/>
          <w:sz w:val="24"/>
        </w:rPr>
        <w:t>[1]</w:t>
      </w:r>
      <w:r w:rsidR="00995877">
        <w:rPr>
          <w:rFonts w:ascii="Times New Roman" w:eastAsia="Times New Roman" w:hAnsi="Times New Roman" w:cs="Times New Roman"/>
          <w:sz w:val="24"/>
          <w:szCs w:val="24"/>
        </w:rPr>
        <w:fldChar w:fldCharType="end"/>
      </w:r>
      <w:r w:rsidRPr="00C4290D">
        <w:rPr>
          <w:rFonts w:ascii="Times New Roman" w:eastAsia="Times New Roman" w:hAnsi="Times New Roman" w:cs="Times New Roman"/>
          <w:sz w:val="24"/>
          <w:szCs w:val="24"/>
        </w:rPr>
        <w:t>. Unlike traditional treatments, like chemotherapy and radiation, that attack cancer and healthy tissue, immunotherapy is more precise</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and may provide a long-lasting attack against the disease. In the past decades, cancer</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immunotherapy has drawn broad attention, mainly owing to the success of immune checkpoint inhibitors, such as anti-PD-1/PD-L1, and anti-CTLA-4 antibodies. These agents have also shown unique survival advantages in cancers including, amongst others, melanoma, NSCLC, and renal cell</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carcinoma</w:t>
      </w:r>
      <w:r w:rsidR="005B3EFF">
        <w:rPr>
          <w:rFonts w:ascii="Times New Roman" w:eastAsia="Times New Roman" w:hAnsi="Times New Roman" w:cs="Times New Roman"/>
          <w:sz w:val="24"/>
          <w:szCs w:val="24"/>
        </w:rPr>
        <w:fldChar w:fldCharType="begin"/>
      </w:r>
      <w:r w:rsidR="005B3EFF">
        <w:rPr>
          <w:rFonts w:ascii="Times New Roman" w:eastAsia="Times New Roman" w:hAnsi="Times New Roman" w:cs="Times New Roman"/>
          <w:sz w:val="24"/>
          <w:szCs w:val="24"/>
        </w:rPr>
        <w:instrText xml:space="preserve"> ADDIN ZOTERO_ITEM CSL_CITATION {"citationID":"lmbgViai","properties":{"formattedCitation":"[2]","plainCitation":"[2]","noteIndex":0},"citationItems":[{"id":3921,"uris":["http://zotero.org/users/16652950/items/QSFKU742"],"itemData":{"id":3921,"type":"article-journal","abstract":"Head and neck squamous cell carcinomas (HNSCCs) are one of the most common cancers worldwide. A large number of patients are diagnosed with locally advanced disease and require multimodal treatment approaches. Standard treatment modalities ranging from surgery to chemotherapy and radiation are yielding mixed results. To overcome this hurdle, newer innovative approaches are required to reduce the morbidity and mortality of the patients. In the last few decades, immunotherapy has become an important part of treating some types of cancer. The immune system plays a key role in the development, establishment and progression of HNSCC. A greater understanding of the dysregulation and evasion of the immune system in the evolution and progression of HNSCC provides the basis for improved therapies and outcomes for patients. Newer types of immune treatments are now being studied, and they will impact how we treat cancer in the future. This article provides a brief overview of the current immunotherapeutic strategies for cancer with emphasis on HNSCC.","container-title":"Journal of Oral and Maxillofacial Pathology : JOMFP","DOI":"10.4103/0973-029X.325257","ISSN":"0973-029X","issue":"2","journalAbbreviation":"J Oral Maxillofac Pathol","note":"PMID: 34703141\nPMCID: PMC8491352","page":"371","source":"PubMed Central","title":"Immunotherapy: The future of cancer treatment","title-short":"Immunotherapy","volume":"25","author":[{"family":"Sahu","given":"Manisha"},{"family":"Suryawanshi","given":"Hemakumari"}],"issued":{"date-parts":[["2021"]]}}}],"schema":"https://github.com/citation-style-language/schema/raw/master/csl-citation.json"} </w:instrText>
      </w:r>
      <w:r w:rsidR="005B3EFF">
        <w:rPr>
          <w:rFonts w:ascii="Times New Roman" w:eastAsia="Times New Roman" w:hAnsi="Times New Roman" w:cs="Times New Roman"/>
          <w:sz w:val="24"/>
          <w:szCs w:val="24"/>
        </w:rPr>
        <w:fldChar w:fldCharType="separate"/>
      </w:r>
      <w:r w:rsidR="005B3EFF" w:rsidRPr="005B3EFF">
        <w:rPr>
          <w:rFonts w:ascii="Times New Roman" w:hAnsi="Times New Roman" w:cs="Times New Roman"/>
          <w:sz w:val="24"/>
        </w:rPr>
        <w:t>[2]</w:t>
      </w:r>
      <w:r w:rsidR="005B3EFF">
        <w:rPr>
          <w:rFonts w:ascii="Times New Roman" w:eastAsia="Times New Roman" w:hAnsi="Times New Roman" w:cs="Times New Roman"/>
          <w:sz w:val="24"/>
          <w:szCs w:val="24"/>
        </w:rPr>
        <w:fldChar w:fldCharType="end"/>
      </w:r>
      <w:r w:rsidRPr="00C4290D">
        <w:rPr>
          <w:rFonts w:ascii="Times New Roman" w:eastAsia="Times New Roman" w:hAnsi="Times New Roman" w:cs="Times New Roman"/>
          <w:sz w:val="24"/>
          <w:szCs w:val="24"/>
        </w:rPr>
        <w:t>.</w:t>
      </w:r>
    </w:p>
    <w:p w14:paraId="5032E15B" w14:textId="4854BFDD"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Chimeric</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antigen receptor of T cells (CAR-T) therapy, cancer vaccines, and cytokine (IL-2, IFN-α) based therapy have also broadened the therapeutic armamentarium. Among these CAR-T therapy has been particularly successful in hematologic malignancies,</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and cancer vaccine and cytokine approaches continue to develop with varied but promising results</w:t>
      </w:r>
      <w:r w:rsidR="005B3EFF">
        <w:rPr>
          <w:rFonts w:ascii="Times New Roman" w:eastAsia="Times New Roman" w:hAnsi="Times New Roman" w:cs="Times New Roman"/>
          <w:sz w:val="24"/>
          <w:szCs w:val="24"/>
        </w:rPr>
        <w:fldChar w:fldCharType="begin"/>
      </w:r>
      <w:r w:rsidR="005B3EFF">
        <w:rPr>
          <w:rFonts w:ascii="Times New Roman" w:eastAsia="Times New Roman" w:hAnsi="Times New Roman" w:cs="Times New Roman"/>
          <w:sz w:val="24"/>
          <w:szCs w:val="24"/>
        </w:rPr>
        <w:instrText xml:space="preserve"> ADDIN ZOTERO_ITEM CSL_CITATION {"citationID":"2BAHY2Ms","properties":{"formattedCitation":"[3]","plainCitation":"[3]","noteIndex":0},"citationItems":[{"id":3924,"uris":["http://zotero.org/users/16652950/items/FZMM66FJ"],"itemData":{"id":3924,"type":"article-journal","abstract":"Recently, chimeric antigen receptor (CAR) T cell therapy has transformed the treatment armamentarium of relapsed/refractory B lymphoid malignancies. CAR T cells provide an excellent response rate and potential cure for these patients. However, CAR T cells also possess unique and potentially life-threatening immune-mediated side effects. Among these, cytokine release syndrome (CRS) and immune effector cell-associated neurotoxicity syndrome (ICANS) are the two most common complications associated with CAR T cell therapy. While the pathogenesis of CRS involves the activation of complex immune axes, including both cellular networks and inflammatory cytokine milieu, the mechanism of ICANS has not been fully elucidated. Other notable toxicities of CAR T cells include macrophage activation syndrome, cytopenia, and potential organ toxicities. Treatments for these complications typically encompass close observation, multidisciplinary supportive measures, and cytokine-modifying agents such as anti-interleukin-6 antibody and systemic corticosteroids. CAR T therapies can cause immunologic adverse events and management of these toxicities could also instigate a profound immune suppression state that predisposes patients to a variety of infectious complications. Prompt diagnosis and proper management of these complications are crucial to minimize CAR T cell-associated complications and to maximize the outcome of CAR T cell therapy.","container-title":"Blood Cell Therapy","DOI":"10.31547/bct-2021-011","ISSN":"2432-7026","issue":"Spec Edition","journalAbbreviation":"Blood Cell Ther","note":"PMID: 36713468\nPMCID: PMC9847268","page":"S1-S7","source":"PubMed Central","title":"Toxicity of Chimeric Antigen Receptor T Cells and its Management","volume":"4","author":[{"family":"Wudhikarn","given":"Kitsada"},{"family":"Soh","given":"Shui Yen"},{"family":"Huang","given":"He"},{"family":"Perales","given":"Miguel-Angel"}],"issued":{"date-parts":[["2021",10,14]]}}}],"schema":"https://github.com/citation-style-language/schema/raw/master/csl-citation.json"} </w:instrText>
      </w:r>
      <w:r w:rsidR="005B3EFF">
        <w:rPr>
          <w:rFonts w:ascii="Times New Roman" w:eastAsia="Times New Roman" w:hAnsi="Times New Roman" w:cs="Times New Roman"/>
          <w:sz w:val="24"/>
          <w:szCs w:val="24"/>
        </w:rPr>
        <w:fldChar w:fldCharType="separate"/>
      </w:r>
      <w:r w:rsidR="005B3EFF" w:rsidRPr="005B3EFF">
        <w:rPr>
          <w:rFonts w:ascii="Times New Roman" w:hAnsi="Times New Roman" w:cs="Times New Roman"/>
          <w:sz w:val="24"/>
        </w:rPr>
        <w:t>[3]</w:t>
      </w:r>
      <w:r w:rsidR="005B3EFF">
        <w:rPr>
          <w:rFonts w:ascii="Times New Roman" w:eastAsia="Times New Roman" w:hAnsi="Times New Roman" w:cs="Times New Roman"/>
          <w:sz w:val="24"/>
          <w:szCs w:val="24"/>
        </w:rPr>
        <w:fldChar w:fldCharType="end"/>
      </w:r>
      <w:r w:rsidRPr="00C4290D">
        <w:rPr>
          <w:rFonts w:ascii="Times New Roman" w:eastAsia="Times New Roman" w:hAnsi="Times New Roman" w:cs="Times New Roman"/>
          <w:sz w:val="24"/>
          <w:szCs w:val="24"/>
        </w:rPr>
        <w:t>.</w:t>
      </w:r>
    </w:p>
    <w:p w14:paraId="4AFC3B2C" w14:textId="4BD146C3"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However, a significant proportion of patients are refractory to immunotherapy (primary resistance) or have progression of disease after an</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 xml:space="preserve">initial response (acquired resistance). This </w:t>
      </w:r>
      <w:r w:rsidRPr="00C4290D">
        <w:rPr>
          <w:rFonts w:ascii="Times New Roman" w:eastAsia="Times New Roman" w:hAnsi="Times New Roman" w:cs="Times New Roman"/>
          <w:sz w:val="24"/>
          <w:szCs w:val="24"/>
        </w:rPr>
        <w:lastRenderedPageBreak/>
        <w:t>variability</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in response underscores the critical need to identify the biological events that lead to failure of immunotherapy</w:t>
      </w:r>
      <w:r w:rsidR="005B3EFF">
        <w:rPr>
          <w:rFonts w:ascii="Times New Roman" w:eastAsia="Times New Roman" w:hAnsi="Times New Roman" w:cs="Times New Roman"/>
          <w:sz w:val="24"/>
          <w:szCs w:val="24"/>
        </w:rPr>
        <w:fldChar w:fldCharType="begin"/>
      </w:r>
      <w:r w:rsidR="005B3EFF">
        <w:rPr>
          <w:rFonts w:ascii="Times New Roman" w:eastAsia="Times New Roman" w:hAnsi="Times New Roman" w:cs="Times New Roman"/>
          <w:sz w:val="24"/>
          <w:szCs w:val="24"/>
        </w:rPr>
        <w:instrText xml:space="preserve"> ADDIN ZOTERO_ITEM CSL_CITATION {"citationID":"AP5ZC67d","properties":{"formattedCitation":"[4]","plainCitation":"[4]","noteIndex":0},"citationItems":[{"id":3927,"uris":["http://zotero.org/users/16652950/items/4XPYLZFN"],"itemData":{"id":3927,"type":"article-journal","abstract":"Immune checkpoint inhibitors (ICI) have rapidly altered the treatment landscape for multiple tumor types, providing unprecedented survival in some patients. Despite the characteristic durability of response to ICI, unfortunately many patients with initial response will later develop acquired resistance. The current understanding of mechanisms of acquired resistance to ICIs is remarkably limited, perhaps restraining effective development of next-generation immunotherapies. Here, we examine the barriers to progress and emerging clinical reports interrogating acquired resistance with the goal to facilitate efforts to overcome acquired resistance to ICIs in the future.","container-title":"Cancer cell","DOI":"10.1016/j.ccell.2020.03.017","ISSN":"1535-6108","issue":"4","journalAbbreviation":"Cancer Cell","note":"PMID: 32289269\nPMCID: PMC7182070","page":"443-455","source":"PubMed Central","title":"Acquired Resistance to Immune Checkpoint Inhibitors","volume":"37","author":[{"family":"Schoenfeld","given":"Adam J."},{"family":"Hellmann","given":"Matthew D."}],"issued":{"date-parts":[["2020",4,13]]}}}],"schema":"https://github.com/citation-style-language/schema/raw/master/csl-citation.json"} </w:instrText>
      </w:r>
      <w:r w:rsidR="005B3EFF">
        <w:rPr>
          <w:rFonts w:ascii="Times New Roman" w:eastAsia="Times New Roman" w:hAnsi="Times New Roman" w:cs="Times New Roman"/>
          <w:sz w:val="24"/>
          <w:szCs w:val="24"/>
        </w:rPr>
        <w:fldChar w:fldCharType="separate"/>
      </w:r>
      <w:r w:rsidR="005B3EFF" w:rsidRPr="005B3EFF">
        <w:rPr>
          <w:rFonts w:ascii="Times New Roman" w:hAnsi="Times New Roman" w:cs="Times New Roman"/>
          <w:sz w:val="24"/>
        </w:rPr>
        <w:t>[4]</w:t>
      </w:r>
      <w:r w:rsidR="005B3EFF">
        <w:rPr>
          <w:rFonts w:ascii="Times New Roman" w:eastAsia="Times New Roman" w:hAnsi="Times New Roman" w:cs="Times New Roman"/>
          <w:sz w:val="24"/>
          <w:szCs w:val="24"/>
        </w:rPr>
        <w:fldChar w:fldCharType="end"/>
      </w:r>
      <w:r w:rsidRPr="00C4290D">
        <w:rPr>
          <w:rFonts w:ascii="Times New Roman" w:eastAsia="Times New Roman" w:hAnsi="Times New Roman" w:cs="Times New Roman"/>
          <w:sz w:val="24"/>
          <w:szCs w:val="24"/>
        </w:rPr>
        <w:t>.</w:t>
      </w:r>
    </w:p>
    <w:p w14:paraId="4976DC07" w14:textId="77777777"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In</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this article we review the complex ways in which cancer immunotherapy can fail, including both tumor-intrinsic, microenvironmental, and host-related resistance mechanisms. It also addresses emerging approaches</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to circumvent these challenges, aimed at enhancing patient survival and extending the benefits of immunotherapy to a larger subgroup of patients.</w:t>
      </w:r>
    </w:p>
    <w:p w14:paraId="28DD559A" w14:textId="6C7D7055" w:rsidR="00913684" w:rsidRDefault="00913684" w:rsidP="00913684">
      <w:pPr>
        <w:pStyle w:val="Heading3"/>
        <w:rPr>
          <w:rStyle w:val="Strong"/>
          <w:b/>
          <w:bCs/>
        </w:rPr>
      </w:pPr>
      <w:r>
        <w:rPr>
          <w:rStyle w:val="Strong"/>
          <w:b/>
          <w:bCs/>
        </w:rPr>
        <w:t>2. Overview of Immunotherapy Modalities</w:t>
      </w:r>
    </w:p>
    <w:p w14:paraId="313CFDA7" w14:textId="4AA6684D" w:rsidR="00390069" w:rsidRDefault="00C4290D" w:rsidP="00390069">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Immunotherapy has developed as a multi-faceted treatment</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option that encompasses different modalities, including immune checkpoint inhibitors, CAR-T cell therapy, cancer vaccination, and cytokine immunotherapy. Both modalities work through the immune system by different mechanisms</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of tumor destruction</w:t>
      </w:r>
      <w:r w:rsidR="005B3EFF">
        <w:rPr>
          <w:rFonts w:ascii="Times New Roman" w:eastAsia="Times New Roman" w:hAnsi="Times New Roman" w:cs="Times New Roman"/>
          <w:sz w:val="24"/>
          <w:szCs w:val="24"/>
        </w:rPr>
        <w:fldChar w:fldCharType="begin"/>
      </w:r>
      <w:r w:rsidR="005B3EFF">
        <w:rPr>
          <w:rFonts w:ascii="Times New Roman" w:eastAsia="Times New Roman" w:hAnsi="Times New Roman" w:cs="Times New Roman"/>
          <w:sz w:val="24"/>
          <w:szCs w:val="24"/>
        </w:rPr>
        <w:instrText xml:space="preserve"> ADDIN ZOTERO_ITEM CSL_CITATION {"citationID":"huA3NBUK","properties":{"formattedCitation":"[5]","plainCitation":"[5]","noteIndex":0},"citationItems":[{"id":3930,"uris":["http://zotero.org/users/16652950/items/GAFMRACE"],"itemData":{"id":3930,"type":"article-journal","abstract":"Cancer immunotherapy is a promising innovative treatment for many forms of cancer, particularly melanoma. Although immunotherapy has been shown to be efficacious, patient response rates vary and, more often than not, only a small subset of the patients within a large cohort respond favourably to the treatment. This issue is particularly concerning and becomes a challenge of immunotherapy to improve the effectiveness and patient response rates. Here, we review the specific types of available immunotherapy options, their proposed mechanism(s) of action, and the reasons why the patient response to this treatment is variable. The potential favourable options to improve response rates to immunotherapy will be discussed with an emphasis on adopting a multimodal approach on the novel role that the gut microbiota may play in modulating the efficacy of cancer immunotherapy.","container-title":"Journal of Oncology","DOI":"10.1155/2019/4508794","ISSN":"1687-8450","journalAbbreviation":"J Oncol","note":"PMID: 30941175\nPMCID: PMC6420990","page":"4508794","source":"PubMed Central","title":"Current Challenges in Cancer Immunotherapy: Multimodal Approaches to Improve Efficacy and Patient Response Rates","title-short":"Current Challenges in Cancer Immunotherapy","volume":"2019","author":[{"family":"Sambi","given":"Manpreet"},{"family":"Bagheri","given":"Leila"},{"family":"Szewczuk","given":"Myron R."}],"issued":{"date-parts":[["2019",2,28]]}}}],"schema":"https://github.com/citation-style-language/schema/raw/master/csl-citation.json"} </w:instrText>
      </w:r>
      <w:r w:rsidR="005B3EFF">
        <w:rPr>
          <w:rFonts w:ascii="Times New Roman" w:eastAsia="Times New Roman" w:hAnsi="Times New Roman" w:cs="Times New Roman"/>
          <w:sz w:val="24"/>
          <w:szCs w:val="24"/>
        </w:rPr>
        <w:fldChar w:fldCharType="separate"/>
      </w:r>
      <w:r w:rsidR="005B3EFF" w:rsidRPr="005B3EFF">
        <w:rPr>
          <w:rFonts w:ascii="Times New Roman" w:hAnsi="Times New Roman" w:cs="Times New Roman"/>
          <w:sz w:val="24"/>
        </w:rPr>
        <w:t>[5]</w:t>
      </w:r>
      <w:r w:rsidR="005B3EFF">
        <w:rPr>
          <w:rFonts w:ascii="Times New Roman" w:eastAsia="Times New Roman" w:hAnsi="Times New Roman" w:cs="Times New Roman"/>
          <w:sz w:val="24"/>
          <w:szCs w:val="24"/>
        </w:rPr>
        <w:fldChar w:fldCharType="end"/>
      </w:r>
      <w:r w:rsidRPr="00C4290D">
        <w:rPr>
          <w:rFonts w:ascii="Times New Roman" w:eastAsia="Times New Roman" w:hAnsi="Times New Roman" w:cs="Times New Roman"/>
          <w:sz w:val="24"/>
          <w:szCs w:val="24"/>
        </w:rPr>
        <w:t>. A summary of the main immune-based treatments is delineated in</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Figure 1, depicting the different mechanisms and uses in clinical therapy of the existing treatment options</w:t>
      </w:r>
      <w:r w:rsidR="00390069">
        <w:rPr>
          <w:rFonts w:ascii="Times New Roman" w:eastAsia="Times New Roman" w:hAnsi="Times New Roman" w:cs="Times New Roman"/>
          <w:i/>
          <w:iCs/>
          <w:sz w:val="24"/>
          <w:szCs w:val="24"/>
        </w:rPr>
        <w:t>.</w:t>
      </w:r>
    </w:p>
    <w:p w14:paraId="0D945818" w14:textId="248AA2A7" w:rsidR="005D5559" w:rsidRPr="005D5559" w:rsidRDefault="00390069" w:rsidP="005D5559">
      <w:pPr>
        <w:pStyle w:val="NormalWeb"/>
      </w:pPr>
      <w:r>
        <w:rPr>
          <w:noProof/>
        </w:rPr>
        <w:lastRenderedPageBreak/>
        <w:drawing>
          <wp:inline distT="0" distB="0" distL="0" distR="0" wp14:anchorId="4F15A32E" wp14:editId="32F8CEB4">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tGPT Image Jun 17, 2025, 11_59_17 PM.png"/>
                    <pic:cNvPicPr/>
                  </pic:nvPicPr>
                  <pic:blipFill>
                    <a:blip r:embed="rId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sidR="005D5559">
        <w:rPr>
          <w:i/>
          <w:iCs/>
        </w:rPr>
        <w:t xml:space="preserve">Fig 1: </w:t>
      </w:r>
      <w:r w:rsidR="005D5559">
        <w:t xml:space="preserve">Overview of Immunotherapy </w:t>
      </w:r>
      <w:proofErr w:type="spellStart"/>
      <w:r w:rsidR="005D5559">
        <w:t>Modalities</w:t>
      </w:r>
      <w:r w:rsidR="005D5559">
        <w:t xml:space="preserve">. </w:t>
      </w:r>
      <w:proofErr w:type="spellEnd"/>
      <w:r w:rsidR="005D5559" w:rsidRPr="005D5559">
        <w:rPr>
          <w:i/>
          <w:iCs/>
        </w:rPr>
        <w:t>Overview of major cancer immunotherapy strategies, including immune checkpoint inhibitors (e.g., PD-1, PD-L1, CTLA-4), CAR-T cell therapy for hematologic malignancies, cancer vaccines targeting tumor-associated antigens, and cytokine therapies such as IL-2. Each modality enhances antitumor immunity through distinct mechanisms. These approaches form the foundation of current immuno-oncology treatments and have led to significant therapeutic advances in several cancer types.</w:t>
      </w:r>
    </w:p>
    <w:p w14:paraId="5F223FE9" w14:textId="77777777" w:rsidR="005D5559" w:rsidRPr="00C4290D" w:rsidRDefault="005D5559" w:rsidP="00C4290D">
      <w:pPr>
        <w:pStyle w:val="NormalWeb"/>
      </w:pPr>
    </w:p>
    <w:p w14:paraId="06B02C3E" w14:textId="590AFBE4"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Cancer immunotherapy involves variety of strategies that target to increase the ability of the immune system to detect and kill</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tumor cells. Most transformative are immune checkpoint inhibitors that hit off-switches which tumors hijack to</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halt immune attacks. In cancers such as melanoma, non-small cell lung</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cancer, and urothelial carcinoma, antibodies against PD-1, PD-</w:t>
      </w:r>
      <w:r w:rsidRPr="00C4290D">
        <w:rPr>
          <w:rFonts w:ascii="Times New Roman" w:eastAsia="Times New Roman" w:hAnsi="Times New Roman" w:cs="Times New Roman"/>
          <w:sz w:val="24"/>
          <w:szCs w:val="24"/>
        </w:rPr>
        <w:lastRenderedPageBreak/>
        <w:t>L1, and CTLA-4 have achieved remarkable clinical success. However, the long-term</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 xml:space="preserve">response rate is favorable only in a proportion of patients, and </w:t>
      </w:r>
      <w:proofErr w:type="spellStart"/>
      <w:r w:rsidRPr="00C4290D">
        <w:rPr>
          <w:rFonts w:ascii="Times New Roman" w:eastAsia="Times New Roman" w:hAnsi="Times New Roman" w:cs="Times New Roman"/>
          <w:sz w:val="24"/>
          <w:szCs w:val="24"/>
        </w:rPr>
        <w:t>immunerelated</w:t>
      </w:r>
      <w:proofErr w:type="spellEnd"/>
      <w:r w:rsidRPr="00C4290D">
        <w:rPr>
          <w:rFonts w:ascii="Times New Roman" w:eastAsia="Times New Roman" w:hAnsi="Times New Roman" w:cs="Times New Roman"/>
          <w:sz w:val="24"/>
          <w:szCs w:val="24"/>
        </w:rPr>
        <w:t xml:space="preserve"> adverse events continue to be a concern</w:t>
      </w:r>
      <w:r w:rsidR="005B3EFF">
        <w:rPr>
          <w:rFonts w:ascii="Times New Roman" w:eastAsia="Times New Roman" w:hAnsi="Times New Roman" w:cs="Times New Roman"/>
          <w:sz w:val="24"/>
          <w:szCs w:val="24"/>
        </w:rPr>
        <w:fldChar w:fldCharType="begin"/>
      </w:r>
      <w:r w:rsidR="005B3EFF">
        <w:rPr>
          <w:rFonts w:ascii="Times New Roman" w:eastAsia="Times New Roman" w:hAnsi="Times New Roman" w:cs="Times New Roman"/>
          <w:sz w:val="24"/>
          <w:szCs w:val="24"/>
        </w:rPr>
        <w:instrText xml:space="preserve"> ADDIN ZOTERO_ITEM CSL_CITATION {"citationID":"O0yr10HF","properties":{"formattedCitation":"[6]","plainCitation":"[6]","noteIndex":0},"citationItems":[{"id":3937,"uris":["http://zotero.org/users/16652950/items/HKYQVYAG"],"itemData":{"id":3937,"type":"article-journal","abstract":"The advances in cancer biology and pathogenesis during the past two decades, have resulted in immunotherapeutic strategies that have revolutionized the treatment of malignancies, from relatively non-selective toxic agents to specific, mechanism-based therapies. Despite extensive global efforts, infectious diseases remain a leading cause of morbidity and mortality worldwide, necessitating novel, innovative therapeutics that address the current challenges of increasing antimicrobial resistance. Similar to cancer pathogenesis, infectious pathogens successfully fashion a hospitable environment within the host and modulate host metabolic functions to support their nutritional requirements, while suppressing host defenses by altering regulatory mechanisms. These parallels, and the advances made in targeted therapy in cancer, may inform the rational development of therapeutic interventions for infectious diseases. Although “immunotherapy” is habitually associated with the treatment of cancer, this review accentuates the evolving role of key targeted immune interventions that are approved, as well as those in development, for various cancers and infectious diseases. The general features of adoptive therapies, those that enhance T cell effector function, and ligand-based therapies, that neutralize or eliminate diseased cells, are discussed in the context of specific diseases that, to date, lack appropriate remedial treatment; cancer, HIV, TB, and drug-resistant bacterial and fungal infections. The remarkable diversity and versatility that distinguishes immunotherapy is emphasized, consequently establishing this approach within the armory of curative therapeutics, applicable across the disease spectrum.","container-title":"Frontiers in Microbiology","DOI":"10.3389/fmicb.2018.03158","ISSN":"1664-302X","journalAbbreviation":"Front Microbiol","note":"PMID: 30622524\nPMCID: PMC6308495","page":"3158","source":"PubMed Central","title":"Principles of Immunotherapy: Implications for Treatment Strategies in Cancer and Infectious Diseases","title-short":"Principles of Immunotherapy","volume":"9","author":[{"family":"Naran","given":"Krupa"},{"family":"Nundalall","given":"Trishana"},{"family":"Chetty","given":"Shivan"},{"family":"Barth","given":"Stefan"}],"issued":{"date-parts":[["2018",12,21]]}}}],"schema":"https://github.com/citation-style-language/schema/raw/master/csl-citation.json"} </w:instrText>
      </w:r>
      <w:r w:rsidR="005B3EFF">
        <w:rPr>
          <w:rFonts w:ascii="Times New Roman" w:eastAsia="Times New Roman" w:hAnsi="Times New Roman" w:cs="Times New Roman"/>
          <w:sz w:val="24"/>
          <w:szCs w:val="24"/>
        </w:rPr>
        <w:fldChar w:fldCharType="separate"/>
      </w:r>
      <w:r w:rsidR="005B3EFF" w:rsidRPr="005B3EFF">
        <w:rPr>
          <w:rFonts w:ascii="Times New Roman" w:hAnsi="Times New Roman" w:cs="Times New Roman"/>
          <w:sz w:val="24"/>
        </w:rPr>
        <w:t>[6]</w:t>
      </w:r>
      <w:r w:rsidR="005B3EFF">
        <w:rPr>
          <w:rFonts w:ascii="Times New Roman" w:eastAsia="Times New Roman" w:hAnsi="Times New Roman" w:cs="Times New Roman"/>
          <w:sz w:val="24"/>
          <w:szCs w:val="24"/>
        </w:rPr>
        <w:fldChar w:fldCharType="end"/>
      </w:r>
      <w:r w:rsidRPr="00C4290D">
        <w:rPr>
          <w:rFonts w:ascii="Times New Roman" w:eastAsia="Times New Roman" w:hAnsi="Times New Roman" w:cs="Times New Roman"/>
          <w:sz w:val="24"/>
          <w:szCs w:val="24"/>
        </w:rPr>
        <w:t>.</w:t>
      </w:r>
    </w:p>
    <w:p w14:paraId="2F9E09E3" w14:textId="3D4607DE"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Another game-changer is CAR-T cell therapy,</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especially in hematologic diseases, such as ALL and some lymphomas. In this</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approach, patient T-cells are modified to express chimeric antigen receptors directed against selected tumor antigens. Although effective in hematological cancers, CAR-T in solid tumors</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is challenged by the antigen heterogeneity, inadequate T cell infiltration, and immunosuppressive tumor microenvironment</w:t>
      </w:r>
      <w:r w:rsidR="005B3EFF">
        <w:rPr>
          <w:rFonts w:ascii="Times New Roman" w:eastAsia="Times New Roman" w:hAnsi="Times New Roman" w:cs="Times New Roman"/>
          <w:sz w:val="24"/>
          <w:szCs w:val="24"/>
        </w:rPr>
        <w:fldChar w:fldCharType="begin"/>
      </w:r>
      <w:r w:rsidR="005B3EFF">
        <w:rPr>
          <w:rFonts w:ascii="Times New Roman" w:eastAsia="Times New Roman" w:hAnsi="Times New Roman" w:cs="Times New Roman"/>
          <w:sz w:val="24"/>
          <w:szCs w:val="24"/>
        </w:rPr>
        <w:instrText xml:space="preserve"> ADDIN ZOTERO_ITEM CSL_CITATION {"citationID":"flINthjE","properties":{"formattedCitation":"[7]","plainCitation":"[7]","noteIndex":0},"citationItems":[{"id":3940,"uris":["http://zotero.org/users/16652950/items/SDRZYZ5W"],"itemData":{"id":3940,"type":"article-journal","abstract":"Chimeric antigen receptor (CAR)-T cell therapy is a progressive new pillar in immune cell therapy for cancer. It has yielded remarkable clinical responses in patients with B-cell leukemia or lymphoma. Unfortunately, many challenges remain to be addressed to overcome its ineffectiveness in the treatment of other hematological and solidtumor malignancies. The major hurdles of CAR T-cell therapy are the associated severe life-threatening toxicities such as cytokine release syndrome and limited anti-tumor efficacy. In this review, we briefly discuss cancer immunotherapy and the genetic engineering of T cells and, In detail, the current innovations in CAR T-cell strategies to improve efficacy in treating solid tumors and hematologic malignancies. Furthermore, we also discuss the current challenges in CAR T-cell therapy and new CAR T-cell-derived nanovesicle therapy. Finally, strategies to overcome the current clinical challenges associated with CAR T-cell therapy are included as well.","container-title":"Frontiers in Immunology","DOI":"10.3389/fimmu.2022.925985","ISSN":"1664-3224","journalAbbreviation":"Front Immunol","note":"PMID: 35936003\nPMCID: PMC9355792","page":"925985","source":"PubMed Central","title":"CAR T-Cell-Based gene therapy for cancers: new perspectives, challenges, and clinical developments","title-short":"CAR T-Cell-Based gene therapy for cancers","volume":"13","author":[{"family":"Jogalekar","given":"Manasi P."},{"family":"Rajendran","given":"Ramya Lakshmi"},{"family":"Khan","given":"Fatima"},{"family":"Dmello","given":"Crismita"},{"family":"Gangadaran","given":"Prakash"},{"family":"Ahn","given":"Byeong-Cheol"}],"issued":{"date-parts":[["2022",7,22]]}}}],"schema":"https://github.com/citation-style-language/schema/raw/master/csl-citation.json"} </w:instrText>
      </w:r>
      <w:r w:rsidR="005B3EFF">
        <w:rPr>
          <w:rFonts w:ascii="Times New Roman" w:eastAsia="Times New Roman" w:hAnsi="Times New Roman" w:cs="Times New Roman"/>
          <w:sz w:val="24"/>
          <w:szCs w:val="24"/>
        </w:rPr>
        <w:fldChar w:fldCharType="separate"/>
      </w:r>
      <w:r w:rsidR="005B3EFF" w:rsidRPr="005B3EFF">
        <w:rPr>
          <w:rFonts w:ascii="Times New Roman" w:hAnsi="Times New Roman" w:cs="Times New Roman"/>
          <w:sz w:val="24"/>
        </w:rPr>
        <w:t>[7]</w:t>
      </w:r>
      <w:r w:rsidR="005B3EFF">
        <w:rPr>
          <w:rFonts w:ascii="Times New Roman" w:eastAsia="Times New Roman" w:hAnsi="Times New Roman" w:cs="Times New Roman"/>
          <w:sz w:val="24"/>
          <w:szCs w:val="24"/>
        </w:rPr>
        <w:fldChar w:fldCharType="end"/>
      </w:r>
      <w:r w:rsidRPr="00C4290D">
        <w:rPr>
          <w:rFonts w:ascii="Times New Roman" w:eastAsia="Times New Roman" w:hAnsi="Times New Roman" w:cs="Times New Roman"/>
          <w:sz w:val="24"/>
          <w:szCs w:val="24"/>
        </w:rPr>
        <w:t>.</w:t>
      </w:r>
    </w:p>
    <w:p w14:paraId="5CEE0841" w14:textId="4EAE8330"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Vaccines targeting cancer objects to trigger immune response in the body by tumor-specific antigens,</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but the effectiveness is not satisfactory at present. Additionally, oncolytic viruses are being</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engineered to preferentially replicate within and lyse tumor cells, while simultaneously inducing systemic immune activation</w:t>
      </w:r>
      <w:r w:rsidR="005B3EFF">
        <w:rPr>
          <w:rFonts w:ascii="Times New Roman" w:eastAsia="Times New Roman" w:hAnsi="Times New Roman" w:cs="Times New Roman"/>
          <w:sz w:val="24"/>
          <w:szCs w:val="24"/>
        </w:rPr>
        <w:fldChar w:fldCharType="begin"/>
      </w:r>
      <w:r w:rsidR="005B3EFF">
        <w:rPr>
          <w:rFonts w:ascii="Times New Roman" w:eastAsia="Times New Roman" w:hAnsi="Times New Roman" w:cs="Times New Roman"/>
          <w:sz w:val="24"/>
          <w:szCs w:val="24"/>
        </w:rPr>
        <w:instrText xml:space="preserve"> ADDIN ZOTERO_ITEM CSL_CITATION {"citationID":"ehPjM4JZ","properties":{"formattedCitation":"[8]","plainCitation":"[8]","noteIndex":0},"citationItems":[{"id":3943,"uris":["http://zotero.org/users/16652950/items/6KW7II6R"],"itemData":{"id":3943,"type":"article-journal","abstract":"Oncolytic viruses (OVs) are emerging as potentially useful platforms in treatment methods for patients with tumors. They preferentially target and kill tumor cells, leaving healthy cells unharmed. In addition to direct oncolysis, the essential and attractive aspect of oncolytic virotherapy is based on the intrinsic induction of both innate and adaptive immune responses. To further augment this efficacious response, OVs have been genetically engineered to express immune regulators that enhance or restore antitumor immunity. Recently, combinations of OVs with other immunotherapies, such as immune checkpoint inhibitors (ICIs), chimeric antigen receptors (CARs), antigen-specific T-cell receptors (TCRs) and autologous tumor-infiltrating lymphocytes (TILs), have led to promising progress in cancer treatment. This review summarizes the intrinsic mechanisms of OVs, describes the optimization strategies for using armed OVs to enhance the effects of antitumor immunity and highlights rational combinations of OVs with other immunotherapies in recent preclinical and clinical studies.","container-title":"Signal Transduction and Targeted Therapy","DOI":"10.1038/s41392-022-00951-x","ISSN":"2095-9907","journalAbbreviation":"Signal Transduct Target Ther","note":"PMID: 35387984\nPMCID: PMC8987060","page":"117","source":"PubMed Central","title":"Engineering strategies to enhance oncolytic viruses in cancer immunotherapy","volume":"7","author":[{"family":"Tian","given":"Yaomei"},{"family":"Xie","given":"Daoyuan"},{"family":"Yang","given":"Li"}],"issued":{"date-parts":[["2022",4,6]]}}}],"schema":"https://github.com/citation-style-language/schema/raw/master/csl-citation.json"} </w:instrText>
      </w:r>
      <w:r w:rsidR="005B3EFF">
        <w:rPr>
          <w:rFonts w:ascii="Times New Roman" w:eastAsia="Times New Roman" w:hAnsi="Times New Roman" w:cs="Times New Roman"/>
          <w:sz w:val="24"/>
          <w:szCs w:val="24"/>
        </w:rPr>
        <w:fldChar w:fldCharType="separate"/>
      </w:r>
      <w:r w:rsidR="005B3EFF" w:rsidRPr="005B3EFF">
        <w:rPr>
          <w:rFonts w:ascii="Times New Roman" w:hAnsi="Times New Roman" w:cs="Times New Roman"/>
          <w:sz w:val="24"/>
        </w:rPr>
        <w:t>[8]</w:t>
      </w:r>
      <w:r w:rsidR="005B3EFF">
        <w:rPr>
          <w:rFonts w:ascii="Times New Roman" w:eastAsia="Times New Roman" w:hAnsi="Times New Roman" w:cs="Times New Roman"/>
          <w:sz w:val="24"/>
          <w:szCs w:val="24"/>
        </w:rPr>
        <w:fldChar w:fldCharType="end"/>
      </w:r>
      <w:r w:rsidRPr="00C4290D">
        <w:rPr>
          <w:rFonts w:ascii="Times New Roman" w:eastAsia="Times New Roman" w:hAnsi="Times New Roman" w:cs="Times New Roman"/>
          <w:sz w:val="24"/>
          <w:szCs w:val="24"/>
        </w:rPr>
        <w:t>.</w:t>
      </w:r>
    </w:p>
    <w:p w14:paraId="32BF87B2" w14:textId="4FC47E49"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Alternative approaches also have included adoptive cell therapy (ACT),</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where ex vivo expanded tumor-infiltrating lymphocytes are infused, and the use of cytokine-based therapies such as interleukin-2 (IL-2) to induce T cell expansion and activation. These strategies have demonstrated certain activity in some restricted occasions,</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although systemic toxicity and limited efficacy remain challenges</w:t>
      </w:r>
      <w:r w:rsidR="006E4A25">
        <w:rPr>
          <w:rFonts w:ascii="Times New Roman" w:eastAsia="Times New Roman" w:hAnsi="Times New Roman" w:cs="Times New Roman"/>
          <w:sz w:val="24"/>
          <w:szCs w:val="24"/>
        </w:rPr>
        <w:fldChar w:fldCharType="begin"/>
      </w:r>
      <w:r w:rsidR="006E4A25">
        <w:rPr>
          <w:rFonts w:ascii="Times New Roman" w:eastAsia="Times New Roman" w:hAnsi="Times New Roman" w:cs="Times New Roman"/>
          <w:sz w:val="24"/>
          <w:szCs w:val="24"/>
        </w:rPr>
        <w:instrText xml:space="preserve"> ADDIN ZOTERO_ITEM CSL_CITATION {"citationID":"BWEBx1Bh","properties":{"formattedCitation":"[9]","plainCitation":"[9]","noteIndex":0},"citationItems":[{"id":3946,"uris":["http://zotero.org/users/16652950/items/F4ENNAXB"],"itemData":{"id":3946,"type":"article-journal","container-title":"Seminars in oncology","DOI":"10.1053/j.seminoncol.2015.05.005","ISSN":"0093-7754","issue":"4","journalAbbreviation":"Semin Oncol","note":"PMID: 26320066\nPMCID: PMC6295669","page":"626-639","source":"PubMed Central","title":"Adoptive Cell Therapy—Tumor-Infiltrating Lymphocytes, T-Cell Receptors, and Chimeric Antigen Receptors","volume":"42","author":[{"family":"Feldman","given":"Steven A."},{"family":"Assadipour","given":"Yasmine"},{"family":"Kriley","given":"Isaac"},{"family":"Goff","given":"Stephanie L."},{"family":"Rosenberg","given":"Steven A."}],"issued":{"date-parts":[["2015",8]]}}}],"schema":"https://github.com/citation-style-language/schema/raw/master/csl-citation.json"} </w:instrText>
      </w:r>
      <w:r w:rsidR="006E4A25">
        <w:rPr>
          <w:rFonts w:ascii="Times New Roman" w:eastAsia="Times New Roman" w:hAnsi="Times New Roman" w:cs="Times New Roman"/>
          <w:sz w:val="24"/>
          <w:szCs w:val="24"/>
        </w:rPr>
        <w:fldChar w:fldCharType="separate"/>
      </w:r>
      <w:r w:rsidR="006E4A25" w:rsidRPr="006E4A25">
        <w:rPr>
          <w:rFonts w:ascii="Times New Roman" w:hAnsi="Times New Roman" w:cs="Times New Roman"/>
          <w:sz w:val="24"/>
        </w:rPr>
        <w:t>[9]</w:t>
      </w:r>
      <w:r w:rsidR="006E4A25">
        <w:rPr>
          <w:rFonts w:ascii="Times New Roman" w:eastAsia="Times New Roman" w:hAnsi="Times New Roman" w:cs="Times New Roman"/>
          <w:sz w:val="24"/>
          <w:szCs w:val="24"/>
        </w:rPr>
        <w:fldChar w:fldCharType="end"/>
      </w:r>
      <w:r w:rsidRPr="00C4290D">
        <w:rPr>
          <w:rFonts w:ascii="Times New Roman" w:eastAsia="Times New Roman" w:hAnsi="Times New Roman" w:cs="Times New Roman"/>
          <w:sz w:val="24"/>
          <w:szCs w:val="24"/>
        </w:rPr>
        <w:t>.</w:t>
      </w:r>
    </w:p>
    <w:p w14:paraId="78C58895" w14:textId="77777777"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Although immunotherapy has revolutionized cancer treatment, the variability in response and resistance across tumor</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types warrants refinement and combination strategies.</w:t>
      </w:r>
    </w:p>
    <w:p w14:paraId="5F19C323" w14:textId="677E4DFF" w:rsidR="00913684" w:rsidRDefault="00913684" w:rsidP="00C4290D">
      <w:pPr>
        <w:pStyle w:val="Heading3"/>
      </w:pPr>
      <w:r>
        <w:rPr>
          <w:rStyle w:val="Strong"/>
          <w:b/>
          <w:bCs/>
        </w:rPr>
        <w:t>3. Primary and Acquired Resistance Mechanisms</w:t>
      </w:r>
    </w:p>
    <w:p w14:paraId="1355E4FA" w14:textId="5A268A22"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Despite its great potential, the clinical benefit of immunotherapy is limited by the fact that a significant proportion of patients are resistant from the beginning (primary resistance) or develop resistance after an initial period of disease control (acquired</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resistance). These failures are attributed to intricate, multifaceted processes, comprising of tumor-intrinsic features, the tumor</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microenvironment (TME), and systemic host-related factors</w:t>
      </w:r>
      <w:r w:rsidR="006E4A25">
        <w:rPr>
          <w:rFonts w:ascii="Times New Roman" w:eastAsia="Times New Roman" w:hAnsi="Times New Roman" w:cs="Times New Roman"/>
          <w:sz w:val="24"/>
          <w:szCs w:val="24"/>
        </w:rPr>
        <w:fldChar w:fldCharType="begin"/>
      </w:r>
      <w:r w:rsidR="006E4A25">
        <w:rPr>
          <w:rFonts w:ascii="Times New Roman" w:eastAsia="Times New Roman" w:hAnsi="Times New Roman" w:cs="Times New Roman"/>
          <w:sz w:val="24"/>
          <w:szCs w:val="24"/>
        </w:rPr>
        <w:instrText xml:space="preserve"> ADDIN ZOTERO_ITEM CSL_CITATION {"citationID":"ZB1PL0qS","properties":{"formattedCitation":"[10]","plainCitation":"[10]","noteIndex":0},"citationItems":[{"id":3949,"uris":["http://zotero.org/users/16652950/items/MQ6IXBTE"],"itemData":{"id":3949,"type":"article-journal","abstract":"Next-generation immunotherapies have revolutionized cancer treatment, offering hope for patients with hard-to-treat tumors. This review focuses on the clinical applications and advancements of key immune-based therapies, including immune checkpoint inhibitors, CAR-T cell therapy, and new cancer vaccines designed to harness the immune system to combat malignancies. A prime example is the success of pembrolizumab in the treatment of advanced melanoma, underscoring the transformative impact of these therapies. Combination treatments, integrating immunotherapy with chemotherapy, radiation, and targeted therapies, are demonstrating synergistic benefits and improving patient outcomes. This review also explores the evolving role of personalized immunotherapy, guided by biomarkers, genomic data, and the tumor environment, to better target individual tumors. Although significant progress has been made, challenges such as resistance, side effects, and high treatment costs persist. Technological innovations, including nanotechnology and artificial intelligence, are explored as future enablers of these therapies. The review evaluates key clinical trials, breakthroughs, and the emerging immune-modulating agents and advanced delivery systems that hold great promise for enhancing treatment efficacy, reducing toxicity, and expanding access to immunotherapy. In conclusion, this review highlights the ongoing advancements in immunotherapy that are reshaping cancer care, with future strategies poised to overcome current challenges and further extend therapeutic reach.","container-title":"Journal of Clinical Medicine","DOI":"10.3390/jcm13216537","ISSN":"2077-0383","issue":"21","journalAbbreviation":"J Clin Med","note":"PMID: 39518676\nPMCID: PMC11546714","page":"6537","source":"PubMed Central","title":"Next-Generation Immunotherapy: Advancing Clinical Applications in Cancer Treatment","title-short":"Next-Generation Immunotherapy","volume":"13","author":[{"family":"Garg","given":"Pankaj"},{"family":"Pareek","given":"Siddhika"},{"family":"Kulkarni","given":"Prakash"},{"family":"Horne","given":"David"},{"family":"Salgia","given":"Ravi"},{"family":"Singhal","given":"Sharad S."}],"issued":{"date-parts":[["2024",10,30]]}}}],"schema":"https://github.com/citation-style-language/schema/raw/master/csl-citation.json"} </w:instrText>
      </w:r>
      <w:r w:rsidR="006E4A25">
        <w:rPr>
          <w:rFonts w:ascii="Times New Roman" w:eastAsia="Times New Roman" w:hAnsi="Times New Roman" w:cs="Times New Roman"/>
          <w:sz w:val="24"/>
          <w:szCs w:val="24"/>
        </w:rPr>
        <w:fldChar w:fldCharType="separate"/>
      </w:r>
      <w:r w:rsidR="006E4A25" w:rsidRPr="006E4A25">
        <w:rPr>
          <w:rFonts w:ascii="Times New Roman" w:hAnsi="Times New Roman" w:cs="Times New Roman"/>
          <w:sz w:val="24"/>
        </w:rPr>
        <w:t>[10]</w:t>
      </w:r>
      <w:r w:rsidR="006E4A25">
        <w:rPr>
          <w:rFonts w:ascii="Times New Roman" w:eastAsia="Times New Roman" w:hAnsi="Times New Roman" w:cs="Times New Roman"/>
          <w:sz w:val="24"/>
          <w:szCs w:val="24"/>
        </w:rPr>
        <w:fldChar w:fldCharType="end"/>
      </w:r>
      <w:r w:rsidRPr="00C4290D">
        <w:rPr>
          <w:rFonts w:ascii="Times New Roman" w:eastAsia="Times New Roman" w:hAnsi="Times New Roman" w:cs="Times New Roman"/>
          <w:sz w:val="24"/>
          <w:szCs w:val="24"/>
        </w:rPr>
        <w:t>.</w:t>
      </w:r>
    </w:p>
    <w:p w14:paraId="33741B19" w14:textId="77777777" w:rsidR="00913684" w:rsidRDefault="00913684" w:rsidP="00913684">
      <w:pPr>
        <w:pStyle w:val="Heading4"/>
      </w:pPr>
      <w:r>
        <w:rPr>
          <w:rStyle w:val="Strong"/>
          <w:b/>
          <w:bCs/>
        </w:rPr>
        <w:t>3.1 Tumor-Intrinsic Mechanisms</w:t>
      </w:r>
    </w:p>
    <w:p w14:paraId="4AA57FB3" w14:textId="77777777"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The intrinsic resistance could be the factors in cancer cells to escape from immune surveillance</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or impair activity of immune cells.</w:t>
      </w:r>
    </w:p>
    <w:p w14:paraId="4A20E140" w14:textId="31CEF1DC"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One key mechanism is the generation of antigen loss variants in which tumor cells lose expression</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or mutate their TAAs, thereby becoming resistant to T cells. This phenomenon has been notably seen with CAR-Ts directed against one antigen such</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as CD19</w:t>
      </w:r>
      <w:r w:rsidR="006E4A25">
        <w:rPr>
          <w:rFonts w:ascii="Times New Roman" w:eastAsia="Times New Roman" w:hAnsi="Times New Roman" w:cs="Times New Roman"/>
          <w:sz w:val="24"/>
          <w:szCs w:val="24"/>
        </w:rPr>
        <w:fldChar w:fldCharType="begin"/>
      </w:r>
      <w:r w:rsidR="006E4A25">
        <w:rPr>
          <w:rFonts w:ascii="Times New Roman" w:eastAsia="Times New Roman" w:hAnsi="Times New Roman" w:cs="Times New Roman"/>
          <w:sz w:val="24"/>
          <w:szCs w:val="24"/>
        </w:rPr>
        <w:instrText xml:space="preserve"> ADDIN ZOTERO_ITEM CSL_CITATION {"citationID":"7SL09ycO","properties":{"formattedCitation":"[11]","plainCitation":"[11]","noteIndex":0},"citationItems":[{"id":3952,"uris":["http://zotero.org/users/16652950/items/BRF7DAML"],"itemData":{"id":3952,"type":"article-journal","abstract":"The genetically engineered Chimeric Antigen Receptor bearing T-cell (CAR T cell) therapy has been emerged as the new paradigm of cancer immunotherapy. However, recent studies have reported an increase in the number of relapsed haematological malignancies. This review provides newer insights into how the efficacy of CAR T cells might be increased by the application of new genome editing technologies, monitoring the complexity of tumor types and T cells sub-types. Next, tumor mutation burden along with tumormicroenvironment and epigenetic mechanisms of CAR T cell as well as tumor cell may play a vital role to tackle the cancer resistance mechanisms. These studies highlight the need to consider traditional cancer therapy in conjunction with CAR T cell therapy for relapsed or cases unresponsive to treatment. Of note, this therapy is highly expensive and requires multi-skill for successful implementation, which results in reduction of its accessibility/affordability to the patients. Here, we also propose a model for cost minimization of CAR T cell therapy by a collaboration of academia, hospitals and industry., Immunotherapy, CAR T cells, Tumor mutation burden, Epigenetics, Combination therapy, Affordable; Cell biology; Immunology; Genetics; Proteins; Biochemistry; Molecular biology; Cancer research; Health sciences; Oncology; Clinical research","container-title":"Heliyon","DOI":"10.1016/j.heliyon.2020.e03779","ISSN":"2405-8440","issue":"4","journalAbbreviation":"Heliyon","note":"PMID: 32322738\nPMCID: PMC7171532","page":"e03779","source":"PubMed Central","title":"CAR T cell therapy: newer approaches to counter resistance and cost","title-short":"CAR T cell therapy","volume":"6","author":[{"family":"Yadav","given":"Rajesh Kumar"},{"family":"Ali","given":"Asgar"},{"family":"Kumar","given":"Santosh"},{"family":"Sharma","given":"Alpana"},{"family":"Baghchi","given":"Basab"},{"family":"Singh","given":"Pritanjali"},{"family":"Das","given":"Sushmita"},{"family":"Singh","given":"Chandramani"},{"family":"Sharma","given":"Sadhana"}],"issued":{"date-parts":[["2020",4,16]]}}}],"schema":"https://github.com/citation-style-language/schema/raw/master/csl-citation.json"} </w:instrText>
      </w:r>
      <w:r w:rsidR="006E4A25">
        <w:rPr>
          <w:rFonts w:ascii="Times New Roman" w:eastAsia="Times New Roman" w:hAnsi="Times New Roman" w:cs="Times New Roman"/>
          <w:sz w:val="24"/>
          <w:szCs w:val="24"/>
        </w:rPr>
        <w:fldChar w:fldCharType="separate"/>
      </w:r>
      <w:r w:rsidR="006E4A25" w:rsidRPr="006E4A25">
        <w:rPr>
          <w:rFonts w:ascii="Times New Roman" w:hAnsi="Times New Roman" w:cs="Times New Roman"/>
          <w:sz w:val="24"/>
        </w:rPr>
        <w:t>[11]</w:t>
      </w:r>
      <w:r w:rsidR="006E4A25">
        <w:rPr>
          <w:rFonts w:ascii="Times New Roman" w:eastAsia="Times New Roman" w:hAnsi="Times New Roman" w:cs="Times New Roman"/>
          <w:sz w:val="24"/>
          <w:szCs w:val="24"/>
        </w:rPr>
        <w:fldChar w:fldCharType="end"/>
      </w:r>
      <w:r w:rsidRPr="00C4290D">
        <w:rPr>
          <w:rFonts w:ascii="Times New Roman" w:eastAsia="Times New Roman" w:hAnsi="Times New Roman" w:cs="Times New Roman"/>
          <w:sz w:val="24"/>
          <w:szCs w:val="24"/>
        </w:rPr>
        <w:t>.</w:t>
      </w:r>
    </w:p>
    <w:p w14:paraId="6A6E2B50" w14:textId="578719AA"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Further,</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MHC downregulation is another major mechanism. Neoplasms have the</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potential to down-regulate the major histocompatibility complex class I (MHC-I) molecules that are required for the tumor antigen presentation to cytotoxic T cells. In absence of sufficient antigen presentation,</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there is no immune recognition</w:t>
      </w:r>
      <w:r w:rsidR="006E4A25">
        <w:rPr>
          <w:rFonts w:ascii="Times New Roman" w:eastAsia="Times New Roman" w:hAnsi="Times New Roman" w:cs="Times New Roman"/>
          <w:sz w:val="24"/>
          <w:szCs w:val="24"/>
        </w:rPr>
        <w:fldChar w:fldCharType="begin"/>
      </w:r>
      <w:r w:rsidR="006E4A25">
        <w:rPr>
          <w:rFonts w:ascii="Times New Roman" w:eastAsia="Times New Roman" w:hAnsi="Times New Roman" w:cs="Times New Roman"/>
          <w:sz w:val="24"/>
          <w:szCs w:val="24"/>
        </w:rPr>
        <w:instrText xml:space="preserve"> ADDIN ZOTERO_ITEM CSL_CITATION {"citationID":"rYnnlE0z","properties":{"formattedCitation":"[12]","plainCitation":"[12]","noteIndex":0},"citationItems":[{"id":3959,"uris":["http://zotero.org/users/16652950/items/68RNQCYY"],"itemData":{"id":3959,"type":"article-journal","abstract":"In recent years, major advances have been made in cancer immunotherapy. This has led to significant improvement in prognosis of cancer patients, especially in the hematological setting. Nonetheless, translation of these successes to solid tumors was found difficult. One major mechanism through which solid tumors can avoid anti-tumor immunity is the downregulation of major histocompatibility complex class I (MHC-I), which causes reduced recognition by- and cytotoxicity of CD8+ T-cells. Downregulation of MHC-I has been described in 40–90% of human tumors, often correlating with worse prognosis. Epigenetic and (post-)transcriptional dysregulations relevant in the stabilization of NFkB, IRFs, and NLRC5 are often responsible for MHC-I downregulation in cancer. The intrinsic reversible nature of these dysregulations provides an opportunity to restore MHC-I expression and facilitate adaptive anti-tumor immunity. In this review, we provide an overview of the mechanisms underlying reversible MHC-I downregulation and describe potential strategies to counteract this reduction in MHC-I antigen presentation in cancer.","container-title":"Cancers","DOI":"10.3390/cancers12071760","ISSN":"2072-6694","issue":"7","journalAbbreviation":"Cancers (Basel)","note":"PMID: 32630675\nPMCID: PMC7409324","page":"1760","source":"PubMed Central","title":"MHC Class I Downregulation in Cancer: Underlying Mechanisms and Potential Targets for Cancer Immunotherapy","title-short":"MHC Class I Downregulation in Cancer","volume":"12","author":[{"family":"Cornel","given":"Annelisa M."},{"family":"Mimpen","given":"Iris L."},{"family":"Nierkens","given":"Stefan"}],"issued":{"date-parts":[["2020",7,2]]}}}],"schema":"https://github.com/citation-style-language/schema/raw/master/csl-citation.json"} </w:instrText>
      </w:r>
      <w:r w:rsidR="006E4A25">
        <w:rPr>
          <w:rFonts w:ascii="Times New Roman" w:eastAsia="Times New Roman" w:hAnsi="Times New Roman" w:cs="Times New Roman"/>
          <w:sz w:val="24"/>
          <w:szCs w:val="24"/>
        </w:rPr>
        <w:fldChar w:fldCharType="separate"/>
      </w:r>
      <w:r w:rsidR="006E4A25" w:rsidRPr="006E4A25">
        <w:rPr>
          <w:rFonts w:ascii="Times New Roman" w:hAnsi="Times New Roman" w:cs="Times New Roman"/>
          <w:sz w:val="24"/>
        </w:rPr>
        <w:t>[12]</w:t>
      </w:r>
      <w:r w:rsidR="006E4A25">
        <w:rPr>
          <w:rFonts w:ascii="Times New Roman" w:eastAsia="Times New Roman" w:hAnsi="Times New Roman" w:cs="Times New Roman"/>
          <w:sz w:val="24"/>
          <w:szCs w:val="24"/>
        </w:rPr>
        <w:fldChar w:fldCharType="end"/>
      </w:r>
      <w:r w:rsidRPr="00C4290D">
        <w:rPr>
          <w:rFonts w:ascii="Times New Roman" w:eastAsia="Times New Roman" w:hAnsi="Times New Roman" w:cs="Times New Roman"/>
          <w:sz w:val="24"/>
          <w:szCs w:val="24"/>
        </w:rPr>
        <w:t>.</w:t>
      </w:r>
    </w:p>
    <w:p w14:paraId="1F809ED1" w14:textId="77777777"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lastRenderedPageBreak/>
        <w:t>Furthermore, tumors frequently overexpress alternative immune checkpoints other than PD-1 and CTLA-4 (including TIM-3, LAG-3, and TIGIT), thus being able to inhibit T cell function</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with redundant inhibitory signals.</w:t>
      </w:r>
    </w:p>
    <w:p w14:paraId="245969FB" w14:textId="2D7C22AF"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Genetic mutations also play a role in</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immune escape. For example, mutations in β2-microglobulin (B2M),</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a component of MHC-I, results in no surface MHC expression. Likewise, the loss-of-function mutations of JAK1/2 suppress the</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interferon pathway and decrease PD-L1 expression to escape immune surveillance</w:t>
      </w:r>
      <w:r w:rsidR="006E4A25">
        <w:rPr>
          <w:rFonts w:ascii="Times New Roman" w:eastAsia="Times New Roman" w:hAnsi="Times New Roman" w:cs="Times New Roman"/>
          <w:sz w:val="24"/>
          <w:szCs w:val="24"/>
        </w:rPr>
        <w:fldChar w:fldCharType="begin"/>
      </w:r>
      <w:r w:rsidR="006E4A25">
        <w:rPr>
          <w:rFonts w:ascii="Times New Roman" w:eastAsia="Times New Roman" w:hAnsi="Times New Roman" w:cs="Times New Roman"/>
          <w:sz w:val="24"/>
          <w:szCs w:val="24"/>
        </w:rPr>
        <w:instrText xml:space="preserve"> ADDIN ZOTERO_ITEM CSL_CITATION {"citationID":"hcAvpWZE","properties":{"formattedCitation":"[13]","plainCitation":"[13]","noteIndex":0},"citationItems":[{"id":3963,"uris":["http://zotero.org/users/16652950/items/33MSEVDH"],"itemData":{"id":3963,"type":"article-journal","abstract":"Antibodies that block T cell inhibition via the immune checkpoints CTLA-4 and PD-1 have revolutionized cancer therapy during the last 15 years. T cells express additional inhibitory surface receptors that are considered to have potential as targets in cancer immunotherapy. Antibodies against LAG-3 and TIM-3 are currently clinically tested to evaluate their effectiveness in patients suffering from advanced solid tumors or hematologic malignancies. In addition, blockade of the inhibitory BTLA receptors on human T cells may have potential to unleash T cells to effectively combat cancer cells. Much research on these immune checkpoints has focused on mouse models. The analysis of animals that lack individual inhibitory receptors has shed some light on the role of these molecules in regulating T cells, but also immune responses in general. There are current intensive efforts to gauge the efficacy of antibodies targeting these molecules called immune checkpoint inhibitors alone or in different combinations in preclinical models of cancer. Differences between mouse and human immunology warrant studies on human immune cells to appreciate the potential of individual pathways in enhancing T cell responses. Results from clinical studies are not only highlighting the great benefit of immune checkpoint inhibitors for treating cancer but also yield precious information on their role in regulating T cells and other cells of the immune system. However, despite the clinical relevance of CTLA-4 and PD-1 and the high potential of the emerging immune checkpoints, there are still substantial gaps in our understanding of the biology of these molecules, which might prevent the full realization of their therapeutic potential. This review addresses PD-1, CTLA-4, BTLA, LAG-3, and TIM-3, which are considered major inhibitory immune checkpoints expressed on T cells. It provides summaries of our current conception of the role of these molecules in regulating T cell responses, and discussions about major ambiguities and gaps in our knowledge. We emphasize that each of these molecules harbors unique properties that set it apart from the others. Their distinct functional profiles should be taken into account in therapeutic strategies that aim to exploit these pathways to enhance immune responses to combat cancer.","container-title":"Frontiers in Immunology","DOI":"10.3389/fimmu.2018.01909","ISSN":"1664-3224","journalAbbreviation":"Front. Immunol.","language":"English","note":"publisher: Frontiers","source":"Frontiers","title":"Not All Immune Checkpoints Are Created Equal","URL":"https://www.frontiersin.org/journals/immunology/articles/10.3389/fimmu.2018.01909/full","volume":"9","author":[{"family":"De Sousa Linhares","given":"Annika"},{"family":"Leitner","given":"Judith"},{"family":"Grabmeier-Pfistershammer","given":"Katharina"},{"family":"Steinberger","given":"Peter"}],"accessed":{"date-parts":[["2025",6,18]]},"issued":{"date-parts":[["2018",8,31]]}}}],"schema":"https://github.com/citation-style-language/schema/raw/master/csl-citation.json"} </w:instrText>
      </w:r>
      <w:r w:rsidR="006E4A25">
        <w:rPr>
          <w:rFonts w:ascii="Times New Roman" w:eastAsia="Times New Roman" w:hAnsi="Times New Roman" w:cs="Times New Roman"/>
          <w:sz w:val="24"/>
          <w:szCs w:val="24"/>
        </w:rPr>
        <w:fldChar w:fldCharType="separate"/>
      </w:r>
      <w:r w:rsidR="006E4A25" w:rsidRPr="006E4A25">
        <w:rPr>
          <w:rFonts w:ascii="Times New Roman" w:hAnsi="Times New Roman" w:cs="Times New Roman"/>
          <w:sz w:val="24"/>
        </w:rPr>
        <w:t>[13]</w:t>
      </w:r>
      <w:r w:rsidR="006E4A25">
        <w:rPr>
          <w:rFonts w:ascii="Times New Roman" w:eastAsia="Times New Roman" w:hAnsi="Times New Roman" w:cs="Times New Roman"/>
          <w:sz w:val="24"/>
          <w:szCs w:val="24"/>
        </w:rPr>
        <w:fldChar w:fldCharType="end"/>
      </w:r>
      <w:r w:rsidRPr="00C4290D">
        <w:rPr>
          <w:rFonts w:ascii="Times New Roman" w:eastAsia="Times New Roman" w:hAnsi="Times New Roman" w:cs="Times New Roman"/>
          <w:sz w:val="24"/>
          <w:szCs w:val="24"/>
        </w:rPr>
        <w:t>.</w:t>
      </w:r>
    </w:p>
    <w:p w14:paraId="1543828D" w14:textId="42C31892"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 xml:space="preserve">Finally, the large </w:t>
      </w:r>
      <w:proofErr w:type="spellStart"/>
      <w:r w:rsidRPr="00C4290D">
        <w:rPr>
          <w:rFonts w:ascii="Times New Roman" w:eastAsia="Times New Roman" w:hAnsi="Times New Roman" w:cs="Times New Roman"/>
          <w:sz w:val="24"/>
          <w:szCs w:val="24"/>
        </w:rPr>
        <w:t>oncomolecular</w:t>
      </w:r>
      <w:proofErr w:type="spellEnd"/>
      <w:r w:rsidRPr="00C4290D">
        <w:rPr>
          <w:rFonts w:ascii="Times New Roman" w:eastAsia="Times New Roman" w:hAnsi="Times New Roman" w:cs="Times New Roman"/>
          <w:sz w:val="24"/>
          <w:szCs w:val="24"/>
        </w:rPr>
        <w:t xml:space="preserve"> pathways,</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 xml:space="preserve">including WNT/β-catenin and PI3K-AKT </w:t>
      </w:r>
      <w:proofErr w:type="spellStart"/>
      <w:r w:rsidRPr="00C4290D">
        <w:rPr>
          <w:rFonts w:ascii="Times New Roman" w:eastAsia="Times New Roman" w:hAnsi="Times New Roman" w:cs="Times New Roman"/>
          <w:sz w:val="24"/>
          <w:szCs w:val="24"/>
        </w:rPr>
        <w:t>oncomolecular</w:t>
      </w:r>
      <w:proofErr w:type="spellEnd"/>
      <w:r w:rsidRPr="00C4290D">
        <w:rPr>
          <w:rFonts w:ascii="Times New Roman" w:eastAsia="Times New Roman" w:hAnsi="Times New Roman" w:cs="Times New Roman"/>
          <w:sz w:val="24"/>
          <w:szCs w:val="24"/>
        </w:rPr>
        <w:t xml:space="preserve"> pathways, are also related to low T-cell infiltration and antigen presenting dysfunction. Both pathways regulate tumor immune landscape at a molecular level that affect immune </w:t>
      </w:r>
      <w:r w:rsidR="006E4A25">
        <w:rPr>
          <w:rFonts w:ascii="Times New Roman" w:eastAsia="Times New Roman" w:hAnsi="Times New Roman" w:cs="Times New Roman"/>
          <w:sz w:val="24"/>
          <w:szCs w:val="24"/>
        </w:rPr>
        <w:t>system</w:t>
      </w:r>
      <w:r w:rsidR="006E4A25">
        <w:rPr>
          <w:rFonts w:ascii="Times New Roman" w:eastAsia="Times New Roman" w:hAnsi="Times New Roman" w:cs="Times New Roman"/>
          <w:sz w:val="24"/>
          <w:szCs w:val="24"/>
        </w:rPr>
        <w:fldChar w:fldCharType="begin"/>
      </w:r>
      <w:r w:rsidR="006E4A25">
        <w:rPr>
          <w:rFonts w:ascii="Times New Roman" w:eastAsia="Times New Roman" w:hAnsi="Times New Roman" w:cs="Times New Roman"/>
          <w:sz w:val="24"/>
          <w:szCs w:val="24"/>
        </w:rPr>
        <w:instrText xml:space="preserve"> ADDIN ZOTERO_ITEM CSL_CITATION {"citationID":"8b9leZrX","properties":{"formattedCitation":"[14]","plainCitation":"[14]","noteIndex":0},"citationItems":[{"id":3965,"uris":["http://zotero.org/users/16652950/items/2NCDMIUN"],"itemData":{"id":3965,"type":"article-journal","abstract":"Background:\nThe T cell-inflamed phenotype correlates with efficacy of immune-checkpoint blockade while non-T cell-inflamed tumors infrequently benefit. Tumor-intrinsic WNT/β-catenin signaling mediates immune exclusion in melanoma, but association with the non-T cell-inflamed tumor microenvironment in other tumor types is not well understood.\n\nMethods:\nUsing The Cancer Genome Atlas (TCGA), a T cell-inflamed gene expression signature segregated samples within tumor types. Activation of WNT/β-catenin signaling was inferred using three approaches: somatic mutations or somatic copy number alterations (SCNAs) in β-catenin signaling elements including CTNNB1, APC, APC2, AXIN1, AXIN2; pathway prediction from RNAseq gene expression; and inverse correlation of β-catenin protein levels with the T cell-inflamed gene expression signature.\n\nResults:\nAcross TCGA, 3137/9244 (33.9%) tumors were non-T cell-inflamed while 3161/9244 (34.2%) were T cell-inflamed. Non-T cell-inflamed tumors demonstrated significantly lower expression of T cell inflammation genes relative to matched normal tissue, arguing for loss of a natural immune phenotype. Mutations of β-catenin signaling molecules in non-T cell-inflamed tumors were enriched three-fold relative to T cell-inflamed tumors. Across 31 tumors, 28 (90%) demonstrated activated β-catenin signaling in the non-T cell-inflamed subset by at least one method. This included target molecule expression from somatic mutations and/or SCNAs of β-catenin signaling elements (19 tumors, 61%), pathway analysis (14 tumors, 45%), and increased β-catenin protein levels (20 tumors, 65%).\n\nConclusions:\nActivation of tumor-intrinsic WNT/β-catenin signaling is enriched in non-T cell-inflamed tumors. These data provide a strong rationale for development of pharmacologic inhibitors of this pathway with the aim of restoring immune cell infiltration and augmenting immunotherapy.","container-title":"Clinical cancer research : an official journal of the American Association for Cancer Research","DOI":"10.1158/1078-0432.CCR-18-1942","ISSN":"1078-0432","issue":"10","journalAbbreviation":"Clin Cancer Res","note":"PMID: 30635339\nPMCID: PMC6522301","page":"3074-3083","source":"PubMed Central","title":"WNT/β-catenin pathway activation correlates with immune exclusion across human cancers","volume":"25","author":[{"family":"Luke","given":"Jason J."},{"family":"Bao","given":"Riyue"},{"family":"Sweis","given":"Randy"},{"family":"Spranger","given":"Stefani"},{"family":"Gajewski","given":"Thomas F."}],"issued":{"date-parts":[["2019",5,15]]}}}],"schema":"https://github.com/citation-style-language/schema/raw/master/csl-citation.json"} </w:instrText>
      </w:r>
      <w:r w:rsidR="006E4A25">
        <w:rPr>
          <w:rFonts w:ascii="Times New Roman" w:eastAsia="Times New Roman" w:hAnsi="Times New Roman" w:cs="Times New Roman"/>
          <w:sz w:val="24"/>
          <w:szCs w:val="24"/>
        </w:rPr>
        <w:fldChar w:fldCharType="separate"/>
      </w:r>
      <w:r w:rsidR="006E4A25" w:rsidRPr="006E4A25">
        <w:rPr>
          <w:rFonts w:ascii="Times New Roman" w:hAnsi="Times New Roman" w:cs="Times New Roman"/>
          <w:sz w:val="24"/>
        </w:rPr>
        <w:t>[14]</w:t>
      </w:r>
      <w:r w:rsidR="006E4A25">
        <w:rPr>
          <w:rFonts w:ascii="Times New Roman" w:eastAsia="Times New Roman" w:hAnsi="Times New Roman" w:cs="Times New Roman"/>
          <w:sz w:val="24"/>
          <w:szCs w:val="24"/>
        </w:rPr>
        <w:fldChar w:fldCharType="end"/>
      </w:r>
    </w:p>
    <w:p w14:paraId="76136703" w14:textId="77777777" w:rsidR="00913684" w:rsidRDefault="00913684" w:rsidP="00913684">
      <w:pPr>
        <w:pStyle w:val="Heading4"/>
      </w:pPr>
      <w:r>
        <w:rPr>
          <w:rStyle w:val="Strong"/>
          <w:b/>
          <w:bCs/>
        </w:rPr>
        <w:t>3.2 Tumor Microenvironment (TME)-Mediated Resistance</w:t>
      </w:r>
    </w:p>
    <w:p w14:paraId="7A029CAC" w14:textId="77777777"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The tumor microenvironment is a major facilitator of immune escape, consisting of immune</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cells, stromal cells, vasculature, and extracellular matrix elements.</w:t>
      </w:r>
    </w:p>
    <w:p w14:paraId="51417802" w14:textId="35D6D18B"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One main characteristic is the prevalence of immunosuppressive</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cells such as Tregs, MDSCs and TAMs. These cells produce cytokines, such as IL-10 and TGF-β, that block inflammation by suppressing effector T</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cell activation and inducing immune tolerance</w:t>
      </w:r>
      <w:r w:rsidR="006E4A25">
        <w:rPr>
          <w:rFonts w:ascii="Times New Roman" w:eastAsia="Times New Roman" w:hAnsi="Times New Roman" w:cs="Times New Roman"/>
          <w:sz w:val="24"/>
          <w:szCs w:val="24"/>
        </w:rPr>
        <w:fldChar w:fldCharType="begin"/>
      </w:r>
      <w:r w:rsidR="006E4A25">
        <w:rPr>
          <w:rFonts w:ascii="Times New Roman" w:eastAsia="Times New Roman" w:hAnsi="Times New Roman" w:cs="Times New Roman"/>
          <w:sz w:val="24"/>
          <w:szCs w:val="24"/>
        </w:rPr>
        <w:instrText xml:space="preserve"> ADDIN ZOTERO_ITEM CSL_CITATION {"citationID":"J86gSzgY","properties":{"formattedCitation":"[15]","plainCitation":"[15]","noteIndex":0},"citationItems":[{"id":3971,"uris":["http://zotero.org/users/16652950/items/EJJ9IPUU"],"itemData":{"id":3971,"type":"article-journal","abstract":"Myeloid-derived suppressor cells (MDSCs) are a heterogenic population of immature myeloid cells with immunosuppressive effects, which undergo massive expansion during tumor progression. These cells not only support immune escape directly but also promote tumor invasion via various non-immunological activities. Besides, this group of cells are proved to impair the efficiency of current antitumor strategies such as chemotherapy, radiotherapy, and immunotherapy. Therefore, MDSCs are considered as potential therapeutic targets for cancer therapy. Treatment strategies targeting MDSCs have shown promising outcomes in both preclinical studies and clinical trials when administrated alone, or in combination with other anticancer therapies. In this review, we shed new light on recent advances in the biological characteristics and immunosuppressive functions of MDSCs. We also hope to propose an overview of current MDSCs-targeting therapies so as to provide new ideas for cancer treatment.","container-title":"Signal Transduction and Targeted Therapy","DOI":"10.1038/s41392-021-00670-9","ISSN":"2059-3635","issue":"1","journalAbbreviation":"Sig Transduct Target Ther","language":"en","license":"2021 The Author(s)","note":"publisher: Nature Publishing Group","page":"362","source":"www.nature.com","title":"Myeloid-derived suppressor cells as immunosuppressive regulators and therapeutic targets in cancer","volume":"6","author":[{"family":"Li","given":"Kai"},{"family":"Shi","given":"Houhui"},{"family":"Zhang","given":"Benxia"},{"family":"Ou","given":"Xuejin"},{"family":"Ma","given":"Qizhi"},{"family":"Chen","given":"Yue"},{"family":"Shu","given":"Pei"},{"family":"Li","given":"Dan"},{"family":"Wang","given":"Yongsheng"}],"issued":{"date-parts":[["2021",10,7]]}}}],"schema":"https://github.com/citation-style-language/schema/raw/master/csl-citation.json"} </w:instrText>
      </w:r>
      <w:r w:rsidR="006E4A25">
        <w:rPr>
          <w:rFonts w:ascii="Times New Roman" w:eastAsia="Times New Roman" w:hAnsi="Times New Roman" w:cs="Times New Roman"/>
          <w:sz w:val="24"/>
          <w:szCs w:val="24"/>
        </w:rPr>
        <w:fldChar w:fldCharType="separate"/>
      </w:r>
      <w:r w:rsidR="006E4A25" w:rsidRPr="006E4A25">
        <w:rPr>
          <w:rFonts w:ascii="Times New Roman" w:hAnsi="Times New Roman" w:cs="Times New Roman"/>
          <w:sz w:val="24"/>
        </w:rPr>
        <w:t>[15]</w:t>
      </w:r>
      <w:r w:rsidR="006E4A25">
        <w:rPr>
          <w:rFonts w:ascii="Times New Roman" w:eastAsia="Times New Roman" w:hAnsi="Times New Roman" w:cs="Times New Roman"/>
          <w:sz w:val="24"/>
          <w:szCs w:val="24"/>
        </w:rPr>
        <w:fldChar w:fldCharType="end"/>
      </w:r>
      <w:r w:rsidRPr="00C4290D">
        <w:rPr>
          <w:rFonts w:ascii="Times New Roman" w:eastAsia="Times New Roman" w:hAnsi="Times New Roman" w:cs="Times New Roman"/>
          <w:sz w:val="24"/>
          <w:szCs w:val="24"/>
        </w:rPr>
        <w:t>.</w:t>
      </w:r>
    </w:p>
    <w:p w14:paraId="57A5B293" w14:textId="2BEB824E"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Metabolic limitations in the</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 xml:space="preserve">TME are also significantly contributory. </w:t>
      </w:r>
      <w:proofErr w:type="spellStart"/>
      <w:r w:rsidRPr="00C4290D">
        <w:rPr>
          <w:rFonts w:ascii="Times New Roman" w:eastAsia="Times New Roman" w:hAnsi="Times New Roman" w:cs="Times New Roman"/>
          <w:sz w:val="24"/>
          <w:szCs w:val="24"/>
        </w:rPr>
        <w:t>Tumours</w:t>
      </w:r>
      <w:proofErr w:type="spellEnd"/>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 xml:space="preserve">are avid consumers of glucose and oxygen and as a result, they form </w:t>
      </w:r>
      <w:proofErr w:type="gramStart"/>
      <w:r w:rsidRPr="00C4290D">
        <w:rPr>
          <w:rFonts w:ascii="Times New Roman" w:eastAsia="Times New Roman" w:hAnsi="Times New Roman" w:cs="Times New Roman"/>
          <w:sz w:val="24"/>
          <w:szCs w:val="24"/>
        </w:rPr>
        <w:t>an</w:t>
      </w:r>
      <w:proofErr w:type="gramEnd"/>
      <w:r w:rsidRPr="00C4290D">
        <w:rPr>
          <w:rFonts w:ascii="Times New Roman" w:eastAsia="Times New Roman" w:hAnsi="Times New Roman" w:cs="Times New Roman"/>
          <w:sz w:val="24"/>
          <w:szCs w:val="24"/>
        </w:rPr>
        <w:t xml:space="preserve"> hypoxic, acidic and nutrient-starved environment. High</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concentration of lactic acid as well as low concentration of glucose in turn suppresses metabolism and function of T cells causing them to become exhausted</w:t>
      </w:r>
      <w:r w:rsidR="006E4A25">
        <w:rPr>
          <w:rFonts w:ascii="Times New Roman" w:eastAsia="Times New Roman" w:hAnsi="Times New Roman" w:cs="Times New Roman"/>
          <w:sz w:val="24"/>
          <w:szCs w:val="24"/>
        </w:rPr>
        <w:fldChar w:fldCharType="begin"/>
      </w:r>
      <w:r w:rsidR="006E4A25">
        <w:rPr>
          <w:rFonts w:ascii="Times New Roman" w:eastAsia="Times New Roman" w:hAnsi="Times New Roman" w:cs="Times New Roman"/>
          <w:sz w:val="24"/>
          <w:szCs w:val="24"/>
        </w:rPr>
        <w:instrText xml:space="preserve"> ADDIN ZOTERO_ITEM CSL_CITATION {"citationID":"3vkzQ83p","properties":{"formattedCitation":"[16]","plainCitation":"[16]","noteIndex":0},"citationItems":[{"id":3974,"uris":["http://zotero.org/users/16652950/items/JKEWPHPC"],"itemData":{"id":3974,"type":"article-journal","abstract":"Metabolic transformation is a hallmark of cancer and a critical target for cancer therapy. Cancer metabolism and behavior are regulated by cell-intrinsic factors, as well as metabolite availability in the tumor microenvironment (TME). This metabolic niche within the TME is shaped by four tiers of regulation, including: 1) intrinsic tumor cell metabolism, 2) interactions between cancer and non-cancerous cells, 3) tumor location and heterogeneity, and 4) whole-body metabolic homeostasis. Here, we will define these modes of metabolic regulation and review how distinct cell types contribute to the metabolite composition of the TME. Finally, we will connect these insights to understand how each of these tiers offers a unique therapeutic potential to modulate the metabolic profile and function of all cells inhabiting the TME.","container-title":"Nature metabolism","DOI":"10.1038/s42255-020-00317-z","ISSN":"2522-5812","issue":"1","journalAbbreviation":"Nat Metab","note":"PMID: 33398194\nPMCID: PMC8097259","page":"21-32","source":"PubMed Central","title":"Metabolites and the tumor microenvironment: from cellular mechanisms to systemic metabolism","title-short":"Metabolites and the tumor microenvironment","volume":"3","author":[{"family":"Elia","given":"Ilaria"},{"family":"Haigis","given":"Marcia C."}],"issued":{"date-parts":[["2021",1]]}}}],"schema":"https://github.com/citation-style-language/schema/raw/master/csl-citation.json"} </w:instrText>
      </w:r>
      <w:r w:rsidR="006E4A25">
        <w:rPr>
          <w:rFonts w:ascii="Times New Roman" w:eastAsia="Times New Roman" w:hAnsi="Times New Roman" w:cs="Times New Roman"/>
          <w:sz w:val="24"/>
          <w:szCs w:val="24"/>
        </w:rPr>
        <w:fldChar w:fldCharType="separate"/>
      </w:r>
      <w:r w:rsidR="006E4A25" w:rsidRPr="006E4A25">
        <w:rPr>
          <w:rFonts w:ascii="Times New Roman" w:hAnsi="Times New Roman" w:cs="Times New Roman"/>
          <w:sz w:val="24"/>
        </w:rPr>
        <w:t>[16]</w:t>
      </w:r>
      <w:r w:rsidR="006E4A25">
        <w:rPr>
          <w:rFonts w:ascii="Times New Roman" w:eastAsia="Times New Roman" w:hAnsi="Times New Roman" w:cs="Times New Roman"/>
          <w:sz w:val="24"/>
          <w:szCs w:val="24"/>
        </w:rPr>
        <w:fldChar w:fldCharType="end"/>
      </w:r>
      <w:r w:rsidRPr="00C4290D">
        <w:rPr>
          <w:rFonts w:ascii="Times New Roman" w:eastAsia="Times New Roman" w:hAnsi="Times New Roman" w:cs="Times New Roman"/>
          <w:sz w:val="24"/>
          <w:szCs w:val="24"/>
        </w:rPr>
        <w:t>.</w:t>
      </w:r>
    </w:p>
    <w:p w14:paraId="0AC0A70B" w14:textId="77777777"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In certain cancers, fibrotic barriers, such as cancer-associated</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fibroblasts (CAFs) and a thick extracellular matrix (ECM), mechanically hinder T cell entry and drug delivery. This is</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most evident in pancreatic and colorectal cancer.</w:t>
      </w:r>
    </w:p>
    <w:p w14:paraId="1BD50B38" w14:textId="047D538E"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In addition, expression of checkpoint ligands in TME is another resistance</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mechanism. For instance, chronic exposure to interferon-gamma (</w:t>
      </w:r>
      <w:proofErr w:type="spellStart"/>
      <w:r w:rsidRPr="00C4290D">
        <w:rPr>
          <w:rFonts w:ascii="Times New Roman" w:eastAsia="Times New Roman" w:hAnsi="Times New Roman" w:cs="Times New Roman"/>
          <w:sz w:val="24"/>
          <w:szCs w:val="24"/>
        </w:rPr>
        <w:t>IFNγ</w:t>
      </w:r>
      <w:proofErr w:type="spellEnd"/>
      <w:r w:rsidRPr="00C4290D">
        <w:rPr>
          <w:rFonts w:ascii="Times New Roman" w:eastAsia="Times New Roman" w:hAnsi="Times New Roman" w:cs="Times New Roman"/>
          <w:sz w:val="24"/>
          <w:szCs w:val="24"/>
        </w:rPr>
        <w:t>), produced by activated T cells,</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can lead to sustained PD-L1 expression on tumor and stromal cells, resulting in an immunosuppressive feedback mechanism</w:t>
      </w:r>
      <w:r w:rsidR="0025309B">
        <w:rPr>
          <w:rFonts w:ascii="Times New Roman" w:eastAsia="Times New Roman" w:hAnsi="Times New Roman" w:cs="Times New Roman"/>
          <w:sz w:val="24"/>
          <w:szCs w:val="24"/>
        </w:rPr>
        <w:fldChar w:fldCharType="begin"/>
      </w:r>
      <w:r w:rsidR="0025309B">
        <w:rPr>
          <w:rFonts w:ascii="Times New Roman" w:eastAsia="Times New Roman" w:hAnsi="Times New Roman" w:cs="Times New Roman"/>
          <w:sz w:val="24"/>
          <w:szCs w:val="24"/>
        </w:rPr>
        <w:instrText xml:space="preserve"> ADDIN ZOTERO_ITEM CSL_CITATION {"citationID":"H9ILxxhf","properties":{"formattedCitation":"[17]","plainCitation":"[17]","noteIndex":0},"citationItems":[{"id":3979,"uris":["http://zotero.org/users/16652950/items/ZNJQRVX8"],"itemData":{"id":3979,"type":"article-journal","abstract":"Expression of programmed death-ligand 1 (PD-L1) is frequently observed in\nhuman cancers. Binding of PD-L1 to its receptor PD-1 on activated T cells\ninhibits anti-tumor immunity by counteracting T cell-activating signals.\nAntibody-based PD-1-PD-L1 inhibitors can induce durable tumor remissions in\npatients with diverse advanced cancers, and thus expression of PD-L1 on tumor\ncells and other cells in the tumor microenviroment is of major clinical\nrelevance. Here we review the roles of the PD-1-PD-L1 axis in cancer, focusing\non recent findings on the mechanisms that regulate PD-L1 expression at the\ntranscriptional, posttranscriptional, and protein level. We place this knowledge\nin the context of observations in the clinic and discuss how it may inform the\ndesign of more precise and effective cancer immune checkpoint therapies.","container-title":"Immunity","DOI":"10.1016/j.immuni.2018.03.014","ISSN":"1074-7613","issue":"3","journalAbbreviation":"Immunity","note":"PMID: 29562194\nPMCID: PMC7116507","page":"434-452","source":"PubMed Central","title":"Regulation and Function of the PD-L1 Checkpoint","volume":"48","author":[{"family":"Sun","given":"Chong"},{"family":"Mezzadra","given":"Riccardo"},{"family":"Schumacher","given":"Ton N."}],"issued":{"date-parts":[["2018",3,20]]}}}],"schema":"https://github.com/citation-style-language/schema/raw/master/csl-citation.json"} </w:instrText>
      </w:r>
      <w:r w:rsidR="0025309B">
        <w:rPr>
          <w:rFonts w:ascii="Times New Roman" w:eastAsia="Times New Roman" w:hAnsi="Times New Roman" w:cs="Times New Roman"/>
          <w:sz w:val="24"/>
          <w:szCs w:val="24"/>
        </w:rPr>
        <w:fldChar w:fldCharType="separate"/>
      </w:r>
      <w:r w:rsidR="0025309B" w:rsidRPr="0025309B">
        <w:rPr>
          <w:rFonts w:ascii="Times New Roman" w:hAnsi="Times New Roman" w:cs="Times New Roman"/>
          <w:sz w:val="24"/>
        </w:rPr>
        <w:t>[17]</w:t>
      </w:r>
      <w:r w:rsidR="0025309B">
        <w:rPr>
          <w:rFonts w:ascii="Times New Roman" w:eastAsia="Times New Roman" w:hAnsi="Times New Roman" w:cs="Times New Roman"/>
          <w:sz w:val="24"/>
          <w:szCs w:val="24"/>
        </w:rPr>
        <w:fldChar w:fldCharType="end"/>
      </w:r>
      <w:r w:rsidRPr="00C4290D">
        <w:rPr>
          <w:rFonts w:ascii="Times New Roman" w:eastAsia="Times New Roman" w:hAnsi="Times New Roman" w:cs="Times New Roman"/>
          <w:sz w:val="24"/>
          <w:szCs w:val="24"/>
        </w:rPr>
        <w:t>.</w:t>
      </w:r>
    </w:p>
    <w:p w14:paraId="3DDBC53B" w14:textId="77777777" w:rsidR="00913684" w:rsidRDefault="00913684" w:rsidP="00913684">
      <w:pPr>
        <w:pStyle w:val="Heading4"/>
      </w:pPr>
      <w:r>
        <w:rPr>
          <w:rStyle w:val="Strong"/>
          <w:b/>
          <w:bCs/>
        </w:rPr>
        <w:t>3.3 Host and Systemic Factors</w:t>
      </w:r>
    </w:p>
    <w:p w14:paraId="25942CD0" w14:textId="77777777"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In addition, apart from the tumor and microenvironment, host factors</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also influence the response to immunotherapy.</w:t>
      </w:r>
    </w:p>
    <w:p w14:paraId="4087FBDB" w14:textId="3546DDDD"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Recent studies have highlighted the substantial</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 xml:space="preserve">role of the gut microbiome in shaping immunity. Several studies proved that certain bacteria (i.e., </w:t>
      </w:r>
      <w:proofErr w:type="spellStart"/>
      <w:r w:rsidRPr="00C4290D">
        <w:rPr>
          <w:rFonts w:ascii="Times New Roman" w:eastAsia="Times New Roman" w:hAnsi="Times New Roman" w:cs="Times New Roman"/>
          <w:sz w:val="24"/>
          <w:szCs w:val="24"/>
        </w:rPr>
        <w:t>Akkermansia</w:t>
      </w:r>
      <w:proofErr w:type="spellEnd"/>
      <w:r w:rsidRPr="00C4290D">
        <w:rPr>
          <w:rFonts w:ascii="Times New Roman" w:eastAsia="Times New Roman" w:hAnsi="Times New Roman" w:cs="Times New Roman"/>
          <w:sz w:val="24"/>
          <w:szCs w:val="24"/>
        </w:rPr>
        <w:t xml:space="preserve"> </w:t>
      </w:r>
      <w:proofErr w:type="spellStart"/>
      <w:r w:rsidRPr="00C4290D">
        <w:rPr>
          <w:rFonts w:ascii="Times New Roman" w:eastAsia="Times New Roman" w:hAnsi="Times New Roman" w:cs="Times New Roman"/>
          <w:sz w:val="24"/>
          <w:szCs w:val="24"/>
        </w:rPr>
        <w:t>muciniphila</w:t>
      </w:r>
      <w:proofErr w:type="spellEnd"/>
      <w:r w:rsidRPr="00C4290D">
        <w:rPr>
          <w:rFonts w:ascii="Times New Roman" w:eastAsia="Times New Roman" w:hAnsi="Times New Roman" w:cs="Times New Roman"/>
          <w:sz w:val="24"/>
          <w:szCs w:val="24"/>
        </w:rPr>
        <w:t>, Bifidobacterium) promote checkpoint inhibitor efficacy, and that antibiotic administration or dysbiosis can</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hamper treatment responses</w:t>
      </w:r>
      <w:r w:rsidR="0025309B">
        <w:rPr>
          <w:rFonts w:ascii="Times New Roman" w:eastAsia="Times New Roman" w:hAnsi="Times New Roman" w:cs="Times New Roman"/>
          <w:sz w:val="24"/>
          <w:szCs w:val="24"/>
        </w:rPr>
        <w:fldChar w:fldCharType="begin"/>
      </w:r>
      <w:r w:rsidR="0025309B">
        <w:rPr>
          <w:rFonts w:ascii="Times New Roman" w:eastAsia="Times New Roman" w:hAnsi="Times New Roman" w:cs="Times New Roman"/>
          <w:sz w:val="24"/>
          <w:szCs w:val="24"/>
        </w:rPr>
        <w:instrText xml:space="preserve"> ADDIN ZOTERO_ITEM CSL_CITATION {"citationID":"RgdaV0cL","properties":{"formattedCitation":"[18]","plainCitation":"[18]","noteIndex":0},"citationItems":[{"id":2696,"uris":["http://zotero.org/users/16652950/items/JRQXD64C"],"itemData":{"id":2696,"type":"article-journal","container-title":"Asian Journal of Research and Reports in Endocrinology","DOI":"10.9734/ajrre/2025/v8i1110","issue":"1","language":"en","page":"94-109","source":"journalajrre.com","title":"Modulating Gut Microbiota for Precision Medicine in Diabetes: A Paradigm Shift in Personalized Treatment Strategies","title-short":"Modulating Gut Microbiota for Precision Medicine in Diabetes","volume":"8","author":[{"family":"Lawal","given":"Olabisi Promise"},{"family":"Adekunle","given":"Joshua Favour"},{"family":"Abiodun","given":"Adebiyi Victor"},{"family":"Orobator","given":"Enibokun Theresa"},{"family":"Agbo","given":"Okabeonye Sunday"},{"family":"Ugoagwu","given":"Kingsley Ugonna"},{"family":"Akintayo","given":"Elizabeth Anuoluwa"},{"family":"Olaniyi","given":"Aliyu Olanrewaju"},{"family":"Otabil","given":"Caleb"},{"family":"Mandal","given":"Madhumati"},{"family":"Elechi","given":"Kelechi Wisdom"}],"issued":{"date-parts":[["2025",5,21]]}}}],"schema":"https://github.com/citation-style-language/schema/raw/master/csl-citation.json"} </w:instrText>
      </w:r>
      <w:r w:rsidR="0025309B">
        <w:rPr>
          <w:rFonts w:ascii="Times New Roman" w:eastAsia="Times New Roman" w:hAnsi="Times New Roman" w:cs="Times New Roman"/>
          <w:sz w:val="24"/>
          <w:szCs w:val="24"/>
        </w:rPr>
        <w:fldChar w:fldCharType="separate"/>
      </w:r>
      <w:r w:rsidR="0025309B" w:rsidRPr="0025309B">
        <w:rPr>
          <w:rFonts w:ascii="Times New Roman" w:hAnsi="Times New Roman" w:cs="Times New Roman"/>
          <w:sz w:val="24"/>
        </w:rPr>
        <w:t>[18]</w:t>
      </w:r>
      <w:r w:rsidR="0025309B">
        <w:rPr>
          <w:rFonts w:ascii="Times New Roman" w:eastAsia="Times New Roman" w:hAnsi="Times New Roman" w:cs="Times New Roman"/>
          <w:sz w:val="24"/>
          <w:szCs w:val="24"/>
        </w:rPr>
        <w:fldChar w:fldCharType="end"/>
      </w:r>
      <w:r w:rsidRPr="00C4290D">
        <w:rPr>
          <w:rFonts w:ascii="Times New Roman" w:eastAsia="Times New Roman" w:hAnsi="Times New Roman" w:cs="Times New Roman"/>
          <w:sz w:val="24"/>
          <w:szCs w:val="24"/>
        </w:rPr>
        <w:t>.</w:t>
      </w:r>
    </w:p>
    <w:p w14:paraId="3BD5E7A9" w14:textId="77777777"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lastRenderedPageBreak/>
        <w:t>Genetic background, especially HLA</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polymorphism, determines the range of antigens that can be presented and that the immune repertoire can cover. Patients bearing some HLA alleles</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might express a more diverse repertoire of tumoral neo-antigens allowing better immune recognition.</w:t>
      </w:r>
    </w:p>
    <w:p w14:paraId="182515D7" w14:textId="6EBE92BE"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Lastly, age, sex as well as comorbidities</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might have influence on immune competence. The elderly</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exhibit immune senescence and gender-specific hormonal differences that may affect immune cell function. In addition, other chronic diseases, like diabetes or cardiovascular diseases can reduce the effectiveness</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of immunotherapy by inducing systemic inflammation or immune suppression</w:t>
      </w:r>
      <w:r w:rsidR="0025309B">
        <w:rPr>
          <w:rFonts w:ascii="Times New Roman" w:eastAsia="Times New Roman" w:hAnsi="Times New Roman" w:cs="Times New Roman"/>
          <w:sz w:val="24"/>
          <w:szCs w:val="24"/>
        </w:rPr>
        <w:fldChar w:fldCharType="begin"/>
      </w:r>
      <w:r w:rsidR="0025309B">
        <w:rPr>
          <w:rFonts w:ascii="Times New Roman" w:eastAsia="Times New Roman" w:hAnsi="Times New Roman" w:cs="Times New Roman"/>
          <w:sz w:val="24"/>
          <w:szCs w:val="24"/>
        </w:rPr>
        <w:instrText xml:space="preserve"> ADDIN ZOTERO_ITEM CSL_CITATION {"citationID":"JrphzyLl","properties":{"formattedCitation":"[19]","plainCitation":"[19]","noteIndex":0},"citationItems":[{"id":3982,"uris":["http://zotero.org/users/16652950/items/KKTF46GM"],"itemData":{"id":3982,"type":"article-journal","abstract":"The human leukocyte antigens (HLA) encoded by genes within the major histocompatibility complex display an impressive degree of polymorphism. This variability is apparently maintained in human populations through the need to successfully display a wide range of processed foreign peptides to the T cell antigen receptor. The large number of alleles at the Class I and Class II loci pose a significant problem for molecular diagnosis. Knowledge of allele groups and specific alleles present in individuals has important implications in organ and stem cell transplantation and in disease association studies. Histocompatibility laboratories have transformed themselves during the past decade as they have adapted the techniques of molecular diagnostics to the challenge of identifying HLA alleles.","container-title":"The Journal of molecular diagnostics : JMD","DOI":"10.1016/S1525-1578(10)60658-7","ISSN":"1525-1578","issue":"3","journalAbbreviation":"J Mol Diagn","note":"PMID: 11486048\nPMCID: PMC1906958","page":"98-104","source":"PubMed Central","title":"Human Leukocyte Antigen Gene Polymorphism and the Histocompatibility Laboratory","volume":"3","author":[{"family":"Williams","given":"Thomas M."}],"issued":{"date-parts":[["2001",8]]}}}],"schema":"https://github.com/citation-style-language/schema/raw/master/csl-citation.json"} </w:instrText>
      </w:r>
      <w:r w:rsidR="0025309B">
        <w:rPr>
          <w:rFonts w:ascii="Times New Roman" w:eastAsia="Times New Roman" w:hAnsi="Times New Roman" w:cs="Times New Roman"/>
          <w:sz w:val="24"/>
          <w:szCs w:val="24"/>
        </w:rPr>
        <w:fldChar w:fldCharType="separate"/>
      </w:r>
      <w:r w:rsidR="0025309B" w:rsidRPr="0025309B">
        <w:rPr>
          <w:rFonts w:ascii="Times New Roman" w:hAnsi="Times New Roman" w:cs="Times New Roman"/>
          <w:sz w:val="24"/>
        </w:rPr>
        <w:t>[19]</w:t>
      </w:r>
      <w:r w:rsidR="0025309B">
        <w:rPr>
          <w:rFonts w:ascii="Times New Roman" w:eastAsia="Times New Roman" w:hAnsi="Times New Roman" w:cs="Times New Roman"/>
          <w:sz w:val="24"/>
          <w:szCs w:val="24"/>
        </w:rPr>
        <w:fldChar w:fldCharType="end"/>
      </w:r>
      <w:r w:rsidRPr="00C4290D">
        <w:rPr>
          <w:rFonts w:ascii="Times New Roman" w:eastAsia="Times New Roman" w:hAnsi="Times New Roman" w:cs="Times New Roman"/>
          <w:sz w:val="24"/>
          <w:szCs w:val="24"/>
        </w:rPr>
        <w:t>.</w:t>
      </w:r>
    </w:p>
    <w:p w14:paraId="61C38B9B" w14:textId="4A948FE9" w:rsidR="00C4290D" w:rsidRPr="00C4290D" w:rsidRDefault="00C4290D" w:rsidP="00C4290D">
      <w:pPr>
        <w:spacing w:before="100" w:beforeAutospacing="1" w:after="100" w:afterAutospacing="1" w:line="240" w:lineRule="auto"/>
        <w:rPr>
          <w:rFonts w:ascii="Times New Roman" w:eastAsia="Times New Roman" w:hAnsi="Times New Roman" w:cs="Times New Roman"/>
          <w:sz w:val="24"/>
          <w:szCs w:val="24"/>
        </w:rPr>
      </w:pPr>
      <w:r w:rsidRPr="00C4290D">
        <w:rPr>
          <w:rFonts w:ascii="Times New Roman" w:eastAsia="Times New Roman" w:hAnsi="Times New Roman" w:cs="Times New Roman"/>
          <w:sz w:val="24"/>
          <w:szCs w:val="24"/>
        </w:rPr>
        <w:t>These two mechanisms</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combined reflect the complexity of immunotherapy resistance. Comprehension and manipulation of each layer, from the genetic make-up of tumor cells to host physiology, will be necessary to establish approaches to enhance and prolong</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the effects of immunotherapies. Age-related immune senescence, sex-specific characteristics and comorbidities might all affect</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therapeutic efficacy</w:t>
      </w:r>
      <w:r w:rsidR="0025309B">
        <w:rPr>
          <w:rFonts w:ascii="Times New Roman" w:eastAsia="Times New Roman" w:hAnsi="Times New Roman" w:cs="Times New Roman"/>
          <w:sz w:val="24"/>
          <w:szCs w:val="24"/>
        </w:rPr>
        <w:fldChar w:fldCharType="begin"/>
      </w:r>
      <w:r w:rsidR="0025309B">
        <w:rPr>
          <w:rFonts w:ascii="Times New Roman" w:eastAsia="Times New Roman" w:hAnsi="Times New Roman" w:cs="Times New Roman"/>
          <w:sz w:val="24"/>
          <w:szCs w:val="24"/>
        </w:rPr>
        <w:instrText xml:space="preserve"> ADDIN ZOTERO_ITEM CSL_CITATION {"citationID":"fpYWUPyM","properties":{"formattedCitation":"[20]","plainCitation":"[20]","noteIndex":0},"citationItems":[{"id":861,"uris":["http://zotero.org/users/16652950/items/XNWDCXIS"],"itemData":{"id":861,"type":"article-journal","container-title":"Asian Journal of Research in Medical and Pharmaceutical Sciences","DOI":"10.9734/ajrimps/2024/v13i4270","ISSN":"2457-0745","issue":"4","language":"en","page":"9-27","source":"journalajrimps.com","title":"The Impact of Antimicrobial Resistance on Cancer Treatment: A Systematic Review of Current Evidence and Future Directions","title-short":"The Impact of Antimicrobial Resistance on Cancer Treatment","volume":"13","author":[{"family":"Lawal","given":"Olabisi Promise"},{"family":"Ahmed","given":"Nurain Kehinde"},{"family":"Ilesanmi","given":"Taiwo Ayomide"},{"family":"Anthony","given":"Godswill Imolele"},{"family":"Nwosu","given":"Samuel Nzube"},{"family":"Ogungbemiro","given":"Festus Oladayo"},{"family":"Olaide","given":"Zainab"},{"family":"Adeniyi","given":"Muritadoh Muritadoh"},{"family":"Okoye","given":"Uchechukwu Lilian"},{"family":"Olufunmilayo","given":"Adebiyi Mutiat"},{"family":"Christopher","given":"Adegbesan Abiodun"},{"family":"Oseghale","given":"Ikalo David"}],"issued":{"date-parts":[["2024",9,16]]}}}],"schema":"https://github.com/citation-style-language/schema/raw/master/csl-citation.json"} </w:instrText>
      </w:r>
      <w:r w:rsidR="0025309B">
        <w:rPr>
          <w:rFonts w:ascii="Times New Roman" w:eastAsia="Times New Roman" w:hAnsi="Times New Roman" w:cs="Times New Roman"/>
          <w:sz w:val="24"/>
          <w:szCs w:val="24"/>
        </w:rPr>
        <w:fldChar w:fldCharType="separate"/>
      </w:r>
      <w:r w:rsidR="0025309B" w:rsidRPr="0025309B">
        <w:rPr>
          <w:rFonts w:ascii="Times New Roman" w:hAnsi="Times New Roman" w:cs="Times New Roman"/>
          <w:sz w:val="24"/>
        </w:rPr>
        <w:t>[20]</w:t>
      </w:r>
      <w:r w:rsidR="0025309B">
        <w:rPr>
          <w:rFonts w:ascii="Times New Roman" w:eastAsia="Times New Roman" w:hAnsi="Times New Roman" w:cs="Times New Roman"/>
          <w:sz w:val="24"/>
          <w:szCs w:val="24"/>
        </w:rPr>
        <w:fldChar w:fldCharType="end"/>
      </w:r>
      <w:r w:rsidRPr="00C4290D">
        <w:rPr>
          <w:rFonts w:ascii="Times New Roman" w:eastAsia="Times New Roman" w:hAnsi="Times New Roman" w:cs="Times New Roman"/>
          <w:sz w:val="24"/>
          <w:szCs w:val="24"/>
        </w:rPr>
        <w:t>. Multiple levels of mechanisms contributing to resistance to cancer immunotherapy are shown</w:t>
      </w:r>
      <w:r w:rsidRPr="00C4290D">
        <w:rPr>
          <w:rFonts w:ascii="Times New Roman" w:eastAsia="Times New Roman" w:hAnsi="Times New Roman" w:cs="Times New Roman"/>
          <w:sz w:val="24"/>
          <w:szCs w:val="24"/>
        </w:rPr>
        <w:t> </w:t>
      </w:r>
      <w:r w:rsidRPr="00C4290D">
        <w:rPr>
          <w:rFonts w:ascii="Times New Roman" w:eastAsia="Times New Roman" w:hAnsi="Times New Roman" w:cs="Times New Roman"/>
          <w:sz w:val="24"/>
          <w:szCs w:val="24"/>
        </w:rPr>
        <w:t>in a summary in Fig. 2, including tumor-intrinsic factors, tumor microenvironment-contained immunosuppression components, and host factors.</w:t>
      </w:r>
    </w:p>
    <w:p w14:paraId="7E1CC86A" w14:textId="014B1F29" w:rsidR="005D5559" w:rsidRPr="005D5559" w:rsidRDefault="00390069" w:rsidP="005D5559">
      <w:pPr>
        <w:pStyle w:val="Heading3"/>
        <w:rPr>
          <w:b w:val="0"/>
          <w:bCs w:val="0"/>
        </w:rPr>
      </w:pPr>
      <w:r>
        <w:rPr>
          <w:noProof/>
        </w:rPr>
        <w:drawing>
          <wp:inline distT="0" distB="0" distL="0" distR="0" wp14:anchorId="73840953" wp14:editId="442FDCA9">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tGPT Image Jun 18, 2025, 12_06_54 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005D5559">
        <w:rPr>
          <w:rStyle w:val="Strong"/>
          <w:b/>
          <w:bCs/>
        </w:rPr>
        <w:t>Figure 2. Mechanisms of Resistance to Cancer Immunotherapy</w:t>
      </w:r>
      <w:r w:rsidR="005D5559">
        <w:rPr>
          <w:rStyle w:val="Strong"/>
          <w:b/>
          <w:bCs/>
        </w:rPr>
        <w:t xml:space="preserve">. </w:t>
      </w:r>
      <w:r w:rsidR="005D5559" w:rsidRPr="005D5559">
        <w:rPr>
          <w:rStyle w:val="Emphasis"/>
          <w:b w:val="0"/>
          <w:bCs w:val="0"/>
        </w:rPr>
        <w:t xml:space="preserve">Schematic representation of the primary mechanisms contributing to resistance against cancer immunotherapy. These include: (1) Tumor-intrinsic factors such as antigen loss, MHC class I downregulation, immune checkpoint upregulation, and oncogenic signaling </w:t>
      </w:r>
      <w:r w:rsidR="005D5559" w:rsidRPr="005D5559">
        <w:rPr>
          <w:rStyle w:val="Emphasis"/>
          <w:b w:val="0"/>
          <w:bCs w:val="0"/>
        </w:rPr>
        <w:lastRenderedPageBreak/>
        <w:t>pathways (e.g., WNT/β-catenin); (2) Tumor microenvironment-mediated resistance, including immunosuppressive cell populations (</w:t>
      </w:r>
      <w:proofErr w:type="spellStart"/>
      <w:r w:rsidR="005D5559" w:rsidRPr="005D5559">
        <w:rPr>
          <w:rStyle w:val="Emphasis"/>
          <w:b w:val="0"/>
          <w:bCs w:val="0"/>
        </w:rPr>
        <w:t>Tregs</w:t>
      </w:r>
      <w:proofErr w:type="spellEnd"/>
      <w:r w:rsidR="005D5559" w:rsidRPr="005D5559">
        <w:rPr>
          <w:rStyle w:val="Emphasis"/>
          <w:b w:val="0"/>
          <w:bCs w:val="0"/>
        </w:rPr>
        <w:t>, MDSCs, TAMs), hypoxia, nutrient deprivation, and fibrotic barriers; and (3) Host/systemic factors such as microbiome composition, HLA polymorphism, age, sex, and comorbidities. Each layer of resistance impairs immune recognition and limits therapeutic efficacy.</w:t>
      </w:r>
    </w:p>
    <w:p w14:paraId="3EDBF9B2" w14:textId="03A6267C" w:rsidR="00913684" w:rsidRDefault="00913684" w:rsidP="00C4290D">
      <w:pPr>
        <w:pStyle w:val="NormalWeb"/>
      </w:pPr>
      <w:r>
        <w:rPr>
          <w:rStyle w:val="Strong"/>
        </w:rPr>
        <w:t>4. Clinical Evidence of Resistance</w:t>
      </w:r>
    </w:p>
    <w:p w14:paraId="45BC0EF5" w14:textId="742D2F08"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Clinical data in a variety of cancer types have also revealed the difficulty of overcoming not</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only primary but also acquired resistance to immunotherapy. In cases of NSCLC and melanoma, PD-1/PD-L1 inhibitors</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have reached a remarkable treatment end, yet, safety net or resistance in still common in the majority of patients. For instance, only 20–30% of unselected patients with non-small cell lung cancer (NSCLC) respond to PD-1 inhibitors while the others show what is called primary resistance, which is frequently associated with lack of T cell</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infiltration or low level of PD-L1 expression</w:t>
      </w:r>
      <w:r w:rsidR="0025309B">
        <w:rPr>
          <w:rFonts w:ascii="Times New Roman" w:eastAsia="Times New Roman" w:hAnsi="Times New Roman" w:cs="Times New Roman"/>
          <w:sz w:val="24"/>
          <w:szCs w:val="24"/>
        </w:rPr>
        <w:fldChar w:fldCharType="begin"/>
      </w:r>
      <w:r w:rsidR="0025309B">
        <w:rPr>
          <w:rFonts w:ascii="Times New Roman" w:eastAsia="Times New Roman" w:hAnsi="Times New Roman" w:cs="Times New Roman"/>
          <w:sz w:val="24"/>
          <w:szCs w:val="24"/>
        </w:rPr>
        <w:instrText xml:space="preserve"> ADDIN ZOTERO_ITEM CSL_CITATION {"citationID":"iTqejRtQ","properties":{"formattedCitation":"[21]","plainCitation":"[21]","noteIndex":0},"citationItems":[{"id":3987,"uris":["http://zotero.org/users/16652950/items/EF3Q72ZB"],"itemData":{"id":3987,"type":"article-journal","abstract":"Immune checkpoint inhibitors (ICIs) targeting CTLA-4 and PD-1/PD-L1 to boost tumor-specific T lymphocyte immunity have opened up new avenues for the treatment of various histological types of malignancies, with the possibility of durable responses and improved survival. However, the development of acquired resistance to ICI therapy over time after an initial response remains a major obstacle in cancer therapeutics. The potential mechanisms of acquired resistance to ICI therapy are still ambiguous. In this review, we focused on the current understanding of the mechanisms of acquired resistance to ICIs, including the lack of neoantigens and effective antigen presentation, mutations of IFN‐γ/JAK signaling, and activation of alternate inhibitory immune checkpoints, immunosuppressive tumor microenvironment, epigenetic modification, and dysbiosis of the gut microbiome. Further, based on these mechanisms, potential therapeutic strategies to reverse the resistance to ICIs, which could provide clinical benefits to cancer patients, are also briefly discussed.","container-title":"Cell &amp; Bioscience","DOI":"10.1186/s13578-023-01073-9","ISSN":"2045-3701","journalAbbreviation":"Cell Biosci","note":"PMID: 37386520\nPMCID: PMC10311815","page":"120","source":"PubMed Central","title":"Overcoming acquired resistance to cancer immune checkpoint therapy: potential strategies based on molecular mechanisms","title-short":"Overcoming acquired resistance to cancer immune checkpoint therapy","volume":"13","author":[{"family":"Wang","given":"Bin"},{"family":"Han","given":"Yin"},{"family":"Zhang","given":"Yuyu"},{"family":"Zhao","given":"Qin"},{"family":"Wang","given":"Huanhuan"},{"family":"Wei","given":"Jinlong"},{"family":"Meng","given":"Lingbin"},{"family":"Xin","given":"Ying"},{"family":"Jiang","given":"Xin"}],"issued":{"date-parts":[["2023",6,30]]}}}],"schema":"https://github.com/citation-style-language/schema/raw/master/csl-citation.json"} </w:instrText>
      </w:r>
      <w:r w:rsidR="0025309B">
        <w:rPr>
          <w:rFonts w:ascii="Times New Roman" w:eastAsia="Times New Roman" w:hAnsi="Times New Roman" w:cs="Times New Roman"/>
          <w:sz w:val="24"/>
          <w:szCs w:val="24"/>
        </w:rPr>
        <w:fldChar w:fldCharType="separate"/>
      </w:r>
      <w:r w:rsidR="0025309B" w:rsidRPr="0025309B">
        <w:rPr>
          <w:rFonts w:ascii="Times New Roman" w:hAnsi="Times New Roman" w:cs="Times New Roman"/>
          <w:sz w:val="24"/>
        </w:rPr>
        <w:t>[21]</w:t>
      </w:r>
      <w:r w:rsidR="0025309B">
        <w:rPr>
          <w:rFonts w:ascii="Times New Roman" w:eastAsia="Times New Roman" w:hAnsi="Times New Roman" w:cs="Times New Roman"/>
          <w:sz w:val="24"/>
          <w:szCs w:val="24"/>
        </w:rPr>
        <w:fldChar w:fldCharType="end"/>
      </w:r>
      <w:r w:rsidRPr="006B69C8">
        <w:rPr>
          <w:rFonts w:ascii="Times New Roman" w:eastAsia="Times New Roman" w:hAnsi="Times New Roman" w:cs="Times New Roman"/>
          <w:sz w:val="24"/>
          <w:szCs w:val="24"/>
        </w:rPr>
        <w:t>.</w:t>
      </w:r>
    </w:p>
    <w:p w14:paraId="5A96A80A" w14:textId="73B8C1FD"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Although melanoma has been the gold standard in the</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success of ICI, resistance is still widespread. Although first-line response rates to anti-PD1 therapy can be above 40%, patients often</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acquire resistance. This has been observed in a subset of participants as JAK1 or JAK2</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mutations that block IFN-γ effects and allow cancer to evade immune pressure, despite having been previously sensitive (N=5, one of the 4 analyzed cases was resistant to anti-PD-1 therapy)43</w:t>
      </w:r>
      <w:r w:rsidR="0025309B">
        <w:rPr>
          <w:rFonts w:ascii="Times New Roman" w:eastAsia="Times New Roman" w:hAnsi="Times New Roman" w:cs="Times New Roman"/>
          <w:sz w:val="24"/>
          <w:szCs w:val="24"/>
        </w:rPr>
        <w:fldChar w:fldCharType="begin"/>
      </w:r>
      <w:r w:rsidR="0025309B">
        <w:rPr>
          <w:rFonts w:ascii="Times New Roman" w:eastAsia="Times New Roman" w:hAnsi="Times New Roman" w:cs="Times New Roman"/>
          <w:sz w:val="24"/>
          <w:szCs w:val="24"/>
        </w:rPr>
        <w:instrText xml:space="preserve"> ADDIN ZOTERO_ITEM CSL_CITATION {"citationID":"88Hd1UKP","properties":{"formattedCitation":"[22]","plainCitation":"[22]","noteIndex":0},"citationItems":[{"id":3990,"uris":["http://zotero.org/users/16652950/items/BKSW8FMT"],"itemData":{"id":3990,"type":"article-journal","abstract":"Simple Summary\nImmune checkpoint blockade has dramatically improved the outcomes of patients with melanoma. Available long-term updates of clinical studies show a sustained clinical benefit for patients treated with PD-1 inhibitors such as nivolumab or pembrolizumab or for those treated with a combination of nivolumab and ipilimumab. However, about 40–50% of patients acquire resistance to therapy within five years from the start of anti-PD-1 therapy. This review assesses available definitions of the resistance and patterns of response to PD-1 immunotherapy and summarizes the potential underlying mechanisms. The available data on resistance to PD-1 therapy, medical needs and therapeutic options for melanoma patients resistant to ICI are discussed for the metastatic setting, including brain metastases, as well as for the adjuvant and neo-adjuvant settings.\n\nAbstract\nAvailable 4- and 5-year updates for progression-free and for overall survival demonstrate a lasting clinical benefit for melanoma patients receiving anti-PD-directed immune checkpoint inhibitor therapy. However, at least one-half of the patients either do not respond to therapy or relapse early or late following the initial response to therapy. Little is known about the reasons for primary and/or secondary resistance to immunotherapy and the patterns of relapse. This review, prepared by an interdisciplinary expert panel, describes the assessment of the response and classification of resistance to PD-1 therapy, briefly summarizes the potential mechanisms of resistance, and analyzes the medical needs of and therapeutic options for melanoma patients resistant to immune checkpoint inhibitors. We appraised clinical data from trials in the metastatic, adjuvant and neo-adjuvant settings to tabulate frequencies of resistance. For these three settings, the role of predictive biomarkers for resistance is critically discussed, as well as are multimodal therapeutic options or novel immunotherapeutic approaches which may help patients overcome resistance to immune checkpoint therapy. The lack of suitable biomarkers and the currently modest outcomes of novel therapeutic regimens for overcoming resistance, most of them with a PD-1 backbone, support our recommendation to include as many patients as possible in novel or ongoing clinical trials.","container-title":"Cancers","DOI":"10.3390/cancers15133448","ISSN":"2072-6694","issue":"13","journalAbbreviation":"Cancers (Basel)","note":"PMID: 37444558\nPMCID: PMC10341224","page":"3448","source":"PubMed Central","title":"Medical Needs and Therapeutic Options for Melanoma Patients Resistant to Anti-PD-1-Directed Immune Checkpoint Inhibition","volume":"15","author":[{"family":"Hassel","given":"Jessica C."},{"family":"Zimmer","given":"Lisa"},{"family":"Sickmann","given":"Thomas"},{"family":"Eigentler","given":"Thomas K."},{"family":"Meier","given":"Friedegund"},{"family":"Mohr","given":"Peter"},{"family":"Pukrop","given":"Tobias"},{"family":"Roesch","given":"Alexander"},{"family":"Vordermark","given":"Dirk"},{"family":"Wendl","given":"Christina"},{"family":"Gutzmer","given":"Ralf"}],"issued":{"date-parts":[["2023",6,30]]}}}],"schema":"https://github.com/citation-style-language/schema/raw/master/csl-citation.json"} </w:instrText>
      </w:r>
      <w:r w:rsidR="0025309B">
        <w:rPr>
          <w:rFonts w:ascii="Times New Roman" w:eastAsia="Times New Roman" w:hAnsi="Times New Roman" w:cs="Times New Roman"/>
          <w:sz w:val="24"/>
          <w:szCs w:val="24"/>
        </w:rPr>
        <w:fldChar w:fldCharType="separate"/>
      </w:r>
      <w:r w:rsidR="0025309B" w:rsidRPr="0025309B">
        <w:rPr>
          <w:rFonts w:ascii="Times New Roman" w:hAnsi="Times New Roman" w:cs="Times New Roman"/>
          <w:sz w:val="24"/>
        </w:rPr>
        <w:t>[22]</w:t>
      </w:r>
      <w:r w:rsidR="0025309B">
        <w:rPr>
          <w:rFonts w:ascii="Times New Roman" w:eastAsia="Times New Roman" w:hAnsi="Times New Roman" w:cs="Times New Roman"/>
          <w:sz w:val="24"/>
          <w:szCs w:val="24"/>
        </w:rPr>
        <w:fldChar w:fldCharType="end"/>
      </w:r>
      <w:r w:rsidRPr="006B69C8">
        <w:rPr>
          <w:rFonts w:ascii="Times New Roman" w:eastAsia="Times New Roman" w:hAnsi="Times New Roman" w:cs="Times New Roman"/>
          <w:sz w:val="24"/>
          <w:szCs w:val="24"/>
        </w:rPr>
        <w:t>.</w:t>
      </w:r>
    </w:p>
    <w:p w14:paraId="60B97C12" w14:textId="727DF8B5"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Likewise in RCC, combination immunotherapies like nivolumab plus ipilimumab have led to prolonged survival, but only a minority</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of patients achieve durable benefit. Such</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divergent results illustrate the IHC is governed by complex biology</w:t>
      </w:r>
      <w:r w:rsidR="0025309B">
        <w:rPr>
          <w:rFonts w:ascii="Times New Roman" w:eastAsia="Times New Roman" w:hAnsi="Times New Roman" w:cs="Times New Roman"/>
          <w:sz w:val="24"/>
          <w:szCs w:val="24"/>
        </w:rPr>
        <w:fldChar w:fldCharType="begin"/>
      </w:r>
      <w:r w:rsidR="0025309B">
        <w:rPr>
          <w:rFonts w:ascii="Times New Roman" w:eastAsia="Times New Roman" w:hAnsi="Times New Roman" w:cs="Times New Roman"/>
          <w:sz w:val="24"/>
          <w:szCs w:val="24"/>
        </w:rPr>
        <w:instrText xml:space="preserve"> ADDIN ZOTERO_ITEM CSL_CITATION {"citationID":"DxKjnx77","properties":{"formattedCitation":"[23]","plainCitation":"[23]","noteIndex":0},"citationItems":[{"id":3993,"uris":["http://zotero.org/users/16652950/items/63FGEVU4"],"itemData":{"id":3993,"type":"article-journal","abstract":"Immune checkpoint inhibitors (ICI) have rapidly altered the treatment landscape for multiple tumor types, providing unprecedented survival in some patients. Despite the characteristic durability of response to ICI, unfortunately many patients with initial response will later develop acquired resistance. The current understanding of mechanisms of acquired resistance to ICIs is remarkably limited, perhaps restraining effective development of next-generation immunotherapies. Here, we examine the barriers to progress and emerging clinical reports interrogating acquired resistance with the goal to facilitate efforts to overcome acquired resistance to ICIs in the future.","container-title":"Cancer cell","DOI":"10.1016/j.ccell.2020.03.017","ISSN":"1535-6108","issue":"4","journalAbbreviation":"Cancer Cell","note":"PMID: 32289269\nPMCID: PMC7182070","page":"443-455","source":"PubMed Central","title":"Acquired Resistance to Immune Checkpoint Inhibitors","volume":"37","author":[{"family":"Schoenfeld","given":"Adam J."},{"family":"Hellmann","given":"Matthew D."}],"issued":{"date-parts":[["2020",4,13]]}}}],"schema":"https://github.com/citation-style-language/schema/raw/master/csl-citation.json"} </w:instrText>
      </w:r>
      <w:r w:rsidR="0025309B">
        <w:rPr>
          <w:rFonts w:ascii="Times New Roman" w:eastAsia="Times New Roman" w:hAnsi="Times New Roman" w:cs="Times New Roman"/>
          <w:sz w:val="24"/>
          <w:szCs w:val="24"/>
        </w:rPr>
        <w:fldChar w:fldCharType="separate"/>
      </w:r>
      <w:r w:rsidR="0025309B" w:rsidRPr="0025309B">
        <w:rPr>
          <w:rFonts w:ascii="Times New Roman" w:hAnsi="Times New Roman" w:cs="Times New Roman"/>
          <w:sz w:val="24"/>
        </w:rPr>
        <w:t>[23]</w:t>
      </w:r>
      <w:r w:rsidR="0025309B">
        <w:rPr>
          <w:rFonts w:ascii="Times New Roman" w:eastAsia="Times New Roman" w:hAnsi="Times New Roman" w:cs="Times New Roman"/>
          <w:sz w:val="24"/>
          <w:szCs w:val="24"/>
        </w:rPr>
        <w:fldChar w:fldCharType="end"/>
      </w:r>
      <w:r w:rsidRPr="006B69C8">
        <w:rPr>
          <w:rFonts w:ascii="Times New Roman" w:eastAsia="Times New Roman" w:hAnsi="Times New Roman" w:cs="Times New Roman"/>
          <w:sz w:val="24"/>
          <w:szCs w:val="24"/>
        </w:rPr>
        <w:t>.</w:t>
      </w:r>
    </w:p>
    <w:p w14:paraId="46D9A2B8" w14:textId="37A581BF"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 xml:space="preserve">Indeed, tumor mutational burden (TMB) and </w:t>
      </w:r>
      <w:proofErr w:type="spellStart"/>
      <w:r w:rsidRPr="006B69C8">
        <w:rPr>
          <w:rFonts w:ascii="Times New Roman" w:eastAsia="Times New Roman" w:hAnsi="Times New Roman" w:cs="Times New Roman"/>
          <w:sz w:val="24"/>
          <w:szCs w:val="24"/>
        </w:rPr>
        <w:t>NeoAg</w:t>
      </w:r>
      <w:proofErr w:type="spellEnd"/>
      <w:r w:rsidRPr="006B69C8">
        <w:rPr>
          <w:rFonts w:ascii="Times New Roman" w:eastAsia="Times New Roman" w:hAnsi="Times New Roman" w:cs="Times New Roman"/>
          <w:sz w:val="24"/>
          <w:szCs w:val="24"/>
        </w:rPr>
        <w:t xml:space="preserve"> characteristics have been studied as a predictive biomarker, whereby elevated TMB is associated with</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favorable response overall. Nevertheless there are exceptions and the generation of</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immunogenic neoantigens might be more important than just the number of mutations</w:t>
      </w:r>
      <w:r w:rsidR="001E62A5">
        <w:rPr>
          <w:rFonts w:ascii="Times New Roman" w:eastAsia="Times New Roman" w:hAnsi="Times New Roman" w:cs="Times New Roman"/>
          <w:sz w:val="24"/>
          <w:szCs w:val="24"/>
        </w:rPr>
        <w:fldChar w:fldCharType="begin"/>
      </w:r>
      <w:r w:rsidR="001E62A5">
        <w:rPr>
          <w:rFonts w:ascii="Times New Roman" w:eastAsia="Times New Roman" w:hAnsi="Times New Roman" w:cs="Times New Roman"/>
          <w:sz w:val="24"/>
          <w:szCs w:val="24"/>
        </w:rPr>
        <w:instrText xml:space="preserve"> ADDIN ZOTERO_ITEM CSL_CITATION {"citationID":"FubKOLbd","properties":{"formattedCitation":"[24]","plainCitation":"[24]","noteIndex":0},"citationItems":[{"id":3996,"uris":["http://zotero.org/users/16652950/items/EVLKIGR4"],"itemData":{"id":3996,"type":"article-journal","abstract":"TMB, defined as the number of somatic mutations per megabase of interrogated genomic sequence, varies across malignancies. Panel sequencing-based estimates of TMB have largely replaced whole exome sequencing-derived TMB in the clinic. Retrospective evidence suggests that TMB can predict the efficacy of immune checkpoint inhibitors, and data from KEYNOTE-158 led to the recent FDA approval of pembrolizumab for the TMB-high tumor subgroup. Unmet needs include prospective validation of TMB cutoffs in relationship to tumor type and patient outcomes. Furthermore, standardization and harmonization of TMB measurement across test platforms are important to the successful implementation of TMB in clinical practice.","container-title":"Cancer discovery","DOI":"10.1158/2159-8290.CD-20-0522","ISSN":"2159-8274","issue":"12","journalAbbreviation":"Cancer Discov","note":"PMID: 33139244\nPMCID: PMC7710563","page":"1808-1825","source":"PubMed Central","title":"Tumor Mutational Burden (TMB) as a Predictive Biomarker in Solid Tumors","volume":"10","author":[{"family":"Sha","given":"Dan"},{"family":"Jin","given":"Zhaohui"},{"family":"Budzcies","given":"Jan"},{"family":"Kluck","given":"Klaus"},{"family":"Stenzinger","given":"Albrecht"},{"family":"Sinicrope","given":"Frank A."}],"issued":{"date-parts":[["2020",12]]}}}],"schema":"https://github.com/citation-style-language/schema/raw/master/csl-citation.json"} </w:instrText>
      </w:r>
      <w:r w:rsidR="001E62A5">
        <w:rPr>
          <w:rFonts w:ascii="Times New Roman" w:eastAsia="Times New Roman" w:hAnsi="Times New Roman" w:cs="Times New Roman"/>
          <w:sz w:val="24"/>
          <w:szCs w:val="24"/>
        </w:rPr>
        <w:fldChar w:fldCharType="separate"/>
      </w:r>
      <w:r w:rsidR="001E62A5" w:rsidRPr="001E62A5">
        <w:rPr>
          <w:rFonts w:ascii="Times New Roman" w:hAnsi="Times New Roman" w:cs="Times New Roman"/>
          <w:sz w:val="24"/>
        </w:rPr>
        <w:t>[24]</w:t>
      </w:r>
      <w:r w:rsidR="001E62A5">
        <w:rPr>
          <w:rFonts w:ascii="Times New Roman" w:eastAsia="Times New Roman" w:hAnsi="Times New Roman" w:cs="Times New Roman"/>
          <w:sz w:val="24"/>
          <w:szCs w:val="24"/>
        </w:rPr>
        <w:fldChar w:fldCharType="end"/>
      </w:r>
      <w:r w:rsidRPr="006B69C8">
        <w:rPr>
          <w:rFonts w:ascii="Times New Roman" w:eastAsia="Times New Roman" w:hAnsi="Times New Roman" w:cs="Times New Roman"/>
          <w:sz w:val="24"/>
          <w:szCs w:val="24"/>
        </w:rPr>
        <w:t>.</w:t>
      </w:r>
    </w:p>
    <w:p w14:paraId="26444111" w14:textId="433ABDD3"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Real-world experience tends to show much more variance than clinical</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trials, because of factors such as heterogeneity in patients and comorbidities, changing tumor biology, etc. Collectively, these observations highlight the</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clinical imperative for decoding resistance determinants and rationalizing appropriate therapies</w:t>
      </w:r>
      <w:r w:rsidR="001E62A5">
        <w:rPr>
          <w:rFonts w:ascii="Times New Roman" w:eastAsia="Times New Roman" w:hAnsi="Times New Roman" w:cs="Times New Roman"/>
          <w:sz w:val="24"/>
          <w:szCs w:val="24"/>
        </w:rPr>
        <w:fldChar w:fldCharType="begin"/>
      </w:r>
      <w:r w:rsidR="001E62A5">
        <w:rPr>
          <w:rFonts w:ascii="Times New Roman" w:eastAsia="Times New Roman" w:hAnsi="Times New Roman" w:cs="Times New Roman"/>
          <w:sz w:val="24"/>
          <w:szCs w:val="24"/>
        </w:rPr>
        <w:instrText xml:space="preserve"> ADDIN ZOTERO_ITEM CSL_CITATION {"citationID":"7cAkNwtd","properties":{"formattedCitation":"[25]","plainCitation":"[25]","noteIndex":0},"citationItems":[{"id":2692,"uris":["http://zotero.org/users/16652950/items/Q8PMM3JI"],"itemData":{"id":2692,"type":"article-journal","container-title":"Journal of Cancer and Tumor International","DOI":"10.9734/jcti/2025/v15i2294","ISSN":"2454-7360","issue":"2","language":"en","page":"79-96","source":"www.journaljcti.com","title":"From Bench to Bedside: Medicinal Chemistry Strategies in the Development of Kinase Inhibitors for Cancer Therapy","title-short":"From Bench to Bedside","volume":"15","author":[{"family":"Okafor","given":"Chibuike Emmanuel"},{"family":"Egwuatu","given":"Emmanuel Cherechi"},{"family":"Owosagba","given":"Victor Ayoola"},{"family":"Njei","given":"Teckla"},{"family":"Adeyemi","given":"Bankole Israel"},{"family":"Onuche","given":"Philip Ugbede Ojo"},{"family":"Adams","given":"Abdullahi"},{"family":"Ugwuja","given":"Chiamaka Blessing"},{"family":"Chibueze","given":"Eze Samson"},{"family":"Lawal","given":"Olabisi Promise"}],"issued":{"date-parts":[["2025",5,10]]}}}],"schema":"https://github.com/citation-style-language/schema/raw/master/csl-citation.json"} </w:instrText>
      </w:r>
      <w:r w:rsidR="001E62A5">
        <w:rPr>
          <w:rFonts w:ascii="Times New Roman" w:eastAsia="Times New Roman" w:hAnsi="Times New Roman" w:cs="Times New Roman"/>
          <w:sz w:val="24"/>
          <w:szCs w:val="24"/>
        </w:rPr>
        <w:fldChar w:fldCharType="separate"/>
      </w:r>
      <w:r w:rsidR="001E62A5" w:rsidRPr="001E62A5">
        <w:rPr>
          <w:rFonts w:ascii="Times New Roman" w:hAnsi="Times New Roman" w:cs="Times New Roman"/>
          <w:sz w:val="24"/>
        </w:rPr>
        <w:t>[25]</w:t>
      </w:r>
      <w:r w:rsidR="001E62A5">
        <w:rPr>
          <w:rFonts w:ascii="Times New Roman" w:eastAsia="Times New Roman" w:hAnsi="Times New Roman" w:cs="Times New Roman"/>
          <w:sz w:val="24"/>
          <w:szCs w:val="24"/>
        </w:rPr>
        <w:fldChar w:fldCharType="end"/>
      </w:r>
      <w:r w:rsidRPr="006B69C8">
        <w:rPr>
          <w:rFonts w:ascii="Times New Roman" w:eastAsia="Times New Roman" w:hAnsi="Times New Roman" w:cs="Times New Roman"/>
          <w:sz w:val="24"/>
          <w:szCs w:val="24"/>
        </w:rPr>
        <w:t>.</w:t>
      </w:r>
    </w:p>
    <w:p w14:paraId="4C8EF432" w14:textId="77777777" w:rsidR="00913684" w:rsidRDefault="00913684" w:rsidP="00913684">
      <w:pPr>
        <w:pStyle w:val="Heading3"/>
      </w:pPr>
      <w:r>
        <w:rPr>
          <w:rStyle w:val="Strong"/>
          <w:b/>
          <w:bCs/>
        </w:rPr>
        <w:t>5. Emerging Strategies to Overcome Resistance</w:t>
      </w:r>
    </w:p>
    <w:p w14:paraId="3C36D234" w14:textId="77777777"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Relapse and refractoriness to current immunotherapies have</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resulted in the search for effective countermeasures. These therapies range from the development of combinatorial regimens</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to reprogramming of the TME, discovery of new immune checkpoints and the progress in personalized immunotherapy strategies.</w:t>
      </w:r>
    </w:p>
    <w:p w14:paraId="1E729AFB" w14:textId="77777777" w:rsidR="00913684" w:rsidRDefault="00913684" w:rsidP="00913684">
      <w:pPr>
        <w:pStyle w:val="Heading4"/>
      </w:pPr>
      <w:r>
        <w:rPr>
          <w:rStyle w:val="Strong"/>
          <w:b/>
          <w:bCs/>
        </w:rPr>
        <w:t>5.1 Combination Therapies</w:t>
      </w:r>
    </w:p>
    <w:p w14:paraId="6E8FAA6F" w14:textId="715B02A5"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lastRenderedPageBreak/>
        <w:t>Combinations of check point</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inhibitors have demonstrated greater efficacy than the single ones represented by the simultaneous blockade of several immune inhibitory pathways. One such</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example is the combination of the anti-PD-1 nivolumab with the anti-CTLA-4 ipilimumab, approved in metastatic melanoma and renal cell carcinoma. Dual checkpoint inhibition</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results in superior T cell priming and effector function, but leads to an increase in immune-related toxicities that require critical patient selection and monitoring</w:t>
      </w:r>
      <w:r w:rsidR="001E62A5">
        <w:rPr>
          <w:rFonts w:ascii="Times New Roman" w:eastAsia="Times New Roman" w:hAnsi="Times New Roman" w:cs="Times New Roman"/>
          <w:sz w:val="24"/>
          <w:szCs w:val="24"/>
        </w:rPr>
        <w:fldChar w:fldCharType="begin"/>
      </w:r>
      <w:r w:rsidR="001E62A5">
        <w:rPr>
          <w:rFonts w:ascii="Times New Roman" w:eastAsia="Times New Roman" w:hAnsi="Times New Roman" w:cs="Times New Roman"/>
          <w:sz w:val="24"/>
          <w:szCs w:val="24"/>
        </w:rPr>
        <w:instrText xml:space="preserve"> ADDIN ZOTERO_ITEM CSL_CITATION {"citationID":"bGeSaJVM","properties":{"formattedCitation":"[26]","plainCitation":"[26]","noteIndex":0},"citationItems":[{"id":3999,"uris":["http://zotero.org/users/16652950/items/VR36QXQT"],"itemData":{"id":3999,"type":"article-journal","abstract":"Melanoma, a skin cancer associated with high mortality rates, is highly radio- and chemotherapy resistant but can also be very immunogenic. These circumstances have led to a recent surge in research into therapies aiming to boost anti-tumor immune responses in cancer patients. Among these immunotherapies, neutralizing antibodies targeting the immune checkpoints T-lymphocyte-associated protein 4 (CTLA-4) and programmed cell death protein 1 (PD-1) are being hailed as particularly successful. These antibodies have resulted in dramatic improvements in disease outcome and are now clinically approved in many countries. However, the majority of advanced stage melanoma patients do not respond or will relapse, and the hunt for the “magic bullet” to treat the disease continues. This review examines the mechanisms of action and the limitations of anti-PD-1/PD-L1 and anti-CTLA-4 antibodies which are the two types of checkpoint inhibitors currently available to patients and further explores the future avenues of their use in melanoma and other cancers.","container-title":"Frontiers in Oncology","DOI":"10.3389/fonc.2018.00086","ISSN":"2234-943X","journalAbbreviation":"Front Oncol","note":"PMID: 29644214\nPMCID: PMC5883082","page":"86","source":"PubMed Central","title":"Anti-PD-1 and Anti-CTLA-4 Therapies in Cancer: Mechanisms of Action, Efficacy, and Limitations","title-short":"Anti-PD-1 and Anti-CTLA-4 Therapies in Cancer","volume":"8","author":[{"family":"Seidel","given":"Judith A."},{"family":"Otsuka","given":"Atsushi"},{"family":"Kabashima","given":"Kenji"}],"issued":{"date-parts":[["2018",3,28]]}}}],"schema":"https://github.com/citation-style-language/schema/raw/master/csl-citation.json"} </w:instrText>
      </w:r>
      <w:r w:rsidR="001E62A5">
        <w:rPr>
          <w:rFonts w:ascii="Times New Roman" w:eastAsia="Times New Roman" w:hAnsi="Times New Roman" w:cs="Times New Roman"/>
          <w:sz w:val="24"/>
          <w:szCs w:val="24"/>
        </w:rPr>
        <w:fldChar w:fldCharType="separate"/>
      </w:r>
      <w:r w:rsidR="001E62A5" w:rsidRPr="001E62A5">
        <w:rPr>
          <w:rFonts w:ascii="Times New Roman" w:hAnsi="Times New Roman" w:cs="Times New Roman"/>
          <w:sz w:val="24"/>
        </w:rPr>
        <w:t>[26]</w:t>
      </w:r>
      <w:r w:rsidR="001E62A5">
        <w:rPr>
          <w:rFonts w:ascii="Times New Roman" w:eastAsia="Times New Roman" w:hAnsi="Times New Roman" w:cs="Times New Roman"/>
          <w:sz w:val="24"/>
          <w:szCs w:val="24"/>
        </w:rPr>
        <w:fldChar w:fldCharType="end"/>
      </w:r>
      <w:r w:rsidRPr="006B69C8">
        <w:rPr>
          <w:rFonts w:ascii="Times New Roman" w:eastAsia="Times New Roman" w:hAnsi="Times New Roman" w:cs="Times New Roman"/>
          <w:sz w:val="24"/>
          <w:szCs w:val="24"/>
        </w:rPr>
        <w:t>.</w:t>
      </w:r>
    </w:p>
    <w:p w14:paraId="188A5D09" w14:textId="6F5890D8"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The combination of checkpoint inhibitors with targeted therapies</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is another attractive option in tumors with targetable mutations. In BRAF-mutated melanoma, to enhance response rates through the upregulation of tumor antigen expression and T cell recruitment, combinations of BRAF inhibitors (e.g., vemurafenib) and MEK</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 xml:space="preserve">inhibitors (e.g., </w:t>
      </w:r>
      <w:proofErr w:type="spellStart"/>
      <w:r w:rsidRPr="006B69C8">
        <w:rPr>
          <w:rFonts w:ascii="Times New Roman" w:eastAsia="Times New Roman" w:hAnsi="Times New Roman" w:cs="Times New Roman"/>
          <w:sz w:val="24"/>
          <w:szCs w:val="24"/>
        </w:rPr>
        <w:t>cobimetinib</w:t>
      </w:r>
      <w:proofErr w:type="spellEnd"/>
      <w:r w:rsidRPr="006B69C8">
        <w:rPr>
          <w:rFonts w:ascii="Times New Roman" w:eastAsia="Times New Roman" w:hAnsi="Times New Roman" w:cs="Times New Roman"/>
          <w:sz w:val="24"/>
          <w:szCs w:val="24"/>
        </w:rPr>
        <w:t>) have been combined with PD-1/PD-L1 inhibitors</w:t>
      </w:r>
      <w:r w:rsidR="00C2255A">
        <w:rPr>
          <w:rFonts w:ascii="Times New Roman" w:eastAsia="Times New Roman" w:hAnsi="Times New Roman" w:cs="Times New Roman"/>
          <w:sz w:val="24"/>
          <w:szCs w:val="24"/>
        </w:rPr>
        <w:fldChar w:fldCharType="begin"/>
      </w:r>
      <w:r w:rsidR="00C2255A">
        <w:rPr>
          <w:rFonts w:ascii="Times New Roman" w:eastAsia="Times New Roman" w:hAnsi="Times New Roman" w:cs="Times New Roman"/>
          <w:sz w:val="24"/>
          <w:szCs w:val="24"/>
        </w:rPr>
        <w:instrText xml:space="preserve"> ADDIN ZOTERO_ITEM CSL_CITATION {"citationID":"72lRM5JY","properties":{"formattedCitation":"[27]","plainCitation":"[27]","noteIndex":0},"citationItems":[{"id":4002,"uris":["http://zotero.org/users/16652950/items/IANABGU9"],"itemData":{"id":4002,"type":"article-journal","abstract":"Thyroid cancer is the most common (~90%) type of endocrine-system tumor, accounting for 70% of the deaths from endocrine cancers. In the last years, the high-throughput genomics has been able to identify pathways/molecular targets involved in survival and tumor progression. Targeted therapy and immunotherapy individually have many limitations. Regarding the first one, although it greatly reduces the size of the cancer, clinical responses are generally transient and often lead to cancer relapse after initial treatment. For the second one, although it induces longer-lasting responses in cancer patients than targeted therapy, its response rate is lower. The individual limitations of these two different types of therapies can be overcome by combining them. Here, we discuss MAPK pathway inhibitors, i.e., BRAF and MEK inhibitors, combined with checkpoint inhibitors targeting PD-1, PD-L1, and CTLA-4. Several mutations make tumors resistant to treatments. Therefore, more studies are needed to investigate the patient’s individual tumor mutation burden in order to overcome the problem of resistance to therapy and to develop new combination therapies.","container-title":"International Journal of Molecular Sciences","DOI":"10.3390/ijms23105731","ISSN":"1422-0067","issue":"10","language":"en","license":"http://creativecommons.org/licenses/by/3.0/","note":"number: 10\npublisher: Multidisciplinary Digital Publishing Institute","page":"5731","source":"www.mdpi.com","title":"Combination Strategies Involving Immune Checkpoint Inhibitors and Tyrosine Kinase or BRAF Inhibitors in Aggressive Thyroid Cancer","volume":"23","author":[{"family":"Ragusa","given":"Francesca"},{"family":"Ferrari","given":"Silvia Martina"},{"family":"Elia","given":"Giusy"},{"family":"Paparo","given":"Sabrina Rosaria"},{"family":"Balestri","given":"Eugenia"},{"family":"Botrini","given":"Chiara"},{"family":"Patrizio","given":"Armando"},{"family":"Mazzi","given":"Valeria"},{"family":"Guglielmi","given":"Giovanni"},{"family":"Foddis","given":"Rudy"},{"family":"Spinelli","given":"Claudio"},{"family":"Ulisse","given":"Salvatore"},{"family":"Antonelli","given":"Alessandro"},{"family":"Fallahi","given":"Poupak"}],"issued":{"date-parts":[["2022",1]]}}}],"schema":"https://github.com/citation-style-language/schema/raw/master/csl-citation.json"} </w:instrText>
      </w:r>
      <w:r w:rsidR="00C2255A">
        <w:rPr>
          <w:rFonts w:ascii="Times New Roman" w:eastAsia="Times New Roman" w:hAnsi="Times New Roman" w:cs="Times New Roman"/>
          <w:sz w:val="24"/>
          <w:szCs w:val="24"/>
        </w:rPr>
        <w:fldChar w:fldCharType="separate"/>
      </w:r>
      <w:r w:rsidR="00C2255A" w:rsidRPr="00C2255A">
        <w:rPr>
          <w:rFonts w:ascii="Times New Roman" w:hAnsi="Times New Roman" w:cs="Times New Roman"/>
          <w:sz w:val="24"/>
        </w:rPr>
        <w:t>[27]</w:t>
      </w:r>
      <w:r w:rsidR="00C2255A">
        <w:rPr>
          <w:rFonts w:ascii="Times New Roman" w:eastAsia="Times New Roman" w:hAnsi="Times New Roman" w:cs="Times New Roman"/>
          <w:sz w:val="24"/>
          <w:szCs w:val="24"/>
        </w:rPr>
        <w:fldChar w:fldCharType="end"/>
      </w:r>
      <w:r w:rsidRPr="006B69C8">
        <w:rPr>
          <w:rFonts w:ascii="Times New Roman" w:eastAsia="Times New Roman" w:hAnsi="Times New Roman" w:cs="Times New Roman"/>
          <w:sz w:val="24"/>
          <w:szCs w:val="24"/>
        </w:rPr>
        <w:t>.</w:t>
      </w:r>
    </w:p>
    <w:p w14:paraId="0F1FEDBA" w14:textId="046D9551"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Concurrent chemotherapy and radiotherapy with immunotherapy are being studied in various disease settings (including NSCLC and head and neck squamous</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cell carcinoma). Chemotherapy and radiation can increase immune visibility by promoting the release of antigens, the upregulation of MHC molecules, and the induction of immunogenic</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cell death and can therefore complement checkpoint blockade</w:t>
      </w:r>
      <w:r w:rsidR="00C2255A">
        <w:rPr>
          <w:rFonts w:ascii="Times New Roman" w:eastAsia="Times New Roman" w:hAnsi="Times New Roman" w:cs="Times New Roman"/>
          <w:sz w:val="24"/>
          <w:szCs w:val="24"/>
        </w:rPr>
        <w:fldChar w:fldCharType="begin"/>
      </w:r>
      <w:r w:rsidR="00C2255A">
        <w:rPr>
          <w:rFonts w:ascii="Times New Roman" w:eastAsia="Times New Roman" w:hAnsi="Times New Roman" w:cs="Times New Roman"/>
          <w:sz w:val="24"/>
          <w:szCs w:val="24"/>
        </w:rPr>
        <w:instrText xml:space="preserve"> ADDIN ZOTERO_ITEM CSL_CITATION {"citationID":"D8feuKz0","properties":{"formattedCitation":"[28]","plainCitation":"[28]","noteIndex":0},"citationItems":[{"id":4004,"uris":["http://zotero.org/users/16652950/items/7PJIMX6L"],"itemData":{"id":4004,"type":"article-journal","abstract":"Lung cancer, particularly non-small cell lung cancer (NSCLC), remains a leading cause of cancer-related deaths, with conventional treatments offering limited effectiveness in advanced stages, due to distant metastases and treatment resistance. Recent advancements in immunotherapy, specifically immune checkpoint inhibitors (ICIs), have shown promise, but their efficacy as standalone therapies are often insufficient. This has led to increased interest in combining ICIs with radiotherapy, known as radioimmunotherapy (iRT), to enhance treatment outcomes. This review explores the mechanisms that underlie the synergy between radiotherapy and immunotherapy. Radiotherapy can induce the “abscopal effect”, eliciting systemic immune responses that reduce tumor burdens outside the treated area. It also increases the expression of major histocompatibility complex class I (MHC-I) on tumor cells, improving immune recognition. Furthermore, radiotherapy can modify the tumor microenvironment by inducing metabolic reprogramming to bolster anti-tumor immunity. We discuss strategies for optimizing iRT, including considerations of radiation doses, fractionation schedules, and treatment site selection, which significantly influence immune responses by enhancing MHC-I expression or promoting T-cell infiltration. Clinical evidence supports the efficacy of iRT in NSCLC and other cancers, though challenges in standardizing treatment protocols and managing side effects persist. Overall, radioimmunotherapy presents a promising approach to improving NSCLC treatment outcomes. Ongoing research into its mechanisms and the refinement of treatment may reshape clinical practice, offering more effective and personalized options for patients with advanced lung cancer. Further studies are essential to validate these findings and optimize therapeutic protocols.","container-title":"Frontiers in Immunology","DOI":"10.3389/fimmu.2024.1522508","ISSN":"1664-3224","journalAbbreviation":"Front. Immunol.","language":"English","note":"publisher: Frontiers","source":"Frontiers","title":"Radioimmunotherapy: a game-changer for advanced non-small cell lung cancer","title-short":"Radioimmunotherapy","URL":"https://www.frontiersin.org/journals/immunology/articles/10.3389/fimmu.2024.1522508/full","volume":"15","author":[{"family":"Xue","given":"Huichan"},{"family":"Chen","given":"Yunshang"},{"family":"Zhou","given":"Yun"}],"accessed":{"date-parts":[["2025",6,18]]},"issued":{"date-parts":[["2024",12,6]]}}}],"schema":"https://github.com/citation-style-language/schema/raw/master/csl-citation.json"} </w:instrText>
      </w:r>
      <w:r w:rsidR="00C2255A">
        <w:rPr>
          <w:rFonts w:ascii="Times New Roman" w:eastAsia="Times New Roman" w:hAnsi="Times New Roman" w:cs="Times New Roman"/>
          <w:sz w:val="24"/>
          <w:szCs w:val="24"/>
        </w:rPr>
        <w:fldChar w:fldCharType="separate"/>
      </w:r>
      <w:r w:rsidR="00C2255A" w:rsidRPr="00C2255A">
        <w:rPr>
          <w:rFonts w:ascii="Times New Roman" w:hAnsi="Times New Roman" w:cs="Times New Roman"/>
          <w:sz w:val="24"/>
        </w:rPr>
        <w:t>[28]</w:t>
      </w:r>
      <w:r w:rsidR="00C2255A">
        <w:rPr>
          <w:rFonts w:ascii="Times New Roman" w:eastAsia="Times New Roman" w:hAnsi="Times New Roman" w:cs="Times New Roman"/>
          <w:sz w:val="24"/>
          <w:szCs w:val="24"/>
        </w:rPr>
        <w:fldChar w:fldCharType="end"/>
      </w:r>
      <w:r w:rsidRPr="006B69C8">
        <w:rPr>
          <w:rFonts w:ascii="Times New Roman" w:eastAsia="Times New Roman" w:hAnsi="Times New Roman" w:cs="Times New Roman"/>
          <w:sz w:val="24"/>
          <w:szCs w:val="24"/>
        </w:rPr>
        <w:t>.</w:t>
      </w:r>
    </w:p>
    <w:p w14:paraId="1DFACE7E" w14:textId="59302A62" w:rsidR="00C2255A" w:rsidRPr="00C2255A" w:rsidRDefault="00C2255A" w:rsidP="00C2255A">
      <w:pPr>
        <w:spacing w:before="100" w:beforeAutospacing="1" w:after="100" w:afterAutospacing="1" w:line="240" w:lineRule="auto"/>
        <w:rPr>
          <w:rFonts w:ascii="Times New Roman" w:eastAsia="Times New Roman" w:hAnsi="Times New Roman" w:cs="Times New Roman"/>
          <w:sz w:val="24"/>
          <w:szCs w:val="24"/>
        </w:rPr>
      </w:pPr>
      <w:r w:rsidRPr="00C2255A">
        <w:rPr>
          <w:rFonts w:ascii="Times New Roman" w:eastAsia="Times New Roman" w:hAnsi="Times New Roman" w:cs="Times New Roman"/>
          <w:sz w:val="24"/>
          <w:szCs w:val="24"/>
        </w:rPr>
        <w:t>Another novel approach is to combine immunotherapy with anti-angiogenic agents, such as bevacizumab, which not only leads to tumor vascular disruption but also modifies the tumor microenvironment (TME), decreasing hypoxia and enhancing T cell invasion. This strategy has shown promising results in renal cell carcinoma and is currently being explored in clinical trials for other solid tumors to improve therapeutic efficacy and overcome resistance to immune checkpoint inhibitors</w:t>
      </w:r>
      <w:r w:rsidR="00F95E9E">
        <w:rPr>
          <w:rFonts w:ascii="Times New Roman" w:eastAsia="Times New Roman" w:hAnsi="Times New Roman" w:cs="Times New Roman"/>
          <w:sz w:val="24"/>
          <w:szCs w:val="24"/>
        </w:rPr>
        <w:fldChar w:fldCharType="begin"/>
      </w:r>
      <w:r w:rsidR="00F95E9E">
        <w:rPr>
          <w:rFonts w:ascii="Times New Roman" w:eastAsia="Times New Roman" w:hAnsi="Times New Roman" w:cs="Times New Roman"/>
          <w:sz w:val="24"/>
          <w:szCs w:val="24"/>
        </w:rPr>
        <w:instrText xml:space="preserve"> ADDIN ZOTERO_ITEM CSL_CITATION {"citationID":"50g00JEb","properties":{"formattedCitation":"[29]","plainCitation":"[29]","noteIndex":0},"citationItems":[{"id":4006,"uris":["http://zotero.org/users/16652950/items/AIGGBF94"],"itemData":{"id":4006,"type":"article-journal","abstract":"Advances in cancer immunity have promoted a major breakthrough in the field of cancer therapy. This is mainly associated with the successful development of immune checkpoint inhibitors (ICIs) for multiple types of human tumors. Blockade with different ICIs, including programmed cell death 1 (PD-1), programmed cell death-ligand 1 (PD-L1), and cytotoxic T-lymphocyte-associated protein 4 (CTLA-4) inhibitors, may activate the immune system of the host against malignant cells. However, only a subgroup of patients with cancer would benefit from immune checkpoint blockade. Some patients experience primary resistance to initial immunotherapy, and a majority eventually develop acquired resistance to ICIs. However, the mechanisms involved in the development of drug resistance to immune checkpoint blockade remain unclear. Recent studies supported that combination of ICIs and anti-angiogenic agents could be a promising therapeutic strategy for overcoming the low efficacy of ICIs. Moreover, through their direct anti-cancer effect by inhibiting tumor growth and metastasis, anti-angiogenic drugs reprogram the tumor milieu from an immunosuppressive to an immune permissive microenvironment. Activated immunity by immune checkpoint blockade also facilitates anti-angiogenesis by downregulating the expression of vascular endothelial growth factor and alleviating hypoxia condition. Many clinical trials showed an improved anti-cancer efficacy and prolonged survival following the addition of anti-angiogenic agents to ICIs. This review summarizes the current understanding and clinical development of combination therapy with immune checkpoint blockade and anti-angiogenic strategy.","container-title":"Frontiers in Immunology","DOI":"10.3389/fimmu.2020.01956","ISSN":"1664-3224","journalAbbreviation":"Front Immunol","note":"PMID: 32983126\nPMCID: PMC7477085","page":"1956","source":"PubMed Central","title":"Anti-angiogenic Agents in Combination With Immune Checkpoint Inhibitors: A Promising Strategy for Cancer Treatment","title-short":"Anti-angiogenic Agents in Combination With Immune Checkpoint Inhibitors","volume":"11","author":[{"family":"Song","given":"Yuxiao"},{"family":"Fu","given":"Yang"},{"family":"Xie","given":"Qi"},{"family":"Zhu","given":"Bo"},{"family":"Wang","given":"Jun"},{"family":"Zhang","given":"Bicheng"}],"issued":{"date-parts":[["2020",8,25]]}}}],"schema":"https://github.com/citation-style-language/schema/raw/master/csl-citation.json"} </w:instrText>
      </w:r>
      <w:r w:rsidR="00F95E9E">
        <w:rPr>
          <w:rFonts w:ascii="Times New Roman" w:eastAsia="Times New Roman" w:hAnsi="Times New Roman" w:cs="Times New Roman"/>
          <w:sz w:val="24"/>
          <w:szCs w:val="24"/>
        </w:rPr>
        <w:fldChar w:fldCharType="separate"/>
      </w:r>
      <w:r w:rsidR="00F95E9E" w:rsidRPr="00F95E9E">
        <w:rPr>
          <w:rFonts w:ascii="Times New Roman" w:hAnsi="Times New Roman" w:cs="Times New Roman"/>
          <w:sz w:val="24"/>
        </w:rPr>
        <w:t>[29]</w:t>
      </w:r>
      <w:r w:rsidR="00F95E9E">
        <w:rPr>
          <w:rFonts w:ascii="Times New Roman" w:eastAsia="Times New Roman" w:hAnsi="Times New Roman" w:cs="Times New Roman"/>
          <w:sz w:val="24"/>
          <w:szCs w:val="24"/>
        </w:rPr>
        <w:fldChar w:fldCharType="end"/>
      </w:r>
      <w:r w:rsidRPr="00C2255A">
        <w:rPr>
          <w:rFonts w:ascii="Times New Roman" w:eastAsia="Times New Roman" w:hAnsi="Times New Roman" w:cs="Times New Roman"/>
          <w:sz w:val="24"/>
          <w:szCs w:val="24"/>
        </w:rPr>
        <w:t>.</w:t>
      </w:r>
    </w:p>
    <w:p w14:paraId="376EACAA" w14:textId="77777777" w:rsidR="00913684" w:rsidRDefault="00913684" w:rsidP="00913684">
      <w:pPr>
        <w:pStyle w:val="Heading4"/>
      </w:pPr>
      <w:r>
        <w:rPr>
          <w:rStyle w:val="Strong"/>
          <w:b/>
          <w:bCs/>
        </w:rPr>
        <w:t>5.2 Targeting the Tumor Microenvironment</w:t>
      </w:r>
    </w:p>
    <w:p w14:paraId="1015CFEF" w14:textId="59079F02"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Reversing immune inhibitory TME is very important in order</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to overcome local resistance. One strategy is the inhibition of CSF-1R, the</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upstream activator of TAMs. These agents may inhibit immunosuppressive cytokines and</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restore antitumor immunity through depleting or reprogramming TAMs</w:t>
      </w:r>
      <w:r w:rsidR="00F95E9E">
        <w:rPr>
          <w:rFonts w:ascii="Times New Roman" w:eastAsia="Times New Roman" w:hAnsi="Times New Roman" w:cs="Times New Roman"/>
          <w:sz w:val="24"/>
          <w:szCs w:val="24"/>
        </w:rPr>
        <w:fldChar w:fldCharType="begin"/>
      </w:r>
      <w:r w:rsidR="00F95E9E">
        <w:rPr>
          <w:rFonts w:ascii="Times New Roman" w:eastAsia="Times New Roman" w:hAnsi="Times New Roman" w:cs="Times New Roman"/>
          <w:sz w:val="24"/>
          <w:szCs w:val="24"/>
        </w:rPr>
        <w:instrText xml:space="preserve"> ADDIN ZOTERO_ITEM CSL_CITATION {"citationID":"uMM1PkPE","properties":{"formattedCitation":"[30]","plainCitation":"[30]","noteIndex":0},"citationItems":[{"id":4009,"uris":["http://zotero.org/users/16652950/items/H6CHMQ63"],"itemData":{"id":4009,"type":"article-journal","abstract":"In the last ten years, it has become increasingly clear that tumor-infiltrating myeloid cells drive not just carcinogenesis via cancer-related inflammatory processes, but also tumor development, invasion, and metastasis. Tumor-associated macrophages (TAMs) in particular are the most common kind of leucocyte in many malignancies and play a crucial role in establishing a favorable microenvironment for tumor cells. Tumor-associated macrophage (TAM) is vital as the primary immune cell subset in the tumor microenvironment (TME).In order to proliferate and spread to new locations, tumors need to be able to hide from the immune system by creating an immune-suppressive environment. Because of the existence of pro-tumoral TAMs, conventional therapies like chemotherapy and radiotherapy often fail to restrain cancer growth. These cells are also to blame for the failure of innovative immunotherapies premised on immune-checkpoint suppression. Understanding the series of metabolic changes and functional plasticity experienced by TAMs in the complex TME will help to use TAMs as a target for tumor immunotherapy and develop more effective tumor treatment strategies. This review summarizes the latest research on the TAMs functional status, metabolic changes and focuses on the targeted therapy in solid tumors.","container-title":"Frontiers in Immunology","DOI":"10.3389/fimmu.2023.1166487","ISSN":"1664-3224","journalAbbreviation":"Front Immunol","note":"PMID: 37138860\nPMCID: PMC10149956","page":"1166487","source":"PubMed Central","title":"Reprogramming tumor-associated macrophages as a unique approach to target tumor immunotherapy","volume":"14","author":[{"family":"Khan","given":"Safir Ullah"},{"family":"Khan","given":"Munir Ullah"},{"family":"Azhar Ud Din","given":"Muhammad"},{"family":"Khan","given":"Ibrar Muhammad"},{"family":"Khan","given":"Muhammad Imran"},{"family":"Bungau","given":"Simona"},{"family":"Hassan","given":"Syed Shams","dropping-particle":"ul"}],"issued":{"date-parts":[["2023",4,17]]}}}],"schema":"https://github.com/citation-style-language/schema/raw/master/csl-citation.json"} </w:instrText>
      </w:r>
      <w:r w:rsidR="00F95E9E">
        <w:rPr>
          <w:rFonts w:ascii="Times New Roman" w:eastAsia="Times New Roman" w:hAnsi="Times New Roman" w:cs="Times New Roman"/>
          <w:sz w:val="24"/>
          <w:szCs w:val="24"/>
        </w:rPr>
        <w:fldChar w:fldCharType="separate"/>
      </w:r>
      <w:r w:rsidR="00F95E9E" w:rsidRPr="00F95E9E">
        <w:rPr>
          <w:rFonts w:ascii="Times New Roman" w:hAnsi="Times New Roman" w:cs="Times New Roman"/>
          <w:sz w:val="24"/>
        </w:rPr>
        <w:t>[30]</w:t>
      </w:r>
      <w:r w:rsidR="00F95E9E">
        <w:rPr>
          <w:rFonts w:ascii="Times New Roman" w:eastAsia="Times New Roman" w:hAnsi="Times New Roman" w:cs="Times New Roman"/>
          <w:sz w:val="24"/>
          <w:szCs w:val="24"/>
        </w:rPr>
        <w:fldChar w:fldCharType="end"/>
      </w:r>
      <w:r w:rsidRPr="006B69C8">
        <w:rPr>
          <w:rFonts w:ascii="Times New Roman" w:eastAsia="Times New Roman" w:hAnsi="Times New Roman" w:cs="Times New Roman"/>
          <w:sz w:val="24"/>
          <w:szCs w:val="24"/>
        </w:rPr>
        <w:t>.</w:t>
      </w:r>
    </w:p>
    <w:p w14:paraId="2FD6B953" w14:textId="08E8C663"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IDO inhibitors have been investigated to overcome T cell</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anergy mediated by tryptophan metabolism. While early trials (</w:t>
      </w:r>
      <w:proofErr w:type="spellStart"/>
      <w:r w:rsidRPr="006B69C8">
        <w:rPr>
          <w:rFonts w:ascii="Times New Roman" w:eastAsia="Times New Roman" w:hAnsi="Times New Roman" w:cs="Times New Roman"/>
          <w:sz w:val="24"/>
          <w:szCs w:val="24"/>
        </w:rPr>
        <w:t>eg</w:t>
      </w:r>
      <w:proofErr w:type="spellEnd"/>
      <w:r w:rsidRPr="006B69C8">
        <w:rPr>
          <w:rFonts w:ascii="Times New Roman" w:eastAsia="Times New Roman" w:hAnsi="Times New Roman" w:cs="Times New Roman"/>
          <w:sz w:val="24"/>
          <w:szCs w:val="24"/>
        </w:rPr>
        <w:t xml:space="preserve">, </w:t>
      </w:r>
      <w:proofErr w:type="spellStart"/>
      <w:r w:rsidRPr="006B69C8">
        <w:rPr>
          <w:rFonts w:ascii="Times New Roman" w:eastAsia="Times New Roman" w:hAnsi="Times New Roman" w:cs="Times New Roman"/>
          <w:sz w:val="24"/>
          <w:szCs w:val="24"/>
        </w:rPr>
        <w:t>epacadostat</w:t>
      </w:r>
      <w:proofErr w:type="spellEnd"/>
      <w:r w:rsidRPr="006B69C8">
        <w:rPr>
          <w:rFonts w:ascii="Times New Roman" w:eastAsia="Times New Roman" w:hAnsi="Times New Roman" w:cs="Times New Roman"/>
          <w:sz w:val="24"/>
          <w:szCs w:val="24"/>
        </w:rPr>
        <w:t>) have been disappointing, current research</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is focused in selecting patients with better chance of response and in combining drugs to counteract tumor escape</w:t>
      </w:r>
      <w:r w:rsidR="00920A4B">
        <w:rPr>
          <w:rFonts w:ascii="Times New Roman" w:eastAsia="Times New Roman" w:hAnsi="Times New Roman" w:cs="Times New Roman"/>
          <w:sz w:val="24"/>
          <w:szCs w:val="24"/>
        </w:rPr>
        <w:fldChar w:fldCharType="begin"/>
      </w:r>
      <w:r w:rsidR="00920A4B">
        <w:rPr>
          <w:rFonts w:ascii="Times New Roman" w:eastAsia="Times New Roman" w:hAnsi="Times New Roman" w:cs="Times New Roman"/>
          <w:sz w:val="24"/>
          <w:szCs w:val="24"/>
        </w:rPr>
        <w:instrText xml:space="preserve"> ADDIN ZOTERO_ITEM CSL_CITATION {"citationID":"pzCqtKBo","properties":{"formattedCitation":"[31]","plainCitation":"[31]","noteIndex":0},"citationItems":[{"id":4019,"uris":["http://zotero.org/users/16652950/items/LR9HIXDV"],"itemData":{"id":4019,"type":"article-journal","abstract":"Immunooncology is still a growing area in cancer therapy. Drugs within this therapeutic approach do not directly target/attack the tumour but interfere with immune checkpoints and target or reprogram key metabolic pathways critical for anti-cancer immune defence. Indolamine 2,3-dioxygenase 1 (IDO1) and the tryptophan (TRP)-kynurenine pathway were identified as critical mechanisms in cancer immune escape and their inhibition as an approach with promising therapeutic potential. Particularly, a multitude of IDO1 inhibiting tryptophan analogues are widely applied in several clinical trials. However, this therapy results in a variety of implications for the patient’s physiology. This is not only due to the inhibition of an enzyme important in almost every organ and tissue in the body but also because of the general nature of the inhibitor as an analogue of a proteinogenic amino acid as well as the initiation of cellular detoxification known to affect inflammatory pathways. In this review we provide a deeper insight into the physiological consequences of an IDO1 inhibiting therapy based on TRP related molecules. We discuss potential side and off-target effects that contribute to the interpretation of unexpected positive as well as negative results of ongoing or discontinued clinical studies while we also highlight the potential of these inhibitors independent of the IDO1 signalling pathway.","container-title":"Frontiers in Immunology","DOI":"10.3389/fimmu.2019.01801","ISSN":"1664-3224","journalAbbreviation":"Front. Immunol.","language":"English","note":"publisher: Frontiers","source":"Frontiers","title":"Limitations and Off-Target Effects of Tryptophan-Related IDO Inhibitors in Cancer Treatment","URL":"https://www.frontiersin.org/journals/immunology/articles/10.3389/fimmu.2019.01801/full","volume":"10","author":[{"family":"Günther","given":"Juliane"},{"family":"Däbritz","given":"Jan"},{"family":"Wirthgen","given":"Elisa"}],"accessed":{"date-parts":[["2025",6,18]]},"issued":{"date-parts":[["2019",7,30]]}}}],"schema":"https://github.com/citation-style-language/schema/raw/master/csl-citation.json"} </w:instrText>
      </w:r>
      <w:r w:rsidR="00920A4B">
        <w:rPr>
          <w:rFonts w:ascii="Times New Roman" w:eastAsia="Times New Roman" w:hAnsi="Times New Roman" w:cs="Times New Roman"/>
          <w:sz w:val="24"/>
          <w:szCs w:val="24"/>
        </w:rPr>
        <w:fldChar w:fldCharType="separate"/>
      </w:r>
      <w:r w:rsidR="00920A4B" w:rsidRPr="00920A4B">
        <w:rPr>
          <w:rFonts w:ascii="Times New Roman" w:hAnsi="Times New Roman" w:cs="Times New Roman"/>
          <w:sz w:val="24"/>
        </w:rPr>
        <w:t>[31]</w:t>
      </w:r>
      <w:r w:rsidR="00920A4B">
        <w:rPr>
          <w:rFonts w:ascii="Times New Roman" w:eastAsia="Times New Roman" w:hAnsi="Times New Roman" w:cs="Times New Roman"/>
          <w:sz w:val="24"/>
          <w:szCs w:val="24"/>
        </w:rPr>
        <w:fldChar w:fldCharType="end"/>
      </w:r>
      <w:r w:rsidRPr="006B69C8">
        <w:rPr>
          <w:rFonts w:ascii="Times New Roman" w:eastAsia="Times New Roman" w:hAnsi="Times New Roman" w:cs="Times New Roman"/>
          <w:sz w:val="24"/>
          <w:szCs w:val="24"/>
        </w:rPr>
        <w:t>.</w:t>
      </w:r>
    </w:p>
    <w:p w14:paraId="5B907327" w14:textId="6761FC11"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TGF-β signaling, in addition to immune-exclusion and fibrosis,</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 xml:space="preserve">is another target. TGF-β inhibitors like </w:t>
      </w:r>
      <w:proofErr w:type="spellStart"/>
      <w:r w:rsidRPr="006B69C8">
        <w:rPr>
          <w:rFonts w:ascii="Times New Roman" w:eastAsia="Times New Roman" w:hAnsi="Times New Roman" w:cs="Times New Roman"/>
          <w:sz w:val="24"/>
          <w:szCs w:val="24"/>
        </w:rPr>
        <w:t>galunisertib</w:t>
      </w:r>
      <w:proofErr w:type="spellEnd"/>
      <w:r w:rsidRPr="006B69C8">
        <w:rPr>
          <w:rFonts w:ascii="Times New Roman" w:eastAsia="Times New Roman" w:hAnsi="Times New Roman" w:cs="Times New Roman"/>
          <w:sz w:val="24"/>
          <w:szCs w:val="24"/>
        </w:rPr>
        <w:t xml:space="preserve"> target</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to abrogate this immunosuppressive pathway. Preclinical data</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for dual inhibition of PD-L1 and TGF-β demonstrates promising results, especially in ‘immune excluded’ tumors</w:t>
      </w:r>
      <w:r w:rsidR="00920A4B">
        <w:rPr>
          <w:rFonts w:ascii="Times New Roman" w:eastAsia="Times New Roman" w:hAnsi="Times New Roman" w:cs="Times New Roman"/>
          <w:sz w:val="24"/>
          <w:szCs w:val="24"/>
        </w:rPr>
        <w:fldChar w:fldCharType="begin"/>
      </w:r>
      <w:r w:rsidR="00920A4B">
        <w:rPr>
          <w:rFonts w:ascii="Times New Roman" w:eastAsia="Times New Roman" w:hAnsi="Times New Roman" w:cs="Times New Roman"/>
          <w:sz w:val="24"/>
          <w:szCs w:val="24"/>
        </w:rPr>
        <w:instrText xml:space="preserve"> ADDIN ZOTERO_ITEM CSL_CITATION {"citationID":"DgrJiBMz","properties":{"formattedCitation":"[32]","plainCitation":"[32]","noteIndex":0},"citationItems":[{"id":4021,"uris":["http://zotero.org/users/16652950/items/F7BR4M3J"],"itemData":{"id":4021,"type":"article-journal","abstract":"Transforming growth factor‐β (TGF‐β) and programmed death ligand 1 (PD‐L1) initiate signaling pathways with complementary, nonredundant immunosuppressive functions in the tumor microenvironment (TME). In the TME, dysregulated TGF‐β signaling suppresses antitumor immunity and promotes cancer fibrosis, epithelial‐to‐mesenchymal transition, and angiogenesis. Meanwhile, PD‐L1 expression inactivates cytotoxic T cells and restricts immunosurveillance in the TME. Anti‐PD‐L1 therapies have been approved for the treatment of various cancers, but TGF‐β signaling in the TME is associated with resistance to these therapies. In this review, we discuss the importance of the TGF‐β and PD‐L1 pathways in cancer, as well as clinical strategies using combination therapies that block these pathways separately or approaches with dual‐targeting agents (bispecific and bifunctional immunotherapies) that may block them simultaneously. Currently, the furthest developed dual‐targeting agent is bintrafusp alfa. This drug is a first‐in‐class bifunctional fusion protein that consists of the extracellular domain of the TGF‐βRII receptor (a TGF‐β ‘trap’) fused to a human immunoglobulin G1 (IgG1) monoclonal antibody blocking PD‐L1. Given the immunosuppressive effects of the TGF‐β and PD‐L1 pathways within the TME, colocalized and simultaneous inhibition of these pathways may potentially improve clinical activity and reduce toxicity., The TGF‐β and PD‐L1 signaling pathways have complementary, nonredundant functions in the tumor microenvironment. Dysregulated TGF‐β signaling suppresses antitumor immunity and promotes cancer fibrosis, epithelial–mesenchymal transition, and angiogenesis, while PD‐L1 restricts immunosurveillance. We review existing strategies for simultaneous inhibition of these pathways, highlighting dual‐targeting agents that may provide colocalized, simultaneous inhibition.","container-title":"Molecular Oncology","DOI":"10.1002/1878-0261.13146","ISSN":"1574-7891","issue":"11","journalAbbreviation":"Mol Oncol","note":"PMID: 34854206\nPMCID: PMC9168966","page":"2117-2134","source":"PubMed Central","title":"Dual inhibition of TGF‐β and PD‐L1: a novel approach to cancer treatment","title-short":"Dual inhibition of TGF‐β and PD‐L1","volume":"16","author":[{"family":"Gulley","given":"James L."},{"family":"Schlom","given":"Jeffrey"},{"family":"Barcellos‐Hoff","given":"Mary Helen"},{"family":"Wang","given":"Xiao‐Jing"},{"family":"Seoane","given":"Joan"},{"family":"Audhuy","given":"Francois"},{"family":"Lan","given":"Yan"},{"family":"Dussault","given":"Isabelle"},{"family":"Moustakas","given":"Aristidis"}],"issued":{"date-parts":[["2022",6]]}}}],"schema":"https://github.com/citation-style-language/schema/raw/master/csl-citation.json"} </w:instrText>
      </w:r>
      <w:r w:rsidR="00920A4B">
        <w:rPr>
          <w:rFonts w:ascii="Times New Roman" w:eastAsia="Times New Roman" w:hAnsi="Times New Roman" w:cs="Times New Roman"/>
          <w:sz w:val="24"/>
          <w:szCs w:val="24"/>
        </w:rPr>
        <w:fldChar w:fldCharType="separate"/>
      </w:r>
      <w:r w:rsidR="00920A4B" w:rsidRPr="00920A4B">
        <w:rPr>
          <w:rFonts w:ascii="Times New Roman" w:hAnsi="Times New Roman" w:cs="Times New Roman"/>
          <w:sz w:val="24"/>
        </w:rPr>
        <w:t>[32]</w:t>
      </w:r>
      <w:r w:rsidR="00920A4B">
        <w:rPr>
          <w:rFonts w:ascii="Times New Roman" w:eastAsia="Times New Roman" w:hAnsi="Times New Roman" w:cs="Times New Roman"/>
          <w:sz w:val="24"/>
          <w:szCs w:val="24"/>
        </w:rPr>
        <w:fldChar w:fldCharType="end"/>
      </w:r>
      <w:r w:rsidRPr="006B69C8">
        <w:rPr>
          <w:rFonts w:ascii="Times New Roman" w:eastAsia="Times New Roman" w:hAnsi="Times New Roman" w:cs="Times New Roman"/>
          <w:sz w:val="24"/>
          <w:szCs w:val="24"/>
        </w:rPr>
        <w:t>.</w:t>
      </w:r>
    </w:p>
    <w:p w14:paraId="4F9E7C61" w14:textId="76ADA72C"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Smartened-up advanced ACT approaches are</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being developed to empower T cells in the unforgiving TME. Modulating TGF-β resistance, metabolic fitness or</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chemokine receptor expression within T cells enhances their capacity to operate in immune suppressive tumors</w:t>
      </w:r>
      <w:r w:rsidR="00920A4B">
        <w:rPr>
          <w:rFonts w:ascii="Times New Roman" w:eastAsia="Times New Roman" w:hAnsi="Times New Roman" w:cs="Times New Roman"/>
          <w:sz w:val="24"/>
          <w:szCs w:val="24"/>
        </w:rPr>
        <w:fldChar w:fldCharType="begin"/>
      </w:r>
      <w:r w:rsidR="00920A4B">
        <w:rPr>
          <w:rFonts w:ascii="Times New Roman" w:eastAsia="Times New Roman" w:hAnsi="Times New Roman" w:cs="Times New Roman"/>
          <w:sz w:val="24"/>
          <w:szCs w:val="24"/>
        </w:rPr>
        <w:instrText xml:space="preserve"> ADDIN ZOTERO_ITEM CSL_CITATION {"citationID":"xZ5FDfmc","properties":{"formattedCitation":"[33]","plainCitation":"[33]","noteIndex":0},"citationItems":[{"id":4024,"uris":["http://zotero.org/users/16652950/items/ISRSP6QH"],"itemData":{"id":4024,"type":"article-journal","abstract":"CD8 + T cells exert a critical role in eliminating cancers and chronic infections, and can provide long-term protective immunity. However, under the exposure of persistent antigen, CD8 + T cells can differentiate into terminally exhausted CD8 + T cells and lose the ability of immune surveillance and disease clearance. New insights into the molecular mechanisms of T-cell exhaustion suggest that it is a potential way to improve the efficacy of immunotherapy by restoring the function of exhausted CD8 + T cells. Transforming growth factor-β (TGF-β) is an important executor of immune homeostasis and tolerance, inhibiting the expansion and function of many components of the immune system. Recent studies have shown that TGF-β is one of the drivers for the development of exhausted CD8 + T cells. In this review, we summarized the role and mechanisms of TGF-β in the formation of exhausted CD8 + T cells and discussed ways to target those to ultimately enhance the efficacy of immunotherapy.","container-title":"Clinical and Experimental Medicine","DOI":"10.1007/s10238-024-01394-0","ISSN":"1591-8890","issue":"1","journalAbbreviation":"Clin Exp Med","note":"PMID: 38884843\nPMCID: PMC11182817","page":"128","source":"PubMed Central","title":"The role of transforming growth factor-β (TGF-β) in the formation of exhausted CD8 + T cells","volume":"24","author":[{"family":"Ma","given":"Rong"},{"family":"Sun","given":"Jin-Han"},{"family":"Wang","given":"Yan-Yang"}],"issued":{"date-parts":[["2024"]]}}}],"schema":"https://github.com/citation-style-language/schema/raw/master/csl-citation.json"} </w:instrText>
      </w:r>
      <w:r w:rsidR="00920A4B">
        <w:rPr>
          <w:rFonts w:ascii="Times New Roman" w:eastAsia="Times New Roman" w:hAnsi="Times New Roman" w:cs="Times New Roman"/>
          <w:sz w:val="24"/>
          <w:szCs w:val="24"/>
        </w:rPr>
        <w:fldChar w:fldCharType="separate"/>
      </w:r>
      <w:r w:rsidR="00920A4B" w:rsidRPr="00920A4B">
        <w:rPr>
          <w:rFonts w:ascii="Times New Roman" w:hAnsi="Times New Roman" w:cs="Times New Roman"/>
          <w:sz w:val="24"/>
        </w:rPr>
        <w:t>[33]</w:t>
      </w:r>
      <w:r w:rsidR="00920A4B">
        <w:rPr>
          <w:rFonts w:ascii="Times New Roman" w:eastAsia="Times New Roman" w:hAnsi="Times New Roman" w:cs="Times New Roman"/>
          <w:sz w:val="24"/>
          <w:szCs w:val="24"/>
        </w:rPr>
        <w:fldChar w:fldCharType="end"/>
      </w:r>
      <w:r w:rsidRPr="006B69C8">
        <w:rPr>
          <w:rFonts w:ascii="Times New Roman" w:eastAsia="Times New Roman" w:hAnsi="Times New Roman" w:cs="Times New Roman"/>
          <w:sz w:val="24"/>
          <w:szCs w:val="24"/>
        </w:rPr>
        <w:t>.</w:t>
      </w:r>
    </w:p>
    <w:p w14:paraId="5FE7B3B3" w14:textId="77777777" w:rsidR="00913684" w:rsidRDefault="00913684" w:rsidP="00913684">
      <w:pPr>
        <w:pStyle w:val="Heading4"/>
      </w:pPr>
      <w:r>
        <w:rPr>
          <w:rStyle w:val="Strong"/>
          <w:b/>
          <w:bCs/>
        </w:rPr>
        <w:lastRenderedPageBreak/>
        <w:t>5.3 Novel Immune Checkpoint Targets</w:t>
      </w:r>
    </w:p>
    <w:p w14:paraId="2C6590A8" w14:textId="77777777"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In addition to PD-1 and CTLA-4, emerging targeting strategies</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are investigating additional inhibitory receptors to drive greater rejuvenation of exhausted T cells. Agents directed against LAG-3, TIM-3, TIGIT, and VISTA are at different stages in clinical</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development.</w:t>
      </w:r>
    </w:p>
    <w:p w14:paraId="4F6B48B5" w14:textId="38148839"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 xml:space="preserve">For example, </w:t>
      </w:r>
      <w:proofErr w:type="spellStart"/>
      <w:r w:rsidRPr="006B69C8">
        <w:rPr>
          <w:rFonts w:ascii="Times New Roman" w:eastAsia="Times New Roman" w:hAnsi="Times New Roman" w:cs="Times New Roman"/>
          <w:sz w:val="24"/>
          <w:szCs w:val="24"/>
        </w:rPr>
        <w:t>relatlimab</w:t>
      </w:r>
      <w:proofErr w:type="spellEnd"/>
      <w:r w:rsidRPr="006B69C8">
        <w:rPr>
          <w:rFonts w:ascii="Times New Roman" w:eastAsia="Times New Roman" w:hAnsi="Times New Roman" w:cs="Times New Roman"/>
          <w:sz w:val="24"/>
          <w:szCs w:val="24"/>
        </w:rPr>
        <w:t xml:space="preserve"> in</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combination with nivolumab has shown better progression-free survival for advanced melanoma. Other early-phase trials are evaluating anti-TIGIT and anti-TIM-3 agents, either alone or combined with PD-1 blockade,</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with early signs of activity</w:t>
      </w:r>
      <w:r w:rsidR="00920A4B">
        <w:rPr>
          <w:rFonts w:ascii="Times New Roman" w:eastAsia="Times New Roman" w:hAnsi="Times New Roman" w:cs="Times New Roman"/>
          <w:sz w:val="24"/>
          <w:szCs w:val="24"/>
        </w:rPr>
        <w:fldChar w:fldCharType="begin"/>
      </w:r>
      <w:r w:rsidR="00920A4B">
        <w:rPr>
          <w:rFonts w:ascii="Times New Roman" w:eastAsia="Times New Roman" w:hAnsi="Times New Roman" w:cs="Times New Roman"/>
          <w:sz w:val="24"/>
          <w:szCs w:val="24"/>
        </w:rPr>
        <w:instrText xml:space="preserve"> ADDIN ZOTERO_ITEM CSL_CITATION {"citationID":"Dj7GP7y1","properties":{"formattedCitation":"[34]","plainCitation":"[34]","noteIndex":0},"citationItems":[{"id":4027,"uris":["http://zotero.org/users/16652950/items/EKNVR24M"],"itemData":{"id":4027,"type":"article-journal","abstract":"Cancer remains a significant public health issue worldwide, standing as a primary contributor to global mortality, accounting for approximately 10 million fatalities in 2020 [...]","container-title":"Cancers","DOI":"10.3390/cancers17050880","ISSN":"2072-6694","issue":"5","language":"en","license":"http://creativecommons.org/licenses/by/3.0/","note":"number: 5\npublisher: Multidisciplinary Digital Publishing Institute","page":"880","source":"www.mdpi.com","title":"Revolutionary Cancer Therapy for Personalization and Improved Efficacy: Strategies to Overcome Resistance to Immune Checkpoint Inhibitor Therapy","title-short":"Revolutionary Cancer Therapy for Personalization and Improved Efficacy","volume":"17","author":[{"family":"Almawash","given":"Saud"}],"issued":{"date-parts":[["2025",1]]}}}],"schema":"https://github.com/citation-style-language/schema/raw/master/csl-citation.json"} </w:instrText>
      </w:r>
      <w:r w:rsidR="00920A4B">
        <w:rPr>
          <w:rFonts w:ascii="Times New Roman" w:eastAsia="Times New Roman" w:hAnsi="Times New Roman" w:cs="Times New Roman"/>
          <w:sz w:val="24"/>
          <w:szCs w:val="24"/>
        </w:rPr>
        <w:fldChar w:fldCharType="separate"/>
      </w:r>
      <w:r w:rsidR="00920A4B" w:rsidRPr="00920A4B">
        <w:rPr>
          <w:rFonts w:ascii="Times New Roman" w:hAnsi="Times New Roman" w:cs="Times New Roman"/>
          <w:sz w:val="24"/>
        </w:rPr>
        <w:t>[34]</w:t>
      </w:r>
      <w:r w:rsidR="00920A4B">
        <w:rPr>
          <w:rFonts w:ascii="Times New Roman" w:eastAsia="Times New Roman" w:hAnsi="Times New Roman" w:cs="Times New Roman"/>
          <w:sz w:val="24"/>
          <w:szCs w:val="24"/>
        </w:rPr>
        <w:fldChar w:fldCharType="end"/>
      </w:r>
      <w:r w:rsidRPr="006B69C8">
        <w:rPr>
          <w:rFonts w:ascii="Times New Roman" w:eastAsia="Times New Roman" w:hAnsi="Times New Roman" w:cs="Times New Roman"/>
          <w:sz w:val="24"/>
          <w:szCs w:val="24"/>
        </w:rPr>
        <w:t>.</w:t>
      </w:r>
    </w:p>
    <w:p w14:paraId="61D13320" w14:textId="77777777"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Such novel checkpoints could also reverse resistant phenotypes which up-regulate</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compensatory mechanisms of immune suppression via plant pathogen responses.</w:t>
      </w:r>
    </w:p>
    <w:p w14:paraId="5C104894" w14:textId="77777777" w:rsidR="00913684" w:rsidRDefault="00913684" w:rsidP="00913684">
      <w:pPr>
        <w:pStyle w:val="Heading4"/>
      </w:pPr>
      <w:r>
        <w:rPr>
          <w:rStyle w:val="Strong"/>
          <w:b/>
          <w:bCs/>
        </w:rPr>
        <w:t>5.4 Personalized and Precision Immunotherapy</w:t>
      </w:r>
    </w:p>
    <w:p w14:paraId="49990D6B" w14:textId="3EF21359"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Customized therapies directed toward tumor-specific markers are</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emerging. Neoantigen vaccines, derived from sequencing each patient’s unique tumor exome, can induce specific immunity and are currently under</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 xml:space="preserve">examination in early phase trials for melanoma, glioblastoma and lung </w:t>
      </w:r>
      <w:proofErr w:type="gramStart"/>
      <w:r w:rsidRPr="006B69C8">
        <w:rPr>
          <w:rFonts w:ascii="Times New Roman" w:eastAsia="Times New Roman" w:hAnsi="Times New Roman" w:cs="Times New Roman"/>
          <w:sz w:val="24"/>
          <w:szCs w:val="24"/>
        </w:rPr>
        <w:t>cancer</w:t>
      </w:r>
      <w:r w:rsidR="00920A4B" w:rsidRPr="00920A4B">
        <w:rPr>
          <w:rFonts w:ascii="Times New Roman" w:eastAsia="Times New Roman" w:hAnsi="Times New Roman" w:cs="Times New Roman"/>
          <w:sz w:val="24"/>
          <w:szCs w:val="24"/>
        </w:rPr>
        <w:t>[</w:t>
      </w:r>
      <w:proofErr w:type="gramEnd"/>
      <w:r w:rsidR="00920A4B" w:rsidRPr="00920A4B">
        <w:rPr>
          <w:rFonts w:ascii="Times New Roman" w:eastAsia="Times New Roman" w:hAnsi="Times New Roman" w:cs="Times New Roman"/>
          <w:sz w:val="24"/>
          <w:szCs w:val="24"/>
        </w:rPr>
        <w:t>35]</w:t>
      </w:r>
      <w:r w:rsidRPr="006B69C8">
        <w:rPr>
          <w:rFonts w:ascii="Times New Roman" w:eastAsia="Times New Roman" w:hAnsi="Times New Roman" w:cs="Times New Roman"/>
          <w:sz w:val="24"/>
          <w:szCs w:val="24"/>
        </w:rPr>
        <w:t>.</w:t>
      </w:r>
    </w:p>
    <w:p w14:paraId="0FA4A5E7" w14:textId="3742303F"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TCR-engineered T cells can provide a more specific targeting approach for both intracellular (</w:t>
      </w:r>
      <w:proofErr w:type="spellStart"/>
      <w:r w:rsidRPr="006B69C8">
        <w:rPr>
          <w:rFonts w:ascii="Times New Roman" w:eastAsia="Times New Roman" w:hAnsi="Times New Roman" w:cs="Times New Roman"/>
          <w:sz w:val="24"/>
          <w:szCs w:val="24"/>
        </w:rPr>
        <w:t>eg.</w:t>
      </w:r>
      <w:proofErr w:type="spellEnd"/>
      <w:r w:rsidRPr="006B69C8">
        <w:rPr>
          <w:rFonts w:ascii="Times New Roman" w:eastAsia="Times New Roman" w:hAnsi="Times New Roman" w:cs="Times New Roman"/>
          <w:sz w:val="24"/>
          <w:szCs w:val="24"/>
        </w:rPr>
        <w:t xml:space="preserve"> via MHC-restricted TCRs) and extracellular antigens than CAR T cells, especially</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in solid tumors. This approach can be used to target shared</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oncogenic mutations (</w:t>
      </w:r>
      <w:proofErr w:type="spellStart"/>
      <w:r w:rsidRPr="006B69C8">
        <w:rPr>
          <w:rFonts w:ascii="Times New Roman" w:eastAsia="Times New Roman" w:hAnsi="Times New Roman" w:cs="Times New Roman"/>
          <w:sz w:val="24"/>
          <w:szCs w:val="24"/>
        </w:rPr>
        <w:t>eg</w:t>
      </w:r>
      <w:proofErr w:type="spellEnd"/>
      <w:r w:rsidRPr="006B69C8">
        <w:rPr>
          <w:rFonts w:ascii="Times New Roman" w:eastAsia="Times New Roman" w:hAnsi="Times New Roman" w:cs="Times New Roman"/>
          <w:sz w:val="24"/>
          <w:szCs w:val="24"/>
        </w:rPr>
        <w:t>, KRAS-G12D) or patient-specific neoantigens</w:t>
      </w:r>
      <w:r w:rsidR="00920A4B">
        <w:rPr>
          <w:rFonts w:ascii="Times New Roman" w:eastAsia="Times New Roman" w:hAnsi="Times New Roman" w:cs="Times New Roman"/>
          <w:sz w:val="24"/>
          <w:szCs w:val="24"/>
        </w:rPr>
        <w:fldChar w:fldCharType="begin"/>
      </w:r>
      <w:r w:rsidR="00920A4B">
        <w:rPr>
          <w:rFonts w:ascii="Times New Roman" w:eastAsia="Times New Roman" w:hAnsi="Times New Roman" w:cs="Times New Roman"/>
          <w:sz w:val="24"/>
          <w:szCs w:val="24"/>
        </w:rPr>
        <w:instrText xml:space="preserve"> ADDIN ZOTERO_ITEM CSL_CITATION {"citationID":"JiKjEYsB","properties":{"formattedCitation":"[35]","plainCitation":"[35]","noteIndex":0},"citationItems":[{"id":4031,"uris":["http://zotero.org/users/16652950/items/CQE6LIY5"],"itemData":{"id":4031,"type":"article-journal","abstract":"To redirect T cells against tumor cells, T cells can be engineered ex vivo to express cancer-antigen specific T cell receptors (TCRs), generating products known as TCR-engineered T cells (TCR T). Unlike chimeric antigen receptors (CARs), TCRs recognize HLA-presented peptides derived from proteins of all cellular compartments. The use of TCR T cells for adoptive cellular therapies (ACT) has gained increased attention, especially as efforts to treat solid cancers with ACTs have intensified. In this review, we describe the differing mechanisms of T cell antigen recognition and signal transduction mediated through CARs and TCRs. We describe the classes of cancer antigens recognized by current TCR T therapies and discuss both classical and emerging pre-clinical strategies for antigen-specific TCR discovery, enhancement, and validation. Finally, we review the current landscape of clinical trials for TCR T therapy and discuss what these current results indicate for the development of future engineered TCR approaches.","container-title":"Frontiers in Immunology","DOI":"10.3389/fimmu.2022.835762","ISSN":"1664-3224","journalAbbreviation":"Front Immunol","note":"PMID: 35309357\nPMCID: PMC8928448","page":"835762","source":"PubMed Central","title":"Cancer Therapy With TCR-Engineered T Cells: Current Strategies, Challenges, and Prospects","title-short":"Cancer Therapy With TCR-Engineered T Cells","volume":"13","author":[{"family":"Shafer","given":"Paul"},{"family":"Kelly","given":"Lauren M."},{"family":"Hoyos","given":"Valentina"}],"issued":{"date-parts":[["2022",3,3]]}}}],"schema":"https://github.com/citation-style-language/schema/raw/master/csl-citation.json"} </w:instrText>
      </w:r>
      <w:r w:rsidR="00920A4B">
        <w:rPr>
          <w:rFonts w:ascii="Times New Roman" w:eastAsia="Times New Roman" w:hAnsi="Times New Roman" w:cs="Times New Roman"/>
          <w:sz w:val="24"/>
          <w:szCs w:val="24"/>
        </w:rPr>
        <w:fldChar w:fldCharType="separate"/>
      </w:r>
      <w:r w:rsidR="00920A4B" w:rsidRPr="00920A4B">
        <w:rPr>
          <w:rFonts w:ascii="Times New Roman" w:hAnsi="Times New Roman" w:cs="Times New Roman"/>
          <w:sz w:val="24"/>
        </w:rPr>
        <w:t>[35]</w:t>
      </w:r>
      <w:r w:rsidR="00920A4B">
        <w:rPr>
          <w:rFonts w:ascii="Times New Roman" w:eastAsia="Times New Roman" w:hAnsi="Times New Roman" w:cs="Times New Roman"/>
          <w:sz w:val="24"/>
          <w:szCs w:val="24"/>
        </w:rPr>
        <w:fldChar w:fldCharType="end"/>
      </w:r>
      <w:r w:rsidRPr="006B69C8">
        <w:rPr>
          <w:rFonts w:ascii="Times New Roman" w:eastAsia="Times New Roman" w:hAnsi="Times New Roman" w:cs="Times New Roman"/>
          <w:sz w:val="24"/>
          <w:szCs w:val="24"/>
        </w:rPr>
        <w:t>.</w:t>
      </w:r>
    </w:p>
    <w:p w14:paraId="3A7D5534" w14:textId="128C8F66"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Liquid biopsy AI-based modeling and multi-omics (omics from multiple biological sources) biomarkers are</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being developed to match the right therapy and predict resistance. Combining ctDNA and immune profiling serially may provide</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a basis for on-treatment adjustments and the detection of resistance mechanisms</w:t>
      </w:r>
      <w:r w:rsidR="00732492">
        <w:rPr>
          <w:rFonts w:ascii="Times New Roman" w:eastAsia="Times New Roman" w:hAnsi="Times New Roman" w:cs="Times New Roman"/>
          <w:sz w:val="24"/>
          <w:szCs w:val="24"/>
        </w:rPr>
        <w:fldChar w:fldCharType="begin"/>
      </w:r>
      <w:r w:rsidR="00732492">
        <w:rPr>
          <w:rFonts w:ascii="Times New Roman" w:eastAsia="Times New Roman" w:hAnsi="Times New Roman" w:cs="Times New Roman"/>
          <w:sz w:val="24"/>
          <w:szCs w:val="24"/>
        </w:rPr>
        <w:instrText xml:space="preserve"> ADDIN ZOTERO_ITEM CSL_CITATION {"citationID":"BVBcys1N","properties":{"formattedCitation":"[36]","plainCitation":"[36]","noteIndex":0},"citationItems":[{"id":4034,"uris":["http://zotero.org/users/16652950/items/A59FEIB4"],"itemData":{"id":4034,"type":"article-journal","abstract":"In the last years, liquid biopsy gained increasing clinical relevance for detecting and monitoring several cancer types, being minimally invasive, highly informative and replicable over time. This revolutionary approach can be complementary and may, in the future, replace tissue biopsy, which is still considered the gold standard for cancer diagnosis. “Classical” tissue biopsy is invasive, often cannot provide sufficient bioptic material for advanced screening, and can provide isolated information about disease evolution and heterogeneity. Recent literature highlighted how liquid biopsy is informative of proteomic, genomic, epigenetic, and metabolic alterations. These biomarkers can be detected and investigated using single-omic and, recently, in combination through multi-omic approaches. This review will provide an overview of the most suitable techniques to thoroughly characterize tumor biomarkers and their potential clinical applications, highlighting the importance of an integrated multi-omic, multi-analyte approach. Personalized medical investigations will soon allow patients to receive predictable prognostic evaluations, early disease diagnosis, and subsequent ad hoc treatments.","container-title":"Frontiers in Genetics","DOI":"10.3389/fgene.2023.1152470","ISSN":"1664-8021","journalAbbreviation":"Front Genet","note":"PMID: 37077538\nPMCID: PMC10109350","page":"1152470","source":"PubMed Central","title":"Enhancing clinical potential of liquid biopsy through a multi-omic approach: A systematic review","title-short":"Enhancing clinical potential of liquid biopsy through a multi-omic approach","volume":"14","author":[{"family":"Di Sario","given":"Gianna"},{"family":"Rossella","given":"Valeria"},{"family":"Famulari","given":"Elvira Smeralda"},{"family":"Maurizio","given":"Aurora"},{"family":"Lazarevic","given":"Dejan"},{"family":"Giannese","given":"Francesca"},{"family":"Felici","given":"Claudia"}],"issued":{"date-parts":[["2023",4,3]]}}}],"schema":"https://github.com/citation-style-language/schema/raw/master/csl-citation.json"} </w:instrText>
      </w:r>
      <w:r w:rsidR="00732492">
        <w:rPr>
          <w:rFonts w:ascii="Times New Roman" w:eastAsia="Times New Roman" w:hAnsi="Times New Roman" w:cs="Times New Roman"/>
          <w:sz w:val="24"/>
          <w:szCs w:val="24"/>
        </w:rPr>
        <w:fldChar w:fldCharType="separate"/>
      </w:r>
      <w:r w:rsidR="00732492" w:rsidRPr="00732492">
        <w:rPr>
          <w:rFonts w:ascii="Times New Roman" w:hAnsi="Times New Roman" w:cs="Times New Roman"/>
          <w:sz w:val="24"/>
        </w:rPr>
        <w:t>[36]</w:t>
      </w:r>
      <w:r w:rsidR="00732492">
        <w:rPr>
          <w:rFonts w:ascii="Times New Roman" w:eastAsia="Times New Roman" w:hAnsi="Times New Roman" w:cs="Times New Roman"/>
          <w:sz w:val="24"/>
          <w:szCs w:val="24"/>
        </w:rPr>
        <w:fldChar w:fldCharType="end"/>
      </w:r>
      <w:r w:rsidRPr="006B69C8">
        <w:rPr>
          <w:rFonts w:ascii="Times New Roman" w:eastAsia="Times New Roman" w:hAnsi="Times New Roman" w:cs="Times New Roman"/>
          <w:sz w:val="24"/>
          <w:szCs w:val="24"/>
        </w:rPr>
        <w:t>.</w:t>
      </w:r>
    </w:p>
    <w:p w14:paraId="753A6DE6" w14:textId="77777777"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These are efforts that target a patient’s</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optimal choice of therapy and personalized care, the ideal path to treatments that will result in more meaningful and durable benefits in the majority of cancer patients.</w:t>
      </w:r>
    </w:p>
    <w:p w14:paraId="5D9711BB" w14:textId="15508107"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Together, these are the perspectives of New Era, transitioning from one-size-fits-all immunotherapy to a dynamic, multifaceted one—personalizing treatment based on tumor biology, micro-environmental situation, and</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patient-related conditions. Enriching use of biomarkers, liquid biopsy and AI to guide patient management may lead to more</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potent and personalized responses, establishing novel therapeutic strategies currently being under development with the aim to overcome resistance mechanisms and increase the durability of cancer immune therapy are summarized in Figure 3</w:t>
      </w:r>
      <w:r w:rsidR="00732492">
        <w:rPr>
          <w:rFonts w:ascii="Times New Roman" w:eastAsia="Times New Roman" w:hAnsi="Times New Roman" w:cs="Times New Roman"/>
          <w:sz w:val="24"/>
          <w:szCs w:val="24"/>
        </w:rPr>
        <w:fldChar w:fldCharType="begin"/>
      </w:r>
      <w:r w:rsidR="00732492">
        <w:rPr>
          <w:rFonts w:ascii="Times New Roman" w:eastAsia="Times New Roman" w:hAnsi="Times New Roman" w:cs="Times New Roman"/>
          <w:sz w:val="24"/>
          <w:szCs w:val="24"/>
        </w:rPr>
        <w:instrText xml:space="preserve"> ADDIN ZOTERO_ITEM CSL_CITATION {"citationID":"KQf9qtwT","properties":{"formattedCitation":"[37]","plainCitation":"[37]","noteIndex":0},"citationItems":[{"id":4039,"uris":["http://zotero.org/users/16652950/items/HVLXV5XR"],"itemData":{"id":4039,"type":"article-journal","abstract":"Purpose of review\nThe vision and strategy for the 21st century treatment of cancer calls for a personalized approach in which therapy selection is designed for each individual patient. While genomics has led the field of personalized cancer medicine over the past several decades by connecting patient-specific DNA mutations with kinase-targeted drugs, the recent discovery that tumors evade immune surveillance has created unique challenges to personalize cancer immunotherapy. In this mini-review we will discuss how personalized medicine has evolved recently to accommodate the emerging era of cancer immunotherapy. Moreover, we will discuss novel platform technologies that have been engineered to address some of the persisting limitations.\n\nRecent finding\nBeginning with early evidence in personalized medicine, we discuss how biomarker-driven approaches to predict clinical success have evolved to account for the heterogeneous tumor ecosystem. In the emerging field of cancer immunotherapy, this challenge requires the use of a novel set of tools, distinct from the classic approach of next-generation genomic sequencing-based strategies. We will introduce new techniques that seek to tailor immunotherapy by re-programming patient-autologous T-cells, and new technologies that are emerging to predict clinical efficacy by mapping infiltration of lymphocytes, and harnessing fully humanized platforms that reconstruct and interrogate immune checkpoint blockade, ex-vivo.\n\nSummary\nWhile cancer immunotherapy is now leading to durable outcomes in difficult-to-treat cancers, success is highly variable. Developing novel approaches to study cancer immunotherapy, personalize treatment to each patient, and achieve greater outcomes is penultimate to developing sustainable cures in the future. Numerous techniques are now emerging to help guide treatment decisions, which go beyond simple biomarker-driven strategies, and are now we are seeking to interrogate the entirety of the dynamic tumor ecosystem.","container-title":"Journal of molecular biomarkers &amp; diagnosis","DOI":"10.4172/2155-9929.1000350","ISSN":"2155-9929","issue":"5","journalAbbreviation":"J Mol Biomark Diagn","note":"PMID: 29285416\nPMCID: PMC5743227","page":"350","source":"PubMed Central","title":"Cancer Immunotherapy and Personalized Medicine: Emerging Technologies and Biomarker-Based Approaches","title-short":"Cancer Immunotherapy and Personalized Medicine","volume":"8","author":[{"family":"Maciejko","given":"Laura"},{"family":"Smalley","given":"Munisha"},{"family":"Goldman","given":"Aaron"}],"issued":{"date-parts":[["2017",9]]}}}],"schema":"https://github.com/citation-style-language/schema/raw/master/csl-citation.json"} </w:instrText>
      </w:r>
      <w:r w:rsidR="00732492">
        <w:rPr>
          <w:rFonts w:ascii="Times New Roman" w:eastAsia="Times New Roman" w:hAnsi="Times New Roman" w:cs="Times New Roman"/>
          <w:sz w:val="24"/>
          <w:szCs w:val="24"/>
        </w:rPr>
        <w:fldChar w:fldCharType="separate"/>
      </w:r>
      <w:r w:rsidR="00732492" w:rsidRPr="00732492">
        <w:rPr>
          <w:rFonts w:ascii="Times New Roman" w:hAnsi="Times New Roman" w:cs="Times New Roman"/>
          <w:sz w:val="24"/>
        </w:rPr>
        <w:t>[37]</w:t>
      </w:r>
      <w:r w:rsidR="00732492">
        <w:rPr>
          <w:rFonts w:ascii="Times New Roman" w:eastAsia="Times New Roman" w:hAnsi="Times New Roman" w:cs="Times New Roman"/>
          <w:sz w:val="24"/>
          <w:szCs w:val="24"/>
        </w:rPr>
        <w:fldChar w:fldCharType="end"/>
      </w:r>
      <w:r w:rsidR="00732492">
        <w:rPr>
          <w:rFonts w:ascii="Times New Roman" w:eastAsia="Times New Roman" w:hAnsi="Times New Roman" w:cs="Times New Roman"/>
          <w:sz w:val="24"/>
          <w:szCs w:val="24"/>
        </w:rPr>
        <w:t>.</w:t>
      </w:r>
    </w:p>
    <w:p w14:paraId="2705B20F" w14:textId="7AC75C1D" w:rsidR="00BB685C" w:rsidRDefault="00BB685C" w:rsidP="00BB685C">
      <w:pPr>
        <w:pStyle w:val="NormalWeb"/>
      </w:pPr>
      <w:r>
        <w:rPr>
          <w:noProof/>
        </w:rPr>
        <w:lastRenderedPageBreak/>
        <w:drawing>
          <wp:inline distT="0" distB="0" distL="0" distR="0" wp14:anchorId="4BED01B7" wp14:editId="78BC01F5">
            <wp:extent cx="59436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tGPT Image Jun 18, 2025, 12_17_13 A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365275C3" w14:textId="77777777" w:rsidR="005D5559" w:rsidRDefault="005D5559" w:rsidP="004A3783">
      <w:pPr>
        <w:pStyle w:val="Heading3"/>
        <w:rPr>
          <w:b w:val="0"/>
          <w:bCs w:val="0"/>
        </w:rPr>
      </w:pPr>
      <w:r>
        <w:rPr>
          <w:rStyle w:val="Strong"/>
          <w:b/>
          <w:bCs/>
        </w:rPr>
        <w:t>Figure 3. Emerging Strategies to Overcome Immunotherapy Resistance</w:t>
      </w:r>
      <w:r>
        <w:rPr>
          <w:rStyle w:val="Strong"/>
          <w:b/>
          <w:bCs/>
        </w:rPr>
        <w:t xml:space="preserve">. </w:t>
      </w:r>
      <w:r w:rsidRPr="005D5559">
        <w:rPr>
          <w:rStyle w:val="Emphasis"/>
          <w:b w:val="0"/>
          <w:bCs w:val="0"/>
        </w:rPr>
        <w:t>Illustration of innovative approaches under development to overcome resistance to immunotherapy. Key strategies include: (1) Combination therapies such as checkpoint blockade with chemotherapy, targeted therapy, radiotherapy, or anti-angiogenic agents; (2) Tumor microenvironment (TME) modulation using agents like anti-CSF-1R, anti-IDO, and anti-TGF-β, or adoptive cell transfer therapies; (3) Targeting novel immune checkpoints such as LAG-3, TIM-3, TIGIT, and VISTA to enhance T cell responses; and (4) Personalized immunotherapies including neoantigen vaccines, TCR-engineered T cells, and biomarker-guided therapy selection. These multi-modal strategies aim to expand the durability and reach of cancer immunotherapy.</w:t>
      </w:r>
    </w:p>
    <w:p w14:paraId="7DD570F5" w14:textId="5A66D6FC" w:rsidR="004A3783" w:rsidRPr="005D5559" w:rsidRDefault="004A3783" w:rsidP="004A3783">
      <w:pPr>
        <w:pStyle w:val="Heading3"/>
        <w:rPr>
          <w:b w:val="0"/>
          <w:bCs w:val="0"/>
        </w:rPr>
      </w:pPr>
      <w:r>
        <w:rPr>
          <w:rStyle w:val="Strong"/>
          <w:b/>
          <w:bCs/>
        </w:rPr>
        <w:lastRenderedPageBreak/>
        <w:t>6. Challenges and Future Directions</w:t>
      </w:r>
    </w:p>
    <w:p w14:paraId="165D4FE6" w14:textId="6BE7A20A"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Immune therapy resistance is of complex nature and is difficult to</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fight against, and requires a multi-layered and complex treatment strategy. In this complex interplay, tumor-intrinsic mutations, immune preventing stroma</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and patient related factors participate dynamically and many times, unpredictably. Accordingly, there is no one-size-fits-all answer, and the mechanisms of resistance often differ not only among patients, but</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even within tumors at different times</w:t>
      </w:r>
      <w:r w:rsidR="00732492">
        <w:rPr>
          <w:rFonts w:ascii="Times New Roman" w:eastAsia="Times New Roman" w:hAnsi="Times New Roman" w:cs="Times New Roman"/>
          <w:sz w:val="24"/>
          <w:szCs w:val="24"/>
        </w:rPr>
        <w:fldChar w:fldCharType="begin"/>
      </w:r>
      <w:r w:rsidR="00732492">
        <w:rPr>
          <w:rFonts w:ascii="Times New Roman" w:eastAsia="Times New Roman" w:hAnsi="Times New Roman" w:cs="Times New Roman"/>
          <w:sz w:val="24"/>
          <w:szCs w:val="24"/>
        </w:rPr>
        <w:instrText xml:space="preserve"> ADDIN ZOTERO_ITEM CSL_CITATION {"citationID":"wvKxUmZD","properties":{"formattedCitation":"[38]","plainCitation":"[38]","noteIndex":0},"citationItems":[{"id":4042,"uris":["http://zotero.org/users/16652950/items/2867F8RI"],"itemData":{"id":4042,"type":"article-journal","abstract":"Understanding the modulation of specific immune cells within the tumor microenvironment (TME) offers new hope in cancer treatments, especially in cancer immunotherapies. In recent years, immune modulation and resistance to immunotherapy have become critical challenges in cancer treatments. However, novel strategies for immune modulation have emerged as promising approaches for oncology due to the vital roles of the immunomodulators in regulating tumor progression and metastasis and modulating immunological responses to standard of care in cancer treatments. With the progress in immuno-oncology, a growing number of novel immunomodulators and mechanisms are being uncovered, offering the potential for enhanced clinical immunotherapy in the near future. Thus, gaining a comprehensive understanding of the broader context is essential. Herein, we particularly summarize the paradoxical role of tumor-related immune cells, focusing on how targeted immune cells and their actions are modulated by immunotherapies to overcome immunotherapeutic resistance in tumor cells. We also highlight the molecular mechanisms employed by tumors to evade the long-term effects of immunotherapeutic agents, rendering them ineffective.","container-title":"International Journal of Molecular Sciences","DOI":"10.3390/ijms26072923","ISSN":"1422-0067","issue":"7","language":"en","license":"http://creativecommons.org/licenses/by/3.0/","note":"number: 7\npublisher: Multidisciplinary Digital Publishing Institute","page":"2923","source":"www.mdpi.com","title":"Immune Modulation and Immunotherapy in Solid Tumors: Mechanisms of Resistance and Potential Therapeutic Strategies","title-short":"Immune Modulation and Immunotherapy in Solid Tumors","volume":"26","author":[{"family":"Giri","given":"Suman"},{"family":"Lamichhane","given":"Gopal"},{"family":"Pandey","given":"Jitendra"},{"family":"Khadayat","given":"Ramesh"},{"family":"K. C.","given":"Sindhu"},{"family":"Devkota","given":"Hari Prasad"},{"family":"Khadka","given":"Dipendra"}],"issued":{"date-parts":[["2025",1]]}}}],"schema":"https://github.com/citation-style-language/schema/raw/master/csl-citation.json"} </w:instrText>
      </w:r>
      <w:r w:rsidR="00732492">
        <w:rPr>
          <w:rFonts w:ascii="Times New Roman" w:eastAsia="Times New Roman" w:hAnsi="Times New Roman" w:cs="Times New Roman"/>
          <w:sz w:val="24"/>
          <w:szCs w:val="24"/>
        </w:rPr>
        <w:fldChar w:fldCharType="separate"/>
      </w:r>
      <w:r w:rsidR="00732492" w:rsidRPr="00732492">
        <w:rPr>
          <w:rFonts w:ascii="Times New Roman" w:hAnsi="Times New Roman" w:cs="Times New Roman"/>
          <w:sz w:val="24"/>
        </w:rPr>
        <w:t>[38]</w:t>
      </w:r>
      <w:r w:rsidR="00732492">
        <w:rPr>
          <w:rFonts w:ascii="Times New Roman" w:eastAsia="Times New Roman" w:hAnsi="Times New Roman" w:cs="Times New Roman"/>
          <w:sz w:val="24"/>
          <w:szCs w:val="24"/>
        </w:rPr>
        <w:fldChar w:fldCharType="end"/>
      </w:r>
      <w:r w:rsidRPr="006B69C8">
        <w:rPr>
          <w:rFonts w:ascii="Times New Roman" w:eastAsia="Times New Roman" w:hAnsi="Times New Roman" w:cs="Times New Roman"/>
          <w:sz w:val="24"/>
          <w:szCs w:val="24"/>
        </w:rPr>
        <w:t>.</w:t>
      </w:r>
    </w:p>
    <w:p w14:paraId="14CEE71A" w14:textId="2681D2D7"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One major</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challenge is the development of clinical trials that are capable of accurately evaluating these multi-leveled interventions. Although combination therapy is effective theoretically, immune-related toxicities are</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 xml:space="preserve">higher and decrease the feasibility. The balance between strong </w:t>
      </w:r>
      <w:proofErr w:type="spellStart"/>
      <w:r w:rsidRPr="006B69C8">
        <w:rPr>
          <w:rFonts w:ascii="Times New Roman" w:eastAsia="Times New Roman" w:hAnsi="Times New Roman" w:cs="Times New Roman"/>
          <w:sz w:val="24"/>
          <w:szCs w:val="24"/>
        </w:rPr>
        <w:t>immunostimulation</w:t>
      </w:r>
      <w:proofErr w:type="spellEnd"/>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with a risk of autoimmunity is a difficult and not final clinical issue</w:t>
      </w:r>
      <w:r w:rsidR="00AD14CD">
        <w:rPr>
          <w:rFonts w:ascii="Times New Roman" w:eastAsia="Times New Roman" w:hAnsi="Times New Roman" w:cs="Times New Roman"/>
          <w:sz w:val="24"/>
          <w:szCs w:val="24"/>
        </w:rPr>
        <w:fldChar w:fldCharType="begin"/>
      </w:r>
      <w:r w:rsidR="00AD14CD">
        <w:rPr>
          <w:rFonts w:ascii="Times New Roman" w:eastAsia="Times New Roman" w:hAnsi="Times New Roman" w:cs="Times New Roman"/>
          <w:sz w:val="24"/>
          <w:szCs w:val="24"/>
        </w:rPr>
        <w:instrText xml:space="preserve"> ADDIN ZOTERO_ITEM CSL_CITATION {"citationID":"5OJwek5I","properties":{"formattedCitation":"[39]","plainCitation":"[39]","noteIndex":0},"citationItems":[{"id":4044,"uris":["http://zotero.org/users/16652950/items/3YE8NPUU"],"itemData":{"id":4044,"type":"article-journal","abstract":"Immune checkpoint inhibitors (ICIs) are a class of drug that produces durable and sustained anti-tumour responses in a wide variety of malignancies. The exponential rise in their use has been mirrored by a rise in immune-related adverse events (IrAEs). Knowledge of such toxicities, as well as effective management algorithms for these toxicities, is essential to optimize clinical efficacy and safety. Currently, the guidelines for management of the IrAEs are based largely on retrospective studies and case series. In this article, we review the current landscape of clinical trials investigating the management of IrAEs with an aim to develop standardised, randomised controlled trial-based management algorithms for ICI-related toxicities.","container-title":"Current Oncology","DOI":"10.3390/curroncol30070502","ISSN":"1718-7729","issue":"7","language":"en","license":"http://creativecommons.org/licenses/by/3.0/","note":"number: 7\npublisher: Multidisciplinary Digital Publishing Institute","page":"6862-6871","source":"www.mdpi.com","title":"Prospective Clinical Trials to Advance the Study of Immune Checkpoint Inhibitor Toxicity","volume":"30","author":[{"family":"Cluxton","given":"Christopher"},{"family":"Naidoo","given":"Jarushka"}],"issued":{"date-parts":[["2023",7]]}}}],"schema":"https://github.com/citation-style-language/schema/raw/master/csl-citation.json"} </w:instrText>
      </w:r>
      <w:r w:rsidR="00AD14CD">
        <w:rPr>
          <w:rFonts w:ascii="Times New Roman" w:eastAsia="Times New Roman" w:hAnsi="Times New Roman" w:cs="Times New Roman"/>
          <w:sz w:val="24"/>
          <w:szCs w:val="24"/>
        </w:rPr>
        <w:fldChar w:fldCharType="separate"/>
      </w:r>
      <w:r w:rsidR="00AD14CD" w:rsidRPr="00AD14CD">
        <w:rPr>
          <w:rFonts w:ascii="Times New Roman" w:hAnsi="Times New Roman" w:cs="Times New Roman"/>
          <w:sz w:val="24"/>
        </w:rPr>
        <w:t>[39]</w:t>
      </w:r>
      <w:r w:rsidR="00AD14CD">
        <w:rPr>
          <w:rFonts w:ascii="Times New Roman" w:eastAsia="Times New Roman" w:hAnsi="Times New Roman" w:cs="Times New Roman"/>
          <w:sz w:val="24"/>
          <w:szCs w:val="24"/>
        </w:rPr>
        <w:fldChar w:fldCharType="end"/>
      </w:r>
      <w:r w:rsidRPr="006B69C8">
        <w:rPr>
          <w:rFonts w:ascii="Times New Roman" w:eastAsia="Times New Roman" w:hAnsi="Times New Roman" w:cs="Times New Roman"/>
          <w:sz w:val="24"/>
          <w:szCs w:val="24"/>
        </w:rPr>
        <w:t>.</w:t>
      </w:r>
    </w:p>
    <w:p w14:paraId="60847AEE" w14:textId="3B7BDA05"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Such progress in multi-omics, spatial biology, and single-cell profiling will help guide the refinement of treatment strategies,</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reshaping our cancer-immune system paradigm. These tools can</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characterize the dynamics of immune cell populations, discover predictive biomarkers, and reveal microenvironmental niches of resistance on a resolution previously not accessible</w:t>
      </w:r>
      <w:r w:rsidR="00AD14CD">
        <w:rPr>
          <w:rFonts w:ascii="Times New Roman" w:eastAsia="Times New Roman" w:hAnsi="Times New Roman" w:cs="Times New Roman"/>
          <w:sz w:val="24"/>
          <w:szCs w:val="24"/>
        </w:rPr>
        <w:fldChar w:fldCharType="begin"/>
      </w:r>
      <w:r w:rsidR="00AD14CD">
        <w:rPr>
          <w:rFonts w:ascii="Times New Roman" w:eastAsia="Times New Roman" w:hAnsi="Times New Roman" w:cs="Times New Roman"/>
          <w:sz w:val="24"/>
          <w:szCs w:val="24"/>
        </w:rPr>
        <w:instrText xml:space="preserve"> ADDIN ZOTERO_ITEM CSL_CITATION {"citationID":"wanO2tTC","properties":{"formattedCitation":"[40]","plainCitation":"[40]","noteIndex":0},"citationItems":[{"id":4048,"uris":["http://zotero.org/users/16652950/items/DZPE5L3Z"],"itemData":{"id":4048,"type":"article-journal","abstract":"Spatially resolved multi-omics revolutionizes cancer therapy by decoding the cellular and molecular heterogeneity of the tumor microenvironment through spatial coordinates. This commentary discusses the roles of spatial multi-omics in identifying precise therapeutic targets and predicting treatment responses while also highlighting the challenges that impede its integration into precision medicine., Spatially resolved multi-omics revolutionizes cancer therapy by decoding the cellular and molecular heterogeneity of the tumor microenvironment through spatial coordinates. This commentary discusses the roles of spatial multi-omics in identifying precise therapeutic targets and predicting treatment responses while also highlighting the challenges that impede its integration into precision medicine.","container-title":"Cell Reports Medicine","DOI":"10.1016/j.xcrm.2024.101740","ISSN":"2666-3791","issue":"9","journalAbbreviation":"Cell Rep Med","note":"PMID: 39293393\nPMCID: PMC11525011","page":"101740","source":"PubMed Central","title":"The spatial multi-omics revolution in cancer therapy: Precision redefined","title-short":"The spatial multi-omics revolution in cancer therapy","volume":"5","author":[{"family":"Du","given":"Yanhua"},{"family":"Ding","given":"Xinyu"},{"family":"Ye","given":"Youqiong"}],"issued":{"date-parts":[["2024",9,17]]}}}],"schema":"https://github.com/citation-style-language/schema/raw/master/csl-citation.json"} </w:instrText>
      </w:r>
      <w:r w:rsidR="00AD14CD">
        <w:rPr>
          <w:rFonts w:ascii="Times New Roman" w:eastAsia="Times New Roman" w:hAnsi="Times New Roman" w:cs="Times New Roman"/>
          <w:sz w:val="24"/>
          <w:szCs w:val="24"/>
        </w:rPr>
        <w:fldChar w:fldCharType="separate"/>
      </w:r>
      <w:r w:rsidR="00AD14CD" w:rsidRPr="00AD14CD">
        <w:rPr>
          <w:rFonts w:ascii="Times New Roman" w:hAnsi="Times New Roman" w:cs="Times New Roman"/>
          <w:sz w:val="24"/>
        </w:rPr>
        <w:t>[40]</w:t>
      </w:r>
      <w:r w:rsidR="00AD14CD">
        <w:rPr>
          <w:rFonts w:ascii="Times New Roman" w:eastAsia="Times New Roman" w:hAnsi="Times New Roman" w:cs="Times New Roman"/>
          <w:sz w:val="24"/>
          <w:szCs w:val="24"/>
        </w:rPr>
        <w:fldChar w:fldCharType="end"/>
      </w:r>
      <w:r w:rsidRPr="006B69C8">
        <w:rPr>
          <w:rFonts w:ascii="Times New Roman" w:eastAsia="Times New Roman" w:hAnsi="Times New Roman" w:cs="Times New Roman"/>
          <w:sz w:val="24"/>
          <w:szCs w:val="24"/>
        </w:rPr>
        <w:t>.</w:t>
      </w:r>
    </w:p>
    <w:p w14:paraId="556CD5ED" w14:textId="77CBBDC2"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In addition, real-time monitoring tools,</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such as liquid biopsies and ctDNA analysis, promise the ability to monitor therapeutic response and detect acquired resistance at an earlier time point. The integration</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of adaptive trial platforms such as I-SPY and WINTHER enables the more adaptive and personalized evaluation of treatments in response to changing tumor profiles and patient biomarkers</w:t>
      </w:r>
      <w:r w:rsidR="00AD14CD">
        <w:rPr>
          <w:rFonts w:ascii="Times New Roman" w:eastAsia="Times New Roman" w:hAnsi="Times New Roman" w:cs="Times New Roman"/>
          <w:sz w:val="24"/>
          <w:szCs w:val="24"/>
        </w:rPr>
        <w:fldChar w:fldCharType="begin"/>
      </w:r>
      <w:r w:rsidR="00AD14CD">
        <w:rPr>
          <w:rFonts w:ascii="Times New Roman" w:eastAsia="Times New Roman" w:hAnsi="Times New Roman" w:cs="Times New Roman"/>
          <w:sz w:val="24"/>
          <w:szCs w:val="24"/>
        </w:rPr>
        <w:instrText xml:space="preserve"> ADDIN ZOTERO_ITEM CSL_CITATION {"citationID":"3rdl6yro","properties":{"formattedCitation":"[41]","plainCitation":"[41]","noteIndex":0},"citationItems":[{"id":4050,"uris":["http://zotero.org/users/16652950/items/Y2DKLPNC"],"itemData":{"id":4050,"type":"article-journal","abstract":"Currently, tumor treatment modalities such as immunotherapy and targeted therapy have more stringent requirements for obtaining tumor growth information and require more accurate and easy‐to‐operate tumor information detection methods. Compared with traditional tissue biopsy, liquid biopsy is a novel, minimally invasive, real‐time detection tool for detecting information directly or indirectly released by tumors in human body fluids, which is more suitable for the requirements of new tumor treatment modalities. Liquid biopsy has not been widely used in clinical practice, and there are fewer reviews of related clinical applications. This review summarizes the clinical applications of liquid biopsy components (e.g., circulating tumor cells, circulating tumor DNA, extracellular vesicles, etc.) in tumorigenesis and progression. This includes the development process and detection techniques of liquid biopsies, early screening of tumors, tumor growth detection, and guiding therapeutic strategies (liquid biopsy‐based personalized medicine and prediction of treatment response). Finally, the current challenges and future directions for clinical applications of liquid biopsy are proposed. In sum, this review will inspire more researchers to use liquid biopsy technology to promote the realization of individualized therapy, improve the efficacy of tumor therapy, and provide better therapeutic options for tumor patients., Application of liquid biopsy in immunotherapy of tumors. This schematic illustrates the advantages of liquid biopsy over tissue biopsy, such as minimally invasive and reproducible. As an essential alternative or complementary tool to tissue biopsy, liquid biopsy obtains a tumor profile by analyzing tumor‐derived components from the circulation (e.g., circulating tumor cells, circulating tumor DNA, exosomes, etc.) and can be used in critical fields, such as screening for immunotherapy beneficiaries, indicating disease progression, predicting prognosis, and so on.","container-title":"MedComm","DOI":"10.1002/mco2.564","ISSN":"2688-2663","issue":"6","journalAbbreviation":"MedComm (2020)","note":"PMID: 38807975\nPMCID: PMC11130638","page":"e564","source":"PubMed Central","title":"Liquid biopsy for human cancer: cancer screening, monitoring, and treatment","title-short":"Liquid biopsy for human cancer","volume":"5","author":[{"family":"Wang","given":"Hao"},{"family":"Zhang","given":"Yi"},{"family":"Zhang","given":"Hao"},{"family":"Cao","given":"Hui"},{"family":"Mao","given":"Jinning"},{"family":"Chen","given":"Xinxin"},{"family":"Wang","given":"Liangchi"},{"family":"Zhang","given":"Nan"},{"family":"Luo","given":"Peng"},{"family":"Xue","given":"Ji"},{"family":"Qi","given":"Xiaoya"},{"family":"Dong","given":"Xiancheng"},{"family":"Liu","given":"Guodong"},{"family":"Cheng","given":"Quan"}],"issued":{"date-parts":[["2024",5,28]]}}}],"schema":"https://github.com/citation-style-language/schema/raw/master/csl-citation.json"} </w:instrText>
      </w:r>
      <w:r w:rsidR="00AD14CD">
        <w:rPr>
          <w:rFonts w:ascii="Times New Roman" w:eastAsia="Times New Roman" w:hAnsi="Times New Roman" w:cs="Times New Roman"/>
          <w:sz w:val="24"/>
          <w:szCs w:val="24"/>
        </w:rPr>
        <w:fldChar w:fldCharType="separate"/>
      </w:r>
      <w:r w:rsidR="00AD14CD" w:rsidRPr="00AD14CD">
        <w:rPr>
          <w:rFonts w:ascii="Times New Roman" w:hAnsi="Times New Roman" w:cs="Times New Roman"/>
          <w:sz w:val="24"/>
        </w:rPr>
        <w:t>[41]</w:t>
      </w:r>
      <w:r w:rsidR="00AD14CD">
        <w:rPr>
          <w:rFonts w:ascii="Times New Roman" w:eastAsia="Times New Roman" w:hAnsi="Times New Roman" w:cs="Times New Roman"/>
          <w:sz w:val="24"/>
          <w:szCs w:val="24"/>
        </w:rPr>
        <w:fldChar w:fldCharType="end"/>
      </w:r>
      <w:r w:rsidRPr="006B69C8">
        <w:rPr>
          <w:rFonts w:ascii="Times New Roman" w:eastAsia="Times New Roman" w:hAnsi="Times New Roman" w:cs="Times New Roman"/>
          <w:sz w:val="24"/>
          <w:szCs w:val="24"/>
        </w:rPr>
        <w:t>.</w:t>
      </w:r>
    </w:p>
    <w:p w14:paraId="4B57BA4A" w14:textId="77777777"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Moving forward, paradigms for the future of cancer immunotherapy will be shaped by systems-level insights into resistance, enabled by data-driven computational approaches</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and precision-guided therapeutic design. This</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will entail breaking down silos, new regulatory structures and patient-led innovation.</w:t>
      </w:r>
    </w:p>
    <w:p w14:paraId="4E0E81FB" w14:textId="77777777" w:rsidR="004A3783" w:rsidRDefault="004A3783" w:rsidP="004A3783">
      <w:pPr>
        <w:pStyle w:val="Heading3"/>
      </w:pPr>
      <w:r>
        <w:rPr>
          <w:rStyle w:val="Strong"/>
          <w:b/>
          <w:bCs/>
        </w:rPr>
        <w:t>7. Conclusion</w:t>
      </w:r>
    </w:p>
    <w:p w14:paraId="01203948" w14:textId="77777777"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Cancer immunotherapy has transformed the field of oncology, providing long-lasting responses in</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cancers traditionally considered untreatable. Nevertheless, there is no doubt that a large number of</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patients develop intrinsic or acquired resistance, constraining its wide application. Resistance manifests through a variety of mechanisms—both tumor-intrinsic, such as universal cancer mutations, as well as through an</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immunosuppressive microenvironment, and host factors—which together prevent immune recognition and killing.</w:t>
      </w:r>
    </w:p>
    <w:p w14:paraId="4C423E9F" w14:textId="77777777" w:rsidR="006B69C8" w:rsidRP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t>To address these challenges, various new strategies are being extensively investigated, such as combination therapy,</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TME modification, the discovery of immune checkpoint targets and the development of personalized cellular or vaccine therapy. Multi-omics integration, real-time monitoring, and adaptive clinical trial design are now</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pushing cancer immunotherapy closer to a fine-tuned patient-based paradigm.</w:t>
      </w:r>
    </w:p>
    <w:p w14:paraId="24692DD6" w14:textId="5240D911" w:rsidR="006B69C8" w:rsidRDefault="006B69C8" w:rsidP="006B69C8">
      <w:pPr>
        <w:spacing w:before="100" w:beforeAutospacing="1" w:after="100" w:afterAutospacing="1" w:line="240" w:lineRule="auto"/>
        <w:rPr>
          <w:rFonts w:ascii="Times New Roman" w:eastAsia="Times New Roman" w:hAnsi="Times New Roman" w:cs="Times New Roman"/>
          <w:sz w:val="24"/>
          <w:szCs w:val="24"/>
        </w:rPr>
      </w:pPr>
      <w:r w:rsidRPr="006B69C8">
        <w:rPr>
          <w:rFonts w:ascii="Times New Roman" w:eastAsia="Times New Roman" w:hAnsi="Times New Roman" w:cs="Times New Roman"/>
          <w:sz w:val="24"/>
          <w:szCs w:val="24"/>
        </w:rPr>
        <w:lastRenderedPageBreak/>
        <w:t>Although immunotherapy is a game</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changer, the ability to help the average patient long-term will need to have individualized, multimodal, and agile strategies. Further investment in translational research, mechanistic understanding, and clinical innovation will</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be necessary to fully exploit the promise of immune-based treatments for cancer. Understanding the complex biology of resistance will help bring the next generation of immunotherapy closer to delivering on its potential for</w:t>
      </w:r>
      <w:r w:rsidRPr="006B69C8">
        <w:rPr>
          <w:rFonts w:ascii="Times New Roman" w:eastAsia="Times New Roman" w:hAnsi="Times New Roman" w:cs="Times New Roman"/>
          <w:sz w:val="24"/>
          <w:szCs w:val="24"/>
        </w:rPr>
        <w:t> </w:t>
      </w:r>
      <w:r w:rsidRPr="006B69C8">
        <w:rPr>
          <w:rFonts w:ascii="Times New Roman" w:eastAsia="Times New Roman" w:hAnsi="Times New Roman" w:cs="Times New Roman"/>
          <w:sz w:val="24"/>
          <w:szCs w:val="24"/>
        </w:rPr>
        <w:t>every patient.</w:t>
      </w:r>
    </w:p>
    <w:p w14:paraId="1CD43EFD" w14:textId="15813346" w:rsidR="004D00C7" w:rsidRDefault="004D00C7" w:rsidP="006B69C8">
      <w:pPr>
        <w:spacing w:before="100" w:beforeAutospacing="1" w:after="100" w:afterAutospacing="1" w:line="240" w:lineRule="auto"/>
        <w:rPr>
          <w:rFonts w:ascii="Times New Roman" w:eastAsia="Times New Roman" w:hAnsi="Times New Roman" w:cs="Times New Roman"/>
          <w:sz w:val="24"/>
          <w:szCs w:val="24"/>
        </w:rPr>
      </w:pPr>
    </w:p>
    <w:p w14:paraId="01203806" w14:textId="77777777" w:rsidR="004D00C7" w:rsidRPr="004D00C7" w:rsidRDefault="004D00C7" w:rsidP="004D00C7">
      <w:pPr>
        <w:spacing w:after="200" w:line="276" w:lineRule="auto"/>
        <w:rPr>
          <w:rFonts w:ascii="Calibri" w:eastAsia="Calibri" w:hAnsi="Calibri" w:cs="Times New Roman"/>
          <w:kern w:val="2"/>
          <w:highlight w:val="yellow"/>
          <w14:ligatures w14:val="standardContextual"/>
        </w:rPr>
      </w:pPr>
      <w:r w:rsidRPr="004D00C7">
        <w:rPr>
          <w:rFonts w:ascii="Calibri" w:eastAsia="Calibri" w:hAnsi="Calibri" w:cs="Times New Roman"/>
          <w:kern w:val="2"/>
          <w:highlight w:val="yellow"/>
          <w14:ligatures w14:val="standardContextual"/>
        </w:rPr>
        <w:t>Disclaimer (Artificial intelligence)</w:t>
      </w:r>
    </w:p>
    <w:p w14:paraId="4C11EA50" w14:textId="77777777" w:rsidR="004D00C7" w:rsidRPr="004D00C7" w:rsidRDefault="004D00C7" w:rsidP="004D00C7">
      <w:pPr>
        <w:spacing w:after="200" w:line="276" w:lineRule="auto"/>
        <w:rPr>
          <w:rFonts w:ascii="Calibri" w:eastAsia="Calibri" w:hAnsi="Calibri" w:cs="Times New Roman"/>
          <w:kern w:val="2"/>
          <w:highlight w:val="yellow"/>
          <w14:ligatures w14:val="standardContextual"/>
        </w:rPr>
      </w:pPr>
      <w:r w:rsidRPr="004D00C7">
        <w:rPr>
          <w:rFonts w:ascii="Calibri" w:eastAsia="Calibri" w:hAnsi="Calibri" w:cs="Times New Roman"/>
          <w:kern w:val="2"/>
          <w:highlight w:val="yellow"/>
          <w14:ligatures w14:val="standardContextual"/>
        </w:rPr>
        <w:t xml:space="preserve">Option 1: </w:t>
      </w:r>
    </w:p>
    <w:p w14:paraId="6656D860" w14:textId="77777777" w:rsidR="004D00C7" w:rsidRPr="004D00C7" w:rsidRDefault="004D00C7" w:rsidP="004D00C7">
      <w:pPr>
        <w:spacing w:after="200" w:line="276" w:lineRule="auto"/>
        <w:rPr>
          <w:rFonts w:ascii="Calibri" w:eastAsia="Calibri" w:hAnsi="Calibri" w:cs="Times New Roman"/>
          <w:kern w:val="2"/>
          <w:highlight w:val="yellow"/>
          <w14:ligatures w14:val="standardContextual"/>
        </w:rPr>
      </w:pPr>
      <w:r w:rsidRPr="004D00C7">
        <w:rPr>
          <w:rFonts w:ascii="Calibri" w:eastAsia="Calibri" w:hAnsi="Calibri" w:cs="Times New Roman"/>
          <w:kern w:val="2"/>
          <w:highlight w:val="yellow"/>
          <w14:ligatures w14:val="standardContextual"/>
        </w:rPr>
        <w:t>Author(s) hereby declare that NO generative AI technologies such as Large Language Models (</w:t>
      </w:r>
      <w:proofErr w:type="spellStart"/>
      <w:r w:rsidRPr="004D00C7">
        <w:rPr>
          <w:rFonts w:ascii="Calibri" w:eastAsia="Calibri" w:hAnsi="Calibri" w:cs="Times New Roman"/>
          <w:kern w:val="2"/>
          <w:highlight w:val="yellow"/>
          <w14:ligatures w14:val="standardContextual"/>
        </w:rPr>
        <w:t>ChatGPT</w:t>
      </w:r>
      <w:proofErr w:type="spellEnd"/>
      <w:r w:rsidRPr="004D00C7">
        <w:rPr>
          <w:rFonts w:ascii="Calibri" w:eastAsia="Calibri" w:hAnsi="Calibri" w:cs="Times New Roman"/>
          <w:kern w:val="2"/>
          <w:highlight w:val="yellow"/>
          <w14:ligatures w14:val="standardContextual"/>
        </w:rPr>
        <w:t xml:space="preserve">, COPILOT, etc.) and text-to-image generators have been used during the writing or editing of this manuscript. </w:t>
      </w:r>
    </w:p>
    <w:p w14:paraId="2CB7D3F6" w14:textId="77777777" w:rsidR="004D00C7" w:rsidRPr="004D00C7" w:rsidRDefault="004D00C7" w:rsidP="004D00C7">
      <w:pPr>
        <w:spacing w:after="200" w:line="276" w:lineRule="auto"/>
        <w:rPr>
          <w:rFonts w:ascii="Calibri" w:eastAsia="Calibri" w:hAnsi="Calibri" w:cs="Times New Roman"/>
          <w:kern w:val="2"/>
          <w:highlight w:val="yellow"/>
          <w14:ligatures w14:val="standardContextual"/>
        </w:rPr>
      </w:pPr>
      <w:r w:rsidRPr="004D00C7">
        <w:rPr>
          <w:rFonts w:ascii="Calibri" w:eastAsia="Calibri" w:hAnsi="Calibri" w:cs="Times New Roman"/>
          <w:kern w:val="2"/>
          <w:highlight w:val="yellow"/>
          <w14:ligatures w14:val="standardContextual"/>
        </w:rPr>
        <w:t xml:space="preserve">Option 2: </w:t>
      </w:r>
    </w:p>
    <w:p w14:paraId="234B4C3A" w14:textId="77777777" w:rsidR="004D00C7" w:rsidRPr="004D00C7" w:rsidRDefault="004D00C7" w:rsidP="004D00C7">
      <w:pPr>
        <w:spacing w:after="200" w:line="276" w:lineRule="auto"/>
        <w:rPr>
          <w:rFonts w:ascii="Calibri" w:eastAsia="Calibri" w:hAnsi="Calibri" w:cs="Times New Roman"/>
          <w:kern w:val="2"/>
          <w:highlight w:val="yellow"/>
          <w14:ligatures w14:val="standardContextual"/>
        </w:rPr>
      </w:pPr>
      <w:r w:rsidRPr="004D00C7">
        <w:rPr>
          <w:rFonts w:ascii="Calibri" w:eastAsia="Calibri" w:hAnsi="Calibri" w:cs="Times New Roman"/>
          <w:kern w:val="2"/>
          <w:highlight w:val="yellow"/>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AB807F7" w14:textId="77777777" w:rsidR="004D00C7" w:rsidRPr="004D00C7" w:rsidRDefault="004D00C7" w:rsidP="004D00C7">
      <w:pPr>
        <w:spacing w:after="200" w:line="276" w:lineRule="auto"/>
        <w:rPr>
          <w:rFonts w:ascii="Calibri" w:eastAsia="Calibri" w:hAnsi="Calibri" w:cs="Times New Roman"/>
          <w:kern w:val="2"/>
          <w:highlight w:val="yellow"/>
          <w14:ligatures w14:val="standardContextual"/>
        </w:rPr>
      </w:pPr>
      <w:r w:rsidRPr="004D00C7">
        <w:rPr>
          <w:rFonts w:ascii="Calibri" w:eastAsia="Calibri" w:hAnsi="Calibri" w:cs="Times New Roman"/>
          <w:kern w:val="2"/>
          <w:highlight w:val="yellow"/>
          <w14:ligatures w14:val="standardContextual"/>
        </w:rPr>
        <w:t>Details of the AI usage are given below:</w:t>
      </w:r>
    </w:p>
    <w:p w14:paraId="21165FBB" w14:textId="571B9E77" w:rsidR="004D00C7" w:rsidRPr="004D00C7" w:rsidRDefault="004D00C7" w:rsidP="004D00C7">
      <w:pPr>
        <w:spacing w:after="200" w:line="276" w:lineRule="auto"/>
        <w:rPr>
          <w:rFonts w:ascii="Calibri" w:eastAsia="Calibri" w:hAnsi="Calibri" w:cs="Times New Roman"/>
          <w:kern w:val="2"/>
          <w:highlight w:val="yellow"/>
          <w14:ligatures w14:val="standardContextual"/>
        </w:rPr>
      </w:pPr>
      <w:r w:rsidRPr="004D00C7">
        <w:rPr>
          <w:rFonts w:ascii="Calibri" w:eastAsia="Calibri" w:hAnsi="Calibri" w:cs="Times New Roman"/>
          <w:kern w:val="2"/>
          <w:highlight w:val="yellow"/>
          <w14:ligatures w14:val="standardContextual"/>
        </w:rPr>
        <w:t>1.</w:t>
      </w:r>
      <w:r w:rsidR="005D5559">
        <w:rPr>
          <w:rFonts w:ascii="Calibri" w:eastAsia="Calibri" w:hAnsi="Calibri" w:cs="Times New Roman"/>
          <w:kern w:val="2"/>
          <w:highlight w:val="yellow"/>
          <w14:ligatures w14:val="standardContextual"/>
        </w:rPr>
        <w:t>option 1</w:t>
      </w:r>
      <w:bookmarkStart w:id="0" w:name="_GoBack"/>
      <w:bookmarkEnd w:id="0"/>
    </w:p>
    <w:p w14:paraId="726349F8" w14:textId="77777777" w:rsidR="004D00C7" w:rsidRPr="004D00C7" w:rsidRDefault="004D00C7" w:rsidP="004D00C7">
      <w:pPr>
        <w:spacing w:after="200" w:line="276" w:lineRule="auto"/>
        <w:rPr>
          <w:rFonts w:ascii="Calibri" w:eastAsia="Calibri" w:hAnsi="Calibri" w:cs="Times New Roman"/>
          <w:kern w:val="2"/>
          <w:highlight w:val="yellow"/>
          <w14:ligatures w14:val="standardContextual"/>
        </w:rPr>
      </w:pPr>
      <w:r w:rsidRPr="004D00C7">
        <w:rPr>
          <w:rFonts w:ascii="Calibri" w:eastAsia="Calibri" w:hAnsi="Calibri" w:cs="Times New Roman"/>
          <w:kern w:val="2"/>
          <w:highlight w:val="yellow"/>
          <w14:ligatures w14:val="standardContextual"/>
        </w:rPr>
        <w:t>2.</w:t>
      </w:r>
    </w:p>
    <w:p w14:paraId="1898C339" w14:textId="3841A6A1" w:rsidR="004D00C7" w:rsidRPr="002B4E40" w:rsidRDefault="004D00C7" w:rsidP="002B4E40">
      <w:pPr>
        <w:spacing w:after="200" w:line="276" w:lineRule="auto"/>
        <w:rPr>
          <w:rFonts w:ascii="Calibri" w:eastAsia="Calibri" w:hAnsi="Calibri" w:cs="Times New Roman"/>
          <w:kern w:val="2"/>
          <w14:ligatures w14:val="standardContextual"/>
        </w:rPr>
      </w:pPr>
      <w:r w:rsidRPr="004D00C7">
        <w:rPr>
          <w:rFonts w:ascii="Calibri" w:eastAsia="Calibri" w:hAnsi="Calibri" w:cs="Times New Roman"/>
          <w:kern w:val="2"/>
          <w:highlight w:val="yellow"/>
          <w14:ligatures w14:val="standardContextual"/>
        </w:rPr>
        <w:t>3.</w:t>
      </w:r>
      <w:r w:rsidRPr="004D00C7">
        <w:rPr>
          <w:rFonts w:ascii="Calibri" w:eastAsia="Calibri" w:hAnsi="Calibri" w:cs="Times New Roman"/>
          <w:kern w:val="2"/>
          <w14:ligatures w14:val="standardContextual"/>
        </w:rPr>
        <w:t xml:space="preserve"> </w:t>
      </w:r>
    </w:p>
    <w:p w14:paraId="50FBC0B7" w14:textId="651D1AEC" w:rsidR="008D6F0A" w:rsidRDefault="008D6F0A" w:rsidP="006B69C8">
      <w:pPr>
        <w:spacing w:before="100" w:beforeAutospacing="1" w:after="100" w:afterAutospacing="1" w:line="240" w:lineRule="auto"/>
        <w:rPr>
          <w:rFonts w:ascii="Times New Roman" w:eastAsia="Times New Roman" w:hAnsi="Times New Roman" w:cs="Times New Roman"/>
          <w:sz w:val="24"/>
          <w:szCs w:val="24"/>
        </w:rPr>
      </w:pPr>
    </w:p>
    <w:p w14:paraId="289EC5E6" w14:textId="11D67A61" w:rsidR="008D6F0A" w:rsidRDefault="008D6F0A" w:rsidP="006B69C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REFERNCES</w:t>
      </w:r>
    </w:p>
    <w:p w14:paraId="54DA4037" w14:textId="77777777" w:rsidR="008D6F0A" w:rsidRPr="008D6F0A" w:rsidRDefault="008D6F0A" w:rsidP="008D6F0A">
      <w:pPr>
        <w:pStyle w:val="Bibliography"/>
        <w:rPr>
          <w:rFonts w:ascii="Times New Roman" w:hAnsi="Times New Roman" w:cs="Times New Roman"/>
          <w:sz w:val="24"/>
        </w:rPr>
      </w:pPr>
      <w:r>
        <w:rPr>
          <w:rFonts w:eastAsia="Times New Roman"/>
        </w:rPr>
        <w:fldChar w:fldCharType="begin"/>
      </w:r>
      <w:r>
        <w:rPr>
          <w:rFonts w:eastAsia="Times New Roman"/>
        </w:rPr>
        <w:instrText xml:space="preserve"> ADDIN ZOTERO_BIBL {"uncited":[],"omitted":[],"custom":[]} CSL_BIBLIOGRAPHY </w:instrText>
      </w:r>
      <w:r>
        <w:rPr>
          <w:rFonts w:eastAsia="Times New Roman"/>
        </w:rPr>
        <w:fldChar w:fldCharType="separate"/>
      </w:r>
      <w:r w:rsidRPr="008D6F0A">
        <w:rPr>
          <w:rFonts w:ascii="Times New Roman" w:hAnsi="Times New Roman" w:cs="Times New Roman"/>
          <w:sz w:val="24"/>
        </w:rPr>
        <w:t xml:space="preserve">1. </w:t>
      </w:r>
      <w:r w:rsidRPr="008D6F0A">
        <w:rPr>
          <w:rFonts w:ascii="Times New Roman" w:hAnsi="Times New Roman" w:cs="Times New Roman"/>
          <w:sz w:val="24"/>
        </w:rPr>
        <w:tab/>
        <w:t xml:space="preserve">Li Q, Lei X, Zhu J, Zhong Y, Yang J, Wang J, et al. Radiotherapy/Chemotherapy-Immunotherapy for Cancer Management: From Mechanisms to Clinical Implications. Oxid Med Cell Longev. 2023 Feb 2;2023:7530794. </w:t>
      </w:r>
    </w:p>
    <w:p w14:paraId="53DE6E86"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2. </w:t>
      </w:r>
      <w:r w:rsidRPr="008D6F0A">
        <w:rPr>
          <w:rFonts w:ascii="Times New Roman" w:hAnsi="Times New Roman" w:cs="Times New Roman"/>
          <w:sz w:val="24"/>
        </w:rPr>
        <w:tab/>
        <w:t xml:space="preserve">Sahu M, Suryawanshi H. Immunotherapy: The future of cancer treatment. J Oral Maxillofac Pathol. 2021;25(2):371. </w:t>
      </w:r>
    </w:p>
    <w:p w14:paraId="1742DDC7"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3. </w:t>
      </w:r>
      <w:r w:rsidRPr="008D6F0A">
        <w:rPr>
          <w:rFonts w:ascii="Times New Roman" w:hAnsi="Times New Roman" w:cs="Times New Roman"/>
          <w:sz w:val="24"/>
        </w:rPr>
        <w:tab/>
        <w:t xml:space="preserve">Wudhikarn K, Soh SY, Huang H, Perales MA. Toxicity of Chimeric Antigen Receptor T Cells and its Management. Blood Cell Ther. 2021 Oct 14;4(Spec Edition):S1–7. </w:t>
      </w:r>
    </w:p>
    <w:p w14:paraId="7B42DFA0"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lastRenderedPageBreak/>
        <w:t xml:space="preserve">4. </w:t>
      </w:r>
      <w:r w:rsidRPr="008D6F0A">
        <w:rPr>
          <w:rFonts w:ascii="Times New Roman" w:hAnsi="Times New Roman" w:cs="Times New Roman"/>
          <w:sz w:val="24"/>
        </w:rPr>
        <w:tab/>
        <w:t xml:space="preserve">Schoenfeld AJ, Hellmann MD. Acquired Resistance to Immune Checkpoint Inhibitors. Cancer Cell. 2020 Apr 13;37(4):443–55. </w:t>
      </w:r>
    </w:p>
    <w:p w14:paraId="4F89F024"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5. </w:t>
      </w:r>
      <w:r w:rsidRPr="008D6F0A">
        <w:rPr>
          <w:rFonts w:ascii="Times New Roman" w:hAnsi="Times New Roman" w:cs="Times New Roman"/>
          <w:sz w:val="24"/>
        </w:rPr>
        <w:tab/>
        <w:t xml:space="preserve">Sambi M, Bagheri L, Szewczuk MR. Current Challenges in Cancer Immunotherapy: Multimodal Approaches to Improve Efficacy and Patient Response Rates. J Oncol. 2019 Feb 28;2019:4508794. </w:t>
      </w:r>
    </w:p>
    <w:p w14:paraId="79CE6805"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6. </w:t>
      </w:r>
      <w:r w:rsidRPr="008D6F0A">
        <w:rPr>
          <w:rFonts w:ascii="Times New Roman" w:hAnsi="Times New Roman" w:cs="Times New Roman"/>
          <w:sz w:val="24"/>
        </w:rPr>
        <w:tab/>
        <w:t xml:space="preserve">Naran K, Nundalall T, Chetty S, Barth S. Principles of Immunotherapy: Implications for Treatment Strategies in Cancer and Infectious Diseases. Front Microbiol. 2018 Dec 21;9:3158. </w:t>
      </w:r>
    </w:p>
    <w:p w14:paraId="7E798AF0"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7. </w:t>
      </w:r>
      <w:r w:rsidRPr="008D6F0A">
        <w:rPr>
          <w:rFonts w:ascii="Times New Roman" w:hAnsi="Times New Roman" w:cs="Times New Roman"/>
          <w:sz w:val="24"/>
        </w:rPr>
        <w:tab/>
        <w:t xml:space="preserve">Jogalekar MP, Rajendran RL, Khan F, Dmello C, Gangadaran P, Ahn BC. CAR T-Cell-Based gene therapy for cancers: new perspectives, challenges, and clinical developments. Front Immunol. 2022 Jul 22;13:925985. </w:t>
      </w:r>
    </w:p>
    <w:p w14:paraId="17D41499"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8. </w:t>
      </w:r>
      <w:r w:rsidRPr="008D6F0A">
        <w:rPr>
          <w:rFonts w:ascii="Times New Roman" w:hAnsi="Times New Roman" w:cs="Times New Roman"/>
          <w:sz w:val="24"/>
        </w:rPr>
        <w:tab/>
        <w:t xml:space="preserve">Tian Y, Xie D, Yang L. Engineering strategies to enhance oncolytic viruses in cancer immunotherapy. Signal Transduct Target Ther. 2022 Apr 6;7:117. </w:t>
      </w:r>
    </w:p>
    <w:p w14:paraId="3E26EB5A"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9. </w:t>
      </w:r>
      <w:r w:rsidRPr="008D6F0A">
        <w:rPr>
          <w:rFonts w:ascii="Times New Roman" w:hAnsi="Times New Roman" w:cs="Times New Roman"/>
          <w:sz w:val="24"/>
        </w:rPr>
        <w:tab/>
        <w:t xml:space="preserve">Feldman SA, Assadipour Y, Kriley I, Goff SL, Rosenberg SA. Adoptive Cell Therapy—Tumor-Infiltrating Lymphocytes, T-Cell Receptors, and Chimeric Antigen Receptors. Semin Oncol. 2015 Aug;42(4):626–39. </w:t>
      </w:r>
    </w:p>
    <w:p w14:paraId="761FB741"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10. </w:t>
      </w:r>
      <w:r w:rsidRPr="008D6F0A">
        <w:rPr>
          <w:rFonts w:ascii="Times New Roman" w:hAnsi="Times New Roman" w:cs="Times New Roman"/>
          <w:sz w:val="24"/>
        </w:rPr>
        <w:tab/>
        <w:t xml:space="preserve">Garg P, Pareek S, Kulkarni P, Horne D, Salgia R, Singhal SS. Next-Generation Immunotherapy: Advancing Clinical Applications in Cancer Treatment. J Clin Med. 2024 Oct 30;13(21):6537. </w:t>
      </w:r>
    </w:p>
    <w:p w14:paraId="39C63778"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11. </w:t>
      </w:r>
      <w:r w:rsidRPr="008D6F0A">
        <w:rPr>
          <w:rFonts w:ascii="Times New Roman" w:hAnsi="Times New Roman" w:cs="Times New Roman"/>
          <w:sz w:val="24"/>
        </w:rPr>
        <w:tab/>
        <w:t xml:space="preserve">Yadav RK, Ali A, Kumar S, Sharma A, Baghchi B, Singh P, et al. CAR T cell therapy: newer approaches to counter resistance and cost. Heliyon. 2020 Apr 16;6(4):e03779. </w:t>
      </w:r>
    </w:p>
    <w:p w14:paraId="044ABE01"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12. </w:t>
      </w:r>
      <w:r w:rsidRPr="008D6F0A">
        <w:rPr>
          <w:rFonts w:ascii="Times New Roman" w:hAnsi="Times New Roman" w:cs="Times New Roman"/>
          <w:sz w:val="24"/>
        </w:rPr>
        <w:tab/>
        <w:t xml:space="preserve">Cornel AM, Mimpen IL, Nierkens S. MHC Class I Downregulation in Cancer: Underlying Mechanisms and Potential Targets for Cancer Immunotherapy. Cancers (Basel). 2020 Jul 2;12(7):1760. </w:t>
      </w:r>
    </w:p>
    <w:p w14:paraId="4267E3CF"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13. </w:t>
      </w:r>
      <w:r w:rsidRPr="008D6F0A">
        <w:rPr>
          <w:rFonts w:ascii="Times New Roman" w:hAnsi="Times New Roman" w:cs="Times New Roman"/>
          <w:sz w:val="24"/>
        </w:rPr>
        <w:tab/>
        <w:t>De Sousa Linhares A, Leitner J, Grabmeier-Pfistershammer K, Steinberger P. Not All Immune Checkpoints Are Created Equal. Front Immunol [Internet]. 2018 Aug 31 [cited 2025 Jun 18];9. Available from: https://www.frontiersin.org/journals/immunology/articles/10.3389/fimmu.2018.01909/full</w:t>
      </w:r>
    </w:p>
    <w:p w14:paraId="269B65ED"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14. </w:t>
      </w:r>
      <w:r w:rsidRPr="008D6F0A">
        <w:rPr>
          <w:rFonts w:ascii="Times New Roman" w:hAnsi="Times New Roman" w:cs="Times New Roman"/>
          <w:sz w:val="24"/>
        </w:rPr>
        <w:tab/>
        <w:t xml:space="preserve">Luke JJ, Bao R, Sweis R, Spranger S, Gajewski TF. WNT/β-catenin pathway activation correlates with immune exclusion across human cancers. Clin Cancer Res. 2019 May 15;25(10):3074–83. </w:t>
      </w:r>
    </w:p>
    <w:p w14:paraId="32A1F3E4"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15. </w:t>
      </w:r>
      <w:r w:rsidRPr="008D6F0A">
        <w:rPr>
          <w:rFonts w:ascii="Times New Roman" w:hAnsi="Times New Roman" w:cs="Times New Roman"/>
          <w:sz w:val="24"/>
        </w:rPr>
        <w:tab/>
        <w:t xml:space="preserve">Li K, Shi H, Zhang B, Ou X, Ma Q, Chen Y, et al. Myeloid-derived suppressor cells as immunosuppressive regulators and therapeutic targets in cancer. Sig Transduct Target Ther. 2021 Oct 7;6(1):362. </w:t>
      </w:r>
    </w:p>
    <w:p w14:paraId="0A162D8D"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16. </w:t>
      </w:r>
      <w:r w:rsidRPr="008D6F0A">
        <w:rPr>
          <w:rFonts w:ascii="Times New Roman" w:hAnsi="Times New Roman" w:cs="Times New Roman"/>
          <w:sz w:val="24"/>
        </w:rPr>
        <w:tab/>
        <w:t xml:space="preserve">Elia I, Haigis MC. Metabolites and the tumor microenvironment: from cellular mechanisms to systemic metabolism. Nat Metab. 2021 Jan;3(1):21–32. </w:t>
      </w:r>
    </w:p>
    <w:p w14:paraId="0FDE24C9"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lastRenderedPageBreak/>
        <w:t xml:space="preserve">17. </w:t>
      </w:r>
      <w:r w:rsidRPr="008D6F0A">
        <w:rPr>
          <w:rFonts w:ascii="Times New Roman" w:hAnsi="Times New Roman" w:cs="Times New Roman"/>
          <w:sz w:val="24"/>
        </w:rPr>
        <w:tab/>
        <w:t xml:space="preserve">Sun C, Mezzadra R, Schumacher TN. Regulation and Function of the PD-L1 Checkpoint. Immunity. 2018 Mar 20;48(3):434–52. </w:t>
      </w:r>
    </w:p>
    <w:p w14:paraId="5835ED16"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18. </w:t>
      </w:r>
      <w:r w:rsidRPr="008D6F0A">
        <w:rPr>
          <w:rFonts w:ascii="Times New Roman" w:hAnsi="Times New Roman" w:cs="Times New Roman"/>
          <w:sz w:val="24"/>
        </w:rPr>
        <w:tab/>
        <w:t xml:space="preserve">Lawal OP, Adekunle JF, Abiodun AV, Orobator ET, Agbo OS, Ugoagwu KU, et al. Modulating Gut Microbiota for Precision Medicine in Diabetes: A Paradigm Shift in Personalized Treatment Strategies. Asian Journal of Research and Reports in Endocrinology. 2025 May 21;8(1):94–109. </w:t>
      </w:r>
    </w:p>
    <w:p w14:paraId="27D55C6E"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19. </w:t>
      </w:r>
      <w:r w:rsidRPr="008D6F0A">
        <w:rPr>
          <w:rFonts w:ascii="Times New Roman" w:hAnsi="Times New Roman" w:cs="Times New Roman"/>
          <w:sz w:val="24"/>
        </w:rPr>
        <w:tab/>
        <w:t xml:space="preserve">Williams TM. Human Leukocyte Antigen Gene Polymorphism and the Histocompatibility Laboratory. J Mol Diagn. 2001 Aug;3(3):98–104. </w:t>
      </w:r>
    </w:p>
    <w:p w14:paraId="3F47AFF8"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20. </w:t>
      </w:r>
      <w:r w:rsidRPr="008D6F0A">
        <w:rPr>
          <w:rFonts w:ascii="Times New Roman" w:hAnsi="Times New Roman" w:cs="Times New Roman"/>
          <w:sz w:val="24"/>
        </w:rPr>
        <w:tab/>
        <w:t xml:space="preserve">Lawal OP, Ahmed NK, Ilesanmi TA, Anthony GI, Nwosu SN, Ogungbemiro FO, et al. The Impact of Antimicrobial Resistance on Cancer Treatment: A Systematic Review of Current Evidence and Future Directions. Asian Journal of Research in Medical and Pharmaceutical Sciences. 2024 Sep 16;13(4):9–27. </w:t>
      </w:r>
    </w:p>
    <w:p w14:paraId="3C3685ED"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21. </w:t>
      </w:r>
      <w:r w:rsidRPr="008D6F0A">
        <w:rPr>
          <w:rFonts w:ascii="Times New Roman" w:hAnsi="Times New Roman" w:cs="Times New Roman"/>
          <w:sz w:val="24"/>
        </w:rPr>
        <w:tab/>
        <w:t xml:space="preserve">Wang B, Han Y, Zhang Y, Zhao Q, Wang H, Wei J, et al. Overcoming acquired resistance to cancer immune checkpoint therapy: potential strategies based on molecular mechanisms. Cell Biosci. 2023 Jun 30;13:120. </w:t>
      </w:r>
    </w:p>
    <w:p w14:paraId="12BC9DDB"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22. </w:t>
      </w:r>
      <w:r w:rsidRPr="008D6F0A">
        <w:rPr>
          <w:rFonts w:ascii="Times New Roman" w:hAnsi="Times New Roman" w:cs="Times New Roman"/>
          <w:sz w:val="24"/>
        </w:rPr>
        <w:tab/>
        <w:t xml:space="preserve">Hassel JC, Zimmer L, Sickmann T, Eigentler TK, Meier F, Mohr P, et al. Medical Needs and Therapeutic Options for Melanoma Patients Resistant to Anti-PD-1-Directed Immune Checkpoint Inhibition. Cancers (Basel). 2023 Jun 30;15(13):3448. </w:t>
      </w:r>
    </w:p>
    <w:p w14:paraId="69009C58"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23. </w:t>
      </w:r>
      <w:r w:rsidRPr="008D6F0A">
        <w:rPr>
          <w:rFonts w:ascii="Times New Roman" w:hAnsi="Times New Roman" w:cs="Times New Roman"/>
          <w:sz w:val="24"/>
        </w:rPr>
        <w:tab/>
        <w:t xml:space="preserve">Schoenfeld AJ, Hellmann MD. Acquired Resistance to Immune Checkpoint Inhibitors. Cancer Cell. 2020 Apr 13;37(4):443–55. </w:t>
      </w:r>
    </w:p>
    <w:p w14:paraId="577AC83D"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24. </w:t>
      </w:r>
      <w:r w:rsidRPr="008D6F0A">
        <w:rPr>
          <w:rFonts w:ascii="Times New Roman" w:hAnsi="Times New Roman" w:cs="Times New Roman"/>
          <w:sz w:val="24"/>
        </w:rPr>
        <w:tab/>
        <w:t xml:space="preserve">Sha D, Jin Z, Budzcies J, Kluck K, Stenzinger A, Sinicrope FA. Tumor Mutational Burden (TMB) as a Predictive Biomarker in Solid Tumors. Cancer Discov. 2020 Dec;10(12):1808–25. </w:t>
      </w:r>
    </w:p>
    <w:p w14:paraId="1C60B80F"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25. </w:t>
      </w:r>
      <w:r w:rsidRPr="008D6F0A">
        <w:rPr>
          <w:rFonts w:ascii="Times New Roman" w:hAnsi="Times New Roman" w:cs="Times New Roman"/>
          <w:sz w:val="24"/>
        </w:rPr>
        <w:tab/>
        <w:t xml:space="preserve">Okafor CE, Egwuatu EC, Owosagba VA, Njei T, Adeyemi BI, Onuche PUO, et al. From Bench to Bedside: Medicinal Chemistry Strategies in the Development of Kinase Inhibitors for Cancer Therapy. Journal of Cancer and Tumor International. 2025 May 10;15(2):79–96. </w:t>
      </w:r>
    </w:p>
    <w:p w14:paraId="4581E081"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26. </w:t>
      </w:r>
      <w:r w:rsidRPr="008D6F0A">
        <w:rPr>
          <w:rFonts w:ascii="Times New Roman" w:hAnsi="Times New Roman" w:cs="Times New Roman"/>
          <w:sz w:val="24"/>
        </w:rPr>
        <w:tab/>
        <w:t xml:space="preserve">Seidel JA, Otsuka A, Kabashima K. Anti-PD-1 and Anti-CTLA-4 Therapies in Cancer: Mechanisms of Action, Efficacy, and Limitations. Front Oncol. 2018 Mar 28;8:86. </w:t>
      </w:r>
    </w:p>
    <w:p w14:paraId="228E9287"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27. </w:t>
      </w:r>
      <w:r w:rsidRPr="008D6F0A">
        <w:rPr>
          <w:rFonts w:ascii="Times New Roman" w:hAnsi="Times New Roman" w:cs="Times New Roman"/>
          <w:sz w:val="24"/>
        </w:rPr>
        <w:tab/>
        <w:t xml:space="preserve">Ragusa F, Ferrari SM, Elia G, Paparo SR, Balestri E, Botrini C, et al. Combination Strategies Involving Immune Checkpoint Inhibitors and Tyrosine Kinase or BRAF Inhibitors in Aggressive Thyroid Cancer. International Journal of Molecular Sciences. 2022 Jan;23(10):5731. </w:t>
      </w:r>
    </w:p>
    <w:p w14:paraId="5297FA77"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28. </w:t>
      </w:r>
      <w:r w:rsidRPr="008D6F0A">
        <w:rPr>
          <w:rFonts w:ascii="Times New Roman" w:hAnsi="Times New Roman" w:cs="Times New Roman"/>
          <w:sz w:val="24"/>
        </w:rPr>
        <w:tab/>
        <w:t>Xue H, Chen Y, Zhou Y. Radioimmunotherapy: a game-changer for advanced non-small cell lung cancer. Front Immunol [Internet]. 2024 Dec 6 [cited 2025 Jun 18];15. Available from: https://www.frontiersin.org/journals/immunology/articles/10.3389/fimmu.2024.1522508/full</w:t>
      </w:r>
    </w:p>
    <w:p w14:paraId="2B7094A1"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lastRenderedPageBreak/>
        <w:t xml:space="preserve">29. </w:t>
      </w:r>
      <w:r w:rsidRPr="008D6F0A">
        <w:rPr>
          <w:rFonts w:ascii="Times New Roman" w:hAnsi="Times New Roman" w:cs="Times New Roman"/>
          <w:sz w:val="24"/>
        </w:rPr>
        <w:tab/>
        <w:t xml:space="preserve">Song Y, Fu Y, Xie Q, Zhu B, Wang J, Zhang B. Anti-angiogenic Agents in Combination With Immune Checkpoint Inhibitors: A Promising Strategy for Cancer Treatment. Front Immunol. 2020 Aug 25;11:1956. </w:t>
      </w:r>
    </w:p>
    <w:p w14:paraId="19029F76"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30. </w:t>
      </w:r>
      <w:r w:rsidRPr="008D6F0A">
        <w:rPr>
          <w:rFonts w:ascii="Times New Roman" w:hAnsi="Times New Roman" w:cs="Times New Roman"/>
          <w:sz w:val="24"/>
        </w:rPr>
        <w:tab/>
        <w:t xml:space="preserve">Khan SU, Khan MU, Azhar Ud Din M, Khan IM, Khan MI, Bungau S, et al. Reprogramming tumor-associated macrophages as a unique approach to target tumor immunotherapy. Front Immunol. 2023 Apr 17;14:1166487. </w:t>
      </w:r>
    </w:p>
    <w:p w14:paraId="14AC2379"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31. </w:t>
      </w:r>
      <w:r w:rsidRPr="008D6F0A">
        <w:rPr>
          <w:rFonts w:ascii="Times New Roman" w:hAnsi="Times New Roman" w:cs="Times New Roman"/>
          <w:sz w:val="24"/>
        </w:rPr>
        <w:tab/>
        <w:t>Günther J, Däbritz J, Wirthgen E. Limitations and Off-Target Effects of Tryptophan-Related IDO Inhibitors in Cancer Treatment. Front Immunol [Internet]. 2019 Jul 30 [cited 2025 Jun 18];10. Available from: https://www.frontiersin.org/journals/immunology/articles/10.3389/fimmu.2019.01801/full</w:t>
      </w:r>
    </w:p>
    <w:p w14:paraId="2AD995E0"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32. </w:t>
      </w:r>
      <w:r w:rsidRPr="008D6F0A">
        <w:rPr>
          <w:rFonts w:ascii="Times New Roman" w:hAnsi="Times New Roman" w:cs="Times New Roman"/>
          <w:sz w:val="24"/>
        </w:rPr>
        <w:tab/>
        <w:t xml:space="preserve">Gulley JL, Schlom J, Barcellos‐Hoff MH, Wang X, Seoane J, Audhuy F, et al. Dual inhibition of TGF‐β and PD‐L1: a novel approach to cancer treatment. Mol Oncol. 2022 Jun;16(11):2117–34. </w:t>
      </w:r>
    </w:p>
    <w:p w14:paraId="78577FB3"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33. </w:t>
      </w:r>
      <w:r w:rsidRPr="008D6F0A">
        <w:rPr>
          <w:rFonts w:ascii="Times New Roman" w:hAnsi="Times New Roman" w:cs="Times New Roman"/>
          <w:sz w:val="24"/>
        </w:rPr>
        <w:tab/>
        <w:t xml:space="preserve">Ma R, Sun JH, Wang YY. The role of transforming growth factor-β (TGF-β) in the formation of exhausted CD8 + T cells. Clin Exp Med. 2024;24(1):128. </w:t>
      </w:r>
    </w:p>
    <w:p w14:paraId="4FCAE140"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34. </w:t>
      </w:r>
      <w:r w:rsidRPr="008D6F0A">
        <w:rPr>
          <w:rFonts w:ascii="Times New Roman" w:hAnsi="Times New Roman" w:cs="Times New Roman"/>
          <w:sz w:val="24"/>
        </w:rPr>
        <w:tab/>
        <w:t xml:space="preserve">Almawash S. Revolutionary Cancer Therapy for Personalization and Improved Efficacy: Strategies to Overcome Resistance to Immune Checkpoint Inhibitor Therapy. Cancers. 2025 Jan;17(5):880. </w:t>
      </w:r>
    </w:p>
    <w:p w14:paraId="35302B65"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35. </w:t>
      </w:r>
      <w:r w:rsidRPr="008D6F0A">
        <w:rPr>
          <w:rFonts w:ascii="Times New Roman" w:hAnsi="Times New Roman" w:cs="Times New Roman"/>
          <w:sz w:val="24"/>
        </w:rPr>
        <w:tab/>
        <w:t xml:space="preserve">Shafer P, Kelly LM, Hoyos V. Cancer Therapy With TCR-Engineered T Cells: Current Strategies, Challenges, and Prospects. Front Immunol. 2022 Mar 3;13:835762. </w:t>
      </w:r>
    </w:p>
    <w:p w14:paraId="13FD7EB0"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36. </w:t>
      </w:r>
      <w:r w:rsidRPr="008D6F0A">
        <w:rPr>
          <w:rFonts w:ascii="Times New Roman" w:hAnsi="Times New Roman" w:cs="Times New Roman"/>
          <w:sz w:val="24"/>
        </w:rPr>
        <w:tab/>
        <w:t xml:space="preserve">Di Sario G, Rossella V, Famulari ES, Maurizio A, Lazarevic D, Giannese F, et al. Enhancing clinical potential of liquid biopsy through a multi-omic approach: A systematic review. Front Genet. 2023 Apr 3;14:1152470. </w:t>
      </w:r>
    </w:p>
    <w:p w14:paraId="7EF1D3DD"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37. </w:t>
      </w:r>
      <w:r w:rsidRPr="008D6F0A">
        <w:rPr>
          <w:rFonts w:ascii="Times New Roman" w:hAnsi="Times New Roman" w:cs="Times New Roman"/>
          <w:sz w:val="24"/>
        </w:rPr>
        <w:tab/>
        <w:t xml:space="preserve">Maciejko L, Smalley M, Goldman A. Cancer Immunotherapy and Personalized Medicine: Emerging Technologies and Biomarker-Based Approaches. J Mol Biomark Diagn. 2017 Sep;8(5):350. </w:t>
      </w:r>
    </w:p>
    <w:p w14:paraId="1E59D2C1"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38. </w:t>
      </w:r>
      <w:r w:rsidRPr="008D6F0A">
        <w:rPr>
          <w:rFonts w:ascii="Times New Roman" w:hAnsi="Times New Roman" w:cs="Times New Roman"/>
          <w:sz w:val="24"/>
        </w:rPr>
        <w:tab/>
        <w:t xml:space="preserve">Giri S, Lamichhane G, Pandey J, Khadayat R, K. C. S, Devkota HP, et al. Immune Modulation and Immunotherapy in Solid Tumors: Mechanisms of Resistance and Potential Therapeutic Strategies. International Journal of Molecular Sciences. 2025 Jan;26(7):2923. </w:t>
      </w:r>
    </w:p>
    <w:p w14:paraId="76F6E730"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39. </w:t>
      </w:r>
      <w:r w:rsidRPr="008D6F0A">
        <w:rPr>
          <w:rFonts w:ascii="Times New Roman" w:hAnsi="Times New Roman" w:cs="Times New Roman"/>
          <w:sz w:val="24"/>
        </w:rPr>
        <w:tab/>
        <w:t xml:space="preserve">Cluxton C, Naidoo J. Prospective Clinical Trials to Advance the Study of Immune Checkpoint Inhibitor Toxicity. Current Oncology. 2023 Jul;30(7):6862–71. </w:t>
      </w:r>
    </w:p>
    <w:p w14:paraId="79101BAA"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40. </w:t>
      </w:r>
      <w:r w:rsidRPr="008D6F0A">
        <w:rPr>
          <w:rFonts w:ascii="Times New Roman" w:hAnsi="Times New Roman" w:cs="Times New Roman"/>
          <w:sz w:val="24"/>
        </w:rPr>
        <w:tab/>
        <w:t xml:space="preserve">Du Y, Ding X, Ye Y. The spatial multi-omics revolution in cancer therapy: Precision redefined. Cell Rep Med. 2024 Sep 17;5(9):101740. </w:t>
      </w:r>
    </w:p>
    <w:p w14:paraId="7A023314" w14:textId="77777777" w:rsidR="008D6F0A" w:rsidRPr="008D6F0A" w:rsidRDefault="008D6F0A" w:rsidP="008D6F0A">
      <w:pPr>
        <w:pStyle w:val="Bibliography"/>
        <w:rPr>
          <w:rFonts w:ascii="Times New Roman" w:hAnsi="Times New Roman" w:cs="Times New Roman"/>
          <w:sz w:val="24"/>
        </w:rPr>
      </w:pPr>
      <w:r w:rsidRPr="008D6F0A">
        <w:rPr>
          <w:rFonts w:ascii="Times New Roman" w:hAnsi="Times New Roman" w:cs="Times New Roman"/>
          <w:sz w:val="24"/>
        </w:rPr>
        <w:t xml:space="preserve">41. </w:t>
      </w:r>
      <w:r w:rsidRPr="008D6F0A">
        <w:rPr>
          <w:rFonts w:ascii="Times New Roman" w:hAnsi="Times New Roman" w:cs="Times New Roman"/>
          <w:sz w:val="24"/>
        </w:rPr>
        <w:tab/>
        <w:t xml:space="preserve">Wang H, Zhang Y, Zhang H, Cao H, Mao J, Chen X, et al. Liquid biopsy for human cancer: cancer screening, monitoring, and treatment. MedComm (2020). 2024 May 28;5(6):e564. </w:t>
      </w:r>
    </w:p>
    <w:p w14:paraId="6C218652" w14:textId="46B98BE5" w:rsidR="008D6F0A" w:rsidRPr="006B69C8" w:rsidRDefault="008D6F0A" w:rsidP="006B69C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fldChar w:fldCharType="end"/>
      </w:r>
    </w:p>
    <w:p w14:paraId="34F2D93C" w14:textId="77777777" w:rsidR="004A3783" w:rsidRPr="00913684" w:rsidRDefault="004A3783" w:rsidP="006B69C8">
      <w:pPr>
        <w:pStyle w:val="NormalWeb"/>
      </w:pPr>
    </w:p>
    <w:sectPr w:rsidR="004A3783" w:rsidRPr="00913684">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AE7981" w14:textId="77777777" w:rsidR="00F82A49" w:rsidRDefault="00F82A49" w:rsidP="00B12953">
      <w:pPr>
        <w:spacing w:after="0" w:line="240" w:lineRule="auto"/>
      </w:pPr>
      <w:r>
        <w:separator/>
      </w:r>
    </w:p>
  </w:endnote>
  <w:endnote w:type="continuationSeparator" w:id="0">
    <w:p w14:paraId="4DE140D3" w14:textId="77777777" w:rsidR="00F82A49" w:rsidRDefault="00F82A49" w:rsidP="00B12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6A3D3" w14:textId="77777777" w:rsidR="00B12953" w:rsidRDefault="00B129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1C1D8" w14:textId="77777777" w:rsidR="00B12953" w:rsidRDefault="00B129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9EB2C" w14:textId="77777777" w:rsidR="00B12953" w:rsidRDefault="00B129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173C85" w14:textId="77777777" w:rsidR="00F82A49" w:rsidRDefault="00F82A49" w:rsidP="00B12953">
      <w:pPr>
        <w:spacing w:after="0" w:line="240" w:lineRule="auto"/>
      </w:pPr>
      <w:r>
        <w:separator/>
      </w:r>
    </w:p>
  </w:footnote>
  <w:footnote w:type="continuationSeparator" w:id="0">
    <w:p w14:paraId="55B6EE62" w14:textId="77777777" w:rsidR="00F82A49" w:rsidRDefault="00F82A49" w:rsidP="00B129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E7358" w14:textId="019CB978" w:rsidR="00B12953" w:rsidRDefault="00F82A49">
    <w:pPr>
      <w:pStyle w:val="Header"/>
    </w:pPr>
    <w:r>
      <w:rPr>
        <w:noProof/>
      </w:rPr>
      <w:pict w14:anchorId="5C569B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08164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6E527" w14:textId="3D061034" w:rsidR="00B12953" w:rsidRDefault="00F82A49">
    <w:pPr>
      <w:pStyle w:val="Header"/>
    </w:pPr>
    <w:r>
      <w:rPr>
        <w:noProof/>
      </w:rPr>
      <w:pict w14:anchorId="63BBF7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08164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4C272" w14:textId="3E629F69" w:rsidR="00B12953" w:rsidRDefault="00F82A49">
    <w:pPr>
      <w:pStyle w:val="Header"/>
    </w:pPr>
    <w:r>
      <w:rPr>
        <w:noProof/>
      </w:rPr>
      <w:pict w14:anchorId="6D06F1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08164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F0017"/>
    <w:multiLevelType w:val="multilevel"/>
    <w:tmpl w:val="21D07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887B03"/>
    <w:multiLevelType w:val="multilevel"/>
    <w:tmpl w:val="03F64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9E269B"/>
    <w:multiLevelType w:val="multilevel"/>
    <w:tmpl w:val="7862E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165422"/>
    <w:multiLevelType w:val="multilevel"/>
    <w:tmpl w:val="EA58E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046C4C"/>
    <w:multiLevelType w:val="multilevel"/>
    <w:tmpl w:val="EA263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D010F8"/>
    <w:multiLevelType w:val="multilevel"/>
    <w:tmpl w:val="6C0C6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194ADD"/>
    <w:multiLevelType w:val="multilevel"/>
    <w:tmpl w:val="7408B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837021"/>
    <w:multiLevelType w:val="multilevel"/>
    <w:tmpl w:val="DFCC1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57025F"/>
    <w:multiLevelType w:val="multilevel"/>
    <w:tmpl w:val="64686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0F6584"/>
    <w:multiLevelType w:val="multilevel"/>
    <w:tmpl w:val="95CEA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382BB4"/>
    <w:multiLevelType w:val="multilevel"/>
    <w:tmpl w:val="A024F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B3677C"/>
    <w:multiLevelType w:val="multilevel"/>
    <w:tmpl w:val="A7D06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693E7A"/>
    <w:multiLevelType w:val="multilevel"/>
    <w:tmpl w:val="F870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C32B54"/>
    <w:multiLevelType w:val="multilevel"/>
    <w:tmpl w:val="C5504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2"/>
  </w:num>
  <w:num w:numId="4">
    <w:abstractNumId w:val="11"/>
  </w:num>
  <w:num w:numId="5">
    <w:abstractNumId w:val="10"/>
  </w:num>
  <w:num w:numId="6">
    <w:abstractNumId w:val="8"/>
  </w:num>
  <w:num w:numId="7">
    <w:abstractNumId w:val="9"/>
  </w:num>
  <w:num w:numId="8">
    <w:abstractNumId w:val="1"/>
  </w:num>
  <w:num w:numId="9">
    <w:abstractNumId w:val="5"/>
  </w:num>
  <w:num w:numId="10">
    <w:abstractNumId w:val="6"/>
  </w:num>
  <w:num w:numId="11">
    <w:abstractNumId w:val="12"/>
  </w:num>
  <w:num w:numId="12">
    <w:abstractNumId w:val="3"/>
  </w:num>
  <w:num w:numId="13">
    <w:abstractNumId w:val="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684"/>
    <w:rsid w:val="000F4B04"/>
    <w:rsid w:val="001E62A5"/>
    <w:rsid w:val="001F4EEE"/>
    <w:rsid w:val="001F6FE0"/>
    <w:rsid w:val="0025309B"/>
    <w:rsid w:val="002A3B3F"/>
    <w:rsid w:val="002B165C"/>
    <w:rsid w:val="002B4E40"/>
    <w:rsid w:val="00390069"/>
    <w:rsid w:val="004A3783"/>
    <w:rsid w:val="004D00C7"/>
    <w:rsid w:val="005B3EFF"/>
    <w:rsid w:val="005D5559"/>
    <w:rsid w:val="00637D1D"/>
    <w:rsid w:val="006B69C8"/>
    <w:rsid w:val="006E4A25"/>
    <w:rsid w:val="00732492"/>
    <w:rsid w:val="008D6F0A"/>
    <w:rsid w:val="00913684"/>
    <w:rsid w:val="00920A4B"/>
    <w:rsid w:val="00922356"/>
    <w:rsid w:val="00995877"/>
    <w:rsid w:val="00AC67D1"/>
    <w:rsid w:val="00AD14CD"/>
    <w:rsid w:val="00B12953"/>
    <w:rsid w:val="00BB685C"/>
    <w:rsid w:val="00C2255A"/>
    <w:rsid w:val="00C4290D"/>
    <w:rsid w:val="00F47CBC"/>
    <w:rsid w:val="00F82A49"/>
    <w:rsid w:val="00F95E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F32365"/>
  <w15:chartTrackingRefBased/>
  <w15:docId w15:val="{701B5D8B-2EAB-4FEE-8FF1-8E533CC02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1368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1368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91368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1368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1368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913684"/>
    <w:rPr>
      <w:rFonts w:ascii="Times New Roman" w:eastAsia="Times New Roman" w:hAnsi="Times New Roman" w:cs="Times New Roman"/>
      <w:b/>
      <w:bCs/>
      <w:sz w:val="24"/>
      <w:szCs w:val="24"/>
    </w:rPr>
  </w:style>
  <w:style w:type="paragraph" w:styleId="NormalWeb">
    <w:name w:val="Normal (Web)"/>
    <w:basedOn w:val="Normal"/>
    <w:uiPriority w:val="99"/>
    <w:unhideWhenUsed/>
    <w:rsid w:val="0091368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13684"/>
    <w:rPr>
      <w:b/>
      <w:bCs/>
    </w:rPr>
  </w:style>
  <w:style w:type="character" w:styleId="Emphasis">
    <w:name w:val="Emphasis"/>
    <w:basedOn w:val="DefaultParagraphFont"/>
    <w:uiPriority w:val="20"/>
    <w:qFormat/>
    <w:rsid w:val="00913684"/>
    <w:rPr>
      <w:i/>
      <w:iCs/>
    </w:rPr>
  </w:style>
  <w:style w:type="paragraph" w:styleId="Bibliography">
    <w:name w:val="Bibliography"/>
    <w:basedOn w:val="Normal"/>
    <w:next w:val="Normal"/>
    <w:uiPriority w:val="37"/>
    <w:unhideWhenUsed/>
    <w:rsid w:val="008D6F0A"/>
    <w:pPr>
      <w:tabs>
        <w:tab w:val="left" w:pos="504"/>
      </w:tabs>
      <w:spacing w:after="240" w:line="240" w:lineRule="auto"/>
      <w:ind w:left="504" w:hanging="504"/>
    </w:pPr>
  </w:style>
  <w:style w:type="character" w:styleId="Hyperlink">
    <w:name w:val="Hyperlink"/>
    <w:basedOn w:val="DefaultParagraphFont"/>
    <w:uiPriority w:val="99"/>
    <w:semiHidden/>
    <w:unhideWhenUsed/>
    <w:rsid w:val="001F6FE0"/>
    <w:rPr>
      <w:color w:val="0000FF"/>
      <w:u w:val="single"/>
    </w:rPr>
  </w:style>
  <w:style w:type="paragraph" w:styleId="Header">
    <w:name w:val="header"/>
    <w:basedOn w:val="Normal"/>
    <w:link w:val="HeaderChar"/>
    <w:uiPriority w:val="99"/>
    <w:unhideWhenUsed/>
    <w:rsid w:val="00B129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2953"/>
  </w:style>
  <w:style w:type="paragraph" w:styleId="Footer">
    <w:name w:val="footer"/>
    <w:basedOn w:val="Normal"/>
    <w:link w:val="FooterChar"/>
    <w:uiPriority w:val="99"/>
    <w:unhideWhenUsed/>
    <w:rsid w:val="00B129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29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043529">
      <w:bodyDiv w:val="1"/>
      <w:marLeft w:val="0"/>
      <w:marRight w:val="0"/>
      <w:marTop w:val="0"/>
      <w:marBottom w:val="0"/>
      <w:divBdr>
        <w:top w:val="none" w:sz="0" w:space="0" w:color="auto"/>
        <w:left w:val="none" w:sz="0" w:space="0" w:color="auto"/>
        <w:bottom w:val="none" w:sz="0" w:space="0" w:color="auto"/>
        <w:right w:val="none" w:sz="0" w:space="0" w:color="auto"/>
      </w:divBdr>
    </w:div>
    <w:div w:id="227227210">
      <w:bodyDiv w:val="1"/>
      <w:marLeft w:val="0"/>
      <w:marRight w:val="0"/>
      <w:marTop w:val="0"/>
      <w:marBottom w:val="0"/>
      <w:divBdr>
        <w:top w:val="none" w:sz="0" w:space="0" w:color="auto"/>
        <w:left w:val="none" w:sz="0" w:space="0" w:color="auto"/>
        <w:bottom w:val="none" w:sz="0" w:space="0" w:color="auto"/>
        <w:right w:val="none" w:sz="0" w:space="0" w:color="auto"/>
      </w:divBdr>
    </w:div>
    <w:div w:id="263811499">
      <w:bodyDiv w:val="1"/>
      <w:marLeft w:val="0"/>
      <w:marRight w:val="0"/>
      <w:marTop w:val="0"/>
      <w:marBottom w:val="0"/>
      <w:divBdr>
        <w:top w:val="none" w:sz="0" w:space="0" w:color="auto"/>
        <w:left w:val="none" w:sz="0" w:space="0" w:color="auto"/>
        <w:bottom w:val="none" w:sz="0" w:space="0" w:color="auto"/>
        <w:right w:val="none" w:sz="0" w:space="0" w:color="auto"/>
      </w:divBdr>
    </w:div>
    <w:div w:id="309947037">
      <w:bodyDiv w:val="1"/>
      <w:marLeft w:val="0"/>
      <w:marRight w:val="0"/>
      <w:marTop w:val="0"/>
      <w:marBottom w:val="0"/>
      <w:divBdr>
        <w:top w:val="none" w:sz="0" w:space="0" w:color="auto"/>
        <w:left w:val="none" w:sz="0" w:space="0" w:color="auto"/>
        <w:bottom w:val="none" w:sz="0" w:space="0" w:color="auto"/>
        <w:right w:val="none" w:sz="0" w:space="0" w:color="auto"/>
      </w:divBdr>
    </w:div>
    <w:div w:id="486439186">
      <w:bodyDiv w:val="1"/>
      <w:marLeft w:val="0"/>
      <w:marRight w:val="0"/>
      <w:marTop w:val="0"/>
      <w:marBottom w:val="0"/>
      <w:divBdr>
        <w:top w:val="none" w:sz="0" w:space="0" w:color="auto"/>
        <w:left w:val="none" w:sz="0" w:space="0" w:color="auto"/>
        <w:bottom w:val="none" w:sz="0" w:space="0" w:color="auto"/>
        <w:right w:val="none" w:sz="0" w:space="0" w:color="auto"/>
      </w:divBdr>
    </w:div>
    <w:div w:id="494809015">
      <w:bodyDiv w:val="1"/>
      <w:marLeft w:val="0"/>
      <w:marRight w:val="0"/>
      <w:marTop w:val="0"/>
      <w:marBottom w:val="0"/>
      <w:divBdr>
        <w:top w:val="none" w:sz="0" w:space="0" w:color="auto"/>
        <w:left w:val="none" w:sz="0" w:space="0" w:color="auto"/>
        <w:bottom w:val="none" w:sz="0" w:space="0" w:color="auto"/>
        <w:right w:val="none" w:sz="0" w:space="0" w:color="auto"/>
      </w:divBdr>
    </w:div>
    <w:div w:id="542524922">
      <w:bodyDiv w:val="1"/>
      <w:marLeft w:val="0"/>
      <w:marRight w:val="0"/>
      <w:marTop w:val="0"/>
      <w:marBottom w:val="0"/>
      <w:divBdr>
        <w:top w:val="none" w:sz="0" w:space="0" w:color="auto"/>
        <w:left w:val="none" w:sz="0" w:space="0" w:color="auto"/>
        <w:bottom w:val="none" w:sz="0" w:space="0" w:color="auto"/>
        <w:right w:val="none" w:sz="0" w:space="0" w:color="auto"/>
      </w:divBdr>
    </w:div>
    <w:div w:id="667899838">
      <w:bodyDiv w:val="1"/>
      <w:marLeft w:val="0"/>
      <w:marRight w:val="0"/>
      <w:marTop w:val="0"/>
      <w:marBottom w:val="0"/>
      <w:divBdr>
        <w:top w:val="none" w:sz="0" w:space="0" w:color="auto"/>
        <w:left w:val="none" w:sz="0" w:space="0" w:color="auto"/>
        <w:bottom w:val="none" w:sz="0" w:space="0" w:color="auto"/>
        <w:right w:val="none" w:sz="0" w:space="0" w:color="auto"/>
      </w:divBdr>
    </w:div>
    <w:div w:id="696544543">
      <w:bodyDiv w:val="1"/>
      <w:marLeft w:val="0"/>
      <w:marRight w:val="0"/>
      <w:marTop w:val="0"/>
      <w:marBottom w:val="0"/>
      <w:divBdr>
        <w:top w:val="none" w:sz="0" w:space="0" w:color="auto"/>
        <w:left w:val="none" w:sz="0" w:space="0" w:color="auto"/>
        <w:bottom w:val="none" w:sz="0" w:space="0" w:color="auto"/>
        <w:right w:val="none" w:sz="0" w:space="0" w:color="auto"/>
      </w:divBdr>
    </w:div>
    <w:div w:id="706637332">
      <w:bodyDiv w:val="1"/>
      <w:marLeft w:val="0"/>
      <w:marRight w:val="0"/>
      <w:marTop w:val="0"/>
      <w:marBottom w:val="0"/>
      <w:divBdr>
        <w:top w:val="none" w:sz="0" w:space="0" w:color="auto"/>
        <w:left w:val="none" w:sz="0" w:space="0" w:color="auto"/>
        <w:bottom w:val="none" w:sz="0" w:space="0" w:color="auto"/>
        <w:right w:val="none" w:sz="0" w:space="0" w:color="auto"/>
      </w:divBdr>
    </w:div>
    <w:div w:id="796487478">
      <w:bodyDiv w:val="1"/>
      <w:marLeft w:val="0"/>
      <w:marRight w:val="0"/>
      <w:marTop w:val="0"/>
      <w:marBottom w:val="0"/>
      <w:divBdr>
        <w:top w:val="none" w:sz="0" w:space="0" w:color="auto"/>
        <w:left w:val="none" w:sz="0" w:space="0" w:color="auto"/>
        <w:bottom w:val="none" w:sz="0" w:space="0" w:color="auto"/>
        <w:right w:val="none" w:sz="0" w:space="0" w:color="auto"/>
      </w:divBdr>
    </w:div>
    <w:div w:id="803347837">
      <w:bodyDiv w:val="1"/>
      <w:marLeft w:val="0"/>
      <w:marRight w:val="0"/>
      <w:marTop w:val="0"/>
      <w:marBottom w:val="0"/>
      <w:divBdr>
        <w:top w:val="none" w:sz="0" w:space="0" w:color="auto"/>
        <w:left w:val="none" w:sz="0" w:space="0" w:color="auto"/>
        <w:bottom w:val="none" w:sz="0" w:space="0" w:color="auto"/>
        <w:right w:val="none" w:sz="0" w:space="0" w:color="auto"/>
      </w:divBdr>
    </w:div>
    <w:div w:id="837767112">
      <w:bodyDiv w:val="1"/>
      <w:marLeft w:val="0"/>
      <w:marRight w:val="0"/>
      <w:marTop w:val="0"/>
      <w:marBottom w:val="0"/>
      <w:divBdr>
        <w:top w:val="none" w:sz="0" w:space="0" w:color="auto"/>
        <w:left w:val="none" w:sz="0" w:space="0" w:color="auto"/>
        <w:bottom w:val="none" w:sz="0" w:space="0" w:color="auto"/>
        <w:right w:val="none" w:sz="0" w:space="0" w:color="auto"/>
      </w:divBdr>
    </w:div>
    <w:div w:id="843785969">
      <w:bodyDiv w:val="1"/>
      <w:marLeft w:val="0"/>
      <w:marRight w:val="0"/>
      <w:marTop w:val="0"/>
      <w:marBottom w:val="0"/>
      <w:divBdr>
        <w:top w:val="none" w:sz="0" w:space="0" w:color="auto"/>
        <w:left w:val="none" w:sz="0" w:space="0" w:color="auto"/>
        <w:bottom w:val="none" w:sz="0" w:space="0" w:color="auto"/>
        <w:right w:val="none" w:sz="0" w:space="0" w:color="auto"/>
      </w:divBdr>
    </w:div>
    <w:div w:id="859662732">
      <w:bodyDiv w:val="1"/>
      <w:marLeft w:val="0"/>
      <w:marRight w:val="0"/>
      <w:marTop w:val="0"/>
      <w:marBottom w:val="0"/>
      <w:divBdr>
        <w:top w:val="none" w:sz="0" w:space="0" w:color="auto"/>
        <w:left w:val="none" w:sz="0" w:space="0" w:color="auto"/>
        <w:bottom w:val="none" w:sz="0" w:space="0" w:color="auto"/>
        <w:right w:val="none" w:sz="0" w:space="0" w:color="auto"/>
      </w:divBdr>
    </w:div>
    <w:div w:id="991370531">
      <w:bodyDiv w:val="1"/>
      <w:marLeft w:val="0"/>
      <w:marRight w:val="0"/>
      <w:marTop w:val="0"/>
      <w:marBottom w:val="0"/>
      <w:divBdr>
        <w:top w:val="none" w:sz="0" w:space="0" w:color="auto"/>
        <w:left w:val="none" w:sz="0" w:space="0" w:color="auto"/>
        <w:bottom w:val="none" w:sz="0" w:space="0" w:color="auto"/>
        <w:right w:val="none" w:sz="0" w:space="0" w:color="auto"/>
      </w:divBdr>
    </w:div>
    <w:div w:id="1079711043">
      <w:bodyDiv w:val="1"/>
      <w:marLeft w:val="0"/>
      <w:marRight w:val="0"/>
      <w:marTop w:val="0"/>
      <w:marBottom w:val="0"/>
      <w:divBdr>
        <w:top w:val="none" w:sz="0" w:space="0" w:color="auto"/>
        <w:left w:val="none" w:sz="0" w:space="0" w:color="auto"/>
        <w:bottom w:val="none" w:sz="0" w:space="0" w:color="auto"/>
        <w:right w:val="none" w:sz="0" w:space="0" w:color="auto"/>
      </w:divBdr>
    </w:div>
    <w:div w:id="1098673504">
      <w:bodyDiv w:val="1"/>
      <w:marLeft w:val="0"/>
      <w:marRight w:val="0"/>
      <w:marTop w:val="0"/>
      <w:marBottom w:val="0"/>
      <w:divBdr>
        <w:top w:val="none" w:sz="0" w:space="0" w:color="auto"/>
        <w:left w:val="none" w:sz="0" w:space="0" w:color="auto"/>
        <w:bottom w:val="none" w:sz="0" w:space="0" w:color="auto"/>
        <w:right w:val="none" w:sz="0" w:space="0" w:color="auto"/>
      </w:divBdr>
    </w:div>
    <w:div w:id="1229878968">
      <w:bodyDiv w:val="1"/>
      <w:marLeft w:val="0"/>
      <w:marRight w:val="0"/>
      <w:marTop w:val="0"/>
      <w:marBottom w:val="0"/>
      <w:divBdr>
        <w:top w:val="none" w:sz="0" w:space="0" w:color="auto"/>
        <w:left w:val="none" w:sz="0" w:space="0" w:color="auto"/>
        <w:bottom w:val="none" w:sz="0" w:space="0" w:color="auto"/>
        <w:right w:val="none" w:sz="0" w:space="0" w:color="auto"/>
      </w:divBdr>
    </w:div>
    <w:div w:id="1270242160">
      <w:bodyDiv w:val="1"/>
      <w:marLeft w:val="0"/>
      <w:marRight w:val="0"/>
      <w:marTop w:val="0"/>
      <w:marBottom w:val="0"/>
      <w:divBdr>
        <w:top w:val="none" w:sz="0" w:space="0" w:color="auto"/>
        <w:left w:val="none" w:sz="0" w:space="0" w:color="auto"/>
        <w:bottom w:val="none" w:sz="0" w:space="0" w:color="auto"/>
        <w:right w:val="none" w:sz="0" w:space="0" w:color="auto"/>
      </w:divBdr>
    </w:div>
    <w:div w:id="1287197943">
      <w:bodyDiv w:val="1"/>
      <w:marLeft w:val="0"/>
      <w:marRight w:val="0"/>
      <w:marTop w:val="0"/>
      <w:marBottom w:val="0"/>
      <w:divBdr>
        <w:top w:val="none" w:sz="0" w:space="0" w:color="auto"/>
        <w:left w:val="none" w:sz="0" w:space="0" w:color="auto"/>
        <w:bottom w:val="none" w:sz="0" w:space="0" w:color="auto"/>
        <w:right w:val="none" w:sz="0" w:space="0" w:color="auto"/>
      </w:divBdr>
    </w:div>
    <w:div w:id="1296911881">
      <w:bodyDiv w:val="1"/>
      <w:marLeft w:val="0"/>
      <w:marRight w:val="0"/>
      <w:marTop w:val="0"/>
      <w:marBottom w:val="0"/>
      <w:divBdr>
        <w:top w:val="none" w:sz="0" w:space="0" w:color="auto"/>
        <w:left w:val="none" w:sz="0" w:space="0" w:color="auto"/>
        <w:bottom w:val="none" w:sz="0" w:space="0" w:color="auto"/>
        <w:right w:val="none" w:sz="0" w:space="0" w:color="auto"/>
      </w:divBdr>
    </w:div>
    <w:div w:id="1311209946">
      <w:bodyDiv w:val="1"/>
      <w:marLeft w:val="0"/>
      <w:marRight w:val="0"/>
      <w:marTop w:val="0"/>
      <w:marBottom w:val="0"/>
      <w:divBdr>
        <w:top w:val="none" w:sz="0" w:space="0" w:color="auto"/>
        <w:left w:val="none" w:sz="0" w:space="0" w:color="auto"/>
        <w:bottom w:val="none" w:sz="0" w:space="0" w:color="auto"/>
        <w:right w:val="none" w:sz="0" w:space="0" w:color="auto"/>
      </w:divBdr>
    </w:div>
    <w:div w:id="1328365587">
      <w:bodyDiv w:val="1"/>
      <w:marLeft w:val="0"/>
      <w:marRight w:val="0"/>
      <w:marTop w:val="0"/>
      <w:marBottom w:val="0"/>
      <w:divBdr>
        <w:top w:val="none" w:sz="0" w:space="0" w:color="auto"/>
        <w:left w:val="none" w:sz="0" w:space="0" w:color="auto"/>
        <w:bottom w:val="none" w:sz="0" w:space="0" w:color="auto"/>
        <w:right w:val="none" w:sz="0" w:space="0" w:color="auto"/>
      </w:divBdr>
    </w:div>
    <w:div w:id="1330937479">
      <w:bodyDiv w:val="1"/>
      <w:marLeft w:val="0"/>
      <w:marRight w:val="0"/>
      <w:marTop w:val="0"/>
      <w:marBottom w:val="0"/>
      <w:divBdr>
        <w:top w:val="none" w:sz="0" w:space="0" w:color="auto"/>
        <w:left w:val="none" w:sz="0" w:space="0" w:color="auto"/>
        <w:bottom w:val="none" w:sz="0" w:space="0" w:color="auto"/>
        <w:right w:val="none" w:sz="0" w:space="0" w:color="auto"/>
      </w:divBdr>
    </w:div>
    <w:div w:id="1339114898">
      <w:bodyDiv w:val="1"/>
      <w:marLeft w:val="0"/>
      <w:marRight w:val="0"/>
      <w:marTop w:val="0"/>
      <w:marBottom w:val="0"/>
      <w:divBdr>
        <w:top w:val="none" w:sz="0" w:space="0" w:color="auto"/>
        <w:left w:val="none" w:sz="0" w:space="0" w:color="auto"/>
        <w:bottom w:val="none" w:sz="0" w:space="0" w:color="auto"/>
        <w:right w:val="none" w:sz="0" w:space="0" w:color="auto"/>
      </w:divBdr>
    </w:div>
    <w:div w:id="1388650856">
      <w:bodyDiv w:val="1"/>
      <w:marLeft w:val="0"/>
      <w:marRight w:val="0"/>
      <w:marTop w:val="0"/>
      <w:marBottom w:val="0"/>
      <w:divBdr>
        <w:top w:val="none" w:sz="0" w:space="0" w:color="auto"/>
        <w:left w:val="none" w:sz="0" w:space="0" w:color="auto"/>
        <w:bottom w:val="none" w:sz="0" w:space="0" w:color="auto"/>
        <w:right w:val="none" w:sz="0" w:space="0" w:color="auto"/>
      </w:divBdr>
    </w:div>
    <w:div w:id="1488132554">
      <w:bodyDiv w:val="1"/>
      <w:marLeft w:val="0"/>
      <w:marRight w:val="0"/>
      <w:marTop w:val="0"/>
      <w:marBottom w:val="0"/>
      <w:divBdr>
        <w:top w:val="none" w:sz="0" w:space="0" w:color="auto"/>
        <w:left w:val="none" w:sz="0" w:space="0" w:color="auto"/>
        <w:bottom w:val="none" w:sz="0" w:space="0" w:color="auto"/>
        <w:right w:val="none" w:sz="0" w:space="0" w:color="auto"/>
      </w:divBdr>
    </w:div>
    <w:div w:id="1558391979">
      <w:bodyDiv w:val="1"/>
      <w:marLeft w:val="0"/>
      <w:marRight w:val="0"/>
      <w:marTop w:val="0"/>
      <w:marBottom w:val="0"/>
      <w:divBdr>
        <w:top w:val="none" w:sz="0" w:space="0" w:color="auto"/>
        <w:left w:val="none" w:sz="0" w:space="0" w:color="auto"/>
        <w:bottom w:val="none" w:sz="0" w:space="0" w:color="auto"/>
        <w:right w:val="none" w:sz="0" w:space="0" w:color="auto"/>
      </w:divBdr>
    </w:div>
    <w:div w:id="1677027975">
      <w:bodyDiv w:val="1"/>
      <w:marLeft w:val="0"/>
      <w:marRight w:val="0"/>
      <w:marTop w:val="0"/>
      <w:marBottom w:val="0"/>
      <w:divBdr>
        <w:top w:val="none" w:sz="0" w:space="0" w:color="auto"/>
        <w:left w:val="none" w:sz="0" w:space="0" w:color="auto"/>
        <w:bottom w:val="none" w:sz="0" w:space="0" w:color="auto"/>
        <w:right w:val="none" w:sz="0" w:space="0" w:color="auto"/>
      </w:divBdr>
    </w:div>
    <w:div w:id="1688411862">
      <w:bodyDiv w:val="1"/>
      <w:marLeft w:val="0"/>
      <w:marRight w:val="0"/>
      <w:marTop w:val="0"/>
      <w:marBottom w:val="0"/>
      <w:divBdr>
        <w:top w:val="none" w:sz="0" w:space="0" w:color="auto"/>
        <w:left w:val="none" w:sz="0" w:space="0" w:color="auto"/>
        <w:bottom w:val="none" w:sz="0" w:space="0" w:color="auto"/>
        <w:right w:val="none" w:sz="0" w:space="0" w:color="auto"/>
      </w:divBdr>
    </w:div>
    <w:div w:id="1690335443">
      <w:bodyDiv w:val="1"/>
      <w:marLeft w:val="0"/>
      <w:marRight w:val="0"/>
      <w:marTop w:val="0"/>
      <w:marBottom w:val="0"/>
      <w:divBdr>
        <w:top w:val="none" w:sz="0" w:space="0" w:color="auto"/>
        <w:left w:val="none" w:sz="0" w:space="0" w:color="auto"/>
        <w:bottom w:val="none" w:sz="0" w:space="0" w:color="auto"/>
        <w:right w:val="none" w:sz="0" w:space="0" w:color="auto"/>
      </w:divBdr>
    </w:div>
    <w:div w:id="1756247415">
      <w:bodyDiv w:val="1"/>
      <w:marLeft w:val="0"/>
      <w:marRight w:val="0"/>
      <w:marTop w:val="0"/>
      <w:marBottom w:val="0"/>
      <w:divBdr>
        <w:top w:val="none" w:sz="0" w:space="0" w:color="auto"/>
        <w:left w:val="none" w:sz="0" w:space="0" w:color="auto"/>
        <w:bottom w:val="none" w:sz="0" w:space="0" w:color="auto"/>
        <w:right w:val="none" w:sz="0" w:space="0" w:color="auto"/>
      </w:divBdr>
    </w:div>
    <w:div w:id="1788308884">
      <w:bodyDiv w:val="1"/>
      <w:marLeft w:val="0"/>
      <w:marRight w:val="0"/>
      <w:marTop w:val="0"/>
      <w:marBottom w:val="0"/>
      <w:divBdr>
        <w:top w:val="none" w:sz="0" w:space="0" w:color="auto"/>
        <w:left w:val="none" w:sz="0" w:space="0" w:color="auto"/>
        <w:bottom w:val="none" w:sz="0" w:space="0" w:color="auto"/>
        <w:right w:val="none" w:sz="0" w:space="0" w:color="auto"/>
      </w:divBdr>
    </w:div>
    <w:div w:id="1985305211">
      <w:bodyDiv w:val="1"/>
      <w:marLeft w:val="0"/>
      <w:marRight w:val="0"/>
      <w:marTop w:val="0"/>
      <w:marBottom w:val="0"/>
      <w:divBdr>
        <w:top w:val="none" w:sz="0" w:space="0" w:color="auto"/>
        <w:left w:val="none" w:sz="0" w:space="0" w:color="auto"/>
        <w:bottom w:val="none" w:sz="0" w:space="0" w:color="auto"/>
        <w:right w:val="none" w:sz="0" w:space="0" w:color="auto"/>
      </w:divBdr>
    </w:div>
    <w:div w:id="2006518720">
      <w:bodyDiv w:val="1"/>
      <w:marLeft w:val="0"/>
      <w:marRight w:val="0"/>
      <w:marTop w:val="0"/>
      <w:marBottom w:val="0"/>
      <w:divBdr>
        <w:top w:val="none" w:sz="0" w:space="0" w:color="auto"/>
        <w:left w:val="none" w:sz="0" w:space="0" w:color="auto"/>
        <w:bottom w:val="none" w:sz="0" w:space="0" w:color="auto"/>
        <w:right w:val="none" w:sz="0" w:space="0" w:color="auto"/>
      </w:divBdr>
    </w:div>
    <w:div w:id="2030179838">
      <w:bodyDiv w:val="1"/>
      <w:marLeft w:val="0"/>
      <w:marRight w:val="0"/>
      <w:marTop w:val="0"/>
      <w:marBottom w:val="0"/>
      <w:divBdr>
        <w:top w:val="none" w:sz="0" w:space="0" w:color="auto"/>
        <w:left w:val="none" w:sz="0" w:space="0" w:color="auto"/>
        <w:bottom w:val="none" w:sz="0" w:space="0" w:color="auto"/>
        <w:right w:val="none" w:sz="0" w:space="0" w:color="auto"/>
      </w:divBdr>
    </w:div>
    <w:div w:id="2079085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16</Pages>
  <Words>18096</Words>
  <Characters>103151</Characters>
  <Application>Microsoft Office Word</Application>
  <DocSecurity>0</DocSecurity>
  <Lines>859</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Olabisi Lawal</cp:lastModifiedBy>
  <cp:revision>18</cp:revision>
  <dcterms:created xsi:type="dcterms:W3CDTF">2025-06-18T05:29:00Z</dcterms:created>
  <dcterms:modified xsi:type="dcterms:W3CDTF">2025-06-25T16:00:00Z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id="DFSb34M2"/&gt;&lt;style id="http://www.zotero.org/styles/vancouver-brackets" locale="en-US" hasBibliography="1" bibliographyStyleHasBeenSet="1"/&gt;&lt;prefs&gt;&lt;pref name="fieldType" value="Field"/&gt;&lt;/prefs&gt;&lt;/d</vt:lpwstr>
  </property>
  <property fmtid="{D5CDD505-2E9C-101B-9397-08002B2CF9AE}" pid="3" name="ZOTERO_PREF_2">
    <vt:lpwstr>ata&gt;</vt:lpwstr>
  </property>
</Properties>
</file>