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03C99B" w14:textId="77777777" w:rsidR="008219B1" w:rsidRDefault="008219B1">
      <w:pPr>
        <w:spacing w:after="0" w:line="360" w:lineRule="auto"/>
        <w:jc w:val="both"/>
        <w:rPr>
          <w:rFonts w:ascii="Times New Roman" w:eastAsia="Times New Roman" w:hAnsi="Times New Roman" w:cs="Times New Roman"/>
          <w:b/>
          <w:color w:val="000000"/>
          <w:sz w:val="36"/>
          <w:szCs w:val="36"/>
        </w:rPr>
      </w:pPr>
      <w:bookmarkStart w:id="0" w:name="_GoBack"/>
      <w:bookmarkEnd w:id="0"/>
    </w:p>
    <w:p w14:paraId="175A36BF" w14:textId="77777777" w:rsidR="008219B1" w:rsidRDefault="0049121B">
      <w:pPr>
        <w:spacing w:after="0" w:line="360" w:lineRule="auto"/>
        <w:jc w:val="center"/>
        <w:rPr>
          <w:rFonts w:ascii="Times New Roman" w:eastAsia="Times New Roman" w:hAnsi="Times New Roman" w:cs="Times New Roman"/>
          <w:b/>
          <w:color w:val="000000"/>
          <w:sz w:val="36"/>
          <w:szCs w:val="36"/>
        </w:rPr>
      </w:pPr>
      <w:r>
        <w:rPr>
          <w:rFonts w:ascii="Times New Roman" w:eastAsia="Times New Roman" w:hAnsi="Times New Roman" w:cs="Times New Roman"/>
          <w:b/>
          <w:color w:val="000000"/>
          <w:sz w:val="36"/>
          <w:szCs w:val="36"/>
        </w:rPr>
        <w:t>Methods used to study drug-drug interactions: A review</w:t>
      </w:r>
    </w:p>
    <w:p w14:paraId="7AF30564" w14:textId="77777777" w:rsidR="008219B1" w:rsidRDefault="008219B1">
      <w:pPr>
        <w:spacing w:line="360" w:lineRule="auto"/>
        <w:jc w:val="both"/>
        <w:rPr>
          <w:rFonts w:ascii="Times New Roman" w:eastAsia="Times New Roman" w:hAnsi="Times New Roman" w:cs="Times New Roman"/>
          <w:b/>
          <w:color w:val="000000"/>
          <w:sz w:val="36"/>
          <w:szCs w:val="36"/>
        </w:rPr>
      </w:pPr>
    </w:p>
    <w:p w14:paraId="5822BC85" w14:textId="77777777" w:rsidR="008219B1" w:rsidRDefault="0049121B">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ABSTRACT</w:t>
      </w:r>
    </w:p>
    <w:p w14:paraId="47A7296F" w14:textId="1F8DF57A" w:rsidR="008219B1" w:rsidRDefault="0049121B">
      <w:pPr>
        <w:spacing w:after="0" w:line="360" w:lineRule="auto"/>
        <w:jc w:val="both"/>
        <w:rPr>
          <w:rFonts w:ascii="Times New Roman" w:eastAsia="Times New Roman" w:hAnsi="Times New Roman" w:cs="Times New Roman"/>
          <w:sz w:val="24"/>
          <w:szCs w:val="24"/>
        </w:rPr>
      </w:pPr>
      <w:bookmarkStart w:id="1" w:name="_as4866lomitt" w:colFirst="0" w:colLast="0"/>
      <w:bookmarkEnd w:id="1"/>
      <w:r>
        <w:rPr>
          <w:rFonts w:ascii="Times New Roman" w:eastAsia="Times New Roman" w:hAnsi="Times New Roman" w:cs="Times New Roman"/>
          <w:color w:val="000000"/>
          <w:sz w:val="24"/>
          <w:szCs w:val="24"/>
        </w:rPr>
        <w:t xml:space="preserve">Drug-drug interaction is a pharmacokinetic parameter which among others determines the fate of drug in giving their therapeutic actions. Most of the drug interactions are studied by using </w:t>
      </w:r>
      <w:r>
        <w:rPr>
          <w:rFonts w:ascii="Times New Roman" w:eastAsia="Times New Roman" w:hAnsi="Times New Roman" w:cs="Times New Roman"/>
          <w:i/>
          <w:color w:val="000000"/>
          <w:sz w:val="24"/>
          <w:szCs w:val="24"/>
        </w:rPr>
        <w:t>in vitro</w:t>
      </w:r>
      <w:r>
        <w:rPr>
          <w:rFonts w:ascii="Times New Roman" w:eastAsia="Times New Roman" w:hAnsi="Times New Roman" w:cs="Times New Roman"/>
          <w:color w:val="000000"/>
          <w:sz w:val="24"/>
          <w:szCs w:val="24"/>
        </w:rPr>
        <w:t xml:space="preserve"> methods though few </w:t>
      </w:r>
      <w:r>
        <w:rPr>
          <w:rFonts w:ascii="Times New Roman" w:eastAsia="Times New Roman" w:hAnsi="Times New Roman" w:cs="Times New Roman"/>
          <w:i/>
          <w:color w:val="000000"/>
          <w:sz w:val="24"/>
          <w:szCs w:val="24"/>
        </w:rPr>
        <w:t>in vivo</w:t>
      </w:r>
      <w:r>
        <w:rPr>
          <w:rFonts w:ascii="Times New Roman" w:eastAsia="Times New Roman" w:hAnsi="Times New Roman" w:cs="Times New Roman"/>
          <w:color w:val="000000"/>
          <w:sz w:val="24"/>
          <w:szCs w:val="24"/>
        </w:rPr>
        <w:t xml:space="preserve"> methods are also applied. The review aimed to</w:t>
      </w:r>
      <w:r w:rsidR="00902924">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summarise</w:t>
      </w:r>
      <w:proofErr w:type="spellEnd"/>
      <w:r>
        <w:rPr>
          <w:rFonts w:ascii="Times New Roman" w:eastAsia="Times New Roman" w:hAnsi="Times New Roman" w:cs="Times New Roman"/>
          <w:color w:val="000000"/>
          <w:sz w:val="24"/>
          <w:szCs w:val="24"/>
        </w:rPr>
        <w:t xml:space="preserve"> the different aspects of methods used to study the drug interactions. In order</w:t>
      </w:r>
      <w:r w:rsidR="0090292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to collect relevant data on methods</w:t>
      </w:r>
      <w:r w:rsidR="0090292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yellow"/>
        </w:rPr>
        <w:t>used</w:t>
      </w:r>
      <w:r>
        <w:rPr>
          <w:rFonts w:ascii="Times New Roman" w:eastAsia="Times New Roman" w:hAnsi="Times New Roman" w:cs="Times New Roman"/>
          <w:color w:val="000000"/>
          <w:sz w:val="24"/>
          <w:szCs w:val="24"/>
        </w:rPr>
        <w:t xml:space="preserve"> to study drug-drug interactions, different search engines such as Google Scholar, PubMed, Scopus and Research Gate were used for the literature survey. Alongside these search engines, standard textbooks were also consulted to extract relevant information. </w:t>
      </w:r>
      <w:r>
        <w:rPr>
          <w:rFonts w:ascii="Times New Roman" w:eastAsia="Times New Roman" w:hAnsi="Times New Roman" w:cs="Times New Roman"/>
          <w:sz w:val="24"/>
          <w:szCs w:val="24"/>
        </w:rPr>
        <w:t xml:space="preserve">The findings revealed the different methods used </w:t>
      </w:r>
      <w:r>
        <w:rPr>
          <w:rFonts w:ascii="Times New Roman" w:eastAsia="Times New Roman" w:hAnsi="Times New Roman" w:cs="Times New Roman"/>
          <w:color w:val="000000"/>
          <w:sz w:val="24"/>
          <w:szCs w:val="24"/>
        </w:rPr>
        <w:t xml:space="preserve">to study drug-drug, drug-metal and drug-disease interactions. </w:t>
      </w:r>
      <w:r>
        <w:rPr>
          <w:rFonts w:ascii="Times New Roman" w:eastAsia="Times New Roman" w:hAnsi="Times New Roman" w:cs="Times New Roman"/>
          <w:color w:val="000000"/>
          <w:sz w:val="24"/>
          <w:szCs w:val="24"/>
          <w:highlight w:val="yellow"/>
        </w:rPr>
        <w:t>Nine in vitro methods used in drug-drug interaction (DDI) analysis have been thoroughly explained and discussed in this review</w:t>
      </w:r>
      <w:r>
        <w:rPr>
          <w:rFonts w:ascii="Times New Roman" w:eastAsia="Times New Roman" w:hAnsi="Times New Roman" w:cs="Times New Roman"/>
          <w:color w:val="000000"/>
          <w:sz w:val="24"/>
          <w:szCs w:val="24"/>
        </w:rPr>
        <w:t xml:space="preserve"> included</w:t>
      </w:r>
      <w:r>
        <w:rPr>
          <w:rFonts w:ascii="Times New Roman" w:eastAsia="Times New Roman" w:hAnsi="Times New Roman" w:cs="Times New Roman"/>
          <w:sz w:val="24"/>
          <w:szCs w:val="24"/>
        </w:rPr>
        <w:t xml:space="preserve">: UV-VIS absorption spectral </w:t>
      </w:r>
      <w:proofErr w:type="spellStart"/>
      <w:r>
        <w:rPr>
          <w:rFonts w:ascii="Times New Roman" w:eastAsia="Times New Roman" w:hAnsi="Times New Roman" w:cs="Times New Roman"/>
          <w:sz w:val="24"/>
          <w:szCs w:val="24"/>
        </w:rPr>
        <w:t>analysis,Conductometric</w:t>
      </w:r>
      <w:proofErr w:type="spellEnd"/>
      <w:r>
        <w:rPr>
          <w:rFonts w:ascii="Times New Roman" w:eastAsia="Times New Roman" w:hAnsi="Times New Roman" w:cs="Times New Roman"/>
          <w:sz w:val="24"/>
          <w:szCs w:val="24"/>
        </w:rPr>
        <w:t xml:space="preserve"> analysis, </w:t>
      </w:r>
      <w:proofErr w:type="spellStart"/>
      <w:r>
        <w:rPr>
          <w:rFonts w:ascii="Times New Roman" w:eastAsia="Times New Roman" w:hAnsi="Times New Roman" w:cs="Times New Roman"/>
          <w:sz w:val="24"/>
          <w:szCs w:val="24"/>
        </w:rPr>
        <w:t>Ardon’s</w:t>
      </w:r>
      <w:proofErr w:type="spellEnd"/>
      <w:r>
        <w:rPr>
          <w:rFonts w:ascii="Times New Roman" w:eastAsia="Times New Roman" w:hAnsi="Times New Roman" w:cs="Times New Roman"/>
          <w:sz w:val="24"/>
          <w:szCs w:val="24"/>
        </w:rPr>
        <w:t xml:space="preserve"> method, Job’s continuous variation method, Differential Scanning Calorimetry (DSC) thermogram, FTIR spectroscopic investigation, </w:t>
      </w:r>
      <w:r>
        <w:rPr>
          <w:rFonts w:ascii="Times New Roman" w:eastAsia="Times New Roman" w:hAnsi="Times New Roman" w:cs="Times New Roman"/>
          <w:color w:val="000000"/>
          <w:sz w:val="24"/>
          <w:szCs w:val="24"/>
        </w:rPr>
        <w:t xml:space="preserve">Thin Layer Chromatography technology, </w:t>
      </w:r>
      <w:r>
        <w:rPr>
          <w:rFonts w:ascii="Times New Roman" w:eastAsia="Times New Roman" w:hAnsi="Times New Roman" w:cs="Times New Roman"/>
          <w:color w:val="000000"/>
          <w:sz w:val="24"/>
          <w:szCs w:val="24"/>
          <w:highlight w:val="yellow"/>
        </w:rPr>
        <w:t xml:space="preserve">all of these were used to detect the  interaction between two hypothetical drugs referred to as DRUG A and DRUG </w:t>
      </w:r>
      <w:proofErr w:type="spellStart"/>
      <w:r>
        <w:rPr>
          <w:rFonts w:ascii="Times New Roman" w:eastAsia="Times New Roman" w:hAnsi="Times New Roman" w:cs="Times New Roman"/>
          <w:color w:val="000000"/>
          <w:sz w:val="24"/>
          <w:szCs w:val="24"/>
          <w:highlight w:val="yellow"/>
        </w:rPr>
        <w:t>B</w:t>
      </w:r>
      <w:r>
        <w:rPr>
          <w:rFonts w:ascii="Times New Roman" w:eastAsia="Times New Roman" w:hAnsi="Times New Roman" w:cs="Times New Roman"/>
          <w:color w:val="000000"/>
          <w:sz w:val="24"/>
          <w:szCs w:val="24"/>
        </w:rPr>
        <w:t>,Fluorescence</w:t>
      </w:r>
      <w:proofErr w:type="spellEnd"/>
      <w:r>
        <w:rPr>
          <w:rFonts w:ascii="Times New Roman" w:eastAsia="Times New Roman" w:hAnsi="Times New Roman" w:cs="Times New Roman"/>
          <w:color w:val="000000"/>
          <w:sz w:val="24"/>
          <w:szCs w:val="24"/>
        </w:rPr>
        <w:t xml:space="preserve"> spectroscopy</w:t>
      </w:r>
      <w:r>
        <w:rPr>
          <w:rFonts w:ascii="Times New Roman" w:eastAsia="Times New Roman" w:hAnsi="Times New Roman" w:cs="Times New Roman"/>
          <w:color w:val="000000"/>
          <w:sz w:val="24"/>
          <w:szCs w:val="24"/>
          <w:highlight w:val="yellow"/>
        </w:rPr>
        <w:t>(used to examine the interaction between tannin and bovine serum albumin</w:t>
      </w:r>
      <w:r>
        <w:rPr>
          <w:rFonts w:ascii="Times New Roman" w:eastAsia="Times New Roman" w:hAnsi="Times New Roman" w:cs="Times New Roman"/>
          <w:color w:val="000000"/>
          <w:sz w:val="24"/>
          <w:szCs w:val="24"/>
        </w:rPr>
        <w:t xml:space="preserve">), and </w:t>
      </w:r>
      <w:r>
        <w:rPr>
          <w:rFonts w:ascii="Times New Roman" w:eastAsia="Times New Roman" w:hAnsi="Times New Roman" w:cs="Times New Roman"/>
          <w:sz w:val="24"/>
          <w:szCs w:val="24"/>
        </w:rPr>
        <w:t>high-performance liquid chromatography (HPLC</w:t>
      </w:r>
      <w:r>
        <w:rPr>
          <w:rFonts w:ascii="Times New Roman" w:eastAsia="Times New Roman" w:hAnsi="Times New Roman" w:cs="Times New Roman"/>
          <w:sz w:val="24"/>
          <w:szCs w:val="24"/>
          <w:highlight w:val="yellow"/>
        </w:rPr>
        <w:t>)(used to detect the interaction between tramadol and sildenafil).</w:t>
      </w:r>
      <w:r>
        <w:rPr>
          <w:rFonts w:ascii="Times New Roman" w:eastAsia="Times New Roman" w:hAnsi="Times New Roman" w:cs="Times New Roman"/>
          <w:sz w:val="24"/>
          <w:szCs w:val="24"/>
        </w:rPr>
        <w:t xml:space="preserve"> Additionally, in the case of the </w:t>
      </w:r>
      <w:r>
        <w:rPr>
          <w:rFonts w:ascii="Times New Roman" w:eastAsia="Times New Roman" w:hAnsi="Times New Roman" w:cs="Times New Roman"/>
          <w:i/>
          <w:sz w:val="24"/>
          <w:szCs w:val="24"/>
        </w:rPr>
        <w:t>in vivo</w:t>
      </w:r>
      <w:r>
        <w:rPr>
          <w:rFonts w:ascii="Times New Roman" w:eastAsia="Times New Roman" w:hAnsi="Times New Roman" w:cs="Times New Roman"/>
          <w:sz w:val="24"/>
          <w:szCs w:val="24"/>
        </w:rPr>
        <w:t xml:space="preserve"> method, young healthy animals</w:t>
      </w:r>
      <w:r w:rsidR="0086254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having different body weights are used. Lastly</w:t>
      </w:r>
      <w:r>
        <w:rPr>
          <w:rFonts w:ascii="Times New Roman" w:eastAsia="Times New Roman" w:hAnsi="Times New Roman" w:cs="Times New Roman"/>
          <w:sz w:val="24"/>
          <w:szCs w:val="24"/>
          <w:highlight w:val="yellow"/>
        </w:rPr>
        <w:t>,</w:t>
      </w:r>
      <w:r w:rsidR="00862544">
        <w:rPr>
          <w:rFonts w:ascii="Times New Roman" w:eastAsia="Times New Roman" w:hAnsi="Times New Roman" w:cs="Times New Roman"/>
          <w:sz w:val="24"/>
          <w:szCs w:val="24"/>
          <w:highlight w:val="yellow"/>
        </w:rPr>
        <w:t xml:space="preserve"> </w:t>
      </w:r>
      <w:r>
        <w:rPr>
          <w:rFonts w:ascii="Times New Roman" w:eastAsia="Times New Roman" w:hAnsi="Times New Roman" w:cs="Times New Roman"/>
          <w:sz w:val="24"/>
          <w:szCs w:val="24"/>
          <w:highlight w:val="yellow"/>
        </w:rPr>
        <w:t>three</w:t>
      </w:r>
      <w:r w:rsidR="00902924">
        <w:rPr>
          <w:rFonts w:ascii="Times New Roman" w:eastAsia="Times New Roman" w:hAnsi="Times New Roman" w:cs="Times New Roman"/>
          <w:sz w:val="24"/>
          <w:szCs w:val="24"/>
        </w:rPr>
        <w:t xml:space="preserve"> </w:t>
      </w:r>
      <w:r>
        <w:rPr>
          <w:rFonts w:ascii="Times New Roman" w:eastAsia="Times New Roman" w:hAnsi="Times New Roman" w:cs="Times New Roman"/>
          <w:i/>
          <w:color w:val="000000"/>
          <w:sz w:val="24"/>
          <w:szCs w:val="24"/>
        </w:rPr>
        <w:t>in</w:t>
      </w:r>
      <w:r w:rsidR="00902924">
        <w:rPr>
          <w:rFonts w:ascii="Times New Roman" w:eastAsia="Times New Roman" w:hAnsi="Times New Roman" w:cs="Times New Roman"/>
          <w:i/>
          <w:color w:val="000000"/>
          <w:sz w:val="24"/>
          <w:szCs w:val="24"/>
        </w:rPr>
        <w:t>-</w:t>
      </w:r>
      <w:r>
        <w:rPr>
          <w:rFonts w:ascii="Times New Roman" w:eastAsia="Times New Roman" w:hAnsi="Times New Roman" w:cs="Times New Roman"/>
          <w:i/>
          <w:color w:val="000000"/>
          <w:sz w:val="24"/>
          <w:szCs w:val="24"/>
        </w:rPr>
        <w:t>silico</w:t>
      </w:r>
      <w:r>
        <w:rPr>
          <w:rFonts w:ascii="Times New Roman" w:eastAsia="Times New Roman" w:hAnsi="Times New Roman" w:cs="Times New Roman"/>
          <w:color w:val="000000"/>
          <w:sz w:val="24"/>
          <w:szCs w:val="24"/>
        </w:rPr>
        <w:t xml:space="preserve"> methods used in drug-drug interaction analysis</w:t>
      </w:r>
      <w:r w:rsidR="0090292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yellow"/>
        </w:rPr>
        <w:t>have been discussed</w:t>
      </w:r>
      <w:r>
        <w:rPr>
          <w:rFonts w:ascii="Times New Roman" w:eastAsia="Times New Roman" w:hAnsi="Times New Roman" w:cs="Times New Roman"/>
          <w:color w:val="000000"/>
          <w:sz w:val="24"/>
          <w:szCs w:val="24"/>
        </w:rPr>
        <w:t xml:space="preserve"> included: Quantitative Structure–Activity Relationship (QSAR) Models, Molecular Docking and Molecular Dynamics (MD) Simulations, and the Physiologically Based Pharmacokinetic (PBPK) Modelling. </w:t>
      </w:r>
      <w:r>
        <w:rPr>
          <w:rFonts w:ascii="Times New Roman" w:eastAsia="Times New Roman" w:hAnsi="Times New Roman" w:cs="Times New Roman"/>
          <w:sz w:val="24"/>
          <w:szCs w:val="24"/>
        </w:rPr>
        <w:t>Overall, the study confirmed Organic Anion Transporting Polypeptide 1B1 (OATP1B1)</w:t>
      </w:r>
      <w:r w:rsidR="0090292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yellow"/>
        </w:rPr>
        <w:t>plays a</w:t>
      </w:r>
      <w:r>
        <w:rPr>
          <w:rFonts w:ascii="Times New Roman" w:eastAsia="Times New Roman" w:hAnsi="Times New Roman" w:cs="Times New Roman"/>
          <w:sz w:val="24"/>
          <w:szCs w:val="24"/>
        </w:rPr>
        <w:t xml:space="preserve"> key role in the pharmacokinetic </w:t>
      </w:r>
      <w:proofErr w:type="spellStart"/>
      <w:r>
        <w:rPr>
          <w:rFonts w:ascii="Times New Roman" w:eastAsia="Times New Roman" w:hAnsi="Times New Roman" w:cs="Times New Roman"/>
          <w:sz w:val="24"/>
          <w:szCs w:val="24"/>
          <w:highlight w:val="yellow"/>
        </w:rPr>
        <w:t>behaviour</w:t>
      </w:r>
      <w:proofErr w:type="spellEnd"/>
      <w:r w:rsidR="0090292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of the statins </w:t>
      </w:r>
      <w:r>
        <w:rPr>
          <w:rFonts w:ascii="Times New Roman" w:eastAsia="Times New Roman" w:hAnsi="Times New Roman" w:cs="Times New Roman"/>
          <w:sz w:val="24"/>
          <w:szCs w:val="24"/>
          <w:highlight w:val="yellow"/>
        </w:rPr>
        <w:t>and serves as a useful indicator for identifying transporter mediated drug-drug interactions</w:t>
      </w:r>
      <w:r>
        <w:rPr>
          <w:rFonts w:ascii="Times New Roman" w:eastAsia="Times New Roman" w:hAnsi="Times New Roman" w:cs="Times New Roman"/>
          <w:sz w:val="24"/>
          <w:szCs w:val="24"/>
        </w:rPr>
        <w:t>.</w:t>
      </w:r>
      <w:r w:rsidR="00862544">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highlight w:val="yellow"/>
        </w:rPr>
        <w:t>Therefore,</w:t>
      </w:r>
      <w:r w:rsidR="00862544">
        <w:rPr>
          <w:rFonts w:ascii="Times New Roman" w:eastAsia="Times New Roman" w:hAnsi="Times New Roman" w:cs="Times New Roman"/>
          <w:color w:val="000000"/>
          <w:sz w:val="24"/>
          <w:szCs w:val="24"/>
          <w:highlight w:val="yellow"/>
        </w:rPr>
        <w:t xml:space="preserve"> </w:t>
      </w:r>
      <w:r>
        <w:rPr>
          <w:rFonts w:ascii="Times New Roman" w:eastAsia="Times New Roman" w:hAnsi="Times New Roman" w:cs="Times New Roman"/>
          <w:color w:val="000000"/>
          <w:sz w:val="24"/>
          <w:szCs w:val="24"/>
          <w:highlight w:val="yellow"/>
        </w:rPr>
        <w:t>incorporating OATP1B1 assessment into DDI studies is essential to enhance prediction reliability and to</w:t>
      </w:r>
      <w:r w:rsidR="00862544">
        <w:rPr>
          <w:rFonts w:ascii="Times New Roman" w:eastAsia="Times New Roman" w:hAnsi="Times New Roman" w:cs="Times New Roman"/>
          <w:color w:val="000000"/>
          <w:sz w:val="24"/>
          <w:szCs w:val="24"/>
          <w:highlight w:val="yellow"/>
        </w:rPr>
        <w:t xml:space="preserve"> </w:t>
      </w:r>
      <w:r>
        <w:rPr>
          <w:rFonts w:ascii="Times New Roman" w:eastAsia="Times New Roman" w:hAnsi="Times New Roman" w:cs="Times New Roman"/>
          <w:color w:val="000000"/>
          <w:sz w:val="24"/>
          <w:szCs w:val="24"/>
          <w:highlight w:val="yellow"/>
        </w:rPr>
        <w:t>improve drug safety profiles.</w:t>
      </w:r>
    </w:p>
    <w:p w14:paraId="72ED6F79" w14:textId="77777777" w:rsidR="008219B1" w:rsidRDefault="008219B1">
      <w:pPr>
        <w:spacing w:after="0" w:line="360" w:lineRule="auto"/>
        <w:jc w:val="both"/>
        <w:rPr>
          <w:rFonts w:ascii="Times New Roman" w:eastAsia="Times New Roman" w:hAnsi="Times New Roman" w:cs="Times New Roman"/>
          <w:color w:val="000000"/>
          <w:sz w:val="24"/>
          <w:szCs w:val="24"/>
        </w:rPr>
      </w:pPr>
    </w:p>
    <w:p w14:paraId="19DA613B" w14:textId="77777777" w:rsidR="008219B1" w:rsidRDefault="008219B1">
      <w:pPr>
        <w:spacing w:after="0" w:line="360" w:lineRule="auto"/>
        <w:jc w:val="both"/>
        <w:rPr>
          <w:rFonts w:ascii="Times New Roman" w:eastAsia="Times New Roman" w:hAnsi="Times New Roman" w:cs="Times New Roman"/>
          <w:color w:val="000000"/>
          <w:sz w:val="24"/>
          <w:szCs w:val="24"/>
        </w:rPr>
      </w:pPr>
    </w:p>
    <w:p w14:paraId="69D0DA0A" w14:textId="77777777" w:rsidR="008219B1" w:rsidRDefault="008219B1">
      <w:pPr>
        <w:spacing w:after="0" w:line="360" w:lineRule="auto"/>
        <w:jc w:val="both"/>
        <w:rPr>
          <w:rFonts w:ascii="Times New Roman" w:eastAsia="Times New Roman" w:hAnsi="Times New Roman" w:cs="Times New Roman"/>
          <w:color w:val="000000"/>
          <w:sz w:val="24"/>
          <w:szCs w:val="24"/>
        </w:rPr>
      </w:pPr>
    </w:p>
    <w:p w14:paraId="0C49A806" w14:textId="77777777" w:rsidR="008219B1" w:rsidRDefault="008219B1">
      <w:pPr>
        <w:spacing w:after="0" w:line="360" w:lineRule="auto"/>
        <w:jc w:val="both"/>
        <w:rPr>
          <w:rFonts w:ascii="Times New Roman" w:eastAsia="Times New Roman" w:hAnsi="Times New Roman" w:cs="Times New Roman"/>
          <w:b/>
          <w:color w:val="000000"/>
          <w:sz w:val="24"/>
          <w:szCs w:val="24"/>
        </w:rPr>
      </w:pPr>
    </w:p>
    <w:p w14:paraId="00BFA15C" w14:textId="77777777" w:rsidR="008219B1" w:rsidRDefault="0049121B">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Key words</w:t>
      </w:r>
      <w:r>
        <w:rPr>
          <w:rFonts w:ascii="Times New Roman" w:eastAsia="Times New Roman" w:hAnsi="Times New Roman" w:cs="Times New Roman"/>
          <w:color w:val="000000"/>
          <w:sz w:val="24"/>
          <w:szCs w:val="24"/>
        </w:rPr>
        <w:t>: Drug-drug interaction, Spectral analysis, conductometry, Ardon’s method, Job’s method, co-morbidity and combination therapy.</w:t>
      </w:r>
    </w:p>
    <w:p w14:paraId="529DFC38" w14:textId="77777777" w:rsidR="008219B1" w:rsidRDefault="0049121B">
      <w:pPr>
        <w:spacing w:line="360" w:lineRule="auto"/>
        <w:jc w:val="both"/>
        <w:rPr>
          <w:rFonts w:ascii="Times New Roman" w:eastAsia="Times New Roman" w:hAnsi="Times New Roman" w:cs="Times New Roman"/>
          <w:b/>
          <w:color w:val="000000"/>
          <w:sz w:val="24"/>
          <w:szCs w:val="24"/>
        </w:rPr>
      </w:pPr>
      <w:r>
        <w:br w:type="page"/>
      </w:r>
    </w:p>
    <w:p w14:paraId="11E1DA39" w14:textId="77777777" w:rsidR="008219B1" w:rsidRDefault="0049121B">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INTRODUCTION</w:t>
      </w:r>
    </w:p>
    <w:p w14:paraId="207D6E89" w14:textId="2E928F3F" w:rsidR="008219B1" w:rsidRDefault="0049121B">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yellow"/>
        </w:rPr>
        <w:t>From a chemical, biological, and medical perspective, research on how drug molecules interact and complex with other drug species, herbs, different metal ions, and food components is essential</w:t>
      </w:r>
    </w:p>
    <w:p w14:paraId="07064F98" w14:textId="17623350" w:rsidR="008219B1" w:rsidRDefault="0049121B">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005E4B0F" w:rsidRPr="005E4B0F">
        <w:rPr>
          <w:rFonts w:ascii="Times New Roman" w:eastAsia="Times New Roman" w:hAnsi="Times New Roman" w:cs="Times New Roman"/>
          <w:color w:val="000000"/>
          <w:sz w:val="24"/>
          <w:szCs w:val="24"/>
        </w:rPr>
        <w:t>Goldstein et al., 1974</w:t>
      </w:r>
      <w:r w:rsidR="005E4B0F">
        <w:rPr>
          <w:rFonts w:ascii="Times New Roman" w:eastAsia="Times New Roman" w:hAnsi="Times New Roman" w:cs="Times New Roman"/>
          <w:color w:val="000000"/>
          <w:sz w:val="24"/>
          <w:szCs w:val="24"/>
        </w:rPr>
        <w:t>;</w:t>
      </w:r>
      <w:r w:rsidR="005E4B0F" w:rsidRPr="005E4B0F">
        <w:t xml:space="preserve"> </w:t>
      </w:r>
      <w:r w:rsidR="005E4B0F" w:rsidRPr="005E4B0F">
        <w:rPr>
          <w:rFonts w:ascii="Times New Roman" w:eastAsia="Times New Roman" w:hAnsi="Times New Roman" w:cs="Times New Roman"/>
          <w:color w:val="000000"/>
          <w:sz w:val="24"/>
          <w:szCs w:val="24"/>
        </w:rPr>
        <w:t>Brunton et al., 2005</w:t>
      </w:r>
      <w:r w:rsidR="005E4B0F">
        <w:rPr>
          <w:rFonts w:ascii="Times New Roman" w:eastAsia="Times New Roman" w:hAnsi="Times New Roman" w:cs="Times New Roman"/>
          <w:color w:val="000000"/>
          <w:sz w:val="24"/>
          <w:szCs w:val="24"/>
        </w:rPr>
        <w:t>;</w:t>
      </w:r>
      <w:r w:rsidR="005E4B0F" w:rsidRPr="005E4B0F">
        <w:t xml:space="preserve"> </w:t>
      </w:r>
      <w:r w:rsidR="005E4B0F" w:rsidRPr="005E4B0F">
        <w:rPr>
          <w:rFonts w:ascii="Times New Roman" w:eastAsia="Times New Roman" w:hAnsi="Times New Roman" w:cs="Times New Roman"/>
          <w:color w:val="000000"/>
          <w:sz w:val="24"/>
          <w:szCs w:val="24"/>
        </w:rPr>
        <w:t>DGDA, n.d.</w:t>
      </w:r>
      <w:r w:rsidR="005E4B0F">
        <w:rPr>
          <w:rFonts w:ascii="Times New Roman" w:eastAsia="Times New Roman" w:hAnsi="Times New Roman" w:cs="Times New Roman"/>
          <w:color w:val="000000"/>
          <w:sz w:val="24"/>
          <w:szCs w:val="24"/>
        </w:rPr>
        <w:t>;</w:t>
      </w:r>
      <w:r w:rsidR="005E4B0F" w:rsidRPr="005E4B0F">
        <w:t xml:space="preserve"> </w:t>
      </w:r>
      <w:r w:rsidR="005E4B0F" w:rsidRPr="005E4B0F">
        <w:rPr>
          <w:rFonts w:ascii="Times New Roman" w:eastAsia="Times New Roman" w:hAnsi="Times New Roman" w:cs="Times New Roman"/>
          <w:color w:val="000000"/>
          <w:sz w:val="24"/>
          <w:szCs w:val="24"/>
        </w:rPr>
        <w:t>Bennett &amp; Brown, 2008</w:t>
      </w:r>
      <w:r w:rsidR="005E4B0F">
        <w:rPr>
          <w:rFonts w:ascii="Times New Roman" w:eastAsia="Times New Roman" w:hAnsi="Times New Roman" w:cs="Times New Roman"/>
          <w:color w:val="000000"/>
          <w:sz w:val="24"/>
          <w:szCs w:val="24"/>
        </w:rPr>
        <w:t>;</w:t>
      </w:r>
      <w:r w:rsidR="005E4B0F" w:rsidRPr="005E4B0F">
        <w:t xml:space="preserve"> </w:t>
      </w:r>
      <w:proofErr w:type="spellStart"/>
      <w:r w:rsidR="005E4B0F" w:rsidRPr="005E4B0F">
        <w:rPr>
          <w:rFonts w:ascii="Times New Roman" w:eastAsia="Times New Roman" w:hAnsi="Times New Roman" w:cs="Times New Roman"/>
          <w:color w:val="000000"/>
          <w:sz w:val="24"/>
          <w:szCs w:val="24"/>
        </w:rPr>
        <w:t>Sinko</w:t>
      </w:r>
      <w:proofErr w:type="spellEnd"/>
      <w:r w:rsidR="005E4B0F" w:rsidRPr="005E4B0F">
        <w:rPr>
          <w:rFonts w:ascii="Times New Roman" w:eastAsia="Times New Roman" w:hAnsi="Times New Roman" w:cs="Times New Roman"/>
          <w:color w:val="000000"/>
          <w:sz w:val="24"/>
          <w:szCs w:val="24"/>
        </w:rPr>
        <w:t>, 2017</w:t>
      </w:r>
      <w:r w:rsidR="005E4B0F">
        <w:rPr>
          <w:rFonts w:ascii="Times New Roman" w:eastAsia="Times New Roman" w:hAnsi="Times New Roman" w:cs="Times New Roman"/>
          <w:color w:val="000000"/>
          <w:sz w:val="24"/>
          <w:szCs w:val="24"/>
        </w:rPr>
        <w:t>;</w:t>
      </w:r>
      <w:r w:rsidR="005E4B0F" w:rsidRPr="005E4B0F">
        <w:t xml:space="preserve"> </w:t>
      </w:r>
      <w:proofErr w:type="spellStart"/>
      <w:r w:rsidR="005E4B0F" w:rsidRPr="005E4B0F">
        <w:rPr>
          <w:rFonts w:ascii="Times New Roman" w:eastAsia="Times New Roman" w:hAnsi="Times New Roman" w:cs="Times New Roman"/>
          <w:color w:val="000000"/>
          <w:sz w:val="24"/>
          <w:szCs w:val="24"/>
        </w:rPr>
        <w:t>Hansten</w:t>
      </w:r>
      <w:proofErr w:type="spellEnd"/>
      <w:r w:rsidR="005E4B0F" w:rsidRPr="005E4B0F">
        <w:rPr>
          <w:rFonts w:ascii="Times New Roman" w:eastAsia="Times New Roman" w:hAnsi="Times New Roman" w:cs="Times New Roman"/>
          <w:color w:val="000000"/>
          <w:sz w:val="24"/>
          <w:szCs w:val="24"/>
        </w:rPr>
        <w:t xml:space="preserve"> &amp; Horn, 1989</w:t>
      </w:r>
      <w:r w:rsidR="005E4B0F">
        <w:rPr>
          <w:rFonts w:ascii="Times New Roman" w:eastAsia="Times New Roman" w:hAnsi="Times New Roman" w:cs="Times New Roman"/>
          <w:color w:val="000000"/>
          <w:sz w:val="24"/>
          <w:szCs w:val="24"/>
        </w:rPr>
        <w:t>;</w:t>
      </w:r>
      <w:r w:rsidR="005E4B0F" w:rsidRPr="005E4B0F">
        <w:t xml:space="preserve"> </w:t>
      </w:r>
      <w:r w:rsidR="005E4B0F" w:rsidRPr="005E4B0F">
        <w:rPr>
          <w:rFonts w:ascii="Times New Roman" w:eastAsia="Times New Roman" w:hAnsi="Times New Roman" w:cs="Times New Roman"/>
          <w:color w:val="000000"/>
          <w:sz w:val="24"/>
          <w:szCs w:val="24"/>
        </w:rPr>
        <w:t>Cadwallader, 1985</w:t>
      </w:r>
      <w:r>
        <w:rPr>
          <w:rFonts w:ascii="Times New Roman" w:eastAsia="Times New Roman" w:hAnsi="Times New Roman" w:cs="Times New Roman"/>
          <w:color w:val="000000"/>
          <w:sz w:val="24"/>
          <w:szCs w:val="24"/>
        </w:rPr>
        <w:t>)</w:t>
      </w:r>
      <w:r w:rsidR="005C59FB">
        <w:rPr>
          <w:rFonts w:ascii="Times New Roman" w:eastAsia="Times New Roman" w:hAnsi="Times New Roman" w:cs="Times New Roman"/>
          <w:color w:val="000000"/>
          <w:sz w:val="24"/>
          <w:szCs w:val="24"/>
          <w:highlight w:val="yellow"/>
        </w:rPr>
        <w:t>.</w:t>
      </w:r>
      <w:r>
        <w:rPr>
          <w:rFonts w:ascii="Times New Roman" w:eastAsia="Times New Roman" w:hAnsi="Times New Roman" w:cs="Times New Roman"/>
          <w:color w:val="000000"/>
          <w:sz w:val="24"/>
          <w:szCs w:val="24"/>
          <w:highlight w:val="yellow"/>
        </w:rPr>
        <w:t xml:space="preserve">Patients undergoing a major surgery, </w:t>
      </w:r>
      <w:proofErr w:type="spellStart"/>
      <w:r>
        <w:rPr>
          <w:rFonts w:ascii="Times New Roman" w:eastAsia="Times New Roman" w:hAnsi="Times New Roman" w:cs="Times New Roman"/>
          <w:color w:val="000000"/>
          <w:sz w:val="24"/>
          <w:szCs w:val="24"/>
          <w:highlight w:val="yellow"/>
        </w:rPr>
        <w:t>hospitali</w:t>
      </w:r>
      <w:r w:rsidR="005C59FB">
        <w:rPr>
          <w:rFonts w:ascii="Times New Roman" w:eastAsia="Times New Roman" w:hAnsi="Times New Roman" w:cs="Times New Roman"/>
          <w:color w:val="000000"/>
          <w:sz w:val="24"/>
          <w:szCs w:val="24"/>
          <w:highlight w:val="yellow"/>
        </w:rPr>
        <w:t>s</w:t>
      </w:r>
      <w:r>
        <w:rPr>
          <w:rFonts w:ascii="Times New Roman" w:eastAsia="Times New Roman" w:hAnsi="Times New Roman" w:cs="Times New Roman"/>
          <w:color w:val="000000"/>
          <w:sz w:val="24"/>
          <w:szCs w:val="24"/>
          <w:highlight w:val="yellow"/>
        </w:rPr>
        <w:t>ed</w:t>
      </w:r>
      <w:proofErr w:type="spellEnd"/>
      <w:r>
        <w:rPr>
          <w:rFonts w:ascii="Times New Roman" w:eastAsia="Times New Roman" w:hAnsi="Times New Roman" w:cs="Times New Roman"/>
          <w:color w:val="000000"/>
          <w:sz w:val="24"/>
          <w:szCs w:val="24"/>
          <w:highlight w:val="yellow"/>
        </w:rPr>
        <w:t xml:space="preserve"> patients, patients with co-morbidities, and elderly patients are frequently prescribed multiple medications at once, a practice known as </w:t>
      </w:r>
      <w:proofErr w:type="spellStart"/>
      <w:r>
        <w:rPr>
          <w:rFonts w:ascii="Times New Roman" w:eastAsia="Times New Roman" w:hAnsi="Times New Roman" w:cs="Times New Roman"/>
          <w:color w:val="000000"/>
          <w:sz w:val="24"/>
          <w:szCs w:val="24"/>
          <w:highlight w:val="yellow"/>
        </w:rPr>
        <w:t>polypharmacy.Simultaneous</w:t>
      </w:r>
      <w:proofErr w:type="spellEnd"/>
      <w:r>
        <w:rPr>
          <w:rFonts w:ascii="Times New Roman" w:eastAsia="Times New Roman" w:hAnsi="Times New Roman" w:cs="Times New Roman"/>
          <w:color w:val="000000"/>
          <w:sz w:val="24"/>
          <w:szCs w:val="24"/>
          <w:highlight w:val="yellow"/>
        </w:rPr>
        <w:t xml:space="preserve"> use of more than two different drug classes may sometimes  produce effects that are harmful or ineffective</w:t>
      </w:r>
      <w:r w:rsidR="00862544">
        <w:rPr>
          <w:rFonts w:ascii="Times New Roman" w:eastAsia="Times New Roman" w:hAnsi="Times New Roman" w:cs="Times New Roman"/>
          <w:color w:val="000000"/>
          <w:sz w:val="24"/>
          <w:szCs w:val="24"/>
          <w:highlight w:val="yellow"/>
        </w:rPr>
        <w:t xml:space="preserve"> </w:t>
      </w:r>
      <w:r>
        <w:rPr>
          <w:rFonts w:ascii="Times New Roman" w:eastAsia="Times New Roman" w:hAnsi="Times New Roman" w:cs="Times New Roman"/>
          <w:color w:val="000000"/>
          <w:sz w:val="24"/>
          <w:szCs w:val="24"/>
          <w:highlight w:val="yellow"/>
        </w:rPr>
        <w:t xml:space="preserve">but in some </w:t>
      </w:r>
      <w:proofErr w:type="spellStart"/>
      <w:r>
        <w:rPr>
          <w:rFonts w:ascii="Times New Roman" w:eastAsia="Times New Roman" w:hAnsi="Times New Roman" w:cs="Times New Roman"/>
          <w:color w:val="000000"/>
          <w:sz w:val="24"/>
          <w:szCs w:val="24"/>
          <w:highlight w:val="yellow"/>
        </w:rPr>
        <w:t>cases,it</w:t>
      </w:r>
      <w:proofErr w:type="spellEnd"/>
      <w:r>
        <w:rPr>
          <w:rFonts w:ascii="Times New Roman" w:eastAsia="Times New Roman" w:hAnsi="Times New Roman" w:cs="Times New Roman"/>
          <w:color w:val="000000"/>
          <w:sz w:val="24"/>
          <w:szCs w:val="24"/>
          <w:highlight w:val="yellow"/>
        </w:rPr>
        <w:t xml:space="preserve"> may </w:t>
      </w:r>
      <w:r w:rsidR="005C59FB">
        <w:rPr>
          <w:rFonts w:ascii="Times New Roman" w:eastAsia="Times New Roman" w:hAnsi="Times New Roman" w:cs="Times New Roman"/>
          <w:color w:val="000000"/>
          <w:sz w:val="24"/>
          <w:szCs w:val="24"/>
          <w:highlight w:val="yellow"/>
        </w:rPr>
        <w:t xml:space="preserve">be </w:t>
      </w:r>
      <w:r>
        <w:rPr>
          <w:rFonts w:ascii="Times New Roman" w:eastAsia="Times New Roman" w:hAnsi="Times New Roman" w:cs="Times New Roman"/>
          <w:color w:val="000000"/>
          <w:sz w:val="24"/>
          <w:szCs w:val="24"/>
          <w:highlight w:val="yellow"/>
        </w:rPr>
        <w:t>benefici</w:t>
      </w:r>
      <w:r w:rsidRPr="005C59FB">
        <w:rPr>
          <w:rFonts w:ascii="Times New Roman" w:eastAsia="Times New Roman" w:hAnsi="Times New Roman" w:cs="Times New Roman"/>
          <w:color w:val="000000"/>
          <w:sz w:val="24"/>
          <w:szCs w:val="24"/>
          <w:highlight w:val="yellow"/>
        </w:rPr>
        <w:t>a</w:t>
      </w:r>
      <w:r w:rsidR="005C59FB" w:rsidRPr="005C59FB">
        <w:rPr>
          <w:rFonts w:ascii="Times New Roman" w:eastAsia="Times New Roman" w:hAnsi="Times New Roman" w:cs="Times New Roman"/>
          <w:color w:val="000000"/>
          <w:sz w:val="24"/>
          <w:szCs w:val="24"/>
          <w:highlight w:val="yellow"/>
        </w:rPr>
        <w:t>l</w:t>
      </w:r>
      <w:r>
        <w:rPr>
          <w:rFonts w:ascii="Times New Roman" w:eastAsia="Times New Roman" w:hAnsi="Times New Roman" w:cs="Times New Roman"/>
          <w:color w:val="000000"/>
          <w:sz w:val="24"/>
          <w:szCs w:val="24"/>
        </w:rPr>
        <w:t>(</w:t>
      </w:r>
      <w:r w:rsidR="003C1771" w:rsidRPr="003C1771">
        <w:rPr>
          <w:rFonts w:ascii="Times New Roman" w:eastAsia="Times New Roman" w:hAnsi="Times New Roman" w:cs="Times New Roman"/>
          <w:color w:val="000000"/>
          <w:sz w:val="24"/>
          <w:szCs w:val="24"/>
        </w:rPr>
        <w:t>Azam et al., 2011</w:t>
      </w:r>
      <w:r w:rsidR="003C1771">
        <w:rPr>
          <w:rFonts w:ascii="Times New Roman" w:eastAsia="Times New Roman" w:hAnsi="Times New Roman" w:cs="Times New Roman"/>
          <w:color w:val="000000"/>
          <w:sz w:val="24"/>
          <w:szCs w:val="24"/>
        </w:rPr>
        <w:t>;</w:t>
      </w:r>
      <w:r w:rsidR="003C1771" w:rsidRPr="003C1771">
        <w:t xml:space="preserve"> </w:t>
      </w:r>
      <w:r w:rsidR="003C1771" w:rsidRPr="003C1771">
        <w:rPr>
          <w:rFonts w:ascii="Times New Roman" w:eastAsia="Times New Roman" w:hAnsi="Times New Roman" w:cs="Times New Roman"/>
          <w:color w:val="000000"/>
          <w:sz w:val="24"/>
          <w:szCs w:val="24"/>
        </w:rPr>
        <w:t>Mohiuddin et al., 2010</w:t>
      </w:r>
      <w:r>
        <w:rPr>
          <w:rFonts w:ascii="Times New Roman" w:eastAsia="Times New Roman" w:hAnsi="Times New Roman" w:cs="Times New Roman"/>
          <w:color w:val="000000"/>
          <w:sz w:val="24"/>
          <w:szCs w:val="24"/>
        </w:rPr>
        <w:t xml:space="preserve">). </w:t>
      </w:r>
      <w:proofErr w:type="spellStart"/>
      <w:proofErr w:type="gramStart"/>
      <w:r>
        <w:rPr>
          <w:rFonts w:ascii="Times New Roman" w:eastAsia="Times New Roman" w:hAnsi="Times New Roman" w:cs="Times New Roman"/>
          <w:color w:val="000000"/>
          <w:sz w:val="24"/>
          <w:szCs w:val="24"/>
          <w:highlight w:val="yellow"/>
        </w:rPr>
        <w:t>Agai</w:t>
      </w:r>
      <w:r w:rsidR="00862544">
        <w:rPr>
          <w:rFonts w:ascii="Times New Roman" w:eastAsia="Times New Roman" w:hAnsi="Times New Roman" w:cs="Times New Roman"/>
          <w:color w:val="000000"/>
          <w:sz w:val="24"/>
          <w:szCs w:val="24"/>
          <w:highlight w:val="yellow"/>
        </w:rPr>
        <w:t>n</w:t>
      </w:r>
      <w:r>
        <w:rPr>
          <w:rFonts w:ascii="Times New Roman" w:eastAsia="Times New Roman" w:hAnsi="Times New Roman" w:cs="Times New Roman"/>
          <w:color w:val="000000"/>
          <w:sz w:val="24"/>
          <w:szCs w:val="24"/>
          <w:highlight w:val="yellow"/>
        </w:rPr>
        <w:t>,various</w:t>
      </w:r>
      <w:proofErr w:type="spellEnd"/>
      <w:proofErr w:type="gramEnd"/>
      <w:r>
        <w:rPr>
          <w:rFonts w:ascii="Times New Roman" w:eastAsia="Times New Roman" w:hAnsi="Times New Roman" w:cs="Times New Roman"/>
          <w:color w:val="000000"/>
          <w:sz w:val="24"/>
          <w:szCs w:val="24"/>
          <w:highlight w:val="yellow"/>
        </w:rPr>
        <w:t xml:space="preserve"> mineral supplements combined with medication therapy are a popular and effective way to treat illnesses where both medications and minerals are administered at the same time</w:t>
      </w:r>
      <w:r>
        <w:rPr>
          <w:rFonts w:ascii="Times New Roman" w:eastAsia="Times New Roman" w:hAnsi="Times New Roman" w:cs="Times New Roman"/>
          <w:color w:val="000000"/>
          <w:sz w:val="24"/>
          <w:szCs w:val="24"/>
        </w:rPr>
        <w:t>.</w:t>
      </w:r>
      <w:r w:rsidR="0086254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yellow"/>
        </w:rPr>
        <w:t>The drugs may function on their own or may interfere or interact with one another.</w:t>
      </w:r>
      <w:r w:rsidR="00862544">
        <w:rPr>
          <w:rFonts w:ascii="Times New Roman" w:eastAsia="Times New Roman" w:hAnsi="Times New Roman" w:cs="Times New Roman"/>
          <w:color w:val="000000"/>
          <w:sz w:val="24"/>
          <w:szCs w:val="24"/>
          <w:highlight w:val="yellow"/>
        </w:rPr>
        <w:t xml:space="preserve"> </w:t>
      </w:r>
      <w:r>
        <w:rPr>
          <w:rFonts w:ascii="Times New Roman" w:eastAsia="Times New Roman" w:hAnsi="Times New Roman" w:cs="Times New Roman"/>
          <w:color w:val="000000"/>
          <w:sz w:val="24"/>
          <w:szCs w:val="24"/>
          <w:highlight w:val="yellow"/>
        </w:rPr>
        <w:t xml:space="preserve">Such interaction can be agonistic or </w:t>
      </w:r>
      <w:proofErr w:type="spellStart"/>
      <w:proofErr w:type="gramStart"/>
      <w:r>
        <w:rPr>
          <w:rFonts w:ascii="Times New Roman" w:eastAsia="Times New Roman" w:hAnsi="Times New Roman" w:cs="Times New Roman"/>
          <w:color w:val="000000"/>
          <w:sz w:val="24"/>
          <w:szCs w:val="24"/>
          <w:highlight w:val="yellow"/>
        </w:rPr>
        <w:t>antagonistic</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highlight w:val="yellow"/>
        </w:rPr>
        <w:t>Patients</w:t>
      </w:r>
      <w:proofErr w:type="spellEnd"/>
      <w:proofErr w:type="gramEnd"/>
      <w:r>
        <w:rPr>
          <w:rFonts w:ascii="Times New Roman" w:eastAsia="Times New Roman" w:hAnsi="Times New Roman" w:cs="Times New Roman"/>
          <w:color w:val="000000"/>
          <w:sz w:val="24"/>
          <w:szCs w:val="24"/>
          <w:highlight w:val="yellow"/>
        </w:rPr>
        <w:t xml:space="preserve"> may benefit from combination drug therapy in certain situations, but they may also experience severe side effects. Numerous drugs are commonly prescribed to patients with conditions such as kidney, liver, and/or heart transplantation or failure, diabetes mellitus and hypertension, </w:t>
      </w:r>
      <w:proofErr w:type="spellStart"/>
      <w:r>
        <w:rPr>
          <w:rFonts w:ascii="Times New Roman" w:eastAsia="Times New Roman" w:hAnsi="Times New Roman" w:cs="Times New Roman"/>
          <w:color w:val="000000"/>
          <w:sz w:val="24"/>
          <w:szCs w:val="24"/>
          <w:highlight w:val="yellow"/>
        </w:rPr>
        <w:t>anaemia</w:t>
      </w:r>
      <w:proofErr w:type="spellEnd"/>
      <w:r>
        <w:rPr>
          <w:rFonts w:ascii="Times New Roman" w:eastAsia="Times New Roman" w:hAnsi="Times New Roman" w:cs="Times New Roman"/>
          <w:color w:val="000000"/>
          <w:sz w:val="24"/>
          <w:szCs w:val="24"/>
          <w:highlight w:val="yellow"/>
        </w:rPr>
        <w:t>, bone and lipid disorders, and so on</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yellow"/>
        </w:rPr>
        <w:t>Drug-drug</w:t>
      </w:r>
      <w:r w:rsidR="0086254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interaction might also affect the structure of the final product and cause formulation problems like tablet splitting (</w:t>
      </w:r>
      <w:r w:rsidR="008D12CB" w:rsidRPr="008D12CB">
        <w:rPr>
          <w:rFonts w:ascii="Times New Roman" w:eastAsia="Times New Roman" w:hAnsi="Times New Roman" w:cs="Times New Roman"/>
          <w:color w:val="000000"/>
          <w:sz w:val="24"/>
          <w:szCs w:val="24"/>
        </w:rPr>
        <w:t>Shahriar et al., 2020</w:t>
      </w:r>
      <w:r>
        <w:rPr>
          <w:rFonts w:ascii="Times New Roman" w:eastAsia="Times New Roman" w:hAnsi="Times New Roman" w:cs="Times New Roman"/>
          <w:color w:val="000000"/>
          <w:sz w:val="24"/>
          <w:szCs w:val="24"/>
        </w:rPr>
        <w:t>). Drug-drug interaction</w:t>
      </w:r>
      <w:r w:rsidR="005C59F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yellow"/>
        </w:rPr>
        <w:t>is</w:t>
      </w:r>
      <w:r w:rsidR="005C59F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closely related with the drug safety and pharmacovigilance (</w:t>
      </w:r>
      <w:r w:rsidR="008D12CB" w:rsidRPr="008D12CB">
        <w:rPr>
          <w:rFonts w:ascii="Times New Roman" w:eastAsia="Times New Roman" w:hAnsi="Times New Roman" w:cs="Times New Roman"/>
          <w:color w:val="000000"/>
          <w:sz w:val="24"/>
          <w:szCs w:val="24"/>
        </w:rPr>
        <w:t>Hossain &amp; Amran, 2019</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yellow"/>
        </w:rPr>
        <w:t xml:space="preserve">There may be a higher chance of drug interactions when taking many </w:t>
      </w:r>
      <w:proofErr w:type="gramStart"/>
      <w:r>
        <w:rPr>
          <w:rFonts w:ascii="Times New Roman" w:eastAsia="Times New Roman" w:hAnsi="Times New Roman" w:cs="Times New Roman"/>
          <w:color w:val="000000"/>
          <w:sz w:val="24"/>
          <w:szCs w:val="24"/>
          <w:highlight w:val="yellow"/>
        </w:rPr>
        <w:t>drugs  at</w:t>
      </w:r>
      <w:proofErr w:type="gramEnd"/>
      <w:r>
        <w:rPr>
          <w:rFonts w:ascii="Times New Roman" w:eastAsia="Times New Roman" w:hAnsi="Times New Roman" w:cs="Times New Roman"/>
          <w:color w:val="000000"/>
          <w:sz w:val="24"/>
          <w:szCs w:val="24"/>
          <w:highlight w:val="yellow"/>
        </w:rPr>
        <w:t xml:space="preserve"> the same time.</w:t>
      </w:r>
      <w:r w:rsidR="005C59FB">
        <w:rPr>
          <w:rFonts w:ascii="Times New Roman" w:eastAsia="Times New Roman" w:hAnsi="Times New Roman" w:cs="Times New Roman"/>
          <w:color w:val="000000"/>
          <w:sz w:val="24"/>
          <w:szCs w:val="24"/>
          <w:highlight w:val="yellow"/>
        </w:rPr>
        <w:t xml:space="preserve"> </w:t>
      </w:r>
      <w:r>
        <w:rPr>
          <w:rFonts w:ascii="Times New Roman" w:eastAsia="Times New Roman" w:hAnsi="Times New Roman" w:cs="Times New Roman"/>
          <w:color w:val="000000"/>
          <w:sz w:val="24"/>
          <w:szCs w:val="24"/>
          <w:highlight w:val="yellow"/>
        </w:rPr>
        <w:t>Drug</w:t>
      </w:r>
      <w:r w:rsidR="005C59FB">
        <w:rPr>
          <w:rFonts w:ascii="Times New Roman" w:eastAsia="Times New Roman" w:hAnsi="Times New Roman" w:cs="Times New Roman"/>
          <w:color w:val="000000"/>
          <w:sz w:val="24"/>
          <w:szCs w:val="24"/>
          <w:highlight w:val="yellow"/>
        </w:rPr>
        <w:t xml:space="preserve"> </w:t>
      </w:r>
      <w:r>
        <w:rPr>
          <w:rFonts w:ascii="Times New Roman" w:eastAsia="Times New Roman" w:hAnsi="Times New Roman" w:cs="Times New Roman"/>
          <w:color w:val="000000"/>
          <w:sz w:val="24"/>
          <w:szCs w:val="24"/>
          <w:highlight w:val="yellow"/>
        </w:rPr>
        <w:t xml:space="preserve">interactions can be divided into two categories: pharmacokinetic and </w:t>
      </w:r>
      <w:proofErr w:type="spellStart"/>
      <w:proofErr w:type="gramStart"/>
      <w:r>
        <w:rPr>
          <w:rFonts w:ascii="Times New Roman" w:eastAsia="Times New Roman" w:hAnsi="Times New Roman" w:cs="Times New Roman"/>
          <w:color w:val="000000"/>
          <w:sz w:val="24"/>
          <w:szCs w:val="24"/>
          <w:highlight w:val="yellow"/>
        </w:rPr>
        <w:t>pharmacodynamic.Induction</w:t>
      </w:r>
      <w:proofErr w:type="spellEnd"/>
      <w:proofErr w:type="gramEnd"/>
      <w:r>
        <w:rPr>
          <w:rFonts w:ascii="Times New Roman" w:eastAsia="Times New Roman" w:hAnsi="Times New Roman" w:cs="Times New Roman"/>
          <w:color w:val="000000"/>
          <w:sz w:val="24"/>
          <w:szCs w:val="24"/>
          <w:highlight w:val="yellow"/>
        </w:rPr>
        <w:t xml:space="preserve"> or inhibition of </w:t>
      </w:r>
      <w:proofErr w:type="spellStart"/>
      <w:r>
        <w:rPr>
          <w:rFonts w:ascii="Times New Roman" w:eastAsia="Times New Roman" w:hAnsi="Times New Roman" w:cs="Times New Roman"/>
          <w:color w:val="000000"/>
          <w:sz w:val="24"/>
          <w:szCs w:val="24"/>
          <w:highlight w:val="yellow"/>
        </w:rPr>
        <w:t>metabolising</w:t>
      </w:r>
      <w:proofErr w:type="spellEnd"/>
      <w:r>
        <w:rPr>
          <w:rFonts w:ascii="Times New Roman" w:eastAsia="Times New Roman" w:hAnsi="Times New Roman" w:cs="Times New Roman"/>
          <w:color w:val="000000"/>
          <w:sz w:val="24"/>
          <w:szCs w:val="24"/>
          <w:highlight w:val="yellow"/>
        </w:rPr>
        <w:t xml:space="preserve"> enzymes in the liver or elsewhere, drug displacement from plasma protein binding sites, changes in gastrointestinal absorption, or competition for active renal secretion are all examples of pharmacokinetic </w:t>
      </w:r>
      <w:proofErr w:type="spellStart"/>
      <w:r>
        <w:rPr>
          <w:rFonts w:ascii="Times New Roman" w:eastAsia="Times New Roman" w:hAnsi="Times New Roman" w:cs="Times New Roman"/>
          <w:color w:val="000000"/>
          <w:sz w:val="24"/>
          <w:szCs w:val="24"/>
          <w:highlight w:val="yellow"/>
        </w:rPr>
        <w:t>interactions.Pharmacological</w:t>
      </w:r>
      <w:proofErr w:type="spellEnd"/>
      <w:r>
        <w:rPr>
          <w:rFonts w:ascii="Times New Roman" w:eastAsia="Times New Roman" w:hAnsi="Times New Roman" w:cs="Times New Roman"/>
          <w:color w:val="000000"/>
          <w:sz w:val="24"/>
          <w:szCs w:val="24"/>
          <w:highlight w:val="yellow"/>
        </w:rPr>
        <w:t xml:space="preserve"> effects that are antagonistic or additive are examples of pharmacodynamic interactions. Therefore, pharmacological effects are undoubtedly altered by drug </w:t>
      </w:r>
      <w:proofErr w:type="spellStart"/>
      <w:proofErr w:type="gramStart"/>
      <w:r>
        <w:rPr>
          <w:rFonts w:ascii="Times New Roman" w:eastAsia="Times New Roman" w:hAnsi="Times New Roman" w:cs="Times New Roman"/>
          <w:color w:val="000000"/>
          <w:sz w:val="24"/>
          <w:szCs w:val="24"/>
          <w:highlight w:val="yellow"/>
        </w:rPr>
        <w:t>interactions.A</w:t>
      </w:r>
      <w:proofErr w:type="spellEnd"/>
      <w:proofErr w:type="gramEnd"/>
      <w:r>
        <w:rPr>
          <w:rFonts w:ascii="Times New Roman" w:eastAsia="Times New Roman" w:hAnsi="Times New Roman" w:cs="Times New Roman"/>
          <w:color w:val="000000"/>
          <w:sz w:val="24"/>
          <w:szCs w:val="24"/>
          <w:highlight w:val="yellow"/>
        </w:rPr>
        <w:t xml:space="preserve"> moderate interaction can potentially worsen the patient's clinical condition leading to the need of further treatment, hospitalization, and/or a longer hospital </w:t>
      </w:r>
      <w:proofErr w:type="spellStart"/>
      <w:r>
        <w:rPr>
          <w:rFonts w:ascii="Times New Roman" w:eastAsia="Times New Roman" w:hAnsi="Times New Roman" w:cs="Times New Roman"/>
          <w:color w:val="000000"/>
          <w:sz w:val="24"/>
          <w:szCs w:val="24"/>
          <w:highlight w:val="yellow"/>
        </w:rPr>
        <w:t>stay.</w:t>
      </w:r>
      <w:r>
        <w:rPr>
          <w:rFonts w:ascii="Times New Roman" w:eastAsia="Times New Roman" w:hAnsi="Times New Roman" w:cs="Times New Roman"/>
          <w:sz w:val="24"/>
          <w:szCs w:val="24"/>
          <w:highlight w:val="yellow"/>
        </w:rPr>
        <w:t>Major</w:t>
      </w:r>
      <w:proofErr w:type="spellEnd"/>
      <w:r>
        <w:rPr>
          <w:rFonts w:ascii="Times New Roman" w:eastAsia="Times New Roman" w:hAnsi="Times New Roman" w:cs="Times New Roman"/>
          <w:sz w:val="24"/>
          <w:szCs w:val="24"/>
          <w:highlight w:val="yellow"/>
        </w:rPr>
        <w:t xml:space="preserve"> interactions can lead to life threatening conditions or cause irreversible damage to organs</w:t>
      </w:r>
      <w:r>
        <w:rPr>
          <w:rFonts w:ascii="Times New Roman" w:eastAsia="Times New Roman" w:hAnsi="Times New Roman" w:cs="Times New Roman"/>
          <w:color w:val="000000"/>
          <w:sz w:val="24"/>
          <w:szCs w:val="24"/>
          <w:highlight w:val="yellow"/>
        </w:rPr>
        <w:t>.</w:t>
      </w:r>
      <w:r w:rsidR="0086254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Therefore, in our current review work we have summarized the different aspects of drug </w:t>
      </w:r>
      <w:proofErr w:type="gramStart"/>
      <w:r>
        <w:rPr>
          <w:rFonts w:ascii="Times New Roman" w:eastAsia="Times New Roman" w:hAnsi="Times New Roman" w:cs="Times New Roman"/>
          <w:color w:val="000000"/>
          <w:sz w:val="24"/>
          <w:szCs w:val="24"/>
        </w:rPr>
        <w:t>interactions</w:t>
      </w:r>
      <w:r w:rsidR="008D12CB">
        <w:rPr>
          <w:rFonts w:ascii="Times New Roman" w:eastAsia="Times New Roman" w:hAnsi="Times New Roman" w:cs="Times New Roman"/>
          <w:color w:val="000000"/>
          <w:sz w:val="24"/>
          <w:szCs w:val="24"/>
        </w:rPr>
        <w:t>(</w:t>
      </w:r>
      <w:r w:rsidR="008D12CB" w:rsidRPr="008D12CB">
        <w:t xml:space="preserve"> </w:t>
      </w:r>
      <w:r w:rsidR="008D12CB" w:rsidRPr="008D12CB">
        <w:rPr>
          <w:rFonts w:ascii="Times New Roman" w:eastAsia="Times New Roman" w:hAnsi="Times New Roman" w:cs="Times New Roman"/>
          <w:color w:val="000000"/>
          <w:sz w:val="24"/>
          <w:szCs w:val="24"/>
        </w:rPr>
        <w:t>Bari</w:t>
      </w:r>
      <w:proofErr w:type="gramEnd"/>
      <w:r w:rsidR="008D12CB" w:rsidRPr="008D12CB">
        <w:rPr>
          <w:rFonts w:ascii="Times New Roman" w:eastAsia="Times New Roman" w:hAnsi="Times New Roman" w:cs="Times New Roman"/>
          <w:color w:val="000000"/>
          <w:sz w:val="24"/>
          <w:szCs w:val="24"/>
        </w:rPr>
        <w:t xml:space="preserve"> et al., 2000</w:t>
      </w:r>
      <w:r w:rsidR="008D12CB">
        <w:rPr>
          <w:rFonts w:ascii="Times New Roman" w:eastAsia="Times New Roman" w:hAnsi="Times New Roman" w:cs="Times New Roman"/>
          <w:color w:val="000000"/>
          <w:sz w:val="24"/>
          <w:szCs w:val="24"/>
        </w:rPr>
        <w:t>;</w:t>
      </w:r>
      <w:r w:rsidR="008D12CB" w:rsidRPr="008D12CB">
        <w:t xml:space="preserve"> </w:t>
      </w:r>
      <w:r w:rsidR="008D12CB" w:rsidRPr="008D12CB">
        <w:rPr>
          <w:rFonts w:ascii="Times New Roman" w:eastAsia="Times New Roman" w:hAnsi="Times New Roman" w:cs="Times New Roman"/>
          <w:color w:val="000000"/>
          <w:sz w:val="24"/>
          <w:szCs w:val="24"/>
        </w:rPr>
        <w:t>Ahsan et al., 2012</w:t>
      </w:r>
      <w:r w:rsidR="008D12CB">
        <w:rPr>
          <w:rFonts w:ascii="Times New Roman" w:eastAsia="Times New Roman" w:hAnsi="Times New Roman" w:cs="Times New Roman"/>
          <w:color w:val="000000"/>
          <w:sz w:val="24"/>
          <w:szCs w:val="24"/>
        </w:rPr>
        <w:t>;</w:t>
      </w:r>
      <w:r w:rsidR="008D12CB" w:rsidRPr="008D12CB">
        <w:t xml:space="preserve"> </w:t>
      </w:r>
      <w:r w:rsidR="008D12CB" w:rsidRPr="008D12CB">
        <w:rPr>
          <w:rFonts w:ascii="Times New Roman" w:eastAsia="Times New Roman" w:hAnsi="Times New Roman" w:cs="Times New Roman"/>
          <w:color w:val="000000"/>
          <w:sz w:val="24"/>
          <w:szCs w:val="24"/>
        </w:rPr>
        <w:t>Paul Kundu et al., 2012</w:t>
      </w:r>
      <w:r w:rsidR="008D12CB">
        <w:rPr>
          <w:rFonts w:ascii="Times New Roman" w:eastAsia="Times New Roman" w:hAnsi="Times New Roman" w:cs="Times New Roman"/>
          <w:color w:val="000000"/>
          <w:sz w:val="24"/>
          <w:szCs w:val="24"/>
        </w:rPr>
        <w:t>;</w:t>
      </w:r>
      <w:r w:rsidR="008D12CB" w:rsidRPr="008D12CB">
        <w:t xml:space="preserve"> </w:t>
      </w:r>
      <w:r w:rsidR="008D12CB" w:rsidRPr="008D12CB">
        <w:rPr>
          <w:rFonts w:ascii="Times New Roman" w:eastAsia="Times New Roman" w:hAnsi="Times New Roman" w:cs="Times New Roman"/>
          <w:color w:val="000000"/>
          <w:sz w:val="24"/>
          <w:szCs w:val="24"/>
        </w:rPr>
        <w:t>Ahsan et al., 2012</w:t>
      </w:r>
      <w:r w:rsidR="008D12CB">
        <w:rPr>
          <w:rFonts w:ascii="Times New Roman" w:eastAsia="Times New Roman" w:hAnsi="Times New Roman" w:cs="Times New Roman"/>
          <w:color w:val="000000"/>
          <w:sz w:val="24"/>
          <w:szCs w:val="24"/>
        </w:rPr>
        <w:t>;</w:t>
      </w:r>
      <w:r w:rsidR="008D12CB" w:rsidRPr="008D12CB">
        <w:t xml:space="preserve"> </w:t>
      </w:r>
      <w:r w:rsidR="008D12CB" w:rsidRPr="008D12CB">
        <w:rPr>
          <w:rFonts w:ascii="Times New Roman" w:eastAsia="Times New Roman" w:hAnsi="Times New Roman" w:cs="Times New Roman"/>
          <w:color w:val="000000"/>
          <w:sz w:val="24"/>
          <w:szCs w:val="24"/>
        </w:rPr>
        <w:t>Afzal et al., 2013</w:t>
      </w:r>
      <w:r w:rsidR="008D12CB">
        <w:rPr>
          <w:rFonts w:ascii="Times New Roman" w:eastAsia="Times New Roman" w:hAnsi="Times New Roman" w:cs="Times New Roman"/>
          <w:color w:val="000000"/>
          <w:sz w:val="24"/>
          <w:szCs w:val="24"/>
        </w:rPr>
        <w:t>).</w:t>
      </w:r>
    </w:p>
    <w:p w14:paraId="18283B2F" w14:textId="77777777" w:rsidR="008219B1" w:rsidRDefault="0049121B">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MATERIALS AND METHODS</w:t>
      </w:r>
    </w:p>
    <w:p w14:paraId="5A73400E" w14:textId="42978F8C" w:rsidR="008219B1" w:rsidRDefault="0049121B">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collect relevant data on methods</w:t>
      </w:r>
      <w:r w:rsidR="005C59F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yellow"/>
        </w:rPr>
        <w:t>used</w:t>
      </w:r>
      <w:r>
        <w:rPr>
          <w:rFonts w:ascii="Times New Roman" w:eastAsia="Times New Roman" w:hAnsi="Times New Roman" w:cs="Times New Roman"/>
          <w:color w:val="000000"/>
          <w:sz w:val="24"/>
          <w:szCs w:val="24"/>
        </w:rPr>
        <w:t xml:space="preserve"> to study drug-drug interactions, different search engines such as Google Scholar, Pub Med, Scopus and Research Gate were used for the literature survey.  The keywords, “DDI (Drug-drug interaction)”, “Spectral analysis”, “conductometry”, “Ardon’s method”, “Job’s method”, “co-morbidity” and “combination therapy” etc. were used to find relevant research articles and gather information on different aspects of drug-drug interactions. Alongside these search engines, standard textbooks were also consulted to extract relevant information.</w:t>
      </w:r>
    </w:p>
    <w:p w14:paraId="126D4BF4" w14:textId="77777777" w:rsidR="008219B1" w:rsidRDefault="0049121B">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FINDINGS AND DISCUSSION</w:t>
      </w:r>
    </w:p>
    <w:p w14:paraId="06079494" w14:textId="77777777" w:rsidR="008219B1" w:rsidRDefault="0049121B">
      <w:pPr>
        <w:spacing w:after="0" w:line="360" w:lineRule="auto"/>
        <w:jc w:val="both"/>
        <w:rPr>
          <w:rFonts w:ascii="Times New Roman" w:eastAsia="Times New Roman" w:hAnsi="Times New Roman" w:cs="Times New Roman"/>
          <w:color w:val="000000"/>
          <w:sz w:val="24"/>
          <w:szCs w:val="24"/>
        </w:rPr>
      </w:pPr>
      <w:bookmarkStart w:id="2" w:name="_xtxdnotpov4" w:colFirst="0" w:colLast="0"/>
      <w:bookmarkEnd w:id="2"/>
      <w:r>
        <w:rPr>
          <w:rFonts w:ascii="Times New Roman" w:eastAsia="Times New Roman" w:hAnsi="Times New Roman" w:cs="Times New Roman"/>
          <w:color w:val="000000"/>
          <w:sz w:val="24"/>
          <w:szCs w:val="24"/>
        </w:rPr>
        <w:t>In this section, we shall discuss different methods used to study drug-drug, drug-metal and drug-disease interactions</w:t>
      </w:r>
      <w:r>
        <w:rPr>
          <w:rFonts w:ascii="Times New Roman" w:eastAsia="Times New Roman" w:hAnsi="Times New Roman" w:cs="Times New Roman"/>
          <w:color w:val="000000"/>
          <w:sz w:val="24"/>
          <w:szCs w:val="24"/>
          <w:highlight w:val="yellow"/>
        </w:rPr>
        <w:t>, primarily highlighting in vitro methods.</w:t>
      </w:r>
    </w:p>
    <w:p w14:paraId="6BDBA96F" w14:textId="77777777" w:rsidR="008219B1" w:rsidRDefault="0049121B">
      <w:pPr>
        <w:spacing w:after="0" w:line="360" w:lineRule="auto"/>
        <w:jc w:val="both"/>
        <w:rPr>
          <w:rFonts w:ascii="Times New Roman" w:eastAsia="Times New Roman" w:hAnsi="Times New Roman" w:cs="Times New Roman"/>
          <w:b/>
          <w:color w:val="000000"/>
          <w:sz w:val="24"/>
          <w:szCs w:val="24"/>
        </w:rPr>
      </w:pPr>
      <w:bookmarkStart w:id="3" w:name="_efvmezruao9y" w:colFirst="0" w:colLast="0"/>
      <w:bookmarkEnd w:id="3"/>
      <w:r>
        <w:rPr>
          <w:rFonts w:ascii="Times New Roman" w:eastAsia="Times New Roman" w:hAnsi="Times New Roman" w:cs="Times New Roman"/>
          <w:b/>
          <w:i/>
          <w:color w:val="000000"/>
          <w:sz w:val="24"/>
          <w:szCs w:val="24"/>
        </w:rPr>
        <w:t>In vitro</w:t>
      </w:r>
      <w:r>
        <w:rPr>
          <w:rFonts w:ascii="Times New Roman" w:eastAsia="Times New Roman" w:hAnsi="Times New Roman" w:cs="Times New Roman"/>
          <w:b/>
          <w:color w:val="000000"/>
          <w:sz w:val="24"/>
          <w:szCs w:val="24"/>
        </w:rPr>
        <w:t xml:space="preserve"> methods used in drug-drug interaction analysis</w:t>
      </w:r>
    </w:p>
    <w:p w14:paraId="650005F3" w14:textId="6104CF0D" w:rsidR="008219B1" w:rsidRDefault="0049121B">
      <w:pPr>
        <w:spacing w:after="0" w:line="360" w:lineRule="auto"/>
        <w:jc w:val="both"/>
        <w:rPr>
          <w:rFonts w:ascii="Times New Roman" w:eastAsia="Times New Roman" w:hAnsi="Times New Roman" w:cs="Times New Roman"/>
          <w:color w:val="000000"/>
          <w:sz w:val="24"/>
          <w:szCs w:val="24"/>
        </w:rPr>
      </w:pPr>
      <w:bookmarkStart w:id="4" w:name="_roa1hnryaxxz" w:colFirst="0" w:colLast="0"/>
      <w:bookmarkEnd w:id="4"/>
      <w:r>
        <w:rPr>
          <w:rFonts w:ascii="Times New Roman" w:eastAsia="Times New Roman" w:hAnsi="Times New Roman" w:cs="Times New Roman"/>
          <w:color w:val="000000"/>
          <w:sz w:val="24"/>
          <w:szCs w:val="24"/>
        </w:rPr>
        <w:t xml:space="preserve">The </w:t>
      </w:r>
      <w:r>
        <w:rPr>
          <w:rFonts w:ascii="Times New Roman" w:eastAsia="Times New Roman" w:hAnsi="Times New Roman" w:cs="Times New Roman"/>
          <w:i/>
          <w:color w:val="000000"/>
          <w:sz w:val="24"/>
          <w:szCs w:val="24"/>
        </w:rPr>
        <w:t xml:space="preserve">in </w:t>
      </w:r>
      <w:proofErr w:type="spellStart"/>
      <w:r>
        <w:rPr>
          <w:rFonts w:ascii="Times New Roman" w:eastAsia="Times New Roman" w:hAnsi="Times New Roman" w:cs="Times New Roman"/>
          <w:i/>
          <w:color w:val="000000"/>
          <w:sz w:val="24"/>
          <w:szCs w:val="24"/>
        </w:rPr>
        <w:t>vitro</w:t>
      </w:r>
      <w:r>
        <w:rPr>
          <w:rFonts w:ascii="Times New Roman" w:eastAsia="Times New Roman" w:hAnsi="Times New Roman" w:cs="Times New Roman"/>
          <w:color w:val="000000"/>
          <w:sz w:val="24"/>
          <w:szCs w:val="24"/>
        </w:rPr>
        <w:t>interaction</w:t>
      </w:r>
      <w:proofErr w:type="spellEnd"/>
      <w:r>
        <w:rPr>
          <w:rFonts w:ascii="Times New Roman" w:eastAsia="Times New Roman" w:hAnsi="Times New Roman" w:cs="Times New Roman"/>
          <w:color w:val="000000"/>
          <w:sz w:val="24"/>
          <w:szCs w:val="24"/>
        </w:rPr>
        <w:t xml:space="preserve"> studies (</w:t>
      </w:r>
      <w:proofErr w:type="spellStart"/>
      <w:r w:rsidR="008D12CB">
        <w:rPr>
          <w:rFonts w:ascii="Times New Roman" w:eastAsia="Times New Roman" w:hAnsi="Times New Roman" w:cs="Times New Roman"/>
          <w:color w:val="000000"/>
          <w:sz w:val="24"/>
          <w:szCs w:val="24"/>
        </w:rPr>
        <w:t>Aktar</w:t>
      </w:r>
      <w:proofErr w:type="spellEnd"/>
      <w:r w:rsidR="008D12CB">
        <w:rPr>
          <w:rFonts w:ascii="Times New Roman" w:eastAsia="Times New Roman" w:hAnsi="Times New Roman" w:cs="Times New Roman"/>
          <w:color w:val="000000"/>
          <w:sz w:val="24"/>
          <w:szCs w:val="24"/>
        </w:rPr>
        <w:t xml:space="preserve"> et al.,</w:t>
      </w:r>
      <w:proofErr w:type="gramStart"/>
      <w:r w:rsidR="008D12CB">
        <w:rPr>
          <w:rFonts w:ascii="Times New Roman" w:eastAsia="Times New Roman" w:hAnsi="Times New Roman" w:cs="Times New Roman"/>
          <w:color w:val="000000"/>
          <w:sz w:val="24"/>
          <w:szCs w:val="24"/>
        </w:rPr>
        <w:t xml:space="preserve">2020 </w:t>
      </w:r>
      <w:r>
        <w:rPr>
          <w:rFonts w:ascii="Times New Roman" w:eastAsia="Times New Roman" w:hAnsi="Times New Roman" w:cs="Times New Roman"/>
          <w:color w:val="000000"/>
          <w:sz w:val="24"/>
          <w:szCs w:val="24"/>
        </w:rPr>
        <w:t>)are</w:t>
      </w:r>
      <w:proofErr w:type="gramEnd"/>
      <w:r w:rsidR="005C59F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yellow"/>
        </w:rPr>
        <w:t>carried out</w:t>
      </w:r>
      <w:r w:rsidR="008D12C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by </w:t>
      </w:r>
      <w:proofErr w:type="spellStart"/>
      <w:r>
        <w:rPr>
          <w:rFonts w:ascii="Times New Roman" w:eastAsia="Times New Roman" w:hAnsi="Times New Roman" w:cs="Times New Roman"/>
          <w:color w:val="000000"/>
          <w:sz w:val="24"/>
          <w:szCs w:val="24"/>
          <w:highlight w:val="yellow"/>
        </w:rPr>
        <w:t>analy</w:t>
      </w:r>
      <w:r w:rsidR="005C59FB">
        <w:rPr>
          <w:rFonts w:ascii="Times New Roman" w:eastAsia="Times New Roman" w:hAnsi="Times New Roman" w:cs="Times New Roman"/>
          <w:color w:val="000000"/>
          <w:sz w:val="24"/>
          <w:szCs w:val="24"/>
          <w:highlight w:val="yellow"/>
        </w:rPr>
        <w:t>s</w:t>
      </w:r>
      <w:r>
        <w:rPr>
          <w:rFonts w:ascii="Times New Roman" w:eastAsia="Times New Roman" w:hAnsi="Times New Roman" w:cs="Times New Roman"/>
          <w:color w:val="000000"/>
          <w:sz w:val="24"/>
          <w:szCs w:val="24"/>
          <w:highlight w:val="yellow"/>
        </w:rPr>
        <w:t>ing</w:t>
      </w:r>
      <w:proofErr w:type="spellEnd"/>
      <w:r w:rsidR="008D12C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UV-VIS absorption spectra, conductometric data, Job’s </w:t>
      </w:r>
      <w:r>
        <w:rPr>
          <w:rFonts w:ascii="Times New Roman" w:eastAsia="Times New Roman" w:hAnsi="Times New Roman" w:cs="Times New Roman"/>
          <w:color w:val="000000"/>
          <w:sz w:val="24"/>
          <w:szCs w:val="24"/>
          <w:highlight w:val="yellow"/>
        </w:rPr>
        <w:t>method of</w:t>
      </w:r>
      <w:r w:rsidR="005C59F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continuous variation and Ardon’s spectrophotometric </w:t>
      </w:r>
      <w:r>
        <w:rPr>
          <w:rFonts w:ascii="Times New Roman" w:eastAsia="Times New Roman" w:hAnsi="Times New Roman" w:cs="Times New Roman"/>
          <w:color w:val="000000"/>
          <w:sz w:val="24"/>
          <w:szCs w:val="24"/>
          <w:highlight w:val="yellow"/>
        </w:rPr>
        <w:t>techniques.</w:t>
      </w:r>
      <w:r>
        <w:rPr>
          <w:rFonts w:ascii="Times New Roman" w:eastAsia="Times New Roman" w:hAnsi="Times New Roman" w:cs="Times New Roman"/>
          <w:color w:val="000000"/>
          <w:sz w:val="24"/>
          <w:szCs w:val="24"/>
        </w:rPr>
        <w:t xml:space="preserve"> A description of each method is provided below. A few other studies are </w:t>
      </w:r>
      <w:proofErr w:type="gramStart"/>
      <w:r>
        <w:rPr>
          <w:rFonts w:ascii="Times New Roman" w:eastAsia="Times New Roman" w:hAnsi="Times New Roman" w:cs="Times New Roman"/>
          <w:color w:val="000000"/>
          <w:sz w:val="24"/>
          <w:szCs w:val="24"/>
        </w:rPr>
        <w:t>included.(</w:t>
      </w:r>
      <w:proofErr w:type="gramEnd"/>
      <w:r w:rsidR="008D12CB">
        <w:rPr>
          <w:rFonts w:ascii="Times New Roman" w:eastAsia="Times New Roman" w:hAnsi="Times New Roman" w:cs="Times New Roman"/>
          <w:color w:val="000000"/>
          <w:sz w:val="24"/>
          <w:szCs w:val="24"/>
        </w:rPr>
        <w:t>Saha et al.,2015</w:t>
      </w:r>
      <w:r>
        <w:rPr>
          <w:rFonts w:ascii="Times New Roman" w:eastAsia="Times New Roman" w:hAnsi="Times New Roman" w:cs="Times New Roman"/>
          <w:color w:val="000000"/>
          <w:sz w:val="24"/>
          <w:szCs w:val="24"/>
        </w:rPr>
        <w:t>)</w:t>
      </w:r>
    </w:p>
    <w:p w14:paraId="4CF13A94" w14:textId="2D57531D" w:rsidR="008219B1" w:rsidRDefault="0049121B">
      <w:pPr>
        <w:spacing w:after="0" w:line="360" w:lineRule="auto"/>
        <w:jc w:val="both"/>
        <w:rPr>
          <w:rFonts w:ascii="Times New Roman" w:eastAsia="Times New Roman" w:hAnsi="Times New Roman" w:cs="Times New Roman"/>
          <w:b/>
          <w:color w:val="000000"/>
          <w:sz w:val="24"/>
          <w:szCs w:val="24"/>
        </w:rPr>
      </w:pPr>
      <w:bookmarkStart w:id="5" w:name="_i37fkuxtkqbs" w:colFirst="0" w:colLast="0"/>
      <w:bookmarkEnd w:id="5"/>
      <w:r>
        <w:rPr>
          <w:rFonts w:ascii="Times New Roman" w:eastAsia="Times New Roman" w:hAnsi="Times New Roman" w:cs="Times New Roman"/>
          <w:b/>
          <w:color w:val="000000"/>
          <w:sz w:val="24"/>
          <w:szCs w:val="24"/>
        </w:rPr>
        <w:t>(</w:t>
      </w:r>
      <w:proofErr w:type="spellStart"/>
      <w:r>
        <w:rPr>
          <w:rFonts w:ascii="Times New Roman" w:eastAsia="Times New Roman" w:hAnsi="Times New Roman" w:cs="Times New Roman"/>
          <w:b/>
          <w:color w:val="000000"/>
          <w:sz w:val="24"/>
          <w:szCs w:val="24"/>
        </w:rPr>
        <w:t>i</w:t>
      </w:r>
      <w:proofErr w:type="spellEnd"/>
      <w:r>
        <w:rPr>
          <w:rFonts w:ascii="Times New Roman" w:eastAsia="Times New Roman" w:hAnsi="Times New Roman" w:cs="Times New Roman"/>
          <w:b/>
          <w:color w:val="000000"/>
          <w:sz w:val="24"/>
          <w:szCs w:val="24"/>
        </w:rPr>
        <w:t>) UV-VIS absorption spectral</w:t>
      </w:r>
      <w:r w:rsidR="00862544">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rPr>
        <w:t>analysis</w:t>
      </w:r>
    </w:p>
    <w:p w14:paraId="5D6130E8" w14:textId="0A87C16C" w:rsidR="008219B1" w:rsidRDefault="0049121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Spectroscopy is defined as the interaction between matter (chemical compounds) and electromagnetic radiation (simply light). Ultraviolet and visible (UV-VIS) spectroscopy is an excellent non-destructive analytical technique useful for a large number of organic compounds and some inorganic compounds. As a function of wavelength, UV-VIS spectrophotometers measure the absorption or transmission of light that passes through a solution of compounds having very low </w:t>
      </w:r>
      <w:proofErr w:type="spellStart"/>
      <w:proofErr w:type="gramStart"/>
      <w:r>
        <w:rPr>
          <w:rFonts w:ascii="Times New Roman" w:eastAsia="Times New Roman" w:hAnsi="Times New Roman" w:cs="Times New Roman"/>
          <w:color w:val="000000"/>
          <w:sz w:val="24"/>
          <w:szCs w:val="24"/>
        </w:rPr>
        <w:t>concentrations.</w:t>
      </w:r>
      <w:r>
        <w:rPr>
          <w:rFonts w:ascii="Times New Roman" w:eastAsia="Times New Roman" w:hAnsi="Times New Roman" w:cs="Times New Roman"/>
          <w:sz w:val="24"/>
          <w:szCs w:val="24"/>
        </w:rPr>
        <w:t>The</w:t>
      </w:r>
      <w:proofErr w:type="spellEnd"/>
      <w:proofErr w:type="gramEnd"/>
      <w:r>
        <w:rPr>
          <w:rFonts w:ascii="Times New Roman" w:eastAsia="Times New Roman" w:hAnsi="Times New Roman" w:cs="Times New Roman"/>
          <w:sz w:val="24"/>
          <w:szCs w:val="24"/>
        </w:rPr>
        <w:t xml:space="preserve"> normal</w:t>
      </w:r>
      <w:r w:rsidR="005C59F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 xml:space="preserve">wavelength range of </w:t>
      </w:r>
      <w:r>
        <w:rPr>
          <w:rFonts w:ascii="Times New Roman" w:eastAsia="Times New Roman" w:hAnsi="Times New Roman" w:cs="Times New Roman"/>
          <w:sz w:val="24"/>
          <w:szCs w:val="24"/>
        </w:rPr>
        <w:t xml:space="preserve">UV-VIS is around 200 nm to 800 nm. From 200 to 400nm is used for UV and 400-800nm is used for visible light. The measurement is based on Lambert-Beers </w:t>
      </w:r>
      <w:proofErr w:type="gramStart"/>
      <w:r>
        <w:rPr>
          <w:rFonts w:ascii="Times New Roman" w:eastAsia="Times New Roman" w:hAnsi="Times New Roman" w:cs="Times New Roman"/>
          <w:sz w:val="24"/>
          <w:szCs w:val="24"/>
        </w:rPr>
        <w:t>law</w:t>
      </w:r>
      <w:r>
        <w:rPr>
          <w:rFonts w:ascii="Times New Roman" w:eastAsia="Times New Roman" w:hAnsi="Times New Roman" w:cs="Times New Roman"/>
          <w:color w:val="000000"/>
          <w:sz w:val="24"/>
          <w:szCs w:val="24"/>
        </w:rPr>
        <w:t>(</w:t>
      </w:r>
      <w:proofErr w:type="gramEnd"/>
      <w:r w:rsidR="008D12CB">
        <w:rPr>
          <w:rFonts w:ascii="Times New Roman" w:eastAsia="Times New Roman" w:hAnsi="Times New Roman" w:cs="Times New Roman"/>
          <w:color w:val="000000"/>
          <w:sz w:val="24"/>
          <w:szCs w:val="24"/>
        </w:rPr>
        <w:t>Chatten,1969</w:t>
      </w:r>
      <w:r>
        <w:rPr>
          <w:rFonts w:ascii="Times New Roman" w:eastAsia="Times New Roman" w:hAnsi="Times New Roman" w:cs="Times New Roman"/>
          <w:color w:val="000000"/>
          <w:sz w:val="24"/>
          <w:szCs w:val="24"/>
        </w:rPr>
        <w:t>)</w:t>
      </w:r>
      <w:r w:rsidR="005C59F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The simple mathematical formula of this law is -</w:t>
      </w:r>
    </w:p>
    <w:p w14:paraId="749E18C2" w14:textId="77777777" w:rsidR="008219B1" w:rsidRDefault="0049121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roofErr w:type="spellStart"/>
      <w:r>
        <w:rPr>
          <w:rFonts w:ascii="Times New Roman" w:eastAsia="Times New Roman" w:hAnsi="Times New Roman" w:cs="Times New Roman"/>
          <w:sz w:val="24"/>
          <w:szCs w:val="24"/>
        </w:rPr>
        <w:t>abC</w:t>
      </w:r>
      <w:proofErr w:type="spellEnd"/>
    </w:p>
    <w:p w14:paraId="7028BA91" w14:textId="77777777" w:rsidR="008219B1" w:rsidRDefault="0049121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Where, </w:t>
      </w:r>
    </w:p>
    <w:p w14:paraId="658A42B0" w14:textId="77777777" w:rsidR="008219B1" w:rsidRDefault="0049121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 Absorbance or optical density</w:t>
      </w:r>
    </w:p>
    <w:p w14:paraId="042D3714" w14:textId="77777777" w:rsidR="008219B1" w:rsidRDefault="0049121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 Absorptivity or specific extinction co-efficient (constant).</w:t>
      </w:r>
    </w:p>
    <w:p w14:paraId="55A6A546" w14:textId="77777777" w:rsidR="008219B1" w:rsidRDefault="0049121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 </w:t>
      </w:r>
      <w:proofErr w:type="spellStart"/>
      <w:r>
        <w:rPr>
          <w:rFonts w:ascii="Times New Roman" w:eastAsia="Times New Roman" w:hAnsi="Times New Roman" w:cs="Times New Roman"/>
          <w:sz w:val="24"/>
          <w:szCs w:val="24"/>
        </w:rPr>
        <w:t>Pathlengthof</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cell(</w:t>
      </w:r>
      <w:proofErr w:type="gramEnd"/>
      <w:r>
        <w:rPr>
          <w:rFonts w:ascii="Times New Roman" w:eastAsia="Times New Roman" w:hAnsi="Times New Roman" w:cs="Times New Roman"/>
          <w:sz w:val="24"/>
          <w:szCs w:val="24"/>
        </w:rPr>
        <w:t>in centimeters) or thickness of the solution through which incident light passes (constant and 1</w:t>
      </w:r>
      <w:r>
        <w:rPr>
          <w:rFonts w:ascii="Times New Roman" w:eastAsia="Times New Roman" w:hAnsi="Times New Roman" w:cs="Times New Roman"/>
          <w:sz w:val="24"/>
          <w:szCs w:val="24"/>
          <w:highlight w:val="yellow"/>
        </w:rPr>
        <w:t>centimeter</w:t>
      </w:r>
      <w:r>
        <w:rPr>
          <w:rFonts w:ascii="Times New Roman" w:eastAsia="Times New Roman" w:hAnsi="Times New Roman" w:cs="Times New Roman"/>
          <w:sz w:val="24"/>
          <w:szCs w:val="24"/>
        </w:rPr>
        <w:t>)</w:t>
      </w:r>
    </w:p>
    <w:p w14:paraId="751F524E" w14:textId="77777777" w:rsidR="008219B1" w:rsidRDefault="0049121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 = Concentration of solute (drug) in the solution(s) (gram/Liter).</w:t>
      </w:r>
    </w:p>
    <w:p w14:paraId="4DA57F68" w14:textId="77777777" w:rsidR="008219B1" w:rsidRDefault="008219B1">
      <w:pPr>
        <w:spacing w:after="0" w:line="360" w:lineRule="auto"/>
        <w:jc w:val="both"/>
        <w:rPr>
          <w:rFonts w:ascii="Times New Roman" w:eastAsia="Times New Roman" w:hAnsi="Times New Roman" w:cs="Times New Roman"/>
          <w:sz w:val="24"/>
          <w:szCs w:val="24"/>
        </w:rPr>
      </w:pPr>
    </w:p>
    <w:p w14:paraId="6115A966" w14:textId="77777777" w:rsidR="008219B1" w:rsidRDefault="0049121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law is valid only for very dilute and transparent solutions. Absorbance is measured at different wavelengths and the obtained values are plotted by placing absorbance values at the ordinate and wavelength values at the abscissa (</w:t>
      </w:r>
      <w:r>
        <w:rPr>
          <w:rFonts w:ascii="Times New Roman" w:eastAsia="Times New Roman" w:hAnsi="Times New Roman" w:cs="Times New Roman"/>
          <w:b/>
          <w:sz w:val="24"/>
          <w:szCs w:val="24"/>
        </w:rPr>
        <w:t>Figure 1a)</w:t>
      </w:r>
      <w:r>
        <w:rPr>
          <w:rFonts w:ascii="Times New Roman" w:eastAsia="Times New Roman" w:hAnsi="Times New Roman" w:cs="Times New Roman"/>
          <w:sz w:val="24"/>
          <w:szCs w:val="24"/>
        </w:rPr>
        <w:t>.</w:t>
      </w:r>
    </w:p>
    <w:p w14:paraId="1710881F" w14:textId="7A7E41FC" w:rsidR="008219B1" w:rsidRDefault="0049121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spectrometer is a machine that measures the optical activities of a solutions. This is performed in two ways – (</w:t>
      </w: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xml:space="preserve">) </w:t>
      </w:r>
      <w:r w:rsidR="00862544" w:rsidRPr="00862544">
        <w:rPr>
          <w:rFonts w:ascii="Times New Roman" w:eastAsia="Times New Roman" w:hAnsi="Times New Roman" w:cs="Times New Roman"/>
          <w:sz w:val="24"/>
          <w:szCs w:val="24"/>
          <w:highlight w:val="yellow"/>
        </w:rPr>
        <w:t>P</w:t>
      </w:r>
      <w:r>
        <w:rPr>
          <w:rFonts w:ascii="Times New Roman" w:eastAsia="Times New Roman" w:hAnsi="Times New Roman" w:cs="Times New Roman"/>
          <w:sz w:val="24"/>
          <w:szCs w:val="24"/>
        </w:rPr>
        <w:t xml:space="preserve">hotometric mode and (ii) Scanning mode. The response obtained from the spectrometer is called spectrum. A schematic diagram of a spectrum and a spectrometer is shown in </w:t>
      </w:r>
      <w:r>
        <w:rPr>
          <w:rFonts w:ascii="Times New Roman" w:eastAsia="Times New Roman" w:hAnsi="Times New Roman" w:cs="Times New Roman"/>
          <w:b/>
          <w:sz w:val="24"/>
          <w:szCs w:val="24"/>
        </w:rPr>
        <w:t>Figure 1b</w:t>
      </w:r>
      <w:r>
        <w:rPr>
          <w:rFonts w:ascii="Times New Roman" w:eastAsia="Times New Roman" w:hAnsi="Times New Roman" w:cs="Times New Roman"/>
          <w:sz w:val="24"/>
          <w:szCs w:val="24"/>
        </w:rPr>
        <w:t xml:space="preserve">. </w:t>
      </w:r>
    </w:p>
    <w:p w14:paraId="7042CD79" w14:textId="77777777" w:rsidR="008219B1" w:rsidRDefault="008219B1">
      <w:pPr>
        <w:spacing w:after="0" w:line="360" w:lineRule="auto"/>
        <w:jc w:val="both"/>
        <w:rPr>
          <w:rFonts w:ascii="Times New Roman" w:eastAsia="Times New Roman" w:hAnsi="Times New Roman" w:cs="Times New Roman"/>
          <w:sz w:val="24"/>
          <w:szCs w:val="24"/>
        </w:rPr>
      </w:pPr>
    </w:p>
    <w:tbl>
      <w:tblPr>
        <w:tblStyle w:val="a"/>
        <w:tblW w:w="9351"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4657"/>
        <w:gridCol w:w="4694"/>
      </w:tblGrid>
      <w:tr w:rsidR="008219B1" w14:paraId="3576D8BE" w14:textId="77777777">
        <w:trPr>
          <w:trHeight w:val="2717"/>
        </w:trPr>
        <w:tc>
          <w:tcPr>
            <w:tcW w:w="4657" w:type="dxa"/>
          </w:tcPr>
          <w:p w14:paraId="4DD18E59" w14:textId="77777777" w:rsidR="008219B1" w:rsidRDefault="0049121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D9B5ED3" wp14:editId="6C91810B">
                  <wp:extent cx="2797592" cy="1721651"/>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797592" cy="1721651"/>
                          </a:xfrm>
                          <a:prstGeom prst="rect">
                            <a:avLst/>
                          </a:prstGeom>
                          <a:ln/>
                        </pic:spPr>
                      </pic:pic>
                    </a:graphicData>
                  </a:graphic>
                </wp:inline>
              </w:drawing>
            </w:r>
          </w:p>
          <w:p w14:paraId="7B4EBBAE" w14:textId="77777777" w:rsidR="008219B1" w:rsidRDefault="0049121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4694" w:type="dxa"/>
          </w:tcPr>
          <w:p w14:paraId="1682E9C4" w14:textId="77777777" w:rsidR="008219B1" w:rsidRDefault="008219B1">
            <w:pPr>
              <w:spacing w:line="360" w:lineRule="auto"/>
              <w:jc w:val="both"/>
              <w:rPr>
                <w:rFonts w:ascii="Times New Roman" w:eastAsia="Times New Roman" w:hAnsi="Times New Roman" w:cs="Times New Roman"/>
                <w:sz w:val="24"/>
                <w:szCs w:val="24"/>
              </w:rPr>
            </w:pPr>
          </w:p>
          <w:p w14:paraId="374EB8E1" w14:textId="77777777" w:rsidR="008219B1" w:rsidRDefault="0049121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5106C46" wp14:editId="021674DA">
                  <wp:extent cx="2883604" cy="1391079"/>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2883604" cy="1391079"/>
                          </a:xfrm>
                          <a:prstGeom prst="rect">
                            <a:avLst/>
                          </a:prstGeom>
                          <a:ln/>
                        </pic:spPr>
                      </pic:pic>
                    </a:graphicData>
                  </a:graphic>
                </wp:inline>
              </w:drawing>
            </w:r>
          </w:p>
          <w:p w14:paraId="62175DD0" w14:textId="77777777" w:rsidR="008219B1" w:rsidRDefault="0049121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r>
      <w:tr w:rsidR="008219B1" w14:paraId="7A4CBBA7" w14:textId="77777777">
        <w:tc>
          <w:tcPr>
            <w:tcW w:w="9351" w:type="dxa"/>
            <w:gridSpan w:val="2"/>
          </w:tcPr>
          <w:p w14:paraId="2B65C53F" w14:textId="77777777" w:rsidR="008219B1" w:rsidRDefault="0049121B">
            <w:pPr>
              <w:spacing w:line="360" w:lineRule="auto"/>
              <w:ind w:left="1148" w:hanging="114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1</w:t>
            </w:r>
            <w:r>
              <w:rPr>
                <w:rFonts w:ascii="Times New Roman" w:eastAsia="Times New Roman" w:hAnsi="Times New Roman" w:cs="Times New Roman"/>
                <w:sz w:val="24"/>
                <w:szCs w:val="24"/>
              </w:rPr>
              <w:t>: A simple schematic diagram of (a) UV-VIS spectral analysis and (b) a spectrophotometer.</w:t>
            </w:r>
          </w:p>
        </w:tc>
      </w:tr>
    </w:tbl>
    <w:p w14:paraId="6CC7F797" w14:textId="77777777" w:rsidR="008219B1" w:rsidRDefault="008219B1">
      <w:pPr>
        <w:spacing w:after="0" w:line="360" w:lineRule="auto"/>
        <w:jc w:val="both"/>
        <w:rPr>
          <w:rFonts w:ascii="Times New Roman" w:eastAsia="Times New Roman" w:hAnsi="Times New Roman" w:cs="Times New Roman"/>
          <w:sz w:val="24"/>
          <w:szCs w:val="24"/>
        </w:rPr>
      </w:pPr>
    </w:p>
    <w:p w14:paraId="14147F45" w14:textId="03D0560D" w:rsidR="008219B1" w:rsidRPr="00C007A8" w:rsidRDefault="0049121B">
      <w:pPr>
        <w:spacing w:after="0" w:line="360" w:lineRule="auto"/>
        <w:jc w:val="both"/>
        <w:rPr>
          <w:rFonts w:ascii="Times New Roman" w:eastAsia="Times New Roman" w:hAnsi="Times New Roman" w:cs="Times New Roman"/>
          <w:sz w:val="24"/>
          <w:szCs w:val="24"/>
        </w:rPr>
      </w:pPr>
      <w:r w:rsidRPr="00C007A8">
        <w:rPr>
          <w:rFonts w:ascii="Times New Roman" w:eastAsia="Times New Roman" w:hAnsi="Times New Roman" w:cs="Times New Roman"/>
          <w:sz w:val="24"/>
          <w:szCs w:val="24"/>
        </w:rPr>
        <w:t xml:space="preserve">For drug-drug and drug-metal interaction </w:t>
      </w:r>
      <w:proofErr w:type="gramStart"/>
      <w:r w:rsidRPr="00C007A8">
        <w:rPr>
          <w:rFonts w:ascii="Times New Roman" w:eastAsia="Times New Roman" w:hAnsi="Times New Roman" w:cs="Times New Roman"/>
          <w:sz w:val="24"/>
          <w:szCs w:val="24"/>
        </w:rPr>
        <w:t>study</w:t>
      </w:r>
      <w:r w:rsidRPr="00C007A8">
        <w:rPr>
          <w:rFonts w:ascii="Times New Roman" w:eastAsia="Times New Roman" w:hAnsi="Times New Roman" w:cs="Times New Roman"/>
          <w:color w:val="000000"/>
          <w:sz w:val="24"/>
          <w:szCs w:val="24"/>
        </w:rPr>
        <w:t>(</w:t>
      </w:r>
      <w:proofErr w:type="gramEnd"/>
      <w:r w:rsidR="008D12CB" w:rsidRPr="00C007A8">
        <w:rPr>
          <w:rFonts w:ascii="Times New Roman" w:eastAsia="Times New Roman" w:hAnsi="Times New Roman" w:cs="Times New Roman"/>
          <w:color w:val="000000"/>
          <w:sz w:val="24"/>
          <w:szCs w:val="24"/>
        </w:rPr>
        <w:t>Aktar et al.,2020</w:t>
      </w:r>
      <w:r w:rsidRPr="00C007A8">
        <w:rPr>
          <w:rFonts w:ascii="Times New Roman" w:eastAsia="Times New Roman" w:hAnsi="Times New Roman" w:cs="Times New Roman"/>
          <w:color w:val="000000"/>
          <w:sz w:val="24"/>
          <w:szCs w:val="24"/>
        </w:rPr>
        <w:t>)</w:t>
      </w:r>
      <w:r w:rsidRPr="00C007A8">
        <w:rPr>
          <w:rFonts w:ascii="Times New Roman" w:eastAsia="Times New Roman" w:hAnsi="Times New Roman" w:cs="Times New Roman"/>
          <w:sz w:val="24"/>
          <w:szCs w:val="24"/>
        </w:rPr>
        <w:t xml:space="preserve">, dilute solutions of individual drugs at different concentrations (for example, DRUG A and DRUG B) are prepared using different buffered pH solutions such as </w:t>
      </w:r>
      <w:r w:rsidRPr="00C007A8">
        <w:rPr>
          <w:rFonts w:ascii="Times New Roman" w:eastAsia="Times New Roman" w:hAnsi="Times New Roman" w:cs="Times New Roman"/>
          <w:color w:val="000000"/>
          <w:sz w:val="24"/>
          <w:szCs w:val="24"/>
        </w:rPr>
        <w:t xml:space="preserve">pH 1.4, 3.4, 6.4, 7.4 and 8.4. </w:t>
      </w:r>
      <w:r w:rsidRPr="00C007A8">
        <w:rPr>
          <w:rFonts w:ascii="Times New Roman" w:eastAsia="Times New Roman" w:hAnsi="Times New Roman" w:cs="Times New Roman"/>
          <w:color w:val="000000"/>
          <w:sz w:val="24"/>
          <w:szCs w:val="24"/>
          <w:highlight w:val="yellow"/>
        </w:rPr>
        <w:t xml:space="preserve">The absorbance of each drug solution is measured separately at its specific wavelength and recorded. After that, equal volumes of the two drug solutions are mixed in a 1:1 ratio, stirred thoroughly to ensure proper mixing, and left undisturbed for a certain period to allow the interaction to </w:t>
      </w:r>
      <w:proofErr w:type="spellStart"/>
      <w:proofErr w:type="gramStart"/>
      <w:r w:rsidRPr="00C007A8">
        <w:rPr>
          <w:rFonts w:ascii="Times New Roman" w:eastAsia="Times New Roman" w:hAnsi="Times New Roman" w:cs="Times New Roman"/>
          <w:color w:val="000000"/>
          <w:sz w:val="24"/>
          <w:szCs w:val="24"/>
          <w:highlight w:val="yellow"/>
        </w:rPr>
        <w:t>occur</w:t>
      </w:r>
      <w:r w:rsidRPr="00C007A8">
        <w:rPr>
          <w:rFonts w:ascii="Times New Roman" w:eastAsia="Times New Roman" w:hAnsi="Times New Roman" w:cs="Times New Roman"/>
          <w:color w:val="000000"/>
          <w:sz w:val="24"/>
          <w:szCs w:val="24"/>
        </w:rPr>
        <w:t>.</w:t>
      </w:r>
      <w:r w:rsidRPr="00C007A8">
        <w:rPr>
          <w:rFonts w:ascii="Times New Roman" w:eastAsia="Times New Roman" w:hAnsi="Times New Roman" w:cs="Times New Roman"/>
          <w:sz w:val="24"/>
          <w:szCs w:val="24"/>
        </w:rPr>
        <w:t>Then</w:t>
      </w:r>
      <w:proofErr w:type="spellEnd"/>
      <w:proofErr w:type="gramEnd"/>
      <w:r w:rsidRPr="00C007A8">
        <w:rPr>
          <w:rFonts w:ascii="Times New Roman" w:eastAsia="Times New Roman" w:hAnsi="Times New Roman" w:cs="Times New Roman"/>
          <w:sz w:val="24"/>
          <w:szCs w:val="24"/>
        </w:rPr>
        <w:t>, their absorbances are measured using specific wavelength. The absorbances and the spectrums of individual drugs are compared with the data that are obtained from the mixtures of two drugs. The experiments are repeated to avoid any error and biasness. The pH solutions are prepared using standard textbook</w:t>
      </w:r>
      <w:r w:rsidRPr="00C007A8">
        <w:rPr>
          <w:rFonts w:ascii="Times New Roman" w:eastAsia="Times New Roman" w:hAnsi="Times New Roman" w:cs="Times New Roman"/>
          <w:color w:val="000000"/>
          <w:sz w:val="24"/>
          <w:szCs w:val="24"/>
        </w:rPr>
        <w:t>(21)</w:t>
      </w:r>
      <w:r w:rsidRPr="00C007A8">
        <w:rPr>
          <w:rFonts w:ascii="Times New Roman" w:eastAsia="Times New Roman" w:hAnsi="Times New Roman" w:cs="Times New Roman"/>
          <w:sz w:val="24"/>
          <w:szCs w:val="24"/>
        </w:rPr>
        <w:t xml:space="preserve">Works of other investigators can be consulted for </w:t>
      </w:r>
      <w:r w:rsidRPr="00C007A8">
        <w:rPr>
          <w:rFonts w:ascii="Times New Roman" w:eastAsia="Times New Roman" w:hAnsi="Times New Roman" w:cs="Times New Roman"/>
          <w:sz w:val="24"/>
          <w:szCs w:val="24"/>
          <w:highlight w:val="yellow"/>
        </w:rPr>
        <w:t>further</w:t>
      </w:r>
      <w:r w:rsidR="005C59FB" w:rsidRPr="00C007A8">
        <w:rPr>
          <w:rFonts w:ascii="Times New Roman" w:eastAsia="Times New Roman" w:hAnsi="Times New Roman" w:cs="Times New Roman"/>
          <w:sz w:val="24"/>
          <w:szCs w:val="24"/>
          <w:highlight w:val="yellow"/>
        </w:rPr>
        <w:t xml:space="preserve"> </w:t>
      </w:r>
      <w:r w:rsidRPr="00C007A8">
        <w:rPr>
          <w:rFonts w:ascii="Times New Roman" w:eastAsia="Times New Roman" w:hAnsi="Times New Roman" w:cs="Times New Roman"/>
          <w:sz w:val="24"/>
          <w:szCs w:val="24"/>
          <w:highlight w:val="yellow"/>
        </w:rPr>
        <w:t>clarification</w:t>
      </w:r>
      <w:r w:rsidR="00B51C60" w:rsidRPr="00C007A8">
        <w:rPr>
          <w:rFonts w:ascii="Times New Roman" w:eastAsia="Times New Roman" w:hAnsi="Times New Roman" w:cs="Times New Roman"/>
          <w:color w:val="000000"/>
          <w:sz w:val="24"/>
          <w:szCs w:val="24"/>
        </w:rPr>
        <w:t xml:space="preserve"> </w:t>
      </w:r>
      <w:r w:rsidR="008D12CB" w:rsidRPr="00C007A8">
        <w:rPr>
          <w:rFonts w:ascii="Times New Roman" w:eastAsia="Times New Roman" w:hAnsi="Times New Roman" w:cs="Times New Roman"/>
          <w:sz w:val="24"/>
          <w:szCs w:val="24"/>
        </w:rPr>
        <w:t>(</w:t>
      </w:r>
      <w:r w:rsidR="008D12CB" w:rsidRPr="00C007A8">
        <w:rPr>
          <w:rFonts w:ascii="Times New Roman" w:hAnsi="Times New Roman" w:cs="Times New Roman"/>
          <w:i/>
          <w:iCs/>
          <w:sz w:val="24"/>
          <w:szCs w:val="24"/>
        </w:rPr>
        <w:t xml:space="preserve"> </w:t>
      </w:r>
      <w:r w:rsidR="008D12CB" w:rsidRPr="00C007A8">
        <w:rPr>
          <w:rFonts w:ascii="Times New Roman" w:eastAsia="Times New Roman" w:hAnsi="Times New Roman" w:cs="Times New Roman"/>
          <w:i/>
          <w:iCs/>
          <w:sz w:val="24"/>
          <w:szCs w:val="24"/>
        </w:rPr>
        <w:t xml:space="preserve">Evaluation of </w:t>
      </w:r>
      <w:r w:rsidR="008D12CB" w:rsidRPr="00C007A8">
        <w:rPr>
          <w:rFonts w:ascii="Times New Roman" w:eastAsia="Times New Roman" w:hAnsi="Times New Roman" w:cs="Times New Roman"/>
          <w:i/>
          <w:iCs/>
          <w:sz w:val="24"/>
          <w:szCs w:val="24"/>
        </w:rPr>
        <w:lastRenderedPageBreak/>
        <w:t>in vitro interaction</w:t>
      </w:r>
      <w:r w:rsidR="008D12CB" w:rsidRPr="00C007A8">
        <w:rPr>
          <w:rFonts w:ascii="Times New Roman" w:eastAsia="Times New Roman" w:hAnsi="Times New Roman" w:cs="Times New Roman"/>
          <w:sz w:val="24"/>
          <w:szCs w:val="24"/>
        </w:rPr>
        <w:t>, n.d.;</w:t>
      </w:r>
      <w:r w:rsidR="008D12CB" w:rsidRPr="00C007A8">
        <w:rPr>
          <w:rFonts w:ascii="Times New Roman" w:hAnsi="Times New Roman" w:cs="Times New Roman"/>
          <w:sz w:val="24"/>
          <w:szCs w:val="24"/>
        </w:rPr>
        <w:t xml:space="preserve"> </w:t>
      </w:r>
      <w:r w:rsidR="008D12CB" w:rsidRPr="00C007A8">
        <w:rPr>
          <w:rFonts w:ascii="Times New Roman" w:eastAsia="Times New Roman" w:hAnsi="Times New Roman" w:cs="Times New Roman"/>
          <w:sz w:val="24"/>
          <w:szCs w:val="24"/>
        </w:rPr>
        <w:t>Amran et al., 2007;</w:t>
      </w:r>
      <w:r w:rsidR="00B51C60" w:rsidRPr="00C007A8">
        <w:rPr>
          <w:rFonts w:ascii="Times New Roman" w:hAnsi="Times New Roman" w:cs="Times New Roman"/>
          <w:sz w:val="24"/>
          <w:szCs w:val="24"/>
        </w:rPr>
        <w:t xml:space="preserve"> </w:t>
      </w:r>
      <w:r w:rsidR="00B51C60" w:rsidRPr="00C007A8">
        <w:rPr>
          <w:rFonts w:ascii="Times New Roman" w:eastAsia="Times New Roman" w:hAnsi="Times New Roman" w:cs="Times New Roman"/>
          <w:sz w:val="24"/>
          <w:szCs w:val="24"/>
        </w:rPr>
        <w:t>Amran et al., 2006;</w:t>
      </w:r>
      <w:r w:rsidR="00B51C60" w:rsidRPr="00C007A8">
        <w:rPr>
          <w:rFonts w:ascii="Times New Roman" w:hAnsi="Times New Roman" w:cs="Times New Roman"/>
          <w:sz w:val="24"/>
          <w:szCs w:val="24"/>
        </w:rPr>
        <w:t xml:space="preserve"> </w:t>
      </w:r>
      <w:r w:rsidR="00B51C60" w:rsidRPr="00C007A8">
        <w:rPr>
          <w:rFonts w:ascii="Times New Roman" w:eastAsia="Times New Roman" w:hAnsi="Times New Roman" w:cs="Times New Roman"/>
          <w:sz w:val="24"/>
          <w:szCs w:val="24"/>
        </w:rPr>
        <w:t>Amran et al., 2008;</w:t>
      </w:r>
      <w:r w:rsidR="00B51C60" w:rsidRPr="00C007A8">
        <w:rPr>
          <w:rFonts w:ascii="Times New Roman" w:hAnsi="Times New Roman" w:cs="Times New Roman"/>
          <w:sz w:val="24"/>
          <w:szCs w:val="24"/>
        </w:rPr>
        <w:t xml:space="preserve"> </w:t>
      </w:r>
      <w:r w:rsidR="00B51C60" w:rsidRPr="00C007A8">
        <w:rPr>
          <w:rFonts w:ascii="Times New Roman" w:eastAsia="Times New Roman" w:hAnsi="Times New Roman" w:cs="Times New Roman"/>
          <w:sz w:val="24"/>
          <w:szCs w:val="24"/>
        </w:rPr>
        <w:t xml:space="preserve">Salam et al., 2009) </w:t>
      </w:r>
      <w:r w:rsidRPr="00C007A8">
        <w:rPr>
          <w:rFonts w:ascii="Times New Roman" w:eastAsia="Times New Roman" w:hAnsi="Times New Roman" w:cs="Times New Roman"/>
          <w:sz w:val="24"/>
          <w:szCs w:val="24"/>
        </w:rPr>
        <w:t xml:space="preserve">Other examples of the application of the UV-VIS spectral analysis </w:t>
      </w:r>
      <w:r w:rsidRPr="00C007A8">
        <w:rPr>
          <w:rFonts w:ascii="Times New Roman" w:eastAsia="Times New Roman" w:hAnsi="Times New Roman" w:cs="Times New Roman"/>
          <w:sz w:val="24"/>
          <w:szCs w:val="24"/>
          <w:highlight w:val="yellow"/>
        </w:rPr>
        <w:t>include</w:t>
      </w:r>
      <w:r w:rsidRPr="00C007A8">
        <w:rPr>
          <w:rFonts w:ascii="Times New Roman" w:eastAsia="Times New Roman" w:hAnsi="Times New Roman" w:cs="Times New Roman"/>
          <w:sz w:val="24"/>
          <w:szCs w:val="24"/>
        </w:rPr>
        <w:t xml:space="preserve"> in vivo protein binding studies of drugs in rat models</w:t>
      </w:r>
      <w:r w:rsidR="00B51C60" w:rsidRPr="00C007A8">
        <w:rPr>
          <w:rFonts w:ascii="Times New Roman" w:eastAsia="Times New Roman" w:hAnsi="Times New Roman" w:cs="Times New Roman"/>
          <w:sz w:val="24"/>
          <w:szCs w:val="24"/>
        </w:rPr>
        <w:t xml:space="preserve"> </w:t>
      </w:r>
      <w:r w:rsidR="00B51C60" w:rsidRPr="00C007A8">
        <w:rPr>
          <w:rFonts w:ascii="Times New Roman" w:eastAsia="Times New Roman" w:hAnsi="Times New Roman" w:cs="Times New Roman"/>
          <w:color w:val="000000"/>
          <w:sz w:val="24"/>
          <w:szCs w:val="24"/>
        </w:rPr>
        <w:t>(</w:t>
      </w:r>
      <w:r w:rsidR="00B51C60" w:rsidRPr="00C007A8">
        <w:rPr>
          <w:rFonts w:ascii="Times New Roman" w:hAnsi="Times New Roman" w:cs="Times New Roman"/>
          <w:sz w:val="24"/>
          <w:szCs w:val="24"/>
        </w:rPr>
        <w:t xml:space="preserve"> Aktar et al., 2021; Chowdhury et al., 2021; Karim et al., 2016).</w:t>
      </w:r>
    </w:p>
    <w:p w14:paraId="71632945" w14:textId="45A7BA40" w:rsidR="008219B1" w:rsidRPr="00C007A8" w:rsidRDefault="0049121B">
      <w:pPr>
        <w:spacing w:after="0" w:line="360" w:lineRule="auto"/>
        <w:jc w:val="both"/>
        <w:rPr>
          <w:rFonts w:ascii="Times New Roman" w:eastAsia="Times New Roman" w:hAnsi="Times New Roman" w:cs="Times New Roman"/>
          <w:color w:val="000000"/>
          <w:sz w:val="24"/>
          <w:szCs w:val="24"/>
        </w:rPr>
      </w:pPr>
      <w:proofErr w:type="spellStart"/>
      <w:r w:rsidRPr="00C007A8">
        <w:rPr>
          <w:rFonts w:ascii="Times New Roman" w:eastAsia="Times New Roman" w:hAnsi="Times New Roman" w:cs="Times New Roman"/>
          <w:sz w:val="24"/>
          <w:szCs w:val="24"/>
        </w:rPr>
        <w:t>Spectrofluorometry</w:t>
      </w:r>
      <w:proofErr w:type="spellEnd"/>
      <w:r w:rsidRPr="00C007A8">
        <w:rPr>
          <w:rFonts w:ascii="Times New Roman" w:eastAsia="Times New Roman" w:hAnsi="Times New Roman" w:cs="Times New Roman"/>
          <w:sz w:val="24"/>
          <w:szCs w:val="24"/>
        </w:rPr>
        <w:t xml:space="preserve"> can also be used to study drug-drug </w:t>
      </w:r>
      <w:proofErr w:type="gramStart"/>
      <w:r w:rsidRPr="00C007A8">
        <w:rPr>
          <w:rFonts w:ascii="Times New Roman" w:eastAsia="Times New Roman" w:hAnsi="Times New Roman" w:cs="Times New Roman"/>
          <w:sz w:val="24"/>
          <w:szCs w:val="24"/>
        </w:rPr>
        <w:t>interactions</w:t>
      </w:r>
      <w:r w:rsidRPr="00C007A8">
        <w:rPr>
          <w:rFonts w:ascii="Times New Roman" w:eastAsia="Times New Roman" w:hAnsi="Times New Roman" w:cs="Times New Roman"/>
          <w:color w:val="000000"/>
          <w:sz w:val="24"/>
          <w:szCs w:val="24"/>
        </w:rPr>
        <w:t>(</w:t>
      </w:r>
      <w:proofErr w:type="gramEnd"/>
      <w:r w:rsidR="00B51C60" w:rsidRPr="00C007A8">
        <w:rPr>
          <w:rFonts w:ascii="Times New Roman" w:eastAsia="Times New Roman" w:hAnsi="Times New Roman" w:cs="Times New Roman"/>
          <w:color w:val="000000"/>
          <w:sz w:val="24"/>
          <w:szCs w:val="24"/>
        </w:rPr>
        <w:t>Nahar et al., 2016</w:t>
      </w:r>
      <w:r w:rsidRPr="00C007A8">
        <w:rPr>
          <w:rFonts w:ascii="Times New Roman" w:eastAsia="Times New Roman" w:hAnsi="Times New Roman" w:cs="Times New Roman"/>
          <w:color w:val="000000"/>
          <w:sz w:val="24"/>
          <w:szCs w:val="24"/>
        </w:rPr>
        <w:t>)</w:t>
      </w:r>
      <w:r w:rsidRPr="00C007A8">
        <w:rPr>
          <w:rFonts w:ascii="Times New Roman" w:eastAsia="Times New Roman" w:hAnsi="Times New Roman" w:cs="Times New Roman"/>
          <w:sz w:val="24"/>
          <w:szCs w:val="24"/>
        </w:rPr>
        <w:t>.</w:t>
      </w:r>
    </w:p>
    <w:p w14:paraId="0433268B" w14:textId="77777777" w:rsidR="008219B1" w:rsidRDefault="0049121B">
      <w:pPr>
        <w:spacing w:after="0" w:line="360" w:lineRule="auto"/>
        <w:jc w:val="both"/>
        <w:rPr>
          <w:rFonts w:ascii="Times New Roman" w:eastAsia="Times New Roman" w:hAnsi="Times New Roman" w:cs="Times New Roman"/>
          <w:b/>
          <w:color w:val="000000"/>
          <w:sz w:val="24"/>
          <w:szCs w:val="24"/>
        </w:rPr>
      </w:pPr>
      <w:bookmarkStart w:id="6" w:name="_pvewcyc6vmpq" w:colFirst="0" w:colLast="0"/>
      <w:bookmarkEnd w:id="6"/>
      <w:r>
        <w:rPr>
          <w:rFonts w:ascii="Times New Roman" w:eastAsia="Times New Roman" w:hAnsi="Times New Roman" w:cs="Times New Roman"/>
          <w:b/>
          <w:color w:val="000000"/>
          <w:sz w:val="24"/>
          <w:szCs w:val="24"/>
        </w:rPr>
        <w:t xml:space="preserve">(ii) Conductometric analysis. </w:t>
      </w:r>
    </w:p>
    <w:p w14:paraId="395A5A52" w14:textId="2C5095ED" w:rsidR="008219B1" w:rsidRPr="00C007A8" w:rsidRDefault="0049121B">
      <w:pPr>
        <w:spacing w:after="0" w:line="360" w:lineRule="auto"/>
        <w:jc w:val="both"/>
        <w:rPr>
          <w:rFonts w:ascii="Times New Roman" w:eastAsia="Times New Roman" w:hAnsi="Times New Roman" w:cs="Times New Roman"/>
          <w:color w:val="000000"/>
          <w:sz w:val="24"/>
          <w:szCs w:val="24"/>
        </w:rPr>
      </w:pPr>
      <w:r w:rsidRPr="00C007A8">
        <w:rPr>
          <w:rFonts w:ascii="Times New Roman" w:eastAsia="Times New Roman" w:hAnsi="Times New Roman" w:cs="Times New Roman"/>
          <w:color w:val="000000"/>
          <w:sz w:val="24"/>
          <w:szCs w:val="24"/>
        </w:rPr>
        <w:t>Conductometry is a measurement of electrolytic conductivity to monitor a progress of chemical reaction one of which is drug-drug interaction, a very reversible and first order reaction. Conductometry has application in analytical chemistry, where conductometric titration is a standard technique. Conductometry is often applied to determine the total conductance of a solution or to analyze the end point of titrations that include ions. Conductometric titrations follows the general principle for acid-base titrations</w:t>
      </w:r>
      <w:r w:rsidR="00B51C60" w:rsidRPr="00C007A8">
        <w:rPr>
          <w:rFonts w:ascii="Times New Roman" w:eastAsia="Times New Roman" w:hAnsi="Times New Roman" w:cs="Times New Roman"/>
          <w:color w:val="000000"/>
          <w:sz w:val="24"/>
          <w:szCs w:val="24"/>
        </w:rPr>
        <w:t xml:space="preserve"> </w:t>
      </w:r>
      <w:proofErr w:type="gramStart"/>
      <w:r w:rsidR="00B51C60" w:rsidRPr="00C007A8">
        <w:rPr>
          <w:rFonts w:ascii="Times New Roman" w:eastAsia="Times New Roman" w:hAnsi="Times New Roman" w:cs="Times New Roman"/>
          <w:color w:val="000000"/>
          <w:sz w:val="24"/>
          <w:szCs w:val="24"/>
        </w:rPr>
        <w:t>(</w:t>
      </w:r>
      <w:r w:rsidR="00B51C60" w:rsidRPr="00C007A8">
        <w:rPr>
          <w:rFonts w:ascii="Times New Roman" w:hAnsi="Times New Roman" w:cs="Times New Roman"/>
        </w:rPr>
        <w:t xml:space="preserve"> </w:t>
      </w:r>
      <w:r w:rsidR="00B51C60" w:rsidRPr="00C007A8">
        <w:rPr>
          <w:rFonts w:ascii="Times New Roman" w:eastAsia="Times New Roman" w:hAnsi="Times New Roman" w:cs="Times New Roman"/>
          <w:color w:val="000000"/>
          <w:sz w:val="24"/>
          <w:szCs w:val="24"/>
        </w:rPr>
        <w:t>Deepa</w:t>
      </w:r>
      <w:proofErr w:type="gramEnd"/>
      <w:r w:rsidR="00B51C60" w:rsidRPr="00C007A8">
        <w:rPr>
          <w:rFonts w:ascii="Times New Roman" w:eastAsia="Times New Roman" w:hAnsi="Times New Roman" w:cs="Times New Roman"/>
          <w:color w:val="000000"/>
          <w:sz w:val="24"/>
          <w:szCs w:val="24"/>
        </w:rPr>
        <w:t xml:space="preserve"> et al., 2016;</w:t>
      </w:r>
      <w:r w:rsidR="00B51C60" w:rsidRPr="00C007A8">
        <w:rPr>
          <w:rFonts w:ascii="Times New Roman" w:hAnsi="Times New Roman" w:cs="Times New Roman"/>
        </w:rPr>
        <w:t xml:space="preserve"> </w:t>
      </w:r>
      <w:r w:rsidR="00B51C60" w:rsidRPr="00C007A8">
        <w:rPr>
          <w:rFonts w:ascii="Times New Roman" w:eastAsia="Times New Roman" w:hAnsi="Times New Roman" w:cs="Times New Roman"/>
          <w:color w:val="000000"/>
          <w:sz w:val="24"/>
          <w:szCs w:val="24"/>
        </w:rPr>
        <w:t>Braun, n.d.;</w:t>
      </w:r>
      <w:r w:rsidR="00B51C60" w:rsidRPr="00C007A8">
        <w:rPr>
          <w:rFonts w:ascii="Times New Roman" w:hAnsi="Times New Roman" w:cs="Times New Roman"/>
        </w:rPr>
        <w:t xml:space="preserve"> </w:t>
      </w:r>
      <w:r w:rsidR="00B51C60" w:rsidRPr="00C007A8">
        <w:rPr>
          <w:rFonts w:ascii="Times New Roman" w:eastAsia="Times New Roman" w:hAnsi="Times New Roman" w:cs="Times New Roman"/>
          <w:color w:val="000000"/>
          <w:sz w:val="24"/>
          <w:szCs w:val="24"/>
        </w:rPr>
        <w:t>Khopkar, 2007)</w:t>
      </w:r>
      <w:r w:rsidRPr="00C007A8">
        <w:rPr>
          <w:rFonts w:ascii="Times New Roman" w:eastAsia="Times New Roman" w:hAnsi="Times New Roman" w:cs="Times New Roman"/>
          <w:color w:val="000000"/>
          <w:sz w:val="24"/>
          <w:szCs w:val="24"/>
        </w:rPr>
        <w:t xml:space="preserve"> Basic and its principle is based on </w:t>
      </w:r>
      <w:proofErr w:type="spellStart"/>
      <w:r w:rsidRPr="00C007A8">
        <w:rPr>
          <w:rFonts w:ascii="Times New Roman" w:eastAsia="Times New Roman" w:hAnsi="Times New Roman" w:cs="Times New Roman"/>
          <w:color w:val="000000"/>
          <w:sz w:val="24"/>
          <w:szCs w:val="24"/>
          <w:highlight w:val="yellow"/>
        </w:rPr>
        <w:t>Ilkovic</w:t>
      </w:r>
      <w:proofErr w:type="spellEnd"/>
      <w:r w:rsidRPr="00C007A8">
        <w:rPr>
          <w:rFonts w:ascii="Times New Roman" w:eastAsia="Times New Roman" w:hAnsi="Times New Roman" w:cs="Times New Roman"/>
          <w:color w:val="000000"/>
          <w:sz w:val="24"/>
          <w:szCs w:val="24"/>
        </w:rPr>
        <w:t xml:space="preserve"> equation the simple mathematical form of which is – </w:t>
      </w:r>
    </w:p>
    <w:p w14:paraId="5A47BBA0" w14:textId="77777777" w:rsidR="008219B1" w:rsidRPr="00C007A8" w:rsidRDefault="008219B1">
      <w:pPr>
        <w:spacing w:after="0" w:line="360" w:lineRule="auto"/>
        <w:jc w:val="both"/>
        <w:rPr>
          <w:rFonts w:ascii="Times New Roman" w:eastAsia="Times New Roman" w:hAnsi="Times New Roman" w:cs="Times New Roman"/>
          <w:color w:val="000000"/>
          <w:sz w:val="24"/>
          <w:szCs w:val="24"/>
        </w:rPr>
      </w:pPr>
    </w:p>
    <w:p w14:paraId="0CF5E00A" w14:textId="77777777" w:rsidR="008219B1" w:rsidRPr="00C007A8" w:rsidRDefault="008219B1">
      <w:pPr>
        <w:spacing w:after="0" w:line="360" w:lineRule="auto"/>
        <w:jc w:val="both"/>
        <w:rPr>
          <w:rFonts w:ascii="Times New Roman" w:eastAsia="Times New Roman" w:hAnsi="Times New Roman" w:cs="Times New Roman"/>
          <w:color w:val="000000"/>
          <w:sz w:val="24"/>
          <w:szCs w:val="24"/>
        </w:rPr>
      </w:pPr>
    </w:p>
    <w:p w14:paraId="4FA09D39" w14:textId="77777777" w:rsidR="008219B1" w:rsidRPr="00C007A8" w:rsidRDefault="00702BC0">
      <w:pPr>
        <w:jc w:val="center"/>
        <w:rPr>
          <w:rFonts w:ascii="Times New Roman" w:eastAsia="Cambria Math" w:hAnsi="Times New Roman" w:cs="Times New Roman"/>
          <w:color w:val="000000"/>
          <w:sz w:val="24"/>
          <w:szCs w:val="24"/>
        </w:rPr>
      </w:pPr>
      <m:oMathPara>
        <m:oMath>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i</m:t>
              </m:r>
            </m:e>
            <m:sub>
              <m:r>
                <w:rPr>
                  <w:rFonts w:ascii="Cambria Math" w:eastAsia="Cambria Math" w:hAnsi="Cambria Math" w:cs="Times New Roman"/>
                  <w:color w:val="000000"/>
                  <w:sz w:val="24"/>
                  <w:szCs w:val="24"/>
                </w:rPr>
                <m:t>d</m:t>
              </m:r>
            </m:sub>
          </m:sSub>
          <m:r>
            <w:rPr>
              <w:rFonts w:ascii="Cambria Math" w:eastAsia="Cambria Math" w:hAnsi="Cambria Math" w:cs="Times New Roman"/>
              <w:color w:val="000000"/>
              <w:sz w:val="24"/>
              <w:szCs w:val="24"/>
            </w:rPr>
            <m:t>=607.n.D.</m:t>
          </m:r>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1</m:t>
              </m:r>
            </m:num>
            <m:den>
              <m:r>
                <w:rPr>
                  <w:rFonts w:ascii="Cambria Math" w:eastAsia="Cambria Math" w:hAnsi="Cambria Math" w:cs="Times New Roman"/>
                  <w:color w:val="000000"/>
                  <w:sz w:val="24"/>
                  <w:szCs w:val="24"/>
                </w:rPr>
                <m:t>2</m:t>
              </m:r>
            </m:den>
          </m:f>
          <m:r>
            <w:rPr>
              <w:rFonts w:ascii="Cambria Math" w:eastAsia="Cambria Math" w:hAnsi="Cambria Math" w:cs="Times New Roman"/>
              <w:color w:val="000000"/>
              <w:sz w:val="24"/>
              <w:szCs w:val="24"/>
            </w:rPr>
            <m:t>m</m:t>
          </m:r>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2</m:t>
              </m:r>
            </m:num>
            <m:den>
              <m:r>
                <w:rPr>
                  <w:rFonts w:ascii="Cambria Math" w:eastAsia="Cambria Math" w:hAnsi="Cambria Math" w:cs="Times New Roman"/>
                  <w:color w:val="000000"/>
                  <w:sz w:val="24"/>
                  <w:szCs w:val="24"/>
                </w:rPr>
                <m:t>3</m:t>
              </m:r>
            </m:den>
          </m:f>
          <m:r>
            <w:rPr>
              <w:rFonts w:ascii="Cambria Math" w:eastAsia="Cambria Math" w:hAnsi="Cambria Math" w:cs="Times New Roman"/>
              <w:color w:val="000000"/>
              <w:sz w:val="24"/>
              <w:szCs w:val="24"/>
            </w:rPr>
            <m:t xml:space="preserve"> t</m:t>
          </m:r>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1</m:t>
              </m:r>
            </m:num>
            <m:den>
              <m:r>
                <w:rPr>
                  <w:rFonts w:ascii="Cambria Math" w:eastAsia="Cambria Math" w:hAnsi="Cambria Math" w:cs="Times New Roman"/>
                  <w:color w:val="000000"/>
                  <w:sz w:val="24"/>
                  <w:szCs w:val="24"/>
                </w:rPr>
                <m:t>6</m:t>
              </m:r>
            </m:den>
          </m:f>
          <m:r>
            <w:rPr>
              <w:rFonts w:ascii="Cambria Math" w:eastAsia="Cambria Math" w:hAnsi="Cambria Math" w:cs="Times New Roman"/>
              <w:color w:val="000000"/>
              <w:sz w:val="24"/>
              <w:szCs w:val="24"/>
            </w:rPr>
            <m:t>C</m:t>
          </m:r>
        </m:oMath>
      </m:oMathPara>
    </w:p>
    <w:p w14:paraId="5FBC7962" w14:textId="77777777" w:rsidR="008219B1" w:rsidRPr="00C007A8" w:rsidRDefault="0049121B">
      <w:pPr>
        <w:spacing w:after="0" w:line="360" w:lineRule="auto"/>
        <w:jc w:val="both"/>
        <w:rPr>
          <w:rFonts w:ascii="Times New Roman" w:eastAsia="Times New Roman" w:hAnsi="Times New Roman" w:cs="Times New Roman"/>
          <w:color w:val="000000"/>
          <w:sz w:val="24"/>
          <w:szCs w:val="24"/>
        </w:rPr>
      </w:pPr>
      <w:r w:rsidRPr="00C007A8">
        <w:rPr>
          <w:rFonts w:ascii="Times New Roman" w:eastAsia="Times New Roman" w:hAnsi="Times New Roman" w:cs="Times New Roman"/>
          <w:color w:val="000000"/>
          <w:sz w:val="24"/>
          <w:szCs w:val="24"/>
        </w:rPr>
        <w:t xml:space="preserve">Where, </w:t>
      </w:r>
    </w:p>
    <w:p w14:paraId="5C899119" w14:textId="77777777" w:rsidR="008219B1" w:rsidRPr="00C007A8" w:rsidRDefault="0049121B">
      <w:pPr>
        <w:spacing w:after="0" w:line="360" w:lineRule="auto"/>
        <w:jc w:val="both"/>
        <w:rPr>
          <w:rFonts w:ascii="Times New Roman" w:eastAsia="Times New Roman" w:hAnsi="Times New Roman" w:cs="Times New Roman"/>
          <w:color w:val="000000"/>
          <w:sz w:val="24"/>
          <w:szCs w:val="24"/>
        </w:rPr>
      </w:pPr>
      <w:r w:rsidRPr="00C007A8">
        <w:rPr>
          <w:rFonts w:ascii="Times New Roman" w:eastAsia="Times New Roman" w:hAnsi="Times New Roman" w:cs="Times New Roman"/>
          <w:color w:val="000000"/>
          <w:sz w:val="24"/>
          <w:szCs w:val="24"/>
        </w:rPr>
        <w:t>i</w:t>
      </w:r>
      <w:r w:rsidRPr="00C007A8">
        <w:rPr>
          <w:rFonts w:ascii="Times New Roman" w:eastAsia="Times New Roman" w:hAnsi="Times New Roman" w:cs="Times New Roman"/>
          <w:color w:val="000000"/>
          <w:sz w:val="24"/>
          <w:szCs w:val="24"/>
          <w:vertAlign w:val="subscript"/>
        </w:rPr>
        <w:t>d</w:t>
      </w:r>
      <w:r w:rsidRPr="00C007A8">
        <w:rPr>
          <w:rFonts w:ascii="Times New Roman" w:eastAsia="Times New Roman" w:hAnsi="Times New Roman" w:cs="Times New Roman"/>
          <w:color w:val="000000"/>
          <w:sz w:val="24"/>
          <w:szCs w:val="24"/>
        </w:rPr>
        <w:t xml:space="preserve"> - In microamperes</w:t>
      </w:r>
      <w:r w:rsidRPr="00C007A8">
        <w:rPr>
          <w:rFonts w:ascii="Times New Roman" w:eastAsia="Times New Roman" w:hAnsi="Times New Roman" w:cs="Times New Roman"/>
          <w:color w:val="000000"/>
          <w:sz w:val="24"/>
          <w:szCs w:val="24"/>
          <w:highlight w:val="yellow"/>
        </w:rPr>
        <w:t>(µA)</w:t>
      </w:r>
      <w:r w:rsidRPr="00C007A8">
        <w:rPr>
          <w:rFonts w:ascii="Times New Roman" w:eastAsia="Times New Roman" w:hAnsi="Times New Roman" w:cs="Times New Roman"/>
          <w:color w:val="000000"/>
          <w:sz w:val="24"/>
          <w:szCs w:val="24"/>
        </w:rPr>
        <w:t>, i</w:t>
      </w:r>
      <w:r w:rsidRPr="00C007A8">
        <w:rPr>
          <w:rFonts w:ascii="Times New Roman" w:eastAsia="Times New Roman" w:hAnsi="Times New Roman" w:cs="Times New Roman"/>
          <w:color w:val="000000"/>
          <w:sz w:val="24"/>
          <w:szCs w:val="24"/>
          <w:vertAlign w:val="subscript"/>
        </w:rPr>
        <w:t>d</w:t>
      </w:r>
      <w:r w:rsidRPr="00C007A8">
        <w:rPr>
          <w:rFonts w:ascii="Times New Roman" w:eastAsia="Times New Roman" w:hAnsi="Times New Roman" w:cs="Times New Roman"/>
          <w:color w:val="000000"/>
          <w:sz w:val="24"/>
          <w:szCs w:val="24"/>
        </w:rPr>
        <w:t xml:space="preserve"> is the diffusion current 607 - The constant 607 is the sum of a variety of numerical factors, including the Faraday constant (P), the density of mercury, etc. </w:t>
      </w:r>
    </w:p>
    <w:p w14:paraId="24904686" w14:textId="77777777" w:rsidR="008219B1" w:rsidRPr="00C007A8" w:rsidRDefault="0049121B">
      <w:pPr>
        <w:spacing w:after="0" w:line="360" w:lineRule="auto"/>
        <w:jc w:val="both"/>
        <w:rPr>
          <w:rFonts w:ascii="Times New Roman" w:eastAsia="Times New Roman" w:hAnsi="Times New Roman" w:cs="Times New Roman"/>
          <w:color w:val="000000"/>
          <w:sz w:val="24"/>
          <w:szCs w:val="24"/>
        </w:rPr>
      </w:pPr>
      <w:r w:rsidRPr="00C007A8">
        <w:rPr>
          <w:rFonts w:ascii="Times New Roman" w:eastAsia="Times New Roman" w:hAnsi="Times New Roman" w:cs="Times New Roman"/>
          <w:color w:val="000000"/>
          <w:sz w:val="24"/>
          <w:szCs w:val="24"/>
        </w:rPr>
        <w:t xml:space="preserve">n - In electrode reactions, n is the number of electrons involved, </w:t>
      </w:r>
    </w:p>
    <w:p w14:paraId="4DEE3F5F" w14:textId="77777777" w:rsidR="008219B1" w:rsidRPr="00C007A8" w:rsidRDefault="0049121B">
      <w:pPr>
        <w:spacing w:after="0" w:line="360" w:lineRule="auto"/>
        <w:jc w:val="both"/>
        <w:rPr>
          <w:rFonts w:ascii="Times New Roman" w:eastAsia="Times New Roman" w:hAnsi="Times New Roman" w:cs="Times New Roman"/>
          <w:color w:val="000000"/>
          <w:sz w:val="24"/>
          <w:szCs w:val="24"/>
        </w:rPr>
      </w:pPr>
      <w:r w:rsidRPr="00C007A8">
        <w:rPr>
          <w:rFonts w:ascii="Times New Roman" w:eastAsia="Times New Roman" w:hAnsi="Times New Roman" w:cs="Times New Roman"/>
          <w:color w:val="000000"/>
          <w:sz w:val="24"/>
          <w:szCs w:val="24"/>
        </w:rPr>
        <w:t xml:space="preserve">D - The diffusion coefficient D </w:t>
      </w:r>
      <w:r w:rsidRPr="00C007A8">
        <w:rPr>
          <w:rFonts w:ascii="Times New Roman" w:eastAsia="Times New Roman" w:hAnsi="Times New Roman" w:cs="Times New Roman"/>
          <w:color w:val="000000"/>
          <w:sz w:val="24"/>
          <w:szCs w:val="24"/>
          <w:highlight w:val="yellow"/>
        </w:rPr>
        <w:t>in square centimeters per second (cm²/s)</w:t>
      </w:r>
    </w:p>
    <w:p w14:paraId="4801FE4C" w14:textId="5B296696" w:rsidR="008219B1" w:rsidRPr="00C007A8" w:rsidRDefault="0049121B">
      <w:pPr>
        <w:spacing w:after="0" w:line="360" w:lineRule="auto"/>
        <w:jc w:val="both"/>
        <w:rPr>
          <w:rFonts w:ascii="Times New Roman" w:eastAsia="Times New Roman" w:hAnsi="Times New Roman" w:cs="Times New Roman"/>
          <w:color w:val="000000"/>
          <w:sz w:val="24"/>
          <w:szCs w:val="24"/>
        </w:rPr>
      </w:pPr>
      <w:r w:rsidRPr="00C007A8">
        <w:rPr>
          <w:rFonts w:ascii="Times New Roman" w:eastAsia="Times New Roman" w:hAnsi="Times New Roman" w:cs="Times New Roman"/>
          <w:color w:val="000000"/>
          <w:sz w:val="24"/>
          <w:szCs w:val="24"/>
        </w:rPr>
        <w:t>m – Weighed by</w:t>
      </w:r>
      <w:r w:rsidR="005C59FB" w:rsidRPr="00C007A8">
        <w:rPr>
          <w:rFonts w:ascii="Times New Roman" w:eastAsia="Times New Roman" w:hAnsi="Times New Roman" w:cs="Times New Roman"/>
          <w:color w:val="000000"/>
          <w:sz w:val="24"/>
          <w:szCs w:val="24"/>
        </w:rPr>
        <w:t xml:space="preserve"> </w:t>
      </w:r>
      <w:r w:rsidRPr="00C007A8">
        <w:rPr>
          <w:rFonts w:ascii="Times New Roman" w:eastAsia="Times New Roman" w:hAnsi="Times New Roman" w:cs="Times New Roman"/>
          <w:color w:val="000000"/>
          <w:sz w:val="24"/>
          <w:szCs w:val="24"/>
          <w:highlight w:val="yellow"/>
        </w:rPr>
        <w:t>milligrams per second (mg/s)</w:t>
      </w:r>
      <w:r w:rsidRPr="00C007A8">
        <w:rPr>
          <w:rFonts w:ascii="Times New Roman" w:eastAsia="Times New Roman" w:hAnsi="Times New Roman" w:cs="Times New Roman"/>
          <w:color w:val="000000"/>
          <w:sz w:val="24"/>
          <w:szCs w:val="24"/>
        </w:rPr>
        <w:t xml:space="preserve"> of the flow of Hg through the capillary, </w:t>
      </w:r>
    </w:p>
    <w:p w14:paraId="0F857AD6" w14:textId="77777777" w:rsidR="008219B1" w:rsidRPr="00C007A8" w:rsidRDefault="0049121B">
      <w:pPr>
        <w:spacing w:after="0" w:line="360" w:lineRule="auto"/>
        <w:jc w:val="both"/>
        <w:rPr>
          <w:rFonts w:ascii="Times New Roman" w:eastAsia="Times New Roman" w:hAnsi="Times New Roman" w:cs="Times New Roman"/>
          <w:color w:val="000000"/>
          <w:sz w:val="24"/>
          <w:szCs w:val="24"/>
        </w:rPr>
      </w:pPr>
      <w:r w:rsidRPr="00C007A8">
        <w:rPr>
          <w:rFonts w:ascii="Times New Roman" w:eastAsia="Times New Roman" w:hAnsi="Times New Roman" w:cs="Times New Roman"/>
          <w:color w:val="000000"/>
          <w:sz w:val="24"/>
          <w:szCs w:val="24"/>
        </w:rPr>
        <w:t>t - Time in seconds</w:t>
      </w:r>
      <w:r w:rsidRPr="00C007A8">
        <w:rPr>
          <w:rFonts w:ascii="Times New Roman" w:eastAsia="Times New Roman" w:hAnsi="Times New Roman" w:cs="Times New Roman"/>
          <w:color w:val="000000"/>
          <w:sz w:val="24"/>
          <w:szCs w:val="24"/>
          <w:highlight w:val="yellow"/>
        </w:rPr>
        <w:t>(s</w:t>
      </w:r>
      <w:proofErr w:type="gramStart"/>
      <w:r w:rsidRPr="00C007A8">
        <w:rPr>
          <w:rFonts w:ascii="Times New Roman" w:eastAsia="Times New Roman" w:hAnsi="Times New Roman" w:cs="Times New Roman"/>
          <w:color w:val="000000"/>
          <w:sz w:val="24"/>
          <w:szCs w:val="24"/>
          <w:highlight w:val="yellow"/>
        </w:rPr>
        <w:t>)</w:t>
      </w:r>
      <w:r w:rsidRPr="00C007A8">
        <w:rPr>
          <w:rFonts w:ascii="Times New Roman" w:eastAsia="Times New Roman" w:hAnsi="Times New Roman" w:cs="Times New Roman"/>
          <w:color w:val="000000"/>
          <w:sz w:val="24"/>
          <w:szCs w:val="24"/>
        </w:rPr>
        <w:t>(</w:t>
      </w:r>
      <w:proofErr w:type="gramEnd"/>
      <w:r w:rsidRPr="00C007A8">
        <w:rPr>
          <w:rFonts w:ascii="Times New Roman" w:eastAsia="Times New Roman" w:hAnsi="Times New Roman" w:cs="Times New Roman"/>
          <w:color w:val="000000"/>
          <w:sz w:val="24"/>
          <w:szCs w:val="24"/>
        </w:rPr>
        <w:t xml:space="preserve">Drop time), </w:t>
      </w:r>
    </w:p>
    <w:p w14:paraId="0EC61353" w14:textId="77777777" w:rsidR="008219B1" w:rsidRPr="00C007A8" w:rsidRDefault="0049121B">
      <w:pPr>
        <w:spacing w:after="0" w:line="360" w:lineRule="auto"/>
        <w:jc w:val="both"/>
        <w:rPr>
          <w:rFonts w:ascii="Times New Roman" w:eastAsia="Times New Roman" w:hAnsi="Times New Roman" w:cs="Times New Roman"/>
          <w:color w:val="000000"/>
          <w:sz w:val="24"/>
          <w:szCs w:val="24"/>
        </w:rPr>
      </w:pPr>
      <w:r w:rsidRPr="00C007A8">
        <w:rPr>
          <w:rFonts w:ascii="Times New Roman" w:eastAsia="Times New Roman" w:hAnsi="Times New Roman" w:cs="Times New Roman"/>
          <w:color w:val="000000"/>
          <w:sz w:val="24"/>
          <w:szCs w:val="24"/>
        </w:rPr>
        <w:t>C - The concentration C (mmol/L) is the concentration of electroactive solute present in the solution.</w:t>
      </w:r>
    </w:p>
    <w:p w14:paraId="5FE017BD" w14:textId="77777777" w:rsidR="008219B1" w:rsidRPr="00C007A8" w:rsidRDefault="0049121B">
      <w:pPr>
        <w:spacing w:after="0" w:line="360" w:lineRule="auto"/>
        <w:jc w:val="both"/>
        <w:rPr>
          <w:rFonts w:ascii="Times New Roman" w:eastAsia="Times New Roman" w:hAnsi="Times New Roman" w:cs="Times New Roman"/>
          <w:color w:val="000000"/>
          <w:sz w:val="24"/>
          <w:szCs w:val="24"/>
        </w:rPr>
      </w:pPr>
      <w:proofErr w:type="gramStart"/>
      <w:r w:rsidRPr="00C007A8">
        <w:rPr>
          <w:rFonts w:ascii="Times New Roman" w:eastAsia="Times New Roman" w:hAnsi="Times New Roman" w:cs="Times New Roman"/>
          <w:color w:val="000000"/>
          <w:sz w:val="24"/>
          <w:szCs w:val="24"/>
        </w:rPr>
        <w:t>d  -</w:t>
      </w:r>
      <w:proofErr w:type="gramEnd"/>
      <w:r w:rsidRPr="00C007A8">
        <w:rPr>
          <w:rFonts w:ascii="Times New Roman" w:eastAsia="Times New Roman" w:hAnsi="Times New Roman" w:cs="Times New Roman"/>
          <w:color w:val="000000"/>
          <w:sz w:val="24"/>
          <w:szCs w:val="24"/>
        </w:rPr>
        <w:t xml:space="preserve"> in the subscript form indicates the term diffusion.</w:t>
      </w:r>
    </w:p>
    <w:p w14:paraId="32FB9D87" w14:textId="77777777" w:rsidR="008219B1" w:rsidRPr="00C007A8" w:rsidRDefault="0049121B">
      <w:pPr>
        <w:spacing w:after="0" w:line="360" w:lineRule="auto"/>
        <w:jc w:val="both"/>
        <w:rPr>
          <w:rFonts w:ascii="Times New Roman" w:eastAsia="Times New Roman" w:hAnsi="Times New Roman" w:cs="Times New Roman"/>
          <w:color w:val="000000"/>
          <w:sz w:val="24"/>
          <w:szCs w:val="24"/>
        </w:rPr>
      </w:pPr>
      <w:r w:rsidRPr="00C007A8">
        <w:rPr>
          <w:rFonts w:ascii="Times New Roman" w:eastAsia="Times New Roman" w:hAnsi="Times New Roman" w:cs="Times New Roman"/>
          <w:color w:val="000000"/>
          <w:sz w:val="24"/>
          <w:szCs w:val="24"/>
        </w:rPr>
        <w:t>In simple mathematical expression it can be expressed as –</w:t>
      </w:r>
    </w:p>
    <w:p w14:paraId="79D72526" w14:textId="77777777" w:rsidR="008219B1" w:rsidRPr="00C007A8" w:rsidRDefault="00702BC0">
      <w:pPr>
        <w:jc w:val="center"/>
        <w:rPr>
          <w:rFonts w:ascii="Times New Roman" w:eastAsia="Cambria Math" w:hAnsi="Times New Roman" w:cs="Times New Roman"/>
          <w:color w:val="000000"/>
          <w:sz w:val="24"/>
          <w:szCs w:val="24"/>
        </w:rPr>
      </w:pPr>
      <m:oMathPara>
        <m:oMath>
          <m:sSub>
            <m:sSubPr>
              <m:ctrlPr>
                <w:rPr>
                  <w:rFonts w:ascii="Cambria Math" w:eastAsia="Cambria Math" w:hAnsi="Cambria Math" w:cs="Times New Roman"/>
                  <w:color w:val="000000"/>
                  <w:sz w:val="24"/>
                  <w:szCs w:val="24"/>
                </w:rPr>
              </m:ctrlPr>
            </m:sSubPr>
            <m:e>
              <m:r>
                <w:rPr>
                  <w:rFonts w:ascii="Cambria Math" w:eastAsia="Cambria Math" w:hAnsi="Cambria Math" w:cs="Times New Roman"/>
                  <w:color w:val="000000"/>
                  <w:sz w:val="24"/>
                  <w:szCs w:val="24"/>
                </w:rPr>
                <m:t>i</m:t>
              </m:r>
            </m:e>
            <m:sub>
              <m:r>
                <w:rPr>
                  <w:rFonts w:ascii="Cambria Math" w:eastAsia="Cambria Math" w:hAnsi="Cambria Math" w:cs="Times New Roman"/>
                  <w:color w:val="000000"/>
                  <w:sz w:val="24"/>
                  <w:szCs w:val="24"/>
                </w:rPr>
                <m:t>d</m:t>
              </m:r>
            </m:sub>
          </m:sSub>
          <m:r>
            <w:rPr>
              <w:rFonts w:ascii="Cambria Math" w:eastAsia="Cambria Math" w:hAnsi="Cambria Math" w:cs="Times New Roman"/>
              <w:color w:val="000000"/>
              <w:sz w:val="24"/>
              <w:szCs w:val="24"/>
            </w:rPr>
            <m:t xml:space="preserve"> ∝C</m:t>
          </m:r>
        </m:oMath>
      </m:oMathPara>
    </w:p>
    <w:p w14:paraId="4DB90C3A" w14:textId="6B125202" w:rsidR="008219B1" w:rsidRPr="00C007A8" w:rsidRDefault="0049121B">
      <w:pPr>
        <w:spacing w:after="0" w:line="360" w:lineRule="auto"/>
        <w:jc w:val="both"/>
        <w:rPr>
          <w:rFonts w:ascii="Times New Roman" w:eastAsia="Times New Roman" w:hAnsi="Times New Roman" w:cs="Times New Roman"/>
          <w:color w:val="000000"/>
          <w:sz w:val="24"/>
          <w:szCs w:val="24"/>
        </w:rPr>
      </w:pPr>
      <w:r w:rsidRPr="00C007A8">
        <w:rPr>
          <w:rFonts w:ascii="Times New Roman" w:eastAsia="Times New Roman" w:hAnsi="Times New Roman" w:cs="Times New Roman"/>
          <w:color w:val="000000"/>
          <w:sz w:val="24"/>
          <w:szCs w:val="24"/>
          <w:highlight w:val="yellow"/>
        </w:rPr>
        <w:t xml:space="preserve">Conductometric titrations are performed to determine the molar ratios between the interacting agents and the drug molecule in the complex along with identifying the formation of complex of </w:t>
      </w:r>
      <w:r w:rsidRPr="00C007A8">
        <w:rPr>
          <w:rFonts w:ascii="Times New Roman" w:eastAsia="Times New Roman" w:hAnsi="Times New Roman" w:cs="Times New Roman"/>
          <w:color w:val="000000"/>
          <w:sz w:val="24"/>
          <w:szCs w:val="24"/>
          <w:highlight w:val="yellow"/>
        </w:rPr>
        <w:lastRenderedPageBreak/>
        <w:t>a drug</w:t>
      </w:r>
      <w:r w:rsidR="005C59FB" w:rsidRPr="00C007A8">
        <w:rPr>
          <w:rFonts w:ascii="Times New Roman" w:eastAsia="Times New Roman" w:hAnsi="Times New Roman" w:cs="Times New Roman"/>
          <w:color w:val="000000"/>
          <w:sz w:val="24"/>
          <w:szCs w:val="24"/>
          <w:highlight w:val="yellow"/>
        </w:rPr>
        <w:t xml:space="preserve"> </w:t>
      </w:r>
      <w:r w:rsidRPr="00C007A8">
        <w:rPr>
          <w:rFonts w:ascii="Times New Roman" w:eastAsia="Times New Roman" w:hAnsi="Times New Roman" w:cs="Times New Roman"/>
          <w:color w:val="000000"/>
          <w:sz w:val="24"/>
          <w:szCs w:val="24"/>
          <w:highlight w:val="yellow"/>
        </w:rPr>
        <w:t>(say DRUG A) with another drug</w:t>
      </w:r>
      <w:r w:rsidR="005C59FB" w:rsidRPr="00C007A8">
        <w:rPr>
          <w:rFonts w:ascii="Times New Roman" w:eastAsia="Times New Roman" w:hAnsi="Times New Roman" w:cs="Times New Roman"/>
          <w:color w:val="000000"/>
          <w:sz w:val="24"/>
          <w:szCs w:val="24"/>
          <w:highlight w:val="yellow"/>
        </w:rPr>
        <w:t xml:space="preserve"> </w:t>
      </w:r>
      <w:r w:rsidRPr="00C007A8">
        <w:rPr>
          <w:rFonts w:ascii="Times New Roman" w:eastAsia="Times New Roman" w:hAnsi="Times New Roman" w:cs="Times New Roman"/>
          <w:color w:val="000000"/>
          <w:sz w:val="24"/>
          <w:szCs w:val="24"/>
          <w:highlight w:val="yellow"/>
        </w:rPr>
        <w:t>(say DRUG B)</w:t>
      </w:r>
      <w:r w:rsidRPr="00C007A8">
        <w:rPr>
          <w:rFonts w:ascii="Times New Roman" w:eastAsia="Times New Roman" w:hAnsi="Times New Roman" w:cs="Times New Roman"/>
          <w:color w:val="000000"/>
          <w:sz w:val="24"/>
          <w:szCs w:val="24"/>
        </w:rPr>
        <w:t xml:space="preserve">. </w:t>
      </w:r>
      <w:proofErr w:type="spellStart"/>
      <w:proofErr w:type="gramStart"/>
      <w:r w:rsidRPr="00C007A8">
        <w:rPr>
          <w:rFonts w:ascii="Times New Roman" w:eastAsia="Times New Roman" w:hAnsi="Times New Roman" w:cs="Times New Roman"/>
          <w:color w:val="000000"/>
          <w:sz w:val="24"/>
          <w:szCs w:val="24"/>
        </w:rPr>
        <w:t>Usually,</w:t>
      </w:r>
      <w:r w:rsidRPr="00C007A8">
        <w:rPr>
          <w:rFonts w:ascii="Times New Roman" w:eastAsia="Times New Roman" w:hAnsi="Times New Roman" w:cs="Times New Roman"/>
          <w:color w:val="000000"/>
          <w:sz w:val="24"/>
          <w:szCs w:val="24"/>
          <w:highlight w:val="yellow"/>
        </w:rPr>
        <w:t>a</w:t>
      </w:r>
      <w:proofErr w:type="spellEnd"/>
      <w:proofErr w:type="gramEnd"/>
      <w:r w:rsidRPr="00C007A8">
        <w:rPr>
          <w:rFonts w:ascii="Times New Roman" w:eastAsia="Times New Roman" w:hAnsi="Times New Roman" w:cs="Times New Roman"/>
          <w:color w:val="000000"/>
          <w:sz w:val="24"/>
          <w:szCs w:val="24"/>
          <w:highlight w:val="yellow"/>
        </w:rPr>
        <w:t xml:space="preserve"> 100 mL beaker is filled with a diluted solution of one drug (A 0.005 M solution of DRUG </w:t>
      </w:r>
      <w:proofErr w:type="spellStart"/>
      <w:r w:rsidRPr="00C007A8">
        <w:rPr>
          <w:rFonts w:ascii="Times New Roman" w:eastAsia="Times New Roman" w:hAnsi="Times New Roman" w:cs="Times New Roman"/>
          <w:color w:val="000000"/>
          <w:sz w:val="24"/>
          <w:szCs w:val="24"/>
          <w:highlight w:val="yellow"/>
        </w:rPr>
        <w:t>A,with</w:t>
      </w:r>
      <w:proofErr w:type="spellEnd"/>
      <w:r w:rsidRPr="00C007A8">
        <w:rPr>
          <w:rFonts w:ascii="Times New Roman" w:eastAsia="Times New Roman" w:hAnsi="Times New Roman" w:cs="Times New Roman"/>
          <w:color w:val="000000"/>
          <w:sz w:val="24"/>
          <w:szCs w:val="24"/>
          <w:highlight w:val="yellow"/>
        </w:rPr>
        <w:t xml:space="preserve"> a volume of 40mL), and the drug is titrated separately by gradually adding another drug  from a burette that has a higher  concentration (0.05M,DRUG B)</w:t>
      </w:r>
      <w:r w:rsidRPr="00C007A8">
        <w:rPr>
          <w:rFonts w:ascii="Times New Roman" w:eastAsia="Times New Roman" w:hAnsi="Times New Roman" w:cs="Times New Roman"/>
          <w:color w:val="000000"/>
          <w:sz w:val="24"/>
          <w:szCs w:val="24"/>
        </w:rPr>
        <w:t xml:space="preserve">. </w:t>
      </w:r>
      <w:r w:rsidRPr="00C007A8">
        <w:rPr>
          <w:rFonts w:ascii="Times New Roman" w:eastAsia="Times New Roman" w:hAnsi="Times New Roman" w:cs="Times New Roman"/>
          <w:color w:val="000000"/>
          <w:sz w:val="24"/>
          <w:szCs w:val="24"/>
          <w:highlight w:val="yellow"/>
        </w:rPr>
        <w:t>In reverse,40 mL volume of DRUG B at 0.05M concentration,</w:t>
      </w:r>
      <w:r w:rsidR="005C59FB" w:rsidRPr="00C007A8">
        <w:rPr>
          <w:rFonts w:ascii="Times New Roman" w:eastAsia="Times New Roman" w:hAnsi="Times New Roman" w:cs="Times New Roman"/>
          <w:color w:val="000000"/>
          <w:sz w:val="24"/>
          <w:szCs w:val="24"/>
        </w:rPr>
        <w:t xml:space="preserve"> </w:t>
      </w:r>
      <w:r w:rsidRPr="00C007A8">
        <w:rPr>
          <w:rFonts w:ascii="Times New Roman" w:eastAsia="Times New Roman" w:hAnsi="Times New Roman" w:cs="Times New Roman"/>
          <w:color w:val="000000"/>
          <w:sz w:val="24"/>
          <w:szCs w:val="24"/>
        </w:rPr>
        <w:t>is titrated with gradual addition of 0.005M of DRUG A</w:t>
      </w:r>
      <w:r w:rsidR="00862544">
        <w:rPr>
          <w:rFonts w:ascii="Times New Roman" w:eastAsia="Times New Roman" w:hAnsi="Times New Roman" w:cs="Times New Roman"/>
          <w:color w:val="000000"/>
          <w:sz w:val="24"/>
          <w:szCs w:val="24"/>
        </w:rPr>
        <w:t>.</w:t>
      </w:r>
      <w:r w:rsidR="00862544">
        <w:rPr>
          <w:rFonts w:ascii="Times New Roman" w:eastAsia="Times New Roman" w:hAnsi="Times New Roman" w:cs="Times New Roman"/>
          <w:color w:val="000000"/>
          <w:sz w:val="24"/>
          <w:szCs w:val="24"/>
          <w:highlight w:val="yellow"/>
        </w:rPr>
        <w:t xml:space="preserve"> </w:t>
      </w:r>
      <w:r w:rsidRPr="00C007A8">
        <w:rPr>
          <w:rFonts w:ascii="Times New Roman" w:eastAsia="Times New Roman" w:hAnsi="Times New Roman" w:cs="Times New Roman"/>
          <w:color w:val="000000"/>
          <w:sz w:val="24"/>
          <w:szCs w:val="24"/>
          <w:highlight w:val="yellow"/>
        </w:rPr>
        <w:t>Conductance readings (expressed in mS or µS) are graphed against the molar ratios of the two DRUGS</w:t>
      </w:r>
      <w:r w:rsidR="005C59FB" w:rsidRPr="00C007A8">
        <w:rPr>
          <w:rFonts w:ascii="Times New Roman" w:eastAsia="Times New Roman" w:hAnsi="Times New Roman" w:cs="Times New Roman"/>
          <w:color w:val="000000"/>
          <w:sz w:val="24"/>
          <w:szCs w:val="24"/>
          <w:highlight w:val="yellow"/>
        </w:rPr>
        <w:t xml:space="preserve"> </w:t>
      </w:r>
      <w:r w:rsidRPr="00C007A8">
        <w:rPr>
          <w:rFonts w:ascii="Times New Roman" w:eastAsia="Times New Roman" w:hAnsi="Times New Roman" w:cs="Times New Roman"/>
          <w:color w:val="000000"/>
          <w:sz w:val="24"/>
          <w:szCs w:val="24"/>
          <w:highlight w:val="yellow"/>
        </w:rPr>
        <w:t>(DRUG A and DRUG B)</w:t>
      </w:r>
      <w:r w:rsidR="005C59FB" w:rsidRPr="00C007A8">
        <w:rPr>
          <w:rFonts w:ascii="Times New Roman" w:eastAsia="Times New Roman" w:hAnsi="Times New Roman" w:cs="Times New Roman"/>
          <w:color w:val="000000"/>
          <w:sz w:val="24"/>
          <w:szCs w:val="24"/>
          <w:highlight w:val="yellow"/>
        </w:rPr>
        <w:t xml:space="preserve"> </w:t>
      </w:r>
      <w:r w:rsidRPr="00C007A8">
        <w:rPr>
          <w:rFonts w:ascii="Times New Roman" w:eastAsia="Times New Roman" w:hAnsi="Times New Roman" w:cs="Times New Roman"/>
          <w:color w:val="000000"/>
          <w:sz w:val="24"/>
          <w:szCs w:val="24"/>
          <w:highlight w:val="yellow"/>
        </w:rPr>
        <w:t xml:space="preserve">within the </w:t>
      </w:r>
      <w:proofErr w:type="spellStart"/>
      <w:r w:rsidRPr="00C007A8">
        <w:rPr>
          <w:rFonts w:ascii="Times New Roman" w:eastAsia="Times New Roman" w:hAnsi="Times New Roman" w:cs="Times New Roman"/>
          <w:color w:val="000000"/>
          <w:sz w:val="24"/>
          <w:szCs w:val="24"/>
          <w:highlight w:val="yellow"/>
        </w:rPr>
        <w:t>system.The</w:t>
      </w:r>
      <w:proofErr w:type="spellEnd"/>
      <w:r w:rsidRPr="00C007A8">
        <w:rPr>
          <w:rFonts w:ascii="Times New Roman" w:eastAsia="Times New Roman" w:hAnsi="Times New Roman" w:cs="Times New Roman"/>
          <w:color w:val="000000"/>
          <w:sz w:val="24"/>
          <w:szCs w:val="24"/>
          <w:highlight w:val="yellow"/>
        </w:rPr>
        <w:t xml:space="preserve"> breaks observed in the curves obtained from the titration indicate potential site of </w:t>
      </w:r>
      <w:proofErr w:type="spellStart"/>
      <w:r w:rsidRPr="00C007A8">
        <w:rPr>
          <w:rFonts w:ascii="Times New Roman" w:eastAsia="Times New Roman" w:hAnsi="Times New Roman" w:cs="Times New Roman"/>
          <w:color w:val="000000"/>
          <w:sz w:val="24"/>
          <w:szCs w:val="24"/>
          <w:highlight w:val="yellow"/>
        </w:rPr>
        <w:t>interactions.</w:t>
      </w:r>
      <w:r w:rsidRPr="00C007A8">
        <w:rPr>
          <w:rFonts w:ascii="Times New Roman" w:eastAsia="Times New Roman" w:hAnsi="Times New Roman" w:cs="Times New Roman"/>
          <w:color w:val="000000"/>
          <w:sz w:val="24"/>
          <w:szCs w:val="24"/>
        </w:rPr>
        <w:t>To</w:t>
      </w:r>
      <w:proofErr w:type="spellEnd"/>
      <w:r w:rsidRPr="00C007A8">
        <w:rPr>
          <w:rFonts w:ascii="Times New Roman" w:eastAsia="Times New Roman" w:hAnsi="Times New Roman" w:cs="Times New Roman"/>
          <w:color w:val="000000"/>
          <w:sz w:val="24"/>
          <w:szCs w:val="24"/>
        </w:rPr>
        <w:t xml:space="preserve"> simulate the Ph levels in different body chambers ,conductometric titrations are carried out using solutions that have been adjusted to pH 1.4, 3.4, 6.4, 7.4 and 8.4.</w:t>
      </w:r>
      <w:r w:rsidRPr="00C007A8">
        <w:rPr>
          <w:rFonts w:ascii="Times New Roman" w:eastAsia="Times New Roman" w:hAnsi="Times New Roman" w:cs="Times New Roman"/>
          <w:sz w:val="24"/>
          <w:szCs w:val="24"/>
        </w:rPr>
        <w:t xml:space="preserve"> The pH solutions are prepared using standard textbooks</w:t>
      </w:r>
      <w:r w:rsidR="00B51C60" w:rsidRPr="00C007A8">
        <w:rPr>
          <w:rFonts w:ascii="Times New Roman" w:eastAsia="Times New Roman" w:hAnsi="Times New Roman" w:cs="Times New Roman"/>
          <w:color w:val="000000"/>
          <w:sz w:val="24"/>
          <w:szCs w:val="24"/>
        </w:rPr>
        <w:t xml:space="preserve"> </w:t>
      </w:r>
      <w:proofErr w:type="gramStart"/>
      <w:r w:rsidR="00B51C60" w:rsidRPr="00C007A8">
        <w:rPr>
          <w:rFonts w:ascii="Times New Roman" w:eastAsia="Times New Roman" w:hAnsi="Times New Roman" w:cs="Times New Roman"/>
          <w:color w:val="000000"/>
          <w:sz w:val="24"/>
          <w:szCs w:val="24"/>
        </w:rPr>
        <w:t>(</w:t>
      </w:r>
      <w:r w:rsidR="00B51C60" w:rsidRPr="00C007A8">
        <w:rPr>
          <w:rFonts w:ascii="Times New Roman" w:hAnsi="Times New Roman" w:cs="Times New Roman"/>
        </w:rPr>
        <w:t xml:space="preserve"> </w:t>
      </w:r>
      <w:r w:rsidR="00B51C60" w:rsidRPr="00C007A8">
        <w:rPr>
          <w:rFonts w:ascii="Times New Roman" w:eastAsia="Times New Roman" w:hAnsi="Times New Roman" w:cs="Times New Roman"/>
          <w:color w:val="000000"/>
          <w:sz w:val="24"/>
          <w:szCs w:val="24"/>
        </w:rPr>
        <w:t>Bates</w:t>
      </w:r>
      <w:proofErr w:type="gramEnd"/>
      <w:r w:rsidR="00B51C60" w:rsidRPr="00C007A8">
        <w:rPr>
          <w:rFonts w:ascii="Times New Roman" w:eastAsia="Times New Roman" w:hAnsi="Times New Roman" w:cs="Times New Roman"/>
          <w:color w:val="000000"/>
          <w:sz w:val="24"/>
          <w:szCs w:val="24"/>
        </w:rPr>
        <w:t>, 1964;</w:t>
      </w:r>
      <w:r w:rsidR="00B51C60" w:rsidRPr="00C007A8">
        <w:rPr>
          <w:rFonts w:ascii="Times New Roman" w:hAnsi="Times New Roman" w:cs="Times New Roman"/>
        </w:rPr>
        <w:t xml:space="preserve"> </w:t>
      </w:r>
      <w:r w:rsidR="00B51C60" w:rsidRPr="00C007A8">
        <w:rPr>
          <w:rFonts w:ascii="Times New Roman" w:eastAsia="Times New Roman" w:hAnsi="Times New Roman" w:cs="Times New Roman"/>
          <w:color w:val="000000"/>
          <w:sz w:val="24"/>
          <w:szCs w:val="24"/>
        </w:rPr>
        <w:t>Perrin &amp; Boyd, 1974).</w:t>
      </w:r>
      <w:r w:rsidRPr="00C007A8">
        <w:rPr>
          <w:rFonts w:ascii="Times New Roman" w:eastAsia="Times New Roman" w:hAnsi="Times New Roman" w:cs="Times New Roman"/>
          <w:sz w:val="24"/>
          <w:szCs w:val="24"/>
        </w:rPr>
        <w:t xml:space="preserve"> Conversely, each of the drug having similar concentrations (</w:t>
      </w:r>
      <w:r w:rsidRPr="00C007A8">
        <w:rPr>
          <w:rFonts w:ascii="Times New Roman" w:eastAsia="Times New Roman" w:hAnsi="Times New Roman" w:cs="Times New Roman"/>
          <w:color w:val="000000"/>
          <w:sz w:val="24"/>
          <w:szCs w:val="24"/>
        </w:rPr>
        <w:t>40 mL of 0.005M</w:t>
      </w:r>
      <w:r w:rsidRPr="00C007A8">
        <w:rPr>
          <w:rFonts w:ascii="Times New Roman" w:eastAsia="Times New Roman" w:hAnsi="Times New Roman" w:cs="Times New Roman"/>
          <w:sz w:val="24"/>
          <w:szCs w:val="24"/>
        </w:rPr>
        <w:t xml:space="preserve">) are titrated with standardized 0.05M NaOH solution and the </w:t>
      </w:r>
      <w:r w:rsidRPr="00C007A8">
        <w:rPr>
          <w:rFonts w:ascii="Times New Roman" w:eastAsia="Times New Roman" w:hAnsi="Times New Roman" w:cs="Times New Roman"/>
          <w:color w:val="000000"/>
          <w:sz w:val="24"/>
          <w:szCs w:val="24"/>
        </w:rPr>
        <w:t xml:space="preserve">conductance </w:t>
      </w:r>
      <w:r w:rsidRPr="00C007A8">
        <w:rPr>
          <w:rFonts w:ascii="Times New Roman" w:eastAsia="Times New Roman" w:hAnsi="Times New Roman" w:cs="Times New Roman"/>
          <w:color w:val="000000"/>
          <w:sz w:val="24"/>
          <w:szCs w:val="24"/>
          <w:highlight w:val="yellow"/>
        </w:rPr>
        <w:t>readings (expressed in mS</w:t>
      </w:r>
      <w:r w:rsidRPr="00C007A8">
        <w:rPr>
          <w:rFonts w:ascii="Times New Roman" w:eastAsia="Times New Roman" w:hAnsi="Times New Roman" w:cs="Times New Roman"/>
          <w:color w:val="000000"/>
          <w:sz w:val="24"/>
          <w:szCs w:val="24"/>
        </w:rPr>
        <w:t xml:space="preserve"> or µS) are </w:t>
      </w:r>
      <w:r w:rsidRPr="00C007A8">
        <w:rPr>
          <w:rFonts w:ascii="Times New Roman" w:eastAsia="Times New Roman" w:hAnsi="Times New Roman" w:cs="Times New Roman"/>
          <w:color w:val="000000"/>
          <w:sz w:val="24"/>
          <w:szCs w:val="24"/>
          <w:highlight w:val="yellow"/>
        </w:rPr>
        <w:t>graphed</w:t>
      </w:r>
      <w:r w:rsidR="005C59FB" w:rsidRPr="00C007A8">
        <w:rPr>
          <w:rFonts w:ascii="Times New Roman" w:eastAsia="Times New Roman" w:hAnsi="Times New Roman" w:cs="Times New Roman"/>
          <w:color w:val="000000"/>
          <w:sz w:val="24"/>
          <w:szCs w:val="24"/>
        </w:rPr>
        <w:t xml:space="preserve"> </w:t>
      </w:r>
      <w:r w:rsidRPr="00C007A8">
        <w:rPr>
          <w:rFonts w:ascii="Times New Roman" w:eastAsia="Times New Roman" w:hAnsi="Times New Roman" w:cs="Times New Roman"/>
          <w:color w:val="000000"/>
          <w:sz w:val="24"/>
          <w:szCs w:val="24"/>
        </w:rPr>
        <w:t>against volume of NaOH. A conductometric titration graph</w:t>
      </w:r>
      <w:r w:rsidR="00B51C60" w:rsidRPr="00C007A8">
        <w:rPr>
          <w:rFonts w:ascii="Times New Roman" w:eastAsia="Times New Roman" w:hAnsi="Times New Roman" w:cs="Times New Roman"/>
          <w:color w:val="000000"/>
          <w:sz w:val="24"/>
          <w:szCs w:val="24"/>
        </w:rPr>
        <w:t xml:space="preserve"> </w:t>
      </w:r>
      <w:r w:rsidRPr="00C007A8">
        <w:rPr>
          <w:rFonts w:ascii="Times New Roman" w:eastAsia="Times New Roman" w:hAnsi="Times New Roman" w:cs="Times New Roman"/>
          <w:color w:val="000000"/>
          <w:sz w:val="24"/>
          <w:szCs w:val="24"/>
        </w:rPr>
        <w:t>(</w:t>
      </w:r>
      <w:r w:rsidR="00B51C60" w:rsidRPr="00C007A8">
        <w:rPr>
          <w:rFonts w:ascii="Times New Roman" w:eastAsia="Times New Roman" w:hAnsi="Times New Roman" w:cs="Times New Roman"/>
          <w:color w:val="000000"/>
          <w:sz w:val="24"/>
          <w:szCs w:val="24"/>
        </w:rPr>
        <w:t>Saha et al., 2013</w:t>
      </w:r>
      <w:r w:rsidRPr="00C007A8">
        <w:rPr>
          <w:rFonts w:ascii="Times New Roman" w:eastAsia="Times New Roman" w:hAnsi="Times New Roman" w:cs="Times New Roman"/>
          <w:color w:val="000000"/>
          <w:sz w:val="24"/>
          <w:szCs w:val="24"/>
        </w:rPr>
        <w:t>)</w:t>
      </w:r>
      <w:r w:rsidR="00B51C60" w:rsidRPr="00C007A8">
        <w:rPr>
          <w:rFonts w:ascii="Times New Roman" w:eastAsia="Times New Roman" w:hAnsi="Times New Roman" w:cs="Times New Roman"/>
          <w:color w:val="000000"/>
          <w:sz w:val="24"/>
          <w:szCs w:val="24"/>
        </w:rPr>
        <w:t xml:space="preserve"> </w:t>
      </w:r>
      <w:r w:rsidRPr="00C007A8">
        <w:rPr>
          <w:rFonts w:ascii="Times New Roman" w:eastAsia="Times New Roman" w:hAnsi="Times New Roman" w:cs="Times New Roman"/>
          <w:color w:val="000000"/>
          <w:sz w:val="24"/>
          <w:szCs w:val="24"/>
        </w:rPr>
        <w:t xml:space="preserve">is shown in Figure 2. </w:t>
      </w:r>
    </w:p>
    <w:p w14:paraId="4F16FCCA" w14:textId="77777777" w:rsidR="008219B1" w:rsidRDefault="0049121B">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328D843F" wp14:editId="7A172F71">
            <wp:extent cx="5191850" cy="3686689"/>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191850" cy="3686689"/>
                    </a:xfrm>
                    <a:prstGeom prst="rect">
                      <a:avLst/>
                    </a:prstGeom>
                    <a:ln/>
                  </pic:spPr>
                </pic:pic>
              </a:graphicData>
            </a:graphic>
          </wp:inline>
        </w:drawing>
      </w:r>
    </w:p>
    <w:p w14:paraId="3FECA48E" w14:textId="284B3B1A" w:rsidR="008219B1" w:rsidRDefault="0049121B">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Figure 2. </w:t>
      </w:r>
      <w:r>
        <w:rPr>
          <w:rFonts w:ascii="Times New Roman" w:eastAsia="Times New Roman" w:hAnsi="Times New Roman" w:cs="Times New Roman"/>
          <w:color w:val="000000"/>
          <w:sz w:val="24"/>
          <w:szCs w:val="24"/>
        </w:rPr>
        <w:t>Conductometric titration of metformin with diclofenac at pH 7.4 (Reproduced with permission from (</w:t>
      </w:r>
      <w:r w:rsidR="00B51C60" w:rsidRPr="00B51C60">
        <w:rPr>
          <w:rFonts w:ascii="Times New Roman" w:eastAsia="Times New Roman" w:hAnsi="Times New Roman" w:cs="Times New Roman"/>
          <w:color w:val="000000"/>
          <w:sz w:val="24"/>
          <w:szCs w:val="24"/>
        </w:rPr>
        <w:t>Saha et al., 2013</w:t>
      </w:r>
      <w:r>
        <w:rPr>
          <w:rFonts w:ascii="Times New Roman" w:eastAsia="Times New Roman" w:hAnsi="Times New Roman" w:cs="Times New Roman"/>
          <w:color w:val="000000"/>
          <w:sz w:val="24"/>
          <w:szCs w:val="24"/>
        </w:rPr>
        <w:t>).</w:t>
      </w:r>
    </w:p>
    <w:p w14:paraId="7471A6E3" w14:textId="77777777" w:rsidR="008219B1" w:rsidRDefault="0049121B">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(iii</w:t>
      </w:r>
      <w:r>
        <w:rPr>
          <w:rFonts w:ascii="Times New Roman" w:eastAsia="Times New Roman" w:hAnsi="Times New Roman" w:cs="Times New Roman"/>
          <w:b/>
          <w:color w:val="000000"/>
          <w:sz w:val="24"/>
          <w:szCs w:val="24"/>
          <w:highlight w:val="yellow"/>
        </w:rPr>
        <w:t>) Analysis of drug-drug interaction using Ardon’s method</w:t>
      </w:r>
    </w:p>
    <w:p w14:paraId="471C415C" w14:textId="011F3DFA" w:rsidR="008219B1" w:rsidRDefault="0049121B">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Ardon’s method is a spectroscopic method based on Lambert-Beer’s law </w:t>
      </w:r>
      <w:r>
        <w:rPr>
          <w:rFonts w:ascii="Times New Roman" w:eastAsia="Times New Roman" w:hAnsi="Times New Roman" w:cs="Times New Roman"/>
          <w:color w:val="000000"/>
          <w:sz w:val="24"/>
          <w:szCs w:val="24"/>
          <w:highlight w:val="yellow"/>
        </w:rPr>
        <w:t xml:space="preserve">to analyze drug-drug interaction </w:t>
      </w:r>
      <w:proofErr w:type="spellStart"/>
      <w:r>
        <w:rPr>
          <w:rFonts w:ascii="Times New Roman" w:eastAsia="Times New Roman" w:hAnsi="Times New Roman" w:cs="Times New Roman"/>
          <w:color w:val="000000"/>
          <w:sz w:val="24"/>
          <w:szCs w:val="24"/>
          <w:highlight w:val="yellow"/>
        </w:rPr>
        <w:t>studies</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highlight w:val="yellow"/>
        </w:rPr>
        <w:t>This</w:t>
      </w:r>
      <w:proofErr w:type="spellEnd"/>
      <w:r>
        <w:rPr>
          <w:rFonts w:ascii="Times New Roman" w:eastAsia="Times New Roman" w:hAnsi="Times New Roman" w:cs="Times New Roman"/>
          <w:color w:val="000000"/>
          <w:sz w:val="24"/>
          <w:szCs w:val="24"/>
          <w:highlight w:val="yellow"/>
        </w:rPr>
        <w:t xml:space="preserve"> method involves varying the concentrations of one drug</w:t>
      </w:r>
      <w:r w:rsidR="005C59FB">
        <w:rPr>
          <w:rFonts w:ascii="Times New Roman" w:eastAsia="Times New Roman" w:hAnsi="Times New Roman" w:cs="Times New Roman"/>
          <w:color w:val="000000"/>
          <w:sz w:val="24"/>
          <w:szCs w:val="24"/>
          <w:highlight w:val="yellow"/>
        </w:rPr>
        <w:t xml:space="preserve"> </w:t>
      </w:r>
      <w:r>
        <w:rPr>
          <w:rFonts w:ascii="Times New Roman" w:eastAsia="Times New Roman" w:hAnsi="Times New Roman" w:cs="Times New Roman"/>
          <w:color w:val="000000"/>
          <w:sz w:val="24"/>
          <w:szCs w:val="24"/>
          <w:highlight w:val="yellow"/>
        </w:rPr>
        <w:t xml:space="preserve">(DRUG A) while concentrations of another drug (DRUG B) remain </w:t>
      </w:r>
      <w:proofErr w:type="spellStart"/>
      <w:r>
        <w:rPr>
          <w:rFonts w:ascii="Times New Roman" w:eastAsia="Times New Roman" w:hAnsi="Times New Roman" w:cs="Times New Roman"/>
          <w:color w:val="000000"/>
          <w:sz w:val="24"/>
          <w:szCs w:val="24"/>
          <w:highlight w:val="yellow"/>
        </w:rPr>
        <w:t>constan</w:t>
      </w:r>
      <w:r w:rsidR="00862544">
        <w:rPr>
          <w:rFonts w:ascii="Times New Roman" w:eastAsia="Times New Roman" w:hAnsi="Times New Roman" w:cs="Times New Roman"/>
          <w:color w:val="000000"/>
          <w:sz w:val="24"/>
          <w:szCs w:val="24"/>
          <w:highlight w:val="yellow"/>
        </w:rPr>
        <w:t>t</w:t>
      </w:r>
      <w:r w:rsidR="00862544">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By</w:t>
      </w:r>
      <w:proofErr w:type="spellEnd"/>
      <w:r>
        <w:rPr>
          <w:rFonts w:ascii="Times New Roman" w:eastAsia="Times New Roman" w:hAnsi="Times New Roman" w:cs="Times New Roman"/>
          <w:color w:val="000000"/>
          <w:sz w:val="24"/>
          <w:szCs w:val="24"/>
        </w:rPr>
        <w:t xml:space="preserve"> using a UV-VIS spectrophotometer, the absorbance of solutions with pH values of 1.4, 3.4, 6.4, 7.4, and 8.4 is determined at a specified wavelength for DRUG A and DRUG </w:t>
      </w:r>
      <w:proofErr w:type="spellStart"/>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highlight w:val="yellow"/>
        </w:rPr>
        <w:t>Calculations</w:t>
      </w:r>
      <w:proofErr w:type="spellEnd"/>
      <w:r>
        <w:rPr>
          <w:rFonts w:ascii="Times New Roman" w:eastAsia="Times New Roman" w:hAnsi="Times New Roman" w:cs="Times New Roman"/>
          <w:color w:val="000000"/>
          <w:sz w:val="24"/>
          <w:szCs w:val="24"/>
          <w:highlight w:val="yellow"/>
        </w:rPr>
        <w:t xml:space="preserve"> are carried out using Ardon’s equation.</w:t>
      </w:r>
      <w:r>
        <w:rPr>
          <w:rFonts w:ascii="Times New Roman" w:eastAsia="Times New Roman" w:hAnsi="Times New Roman" w:cs="Times New Roman"/>
          <w:color w:val="000000"/>
          <w:sz w:val="24"/>
          <w:szCs w:val="24"/>
        </w:rPr>
        <w:t xml:space="preserve"> The Ardon equation is a spectrophotometric equation used to calculate the stability constants of 1:1 complex between </w:t>
      </w:r>
      <w:proofErr w:type="gramStart"/>
      <w:r>
        <w:rPr>
          <w:rFonts w:ascii="Times New Roman" w:eastAsia="Times New Roman" w:hAnsi="Times New Roman" w:cs="Times New Roman"/>
          <w:color w:val="000000"/>
          <w:sz w:val="24"/>
          <w:szCs w:val="24"/>
        </w:rPr>
        <w:t>drugs</w:t>
      </w:r>
      <w:r w:rsidR="00B51C60">
        <w:rPr>
          <w:rFonts w:ascii="Times New Roman" w:eastAsia="Times New Roman" w:hAnsi="Times New Roman" w:cs="Times New Roman"/>
          <w:color w:val="000000"/>
          <w:sz w:val="24"/>
          <w:szCs w:val="24"/>
        </w:rPr>
        <w:t>(</w:t>
      </w:r>
      <w:r w:rsidR="00B51C60" w:rsidRPr="00B51C60">
        <w:t xml:space="preserve"> </w:t>
      </w:r>
      <w:r w:rsidR="00B51C60" w:rsidRPr="00B51C60">
        <w:rPr>
          <w:rFonts w:ascii="Times New Roman" w:eastAsia="Times New Roman" w:hAnsi="Times New Roman" w:cs="Times New Roman"/>
          <w:color w:val="000000"/>
          <w:sz w:val="24"/>
          <w:szCs w:val="24"/>
        </w:rPr>
        <w:t>John</w:t>
      </w:r>
      <w:proofErr w:type="gramEnd"/>
      <w:r w:rsidR="00B51C60" w:rsidRPr="00B51C60">
        <w:rPr>
          <w:rFonts w:ascii="Times New Roman" w:eastAsia="Times New Roman" w:hAnsi="Times New Roman" w:cs="Times New Roman"/>
          <w:color w:val="000000"/>
          <w:sz w:val="24"/>
          <w:szCs w:val="24"/>
        </w:rPr>
        <w:t xml:space="preserve"> &amp; Ost, 1974</w:t>
      </w:r>
      <w:r w:rsidR="00C21310">
        <w:rPr>
          <w:rFonts w:ascii="Times New Roman" w:eastAsia="Times New Roman" w:hAnsi="Times New Roman" w:cs="Times New Roman"/>
          <w:color w:val="000000"/>
          <w:sz w:val="24"/>
          <w:szCs w:val="24"/>
        </w:rPr>
        <w:t>;</w:t>
      </w:r>
      <w:r w:rsidR="00B51C60" w:rsidRPr="00B51C60">
        <w:rPr>
          <w:rFonts w:ascii="Times New Roman" w:eastAsia="Times New Roman" w:hAnsi="Times New Roman" w:cs="Times New Roman"/>
          <w:color w:val="000000"/>
          <w:sz w:val="24"/>
          <w:szCs w:val="24"/>
        </w:rPr>
        <w:t>Vogel, 1961</w:t>
      </w:r>
      <w:r w:rsidR="00C21310">
        <w:rPr>
          <w:rFonts w:ascii="Times New Roman" w:eastAsia="Times New Roman" w:hAnsi="Times New Roman" w:cs="Times New Roman"/>
          <w:color w:val="000000"/>
          <w:sz w:val="24"/>
          <w:szCs w:val="24"/>
        </w:rPr>
        <w:t>;</w:t>
      </w:r>
      <w:r w:rsidR="00C21310" w:rsidRPr="00C21310">
        <w:t xml:space="preserve"> </w:t>
      </w:r>
      <w:r w:rsidR="00C21310" w:rsidRPr="00C21310">
        <w:rPr>
          <w:rFonts w:ascii="Times New Roman" w:eastAsia="Times New Roman" w:hAnsi="Times New Roman" w:cs="Times New Roman"/>
          <w:color w:val="000000"/>
          <w:sz w:val="24"/>
          <w:szCs w:val="24"/>
        </w:rPr>
        <w:t>Ardon, 1957</w:t>
      </w:r>
      <w:r w:rsidR="00C2131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The equation is -</w:t>
      </w:r>
    </w:p>
    <w:p w14:paraId="220439AB" w14:textId="77777777" w:rsidR="008219B1" w:rsidRDefault="00702BC0">
      <w:pPr>
        <w:jc w:val="center"/>
        <w:rPr>
          <w:rFonts w:ascii="Cambria Math" w:eastAsia="Cambria Math" w:hAnsi="Cambria Math" w:cs="Cambria Math"/>
          <w:color w:val="000000"/>
          <w:sz w:val="24"/>
          <w:szCs w:val="24"/>
        </w:rPr>
      </w:pPr>
      <m:oMathPara>
        <m:oMath>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1</m:t>
              </m:r>
            </m:num>
            <m:den>
              <m:r>
                <w:rPr>
                  <w:rFonts w:ascii="Cambria Math" w:eastAsia="Cambria Math" w:hAnsi="Cambria Math" w:cs="Cambria Math"/>
                  <w:color w:val="000000"/>
                  <w:sz w:val="24"/>
                  <w:szCs w:val="24"/>
                </w:rPr>
                <m:t>D-</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ε</m:t>
                  </m:r>
                </m:e>
                <m:sub>
                  <m:r>
                    <w:rPr>
                      <w:rFonts w:ascii="Cambria Math" w:eastAsia="Cambria Math" w:hAnsi="Cambria Math" w:cs="Cambria Math"/>
                      <w:color w:val="000000"/>
                      <w:sz w:val="24"/>
                      <w:szCs w:val="24"/>
                    </w:rPr>
                    <m:t>A</m:t>
                  </m:r>
                </m:sub>
              </m:sSub>
              <m:r>
                <w:rPr>
                  <w:rFonts w:ascii="Cambria Math" w:eastAsia="Cambria Math" w:hAnsi="Cambria Math" w:cs="Cambria Math"/>
                  <w:color w:val="000000"/>
                  <w:sz w:val="24"/>
                  <w:szCs w:val="24"/>
                </w:rPr>
                <m:t xml:space="preserve">C </m:t>
              </m:r>
            </m:den>
          </m:f>
          <m:r>
            <w:rPr>
              <w:rFonts w:ascii="Cambria Math" w:eastAsia="Cambria Math" w:hAnsi="Cambria Math" w:cs="Cambria Math"/>
              <w:color w:val="000000"/>
              <w:sz w:val="24"/>
              <w:szCs w:val="24"/>
            </w:rPr>
            <m:t>=</m:t>
          </m:r>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1</m:t>
              </m:r>
            </m:num>
            <m:den>
              <m:r>
                <w:rPr>
                  <w:rFonts w:ascii="Cambria Math" w:eastAsia="Cambria Math" w:hAnsi="Cambria Math" w:cs="Cambria Math"/>
                  <w:color w:val="000000"/>
                  <w:sz w:val="24"/>
                  <w:szCs w:val="24"/>
                </w:rPr>
                <m:t>κ C</m:t>
              </m:r>
              <m:d>
                <m:dPr>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ε</m:t>
                      </m:r>
                    </m:e>
                    <m:sub>
                      <m:r>
                        <w:rPr>
                          <w:rFonts w:ascii="Cambria Math" w:eastAsia="Cambria Math" w:hAnsi="Cambria Math" w:cs="Cambria Math"/>
                          <w:color w:val="000000"/>
                          <w:sz w:val="24"/>
                          <w:szCs w:val="24"/>
                        </w:rPr>
                        <m:t>com</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ε</m:t>
                      </m:r>
                    </m:e>
                    <m:sub>
                      <m:r>
                        <w:rPr>
                          <w:rFonts w:ascii="Cambria Math" w:eastAsia="Cambria Math" w:hAnsi="Cambria Math" w:cs="Cambria Math"/>
                          <w:color w:val="000000"/>
                          <w:sz w:val="24"/>
                          <w:szCs w:val="24"/>
                        </w:rPr>
                        <m:t>A</m:t>
                      </m:r>
                    </m:sub>
                  </m:sSub>
                </m:e>
              </m:d>
              <m:d>
                <m:dPr>
                  <m:begChr m:val="["/>
                  <m:endChr m:val="]"/>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B</m:t>
                  </m:r>
                </m:e>
              </m:d>
            </m:den>
          </m:f>
          <m:r>
            <w:rPr>
              <w:rFonts w:ascii="Cambria Math" w:eastAsia="Cambria Math" w:hAnsi="Cambria Math" w:cs="Cambria Math"/>
              <w:color w:val="000000"/>
              <w:sz w:val="24"/>
              <w:szCs w:val="24"/>
            </w:rPr>
            <m:t>+</m:t>
          </m:r>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1</m:t>
              </m:r>
            </m:num>
            <m:den>
              <m:r>
                <w:rPr>
                  <w:rFonts w:ascii="Cambria Math" w:eastAsia="Cambria Math" w:hAnsi="Cambria Math" w:cs="Cambria Math"/>
                  <w:color w:val="000000"/>
                  <w:sz w:val="24"/>
                  <w:szCs w:val="24"/>
                </w:rPr>
                <m:t xml:space="preserve">C </m:t>
              </m:r>
              <m:d>
                <m:dPr>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ε</m:t>
                      </m:r>
                    </m:e>
                    <m:sub>
                      <m:r>
                        <w:rPr>
                          <w:rFonts w:ascii="Cambria Math" w:eastAsia="Cambria Math" w:hAnsi="Cambria Math" w:cs="Cambria Math"/>
                          <w:color w:val="000000"/>
                          <w:sz w:val="24"/>
                          <w:szCs w:val="24"/>
                        </w:rPr>
                        <m:t>com</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ε</m:t>
                      </m:r>
                    </m:e>
                    <m:sub>
                      <m:r>
                        <w:rPr>
                          <w:rFonts w:ascii="Cambria Math" w:eastAsia="Cambria Math" w:hAnsi="Cambria Math" w:cs="Cambria Math"/>
                          <w:color w:val="000000"/>
                          <w:sz w:val="24"/>
                          <w:szCs w:val="24"/>
                        </w:rPr>
                        <m:t>A</m:t>
                      </m:r>
                    </m:sub>
                  </m:sSub>
                </m:e>
              </m:d>
            </m:den>
          </m:f>
        </m:oMath>
      </m:oMathPara>
    </w:p>
    <w:p w14:paraId="17252765" w14:textId="77777777" w:rsidR="008219B1" w:rsidRDefault="008219B1">
      <w:pPr>
        <w:spacing w:after="0" w:line="360" w:lineRule="auto"/>
        <w:jc w:val="both"/>
        <w:rPr>
          <w:rFonts w:ascii="Times New Roman" w:eastAsia="Times New Roman" w:hAnsi="Times New Roman" w:cs="Times New Roman"/>
          <w:color w:val="000000"/>
          <w:sz w:val="24"/>
          <w:szCs w:val="24"/>
        </w:rPr>
      </w:pPr>
    </w:p>
    <w:p w14:paraId="0765121B" w14:textId="77777777" w:rsidR="008219B1" w:rsidRDefault="0049121B">
      <w:pPr>
        <w:spacing w:after="0" w:line="360" w:lineRule="auto"/>
        <w:jc w:val="both"/>
        <w:rPr>
          <w:rFonts w:ascii="Times New Roman" w:eastAsia="Times New Roman" w:hAnsi="Times New Roman" w:cs="Times New Roman"/>
          <w:color w:val="000000"/>
          <w:sz w:val="24"/>
          <w:szCs w:val="24"/>
          <w:highlight w:val="yellow"/>
        </w:rPr>
      </w:pPr>
      <w:r>
        <w:rPr>
          <w:rFonts w:ascii="Cambria Math" w:eastAsia="Cambria Math" w:hAnsi="Cambria Math" w:cs="Cambria Math"/>
          <w:color w:val="000000"/>
          <w:sz w:val="24"/>
          <w:szCs w:val="24"/>
          <w:highlight w:val="yellow"/>
        </w:rPr>
        <w:t>𝐷</w:t>
      </w:r>
      <w:r>
        <w:rPr>
          <w:rFonts w:ascii="Times New Roman" w:eastAsia="Times New Roman" w:hAnsi="Times New Roman" w:cs="Times New Roman"/>
          <w:color w:val="000000"/>
          <w:sz w:val="24"/>
          <w:szCs w:val="24"/>
          <w:highlight w:val="yellow"/>
        </w:rPr>
        <w:t xml:space="preserve"> - mixture's absorbance. </w:t>
      </w:r>
    </w:p>
    <w:p w14:paraId="4B744311" w14:textId="77777777" w:rsidR="008219B1" w:rsidRDefault="0049121B">
      <w:pPr>
        <w:spacing w:after="0" w:line="360" w:lineRule="auto"/>
        <w:jc w:val="both"/>
        <w:rPr>
          <w:rFonts w:ascii="Times New Roman" w:eastAsia="Times New Roman" w:hAnsi="Times New Roman" w:cs="Times New Roman"/>
          <w:color w:val="000000"/>
          <w:sz w:val="24"/>
          <w:szCs w:val="24"/>
          <w:highlight w:val="yellow"/>
        </w:rPr>
      </w:pPr>
      <w:r>
        <w:rPr>
          <w:rFonts w:ascii="Cambria Math" w:eastAsia="Cambria Math" w:hAnsi="Cambria Math" w:cs="Cambria Math"/>
          <w:color w:val="000000"/>
          <w:sz w:val="24"/>
          <w:szCs w:val="24"/>
          <w:highlight w:val="yellow"/>
        </w:rPr>
        <w:t>𝐵</w:t>
      </w:r>
      <w:r>
        <w:rPr>
          <w:rFonts w:ascii="Times New Roman" w:eastAsia="Times New Roman" w:hAnsi="Times New Roman" w:cs="Times New Roman"/>
          <w:color w:val="000000"/>
          <w:sz w:val="24"/>
          <w:szCs w:val="24"/>
          <w:highlight w:val="yellow"/>
        </w:rPr>
        <w:t>–</w:t>
      </w:r>
      <w:r>
        <w:rPr>
          <w:rFonts w:ascii="Times New Roman" w:eastAsia="Times New Roman" w:hAnsi="Times New Roman" w:cs="Times New Roman"/>
          <w:sz w:val="24"/>
          <w:szCs w:val="24"/>
          <w:highlight w:val="yellow"/>
        </w:rPr>
        <w:t>O</w:t>
      </w:r>
      <w:r>
        <w:rPr>
          <w:rFonts w:ascii="Times New Roman" w:eastAsia="Times New Roman" w:hAnsi="Times New Roman" w:cs="Times New Roman"/>
          <w:color w:val="000000"/>
          <w:sz w:val="24"/>
          <w:szCs w:val="24"/>
          <w:highlight w:val="yellow"/>
        </w:rPr>
        <w:t>ne drug's molar concentration</w:t>
      </w:r>
    </w:p>
    <w:p w14:paraId="463DB1ED" w14:textId="77777777" w:rsidR="008219B1" w:rsidRDefault="0049121B">
      <w:pPr>
        <w:spacing w:after="0" w:line="360" w:lineRule="auto"/>
        <w:jc w:val="both"/>
        <w:rPr>
          <w:rFonts w:ascii="Times New Roman" w:eastAsia="Times New Roman" w:hAnsi="Times New Roman" w:cs="Times New Roman"/>
          <w:color w:val="000000"/>
          <w:sz w:val="24"/>
          <w:szCs w:val="24"/>
          <w:highlight w:val="yellow"/>
        </w:rPr>
      </w:pPr>
      <w:r>
        <w:rPr>
          <w:rFonts w:ascii="Cambria Math" w:eastAsia="Cambria Math" w:hAnsi="Cambria Math" w:cs="Cambria Math"/>
          <w:color w:val="000000"/>
          <w:sz w:val="24"/>
          <w:szCs w:val="24"/>
          <w:highlight w:val="yellow"/>
        </w:rPr>
        <w:t>𝐶</w:t>
      </w:r>
      <w:r>
        <w:rPr>
          <w:rFonts w:ascii="Times New Roman" w:eastAsia="Times New Roman" w:hAnsi="Times New Roman" w:cs="Times New Roman"/>
          <w:color w:val="000000"/>
          <w:sz w:val="24"/>
          <w:szCs w:val="24"/>
          <w:highlight w:val="yellow"/>
        </w:rPr>
        <w:t xml:space="preserve"> - The other drug's molar concentration</w:t>
      </w:r>
    </w:p>
    <w:p w14:paraId="47DFA744" w14:textId="77777777" w:rsidR="008219B1" w:rsidRDefault="0049121B">
      <w:pPr>
        <w:spacing w:after="0" w:line="360" w:lineRule="auto"/>
        <w:jc w:val="both"/>
        <w:rPr>
          <w:rFonts w:ascii="Times New Roman" w:eastAsia="Times New Roman" w:hAnsi="Times New Roman" w:cs="Times New Roman"/>
          <w:color w:val="000000"/>
          <w:sz w:val="24"/>
          <w:szCs w:val="24"/>
          <w:highlight w:val="yellow"/>
        </w:rPr>
      </w:pPr>
      <w:r>
        <w:rPr>
          <w:rFonts w:ascii="Cambria Math" w:eastAsia="Cambria Math" w:hAnsi="Cambria Math" w:cs="Cambria Math"/>
          <w:color w:val="000000"/>
          <w:sz w:val="24"/>
          <w:szCs w:val="24"/>
          <w:highlight w:val="yellow"/>
        </w:rPr>
        <w:t>𝜖</w:t>
      </w:r>
      <w:r>
        <w:rPr>
          <w:rFonts w:ascii="Cambria Math" w:eastAsia="Cambria Math" w:hAnsi="Cambria Math" w:cs="Cambria Math"/>
          <w:color w:val="000000"/>
          <w:sz w:val="24"/>
          <w:szCs w:val="24"/>
          <w:highlight w:val="yellow"/>
          <w:vertAlign w:val="subscript"/>
        </w:rPr>
        <w:t>𝑐𝑜𝑚</w:t>
      </w:r>
      <w:r>
        <w:rPr>
          <w:rFonts w:ascii="Times New Roman" w:eastAsia="Times New Roman" w:hAnsi="Times New Roman" w:cs="Times New Roman"/>
          <w:color w:val="000000"/>
          <w:sz w:val="24"/>
          <w:szCs w:val="24"/>
          <w:highlight w:val="yellow"/>
        </w:rPr>
        <w:t xml:space="preserve"> -Complex's molar absorptivity</w:t>
      </w:r>
    </w:p>
    <w:p w14:paraId="6A20B132" w14:textId="77777777" w:rsidR="008219B1" w:rsidRDefault="0049121B">
      <w:pPr>
        <w:spacing w:after="0" w:line="360" w:lineRule="auto"/>
        <w:jc w:val="both"/>
        <w:rPr>
          <w:rFonts w:ascii="Times New Roman" w:eastAsia="Times New Roman" w:hAnsi="Times New Roman" w:cs="Times New Roman"/>
          <w:color w:val="000000"/>
          <w:sz w:val="24"/>
          <w:szCs w:val="24"/>
        </w:rPr>
      </w:pPr>
      <w:r>
        <w:rPr>
          <w:rFonts w:ascii="Cambria Math" w:eastAsia="Cambria Math" w:hAnsi="Cambria Math" w:cs="Cambria Math"/>
          <w:color w:val="000000"/>
          <w:sz w:val="24"/>
          <w:szCs w:val="24"/>
          <w:highlight w:val="yellow"/>
        </w:rPr>
        <w:t>𝜖</w:t>
      </w:r>
      <w:r>
        <w:rPr>
          <w:rFonts w:ascii="Cambria Math" w:eastAsia="Cambria Math" w:hAnsi="Cambria Math" w:cs="Cambria Math"/>
          <w:color w:val="000000"/>
          <w:sz w:val="24"/>
          <w:szCs w:val="24"/>
          <w:highlight w:val="yellow"/>
          <w:vertAlign w:val="subscript"/>
        </w:rPr>
        <w:t>𝐴</w:t>
      </w:r>
      <w:r>
        <w:rPr>
          <w:rFonts w:ascii="Times New Roman" w:eastAsia="Times New Roman" w:hAnsi="Times New Roman" w:cs="Times New Roman"/>
          <w:color w:val="000000"/>
          <w:sz w:val="24"/>
          <w:szCs w:val="24"/>
          <w:highlight w:val="yellow"/>
        </w:rPr>
        <w:t>–Molar absorptivity of one drug</w:t>
      </w:r>
    </w:p>
    <w:p w14:paraId="033AAEAC" w14:textId="77777777" w:rsidR="008219B1" w:rsidRDefault="0049121B">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yellow"/>
        </w:rPr>
        <w:t xml:space="preserve">As a prerequisite for method validation, the value of n is set to 1. The </w:t>
      </w:r>
      <w:proofErr w:type="spellStart"/>
      <w:r>
        <w:rPr>
          <w:rFonts w:ascii="Times New Roman" w:eastAsia="Times New Roman" w:hAnsi="Times New Roman" w:cs="Times New Roman"/>
          <w:color w:val="000000"/>
          <w:sz w:val="24"/>
          <w:szCs w:val="24"/>
          <w:highlight w:val="yellow"/>
        </w:rPr>
        <w:t>satraight</w:t>
      </w:r>
      <w:proofErr w:type="spellEnd"/>
      <w:r>
        <w:rPr>
          <w:rFonts w:ascii="Times New Roman" w:eastAsia="Times New Roman" w:hAnsi="Times New Roman" w:cs="Times New Roman"/>
          <w:color w:val="000000"/>
          <w:sz w:val="24"/>
          <w:szCs w:val="24"/>
          <w:highlight w:val="yellow"/>
        </w:rPr>
        <w:t xml:space="preserve"> or linear lines are obtained by plotting the data for</w:t>
      </w:r>
      <m:oMath>
        <m:f>
          <m:fPr>
            <m:ctrlPr>
              <w:rPr>
                <w:rFonts w:ascii="Cambria Math" w:eastAsia="Cambria Math" w:hAnsi="Cambria Math" w:cs="Cambria Math"/>
                <w:color w:val="000000"/>
                <w:sz w:val="24"/>
                <w:szCs w:val="24"/>
                <w:highlight w:val="yellow"/>
              </w:rPr>
            </m:ctrlPr>
          </m:fPr>
          <m:num>
            <m:r>
              <w:rPr>
                <w:rFonts w:ascii="Cambria Math" w:eastAsia="Cambria Math" w:hAnsi="Cambria Math" w:cs="Cambria Math"/>
                <w:color w:val="000000"/>
                <w:sz w:val="24"/>
                <w:szCs w:val="24"/>
                <w:highlight w:val="yellow"/>
              </w:rPr>
              <m:t>1</m:t>
            </m:r>
          </m:num>
          <m:den>
            <m:r>
              <w:rPr>
                <w:rFonts w:ascii="Cambria Math" w:eastAsia="Cambria Math" w:hAnsi="Cambria Math" w:cs="Cambria Math"/>
                <w:color w:val="000000"/>
                <w:sz w:val="24"/>
                <w:szCs w:val="24"/>
                <w:highlight w:val="yellow"/>
              </w:rPr>
              <m:t>D-</m:t>
            </m:r>
            <m:sSub>
              <m:sSubPr>
                <m:ctrlPr>
                  <w:rPr>
                    <w:rFonts w:ascii="Cambria Math" w:eastAsia="Cambria Math" w:hAnsi="Cambria Math" w:cs="Cambria Math"/>
                    <w:color w:val="000000"/>
                    <w:sz w:val="24"/>
                    <w:szCs w:val="24"/>
                    <w:highlight w:val="yellow"/>
                  </w:rPr>
                </m:ctrlPr>
              </m:sSubPr>
              <m:e>
                <m:r>
                  <w:rPr>
                    <w:rFonts w:ascii="Cambria Math" w:eastAsia="Cambria Math" w:hAnsi="Cambria Math" w:cs="Cambria Math"/>
                    <w:color w:val="000000"/>
                    <w:sz w:val="24"/>
                    <w:szCs w:val="24"/>
                    <w:highlight w:val="yellow"/>
                  </w:rPr>
                  <m:t>ε</m:t>
                </m:r>
              </m:e>
              <m:sub>
                <m:r>
                  <w:rPr>
                    <w:rFonts w:ascii="Cambria Math" w:eastAsia="Cambria Math" w:hAnsi="Cambria Math" w:cs="Cambria Math"/>
                    <w:color w:val="000000"/>
                    <w:sz w:val="24"/>
                    <w:szCs w:val="24"/>
                    <w:highlight w:val="yellow"/>
                  </w:rPr>
                  <m:t>A</m:t>
                </m:r>
              </m:sub>
            </m:sSub>
            <m:r>
              <w:rPr>
                <w:rFonts w:ascii="Cambria Math" w:eastAsia="Cambria Math" w:hAnsi="Cambria Math" w:cs="Cambria Math"/>
                <w:color w:val="000000"/>
                <w:sz w:val="24"/>
                <w:szCs w:val="24"/>
                <w:highlight w:val="yellow"/>
              </w:rPr>
              <m:t xml:space="preserve">C </m:t>
            </m:r>
          </m:den>
        </m:f>
      </m:oMath>
      <w:r>
        <w:rPr>
          <w:rFonts w:ascii="Times New Roman" w:eastAsia="Times New Roman" w:hAnsi="Times New Roman" w:cs="Times New Roman"/>
          <w:color w:val="000000"/>
          <w:sz w:val="24"/>
          <w:szCs w:val="24"/>
          <w:highlight w:val="yellow"/>
        </w:rPr>
        <w:t>against</w:t>
      </w:r>
      <m:oMath>
        <m:f>
          <m:fPr>
            <m:ctrlPr>
              <w:rPr>
                <w:rFonts w:ascii="Cambria Math" w:eastAsia="Cambria Math" w:hAnsi="Cambria Math" w:cs="Cambria Math"/>
                <w:color w:val="000000"/>
                <w:sz w:val="24"/>
                <w:szCs w:val="24"/>
                <w:highlight w:val="yellow"/>
              </w:rPr>
            </m:ctrlPr>
          </m:fPr>
          <m:num>
            <m:r>
              <w:rPr>
                <w:rFonts w:ascii="Cambria Math" w:eastAsia="Cambria Math" w:hAnsi="Cambria Math" w:cs="Cambria Math"/>
                <w:color w:val="000000"/>
                <w:sz w:val="24"/>
                <w:szCs w:val="24"/>
                <w:highlight w:val="yellow"/>
              </w:rPr>
              <m:t>1</m:t>
            </m:r>
          </m:num>
          <m:den>
            <m:r>
              <w:rPr>
                <w:rFonts w:ascii="Cambria Math" w:eastAsia="Cambria Math" w:hAnsi="Cambria Math" w:cs="Cambria Math"/>
                <w:color w:val="000000"/>
                <w:sz w:val="24"/>
                <w:szCs w:val="24"/>
                <w:highlight w:val="yellow"/>
              </w:rPr>
              <m:t>[B]</m:t>
            </m:r>
          </m:den>
        </m:f>
      </m:oMath>
      <w:r>
        <w:rPr>
          <w:rFonts w:ascii="Times New Roman" w:eastAsia="Times New Roman" w:hAnsi="Times New Roman" w:cs="Times New Roman"/>
          <w:color w:val="000000"/>
          <w:sz w:val="24"/>
          <w:szCs w:val="24"/>
          <w:highlight w:val="yellow"/>
        </w:rPr>
        <w:t xml:space="preserve"> .</w:t>
      </w:r>
      <w:r>
        <w:rPr>
          <w:highlight w:val="yellow"/>
        </w:rPr>
        <w:t>DRUG A</w:t>
      </w:r>
      <w:r>
        <w:rPr>
          <w:rFonts w:ascii="Times New Roman" w:eastAsia="Times New Roman" w:hAnsi="Times New Roman" w:cs="Times New Roman"/>
          <w:color w:val="000000"/>
          <w:sz w:val="24"/>
          <w:szCs w:val="24"/>
          <w:highlight w:val="yellow"/>
        </w:rPr>
        <w:t>'s concentration, represented by the letter "C" in the equation, is maintained at 5x10-5M .</w:t>
      </w:r>
      <w:r>
        <w:rPr>
          <w:rFonts w:ascii="Times New Roman" w:eastAsia="Times New Roman" w:hAnsi="Times New Roman" w:cs="Times New Roman"/>
          <w:sz w:val="24"/>
          <w:szCs w:val="24"/>
          <w:highlight w:val="yellow"/>
        </w:rPr>
        <w:t>In the graphs,</w:t>
      </w:r>
      <w:r>
        <w:rPr>
          <w:rFonts w:ascii="Times New Roman" w:eastAsia="Times New Roman" w:hAnsi="Times New Roman" w:cs="Times New Roman"/>
          <w:color w:val="000000"/>
          <w:sz w:val="24"/>
          <w:szCs w:val="24"/>
          <w:highlight w:val="yellow"/>
        </w:rPr>
        <w:t xml:space="preserve"> the 1:1 complex produces a straight line with an intercept and </w:t>
      </w:r>
      <w:proofErr w:type="spellStart"/>
      <w:r>
        <w:rPr>
          <w:rFonts w:ascii="Times New Roman" w:eastAsia="Times New Roman" w:hAnsi="Times New Roman" w:cs="Times New Roman"/>
          <w:color w:val="000000"/>
          <w:sz w:val="24"/>
          <w:szCs w:val="24"/>
          <w:highlight w:val="yellow"/>
        </w:rPr>
        <w:t>slope.K</w:t>
      </w:r>
      <w:proofErr w:type="spellEnd"/>
      <w:r>
        <w:rPr>
          <w:rFonts w:ascii="Times New Roman" w:eastAsia="Times New Roman" w:hAnsi="Times New Roman" w:cs="Times New Roman"/>
          <w:color w:val="000000"/>
          <w:sz w:val="24"/>
          <w:szCs w:val="24"/>
          <w:highlight w:val="yellow"/>
        </w:rPr>
        <w:t xml:space="preserve">=intercept/slope which is the complex's stability </w:t>
      </w:r>
      <w:proofErr w:type="spellStart"/>
      <w:r>
        <w:rPr>
          <w:rFonts w:ascii="Times New Roman" w:eastAsia="Times New Roman" w:hAnsi="Times New Roman" w:cs="Times New Roman"/>
          <w:color w:val="000000"/>
          <w:sz w:val="24"/>
          <w:szCs w:val="24"/>
          <w:highlight w:val="yellow"/>
        </w:rPr>
        <w:t>constant.This</w:t>
      </w:r>
      <w:proofErr w:type="spellEnd"/>
      <w:r>
        <w:rPr>
          <w:rFonts w:ascii="Times New Roman" w:eastAsia="Times New Roman" w:hAnsi="Times New Roman" w:cs="Times New Roman"/>
          <w:color w:val="000000"/>
          <w:sz w:val="24"/>
          <w:szCs w:val="24"/>
          <w:highlight w:val="yellow"/>
        </w:rPr>
        <w:t xml:space="preserve"> approach is suitable only for systems where a 1:1 complex mixture is formed, as illustrated in </w:t>
      </w:r>
      <w:r>
        <w:rPr>
          <w:rFonts w:ascii="Times New Roman" w:eastAsia="Times New Roman" w:hAnsi="Times New Roman" w:cs="Times New Roman"/>
          <w:b/>
          <w:color w:val="000000"/>
          <w:sz w:val="24"/>
          <w:szCs w:val="24"/>
          <w:highlight w:val="yellow"/>
        </w:rPr>
        <w:t>Figure 3.</w:t>
      </w:r>
    </w:p>
    <w:p w14:paraId="7D4BB859" w14:textId="77777777" w:rsidR="008219B1" w:rsidRDefault="0049121B">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14:anchorId="6683E8A0" wp14:editId="6D803596">
            <wp:extent cx="5553850" cy="4486901"/>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5553850" cy="4486901"/>
                    </a:xfrm>
                    <a:prstGeom prst="rect">
                      <a:avLst/>
                    </a:prstGeom>
                    <a:ln/>
                  </pic:spPr>
                </pic:pic>
              </a:graphicData>
            </a:graphic>
          </wp:inline>
        </w:drawing>
      </w:r>
    </w:p>
    <w:p w14:paraId="5CEC338E" w14:textId="0748223B" w:rsidR="008219B1" w:rsidRDefault="0049121B">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Figure 3</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yellow"/>
        </w:rPr>
        <w:t xml:space="preserve">Plots based on Ardon's method for the system of diltiazem-ibuprofen and diltiazem- </w:t>
      </w:r>
      <w:proofErr w:type="gramStart"/>
      <w:r>
        <w:rPr>
          <w:rFonts w:ascii="Times New Roman" w:eastAsia="Times New Roman" w:hAnsi="Times New Roman" w:cs="Times New Roman"/>
          <w:color w:val="000000"/>
          <w:sz w:val="24"/>
          <w:szCs w:val="24"/>
          <w:highlight w:val="yellow"/>
        </w:rPr>
        <w:t>naproxen</w:t>
      </w:r>
      <w:r>
        <w:rPr>
          <w:rFonts w:ascii="Times New Roman" w:eastAsia="Times New Roman" w:hAnsi="Times New Roman" w:cs="Times New Roman"/>
          <w:color w:val="000000"/>
          <w:sz w:val="24"/>
          <w:szCs w:val="24"/>
        </w:rPr>
        <w:t>  (</w:t>
      </w:r>
      <w:proofErr w:type="gramEnd"/>
      <w:r w:rsidR="00C21310" w:rsidRPr="00C21310">
        <w:rPr>
          <w:rFonts w:ascii="Times New Roman" w:eastAsia="Times New Roman" w:hAnsi="Times New Roman" w:cs="Times New Roman"/>
          <w:color w:val="000000"/>
          <w:sz w:val="24"/>
          <w:szCs w:val="24"/>
        </w:rPr>
        <w:t>Salam et al., 2009</w:t>
      </w:r>
      <w:r>
        <w:rPr>
          <w:rFonts w:ascii="Times New Roman" w:eastAsia="Times New Roman" w:hAnsi="Times New Roman" w:cs="Times New Roman"/>
          <w:color w:val="000000"/>
          <w:sz w:val="24"/>
          <w:szCs w:val="24"/>
        </w:rPr>
        <w:t>)</w:t>
      </w:r>
      <w:r w:rsidR="00C21310">
        <w:rPr>
          <w:rFonts w:ascii="Times New Roman" w:eastAsia="Times New Roman" w:hAnsi="Times New Roman" w:cs="Times New Roman"/>
          <w:color w:val="000000"/>
          <w:sz w:val="24"/>
          <w:szCs w:val="24"/>
        </w:rPr>
        <w:t>.</w:t>
      </w:r>
    </w:p>
    <w:p w14:paraId="6C82BDDA" w14:textId="77777777" w:rsidR="008219B1" w:rsidRDefault="008219B1">
      <w:pPr>
        <w:spacing w:after="0" w:line="360" w:lineRule="auto"/>
        <w:jc w:val="both"/>
        <w:rPr>
          <w:rFonts w:ascii="Times New Roman" w:eastAsia="Times New Roman" w:hAnsi="Times New Roman" w:cs="Times New Roman"/>
          <w:b/>
          <w:color w:val="000000"/>
          <w:sz w:val="24"/>
          <w:szCs w:val="24"/>
        </w:rPr>
      </w:pPr>
    </w:p>
    <w:p w14:paraId="6EBA4A48" w14:textId="77777777" w:rsidR="008219B1" w:rsidRDefault="0049121B">
      <w:pPr>
        <w:spacing w:after="0" w:line="360" w:lineRule="auto"/>
        <w:jc w:val="both"/>
        <w:rPr>
          <w:rFonts w:ascii="Times New Roman" w:eastAsia="Times New Roman" w:hAnsi="Times New Roman" w:cs="Times New Roman"/>
          <w:b/>
          <w:color w:val="000000"/>
          <w:sz w:val="24"/>
          <w:szCs w:val="24"/>
        </w:rPr>
      </w:pPr>
      <w:bookmarkStart w:id="7" w:name="_yxj4xldz2gyy" w:colFirst="0" w:colLast="0"/>
      <w:bookmarkEnd w:id="7"/>
      <w:r>
        <w:rPr>
          <w:rFonts w:ascii="Times New Roman" w:eastAsia="Times New Roman" w:hAnsi="Times New Roman" w:cs="Times New Roman"/>
          <w:b/>
          <w:color w:val="000000"/>
          <w:sz w:val="24"/>
          <w:szCs w:val="24"/>
        </w:rPr>
        <w:t>(iv) Job’s continuous variation method</w:t>
      </w:r>
    </w:p>
    <w:p w14:paraId="7BC0902F" w14:textId="7555D433" w:rsidR="008219B1" w:rsidRDefault="0049121B">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Job’s continuous variation method is also a spectroscopic method based on Lambert-Beer’s law for analysis of drug-drug interaction study</w:t>
      </w:r>
      <w:r>
        <w:rPr>
          <w:rFonts w:ascii="Times New Roman" w:eastAsia="Times New Roman" w:hAnsi="Times New Roman" w:cs="Times New Roman"/>
          <w:color w:val="000000"/>
          <w:sz w:val="24"/>
          <w:szCs w:val="24"/>
          <w:highlight w:val="yellow"/>
        </w:rPr>
        <w:t>. In Job’s continuous</w:t>
      </w:r>
      <w:r w:rsidR="005C59FB">
        <w:rPr>
          <w:rFonts w:ascii="Times New Roman" w:eastAsia="Times New Roman" w:hAnsi="Times New Roman" w:cs="Times New Roman"/>
          <w:color w:val="000000"/>
          <w:sz w:val="24"/>
          <w:szCs w:val="24"/>
          <w:highlight w:val="yellow"/>
        </w:rPr>
        <w:t xml:space="preserve"> </w:t>
      </w:r>
      <w:r>
        <w:rPr>
          <w:rFonts w:ascii="Times New Roman" w:eastAsia="Times New Roman" w:hAnsi="Times New Roman" w:cs="Times New Roman"/>
          <w:color w:val="000000"/>
          <w:sz w:val="24"/>
          <w:szCs w:val="24"/>
          <w:highlight w:val="yellow"/>
        </w:rPr>
        <w:t>variation method which is based on spectrophotometry, absorbance readings</w:t>
      </w:r>
      <w:r>
        <w:rPr>
          <w:rFonts w:ascii="Times New Roman" w:eastAsia="Times New Roman" w:hAnsi="Times New Roman" w:cs="Times New Roman"/>
          <w:color w:val="000000"/>
          <w:sz w:val="24"/>
          <w:szCs w:val="24"/>
        </w:rPr>
        <w:t xml:space="preserve"> of series of drug mixtures with various molar ratios at different pH (pH 1.4, 2.4, 6.4, 7.4 and 8.4) are measured at specific wavelength of drugs</w:t>
      </w:r>
      <w:r w:rsidR="00C2131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by </w:t>
      </w:r>
      <w:r>
        <w:rPr>
          <w:rFonts w:ascii="Times New Roman" w:eastAsia="Times New Roman" w:hAnsi="Times New Roman" w:cs="Times New Roman"/>
          <w:color w:val="000000"/>
          <w:sz w:val="24"/>
          <w:szCs w:val="24"/>
          <w:highlight w:val="yellow"/>
        </w:rPr>
        <w:t xml:space="preserve">maintaining a constant total moles count in the </w:t>
      </w:r>
      <w:proofErr w:type="spellStart"/>
      <w:r>
        <w:rPr>
          <w:rFonts w:ascii="Times New Roman" w:eastAsia="Times New Roman" w:hAnsi="Times New Roman" w:cs="Times New Roman"/>
          <w:color w:val="000000"/>
          <w:sz w:val="24"/>
          <w:szCs w:val="24"/>
          <w:highlight w:val="yellow"/>
        </w:rPr>
        <w:t>mixture</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highlight w:val="yellow"/>
        </w:rPr>
        <w:t>Experiments</w:t>
      </w:r>
      <w:proofErr w:type="spellEnd"/>
      <w:r>
        <w:rPr>
          <w:rFonts w:ascii="Times New Roman" w:eastAsia="Times New Roman" w:hAnsi="Times New Roman" w:cs="Times New Roman"/>
          <w:color w:val="000000"/>
          <w:sz w:val="24"/>
          <w:szCs w:val="24"/>
          <w:highlight w:val="yellow"/>
        </w:rPr>
        <w:t xml:space="preserve"> of the same type using</w:t>
      </w:r>
      <w:r w:rsidR="005C59FB">
        <w:rPr>
          <w:rFonts w:ascii="Times New Roman" w:eastAsia="Times New Roman" w:hAnsi="Times New Roman" w:cs="Times New Roman"/>
          <w:color w:val="000000"/>
          <w:sz w:val="24"/>
          <w:szCs w:val="24"/>
          <w:highlight w:val="yellow"/>
        </w:rPr>
        <w:t xml:space="preserve"> </w:t>
      </w:r>
      <w:r>
        <w:rPr>
          <w:rFonts w:ascii="Times New Roman" w:eastAsia="Times New Roman" w:hAnsi="Times New Roman" w:cs="Times New Roman"/>
          <w:color w:val="000000"/>
          <w:sz w:val="24"/>
          <w:szCs w:val="24"/>
          <w:highlight w:val="yellow"/>
        </w:rPr>
        <w:t>reversed drug concentrations  are conducted at</w:t>
      </w:r>
      <w:r w:rsidR="005C59FB">
        <w:rPr>
          <w:rFonts w:ascii="Times New Roman" w:eastAsia="Times New Roman" w:hAnsi="Times New Roman" w:cs="Times New Roman"/>
          <w:color w:val="000000"/>
          <w:sz w:val="24"/>
          <w:szCs w:val="24"/>
          <w:highlight w:val="yellow"/>
        </w:rPr>
        <w:t xml:space="preserve"> </w:t>
      </w:r>
      <w:r>
        <w:rPr>
          <w:rFonts w:ascii="Times New Roman" w:eastAsia="Times New Roman" w:hAnsi="Times New Roman" w:cs="Times New Roman"/>
          <w:color w:val="000000"/>
          <w:sz w:val="24"/>
          <w:szCs w:val="24"/>
          <w:highlight w:val="yellow"/>
        </w:rPr>
        <w:t xml:space="preserve">various pH levels(pH 1.4, 2.4, 6.4, 7.4 and 8.4) and the absorbance values of these systems are recorded at various </w:t>
      </w:r>
      <w:proofErr w:type="spellStart"/>
      <w:r>
        <w:rPr>
          <w:rFonts w:ascii="Times New Roman" w:eastAsia="Times New Roman" w:hAnsi="Times New Roman" w:cs="Times New Roman"/>
          <w:color w:val="000000"/>
          <w:sz w:val="24"/>
          <w:szCs w:val="24"/>
          <w:highlight w:val="yellow"/>
        </w:rPr>
        <w:t>wavelengths.The</w:t>
      </w:r>
      <w:proofErr w:type="spellEnd"/>
      <w:r>
        <w:rPr>
          <w:rFonts w:ascii="Times New Roman" w:eastAsia="Times New Roman" w:hAnsi="Times New Roman" w:cs="Times New Roman"/>
          <w:color w:val="000000"/>
          <w:sz w:val="24"/>
          <w:szCs w:val="24"/>
          <w:highlight w:val="yellow"/>
        </w:rPr>
        <w:t xml:space="preserve"> mixture's observed absorbances at different mole fractions</w:t>
      </w:r>
      <w:r w:rsidR="005C59FB">
        <w:rPr>
          <w:rFonts w:ascii="Times New Roman" w:eastAsia="Times New Roman" w:hAnsi="Times New Roman" w:cs="Times New Roman"/>
          <w:color w:val="000000"/>
          <w:sz w:val="24"/>
          <w:szCs w:val="24"/>
          <w:highlight w:val="yellow"/>
        </w:rPr>
        <w:t xml:space="preserve"> </w:t>
      </w:r>
      <w:r>
        <w:rPr>
          <w:rFonts w:ascii="Times New Roman" w:eastAsia="Times New Roman" w:hAnsi="Times New Roman" w:cs="Times New Roman"/>
          <w:color w:val="000000"/>
          <w:sz w:val="24"/>
          <w:szCs w:val="24"/>
          <w:highlight w:val="yellow"/>
        </w:rPr>
        <w:t>are deducted from the total of the absorbance values measured for the  free drugs under the same experimental setup.</w:t>
      </w:r>
    </w:p>
    <w:p w14:paraId="256847CC" w14:textId="77777777" w:rsidR="008219B1" w:rsidRDefault="0049121B">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14:anchorId="6A94B82C" wp14:editId="666A536A">
            <wp:extent cx="3590385" cy="3263391"/>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3590385" cy="3263391"/>
                    </a:xfrm>
                    <a:prstGeom prst="rect">
                      <a:avLst/>
                    </a:prstGeom>
                    <a:ln/>
                  </pic:spPr>
                </pic:pic>
              </a:graphicData>
            </a:graphic>
          </wp:inline>
        </w:drawing>
      </w:r>
    </w:p>
    <w:p w14:paraId="2C97262A" w14:textId="1526D399" w:rsidR="008219B1" w:rsidRDefault="0049121B">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Figure 4</w:t>
      </w:r>
      <w:r>
        <w:rPr>
          <w:rFonts w:ascii="Times New Roman" w:eastAsia="Times New Roman" w:hAnsi="Times New Roman" w:cs="Times New Roman"/>
          <w:color w:val="000000"/>
          <w:sz w:val="24"/>
          <w:szCs w:val="24"/>
        </w:rPr>
        <w:t xml:space="preserve">. Job’s plot for metformin-diclofenac system at pH 7.4 </w:t>
      </w:r>
      <w:r w:rsidR="00C21310">
        <w:rPr>
          <w:rFonts w:ascii="Times New Roman" w:eastAsia="Times New Roman" w:hAnsi="Times New Roman" w:cs="Times New Roman"/>
          <w:color w:val="000000"/>
          <w:sz w:val="24"/>
          <w:szCs w:val="24"/>
        </w:rPr>
        <w:t>(Reproduced from</w:t>
      </w:r>
      <w:r>
        <w:rPr>
          <w:rFonts w:ascii="Times New Roman" w:eastAsia="Times New Roman" w:hAnsi="Times New Roman" w:cs="Times New Roman"/>
          <w:color w:val="000000"/>
          <w:sz w:val="24"/>
          <w:szCs w:val="24"/>
        </w:rPr>
        <w:t xml:space="preserve"> (</w:t>
      </w:r>
      <w:r w:rsidR="00C21310" w:rsidRPr="00C21310">
        <w:rPr>
          <w:rFonts w:ascii="Times New Roman" w:eastAsia="Times New Roman" w:hAnsi="Times New Roman" w:cs="Times New Roman"/>
          <w:color w:val="000000"/>
          <w:sz w:val="24"/>
          <w:szCs w:val="24"/>
        </w:rPr>
        <w:t>Salam et al., 2009</w:t>
      </w:r>
      <w:r>
        <w:rPr>
          <w:rFonts w:ascii="Times New Roman" w:eastAsia="Times New Roman" w:hAnsi="Times New Roman" w:cs="Times New Roman"/>
          <w:color w:val="000000"/>
          <w:sz w:val="24"/>
          <w:szCs w:val="24"/>
        </w:rPr>
        <w:t>)</w:t>
      </w:r>
      <w:r w:rsidR="00C21310">
        <w:rPr>
          <w:rFonts w:ascii="Times New Roman" w:eastAsia="Times New Roman" w:hAnsi="Times New Roman" w:cs="Times New Roman"/>
          <w:color w:val="000000"/>
          <w:sz w:val="24"/>
          <w:szCs w:val="24"/>
        </w:rPr>
        <w:t>.</w:t>
      </w:r>
    </w:p>
    <w:p w14:paraId="3D9FF6EB" w14:textId="77777777" w:rsidR="008219B1" w:rsidRDefault="008219B1">
      <w:pPr>
        <w:spacing w:after="0" w:line="360" w:lineRule="auto"/>
        <w:jc w:val="both"/>
        <w:rPr>
          <w:rFonts w:ascii="Times New Roman" w:eastAsia="Times New Roman" w:hAnsi="Times New Roman" w:cs="Times New Roman"/>
          <w:color w:val="000000"/>
          <w:sz w:val="24"/>
          <w:szCs w:val="24"/>
        </w:rPr>
      </w:pPr>
    </w:p>
    <w:p w14:paraId="3CD07129" w14:textId="16C065DA" w:rsidR="008219B1" w:rsidRDefault="0049121B">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yellow"/>
        </w:rPr>
        <w:t xml:space="preserve">After </w:t>
      </w:r>
      <w:proofErr w:type="spellStart"/>
      <w:proofErr w:type="gramStart"/>
      <w:r>
        <w:rPr>
          <w:rFonts w:ascii="Times New Roman" w:eastAsia="Times New Roman" w:hAnsi="Times New Roman" w:cs="Times New Roman"/>
          <w:color w:val="000000"/>
          <w:sz w:val="24"/>
          <w:szCs w:val="24"/>
          <w:highlight w:val="yellow"/>
        </w:rPr>
        <w:t>that,a</w:t>
      </w:r>
      <w:proofErr w:type="spellEnd"/>
      <w:proofErr w:type="gramEnd"/>
      <w:r>
        <w:rPr>
          <w:rFonts w:ascii="Times New Roman" w:eastAsia="Times New Roman" w:hAnsi="Times New Roman" w:cs="Times New Roman"/>
          <w:color w:val="000000"/>
          <w:sz w:val="24"/>
          <w:szCs w:val="24"/>
          <w:highlight w:val="yellow"/>
        </w:rPr>
        <w:t xml:space="preserve"> graph is plotted showing the absorbance differences(D) versus the mole fractions of the drugs in the mixtures generating a curve with  a maximum at a specific point that reflects the  molar ratios of  one drug to another drug within the complex.</w:t>
      </w:r>
      <w:r>
        <w:rPr>
          <w:rFonts w:ascii="Times New Roman" w:eastAsia="Times New Roman" w:hAnsi="Times New Roman" w:cs="Times New Roman"/>
          <w:color w:val="000000"/>
          <w:sz w:val="24"/>
          <w:szCs w:val="24"/>
        </w:rPr>
        <w:t xml:space="preserve"> A Job’s </w:t>
      </w:r>
      <w:proofErr w:type="gramStart"/>
      <w:r>
        <w:rPr>
          <w:rFonts w:ascii="Times New Roman" w:eastAsia="Times New Roman" w:hAnsi="Times New Roman" w:cs="Times New Roman"/>
          <w:color w:val="000000"/>
          <w:sz w:val="24"/>
          <w:szCs w:val="24"/>
        </w:rPr>
        <w:t>plot(</w:t>
      </w:r>
      <w:proofErr w:type="gramEnd"/>
      <w:r>
        <w:rPr>
          <w:rFonts w:ascii="Times New Roman" w:eastAsia="Times New Roman" w:hAnsi="Times New Roman" w:cs="Times New Roman"/>
          <w:color w:val="000000"/>
          <w:sz w:val="24"/>
          <w:szCs w:val="24"/>
        </w:rPr>
        <w:t xml:space="preserve">26)is shown in </w:t>
      </w:r>
      <w:r>
        <w:rPr>
          <w:rFonts w:ascii="Times New Roman" w:eastAsia="Times New Roman" w:hAnsi="Times New Roman" w:cs="Times New Roman"/>
          <w:b/>
          <w:color w:val="000000"/>
          <w:sz w:val="24"/>
          <w:szCs w:val="24"/>
        </w:rPr>
        <w:t>Figure 4</w:t>
      </w:r>
      <w:r>
        <w:rPr>
          <w:rFonts w:ascii="Times New Roman" w:eastAsia="Times New Roman" w:hAnsi="Times New Roman" w:cs="Times New Roman"/>
          <w:color w:val="000000"/>
          <w:sz w:val="24"/>
          <w:szCs w:val="24"/>
        </w:rPr>
        <w:t>. Similar results were also found from other studies</w:t>
      </w:r>
      <w:r w:rsidR="00C21310">
        <w:rPr>
          <w:rFonts w:ascii="Times New Roman" w:eastAsia="Times New Roman" w:hAnsi="Times New Roman" w:cs="Times New Roman"/>
          <w:color w:val="000000"/>
          <w:sz w:val="24"/>
          <w:szCs w:val="24"/>
        </w:rPr>
        <w:t xml:space="preserve"> </w:t>
      </w:r>
      <w:proofErr w:type="gramStart"/>
      <w:r w:rsidR="00C21310">
        <w:rPr>
          <w:rFonts w:ascii="Times New Roman" w:eastAsia="Times New Roman" w:hAnsi="Times New Roman" w:cs="Times New Roman"/>
          <w:color w:val="000000"/>
          <w:sz w:val="24"/>
          <w:szCs w:val="24"/>
        </w:rPr>
        <w:t>(</w:t>
      </w:r>
      <w:r w:rsidR="00C21310" w:rsidRPr="00C21310">
        <w:t xml:space="preserve"> </w:t>
      </w:r>
      <w:r w:rsidR="00C21310" w:rsidRPr="00C21310">
        <w:rPr>
          <w:rFonts w:ascii="Times New Roman" w:eastAsia="Times New Roman" w:hAnsi="Times New Roman" w:cs="Times New Roman"/>
          <w:color w:val="000000"/>
          <w:sz w:val="24"/>
          <w:szCs w:val="24"/>
        </w:rPr>
        <w:t>Chowdhury</w:t>
      </w:r>
      <w:proofErr w:type="gramEnd"/>
      <w:r w:rsidR="00C21310" w:rsidRPr="00C21310">
        <w:rPr>
          <w:rFonts w:ascii="Times New Roman" w:eastAsia="Times New Roman" w:hAnsi="Times New Roman" w:cs="Times New Roman"/>
          <w:color w:val="000000"/>
          <w:sz w:val="24"/>
          <w:szCs w:val="24"/>
        </w:rPr>
        <w:t>, 2023</w:t>
      </w:r>
      <w:r w:rsidR="00C21310">
        <w:rPr>
          <w:rFonts w:ascii="Times New Roman" w:eastAsia="Times New Roman" w:hAnsi="Times New Roman" w:cs="Times New Roman"/>
          <w:color w:val="000000"/>
          <w:sz w:val="24"/>
          <w:szCs w:val="24"/>
        </w:rPr>
        <w:t>;</w:t>
      </w:r>
      <w:r w:rsidR="00C21310" w:rsidRPr="00C21310">
        <w:t xml:space="preserve"> </w:t>
      </w:r>
      <w:r w:rsidR="00C21310" w:rsidRPr="00C21310">
        <w:rPr>
          <w:rFonts w:ascii="Times New Roman" w:eastAsia="Times New Roman" w:hAnsi="Times New Roman" w:cs="Times New Roman"/>
          <w:color w:val="000000"/>
          <w:sz w:val="24"/>
          <w:szCs w:val="24"/>
        </w:rPr>
        <w:t>Flora et al., 2023</w:t>
      </w:r>
      <w:r w:rsidR="00C21310">
        <w:rPr>
          <w:rFonts w:ascii="Times New Roman" w:eastAsia="Times New Roman" w:hAnsi="Times New Roman" w:cs="Times New Roman"/>
          <w:color w:val="000000"/>
          <w:sz w:val="24"/>
          <w:szCs w:val="24"/>
        </w:rPr>
        <w:t>)</w:t>
      </w:r>
    </w:p>
    <w:p w14:paraId="2391F8EE" w14:textId="77777777" w:rsidR="008219B1" w:rsidRDefault="0049121B">
      <w:pPr>
        <w:spacing w:after="0" w:line="360" w:lineRule="auto"/>
        <w:jc w:val="both"/>
        <w:rPr>
          <w:rFonts w:ascii="Times New Roman" w:eastAsia="Times New Roman" w:hAnsi="Times New Roman" w:cs="Times New Roman"/>
          <w:b/>
          <w:color w:val="000000"/>
          <w:sz w:val="24"/>
          <w:szCs w:val="24"/>
        </w:rPr>
      </w:pPr>
      <w:bookmarkStart w:id="8" w:name="_4d22x9at4lcv" w:colFirst="0" w:colLast="0"/>
      <w:bookmarkEnd w:id="8"/>
      <w:r>
        <w:rPr>
          <w:rFonts w:ascii="Times New Roman" w:eastAsia="Times New Roman" w:hAnsi="Times New Roman" w:cs="Times New Roman"/>
          <w:b/>
          <w:color w:val="000000"/>
          <w:sz w:val="24"/>
          <w:szCs w:val="24"/>
        </w:rPr>
        <w:t xml:space="preserve">(V) Differential Scanning Calorimetry (DSC) thermogram  </w:t>
      </w:r>
    </w:p>
    <w:p w14:paraId="32077D6E" w14:textId="10C0F166" w:rsidR="008219B1" w:rsidRDefault="0049121B">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Differential Scanning Calorimetry (DSC) is a </w:t>
      </w:r>
      <w:r>
        <w:rPr>
          <w:rFonts w:ascii="Times New Roman" w:eastAsia="Times New Roman" w:hAnsi="Times New Roman" w:cs="Times New Roman"/>
          <w:color w:val="000000"/>
          <w:sz w:val="24"/>
          <w:szCs w:val="24"/>
          <w:highlight w:val="yellow"/>
        </w:rPr>
        <w:t>thermo-</w:t>
      </w:r>
      <w:r>
        <w:rPr>
          <w:rFonts w:ascii="Times New Roman" w:eastAsia="Times New Roman" w:hAnsi="Times New Roman" w:cs="Times New Roman"/>
          <w:color w:val="000000"/>
          <w:sz w:val="24"/>
          <w:szCs w:val="24"/>
        </w:rPr>
        <w:t>analytical method</w:t>
      </w:r>
      <w:r w:rsidR="005C59F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which is used to find the difference in heat flow between an unknown sample and a standard material as a function of temperature. It gives information about thermal transitions and </w:t>
      </w:r>
      <w:proofErr w:type="gramStart"/>
      <w:r>
        <w:rPr>
          <w:rFonts w:ascii="Times New Roman" w:eastAsia="Times New Roman" w:hAnsi="Times New Roman" w:cs="Times New Roman"/>
          <w:color w:val="000000"/>
          <w:sz w:val="24"/>
          <w:szCs w:val="24"/>
        </w:rPr>
        <w:t>reactions(</w:t>
      </w:r>
      <w:proofErr w:type="gramEnd"/>
      <w:r w:rsidR="00C21310" w:rsidRPr="00C21310">
        <w:rPr>
          <w:rFonts w:ascii="Times New Roman" w:eastAsia="Times New Roman" w:hAnsi="Times New Roman" w:cs="Times New Roman"/>
          <w:color w:val="000000"/>
          <w:sz w:val="24"/>
          <w:szCs w:val="24"/>
        </w:rPr>
        <w:t>Google, 2025</w:t>
      </w:r>
      <w:r>
        <w:rPr>
          <w:rFonts w:ascii="Times New Roman" w:eastAsia="Times New Roman" w:hAnsi="Times New Roman" w:cs="Times New Roman"/>
          <w:color w:val="000000"/>
          <w:sz w:val="24"/>
          <w:szCs w:val="24"/>
        </w:rPr>
        <w:t xml:space="preserve">).  </w:t>
      </w:r>
    </w:p>
    <w:p w14:paraId="6463BCED" w14:textId="32DF76E6" w:rsidR="008219B1" w:rsidRDefault="0049121B">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DSC   thermogram   of   DRUG A  showed  a  long,  sharp,  characteristic endothermic  peak  at  a particular temperature (</w:t>
      </w:r>
      <w:proofErr w:type="spellStart"/>
      <w:r>
        <w:rPr>
          <w:rFonts w:ascii="Times New Roman" w:eastAsia="Times New Roman" w:hAnsi="Times New Roman" w:cs="Times New Roman"/>
          <w:color w:val="000000"/>
          <w:sz w:val="24"/>
          <w:szCs w:val="24"/>
        </w:rPr>
        <w:t>in°C</w:t>
      </w:r>
      <w:proofErr w:type="spellEnd"/>
      <w:r>
        <w:rPr>
          <w:rFonts w:ascii="Times New Roman" w:eastAsia="Times New Roman" w:hAnsi="Times New Roman" w:cs="Times New Roman"/>
          <w:color w:val="000000"/>
          <w:sz w:val="24"/>
          <w:szCs w:val="24"/>
        </w:rPr>
        <w:t xml:space="preserve">) with specific amount of </w:t>
      </w:r>
      <w:r>
        <w:rPr>
          <w:rFonts w:ascii="Times New Roman" w:eastAsia="Times New Roman" w:hAnsi="Times New Roman" w:cs="Times New Roman"/>
          <w:color w:val="000000"/>
          <w:sz w:val="24"/>
          <w:szCs w:val="24"/>
          <w:highlight w:val="yellow"/>
        </w:rPr>
        <w:t>free</w:t>
      </w:r>
      <w:r>
        <w:rPr>
          <w:rFonts w:ascii="Times New Roman" w:eastAsia="Times New Roman" w:hAnsi="Times New Roman" w:cs="Times New Roman"/>
          <w:color w:val="000000"/>
          <w:sz w:val="24"/>
          <w:szCs w:val="24"/>
        </w:rPr>
        <w:t xml:space="preserve"> energy  (ΔH  in  J/g) corresponding  to  the  melting  point  of  DRUG A. DRUG B shows  a  broad  endothermic  peak  at another temperature (°C) representing the evaporation of water molecule from the  crystal  lattice  and  an  exothermic  event  was observed at different temperature (°C) which could be related to </w:t>
      </w:r>
      <w:proofErr w:type="spellStart"/>
      <w:r>
        <w:rPr>
          <w:rFonts w:ascii="Times New Roman" w:eastAsia="Times New Roman" w:hAnsi="Times New Roman" w:cs="Times New Roman"/>
          <w:color w:val="000000"/>
          <w:sz w:val="24"/>
          <w:szCs w:val="24"/>
        </w:rPr>
        <w:t>acrystalline</w:t>
      </w:r>
      <w:proofErr w:type="spellEnd"/>
      <w:r>
        <w:rPr>
          <w:rFonts w:ascii="Times New Roman" w:eastAsia="Times New Roman" w:hAnsi="Times New Roman" w:cs="Times New Roman"/>
          <w:color w:val="000000"/>
          <w:sz w:val="24"/>
          <w:szCs w:val="24"/>
        </w:rPr>
        <w:t xml:space="preserve">  state  transition.  DSC curves of the physical mixture have evidenced significant shifts </w:t>
      </w:r>
      <w:r>
        <w:rPr>
          <w:rFonts w:ascii="Times New Roman" w:eastAsia="Times New Roman" w:hAnsi="Times New Roman" w:cs="Times New Roman"/>
          <w:color w:val="000000"/>
          <w:sz w:val="24"/>
          <w:szCs w:val="24"/>
        </w:rPr>
        <w:lastRenderedPageBreak/>
        <w:t>of the endotherm compared to the endotherm of the pure drugs</w:t>
      </w:r>
      <w:r w:rsidR="00C21310">
        <w:rPr>
          <w:rFonts w:ascii="Times New Roman" w:eastAsia="Times New Roman" w:hAnsi="Times New Roman" w:cs="Times New Roman"/>
          <w:color w:val="000000"/>
          <w:sz w:val="24"/>
          <w:szCs w:val="24"/>
        </w:rPr>
        <w:t xml:space="preserve"> </w:t>
      </w:r>
      <w:proofErr w:type="gramStart"/>
      <w:r w:rsidR="00C21310">
        <w:rPr>
          <w:rFonts w:ascii="Times New Roman" w:eastAsia="Times New Roman" w:hAnsi="Times New Roman" w:cs="Times New Roman"/>
          <w:color w:val="000000"/>
          <w:sz w:val="24"/>
          <w:szCs w:val="24"/>
        </w:rPr>
        <w:t>(</w:t>
      </w:r>
      <w:r w:rsidR="00C21310" w:rsidRPr="00C21310">
        <w:t xml:space="preserve"> </w:t>
      </w:r>
      <w:r w:rsidR="00C21310" w:rsidRPr="00C21310">
        <w:rPr>
          <w:rFonts w:ascii="Times New Roman" w:eastAsia="Times New Roman" w:hAnsi="Times New Roman" w:cs="Times New Roman"/>
          <w:color w:val="000000"/>
          <w:sz w:val="24"/>
          <w:szCs w:val="24"/>
        </w:rPr>
        <w:t>Nabi</w:t>
      </w:r>
      <w:proofErr w:type="gramEnd"/>
      <w:r w:rsidR="00C21310" w:rsidRPr="00C21310">
        <w:rPr>
          <w:rFonts w:ascii="Times New Roman" w:eastAsia="Times New Roman" w:hAnsi="Times New Roman" w:cs="Times New Roman"/>
          <w:color w:val="000000"/>
          <w:sz w:val="24"/>
          <w:szCs w:val="24"/>
        </w:rPr>
        <w:t xml:space="preserve"> et al., 1974</w:t>
      </w:r>
      <w:r w:rsidR="00C21310">
        <w:rPr>
          <w:rFonts w:ascii="Times New Roman" w:eastAsia="Times New Roman" w:hAnsi="Times New Roman" w:cs="Times New Roman"/>
          <w:color w:val="000000"/>
          <w:sz w:val="24"/>
          <w:szCs w:val="24"/>
        </w:rPr>
        <w:t>;</w:t>
      </w:r>
      <w:r w:rsidR="00C21310" w:rsidRPr="00C21310">
        <w:t xml:space="preserve"> </w:t>
      </w:r>
      <w:proofErr w:type="spellStart"/>
      <w:r w:rsidR="00C21310" w:rsidRPr="00C21310">
        <w:rPr>
          <w:rFonts w:ascii="Times New Roman" w:eastAsia="Times New Roman" w:hAnsi="Times New Roman" w:cs="Times New Roman"/>
          <w:color w:val="000000"/>
          <w:sz w:val="24"/>
          <w:szCs w:val="24"/>
        </w:rPr>
        <w:t>Siraji</w:t>
      </w:r>
      <w:proofErr w:type="spellEnd"/>
      <w:r w:rsidR="00C21310" w:rsidRPr="00C21310">
        <w:rPr>
          <w:rFonts w:ascii="Times New Roman" w:eastAsia="Times New Roman" w:hAnsi="Times New Roman" w:cs="Times New Roman"/>
          <w:color w:val="000000"/>
          <w:sz w:val="24"/>
          <w:szCs w:val="24"/>
        </w:rPr>
        <w:t xml:space="preserve"> et al., 2011</w:t>
      </w:r>
      <w:r w:rsidR="00C21310">
        <w:rPr>
          <w:rFonts w:ascii="Times New Roman" w:eastAsia="Times New Roman" w:hAnsi="Times New Roman" w:cs="Times New Roman"/>
          <w:color w:val="000000"/>
          <w:sz w:val="24"/>
          <w:szCs w:val="24"/>
        </w:rPr>
        <w:t>).</w:t>
      </w:r>
    </w:p>
    <w:p w14:paraId="6153B360" w14:textId="77777777" w:rsidR="008219B1" w:rsidRDefault="0049121B">
      <w:pPr>
        <w:spacing w:after="0" w:line="360" w:lineRule="auto"/>
        <w:jc w:val="both"/>
        <w:rPr>
          <w:rFonts w:ascii="Times New Roman" w:eastAsia="Times New Roman" w:hAnsi="Times New Roman" w:cs="Times New Roman"/>
          <w:b/>
          <w:color w:val="000000"/>
          <w:sz w:val="24"/>
          <w:szCs w:val="24"/>
        </w:rPr>
      </w:pPr>
      <w:bookmarkStart w:id="9" w:name="_gmj13v1ec0ky" w:colFirst="0" w:colLast="0"/>
      <w:bookmarkEnd w:id="9"/>
      <w:r>
        <w:rPr>
          <w:rFonts w:ascii="Times New Roman" w:eastAsia="Times New Roman" w:hAnsi="Times New Roman" w:cs="Times New Roman"/>
          <w:b/>
          <w:color w:val="000000"/>
          <w:sz w:val="24"/>
          <w:szCs w:val="24"/>
        </w:rPr>
        <w:t>(vi) FTIR spectroscopic investigation</w:t>
      </w:r>
    </w:p>
    <w:p w14:paraId="63155D90" w14:textId="4AD6BCD8" w:rsidR="008219B1" w:rsidRDefault="0049121B">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FTIR (Fourier Transform Infrared) spectroscopic investigation is an analytical technique that uses infrared light to analyze the chemical structure and composition of materials by examining their unique vibrational and rotational </w:t>
      </w:r>
      <w:proofErr w:type="gramStart"/>
      <w:r>
        <w:rPr>
          <w:rFonts w:ascii="Times New Roman" w:eastAsia="Times New Roman" w:hAnsi="Times New Roman" w:cs="Times New Roman"/>
          <w:color w:val="000000"/>
          <w:sz w:val="24"/>
          <w:szCs w:val="24"/>
        </w:rPr>
        <w:t>spectra(</w:t>
      </w:r>
      <w:proofErr w:type="gramEnd"/>
      <w:r w:rsidR="00C21310" w:rsidRPr="00C21310">
        <w:rPr>
          <w:rFonts w:ascii="Times New Roman" w:eastAsia="Times New Roman" w:hAnsi="Times New Roman" w:cs="Times New Roman"/>
          <w:color w:val="000000"/>
          <w:sz w:val="24"/>
          <w:szCs w:val="24"/>
        </w:rPr>
        <w:t>Google, n.d.</w:t>
      </w:r>
      <w:r>
        <w:rPr>
          <w:rFonts w:ascii="Times New Roman" w:eastAsia="Times New Roman" w:hAnsi="Times New Roman" w:cs="Times New Roman"/>
          <w:color w:val="000000"/>
          <w:sz w:val="24"/>
          <w:szCs w:val="24"/>
        </w:rPr>
        <w:t>). The FTIR imaging determines the functional groups in the studied drugs (DRUG A and DRUG B) and in their 1:1 and 1:2 mixtures. The absorption frequency corresponding to important functional groups of DRUG A and DRUG B can be obtained. The FTIR spectra of DRUG A-DRUG B complexes were judged against those of the pure drugs</w:t>
      </w:r>
      <w:r w:rsidR="00C2131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r w:rsidR="00C21310" w:rsidRPr="00C21310">
        <w:rPr>
          <w:rFonts w:ascii="Times New Roman" w:eastAsia="Times New Roman" w:hAnsi="Times New Roman" w:cs="Times New Roman"/>
          <w:color w:val="000000"/>
          <w:sz w:val="24"/>
          <w:szCs w:val="24"/>
        </w:rPr>
        <w:t>Dun et al., 2013</w:t>
      </w:r>
      <w:r>
        <w:rPr>
          <w:rFonts w:ascii="Times New Roman" w:eastAsia="Times New Roman" w:hAnsi="Times New Roman" w:cs="Times New Roman"/>
          <w:color w:val="000000"/>
          <w:sz w:val="24"/>
          <w:szCs w:val="24"/>
        </w:rPr>
        <w:t>).</w:t>
      </w:r>
    </w:p>
    <w:p w14:paraId="45B34889" w14:textId="77777777" w:rsidR="008219B1" w:rsidRDefault="0049121B">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(vii) Thin layer Chromatography</w:t>
      </w:r>
    </w:p>
    <w:p w14:paraId="09F286D7" w14:textId="141D0D7A" w:rsidR="008219B1" w:rsidRDefault="0049121B">
      <w:pPr>
        <w:spacing w:after="0" w:line="360" w:lineRule="auto"/>
        <w:jc w:val="both"/>
        <w:rPr>
          <w:rFonts w:ascii="Times New Roman" w:eastAsia="Times New Roman" w:hAnsi="Times New Roman" w:cs="Times New Roman"/>
          <w:color w:val="000000"/>
          <w:sz w:val="24"/>
          <w:szCs w:val="24"/>
        </w:rPr>
      </w:pPr>
      <w:bookmarkStart w:id="10" w:name="_q2jofpad16gt" w:colFirst="0" w:colLast="0"/>
      <w:bookmarkEnd w:id="10"/>
      <w:r>
        <w:rPr>
          <w:rFonts w:ascii="Times New Roman" w:eastAsia="Times New Roman" w:hAnsi="Times New Roman" w:cs="Times New Roman"/>
          <w:color w:val="000000"/>
          <w:sz w:val="24"/>
          <w:szCs w:val="24"/>
        </w:rPr>
        <w:t xml:space="preserve">Thin Layer Chromatography technology (TLC) is useful to separate a complex that has been formed as a result of interaction between two species. TLC typically employs a plate covered with silica gel, which serves as the stationary phase. The plate </w:t>
      </w:r>
      <w:proofErr w:type="spellStart"/>
      <w:proofErr w:type="gramStart"/>
      <w:r>
        <w:rPr>
          <w:rFonts w:ascii="Times New Roman" w:eastAsia="Times New Roman" w:hAnsi="Times New Roman" w:cs="Times New Roman"/>
          <w:color w:val="000000"/>
          <w:sz w:val="24"/>
          <w:szCs w:val="24"/>
        </w:rPr>
        <w:t>is“</w:t>
      </w:r>
      <w:proofErr w:type="gramEnd"/>
      <w:r>
        <w:rPr>
          <w:rFonts w:ascii="Times New Roman" w:eastAsia="Times New Roman" w:hAnsi="Times New Roman" w:cs="Times New Roman"/>
          <w:color w:val="000000"/>
          <w:sz w:val="24"/>
          <w:szCs w:val="24"/>
        </w:rPr>
        <w:t>spotted</w:t>
      </w:r>
      <w:proofErr w:type="spellEnd"/>
      <w:r>
        <w:rPr>
          <w:rFonts w:ascii="Times New Roman" w:eastAsia="Times New Roman" w:hAnsi="Times New Roman" w:cs="Times New Roman"/>
          <w:color w:val="000000"/>
          <w:sz w:val="24"/>
          <w:szCs w:val="24"/>
        </w:rPr>
        <w:t xml:space="preserve">” with sample solution, then placed in a jar with the appropriate solvent. Because of capillary action the solvent rises along the plate and elutes the species at different rates depending on the individual polarity. Multiple solvents are employed in order to get higher resolution of separation. The separation process is determined by the </w:t>
      </w:r>
      <w:r>
        <w:rPr>
          <w:rFonts w:ascii="Times New Roman" w:eastAsia="Times New Roman" w:hAnsi="Times New Roman" w:cs="Times New Roman"/>
          <w:color w:val="000000"/>
          <w:sz w:val="24"/>
          <w:szCs w:val="24"/>
          <w:highlight w:val="yellow"/>
        </w:rPr>
        <w:t>respective affinities of the components</w:t>
      </w:r>
      <w:r w:rsidR="005C59F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for the stationary and mobile phases. Compounds travel along the surface of the stationary phase when the TLC plate is run in solvent. Compounds with higher affinity for the stationary phase move more slowly through the plate. Furthermore, molecules with a higher affinity for the mobile phase move faster than others. Distinct spots were visualized and identified with the help of a hand-held UV light (long and short wave) as well as with the use of iodine chamber. The R</w:t>
      </w:r>
      <w:r>
        <w:rPr>
          <w:rFonts w:ascii="Times New Roman" w:eastAsia="Times New Roman" w:hAnsi="Times New Roman" w:cs="Times New Roman"/>
          <w:color w:val="000000"/>
          <w:sz w:val="24"/>
          <w:szCs w:val="24"/>
          <w:vertAlign w:val="subscript"/>
        </w:rPr>
        <w:t>f</w:t>
      </w:r>
      <w:r>
        <w:rPr>
          <w:rFonts w:ascii="Times New Roman" w:eastAsia="Times New Roman" w:hAnsi="Times New Roman" w:cs="Times New Roman"/>
          <w:color w:val="000000"/>
          <w:sz w:val="24"/>
          <w:szCs w:val="24"/>
        </w:rPr>
        <w:t xml:space="preserve"> values are calculated and used to confirm the identity of the chemical species (</w:t>
      </w:r>
      <w:r w:rsidR="00C21310" w:rsidRPr="00C21310">
        <w:rPr>
          <w:rFonts w:ascii="Times New Roman" w:eastAsia="Times New Roman" w:hAnsi="Times New Roman" w:cs="Times New Roman"/>
          <w:color w:val="000000"/>
          <w:sz w:val="24"/>
          <w:szCs w:val="24"/>
        </w:rPr>
        <w:t>Aktar et al., 2021</w:t>
      </w:r>
      <w:r>
        <w:rPr>
          <w:rFonts w:ascii="Times New Roman" w:eastAsia="Times New Roman" w:hAnsi="Times New Roman" w:cs="Times New Roman"/>
          <w:color w:val="000000"/>
          <w:sz w:val="24"/>
          <w:szCs w:val="24"/>
        </w:rPr>
        <w:t>).</w:t>
      </w:r>
    </w:p>
    <w:p w14:paraId="382B9C21" w14:textId="77777777" w:rsidR="008219B1" w:rsidRDefault="0049121B">
      <w:pPr>
        <w:spacing w:after="0" w:line="360" w:lineRule="auto"/>
        <w:jc w:val="both"/>
        <w:rPr>
          <w:rFonts w:ascii="Times New Roman" w:eastAsia="Times New Roman" w:hAnsi="Times New Roman" w:cs="Times New Roman"/>
          <w:b/>
          <w:color w:val="000000"/>
          <w:sz w:val="24"/>
          <w:szCs w:val="24"/>
        </w:rPr>
      </w:pPr>
      <w:bookmarkStart w:id="11" w:name="_33xhpnd236k0" w:colFirst="0" w:colLast="0"/>
      <w:bookmarkEnd w:id="11"/>
      <w:r>
        <w:rPr>
          <w:rFonts w:ascii="Times New Roman" w:eastAsia="Times New Roman" w:hAnsi="Times New Roman" w:cs="Times New Roman"/>
          <w:b/>
          <w:color w:val="000000"/>
          <w:sz w:val="24"/>
          <w:szCs w:val="24"/>
        </w:rPr>
        <w:t>(viii) Fluorescence spectroscopy</w:t>
      </w:r>
    </w:p>
    <w:p w14:paraId="7C117666" w14:textId="21B7CDD8" w:rsidR="008219B1" w:rsidRDefault="0049121B">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By using variations in fluorescence intensity, wavelength shifts, or quenching effects, fluorescence spectroscopy can identify and analyze chemical interactions. It works on the basis of the idea that certain molecules produce light when excited by a particular wavelength. Drug–drug interactions (DDIs), particularly those involving protein binding or competition for biological macromolecules, are ideally studied using this approach. Fluorescence spectroscopy is frequently employed in DDI </w:t>
      </w:r>
      <w:r>
        <w:rPr>
          <w:rFonts w:ascii="Times New Roman" w:eastAsia="Times New Roman" w:hAnsi="Times New Roman" w:cs="Times New Roman"/>
          <w:color w:val="000000"/>
          <w:sz w:val="24"/>
          <w:szCs w:val="24"/>
        </w:rPr>
        <w:lastRenderedPageBreak/>
        <w:t>research to track the effects of one drug on another's ability to bind to proteins, such as serum albumins. Fluorescence spectroscopy was employed to examine the interaction between tannin and bovine serum albumin (BSA), identifying hydrophobic interactions and a stationary state elimination process. Such studies highlight fluorescence spectroscopy’s utility in revealing molecular-level changes and potential pharmacokinetic consequences of DDIs. In another study, Fluorescence spectroscopy was used to study the binding of gefitinib (GEF) to human serum albumin (HSA), revealing a static quenching mechanism and moderate binding affinity (Ka = 1.70 × 10⁴ M⁻¹). The decrease in Stern–Volmer constants with temperature confirmed static quenching, while thermodynamic data suggested hydrophobic and hydrogen bonding interactions. This example shows how fluorescence spectroscopy helps identify binding strength, quenching type, and interaction sites—key aspects in drug–drug interaction analysis (</w:t>
      </w:r>
      <w:r w:rsidR="008269EE" w:rsidRPr="008269EE">
        <w:rPr>
          <w:rFonts w:ascii="Times New Roman" w:eastAsia="Times New Roman" w:hAnsi="Times New Roman" w:cs="Times New Roman"/>
          <w:color w:val="000000"/>
          <w:sz w:val="24"/>
          <w:szCs w:val="24"/>
        </w:rPr>
        <w:t>Kabir et al., 2016</w:t>
      </w:r>
      <w:r>
        <w:rPr>
          <w:rFonts w:ascii="Times New Roman" w:eastAsia="Times New Roman" w:hAnsi="Times New Roman" w:cs="Times New Roman"/>
          <w:color w:val="000000"/>
          <w:sz w:val="24"/>
          <w:szCs w:val="24"/>
        </w:rPr>
        <w:t>).</w:t>
      </w:r>
    </w:p>
    <w:p w14:paraId="44F83425" w14:textId="77777777" w:rsidR="008219B1" w:rsidRDefault="0049121B">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(ix) HPLC</w:t>
      </w:r>
    </w:p>
    <w:p w14:paraId="00F54A7C" w14:textId="3185CD06" w:rsidR="008219B1" w:rsidRDefault="0049121B">
      <w:pPr>
        <w:spacing w:after="0" w:line="360" w:lineRule="auto"/>
        <w:jc w:val="both"/>
        <w:rPr>
          <w:rFonts w:ascii="Times New Roman" w:eastAsia="Times New Roman" w:hAnsi="Times New Roman" w:cs="Times New Roman"/>
          <w:sz w:val="24"/>
          <w:szCs w:val="24"/>
          <w:highlight w:val="yellow"/>
        </w:rPr>
      </w:pPr>
      <w:bookmarkStart w:id="12" w:name="_ndxiy0l5nsa9" w:colFirst="0" w:colLast="0"/>
      <w:bookmarkEnd w:id="12"/>
      <w:r>
        <w:rPr>
          <w:rFonts w:ascii="Times New Roman" w:eastAsia="Times New Roman" w:hAnsi="Times New Roman" w:cs="Times New Roman"/>
          <w:sz w:val="24"/>
          <w:szCs w:val="24"/>
        </w:rPr>
        <w:t>Drugs and their metabolites can be precisely separated, identified, and quantified using high-performance liquid chromatography (HPLC), an analytical method based on the differential partitioning of substances between a mobile phase and a stationary phase. When two or more medications are supplied together, it is often used in DDI studies to track changes in drug concentrations. High sensitivity and selectivity can be attained by HPLC, depending on the detection system (e.g., UV, fluorescence, or mass spectrometry). For example, HPLC techniques have been extensively used to evaluate the effects of different substances on the plasma levels of medications that are provided together, exposing quantifiable pharmacokinetic changes. These studies demonstrate how effective HPLC is in quantitatively evaluating DDIs in preclinical and clinical contexts. In a study, An HPLC method with UV detection was developed to study the drug–drug interaction between sildenafil (SDF) and tramadol (TMD) in rabbit plasma following oral co-administration. Using a C18 column and a phosphate buffer–acetonitrile mobile phase, the method enabled simultaneous quantification of both drugs with high sensitivity (LOD: 0.05 </w:t>
      </w:r>
      <w:proofErr w:type="spellStart"/>
      <w:r>
        <w:rPr>
          <w:rFonts w:ascii="Times New Roman" w:eastAsia="Times New Roman" w:hAnsi="Times New Roman" w:cs="Times New Roman"/>
          <w:sz w:val="24"/>
          <w:szCs w:val="24"/>
        </w:rPr>
        <w:t>μg</w:t>
      </w:r>
      <w:proofErr w:type="spellEnd"/>
      <w:r>
        <w:rPr>
          <w:rFonts w:ascii="Times New Roman" w:eastAsia="Times New Roman" w:hAnsi="Times New Roman" w:cs="Times New Roman"/>
          <w:sz w:val="24"/>
          <w:szCs w:val="24"/>
        </w:rPr>
        <w:t>/mL for TMD and 0.02 </w:t>
      </w:r>
      <w:proofErr w:type="spellStart"/>
      <w:r>
        <w:rPr>
          <w:rFonts w:ascii="Times New Roman" w:eastAsia="Times New Roman" w:hAnsi="Times New Roman" w:cs="Times New Roman"/>
          <w:sz w:val="24"/>
          <w:szCs w:val="24"/>
        </w:rPr>
        <w:t>μg</w:t>
      </w:r>
      <w:proofErr w:type="spellEnd"/>
      <w:r>
        <w:rPr>
          <w:rFonts w:ascii="Times New Roman" w:eastAsia="Times New Roman" w:hAnsi="Times New Roman" w:cs="Times New Roman"/>
          <w:sz w:val="24"/>
          <w:szCs w:val="24"/>
        </w:rPr>
        <w:t xml:space="preserve">/mL for SDF). Pharmacokinetic analysis showed that TMD altered SDF’s </w:t>
      </w:r>
      <w:proofErr w:type="spellStart"/>
      <w:r>
        <w:rPr>
          <w:rFonts w:ascii="Times New Roman" w:eastAsia="Times New Roman" w:hAnsi="Times New Roman" w:cs="Times New Roman"/>
          <w:sz w:val="24"/>
          <w:szCs w:val="24"/>
        </w:rPr>
        <w:t>Cmax</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Tmax</w:t>
      </w:r>
      <w:proofErr w:type="spellEnd"/>
      <w:r>
        <w:rPr>
          <w:rFonts w:ascii="Times New Roman" w:eastAsia="Times New Roman" w:hAnsi="Times New Roman" w:cs="Times New Roman"/>
          <w:sz w:val="24"/>
          <w:szCs w:val="24"/>
        </w:rPr>
        <w:t xml:space="preserve">, AUC, and elimination rate, indicating a significant interaction. This study demonstrates HPLC’s strength in quantifying co-administered drugs and evaluating in vivo pharmacokinetic changes in DDI research </w:t>
      </w:r>
      <w:r>
        <w:rPr>
          <w:rFonts w:ascii="Times New Roman" w:eastAsia="Times New Roman" w:hAnsi="Times New Roman" w:cs="Times New Roman"/>
          <w:color w:val="000000"/>
          <w:sz w:val="24"/>
          <w:szCs w:val="24"/>
        </w:rPr>
        <w:t>(</w:t>
      </w:r>
      <w:proofErr w:type="spellStart"/>
      <w:r w:rsidR="008269EE" w:rsidRPr="008269EE">
        <w:rPr>
          <w:rFonts w:ascii="Times New Roman" w:eastAsia="Times New Roman" w:hAnsi="Times New Roman" w:cs="Times New Roman"/>
          <w:color w:val="000000"/>
          <w:sz w:val="24"/>
          <w:szCs w:val="24"/>
        </w:rPr>
        <w:t>Dahshan</w:t>
      </w:r>
      <w:proofErr w:type="spellEnd"/>
      <w:r w:rsidR="008269EE" w:rsidRPr="008269EE">
        <w:rPr>
          <w:rFonts w:ascii="Times New Roman" w:eastAsia="Times New Roman" w:hAnsi="Times New Roman" w:cs="Times New Roman"/>
          <w:color w:val="000000"/>
          <w:sz w:val="24"/>
          <w:szCs w:val="24"/>
        </w:rPr>
        <w:t xml:space="preserve"> et al., 2019</w:t>
      </w:r>
      <w:proofErr w:type="gramStart"/>
      <w:r>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z w:val="24"/>
          <w:szCs w:val="24"/>
          <w:highlight w:val="yellow"/>
        </w:rPr>
        <w:t>An</w:t>
      </w:r>
      <w:proofErr w:type="gramEnd"/>
      <w:r>
        <w:rPr>
          <w:rFonts w:ascii="Times New Roman" w:eastAsia="Times New Roman" w:hAnsi="Times New Roman" w:cs="Times New Roman"/>
          <w:sz w:val="24"/>
          <w:szCs w:val="24"/>
          <w:highlight w:val="yellow"/>
        </w:rPr>
        <w:t xml:space="preserve"> additional</w:t>
      </w:r>
      <w:r>
        <w:rPr>
          <w:rFonts w:ascii="Times New Roman" w:eastAsia="Times New Roman" w:hAnsi="Times New Roman" w:cs="Times New Roman"/>
          <w:sz w:val="24"/>
          <w:szCs w:val="24"/>
        </w:rPr>
        <w:t xml:space="preserve"> RP-HPLC Method </w:t>
      </w:r>
      <w:r>
        <w:rPr>
          <w:rFonts w:ascii="Times New Roman" w:eastAsia="Times New Roman" w:hAnsi="Times New Roman" w:cs="Times New Roman"/>
          <w:sz w:val="24"/>
          <w:szCs w:val="24"/>
        </w:rPr>
        <w:lastRenderedPageBreak/>
        <w:t xml:space="preserve">for the Quantification of Omeprazole in Pharmaceutical Dosage Form </w:t>
      </w:r>
      <w:r>
        <w:rPr>
          <w:rFonts w:ascii="Times New Roman" w:eastAsia="Times New Roman" w:hAnsi="Times New Roman" w:cs="Times New Roman"/>
          <w:sz w:val="24"/>
          <w:szCs w:val="24"/>
          <w:highlight w:val="yellow"/>
        </w:rPr>
        <w:t>was established</w:t>
      </w:r>
      <w:r>
        <w:rPr>
          <w:rFonts w:ascii="Times New Roman" w:eastAsia="Times New Roman" w:hAnsi="Times New Roman" w:cs="Times New Roman"/>
          <w:sz w:val="24"/>
          <w:szCs w:val="24"/>
        </w:rPr>
        <w:t xml:space="preserve"> and validated </w:t>
      </w:r>
      <w:r>
        <w:rPr>
          <w:rFonts w:ascii="Times New Roman" w:eastAsia="Times New Roman" w:hAnsi="Times New Roman" w:cs="Times New Roman"/>
          <w:sz w:val="24"/>
          <w:szCs w:val="24"/>
          <w:highlight w:val="yellow"/>
        </w:rPr>
        <w:t xml:space="preserve">for the purpose of </w:t>
      </w:r>
      <w:proofErr w:type="spellStart"/>
      <w:r>
        <w:rPr>
          <w:rFonts w:ascii="Times New Roman" w:eastAsia="Times New Roman" w:hAnsi="Times New Roman" w:cs="Times New Roman"/>
          <w:sz w:val="24"/>
          <w:szCs w:val="24"/>
          <w:highlight w:val="yellow"/>
        </w:rPr>
        <w:t>analy</w:t>
      </w:r>
      <w:r w:rsidR="00DB0A42">
        <w:rPr>
          <w:rFonts w:ascii="Times New Roman" w:eastAsia="Times New Roman" w:hAnsi="Times New Roman" w:cs="Times New Roman"/>
          <w:sz w:val="24"/>
          <w:szCs w:val="24"/>
          <w:highlight w:val="yellow"/>
        </w:rPr>
        <w:t>s</w:t>
      </w:r>
      <w:r>
        <w:rPr>
          <w:rFonts w:ascii="Times New Roman" w:eastAsia="Times New Roman" w:hAnsi="Times New Roman" w:cs="Times New Roman"/>
          <w:sz w:val="24"/>
          <w:szCs w:val="24"/>
          <w:highlight w:val="yellow"/>
        </w:rPr>
        <w:t>ing</w:t>
      </w:r>
      <w:proofErr w:type="spellEnd"/>
      <w:r>
        <w:rPr>
          <w:rFonts w:ascii="Times New Roman" w:eastAsia="Times New Roman" w:hAnsi="Times New Roman" w:cs="Times New Roman"/>
          <w:sz w:val="24"/>
          <w:szCs w:val="24"/>
          <w:highlight w:val="yellow"/>
        </w:rPr>
        <w:t xml:space="preserve"> drug-drug interaction</w:t>
      </w:r>
      <w:r>
        <w:rPr>
          <w:rFonts w:ascii="Times New Roman" w:eastAsia="Times New Roman" w:hAnsi="Times New Roman" w:cs="Times New Roman"/>
          <w:color w:val="000000"/>
          <w:sz w:val="24"/>
          <w:szCs w:val="24"/>
          <w:highlight w:val="yellow"/>
        </w:rPr>
        <w:t>(</w:t>
      </w:r>
      <w:proofErr w:type="spellStart"/>
      <w:r w:rsidR="008269EE" w:rsidRPr="008269EE">
        <w:rPr>
          <w:rFonts w:ascii="Times New Roman" w:eastAsia="Times New Roman" w:hAnsi="Times New Roman" w:cs="Times New Roman"/>
          <w:color w:val="000000"/>
          <w:sz w:val="24"/>
          <w:szCs w:val="24"/>
          <w:highlight w:val="yellow"/>
        </w:rPr>
        <w:t>Kayesh</w:t>
      </w:r>
      <w:proofErr w:type="spellEnd"/>
      <w:r w:rsidR="008269EE" w:rsidRPr="008269EE">
        <w:rPr>
          <w:rFonts w:ascii="Times New Roman" w:eastAsia="Times New Roman" w:hAnsi="Times New Roman" w:cs="Times New Roman"/>
          <w:color w:val="000000"/>
          <w:sz w:val="24"/>
          <w:szCs w:val="24"/>
          <w:highlight w:val="yellow"/>
        </w:rPr>
        <w:t xml:space="preserve"> et al., 2013</w:t>
      </w:r>
      <w:r>
        <w:rPr>
          <w:rFonts w:ascii="Times New Roman" w:eastAsia="Times New Roman" w:hAnsi="Times New Roman" w:cs="Times New Roman"/>
          <w:color w:val="000000"/>
          <w:sz w:val="24"/>
          <w:szCs w:val="24"/>
          <w:highlight w:val="yellow"/>
        </w:rPr>
        <w:t xml:space="preserve">). </w:t>
      </w:r>
    </w:p>
    <w:p w14:paraId="5D371EC2" w14:textId="77777777" w:rsidR="008219B1" w:rsidRDefault="008219B1">
      <w:pPr>
        <w:spacing w:after="0" w:line="360" w:lineRule="auto"/>
        <w:jc w:val="both"/>
        <w:rPr>
          <w:rFonts w:ascii="Times New Roman" w:eastAsia="Times New Roman" w:hAnsi="Times New Roman" w:cs="Times New Roman"/>
          <w:sz w:val="24"/>
          <w:szCs w:val="24"/>
        </w:rPr>
      </w:pPr>
    </w:p>
    <w:p w14:paraId="26A3DCA9" w14:textId="77777777" w:rsidR="008219B1" w:rsidRDefault="0049121B">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i/>
          <w:color w:val="000000"/>
          <w:sz w:val="24"/>
          <w:szCs w:val="24"/>
        </w:rPr>
        <w:t xml:space="preserve">In vivo </w:t>
      </w:r>
      <w:r>
        <w:rPr>
          <w:rFonts w:ascii="Times New Roman" w:eastAsia="Times New Roman" w:hAnsi="Times New Roman" w:cs="Times New Roman"/>
          <w:b/>
          <w:color w:val="000000"/>
          <w:sz w:val="24"/>
          <w:szCs w:val="24"/>
        </w:rPr>
        <w:t>methods</w:t>
      </w:r>
    </w:p>
    <w:p w14:paraId="7754F8B6" w14:textId="26993EB1" w:rsidR="008219B1" w:rsidRDefault="0049121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w:t>
      </w:r>
      <w:r>
        <w:rPr>
          <w:rFonts w:ascii="Times New Roman" w:eastAsia="Times New Roman" w:hAnsi="Times New Roman" w:cs="Times New Roman"/>
          <w:i/>
          <w:sz w:val="24"/>
          <w:szCs w:val="24"/>
        </w:rPr>
        <w:t>in vivo</w:t>
      </w:r>
      <w:r>
        <w:rPr>
          <w:rFonts w:ascii="Times New Roman" w:eastAsia="Times New Roman" w:hAnsi="Times New Roman" w:cs="Times New Roman"/>
          <w:sz w:val="24"/>
          <w:szCs w:val="24"/>
        </w:rPr>
        <w:t xml:space="preserve"> studies</w:t>
      </w:r>
      <w:r>
        <w:rPr>
          <w:rFonts w:ascii="Times New Roman" w:eastAsia="Times New Roman" w:hAnsi="Times New Roman" w:cs="Times New Roman"/>
          <w:color w:val="000000"/>
          <w:sz w:val="24"/>
          <w:szCs w:val="24"/>
        </w:rPr>
        <w:t>(</w:t>
      </w:r>
      <w:r w:rsidR="00D56D95" w:rsidRPr="00D56D95">
        <w:rPr>
          <w:rFonts w:ascii="Times New Roman" w:eastAsia="Times New Roman" w:hAnsi="Times New Roman" w:cs="Times New Roman"/>
          <w:color w:val="000000"/>
          <w:sz w:val="24"/>
          <w:szCs w:val="24"/>
        </w:rPr>
        <w:t>Amran et al., 200</w:t>
      </w:r>
      <w:r w:rsidR="00D56D95">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 xml:space="preserve"> young healthy animals (mice, rats, guinea pigs, rabbits etc.)having different body weights</w:t>
      </w:r>
      <w:r w:rsidR="0086254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are </w:t>
      </w:r>
      <w:proofErr w:type="spellStart"/>
      <w:r>
        <w:rPr>
          <w:rFonts w:ascii="Times New Roman" w:eastAsia="Times New Roman" w:hAnsi="Times New Roman" w:cs="Times New Roman"/>
          <w:sz w:val="24"/>
          <w:szCs w:val="24"/>
        </w:rPr>
        <w:t>used.</w:t>
      </w:r>
      <w:r>
        <w:rPr>
          <w:rFonts w:ascii="Times New Roman" w:eastAsia="Times New Roman" w:hAnsi="Times New Roman" w:cs="Times New Roman"/>
          <w:sz w:val="24"/>
          <w:szCs w:val="24"/>
          <w:highlight w:val="yellow"/>
        </w:rPr>
        <w:t>Pentobarbital</w:t>
      </w:r>
      <w:proofErr w:type="spellEnd"/>
      <w:r>
        <w:rPr>
          <w:rFonts w:ascii="Times New Roman" w:eastAsia="Times New Roman" w:hAnsi="Times New Roman" w:cs="Times New Roman"/>
          <w:sz w:val="24"/>
          <w:szCs w:val="24"/>
          <w:highlight w:val="yellow"/>
        </w:rPr>
        <w:t xml:space="preserve"> sodium (50 mg/kg) is injected intraperitoneally to anesthetize the </w:t>
      </w:r>
      <w:proofErr w:type="spellStart"/>
      <w:r>
        <w:rPr>
          <w:rFonts w:ascii="Times New Roman" w:eastAsia="Times New Roman" w:hAnsi="Times New Roman" w:cs="Times New Roman"/>
          <w:sz w:val="24"/>
          <w:szCs w:val="24"/>
          <w:highlight w:val="yellow"/>
        </w:rPr>
        <w:t>animals.Artificial</w:t>
      </w:r>
      <w:proofErr w:type="spellEnd"/>
      <w:r>
        <w:rPr>
          <w:rFonts w:ascii="Times New Roman" w:eastAsia="Times New Roman" w:hAnsi="Times New Roman" w:cs="Times New Roman"/>
          <w:sz w:val="24"/>
          <w:szCs w:val="24"/>
          <w:highlight w:val="yellow"/>
        </w:rPr>
        <w:t xml:space="preserve"> ventilation through the tracheal cannula maintains respiration in order to keep pCO2, pO2 and pH at a normal </w:t>
      </w:r>
      <w:proofErr w:type="spellStart"/>
      <w:r>
        <w:rPr>
          <w:rFonts w:ascii="Times New Roman" w:eastAsia="Times New Roman" w:hAnsi="Times New Roman" w:cs="Times New Roman"/>
          <w:sz w:val="24"/>
          <w:szCs w:val="24"/>
          <w:highlight w:val="yellow"/>
        </w:rPr>
        <w:t>level</w:t>
      </w:r>
      <w:r>
        <w:rPr>
          <w:rFonts w:ascii="Times New Roman" w:eastAsia="Times New Roman" w:hAnsi="Times New Roman" w:cs="Times New Roman"/>
          <w:sz w:val="24"/>
          <w:szCs w:val="24"/>
        </w:rPr>
        <w:t>.</w:t>
      </w:r>
      <w:r>
        <w:rPr>
          <w:rFonts w:ascii="Times New Roman" w:eastAsia="Times New Roman" w:hAnsi="Times New Roman" w:cs="Times New Roman"/>
          <w:sz w:val="24"/>
          <w:szCs w:val="24"/>
          <w:highlight w:val="yellow"/>
        </w:rPr>
        <w:t>Drug</w:t>
      </w:r>
      <w:proofErr w:type="spellEnd"/>
      <w:r>
        <w:rPr>
          <w:rFonts w:ascii="Times New Roman" w:eastAsia="Times New Roman" w:hAnsi="Times New Roman" w:cs="Times New Roman"/>
          <w:sz w:val="24"/>
          <w:szCs w:val="24"/>
          <w:highlight w:val="yellow"/>
        </w:rPr>
        <w:t xml:space="preserve"> administration is carried out by inserting a polyethylene tube into the left femoral </w:t>
      </w:r>
      <w:proofErr w:type="spellStart"/>
      <w:r>
        <w:rPr>
          <w:rFonts w:ascii="Times New Roman" w:eastAsia="Times New Roman" w:hAnsi="Times New Roman" w:cs="Times New Roman"/>
          <w:sz w:val="24"/>
          <w:szCs w:val="24"/>
          <w:highlight w:val="yellow"/>
        </w:rPr>
        <w:t>vein</w:t>
      </w:r>
      <w:r>
        <w:rPr>
          <w:rFonts w:ascii="Times New Roman" w:eastAsia="Times New Roman" w:hAnsi="Times New Roman" w:cs="Times New Roman"/>
          <w:sz w:val="24"/>
          <w:szCs w:val="24"/>
        </w:rPr>
        <w:t>.</w:t>
      </w:r>
      <w:r>
        <w:rPr>
          <w:rFonts w:ascii="Times New Roman" w:eastAsia="Times New Roman" w:hAnsi="Times New Roman" w:cs="Times New Roman"/>
          <w:sz w:val="24"/>
          <w:szCs w:val="24"/>
          <w:highlight w:val="yellow"/>
        </w:rPr>
        <w:t>To</w:t>
      </w:r>
      <w:proofErr w:type="spellEnd"/>
      <w:r>
        <w:rPr>
          <w:rFonts w:ascii="Times New Roman" w:eastAsia="Times New Roman" w:hAnsi="Times New Roman" w:cs="Times New Roman"/>
          <w:sz w:val="24"/>
          <w:szCs w:val="24"/>
          <w:highlight w:val="yellow"/>
        </w:rPr>
        <w:t xml:space="preserve"> check the blood </w:t>
      </w:r>
      <w:proofErr w:type="spellStart"/>
      <w:r>
        <w:rPr>
          <w:rFonts w:ascii="Times New Roman" w:eastAsia="Times New Roman" w:hAnsi="Times New Roman" w:cs="Times New Roman"/>
          <w:sz w:val="24"/>
          <w:szCs w:val="24"/>
          <w:highlight w:val="yellow"/>
        </w:rPr>
        <w:t>pressure,a</w:t>
      </w:r>
      <w:proofErr w:type="spellEnd"/>
      <w:r>
        <w:rPr>
          <w:rFonts w:ascii="Times New Roman" w:eastAsia="Times New Roman" w:hAnsi="Times New Roman" w:cs="Times New Roman"/>
          <w:sz w:val="24"/>
          <w:szCs w:val="24"/>
          <w:highlight w:val="yellow"/>
        </w:rPr>
        <w:t xml:space="preserve"> mercury manometer is attached to the cannulated common carotid </w:t>
      </w:r>
      <w:proofErr w:type="spellStart"/>
      <w:r>
        <w:rPr>
          <w:rFonts w:ascii="Times New Roman" w:eastAsia="Times New Roman" w:hAnsi="Times New Roman" w:cs="Times New Roman"/>
          <w:sz w:val="24"/>
          <w:szCs w:val="24"/>
          <w:highlight w:val="yellow"/>
        </w:rPr>
        <w:t>artery.After</w:t>
      </w:r>
      <w:proofErr w:type="spellEnd"/>
      <w:r>
        <w:rPr>
          <w:rFonts w:ascii="Times New Roman" w:eastAsia="Times New Roman" w:hAnsi="Times New Roman" w:cs="Times New Roman"/>
          <w:sz w:val="24"/>
          <w:szCs w:val="24"/>
          <w:highlight w:val="yellow"/>
        </w:rPr>
        <w:t xml:space="preserve"> </w:t>
      </w:r>
      <w:proofErr w:type="spellStart"/>
      <w:r>
        <w:rPr>
          <w:rFonts w:ascii="Times New Roman" w:eastAsia="Times New Roman" w:hAnsi="Times New Roman" w:cs="Times New Roman"/>
          <w:sz w:val="24"/>
          <w:szCs w:val="24"/>
          <w:highlight w:val="yellow"/>
        </w:rPr>
        <w:t>stabilising</w:t>
      </w:r>
      <w:proofErr w:type="spellEnd"/>
      <w:r>
        <w:rPr>
          <w:rFonts w:ascii="Times New Roman" w:eastAsia="Times New Roman" w:hAnsi="Times New Roman" w:cs="Times New Roman"/>
          <w:sz w:val="24"/>
          <w:szCs w:val="24"/>
          <w:highlight w:val="yellow"/>
        </w:rPr>
        <w:t xml:space="preserve"> for 15 minutes, 0.5 ml of saline is administered as a vehicle or control, and normal blood pressure is </w:t>
      </w:r>
      <w:proofErr w:type="spellStart"/>
      <w:r>
        <w:rPr>
          <w:rFonts w:ascii="Times New Roman" w:eastAsia="Times New Roman" w:hAnsi="Times New Roman" w:cs="Times New Roman"/>
          <w:sz w:val="24"/>
          <w:szCs w:val="24"/>
          <w:highlight w:val="yellow"/>
        </w:rPr>
        <w:t>noted.A</w:t>
      </w:r>
      <w:proofErr w:type="spellEnd"/>
      <w:r>
        <w:rPr>
          <w:rFonts w:ascii="Times New Roman" w:eastAsia="Times New Roman" w:hAnsi="Times New Roman" w:cs="Times New Roman"/>
          <w:sz w:val="24"/>
          <w:szCs w:val="24"/>
          <w:highlight w:val="yellow"/>
        </w:rPr>
        <w:t xml:space="preserve"> dose equivalent to 1 milligram per kilogram of body weight of DRUG A, along with equal mixtures(1:1) of DRUG A + DRUG B and DRUG A+ DRUG C, are intravenously injected as bolus doses through the femoral vein into separate groups for each dose of the vehicle or drugs, and the resulting blood pressure responses are </w:t>
      </w:r>
      <w:proofErr w:type="spellStart"/>
      <w:r>
        <w:rPr>
          <w:rFonts w:ascii="Times New Roman" w:eastAsia="Times New Roman" w:hAnsi="Times New Roman" w:cs="Times New Roman"/>
          <w:sz w:val="24"/>
          <w:szCs w:val="24"/>
          <w:highlight w:val="yellow"/>
        </w:rPr>
        <w:t>noted.Only</w:t>
      </w:r>
      <w:proofErr w:type="spellEnd"/>
      <w:r>
        <w:rPr>
          <w:rFonts w:ascii="Times New Roman" w:eastAsia="Times New Roman" w:hAnsi="Times New Roman" w:cs="Times New Roman"/>
          <w:sz w:val="24"/>
          <w:szCs w:val="24"/>
          <w:highlight w:val="yellow"/>
        </w:rPr>
        <w:t xml:space="preserve"> a single dose (treatment) of either the vehicle or any of the drugs was given to each animal </w:t>
      </w:r>
      <w:r w:rsidR="00A317F9">
        <w:rPr>
          <w:rFonts w:ascii="Times New Roman" w:eastAsia="Times New Roman" w:hAnsi="Times New Roman" w:cs="Times New Roman"/>
          <w:sz w:val="24"/>
          <w:szCs w:val="24"/>
        </w:rPr>
        <w:t>(</w:t>
      </w:r>
      <w:r w:rsidR="00A317F9" w:rsidRPr="00A317F9">
        <w:t xml:space="preserve"> </w:t>
      </w:r>
      <w:r w:rsidR="00A317F9" w:rsidRPr="00A317F9">
        <w:rPr>
          <w:rFonts w:ascii="Times New Roman" w:eastAsia="Times New Roman" w:hAnsi="Times New Roman" w:cs="Times New Roman"/>
          <w:sz w:val="24"/>
          <w:szCs w:val="24"/>
        </w:rPr>
        <w:t>Sayeed &amp; Rana, 2013</w:t>
      </w:r>
      <w:r w:rsidR="00A317F9">
        <w:rPr>
          <w:rFonts w:ascii="Times New Roman" w:eastAsia="Times New Roman" w:hAnsi="Times New Roman" w:cs="Times New Roman"/>
          <w:sz w:val="24"/>
          <w:szCs w:val="24"/>
        </w:rPr>
        <w:t>;</w:t>
      </w:r>
      <w:r w:rsidR="00A317F9" w:rsidRPr="00A317F9">
        <w:t xml:space="preserve"> </w:t>
      </w:r>
      <w:r w:rsidR="00A317F9" w:rsidRPr="00A317F9">
        <w:rPr>
          <w:rFonts w:ascii="Times New Roman" w:eastAsia="Times New Roman" w:hAnsi="Times New Roman" w:cs="Times New Roman"/>
          <w:sz w:val="24"/>
          <w:szCs w:val="24"/>
        </w:rPr>
        <w:t>Kundu et al., 2015</w:t>
      </w:r>
      <w:r w:rsidR="00A317F9">
        <w:rPr>
          <w:rFonts w:ascii="Times New Roman" w:eastAsia="Times New Roman" w:hAnsi="Times New Roman" w:cs="Times New Roman"/>
          <w:sz w:val="24"/>
          <w:szCs w:val="24"/>
        </w:rPr>
        <w:t>).</w:t>
      </w:r>
    </w:p>
    <w:p w14:paraId="11D65C99" w14:textId="77777777" w:rsidR="008219B1" w:rsidRDefault="0049121B">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Intermolecular forces involved in drug interactions</w:t>
      </w:r>
    </w:p>
    <w:p w14:paraId="67AB246F" w14:textId="41C16D16" w:rsidR="008219B1" w:rsidRDefault="0049121B">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intermolecular forces involved in drug interactions are- (</w:t>
      </w:r>
      <w:proofErr w:type="spellStart"/>
      <w:r>
        <w:rPr>
          <w:rFonts w:ascii="Times New Roman" w:eastAsia="Times New Roman" w:hAnsi="Times New Roman" w:cs="Times New Roman"/>
          <w:color w:val="000000"/>
          <w:sz w:val="24"/>
          <w:szCs w:val="24"/>
        </w:rPr>
        <w:t>i</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yellow"/>
        </w:rPr>
        <w:t>Van</w:t>
      </w:r>
      <w:r>
        <w:rPr>
          <w:rFonts w:ascii="Times New Roman" w:eastAsia="Times New Roman" w:hAnsi="Times New Roman" w:cs="Times New Roman"/>
          <w:color w:val="000000"/>
          <w:sz w:val="24"/>
          <w:szCs w:val="24"/>
        </w:rPr>
        <w:t xml:space="preserve"> der Waals forces (dispersion, dipolar and induced dipolar), (ii) Hydrogen bonding, (iii) </w:t>
      </w:r>
      <w:r>
        <w:rPr>
          <w:rFonts w:ascii="Times New Roman" w:eastAsia="Times New Roman" w:hAnsi="Times New Roman" w:cs="Times New Roman"/>
          <w:color w:val="000000"/>
          <w:sz w:val="24"/>
          <w:szCs w:val="24"/>
          <w:highlight w:val="yellow"/>
        </w:rPr>
        <w:t>Coordinate</w:t>
      </w:r>
      <w:r>
        <w:rPr>
          <w:rFonts w:ascii="Times New Roman" w:eastAsia="Times New Roman" w:hAnsi="Times New Roman" w:cs="Times New Roman"/>
          <w:color w:val="000000"/>
          <w:sz w:val="24"/>
          <w:szCs w:val="24"/>
        </w:rPr>
        <w:t xml:space="preserve"> covalence, (iv) Charge transfer, (v) Hydrophobic interaction</w:t>
      </w:r>
      <w:r w:rsidR="00A317F9">
        <w:rPr>
          <w:rFonts w:ascii="Times New Roman" w:eastAsia="Times New Roman" w:hAnsi="Times New Roman" w:cs="Times New Roman"/>
          <w:color w:val="000000"/>
          <w:sz w:val="24"/>
          <w:szCs w:val="24"/>
        </w:rPr>
        <w:t xml:space="preserve">s </w:t>
      </w:r>
      <w:r>
        <w:rPr>
          <w:rFonts w:ascii="Times New Roman" w:eastAsia="Times New Roman" w:hAnsi="Times New Roman" w:cs="Times New Roman"/>
          <w:color w:val="000000"/>
          <w:sz w:val="24"/>
          <w:szCs w:val="24"/>
        </w:rPr>
        <w:t>(</w:t>
      </w:r>
      <w:r w:rsidR="00A317F9">
        <w:rPr>
          <w:rFonts w:ascii="Times New Roman" w:eastAsia="Times New Roman" w:hAnsi="Times New Roman" w:cs="Times New Roman"/>
          <w:color w:val="000000"/>
          <w:sz w:val="24"/>
          <w:szCs w:val="24"/>
        </w:rPr>
        <w:t>Goldstein et al.,1974</w:t>
      </w:r>
      <w:r>
        <w:rPr>
          <w:rFonts w:ascii="Times New Roman" w:eastAsia="Times New Roman" w:hAnsi="Times New Roman" w:cs="Times New Roman"/>
          <w:color w:val="000000"/>
          <w:sz w:val="24"/>
          <w:szCs w:val="24"/>
        </w:rPr>
        <w:t>). A detailed description is out of context of this article. Interested readers may consult (1,</w:t>
      </w:r>
      <w:proofErr w:type="gramStart"/>
      <w:r>
        <w:rPr>
          <w:rFonts w:ascii="Times New Roman" w:eastAsia="Times New Roman" w:hAnsi="Times New Roman" w:cs="Times New Roman"/>
          <w:color w:val="000000"/>
          <w:sz w:val="24"/>
          <w:szCs w:val="24"/>
        </w:rPr>
        <w:t>2)</w:t>
      </w:r>
      <w:r w:rsidR="00A317F9">
        <w:rPr>
          <w:rFonts w:ascii="Times New Roman" w:eastAsia="Times New Roman" w:hAnsi="Times New Roman" w:cs="Times New Roman"/>
          <w:color w:val="000000"/>
          <w:sz w:val="24"/>
          <w:szCs w:val="24"/>
        </w:rPr>
        <w:t>(</w:t>
      </w:r>
      <w:proofErr w:type="gramEnd"/>
      <w:r w:rsidR="00A317F9" w:rsidRPr="00A317F9">
        <w:rPr>
          <w:rFonts w:ascii="Times New Roman" w:eastAsia="Times New Roman" w:hAnsi="Times New Roman" w:cs="Times New Roman"/>
          <w:color w:val="000000"/>
          <w:sz w:val="24"/>
          <w:szCs w:val="24"/>
        </w:rPr>
        <w:t xml:space="preserve"> </w:t>
      </w:r>
      <w:r w:rsidR="00A317F9">
        <w:rPr>
          <w:rFonts w:ascii="Times New Roman" w:eastAsia="Times New Roman" w:hAnsi="Times New Roman" w:cs="Times New Roman"/>
          <w:color w:val="000000"/>
          <w:sz w:val="24"/>
          <w:szCs w:val="24"/>
        </w:rPr>
        <w:t>Goldstein et al.,1974;Brun</w:t>
      </w:r>
      <w:r w:rsidR="00C81F68">
        <w:rPr>
          <w:rFonts w:ascii="Times New Roman" w:eastAsia="Times New Roman" w:hAnsi="Times New Roman" w:cs="Times New Roman"/>
          <w:color w:val="000000"/>
          <w:sz w:val="24"/>
          <w:szCs w:val="24"/>
        </w:rPr>
        <w:t>ton et al.,2005)</w:t>
      </w:r>
      <w:r>
        <w:rPr>
          <w:rFonts w:ascii="Times New Roman" w:eastAsia="Times New Roman" w:hAnsi="Times New Roman" w:cs="Times New Roman"/>
          <w:color w:val="000000"/>
          <w:sz w:val="24"/>
          <w:szCs w:val="24"/>
        </w:rPr>
        <w:t xml:space="preserve"> for further studies.</w:t>
      </w:r>
    </w:p>
    <w:p w14:paraId="2BA1A1C6" w14:textId="77777777" w:rsidR="008219B1" w:rsidRDefault="008219B1">
      <w:pPr>
        <w:spacing w:after="0" w:line="360" w:lineRule="auto"/>
        <w:jc w:val="both"/>
        <w:rPr>
          <w:rFonts w:ascii="Times New Roman" w:eastAsia="Times New Roman" w:hAnsi="Times New Roman" w:cs="Times New Roman"/>
          <w:color w:val="000000"/>
          <w:sz w:val="24"/>
          <w:szCs w:val="24"/>
        </w:rPr>
      </w:pPr>
    </w:p>
    <w:p w14:paraId="72C7EE89" w14:textId="77777777" w:rsidR="008219B1" w:rsidRDefault="0049121B">
      <w:pPr>
        <w:spacing w:after="0" w:line="360" w:lineRule="auto"/>
        <w:jc w:val="both"/>
        <w:rPr>
          <w:rFonts w:ascii="Times New Roman" w:eastAsia="Times New Roman" w:hAnsi="Times New Roman" w:cs="Times New Roman"/>
          <w:b/>
          <w:color w:val="000000"/>
          <w:sz w:val="24"/>
          <w:szCs w:val="24"/>
        </w:rPr>
      </w:pPr>
      <w:bookmarkStart w:id="13" w:name="_6vkoje489s52" w:colFirst="0" w:colLast="0"/>
      <w:bookmarkEnd w:id="13"/>
      <w:r>
        <w:rPr>
          <w:rFonts w:ascii="Times New Roman" w:eastAsia="Times New Roman" w:hAnsi="Times New Roman" w:cs="Times New Roman"/>
          <w:b/>
          <w:i/>
          <w:color w:val="000000"/>
          <w:sz w:val="24"/>
          <w:szCs w:val="24"/>
        </w:rPr>
        <w:t>In silico</w:t>
      </w:r>
      <w:r>
        <w:rPr>
          <w:rFonts w:ascii="Times New Roman" w:eastAsia="Times New Roman" w:hAnsi="Times New Roman" w:cs="Times New Roman"/>
          <w:b/>
          <w:color w:val="000000"/>
          <w:sz w:val="24"/>
          <w:szCs w:val="24"/>
        </w:rPr>
        <w:t xml:space="preserve"> methods used in drug-drug interaction analysis</w:t>
      </w:r>
    </w:p>
    <w:p w14:paraId="7B16F427" w14:textId="77777777" w:rsidR="008219B1" w:rsidRDefault="008219B1">
      <w:pPr>
        <w:spacing w:after="0" w:line="360" w:lineRule="auto"/>
        <w:jc w:val="both"/>
        <w:rPr>
          <w:rFonts w:ascii="Times New Roman" w:eastAsia="Times New Roman" w:hAnsi="Times New Roman" w:cs="Times New Roman"/>
          <w:b/>
          <w:color w:val="000000"/>
          <w:sz w:val="24"/>
          <w:szCs w:val="24"/>
        </w:rPr>
      </w:pPr>
    </w:p>
    <w:p w14:paraId="3AA17C12" w14:textId="77777777" w:rsidR="008219B1" w:rsidRDefault="0049121B">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bookmarkStart w:id="14" w:name="_6nof0ijmj57m" w:colFirst="0" w:colLast="0"/>
      <w:bookmarkEnd w:id="14"/>
      <w:r>
        <w:rPr>
          <w:rFonts w:ascii="Times New Roman" w:eastAsia="Times New Roman" w:hAnsi="Times New Roman" w:cs="Times New Roman"/>
          <w:b/>
          <w:color w:val="000000"/>
          <w:sz w:val="24"/>
          <w:szCs w:val="24"/>
        </w:rPr>
        <w:t>Quantitative Structure–Activity Relationship (QSAR) Models:</w:t>
      </w:r>
    </w:p>
    <w:p w14:paraId="60219AC6" w14:textId="77777777" w:rsidR="008219B1" w:rsidRDefault="0049121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QSAR models are computational techniques that predict the biological activity of molecules based on their chemical structure. In QSAR modeling, various chemical descriptors (such as molecular weight, lipophilicity, electronic properties, hydrogen bond donors/acceptors) are mathematically correlated with biological outcomes like enzyme inhibition or induction. When applied to DDIs, QSAR models can predict whether a new drug is likely to inhibit or induce a metabolizing enzyme </w:t>
      </w:r>
      <w:r>
        <w:rPr>
          <w:rFonts w:ascii="Times New Roman" w:eastAsia="Times New Roman" w:hAnsi="Times New Roman" w:cs="Times New Roman"/>
          <w:sz w:val="24"/>
          <w:szCs w:val="24"/>
        </w:rPr>
        <w:lastRenderedPageBreak/>
        <w:t xml:space="preserve">(e.g., CYP450 enzymes) and thus interact with other drugs. Modern QSAR models, like those built with PASS (Prediction of Activity Spectra for Substances) or </w:t>
      </w:r>
      <w:proofErr w:type="spellStart"/>
      <w:r>
        <w:rPr>
          <w:rFonts w:ascii="Times New Roman" w:eastAsia="Times New Roman" w:hAnsi="Times New Roman" w:cs="Times New Roman"/>
          <w:sz w:val="24"/>
          <w:szCs w:val="24"/>
        </w:rPr>
        <w:t>PoSMNA</w:t>
      </w:r>
      <w:proofErr w:type="spellEnd"/>
      <w:r>
        <w:rPr>
          <w:rFonts w:ascii="Times New Roman" w:eastAsia="Times New Roman" w:hAnsi="Times New Roman" w:cs="Times New Roman"/>
          <w:sz w:val="24"/>
          <w:szCs w:val="24"/>
        </w:rPr>
        <w:t xml:space="preserve"> descriptors, offer high-throughput prediction of interactions without the need for physical testing.</w:t>
      </w:r>
    </w:p>
    <w:p w14:paraId="043B8EC7" w14:textId="75BFEE15" w:rsidR="008219B1" w:rsidRDefault="0049121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 study </w:t>
      </w:r>
      <w:r>
        <w:rPr>
          <w:rFonts w:ascii="Times New Roman" w:eastAsia="Times New Roman" w:hAnsi="Times New Roman" w:cs="Times New Roman"/>
          <w:color w:val="000000"/>
          <w:sz w:val="24"/>
          <w:szCs w:val="24"/>
        </w:rPr>
        <w:t>(</w:t>
      </w:r>
      <w:r w:rsidR="00C81F68" w:rsidRPr="00C81F68">
        <w:rPr>
          <w:rFonts w:ascii="Times New Roman" w:eastAsia="Times New Roman" w:hAnsi="Times New Roman" w:cs="Times New Roman"/>
          <w:color w:val="000000"/>
          <w:sz w:val="24"/>
          <w:szCs w:val="24"/>
        </w:rPr>
        <w:t>Dmitriev et al., 2021</w:t>
      </w:r>
      <w:r>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 xml:space="preserve"> the researchers developed computer models to predict drug–drug interactions (DDIs) mediated by seven major cytochrome P450 enzymes (CYP1A2, CYP2B6, CYP2C19, CYP2C8, CYP2C9, CYP2D6, and CYP3A4). They used about 2500 known DDI records to build structure–activity relationship (SAR) models, applying the Prediction of Activity Spectra for Substances (PASS) software and Pairs of Substances Multilevel </w:t>
      </w:r>
      <w:proofErr w:type="spellStart"/>
      <w:r>
        <w:rPr>
          <w:rFonts w:ascii="Times New Roman" w:eastAsia="Times New Roman" w:hAnsi="Times New Roman" w:cs="Times New Roman"/>
          <w:sz w:val="24"/>
          <w:szCs w:val="24"/>
          <w:highlight w:val="yellow"/>
        </w:rPr>
        <w:t>Neighbourhoods</w:t>
      </w:r>
      <w:proofErr w:type="spellEnd"/>
      <w:r>
        <w:rPr>
          <w:rFonts w:ascii="Times New Roman" w:eastAsia="Times New Roman" w:hAnsi="Times New Roman" w:cs="Times New Roman"/>
          <w:sz w:val="24"/>
          <w:szCs w:val="24"/>
        </w:rPr>
        <w:t xml:space="preserve"> of Atoms (</w:t>
      </w:r>
      <w:proofErr w:type="spellStart"/>
      <w:r>
        <w:rPr>
          <w:rFonts w:ascii="Times New Roman" w:eastAsia="Times New Roman" w:hAnsi="Times New Roman" w:cs="Times New Roman"/>
          <w:sz w:val="24"/>
          <w:szCs w:val="24"/>
        </w:rPr>
        <w:t>PoSMNA</w:t>
      </w:r>
      <w:proofErr w:type="spellEnd"/>
      <w:r>
        <w:rPr>
          <w:rFonts w:ascii="Times New Roman" w:eastAsia="Times New Roman" w:hAnsi="Times New Roman" w:cs="Times New Roman"/>
          <w:sz w:val="24"/>
          <w:szCs w:val="24"/>
        </w:rPr>
        <w:t>) descriptors based on molecular structures. The models achieved an average prediction accuracy of around 92%, evaluated through leave-one-out cross-validation. These SAR models are publicly available and can be used to predict potential DDIs for both existing drugs and new, not-yet-synthesized compounds.</w:t>
      </w:r>
    </w:p>
    <w:p w14:paraId="7BE10A88" w14:textId="77777777" w:rsidR="008219B1" w:rsidRDefault="008219B1">
      <w:pPr>
        <w:spacing w:after="0" w:line="360" w:lineRule="auto"/>
        <w:jc w:val="both"/>
        <w:rPr>
          <w:rFonts w:ascii="Times New Roman" w:eastAsia="Times New Roman" w:hAnsi="Times New Roman" w:cs="Times New Roman"/>
          <w:sz w:val="24"/>
          <w:szCs w:val="24"/>
        </w:rPr>
      </w:pPr>
    </w:p>
    <w:p w14:paraId="035E03FD" w14:textId="77777777" w:rsidR="008219B1" w:rsidRDefault="0049121B">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bookmarkStart w:id="15" w:name="_3y287vi7kr7s" w:colFirst="0" w:colLast="0"/>
      <w:bookmarkEnd w:id="15"/>
      <w:r>
        <w:rPr>
          <w:rFonts w:ascii="Times New Roman" w:eastAsia="Times New Roman" w:hAnsi="Times New Roman" w:cs="Times New Roman"/>
          <w:b/>
          <w:color w:val="000000"/>
          <w:sz w:val="24"/>
          <w:szCs w:val="24"/>
        </w:rPr>
        <w:t>Molecular Docking and Molecular Dynamics (MD) Simulations:</w:t>
      </w:r>
    </w:p>
    <w:p w14:paraId="48CBA8B2" w14:textId="651E8E98" w:rsidR="008219B1" w:rsidRDefault="0049121B">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Molecular Docking</w:t>
      </w:r>
      <w:r>
        <w:rPr>
          <w:rFonts w:ascii="Times New Roman" w:eastAsia="Times New Roman" w:hAnsi="Times New Roman" w:cs="Times New Roman"/>
          <w:sz w:val="24"/>
          <w:szCs w:val="24"/>
        </w:rPr>
        <w:t xml:space="preserve"> simulates the binding orientation and affinity between a small molecule (drug) and a target protein (such as an enzyme or transporter). </w:t>
      </w:r>
      <w:r>
        <w:rPr>
          <w:rFonts w:ascii="Times New Roman" w:eastAsia="Times New Roman" w:hAnsi="Times New Roman" w:cs="Times New Roman"/>
          <w:b/>
          <w:sz w:val="24"/>
          <w:szCs w:val="24"/>
        </w:rPr>
        <w:t>Molecular Dynamics (MD)</w:t>
      </w:r>
      <w:r>
        <w:rPr>
          <w:rFonts w:ascii="Times New Roman" w:eastAsia="Times New Roman" w:hAnsi="Times New Roman" w:cs="Times New Roman"/>
          <w:sz w:val="24"/>
          <w:szCs w:val="24"/>
        </w:rPr>
        <w:t xml:space="preserve"> simulations model the physical movement of atoms and molecules over time under defined conditions (e.g., temperature, pressure). Docking helps predict how strongly a drug can bind to an enzyme (e.g., CYP450, P-glycoprotein), which informs whether it might inhibit the enzyme and cause DDIs. It calculates binding energy and identifies interactions like hydrogen bonds, hydrophobic contacts, etc. Molecular dynamics refines this prediction by simulating the real-time behavior of the drug-protein complex, checking if the binding is stable, flexible, or transient. MD can uncover important phenomena such as conformational changes or induced fit effects that simple docking may miss. A study used molecular docking to investigate its interaction of GNF-351, which is a drug candidate that antagonizes the aryl hydrocarbon receptor, with ketoconazole. Researchers modeled the binding of GNF-351 to the human cytochrome P450 (CYP3A4) structure, generating 30 possible orientations. Docking results showed GNF-351 interacts with CYP3A4 through its aromatic rings, particularly near Phe302 and Phe304, similar to ketoconazole's binding position relative to the heme group. These findings suggest potential interactions between GNF-351 and ketoconazole, highlighting the need for careful monitoring if used together </w:t>
      </w:r>
      <w:r>
        <w:rPr>
          <w:rFonts w:ascii="Times New Roman" w:eastAsia="Times New Roman" w:hAnsi="Times New Roman" w:cs="Times New Roman"/>
          <w:color w:val="000000"/>
          <w:sz w:val="24"/>
          <w:szCs w:val="24"/>
        </w:rPr>
        <w:t>(</w:t>
      </w:r>
      <w:r w:rsidR="00C81F68" w:rsidRPr="00C81F68">
        <w:rPr>
          <w:rFonts w:ascii="Times New Roman" w:eastAsia="Times New Roman" w:hAnsi="Times New Roman" w:cs="Times New Roman"/>
          <w:color w:val="000000"/>
          <w:sz w:val="24"/>
          <w:szCs w:val="24"/>
        </w:rPr>
        <w:t>Liu et al., 2015</w:t>
      </w:r>
      <w:r w:rsidR="00C81F68">
        <w:rPr>
          <w:rFonts w:ascii="Times New Roman" w:eastAsia="Times New Roman" w:hAnsi="Times New Roman" w:cs="Times New Roman"/>
          <w:color w:val="000000"/>
          <w:sz w:val="24"/>
          <w:szCs w:val="24"/>
        </w:rPr>
        <w:t>).</w:t>
      </w:r>
    </w:p>
    <w:p w14:paraId="48139FD0" w14:textId="77777777" w:rsidR="008219B1" w:rsidRDefault="0049121B">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bookmarkStart w:id="16" w:name="_hma6fxk08i7h" w:colFirst="0" w:colLast="0"/>
      <w:bookmarkEnd w:id="16"/>
      <w:r>
        <w:rPr>
          <w:rFonts w:ascii="Times New Roman" w:eastAsia="Times New Roman" w:hAnsi="Times New Roman" w:cs="Times New Roman"/>
          <w:b/>
          <w:color w:val="000000"/>
          <w:sz w:val="24"/>
          <w:szCs w:val="24"/>
        </w:rPr>
        <w:lastRenderedPageBreak/>
        <w:t>Physiologically Based Pharmacokinetic (PBPK) Modeling:</w:t>
      </w:r>
    </w:p>
    <w:p w14:paraId="33E6BEA9" w14:textId="77777777" w:rsidR="008219B1" w:rsidRDefault="0049121B">
      <w:pPr>
        <w:spacing w:after="0" w:line="360" w:lineRule="auto"/>
        <w:jc w:val="both"/>
        <w:rPr>
          <w:rFonts w:ascii="Times New Roman" w:eastAsia="Times New Roman" w:hAnsi="Times New Roman" w:cs="Times New Roman"/>
          <w:sz w:val="24"/>
          <w:szCs w:val="24"/>
        </w:rPr>
      </w:pPr>
      <w:bookmarkStart w:id="17" w:name="_w3rb30mehjl5" w:colFirst="0" w:colLast="0"/>
      <w:bookmarkEnd w:id="17"/>
      <w:r>
        <w:rPr>
          <w:rFonts w:ascii="Times New Roman" w:eastAsia="Times New Roman" w:hAnsi="Times New Roman" w:cs="Times New Roman"/>
          <w:sz w:val="24"/>
          <w:szCs w:val="24"/>
        </w:rPr>
        <w:t xml:space="preserve">Physiologically Based </w:t>
      </w:r>
      <w:proofErr w:type="gramStart"/>
      <w:r>
        <w:rPr>
          <w:rFonts w:ascii="Times New Roman" w:eastAsia="Times New Roman" w:hAnsi="Times New Roman" w:cs="Times New Roman"/>
          <w:sz w:val="24"/>
          <w:szCs w:val="24"/>
        </w:rPr>
        <w:t>Pharmacokinetic</w:t>
      </w:r>
      <w:r>
        <w:rPr>
          <w:rFonts w:ascii="Times New Roman" w:eastAsia="Times New Roman" w:hAnsi="Times New Roman" w:cs="Times New Roman"/>
          <w:b/>
          <w:sz w:val="24"/>
          <w:szCs w:val="24"/>
        </w:rPr>
        <w:t>(</w:t>
      </w:r>
      <w:proofErr w:type="gramEnd"/>
      <w:r>
        <w:rPr>
          <w:rFonts w:ascii="Times New Roman" w:eastAsia="Times New Roman" w:hAnsi="Times New Roman" w:cs="Times New Roman"/>
          <w:sz w:val="24"/>
          <w:szCs w:val="24"/>
        </w:rPr>
        <w:t xml:space="preserve">PBPK) models are computational models that simulate the ADME (Absorption, Distribution, Metabolism, and Excretion) processes of drugs within a virtual organism based on physiological parameters. </w:t>
      </w:r>
    </w:p>
    <w:p w14:paraId="362D39E7" w14:textId="72353530" w:rsidR="008219B1" w:rsidRDefault="0049121B">
      <w:pPr>
        <w:spacing w:after="0" w:line="360" w:lineRule="auto"/>
        <w:jc w:val="both"/>
        <w:rPr>
          <w:rFonts w:ascii="Times New Roman" w:eastAsia="Times New Roman" w:hAnsi="Times New Roman" w:cs="Times New Roman"/>
          <w:sz w:val="24"/>
          <w:szCs w:val="24"/>
        </w:rPr>
      </w:pPr>
      <w:bookmarkStart w:id="18" w:name="_trgtlwxcjj2h" w:colFirst="0" w:colLast="0"/>
      <w:bookmarkEnd w:id="18"/>
      <w:r>
        <w:rPr>
          <w:rFonts w:ascii="Times New Roman" w:eastAsia="Times New Roman" w:hAnsi="Times New Roman" w:cs="Times New Roman"/>
          <w:sz w:val="24"/>
          <w:szCs w:val="24"/>
        </w:rPr>
        <w:t>PBPK models use real biological data (e.g., organ sizes, blood flow rates, enzyme expression levels) and drug-specific properties (e.g., solubility, permeability, metabolism rate) to create a "virtual human" or "virtual animal</w:t>
      </w:r>
      <w:r>
        <w:rPr>
          <w:rFonts w:ascii="Times New Roman" w:eastAsia="Times New Roman" w:hAnsi="Times New Roman" w:cs="Times New Roman"/>
          <w:sz w:val="24"/>
          <w:szCs w:val="24"/>
          <w:highlight w:val="yellow"/>
        </w:rPr>
        <w:t>"</w:t>
      </w:r>
      <w:r>
        <w:rPr>
          <w:rFonts w:ascii="Times New Roman" w:eastAsia="Times New Roman" w:hAnsi="Times New Roman" w:cs="Times New Roman"/>
          <w:sz w:val="24"/>
          <w:szCs w:val="24"/>
        </w:rPr>
        <w:t xml:space="preserve">. These models predict how a drug moves through different tissues and how it is metabolized. For DDIs, PBPK models are used to simulate scenarios where one drug inhibits or induces the metabolism of another drug. Regulatory agencies (like the FDA) accept PBPK simulations as evidence for DDI risk assessment in drug development. Predicting drug–drug interactions (DDIs) with statins is challenging due to the involvement of both metabolizing enzymes and transporters. In a study </w:t>
      </w:r>
      <w:r>
        <w:rPr>
          <w:rFonts w:ascii="Times New Roman" w:eastAsia="Times New Roman" w:hAnsi="Times New Roman" w:cs="Times New Roman"/>
          <w:color w:val="000000"/>
          <w:sz w:val="24"/>
          <w:szCs w:val="24"/>
        </w:rPr>
        <w:t>(</w:t>
      </w:r>
      <w:r w:rsidR="00C81F68" w:rsidRPr="00C81F68">
        <w:rPr>
          <w:rFonts w:ascii="Times New Roman" w:eastAsia="Times New Roman" w:hAnsi="Times New Roman" w:cs="Times New Roman"/>
          <w:color w:val="000000"/>
          <w:sz w:val="24"/>
          <w:szCs w:val="24"/>
        </w:rPr>
        <w:t>Duan et al., 2017</w:t>
      </w:r>
      <w:r>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 xml:space="preserve">, physiologically based pharmacokinetic (PBPK) models for </w:t>
      </w:r>
      <w:proofErr w:type="spellStart"/>
      <w:r>
        <w:rPr>
          <w:rFonts w:ascii="Times New Roman" w:eastAsia="Times New Roman" w:hAnsi="Times New Roman" w:cs="Times New Roman"/>
          <w:sz w:val="24"/>
          <w:szCs w:val="24"/>
        </w:rPr>
        <w:t>pitavastatin</w:t>
      </w:r>
      <w:proofErr w:type="spellEnd"/>
      <w:r>
        <w:rPr>
          <w:rFonts w:ascii="Times New Roman" w:eastAsia="Times New Roman" w:hAnsi="Times New Roman" w:cs="Times New Roman"/>
          <w:sz w:val="24"/>
          <w:szCs w:val="24"/>
        </w:rPr>
        <w:t xml:space="preserve"> and atorvastatin were developed using in vitro and clinical data in </w:t>
      </w:r>
      <w:proofErr w:type="spellStart"/>
      <w:r>
        <w:rPr>
          <w:rFonts w:ascii="Times New Roman" w:eastAsia="Times New Roman" w:hAnsi="Times New Roman" w:cs="Times New Roman"/>
          <w:sz w:val="24"/>
          <w:szCs w:val="24"/>
        </w:rPr>
        <w:t>SimCYP</w:t>
      </w:r>
      <w:proofErr w:type="spellEnd"/>
      <w:r>
        <w:rPr>
          <w:rFonts w:ascii="Times New Roman" w:eastAsia="Times New Roman" w:hAnsi="Times New Roman" w:cs="Times New Roman"/>
          <w:sz w:val="24"/>
          <w:szCs w:val="24"/>
        </w:rPr>
        <w:t>®, accounting for both enzyme and transporter contributions. The models successfully predicted DDIs involving OATP1B1 polymorphism and interactions with itraconazole, erythromycin, and gemfibrozil but under-predicted DDIs with rifampin and cyclosporine. Further analysis suggested that existing models underestimate OATP1B1 inhibition by rifampin and cyclosporine. Overall, the study confirmed OATP1B1’s key role in the pharmacokinetics of these statins and identified reasons for DDI prediction discrepancies.</w:t>
      </w:r>
    </w:p>
    <w:p w14:paraId="00132AF7" w14:textId="77777777" w:rsidR="008219B1" w:rsidRDefault="008219B1">
      <w:pPr>
        <w:spacing w:after="0" w:line="360" w:lineRule="auto"/>
        <w:jc w:val="both"/>
        <w:rPr>
          <w:rFonts w:ascii="Times New Roman" w:eastAsia="Times New Roman" w:hAnsi="Times New Roman" w:cs="Times New Roman"/>
          <w:color w:val="000000"/>
          <w:sz w:val="24"/>
          <w:szCs w:val="24"/>
        </w:rPr>
      </w:pPr>
    </w:p>
    <w:p w14:paraId="7A63E340" w14:textId="77777777" w:rsidR="008219B1" w:rsidRDefault="0049121B">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CONCLUSION</w:t>
      </w:r>
    </w:p>
    <w:p w14:paraId="6511FDD1" w14:textId="77777777" w:rsidR="008219B1" w:rsidRDefault="0049121B">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This review </w:t>
      </w:r>
      <w:proofErr w:type="spellStart"/>
      <w:r>
        <w:rPr>
          <w:rFonts w:ascii="Times New Roman" w:eastAsia="Times New Roman" w:hAnsi="Times New Roman" w:cs="Times New Roman"/>
          <w:color w:val="000000"/>
          <w:sz w:val="24"/>
          <w:szCs w:val="24"/>
        </w:rPr>
        <w:t>emphasised</w:t>
      </w:r>
      <w:proofErr w:type="spellEnd"/>
      <w:r>
        <w:rPr>
          <w:rFonts w:ascii="Times New Roman" w:eastAsia="Times New Roman" w:hAnsi="Times New Roman" w:cs="Times New Roman"/>
          <w:color w:val="000000"/>
          <w:sz w:val="24"/>
          <w:szCs w:val="24"/>
        </w:rPr>
        <w:t xml:space="preserve"> that DDI study is an important pharmacokinetic parameter and proper methods are needed to study this vital parameter. It may be underlined that only two drugs are able to induce the development of a DDI even if this clinical relevance is related to the pharmacology of each drug (</w:t>
      </w:r>
      <w:proofErr w:type="spellStart"/>
      <w:r>
        <w:rPr>
          <w:rFonts w:ascii="Times New Roman" w:eastAsia="Times New Roman" w:hAnsi="Times New Roman" w:cs="Times New Roman"/>
          <w:sz w:val="24"/>
          <w:szCs w:val="24"/>
        </w:rPr>
        <w:t>Palleria</w:t>
      </w:r>
      <w:proofErr w:type="spellEnd"/>
      <w:r>
        <w:rPr>
          <w:rFonts w:ascii="Times New Roman" w:eastAsia="Times New Roman" w:hAnsi="Times New Roman" w:cs="Times New Roman"/>
          <w:sz w:val="24"/>
          <w:szCs w:val="24"/>
        </w:rPr>
        <w:t xml:space="preserve"> et al., 2013</w:t>
      </w:r>
      <w:r>
        <w:rPr>
          <w:rFonts w:ascii="Times New Roman" w:eastAsia="Times New Roman" w:hAnsi="Times New Roman" w:cs="Times New Roman"/>
          <w:color w:val="000000"/>
          <w:sz w:val="24"/>
          <w:szCs w:val="24"/>
        </w:rPr>
        <w:t xml:space="preserve">). In fact, a DDI will be able to induce a clinically relevant effect in the presence of drugs with a low therapeutic index, a long half-life and a higher bound with plasma proteins. Mechanism-based pharmacokinetic modelling and simulation are useful for comparing </w:t>
      </w:r>
      <w:proofErr w:type="spellStart"/>
      <w:r>
        <w:rPr>
          <w:rFonts w:ascii="Times New Roman" w:eastAsia="Times New Roman" w:hAnsi="Times New Roman" w:cs="Times New Roman"/>
          <w:color w:val="000000"/>
          <w:sz w:val="24"/>
          <w:szCs w:val="24"/>
        </w:rPr>
        <w:t>hypothesised</w:t>
      </w:r>
      <w:proofErr w:type="spellEnd"/>
      <w:r>
        <w:rPr>
          <w:rFonts w:ascii="Times New Roman" w:eastAsia="Times New Roman" w:hAnsi="Times New Roman" w:cs="Times New Roman"/>
          <w:color w:val="000000"/>
          <w:sz w:val="24"/>
          <w:szCs w:val="24"/>
        </w:rPr>
        <w:t xml:space="preserve"> combination regimens and have multi-scale, translational potential (Niu et al., 2019). </w:t>
      </w:r>
    </w:p>
    <w:p w14:paraId="7E43343B" w14:textId="77777777" w:rsidR="008219B1" w:rsidRDefault="008219B1">
      <w:pPr>
        <w:spacing w:after="0" w:line="360" w:lineRule="auto"/>
        <w:jc w:val="both"/>
        <w:rPr>
          <w:rFonts w:ascii="Times New Roman" w:eastAsia="Times New Roman" w:hAnsi="Times New Roman" w:cs="Times New Roman"/>
          <w:color w:val="000000"/>
          <w:sz w:val="24"/>
          <w:szCs w:val="24"/>
        </w:rPr>
      </w:pPr>
    </w:p>
    <w:p w14:paraId="7337BE8E" w14:textId="77777777" w:rsidR="008219B1" w:rsidRDefault="008219B1">
      <w:pPr>
        <w:spacing w:after="0" w:line="360" w:lineRule="auto"/>
        <w:jc w:val="both"/>
        <w:rPr>
          <w:rFonts w:ascii="Times New Roman" w:eastAsia="Times New Roman" w:hAnsi="Times New Roman" w:cs="Times New Roman"/>
          <w:color w:val="000000"/>
          <w:sz w:val="24"/>
          <w:szCs w:val="24"/>
        </w:rPr>
      </w:pPr>
    </w:p>
    <w:p w14:paraId="3C9648FE" w14:textId="77777777" w:rsidR="008219B1" w:rsidRDefault="008219B1">
      <w:pPr>
        <w:spacing w:after="0" w:line="360" w:lineRule="auto"/>
        <w:jc w:val="both"/>
        <w:rPr>
          <w:rFonts w:ascii="Times New Roman" w:eastAsia="Times New Roman" w:hAnsi="Times New Roman" w:cs="Times New Roman"/>
          <w:color w:val="000000"/>
          <w:sz w:val="24"/>
          <w:szCs w:val="24"/>
        </w:rPr>
      </w:pPr>
    </w:p>
    <w:p w14:paraId="6C7B1867" w14:textId="77777777" w:rsidR="008219B1" w:rsidRDefault="008219B1">
      <w:pPr>
        <w:spacing w:after="0" w:line="360" w:lineRule="auto"/>
        <w:jc w:val="both"/>
        <w:rPr>
          <w:rFonts w:ascii="Times New Roman" w:eastAsia="Times New Roman" w:hAnsi="Times New Roman" w:cs="Times New Roman"/>
          <w:color w:val="000000"/>
          <w:sz w:val="24"/>
          <w:szCs w:val="24"/>
        </w:rPr>
      </w:pPr>
    </w:p>
    <w:p w14:paraId="49642958" w14:textId="77777777" w:rsidR="008219B1" w:rsidRDefault="008219B1">
      <w:pPr>
        <w:spacing w:after="0" w:line="360" w:lineRule="auto"/>
        <w:jc w:val="both"/>
        <w:rPr>
          <w:rFonts w:ascii="Times New Roman" w:eastAsia="Times New Roman" w:hAnsi="Times New Roman" w:cs="Times New Roman"/>
          <w:color w:val="000000"/>
          <w:sz w:val="24"/>
          <w:szCs w:val="24"/>
        </w:rPr>
      </w:pPr>
    </w:p>
    <w:p w14:paraId="2292ED9C" w14:textId="77777777" w:rsidR="008219B1" w:rsidRDefault="008219B1">
      <w:pPr>
        <w:spacing w:after="0" w:line="360" w:lineRule="auto"/>
        <w:jc w:val="both"/>
        <w:rPr>
          <w:rFonts w:ascii="Times New Roman" w:eastAsia="Times New Roman" w:hAnsi="Times New Roman" w:cs="Times New Roman"/>
          <w:color w:val="000000"/>
          <w:sz w:val="24"/>
          <w:szCs w:val="24"/>
        </w:rPr>
      </w:pPr>
    </w:p>
    <w:p w14:paraId="79B24EF0" w14:textId="77777777" w:rsidR="008219B1" w:rsidRDefault="008219B1">
      <w:pPr>
        <w:spacing w:after="0" w:line="360" w:lineRule="auto"/>
        <w:jc w:val="both"/>
        <w:rPr>
          <w:rFonts w:ascii="Times New Roman" w:eastAsia="Times New Roman" w:hAnsi="Times New Roman" w:cs="Times New Roman"/>
          <w:color w:val="000000"/>
          <w:sz w:val="24"/>
          <w:szCs w:val="24"/>
        </w:rPr>
      </w:pPr>
    </w:p>
    <w:p w14:paraId="488B4226" w14:textId="77777777" w:rsidR="008219B1" w:rsidRDefault="0049121B">
      <w:pPr>
        <w:rPr>
          <w:highlight w:val="yellow"/>
        </w:rPr>
      </w:pPr>
      <w:bookmarkStart w:id="19" w:name="_m3d7t09xjchn" w:colFirst="0" w:colLast="0"/>
      <w:bookmarkEnd w:id="19"/>
      <w:r>
        <w:rPr>
          <w:highlight w:val="yellow"/>
        </w:rPr>
        <w:t>Disclaimer (Artificial intelligence)</w:t>
      </w:r>
    </w:p>
    <w:p w14:paraId="45BFD831" w14:textId="77777777" w:rsidR="008219B1" w:rsidRDefault="0049121B">
      <w:pPr>
        <w:rPr>
          <w:highlight w:val="yellow"/>
        </w:rPr>
      </w:pPr>
      <w:r>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6BD5ADFC" w14:textId="77777777" w:rsidR="008219B1" w:rsidRDefault="0049121B">
      <w:pPr>
        <w:rPr>
          <w:highlight w:val="yellow"/>
        </w:rPr>
      </w:pPr>
      <w:r>
        <w:rPr>
          <w:highlight w:val="yellow"/>
        </w:rPr>
        <w:t>Details of the AI usage are given below:</w:t>
      </w:r>
    </w:p>
    <w:p w14:paraId="7F8082BF" w14:textId="048A4B70" w:rsidR="008219B1" w:rsidRPr="00777270" w:rsidRDefault="0049121B" w:rsidP="00777270">
      <w:r>
        <w:rPr>
          <w:highlight w:val="yellow"/>
        </w:rPr>
        <w:t>1</w:t>
      </w:r>
      <w:r w:rsidRPr="00777270">
        <w:rPr>
          <w:highlight w:val="yellow"/>
        </w:rPr>
        <w:t>.</w:t>
      </w:r>
      <w:r w:rsidR="00777270" w:rsidRPr="00777270">
        <w:rPr>
          <w:highlight w:val="yellow"/>
        </w:rPr>
        <w:t xml:space="preserve"> Name: </w:t>
      </w:r>
      <w:proofErr w:type="spellStart"/>
      <w:proofErr w:type="gramStart"/>
      <w:r w:rsidR="00777270" w:rsidRPr="00777270">
        <w:rPr>
          <w:highlight w:val="yellow"/>
        </w:rPr>
        <w:t>ChatGPT,Model</w:t>
      </w:r>
      <w:proofErr w:type="spellEnd"/>
      <w:proofErr w:type="gramEnd"/>
      <w:r w:rsidR="00777270" w:rsidRPr="00777270">
        <w:rPr>
          <w:highlight w:val="yellow"/>
        </w:rPr>
        <w:t>: GPT-3.5</w:t>
      </w:r>
      <w:r w:rsidR="00787346">
        <w:rPr>
          <w:highlight w:val="yellow"/>
        </w:rPr>
        <w:t>,</w:t>
      </w:r>
      <w:r w:rsidR="00777270" w:rsidRPr="00777270">
        <w:rPr>
          <w:highlight w:val="yellow"/>
        </w:rPr>
        <w:t xml:space="preserve">Version: gpt-3.5-turbo. I used it to get idea </w:t>
      </w:r>
      <w:proofErr w:type="gramStart"/>
      <w:r w:rsidR="00777270" w:rsidRPr="00777270">
        <w:rPr>
          <w:highlight w:val="yellow"/>
        </w:rPr>
        <w:t>of  sentence</w:t>
      </w:r>
      <w:proofErr w:type="gramEnd"/>
      <w:r w:rsidR="00777270" w:rsidRPr="00777270">
        <w:rPr>
          <w:highlight w:val="yellow"/>
        </w:rPr>
        <w:t xml:space="preserve"> making while editing the </w:t>
      </w:r>
      <w:proofErr w:type="spellStart"/>
      <w:r w:rsidR="00777270" w:rsidRPr="00777270">
        <w:rPr>
          <w:highlight w:val="yellow"/>
        </w:rPr>
        <w:t>manuscript.I</w:t>
      </w:r>
      <w:proofErr w:type="spellEnd"/>
      <w:r w:rsidR="00777270" w:rsidRPr="00777270">
        <w:rPr>
          <w:highlight w:val="yellow"/>
        </w:rPr>
        <w:t xml:space="preserve"> didn't directly copy and paste that. I just got idea and then adapted and rewrote the sentences in my own way</w:t>
      </w:r>
      <w:r w:rsidR="00862544">
        <w:t>.</w:t>
      </w:r>
    </w:p>
    <w:p w14:paraId="0024D04D" w14:textId="77777777" w:rsidR="008219B1" w:rsidRDefault="0049121B">
      <w:pPr>
        <w:rPr>
          <w:highlight w:val="yellow"/>
        </w:rPr>
      </w:pPr>
      <w:r>
        <w:rPr>
          <w:highlight w:val="yellow"/>
        </w:rPr>
        <w:t>2.</w:t>
      </w:r>
    </w:p>
    <w:p w14:paraId="1F57D7A4" w14:textId="77777777" w:rsidR="008219B1" w:rsidRDefault="0049121B">
      <w:bookmarkStart w:id="20" w:name="_78hvt09knuvi" w:colFirst="0" w:colLast="0"/>
      <w:bookmarkEnd w:id="20"/>
      <w:r>
        <w:rPr>
          <w:highlight w:val="yellow"/>
        </w:rPr>
        <w:t>3.</w:t>
      </w:r>
    </w:p>
    <w:p w14:paraId="07F874DE" w14:textId="77777777" w:rsidR="008219B1" w:rsidRDefault="008219B1">
      <w:pPr>
        <w:spacing w:after="0" w:line="360" w:lineRule="auto"/>
        <w:jc w:val="both"/>
        <w:rPr>
          <w:rFonts w:ascii="Times New Roman" w:eastAsia="Times New Roman" w:hAnsi="Times New Roman" w:cs="Times New Roman"/>
          <w:color w:val="000000"/>
          <w:sz w:val="24"/>
          <w:szCs w:val="24"/>
        </w:rPr>
      </w:pPr>
    </w:p>
    <w:p w14:paraId="61A812AE" w14:textId="77777777" w:rsidR="008219B1" w:rsidRDefault="0049121B">
      <w:pP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References </w:t>
      </w:r>
    </w:p>
    <w:p w14:paraId="40B5F3E7" w14:textId="77777777" w:rsidR="005925E4" w:rsidRPr="00F96CE2" w:rsidRDefault="005925E4" w:rsidP="00BE7581">
      <w:pPr>
        <w:spacing w:after="0" w:line="360" w:lineRule="auto"/>
        <w:ind w:left="720" w:hanging="720"/>
        <w:jc w:val="both"/>
        <w:rPr>
          <w:rFonts w:asciiTheme="majorHAnsi" w:eastAsia="Times New Roman" w:hAnsiTheme="majorHAnsi" w:cstheme="majorHAnsi"/>
          <w:b/>
          <w:color w:val="000000"/>
        </w:rPr>
      </w:pPr>
    </w:p>
    <w:p w14:paraId="1F5ACC9F" w14:textId="77777777" w:rsidR="005925E4" w:rsidRPr="00F96CE2" w:rsidRDefault="005925E4" w:rsidP="00BE7581">
      <w:pPr>
        <w:pStyle w:val="NormalWeb"/>
        <w:ind w:left="720" w:hanging="720"/>
        <w:rPr>
          <w:rFonts w:asciiTheme="majorHAnsi" w:hAnsiTheme="majorHAnsi" w:cstheme="majorHAnsi"/>
          <w:sz w:val="22"/>
          <w:szCs w:val="22"/>
        </w:rPr>
      </w:pPr>
      <w:r w:rsidRPr="00F96CE2">
        <w:rPr>
          <w:rFonts w:asciiTheme="majorHAnsi" w:hAnsiTheme="majorHAnsi" w:cstheme="majorHAnsi"/>
          <w:sz w:val="22"/>
          <w:szCs w:val="22"/>
        </w:rPr>
        <w:t xml:space="preserve">Afzal, M., Sultan, M. Z., Begum, R., Rahman, A., Amran, M. S., &amp; Hossain, M. A. (2013). In vitro interaction of nandrolone with calcium nitrate, magnesium sulfate and potassium permanganate in aqueous medium. </w:t>
      </w:r>
      <w:r w:rsidRPr="00F96CE2">
        <w:rPr>
          <w:rStyle w:val="Emphasis"/>
          <w:rFonts w:asciiTheme="majorHAnsi" w:hAnsiTheme="majorHAnsi" w:cstheme="majorHAnsi"/>
          <w:sz w:val="22"/>
          <w:szCs w:val="22"/>
        </w:rPr>
        <w:t>Dhaka University Journal of Pharmaceutical Sciences, 11</w:t>
      </w:r>
      <w:r w:rsidRPr="00F96CE2">
        <w:rPr>
          <w:rFonts w:asciiTheme="majorHAnsi" w:hAnsiTheme="majorHAnsi" w:cstheme="majorHAnsi"/>
          <w:sz w:val="22"/>
          <w:szCs w:val="22"/>
        </w:rPr>
        <w:t xml:space="preserve">(2), 93–99. </w:t>
      </w:r>
    </w:p>
    <w:p w14:paraId="7968BDAF" w14:textId="77777777" w:rsidR="005925E4" w:rsidRPr="00F96CE2" w:rsidRDefault="005925E4" w:rsidP="00BE7581">
      <w:pPr>
        <w:ind w:left="720" w:hanging="720"/>
        <w:rPr>
          <w:rFonts w:asciiTheme="majorHAnsi" w:hAnsiTheme="majorHAnsi" w:cstheme="majorHAnsi"/>
        </w:rPr>
      </w:pPr>
      <w:r w:rsidRPr="008B4487">
        <w:rPr>
          <w:rFonts w:asciiTheme="majorHAnsi" w:hAnsiTheme="majorHAnsi" w:cstheme="majorHAnsi"/>
          <w:highlight w:val="yellow"/>
        </w:rPr>
        <w:t xml:space="preserve">Ahmed, N. J., </w:t>
      </w:r>
      <w:proofErr w:type="spellStart"/>
      <w:r w:rsidRPr="008B4487">
        <w:rPr>
          <w:rFonts w:asciiTheme="majorHAnsi" w:hAnsiTheme="majorHAnsi" w:cstheme="majorHAnsi"/>
          <w:highlight w:val="yellow"/>
        </w:rPr>
        <w:t>Alkhawaja</w:t>
      </w:r>
      <w:proofErr w:type="spellEnd"/>
      <w:r w:rsidRPr="008B4487">
        <w:rPr>
          <w:rFonts w:asciiTheme="majorHAnsi" w:hAnsiTheme="majorHAnsi" w:cstheme="majorHAnsi"/>
          <w:highlight w:val="yellow"/>
        </w:rPr>
        <w:t xml:space="preserve">, F. Z., &amp; Khan, M. F. (2020). Pilot study: Assessment of drug-food and drug–drug interactions in the outpatient settings. </w:t>
      </w:r>
      <w:r w:rsidRPr="008B4487">
        <w:rPr>
          <w:rFonts w:asciiTheme="majorHAnsi" w:hAnsiTheme="majorHAnsi" w:cstheme="majorHAnsi"/>
          <w:i/>
          <w:iCs/>
          <w:highlight w:val="yellow"/>
        </w:rPr>
        <w:t>Journal of Pharmaceutical Research International, 32</w:t>
      </w:r>
      <w:r w:rsidRPr="008B4487">
        <w:rPr>
          <w:rFonts w:asciiTheme="majorHAnsi" w:hAnsiTheme="majorHAnsi" w:cstheme="majorHAnsi"/>
          <w:highlight w:val="yellow"/>
        </w:rPr>
        <w:t>(21), 58–63.</w:t>
      </w:r>
      <w:r w:rsidRPr="00F96CE2">
        <w:rPr>
          <w:rFonts w:asciiTheme="majorHAnsi" w:hAnsiTheme="majorHAnsi" w:cstheme="majorHAnsi"/>
        </w:rPr>
        <w:t xml:space="preserve"> </w:t>
      </w:r>
    </w:p>
    <w:p w14:paraId="4241DF2E" w14:textId="77777777" w:rsidR="005925E4" w:rsidRPr="00F96CE2" w:rsidRDefault="005925E4" w:rsidP="00BE7581">
      <w:pPr>
        <w:pStyle w:val="NormalWeb"/>
        <w:ind w:left="720" w:hanging="720"/>
        <w:rPr>
          <w:rFonts w:asciiTheme="majorHAnsi" w:hAnsiTheme="majorHAnsi" w:cstheme="majorHAnsi"/>
          <w:sz w:val="22"/>
          <w:szCs w:val="22"/>
        </w:rPr>
      </w:pPr>
      <w:r w:rsidRPr="00F96CE2">
        <w:rPr>
          <w:rFonts w:asciiTheme="majorHAnsi" w:hAnsiTheme="majorHAnsi" w:cstheme="majorHAnsi"/>
          <w:sz w:val="22"/>
          <w:szCs w:val="22"/>
        </w:rPr>
        <w:t xml:space="preserve"> Ahsan, M. R., Sultan, M. Z., Amjad, F. M., Sultana, S., Baki, M. A., Hossain, M. A., &amp; Amran, M. S. (2012). The study of in vitro interaction of ciprofloxacin with paracetamol and zinc in aqueous medium. </w:t>
      </w:r>
      <w:r w:rsidRPr="00F96CE2">
        <w:rPr>
          <w:rStyle w:val="Emphasis"/>
          <w:rFonts w:asciiTheme="majorHAnsi" w:hAnsiTheme="majorHAnsi" w:cstheme="majorHAnsi"/>
          <w:sz w:val="22"/>
          <w:szCs w:val="22"/>
        </w:rPr>
        <w:t>Journal of Scientific Research, 4</w:t>
      </w:r>
      <w:r w:rsidRPr="00F96CE2">
        <w:rPr>
          <w:rFonts w:asciiTheme="majorHAnsi" w:hAnsiTheme="majorHAnsi" w:cstheme="majorHAnsi"/>
          <w:sz w:val="22"/>
          <w:szCs w:val="22"/>
        </w:rPr>
        <w:t xml:space="preserve">(3), 701–708. </w:t>
      </w:r>
    </w:p>
    <w:p w14:paraId="741BC43F" w14:textId="77777777" w:rsidR="005925E4" w:rsidRPr="00F96CE2" w:rsidRDefault="005925E4" w:rsidP="00BE7581">
      <w:pPr>
        <w:pStyle w:val="NormalWeb"/>
        <w:ind w:left="720" w:hanging="720"/>
        <w:rPr>
          <w:rFonts w:asciiTheme="majorHAnsi" w:hAnsiTheme="majorHAnsi" w:cstheme="majorHAnsi"/>
          <w:sz w:val="22"/>
          <w:szCs w:val="22"/>
        </w:rPr>
      </w:pPr>
      <w:r w:rsidRPr="00F96CE2">
        <w:rPr>
          <w:rFonts w:asciiTheme="majorHAnsi" w:hAnsiTheme="majorHAnsi" w:cstheme="majorHAnsi"/>
          <w:sz w:val="22"/>
          <w:szCs w:val="22"/>
        </w:rPr>
        <w:t xml:space="preserve">Ahsan, M. R., Sultan, M. Z., Baki, M. A., Rahman, M. A., Hossain, M. A., Hossain, M. A., &amp; Amran, M. S. (2012). The study of in vitro and in vivo effects of concurrent administration of paracetamol and zinc on the antibacterial activity of ciprofloxacin. </w:t>
      </w:r>
      <w:r w:rsidRPr="00F96CE2">
        <w:rPr>
          <w:rStyle w:val="Emphasis"/>
          <w:rFonts w:asciiTheme="majorHAnsi" w:hAnsiTheme="majorHAnsi" w:cstheme="majorHAnsi"/>
          <w:sz w:val="22"/>
          <w:szCs w:val="22"/>
        </w:rPr>
        <w:t>Dhaka University Journal of Pharmaceutical Sciences, 10</w:t>
      </w:r>
      <w:r w:rsidRPr="00F96CE2">
        <w:rPr>
          <w:rFonts w:asciiTheme="majorHAnsi" w:hAnsiTheme="majorHAnsi" w:cstheme="majorHAnsi"/>
          <w:sz w:val="22"/>
          <w:szCs w:val="22"/>
        </w:rPr>
        <w:t xml:space="preserve">(2), 137–142. </w:t>
      </w:r>
    </w:p>
    <w:p w14:paraId="68448B3D" w14:textId="77777777" w:rsidR="005925E4" w:rsidRPr="00F96CE2" w:rsidRDefault="005925E4" w:rsidP="00BE7581">
      <w:pPr>
        <w:pStyle w:val="NormalWeb"/>
        <w:ind w:left="720" w:hanging="720"/>
        <w:rPr>
          <w:rFonts w:asciiTheme="majorHAnsi" w:hAnsiTheme="majorHAnsi" w:cstheme="majorHAnsi"/>
          <w:sz w:val="22"/>
          <w:szCs w:val="22"/>
        </w:rPr>
      </w:pPr>
      <w:r w:rsidRPr="00F96CE2">
        <w:rPr>
          <w:rFonts w:asciiTheme="majorHAnsi" w:hAnsiTheme="majorHAnsi" w:cstheme="majorHAnsi"/>
          <w:sz w:val="22"/>
          <w:szCs w:val="22"/>
        </w:rPr>
        <w:lastRenderedPageBreak/>
        <w:t xml:space="preserve">Aktar, F., Sultan, M. Z., &amp; Rashid, M. A. (2019). In vitro complexation of </w:t>
      </w:r>
      <w:proofErr w:type="spellStart"/>
      <w:r w:rsidRPr="00F96CE2">
        <w:rPr>
          <w:rFonts w:asciiTheme="majorHAnsi" w:hAnsiTheme="majorHAnsi" w:cstheme="majorHAnsi"/>
          <w:sz w:val="22"/>
          <w:szCs w:val="22"/>
        </w:rPr>
        <w:t>olmesartan</w:t>
      </w:r>
      <w:proofErr w:type="spellEnd"/>
      <w:r w:rsidRPr="00F96CE2">
        <w:rPr>
          <w:rFonts w:asciiTheme="majorHAnsi" w:hAnsiTheme="majorHAnsi" w:cstheme="majorHAnsi"/>
          <w:sz w:val="22"/>
          <w:szCs w:val="22"/>
        </w:rPr>
        <w:t xml:space="preserve"> </w:t>
      </w:r>
      <w:proofErr w:type="spellStart"/>
      <w:r w:rsidRPr="00F96CE2">
        <w:rPr>
          <w:rFonts w:asciiTheme="majorHAnsi" w:hAnsiTheme="majorHAnsi" w:cstheme="majorHAnsi"/>
          <w:sz w:val="22"/>
          <w:szCs w:val="22"/>
        </w:rPr>
        <w:t>medoxomil</w:t>
      </w:r>
      <w:proofErr w:type="spellEnd"/>
      <w:r w:rsidRPr="00F96CE2">
        <w:rPr>
          <w:rFonts w:asciiTheme="majorHAnsi" w:hAnsiTheme="majorHAnsi" w:cstheme="majorHAnsi"/>
          <w:sz w:val="22"/>
          <w:szCs w:val="22"/>
        </w:rPr>
        <w:t xml:space="preserve"> with dapagliflozin, vildagliptin and metformin. </w:t>
      </w:r>
      <w:r w:rsidRPr="00F96CE2">
        <w:rPr>
          <w:rStyle w:val="Emphasis"/>
          <w:rFonts w:asciiTheme="majorHAnsi" w:hAnsiTheme="majorHAnsi" w:cstheme="majorHAnsi"/>
          <w:sz w:val="22"/>
          <w:szCs w:val="22"/>
        </w:rPr>
        <w:t>Dhaka University Journal of Pharmaceutical Sciences, 18</w:t>
      </w:r>
      <w:r w:rsidRPr="00F96CE2">
        <w:rPr>
          <w:rFonts w:asciiTheme="majorHAnsi" w:hAnsiTheme="majorHAnsi" w:cstheme="majorHAnsi"/>
          <w:sz w:val="22"/>
          <w:szCs w:val="22"/>
        </w:rPr>
        <w:t xml:space="preserve">(2), 271–280. </w:t>
      </w:r>
    </w:p>
    <w:p w14:paraId="289E81CC" w14:textId="77777777" w:rsidR="005925E4" w:rsidRPr="00F96CE2" w:rsidRDefault="005925E4" w:rsidP="00BE7581">
      <w:pPr>
        <w:pStyle w:val="NormalWeb"/>
        <w:ind w:left="720" w:hanging="720"/>
        <w:rPr>
          <w:rFonts w:asciiTheme="majorHAnsi" w:hAnsiTheme="majorHAnsi" w:cstheme="majorHAnsi"/>
          <w:sz w:val="22"/>
          <w:szCs w:val="22"/>
        </w:rPr>
      </w:pPr>
      <w:r w:rsidRPr="00F96CE2">
        <w:rPr>
          <w:rFonts w:asciiTheme="majorHAnsi" w:hAnsiTheme="majorHAnsi" w:cstheme="majorHAnsi"/>
          <w:sz w:val="22"/>
          <w:szCs w:val="22"/>
        </w:rPr>
        <w:t xml:space="preserve">Aktar, F., Sultan, M. Z., &amp; Rashid, M. A. (2020). Study of the effects of complexation of lead with metformin, glimepiride, vildagliptin and dapagliflozin in mice model. </w:t>
      </w:r>
      <w:r w:rsidRPr="00F96CE2">
        <w:rPr>
          <w:rStyle w:val="Emphasis"/>
          <w:rFonts w:asciiTheme="majorHAnsi" w:hAnsiTheme="majorHAnsi" w:cstheme="majorHAnsi"/>
          <w:sz w:val="22"/>
          <w:szCs w:val="22"/>
        </w:rPr>
        <w:t>Microbial Bioactive, 3</w:t>
      </w:r>
      <w:r w:rsidRPr="00F96CE2">
        <w:rPr>
          <w:rFonts w:asciiTheme="majorHAnsi" w:hAnsiTheme="majorHAnsi" w:cstheme="majorHAnsi"/>
          <w:sz w:val="22"/>
          <w:szCs w:val="22"/>
        </w:rPr>
        <w:t xml:space="preserve">(1), 123–133. </w:t>
      </w:r>
    </w:p>
    <w:p w14:paraId="63E63265" w14:textId="77777777" w:rsidR="005925E4" w:rsidRPr="00F96CE2" w:rsidRDefault="005925E4" w:rsidP="00BE7581">
      <w:pPr>
        <w:ind w:left="720" w:hanging="720"/>
        <w:rPr>
          <w:rFonts w:asciiTheme="majorHAnsi" w:hAnsiTheme="majorHAnsi" w:cstheme="majorHAnsi"/>
          <w:lang w:val="en-US"/>
        </w:rPr>
      </w:pPr>
      <w:r w:rsidRPr="00F96CE2">
        <w:rPr>
          <w:rFonts w:asciiTheme="majorHAnsi" w:hAnsiTheme="majorHAnsi" w:cstheme="majorHAnsi"/>
          <w:lang w:val="en-US"/>
        </w:rPr>
        <w:t xml:space="preserve"> Aktar, F., Sultan, M. Z., &amp; Rashid, M. A. (2021). Chromium (III) complexes of metformin, dapagliflozin, vildagliptin and glimepiride potentiate antidiabetic activity in animal model. </w:t>
      </w:r>
      <w:r w:rsidRPr="00F96CE2">
        <w:rPr>
          <w:rFonts w:asciiTheme="majorHAnsi" w:hAnsiTheme="majorHAnsi" w:cstheme="majorHAnsi"/>
          <w:i/>
          <w:iCs/>
          <w:lang w:val="en-US"/>
        </w:rPr>
        <w:t>International Journal of Current Research and Review, 13</w:t>
      </w:r>
      <w:r w:rsidRPr="00F96CE2">
        <w:rPr>
          <w:rFonts w:asciiTheme="majorHAnsi" w:hAnsiTheme="majorHAnsi" w:cstheme="majorHAnsi"/>
          <w:lang w:val="en-US"/>
        </w:rPr>
        <w:t xml:space="preserve">(5), 64–69. </w:t>
      </w:r>
    </w:p>
    <w:p w14:paraId="11282AE1" w14:textId="77777777" w:rsidR="005925E4" w:rsidRPr="00F96CE2" w:rsidRDefault="005925E4" w:rsidP="00BE7581">
      <w:pPr>
        <w:ind w:left="720" w:hanging="720"/>
        <w:rPr>
          <w:rFonts w:asciiTheme="majorHAnsi" w:hAnsiTheme="majorHAnsi" w:cstheme="majorHAnsi"/>
        </w:rPr>
      </w:pPr>
      <w:proofErr w:type="spellStart"/>
      <w:r w:rsidRPr="008B4487">
        <w:rPr>
          <w:rFonts w:asciiTheme="majorHAnsi" w:hAnsiTheme="majorHAnsi" w:cstheme="majorHAnsi"/>
          <w:highlight w:val="yellow"/>
        </w:rPr>
        <w:t>Alkhallaf</w:t>
      </w:r>
      <w:proofErr w:type="spellEnd"/>
      <w:r w:rsidRPr="008B4487">
        <w:rPr>
          <w:rFonts w:asciiTheme="majorHAnsi" w:hAnsiTheme="majorHAnsi" w:cstheme="majorHAnsi"/>
          <w:highlight w:val="yellow"/>
        </w:rPr>
        <w:t xml:space="preserve">, S. A., </w:t>
      </w:r>
      <w:proofErr w:type="spellStart"/>
      <w:r w:rsidRPr="008B4487">
        <w:rPr>
          <w:rFonts w:asciiTheme="majorHAnsi" w:hAnsiTheme="majorHAnsi" w:cstheme="majorHAnsi"/>
          <w:highlight w:val="yellow"/>
        </w:rPr>
        <w:t>Daghriry</w:t>
      </w:r>
      <w:proofErr w:type="spellEnd"/>
      <w:r w:rsidRPr="008B4487">
        <w:rPr>
          <w:rFonts w:asciiTheme="majorHAnsi" w:hAnsiTheme="majorHAnsi" w:cstheme="majorHAnsi"/>
          <w:highlight w:val="yellow"/>
        </w:rPr>
        <w:t xml:space="preserve">, A. I., </w:t>
      </w:r>
      <w:proofErr w:type="spellStart"/>
      <w:r w:rsidRPr="008B4487">
        <w:rPr>
          <w:rFonts w:asciiTheme="majorHAnsi" w:hAnsiTheme="majorHAnsi" w:cstheme="majorHAnsi"/>
          <w:highlight w:val="yellow"/>
        </w:rPr>
        <w:t>Sharahili</w:t>
      </w:r>
      <w:proofErr w:type="spellEnd"/>
      <w:r w:rsidRPr="008B4487">
        <w:rPr>
          <w:rFonts w:asciiTheme="majorHAnsi" w:hAnsiTheme="majorHAnsi" w:cstheme="majorHAnsi"/>
          <w:highlight w:val="yellow"/>
        </w:rPr>
        <w:t xml:space="preserve">, M. A., Alanazi, A. A., Alanazi, H. A., Alharbi, I. F., ... </w:t>
      </w:r>
      <w:proofErr w:type="spellStart"/>
      <w:r w:rsidRPr="008B4487">
        <w:rPr>
          <w:rFonts w:asciiTheme="majorHAnsi" w:hAnsiTheme="majorHAnsi" w:cstheme="majorHAnsi"/>
          <w:highlight w:val="yellow"/>
        </w:rPr>
        <w:t>Alanzi</w:t>
      </w:r>
      <w:proofErr w:type="spellEnd"/>
      <w:r w:rsidRPr="008B4487">
        <w:rPr>
          <w:rFonts w:asciiTheme="majorHAnsi" w:hAnsiTheme="majorHAnsi" w:cstheme="majorHAnsi"/>
          <w:highlight w:val="yellow"/>
        </w:rPr>
        <w:t xml:space="preserve">, A. S. (2024). An in-depth examination of drug–drug interaction databases: Enhancing patient safety through advanced predictive models and artificial intelligence techniques. </w:t>
      </w:r>
      <w:r w:rsidRPr="008B4487">
        <w:rPr>
          <w:rFonts w:asciiTheme="majorHAnsi" w:hAnsiTheme="majorHAnsi" w:cstheme="majorHAnsi"/>
          <w:i/>
          <w:iCs/>
          <w:highlight w:val="yellow"/>
        </w:rPr>
        <w:t>Journal of Medical Life Sciences, 6</w:t>
      </w:r>
      <w:r w:rsidRPr="008B4487">
        <w:rPr>
          <w:rFonts w:asciiTheme="majorHAnsi" w:hAnsiTheme="majorHAnsi" w:cstheme="majorHAnsi"/>
          <w:highlight w:val="yellow"/>
        </w:rPr>
        <w:t>(4), 553–565.</w:t>
      </w:r>
      <w:r w:rsidRPr="00F96CE2">
        <w:rPr>
          <w:rFonts w:asciiTheme="majorHAnsi" w:hAnsiTheme="majorHAnsi" w:cstheme="majorHAnsi"/>
        </w:rPr>
        <w:t xml:space="preserve"> </w:t>
      </w:r>
    </w:p>
    <w:p w14:paraId="4D01B994" w14:textId="77777777" w:rsidR="005925E4" w:rsidRPr="00F96CE2" w:rsidRDefault="005925E4" w:rsidP="00BE7581">
      <w:pPr>
        <w:ind w:left="720" w:hanging="720"/>
        <w:rPr>
          <w:rFonts w:asciiTheme="majorHAnsi" w:hAnsiTheme="majorHAnsi" w:cstheme="majorHAnsi"/>
          <w:lang w:val="en-US"/>
        </w:rPr>
      </w:pPr>
      <w:r w:rsidRPr="00F96CE2">
        <w:rPr>
          <w:rFonts w:asciiTheme="majorHAnsi" w:hAnsiTheme="majorHAnsi" w:cstheme="majorHAnsi"/>
          <w:lang w:val="en-US"/>
        </w:rPr>
        <w:t xml:space="preserve"> Amran, M. S., Bari, A. R., &amp; Hossain, M. A. (2006). Interactions of diltiazem with ibuprofen and naproxen in aqueous medium and rabbits. </w:t>
      </w:r>
      <w:r w:rsidRPr="00F96CE2">
        <w:rPr>
          <w:rFonts w:asciiTheme="majorHAnsi" w:hAnsiTheme="majorHAnsi" w:cstheme="majorHAnsi"/>
          <w:i/>
          <w:iCs/>
          <w:lang w:val="en-US"/>
        </w:rPr>
        <w:t>Dhaka University Journal of Pharmaceutical Sciences, 5</w:t>
      </w:r>
      <w:r w:rsidRPr="00F96CE2">
        <w:rPr>
          <w:rFonts w:asciiTheme="majorHAnsi" w:hAnsiTheme="majorHAnsi" w:cstheme="majorHAnsi"/>
          <w:lang w:val="en-US"/>
        </w:rPr>
        <w:t>(1), 25–28. https://doi.org/10.3329/dujps.v5i1.224</w:t>
      </w:r>
    </w:p>
    <w:p w14:paraId="56393350" w14:textId="77777777" w:rsidR="005925E4" w:rsidRPr="00F96CE2" w:rsidRDefault="005925E4" w:rsidP="00BE7581">
      <w:pPr>
        <w:ind w:left="720" w:hanging="720"/>
        <w:rPr>
          <w:rFonts w:asciiTheme="majorHAnsi" w:hAnsiTheme="majorHAnsi" w:cstheme="majorHAnsi"/>
          <w:lang w:val="en-US"/>
        </w:rPr>
      </w:pPr>
      <w:r w:rsidRPr="00F96CE2">
        <w:rPr>
          <w:rFonts w:asciiTheme="majorHAnsi" w:hAnsiTheme="majorHAnsi" w:cstheme="majorHAnsi"/>
          <w:lang w:val="en-US"/>
        </w:rPr>
        <w:t xml:space="preserve"> Amran, M. S., Morshed, S. N., Khandakar, M. J. A., Rahman, M. M., &amp; Hossain, M. A. (2008). Effects of atenolol and zinc chloride on the protein binding of amlodipine in aqueous medium. </w:t>
      </w:r>
      <w:r w:rsidRPr="00F96CE2">
        <w:rPr>
          <w:rFonts w:asciiTheme="majorHAnsi" w:hAnsiTheme="majorHAnsi" w:cstheme="majorHAnsi"/>
          <w:i/>
          <w:iCs/>
          <w:lang w:val="en-US"/>
        </w:rPr>
        <w:t>Dhaka University Journal of Pharmaceutical Sciences, 7</w:t>
      </w:r>
      <w:r w:rsidRPr="00F96CE2">
        <w:rPr>
          <w:rFonts w:asciiTheme="majorHAnsi" w:hAnsiTheme="majorHAnsi" w:cstheme="majorHAnsi"/>
          <w:lang w:val="en-US"/>
        </w:rPr>
        <w:t xml:space="preserve">(1), 15–21. </w:t>
      </w:r>
    </w:p>
    <w:p w14:paraId="6B726804" w14:textId="77777777" w:rsidR="005925E4" w:rsidRPr="00F96CE2" w:rsidRDefault="005925E4" w:rsidP="00BE7581">
      <w:pPr>
        <w:ind w:left="720" w:hanging="720"/>
        <w:rPr>
          <w:rFonts w:asciiTheme="majorHAnsi" w:hAnsiTheme="majorHAnsi" w:cstheme="majorHAnsi"/>
        </w:rPr>
      </w:pPr>
      <w:r w:rsidRPr="00F96CE2">
        <w:rPr>
          <w:rFonts w:asciiTheme="majorHAnsi" w:hAnsiTheme="majorHAnsi" w:cstheme="majorHAnsi"/>
          <w:lang w:val="en-US"/>
        </w:rPr>
        <w:t xml:space="preserve"> Amran, M. S., </w:t>
      </w:r>
      <w:proofErr w:type="spellStart"/>
      <w:r w:rsidRPr="00F96CE2">
        <w:rPr>
          <w:rFonts w:asciiTheme="majorHAnsi" w:hAnsiTheme="majorHAnsi" w:cstheme="majorHAnsi"/>
          <w:lang w:val="en-US"/>
        </w:rPr>
        <w:t>Rahatuzzamn</w:t>
      </w:r>
      <w:proofErr w:type="spellEnd"/>
      <w:r w:rsidRPr="00F96CE2">
        <w:rPr>
          <w:rFonts w:asciiTheme="majorHAnsi" w:hAnsiTheme="majorHAnsi" w:cstheme="majorHAnsi"/>
          <w:lang w:val="en-US"/>
        </w:rPr>
        <w:t xml:space="preserve">, M., &amp; Hossain, M. A. (2007). The synergism of diltiazem and nifedipine in their antihypertensive functions in the animal model and the case of coadministration of ketotifen </w:t>
      </w:r>
      <w:proofErr w:type="spellStart"/>
      <w:r w:rsidRPr="00F96CE2">
        <w:rPr>
          <w:rFonts w:asciiTheme="majorHAnsi" w:hAnsiTheme="majorHAnsi" w:cstheme="majorHAnsi"/>
          <w:lang w:val="en-US"/>
        </w:rPr>
        <w:t>fumerate</w:t>
      </w:r>
      <w:proofErr w:type="spellEnd"/>
      <w:r w:rsidRPr="00F96CE2">
        <w:rPr>
          <w:rFonts w:asciiTheme="majorHAnsi" w:hAnsiTheme="majorHAnsi" w:cstheme="majorHAnsi"/>
          <w:lang w:val="en-US"/>
        </w:rPr>
        <w:t xml:space="preserve"> and potassium nitrate with them. </w:t>
      </w:r>
      <w:r w:rsidRPr="00F96CE2">
        <w:rPr>
          <w:rFonts w:asciiTheme="majorHAnsi" w:hAnsiTheme="majorHAnsi" w:cstheme="majorHAnsi"/>
          <w:i/>
          <w:iCs/>
          <w:lang w:val="en-US"/>
        </w:rPr>
        <w:t>Journal of Biosciences (</w:t>
      </w:r>
      <w:proofErr w:type="spellStart"/>
      <w:r w:rsidRPr="00F96CE2">
        <w:rPr>
          <w:rFonts w:asciiTheme="majorHAnsi" w:hAnsiTheme="majorHAnsi" w:cstheme="majorHAnsi"/>
          <w:i/>
          <w:iCs/>
          <w:lang w:val="en-US"/>
        </w:rPr>
        <w:t>Rajshahi</w:t>
      </w:r>
      <w:proofErr w:type="spellEnd"/>
      <w:r w:rsidRPr="00F96CE2">
        <w:rPr>
          <w:rFonts w:asciiTheme="majorHAnsi" w:hAnsiTheme="majorHAnsi" w:cstheme="majorHAnsi"/>
          <w:i/>
          <w:iCs/>
          <w:lang w:val="en-US"/>
        </w:rPr>
        <w:t xml:space="preserve"> University), 14</w:t>
      </w:r>
      <w:r w:rsidRPr="00F96CE2">
        <w:rPr>
          <w:rFonts w:asciiTheme="majorHAnsi" w:hAnsiTheme="majorHAnsi" w:cstheme="majorHAnsi"/>
          <w:lang w:val="en-US"/>
        </w:rPr>
        <w:t xml:space="preserve">, 61–67. </w:t>
      </w:r>
    </w:p>
    <w:p w14:paraId="1F0D4722" w14:textId="77777777" w:rsidR="005925E4" w:rsidRPr="00F96CE2" w:rsidRDefault="005925E4" w:rsidP="00BE7581">
      <w:pPr>
        <w:ind w:left="720" w:hanging="720"/>
        <w:rPr>
          <w:rFonts w:asciiTheme="majorHAnsi" w:hAnsiTheme="majorHAnsi" w:cstheme="majorHAnsi"/>
          <w:lang w:val="en-US"/>
        </w:rPr>
      </w:pPr>
      <w:r w:rsidRPr="00F96CE2">
        <w:rPr>
          <w:rFonts w:asciiTheme="majorHAnsi" w:hAnsiTheme="majorHAnsi" w:cstheme="majorHAnsi"/>
          <w:lang w:val="en-US"/>
        </w:rPr>
        <w:t xml:space="preserve">Ardon, M. (1957). 340. Oxidation of ethanol by ceric perchlorate. </w:t>
      </w:r>
      <w:r w:rsidRPr="00F96CE2">
        <w:rPr>
          <w:rFonts w:asciiTheme="majorHAnsi" w:hAnsiTheme="majorHAnsi" w:cstheme="majorHAnsi"/>
          <w:i/>
          <w:iCs/>
          <w:lang w:val="en-US"/>
        </w:rPr>
        <w:t>Journal of the Chemical Society (Resumed)</w:t>
      </w:r>
      <w:r w:rsidRPr="00F96CE2">
        <w:rPr>
          <w:rFonts w:asciiTheme="majorHAnsi" w:hAnsiTheme="majorHAnsi" w:cstheme="majorHAnsi"/>
          <w:lang w:val="en-US"/>
        </w:rPr>
        <w:t xml:space="preserve">, 1811. </w:t>
      </w:r>
    </w:p>
    <w:p w14:paraId="5B6EA98F" w14:textId="77777777" w:rsidR="005925E4" w:rsidRDefault="005925E4" w:rsidP="00BE7581">
      <w:pPr>
        <w:tabs>
          <w:tab w:val="num" w:pos="720"/>
        </w:tabs>
        <w:spacing w:after="0" w:line="360" w:lineRule="auto"/>
        <w:ind w:left="720" w:hanging="720"/>
        <w:jc w:val="both"/>
        <w:rPr>
          <w:rFonts w:asciiTheme="majorHAnsi" w:hAnsiTheme="majorHAnsi" w:cstheme="majorHAnsi"/>
        </w:rPr>
      </w:pPr>
      <w:r w:rsidRPr="00F96CE2">
        <w:rPr>
          <w:rFonts w:asciiTheme="majorHAnsi" w:hAnsiTheme="majorHAnsi" w:cstheme="majorHAnsi"/>
        </w:rPr>
        <w:t xml:space="preserve"> Azam, A. T. M. Z., </w:t>
      </w:r>
      <w:proofErr w:type="spellStart"/>
      <w:r w:rsidRPr="00F96CE2">
        <w:rPr>
          <w:rFonts w:asciiTheme="majorHAnsi" w:hAnsiTheme="majorHAnsi" w:cstheme="majorHAnsi"/>
        </w:rPr>
        <w:t>Siraji</w:t>
      </w:r>
      <w:proofErr w:type="spellEnd"/>
      <w:r w:rsidRPr="00F96CE2">
        <w:rPr>
          <w:rFonts w:asciiTheme="majorHAnsi" w:hAnsiTheme="majorHAnsi" w:cstheme="majorHAnsi"/>
        </w:rPr>
        <w:t xml:space="preserve">, F., Amran, M. S., Islam, J. N., Amjad, F. M., &amp; Hossain, M. A. (2011). Interaction of </w:t>
      </w:r>
      <w:r>
        <w:rPr>
          <w:rFonts w:asciiTheme="majorHAnsi" w:hAnsiTheme="majorHAnsi" w:cstheme="majorHAnsi"/>
        </w:rPr>
        <w:t xml:space="preserve">   </w:t>
      </w:r>
      <w:r w:rsidRPr="00F96CE2">
        <w:rPr>
          <w:rFonts w:asciiTheme="majorHAnsi" w:hAnsiTheme="majorHAnsi" w:cstheme="majorHAnsi"/>
        </w:rPr>
        <w:t xml:space="preserve">metronidazole and mebendazole with copper (II) and chromium (III) in aqueous media. </w:t>
      </w:r>
      <w:r w:rsidRPr="00F96CE2">
        <w:rPr>
          <w:rStyle w:val="Emphasis"/>
          <w:rFonts w:asciiTheme="majorHAnsi" w:hAnsiTheme="majorHAnsi" w:cstheme="majorHAnsi"/>
        </w:rPr>
        <w:t>Journal of Scientific Research, 4</w:t>
      </w:r>
      <w:r w:rsidRPr="00F96CE2">
        <w:rPr>
          <w:rFonts w:asciiTheme="majorHAnsi" w:hAnsiTheme="majorHAnsi" w:cstheme="majorHAnsi"/>
        </w:rPr>
        <w:t>(1), 173.</w:t>
      </w:r>
    </w:p>
    <w:p w14:paraId="3F6BB45B" w14:textId="77777777" w:rsidR="005925E4" w:rsidRPr="00F96CE2" w:rsidRDefault="005925E4" w:rsidP="00BE7581">
      <w:pPr>
        <w:pStyle w:val="NormalWeb"/>
        <w:ind w:left="720" w:hanging="720"/>
        <w:rPr>
          <w:rFonts w:asciiTheme="majorHAnsi" w:hAnsiTheme="majorHAnsi" w:cstheme="majorHAnsi"/>
          <w:sz w:val="22"/>
          <w:szCs w:val="22"/>
        </w:rPr>
      </w:pPr>
      <w:r w:rsidRPr="00F96CE2">
        <w:rPr>
          <w:rFonts w:asciiTheme="majorHAnsi" w:hAnsiTheme="majorHAnsi" w:cstheme="majorHAnsi"/>
          <w:sz w:val="22"/>
          <w:szCs w:val="22"/>
        </w:rPr>
        <w:t xml:space="preserve"> Bari, A. H. M. R., Azam, A. T. M. Z., Amran, M. S., &amp; Hossain, M. A. (2000). In vivo effects of ibuprofen and naproxen on the plasma concentration of diltiazem in rabbits. </w:t>
      </w:r>
      <w:r w:rsidRPr="00F96CE2">
        <w:rPr>
          <w:rStyle w:val="Emphasis"/>
          <w:rFonts w:asciiTheme="majorHAnsi" w:hAnsiTheme="majorHAnsi" w:cstheme="majorHAnsi"/>
          <w:sz w:val="22"/>
          <w:szCs w:val="22"/>
        </w:rPr>
        <w:t>Pakistan Journal of Biological Sciences, 3</w:t>
      </w:r>
      <w:r w:rsidRPr="00F96CE2">
        <w:rPr>
          <w:rFonts w:asciiTheme="majorHAnsi" w:hAnsiTheme="majorHAnsi" w:cstheme="majorHAnsi"/>
          <w:sz w:val="22"/>
          <w:szCs w:val="22"/>
        </w:rPr>
        <w:t>(4), 555–557</w:t>
      </w:r>
    </w:p>
    <w:p w14:paraId="21F2E5FF" w14:textId="77777777" w:rsidR="005925E4" w:rsidRPr="00F96CE2" w:rsidRDefault="005925E4" w:rsidP="00BE7581">
      <w:pPr>
        <w:pStyle w:val="NormalWeb"/>
        <w:ind w:left="720" w:hanging="720"/>
        <w:rPr>
          <w:rFonts w:asciiTheme="majorHAnsi" w:hAnsiTheme="majorHAnsi" w:cstheme="majorHAnsi"/>
          <w:sz w:val="22"/>
          <w:szCs w:val="22"/>
        </w:rPr>
      </w:pPr>
      <w:r w:rsidRPr="00F96CE2">
        <w:rPr>
          <w:rFonts w:asciiTheme="majorHAnsi" w:hAnsiTheme="majorHAnsi" w:cstheme="majorHAnsi"/>
          <w:sz w:val="22"/>
          <w:szCs w:val="22"/>
        </w:rPr>
        <w:t>Bates. (1964). Determination of pH – Theory and practice (pp. 50–67). Wiley.</w:t>
      </w:r>
    </w:p>
    <w:p w14:paraId="7E6E206E" w14:textId="77777777" w:rsidR="005925E4" w:rsidRPr="00F96CE2" w:rsidRDefault="005925E4" w:rsidP="00BE7581">
      <w:pPr>
        <w:tabs>
          <w:tab w:val="num" w:pos="720"/>
        </w:tabs>
        <w:spacing w:after="0" w:line="360" w:lineRule="auto"/>
        <w:ind w:left="720" w:hanging="720"/>
        <w:jc w:val="both"/>
        <w:rPr>
          <w:rFonts w:asciiTheme="majorHAnsi" w:eastAsia="Times New Roman" w:hAnsiTheme="majorHAnsi" w:cstheme="majorHAnsi"/>
          <w:bCs/>
          <w:color w:val="000000"/>
          <w:lang w:val="en-US"/>
        </w:rPr>
      </w:pPr>
      <w:r w:rsidRPr="00F96CE2">
        <w:rPr>
          <w:rFonts w:asciiTheme="majorHAnsi" w:eastAsia="Times New Roman" w:hAnsiTheme="majorHAnsi" w:cstheme="majorHAnsi"/>
          <w:bCs/>
          <w:color w:val="000000"/>
          <w:lang w:val="en-US"/>
        </w:rPr>
        <w:t xml:space="preserve">Bennett, P. N., &amp; Brown, M. J. (2008). </w:t>
      </w:r>
      <w:r w:rsidRPr="00F96CE2">
        <w:rPr>
          <w:rFonts w:asciiTheme="majorHAnsi" w:eastAsia="Times New Roman" w:hAnsiTheme="majorHAnsi" w:cstheme="majorHAnsi"/>
          <w:bCs/>
          <w:i/>
          <w:iCs/>
          <w:color w:val="000000"/>
          <w:lang w:val="en-US"/>
        </w:rPr>
        <w:t>Clinical pharmacology</w:t>
      </w:r>
      <w:r w:rsidRPr="00F96CE2">
        <w:rPr>
          <w:rFonts w:asciiTheme="majorHAnsi" w:eastAsia="Times New Roman" w:hAnsiTheme="majorHAnsi" w:cstheme="majorHAnsi"/>
          <w:bCs/>
          <w:color w:val="000000"/>
          <w:lang w:val="en-US"/>
        </w:rPr>
        <w:t xml:space="preserve"> (10th ed., pp. 112–114). Elsevier.</w:t>
      </w:r>
    </w:p>
    <w:p w14:paraId="61DF1006" w14:textId="77777777" w:rsidR="005925E4" w:rsidRPr="00F96CE2" w:rsidRDefault="005925E4" w:rsidP="00BE7581">
      <w:pPr>
        <w:ind w:left="720" w:hanging="720"/>
        <w:rPr>
          <w:rFonts w:asciiTheme="majorHAnsi" w:hAnsiTheme="majorHAnsi" w:cstheme="majorHAnsi"/>
          <w:lang w:val="en-US"/>
        </w:rPr>
      </w:pPr>
      <w:r w:rsidRPr="00F96CE2">
        <w:rPr>
          <w:rFonts w:asciiTheme="majorHAnsi" w:hAnsiTheme="majorHAnsi" w:cstheme="majorHAnsi"/>
          <w:lang w:val="en-US"/>
        </w:rPr>
        <w:t xml:space="preserve"> Braun, R. D. (n.d.). Chemical analysis. </w:t>
      </w:r>
      <w:r w:rsidRPr="00F96CE2">
        <w:rPr>
          <w:rFonts w:asciiTheme="majorHAnsi" w:hAnsiTheme="majorHAnsi" w:cstheme="majorHAnsi"/>
          <w:i/>
          <w:iCs/>
          <w:lang w:val="en-US"/>
        </w:rPr>
        <w:t>Encyclopedia Britannica</w:t>
      </w:r>
      <w:r w:rsidRPr="00F96CE2">
        <w:rPr>
          <w:rFonts w:asciiTheme="majorHAnsi" w:hAnsiTheme="majorHAnsi" w:cstheme="majorHAnsi"/>
          <w:lang w:val="en-US"/>
        </w:rPr>
        <w:t>. Encyclopedia Britannica Online.</w:t>
      </w:r>
    </w:p>
    <w:p w14:paraId="45769DF5" w14:textId="77777777" w:rsidR="005925E4" w:rsidRPr="00F96CE2" w:rsidRDefault="005925E4" w:rsidP="00BE7581">
      <w:pPr>
        <w:tabs>
          <w:tab w:val="num" w:pos="720"/>
        </w:tabs>
        <w:spacing w:after="0" w:line="360" w:lineRule="auto"/>
        <w:ind w:left="720" w:hanging="720"/>
        <w:jc w:val="both"/>
        <w:rPr>
          <w:rFonts w:asciiTheme="majorHAnsi" w:eastAsia="Times New Roman" w:hAnsiTheme="majorHAnsi" w:cstheme="majorHAnsi"/>
          <w:bCs/>
          <w:color w:val="000000"/>
          <w:lang w:val="en-US"/>
        </w:rPr>
      </w:pPr>
      <w:r w:rsidRPr="00F96CE2">
        <w:rPr>
          <w:rFonts w:asciiTheme="majorHAnsi" w:eastAsia="Times New Roman" w:hAnsiTheme="majorHAnsi" w:cstheme="majorHAnsi"/>
          <w:bCs/>
          <w:color w:val="000000"/>
          <w:lang w:val="en-US"/>
        </w:rPr>
        <w:lastRenderedPageBreak/>
        <w:t xml:space="preserve">Brunton, L. L., Lazo, J. S., &amp; Parker, K. L. (2005). </w:t>
      </w:r>
      <w:r w:rsidRPr="00F96CE2">
        <w:rPr>
          <w:rFonts w:asciiTheme="majorHAnsi" w:eastAsia="Times New Roman" w:hAnsiTheme="majorHAnsi" w:cstheme="majorHAnsi"/>
          <w:bCs/>
          <w:i/>
          <w:iCs/>
          <w:color w:val="000000"/>
          <w:lang w:val="en-US"/>
        </w:rPr>
        <w:t>Goodman &amp; Gilman’s the pharmacological basis of therapeutics</w:t>
      </w:r>
      <w:r w:rsidRPr="00F96CE2">
        <w:rPr>
          <w:rFonts w:asciiTheme="majorHAnsi" w:eastAsia="Times New Roman" w:hAnsiTheme="majorHAnsi" w:cstheme="majorHAnsi"/>
          <w:bCs/>
          <w:color w:val="000000"/>
          <w:lang w:val="en-US"/>
        </w:rPr>
        <w:t xml:space="preserve"> (11th ed., pp. 26–60). The McGraw-Hill Companies.</w:t>
      </w:r>
    </w:p>
    <w:p w14:paraId="7296896E" w14:textId="77777777" w:rsidR="005925E4" w:rsidRDefault="005925E4" w:rsidP="00BE7581">
      <w:pPr>
        <w:tabs>
          <w:tab w:val="num" w:pos="720"/>
        </w:tabs>
        <w:spacing w:after="0" w:line="360" w:lineRule="auto"/>
        <w:ind w:left="720" w:hanging="720"/>
        <w:jc w:val="both"/>
        <w:rPr>
          <w:rFonts w:asciiTheme="majorHAnsi" w:eastAsia="Times New Roman" w:hAnsiTheme="majorHAnsi" w:cstheme="majorHAnsi"/>
          <w:bCs/>
          <w:color w:val="000000"/>
          <w:lang w:val="en-US"/>
        </w:rPr>
      </w:pPr>
      <w:r w:rsidRPr="00F96CE2">
        <w:rPr>
          <w:rFonts w:asciiTheme="majorHAnsi" w:eastAsia="Times New Roman" w:hAnsiTheme="majorHAnsi" w:cstheme="majorHAnsi"/>
          <w:bCs/>
          <w:color w:val="000000"/>
          <w:lang w:val="en-US"/>
        </w:rPr>
        <w:t xml:space="preserve">Cadwallader, D. E. (1985). </w:t>
      </w:r>
      <w:r w:rsidRPr="00F96CE2">
        <w:rPr>
          <w:rFonts w:asciiTheme="majorHAnsi" w:eastAsia="Times New Roman" w:hAnsiTheme="majorHAnsi" w:cstheme="majorHAnsi"/>
          <w:bCs/>
          <w:i/>
          <w:iCs/>
          <w:color w:val="000000"/>
          <w:lang w:val="en-US"/>
        </w:rPr>
        <w:t>Biopharmaceutics and drug interactions</w:t>
      </w:r>
      <w:r w:rsidRPr="00F96CE2">
        <w:rPr>
          <w:rFonts w:asciiTheme="majorHAnsi" w:eastAsia="Times New Roman" w:hAnsiTheme="majorHAnsi" w:cstheme="majorHAnsi"/>
          <w:bCs/>
          <w:color w:val="000000"/>
          <w:lang w:val="en-US"/>
        </w:rPr>
        <w:t xml:space="preserve"> (3rd ed., pp. 3–7). Raven Press.</w:t>
      </w:r>
    </w:p>
    <w:p w14:paraId="14234177" w14:textId="77777777" w:rsidR="005925E4" w:rsidRPr="00F96CE2" w:rsidRDefault="005925E4" w:rsidP="005925E4">
      <w:pPr>
        <w:pStyle w:val="NormalWeb"/>
        <w:rPr>
          <w:rFonts w:asciiTheme="majorHAnsi" w:hAnsiTheme="majorHAnsi" w:cstheme="majorHAnsi"/>
          <w:sz w:val="22"/>
          <w:szCs w:val="22"/>
        </w:rPr>
      </w:pPr>
      <w:r w:rsidRPr="00F96CE2">
        <w:rPr>
          <w:rFonts w:asciiTheme="majorHAnsi" w:hAnsiTheme="majorHAnsi" w:cstheme="majorHAnsi"/>
          <w:sz w:val="22"/>
          <w:szCs w:val="22"/>
        </w:rPr>
        <w:t xml:space="preserve">Chatten, L. G. (1969). </w:t>
      </w:r>
      <w:r w:rsidRPr="00F96CE2">
        <w:rPr>
          <w:rStyle w:val="Emphasis"/>
          <w:rFonts w:asciiTheme="majorHAnsi" w:hAnsiTheme="majorHAnsi" w:cstheme="majorHAnsi"/>
          <w:sz w:val="22"/>
          <w:szCs w:val="22"/>
        </w:rPr>
        <w:t>Pharmaceutical chemistry</w:t>
      </w:r>
      <w:r w:rsidRPr="00F96CE2">
        <w:rPr>
          <w:rFonts w:asciiTheme="majorHAnsi" w:hAnsiTheme="majorHAnsi" w:cstheme="majorHAnsi"/>
          <w:sz w:val="22"/>
          <w:szCs w:val="22"/>
        </w:rPr>
        <w:t xml:space="preserve"> (pp. 1–58). Marcel Dekker.</w:t>
      </w:r>
    </w:p>
    <w:p w14:paraId="2793397D" w14:textId="77777777" w:rsidR="005925E4" w:rsidRPr="00F96CE2" w:rsidRDefault="005925E4" w:rsidP="00BE7581">
      <w:pPr>
        <w:ind w:left="720" w:hanging="720"/>
        <w:rPr>
          <w:rFonts w:asciiTheme="majorHAnsi" w:hAnsiTheme="majorHAnsi" w:cstheme="majorHAnsi"/>
          <w:lang w:val="en-US"/>
        </w:rPr>
      </w:pPr>
      <w:r w:rsidRPr="00F96CE2">
        <w:rPr>
          <w:rFonts w:asciiTheme="majorHAnsi" w:hAnsiTheme="majorHAnsi" w:cstheme="majorHAnsi"/>
          <w:lang w:val="en-US"/>
        </w:rPr>
        <w:t xml:space="preserve"> Chowdhury, A. A., Brishti, M. A., Uddin, G., Tipu, F. K., Kabir, S., &amp; Amran, M. S. (2021). Analytical method development and validation of cefixime trihydrate in bulk and dosage form by UV-visible spectroscopy. </w:t>
      </w:r>
      <w:r w:rsidRPr="00F96CE2">
        <w:rPr>
          <w:rFonts w:asciiTheme="majorHAnsi" w:hAnsiTheme="majorHAnsi" w:cstheme="majorHAnsi"/>
          <w:i/>
          <w:iCs/>
          <w:lang w:val="en-US"/>
        </w:rPr>
        <w:t>Journal of Applied Pharmaceutical Sciences and Research, 4</w:t>
      </w:r>
      <w:r w:rsidRPr="00F96CE2">
        <w:rPr>
          <w:rFonts w:asciiTheme="majorHAnsi" w:hAnsiTheme="majorHAnsi" w:cstheme="majorHAnsi"/>
          <w:lang w:val="en-US"/>
        </w:rPr>
        <w:t xml:space="preserve">(2), 4–9. </w:t>
      </w:r>
    </w:p>
    <w:p w14:paraId="56114048" w14:textId="4E4CD6CA" w:rsidR="005925E4" w:rsidRPr="00F96CE2" w:rsidRDefault="005925E4" w:rsidP="00BE7581">
      <w:pPr>
        <w:ind w:left="720" w:hanging="720"/>
        <w:rPr>
          <w:rFonts w:asciiTheme="majorHAnsi" w:hAnsiTheme="majorHAnsi" w:cstheme="majorHAnsi"/>
          <w:lang w:val="en-US"/>
        </w:rPr>
      </w:pPr>
      <w:r w:rsidRPr="00F96CE2">
        <w:rPr>
          <w:rFonts w:asciiTheme="majorHAnsi" w:hAnsiTheme="majorHAnsi" w:cstheme="majorHAnsi"/>
          <w:lang w:val="en-US"/>
        </w:rPr>
        <w:t xml:space="preserve"> Chowdhury, K. A. A. (2023). In vitro drug-drug interaction study between ranitidine hydrochloride and bisoprolol fumarate. </w:t>
      </w:r>
      <w:r w:rsidRPr="00F96CE2">
        <w:rPr>
          <w:rFonts w:asciiTheme="majorHAnsi" w:hAnsiTheme="majorHAnsi" w:cstheme="majorHAnsi"/>
          <w:i/>
          <w:iCs/>
          <w:lang w:val="en-US"/>
        </w:rPr>
        <w:t>IIUC Studies, 20</w:t>
      </w:r>
      <w:r w:rsidRPr="00F96CE2">
        <w:rPr>
          <w:rFonts w:asciiTheme="majorHAnsi" w:hAnsiTheme="majorHAnsi" w:cstheme="majorHAnsi"/>
          <w:lang w:val="en-US"/>
        </w:rPr>
        <w:t xml:space="preserve">(1), 33–58. </w:t>
      </w:r>
    </w:p>
    <w:p w14:paraId="6EDBFC1F" w14:textId="77777777" w:rsidR="005925E4" w:rsidRPr="00F96CE2" w:rsidRDefault="005925E4" w:rsidP="00BE7581">
      <w:pPr>
        <w:ind w:left="720" w:hanging="720"/>
        <w:rPr>
          <w:rFonts w:asciiTheme="majorHAnsi" w:hAnsiTheme="majorHAnsi" w:cstheme="majorHAnsi"/>
          <w:lang w:val="en-US"/>
        </w:rPr>
      </w:pPr>
      <w:proofErr w:type="spellStart"/>
      <w:r w:rsidRPr="00F96CE2">
        <w:rPr>
          <w:rFonts w:asciiTheme="majorHAnsi" w:hAnsiTheme="majorHAnsi" w:cstheme="majorHAnsi"/>
          <w:lang w:val="en-US"/>
        </w:rPr>
        <w:t>Dahshan</w:t>
      </w:r>
      <w:proofErr w:type="spellEnd"/>
      <w:r w:rsidRPr="00F96CE2">
        <w:rPr>
          <w:rFonts w:asciiTheme="majorHAnsi" w:hAnsiTheme="majorHAnsi" w:cstheme="majorHAnsi"/>
          <w:lang w:val="en-US"/>
        </w:rPr>
        <w:t xml:space="preserve">, H. E., Helal, M. A., Mostafa, S. M., &amp; </w:t>
      </w:r>
      <w:proofErr w:type="spellStart"/>
      <w:r w:rsidRPr="00F96CE2">
        <w:rPr>
          <w:rFonts w:asciiTheme="majorHAnsi" w:hAnsiTheme="majorHAnsi" w:cstheme="majorHAnsi"/>
          <w:lang w:val="en-US"/>
        </w:rPr>
        <w:t>Elgawish</w:t>
      </w:r>
      <w:proofErr w:type="spellEnd"/>
      <w:r w:rsidRPr="00F96CE2">
        <w:rPr>
          <w:rFonts w:asciiTheme="majorHAnsi" w:hAnsiTheme="majorHAnsi" w:cstheme="majorHAnsi"/>
          <w:lang w:val="en-US"/>
        </w:rPr>
        <w:t xml:space="preserve">, M. S. (2019). Development and validation of an HPLC-UV method for simultaneous determination of sildenafil and tramadol in biological fluids: Application to drug-drug interaction study. </w:t>
      </w:r>
      <w:r w:rsidRPr="00F96CE2">
        <w:rPr>
          <w:rFonts w:asciiTheme="majorHAnsi" w:hAnsiTheme="majorHAnsi" w:cstheme="majorHAnsi"/>
          <w:i/>
          <w:iCs/>
          <w:lang w:val="en-US"/>
        </w:rPr>
        <w:t>Journal of Pharmaceutical and Biomedical Analysis</w:t>
      </w:r>
      <w:r w:rsidRPr="00F96CE2">
        <w:rPr>
          <w:rFonts w:asciiTheme="majorHAnsi" w:hAnsiTheme="majorHAnsi" w:cstheme="majorHAnsi"/>
          <w:lang w:val="en-US"/>
        </w:rPr>
        <w:t xml:space="preserve">, </w:t>
      </w:r>
      <w:r w:rsidRPr="00F96CE2">
        <w:rPr>
          <w:rFonts w:asciiTheme="majorHAnsi" w:hAnsiTheme="majorHAnsi" w:cstheme="majorHAnsi"/>
          <w:i/>
          <w:iCs/>
          <w:lang w:val="en-US"/>
        </w:rPr>
        <w:t>168</w:t>
      </w:r>
      <w:r w:rsidRPr="00F96CE2">
        <w:rPr>
          <w:rFonts w:asciiTheme="majorHAnsi" w:hAnsiTheme="majorHAnsi" w:cstheme="majorHAnsi"/>
          <w:lang w:val="en-US"/>
        </w:rPr>
        <w:t>, 201–208</w:t>
      </w:r>
    </w:p>
    <w:p w14:paraId="086415AB" w14:textId="77777777" w:rsidR="005925E4" w:rsidRPr="00BE7581" w:rsidRDefault="005925E4" w:rsidP="00BE7581">
      <w:pPr>
        <w:ind w:left="720" w:hanging="720"/>
        <w:rPr>
          <w:rFonts w:asciiTheme="majorHAnsi" w:hAnsiTheme="majorHAnsi" w:cstheme="majorHAnsi"/>
          <w:i/>
          <w:iCs/>
          <w:lang w:val="en-US"/>
        </w:rPr>
      </w:pPr>
      <w:r w:rsidRPr="00F96CE2">
        <w:rPr>
          <w:rFonts w:asciiTheme="majorHAnsi" w:hAnsiTheme="majorHAnsi" w:cstheme="majorHAnsi"/>
          <w:lang w:val="en-US"/>
        </w:rPr>
        <w:t xml:space="preserve"> Deepa, K., Sultan, M., Amran, M., &amp; Kabir, S. (2016). In vitro analysis of the interaction between ketorolac tromethamine and bovine serum albumin using fluorescence spectroscopy. </w:t>
      </w:r>
      <w:r w:rsidRPr="00F96CE2">
        <w:rPr>
          <w:rFonts w:asciiTheme="majorHAnsi" w:hAnsiTheme="majorHAnsi" w:cstheme="majorHAnsi"/>
          <w:i/>
          <w:iCs/>
          <w:lang w:val="en-US"/>
        </w:rPr>
        <w:t>Journal of Advances in Medical and Pharmaceutical Sciences, 10</w:t>
      </w:r>
      <w:r w:rsidRPr="00F96CE2">
        <w:rPr>
          <w:rFonts w:asciiTheme="majorHAnsi" w:hAnsiTheme="majorHAnsi" w:cstheme="majorHAnsi"/>
          <w:lang w:val="en-US"/>
        </w:rPr>
        <w:t xml:space="preserve">(1), 1–8. </w:t>
      </w:r>
    </w:p>
    <w:p w14:paraId="02A003E3" w14:textId="77777777" w:rsidR="005925E4" w:rsidRPr="00F96CE2" w:rsidRDefault="005925E4" w:rsidP="00BE7581">
      <w:pPr>
        <w:tabs>
          <w:tab w:val="num" w:pos="720"/>
        </w:tabs>
        <w:spacing w:after="0" w:line="360" w:lineRule="auto"/>
        <w:ind w:left="720" w:hanging="720"/>
        <w:jc w:val="both"/>
        <w:rPr>
          <w:rFonts w:asciiTheme="majorHAnsi" w:eastAsia="Times New Roman" w:hAnsiTheme="majorHAnsi" w:cstheme="majorHAnsi"/>
          <w:bCs/>
          <w:color w:val="000000"/>
          <w:lang w:val="en-US"/>
        </w:rPr>
      </w:pPr>
      <w:r w:rsidRPr="00F96CE2">
        <w:rPr>
          <w:rFonts w:asciiTheme="majorHAnsi" w:eastAsia="Times New Roman" w:hAnsiTheme="majorHAnsi" w:cstheme="majorHAnsi"/>
          <w:bCs/>
          <w:color w:val="000000"/>
          <w:lang w:val="en-US"/>
        </w:rPr>
        <w:t xml:space="preserve">Directorate General of Drug Administration (DGDA). (n.d.). </w:t>
      </w:r>
      <w:r w:rsidRPr="00F96CE2">
        <w:rPr>
          <w:rFonts w:asciiTheme="majorHAnsi" w:eastAsia="Times New Roman" w:hAnsiTheme="majorHAnsi" w:cstheme="majorHAnsi"/>
          <w:bCs/>
          <w:i/>
          <w:iCs/>
          <w:color w:val="000000"/>
          <w:lang w:val="en-US"/>
        </w:rPr>
        <w:t>Bangladesh National Formulary (BDNF)</w:t>
      </w:r>
      <w:r w:rsidRPr="00F96CE2">
        <w:rPr>
          <w:rFonts w:asciiTheme="majorHAnsi" w:eastAsia="Times New Roman" w:hAnsiTheme="majorHAnsi" w:cstheme="majorHAnsi"/>
          <w:bCs/>
          <w:color w:val="000000"/>
          <w:lang w:val="en-US"/>
        </w:rPr>
        <w:t xml:space="preserve"> (5th ed., pp. 609–677).</w:t>
      </w:r>
    </w:p>
    <w:p w14:paraId="4FC1C8DF" w14:textId="77777777" w:rsidR="005925E4" w:rsidRPr="00F96CE2" w:rsidRDefault="005925E4" w:rsidP="00BE7581">
      <w:pPr>
        <w:ind w:left="720" w:hanging="720"/>
        <w:rPr>
          <w:rFonts w:asciiTheme="majorHAnsi" w:hAnsiTheme="majorHAnsi" w:cstheme="majorHAnsi"/>
          <w:lang w:val="en-US"/>
        </w:rPr>
      </w:pPr>
      <w:r w:rsidRPr="00F96CE2">
        <w:rPr>
          <w:rFonts w:asciiTheme="majorHAnsi" w:hAnsiTheme="majorHAnsi" w:cstheme="majorHAnsi"/>
          <w:lang w:val="en-US"/>
        </w:rPr>
        <w:t xml:space="preserve">Dmitriev, A. V., Rudik, A. V., Karasev, D. A., Pogodin, P. V., </w:t>
      </w:r>
      <w:proofErr w:type="spellStart"/>
      <w:r w:rsidRPr="00F96CE2">
        <w:rPr>
          <w:rFonts w:asciiTheme="majorHAnsi" w:hAnsiTheme="majorHAnsi" w:cstheme="majorHAnsi"/>
          <w:lang w:val="en-US"/>
        </w:rPr>
        <w:t>Lagunin</w:t>
      </w:r>
      <w:proofErr w:type="spellEnd"/>
      <w:r w:rsidRPr="00F96CE2">
        <w:rPr>
          <w:rFonts w:asciiTheme="majorHAnsi" w:hAnsiTheme="majorHAnsi" w:cstheme="majorHAnsi"/>
          <w:lang w:val="en-US"/>
        </w:rPr>
        <w:t xml:space="preserve">, A. A., Filimonov, D. A., et al. (2021). In silico prediction of drug–drug interactions mediated by cytochrome P450 isoforms. </w:t>
      </w:r>
      <w:r w:rsidRPr="00F96CE2">
        <w:rPr>
          <w:rFonts w:asciiTheme="majorHAnsi" w:hAnsiTheme="majorHAnsi" w:cstheme="majorHAnsi"/>
          <w:i/>
          <w:iCs/>
          <w:lang w:val="en-US"/>
        </w:rPr>
        <w:t>Pharmaceutics</w:t>
      </w:r>
      <w:r w:rsidRPr="00F96CE2">
        <w:rPr>
          <w:rFonts w:asciiTheme="majorHAnsi" w:hAnsiTheme="majorHAnsi" w:cstheme="majorHAnsi"/>
          <w:lang w:val="en-US"/>
        </w:rPr>
        <w:t xml:space="preserve">, </w:t>
      </w:r>
      <w:r w:rsidRPr="00F96CE2">
        <w:rPr>
          <w:rFonts w:asciiTheme="majorHAnsi" w:hAnsiTheme="majorHAnsi" w:cstheme="majorHAnsi"/>
          <w:i/>
          <w:iCs/>
          <w:lang w:val="en-US"/>
        </w:rPr>
        <w:t>13</w:t>
      </w:r>
      <w:r w:rsidRPr="00F96CE2">
        <w:rPr>
          <w:rFonts w:asciiTheme="majorHAnsi" w:hAnsiTheme="majorHAnsi" w:cstheme="majorHAnsi"/>
          <w:lang w:val="en-US"/>
        </w:rPr>
        <w:t xml:space="preserve">(4), 538. </w:t>
      </w:r>
    </w:p>
    <w:p w14:paraId="5843EFB3" w14:textId="77777777" w:rsidR="005925E4" w:rsidRPr="00F96CE2" w:rsidRDefault="005925E4" w:rsidP="00BE7581">
      <w:pPr>
        <w:ind w:left="720" w:hanging="720"/>
        <w:rPr>
          <w:rFonts w:asciiTheme="majorHAnsi" w:hAnsiTheme="majorHAnsi" w:cstheme="majorHAnsi"/>
          <w:lang w:val="en-US"/>
        </w:rPr>
      </w:pPr>
      <w:r w:rsidRPr="00F96CE2">
        <w:rPr>
          <w:rFonts w:asciiTheme="majorHAnsi" w:hAnsiTheme="majorHAnsi" w:cstheme="majorHAnsi"/>
          <w:lang w:val="en-US"/>
        </w:rPr>
        <w:t xml:space="preserve">Duan, P., Zhao, P., &amp; Zhang, L. (2017). Physiologically based pharmacokinetic (PBPK) modeling of </w:t>
      </w:r>
      <w:proofErr w:type="spellStart"/>
      <w:r w:rsidRPr="00F96CE2">
        <w:rPr>
          <w:rFonts w:asciiTheme="majorHAnsi" w:hAnsiTheme="majorHAnsi" w:cstheme="majorHAnsi"/>
          <w:lang w:val="en-US"/>
        </w:rPr>
        <w:t>pitavastatin</w:t>
      </w:r>
      <w:proofErr w:type="spellEnd"/>
      <w:r w:rsidRPr="00F96CE2">
        <w:rPr>
          <w:rFonts w:asciiTheme="majorHAnsi" w:hAnsiTheme="majorHAnsi" w:cstheme="majorHAnsi"/>
          <w:lang w:val="en-US"/>
        </w:rPr>
        <w:t xml:space="preserve"> and atorvastatin to predict drug-drug interactions (DDIs). </w:t>
      </w:r>
      <w:r w:rsidRPr="00F96CE2">
        <w:rPr>
          <w:rFonts w:asciiTheme="majorHAnsi" w:hAnsiTheme="majorHAnsi" w:cstheme="majorHAnsi"/>
          <w:i/>
          <w:iCs/>
          <w:lang w:val="en-US"/>
        </w:rPr>
        <w:t>European Journal of Drug Metabolism and Pharmacokinetics</w:t>
      </w:r>
      <w:r w:rsidRPr="00F96CE2">
        <w:rPr>
          <w:rFonts w:asciiTheme="majorHAnsi" w:hAnsiTheme="majorHAnsi" w:cstheme="majorHAnsi"/>
          <w:lang w:val="en-US"/>
        </w:rPr>
        <w:t xml:space="preserve">, </w:t>
      </w:r>
      <w:r w:rsidRPr="00F96CE2">
        <w:rPr>
          <w:rFonts w:asciiTheme="majorHAnsi" w:hAnsiTheme="majorHAnsi" w:cstheme="majorHAnsi"/>
          <w:i/>
          <w:iCs/>
          <w:lang w:val="en-US"/>
        </w:rPr>
        <w:t>42</w:t>
      </w:r>
      <w:r w:rsidRPr="00F96CE2">
        <w:rPr>
          <w:rFonts w:asciiTheme="majorHAnsi" w:hAnsiTheme="majorHAnsi" w:cstheme="majorHAnsi"/>
          <w:lang w:val="en-US"/>
        </w:rPr>
        <w:t xml:space="preserve">(4), 689–705. </w:t>
      </w:r>
    </w:p>
    <w:p w14:paraId="414F8AF5" w14:textId="77777777" w:rsidR="005925E4" w:rsidRPr="00F96CE2" w:rsidRDefault="005925E4" w:rsidP="00BE7581">
      <w:pPr>
        <w:ind w:left="720" w:hanging="720"/>
        <w:rPr>
          <w:rFonts w:asciiTheme="majorHAnsi" w:hAnsiTheme="majorHAnsi" w:cstheme="majorHAnsi"/>
          <w:lang w:val="en-US"/>
        </w:rPr>
      </w:pPr>
      <w:r w:rsidRPr="00F96CE2">
        <w:rPr>
          <w:rFonts w:asciiTheme="majorHAnsi" w:hAnsiTheme="majorHAnsi" w:cstheme="majorHAnsi"/>
          <w:lang w:val="en-US"/>
        </w:rPr>
        <w:t xml:space="preserve">Dun, W., </w:t>
      </w:r>
      <w:proofErr w:type="spellStart"/>
      <w:r w:rsidRPr="00F96CE2">
        <w:rPr>
          <w:rFonts w:asciiTheme="majorHAnsi" w:hAnsiTheme="majorHAnsi" w:cstheme="majorHAnsi"/>
          <w:lang w:val="en-US"/>
        </w:rPr>
        <w:t>Guijian</w:t>
      </w:r>
      <w:proofErr w:type="spellEnd"/>
      <w:r w:rsidRPr="00F96CE2">
        <w:rPr>
          <w:rFonts w:asciiTheme="majorHAnsi" w:hAnsiTheme="majorHAnsi" w:cstheme="majorHAnsi"/>
          <w:lang w:val="en-US"/>
        </w:rPr>
        <w:t xml:space="preserve">, L., </w:t>
      </w:r>
      <w:proofErr w:type="spellStart"/>
      <w:r w:rsidRPr="00F96CE2">
        <w:rPr>
          <w:rFonts w:asciiTheme="majorHAnsi" w:hAnsiTheme="majorHAnsi" w:cstheme="majorHAnsi"/>
          <w:lang w:val="en-US"/>
        </w:rPr>
        <w:t>Ruoyu</w:t>
      </w:r>
      <w:proofErr w:type="spellEnd"/>
      <w:r w:rsidRPr="00F96CE2">
        <w:rPr>
          <w:rFonts w:asciiTheme="majorHAnsi" w:hAnsiTheme="majorHAnsi" w:cstheme="majorHAnsi"/>
          <w:lang w:val="en-US"/>
        </w:rPr>
        <w:t xml:space="preserve">, S., &amp; Xiang, F. (2013). Investigation of structural characteristics of thermally metamorphosed coal by FTIR spectroscopy and X-ray diffraction. </w:t>
      </w:r>
      <w:r w:rsidRPr="00F96CE2">
        <w:rPr>
          <w:rFonts w:asciiTheme="majorHAnsi" w:hAnsiTheme="majorHAnsi" w:cstheme="majorHAnsi"/>
          <w:i/>
          <w:iCs/>
          <w:lang w:val="en-US"/>
        </w:rPr>
        <w:t>Energy &amp; Fuels</w:t>
      </w:r>
      <w:r w:rsidRPr="00F96CE2">
        <w:rPr>
          <w:rFonts w:asciiTheme="majorHAnsi" w:hAnsiTheme="majorHAnsi" w:cstheme="majorHAnsi"/>
          <w:lang w:val="en-US"/>
        </w:rPr>
        <w:t xml:space="preserve">, </w:t>
      </w:r>
      <w:r w:rsidRPr="00F96CE2">
        <w:rPr>
          <w:rFonts w:asciiTheme="majorHAnsi" w:hAnsiTheme="majorHAnsi" w:cstheme="majorHAnsi"/>
          <w:i/>
          <w:iCs/>
          <w:lang w:val="en-US"/>
        </w:rPr>
        <w:t>27</w:t>
      </w:r>
      <w:r w:rsidRPr="00F96CE2">
        <w:rPr>
          <w:rFonts w:asciiTheme="majorHAnsi" w:hAnsiTheme="majorHAnsi" w:cstheme="majorHAnsi"/>
          <w:lang w:val="en-US"/>
        </w:rPr>
        <w:t xml:space="preserve">(10), 5823–5830. </w:t>
      </w:r>
    </w:p>
    <w:p w14:paraId="2392A62F" w14:textId="77777777" w:rsidR="005925E4" w:rsidRPr="00F96CE2" w:rsidRDefault="005925E4" w:rsidP="00BE7581">
      <w:pPr>
        <w:pStyle w:val="NormalWeb"/>
        <w:ind w:left="720" w:hanging="720"/>
        <w:rPr>
          <w:rFonts w:asciiTheme="majorHAnsi" w:hAnsiTheme="majorHAnsi" w:cstheme="majorHAnsi"/>
          <w:sz w:val="22"/>
          <w:szCs w:val="22"/>
        </w:rPr>
      </w:pPr>
      <w:r w:rsidRPr="00F96CE2">
        <w:rPr>
          <w:rStyle w:val="Emphasis"/>
          <w:rFonts w:asciiTheme="majorHAnsi" w:hAnsiTheme="majorHAnsi" w:cstheme="majorHAnsi"/>
          <w:sz w:val="22"/>
          <w:szCs w:val="22"/>
        </w:rPr>
        <w:t>Evaluation of in vitro interaction of diltiazem hydrochloride with iron (II) in the aqueous media</w:t>
      </w:r>
      <w:r w:rsidRPr="00F96CE2">
        <w:rPr>
          <w:rFonts w:asciiTheme="majorHAnsi" w:hAnsiTheme="majorHAnsi" w:cstheme="majorHAnsi"/>
          <w:sz w:val="22"/>
          <w:szCs w:val="22"/>
        </w:rPr>
        <w:t>. (n.d.).</w:t>
      </w:r>
    </w:p>
    <w:p w14:paraId="4BFE0FFF" w14:textId="77777777" w:rsidR="005925E4" w:rsidRPr="00F96CE2" w:rsidRDefault="005925E4" w:rsidP="00BE7581">
      <w:pPr>
        <w:ind w:left="720" w:hanging="720"/>
        <w:rPr>
          <w:rFonts w:asciiTheme="majorHAnsi" w:hAnsiTheme="majorHAnsi" w:cstheme="majorHAnsi"/>
          <w:lang w:val="en-US"/>
        </w:rPr>
      </w:pPr>
      <w:r w:rsidRPr="00F96CE2">
        <w:rPr>
          <w:rFonts w:asciiTheme="majorHAnsi" w:hAnsiTheme="majorHAnsi" w:cstheme="majorHAnsi"/>
          <w:lang w:val="en-US"/>
        </w:rPr>
        <w:t xml:space="preserve"> Flora, M., Tahsin, R., Chowdhury, J. A., Kabir, S., Amran, M. S., &amp; Chowdhury, A. A. (2023). In vitro and in vivo interaction of ketorolac tromethamine and cefixime trihydrate. </w:t>
      </w:r>
      <w:r w:rsidRPr="00F96CE2">
        <w:rPr>
          <w:rFonts w:asciiTheme="majorHAnsi" w:hAnsiTheme="majorHAnsi" w:cstheme="majorHAnsi"/>
          <w:i/>
          <w:iCs/>
          <w:lang w:val="en-US"/>
        </w:rPr>
        <w:t>Dhaka University Journal of Pharmaceutical Sciences, 22</w:t>
      </w:r>
      <w:r w:rsidRPr="00F96CE2">
        <w:rPr>
          <w:rFonts w:asciiTheme="majorHAnsi" w:hAnsiTheme="majorHAnsi" w:cstheme="majorHAnsi"/>
          <w:lang w:val="en-US"/>
        </w:rPr>
        <w:t xml:space="preserve">(2), 137–146. </w:t>
      </w:r>
    </w:p>
    <w:p w14:paraId="6CB888F1" w14:textId="77777777" w:rsidR="005925E4" w:rsidRPr="00F96CE2" w:rsidRDefault="005925E4" w:rsidP="00BE7581">
      <w:pPr>
        <w:tabs>
          <w:tab w:val="num" w:pos="720"/>
        </w:tabs>
        <w:spacing w:after="0" w:line="360" w:lineRule="auto"/>
        <w:ind w:left="720" w:hanging="720"/>
        <w:jc w:val="both"/>
        <w:rPr>
          <w:rFonts w:asciiTheme="majorHAnsi" w:eastAsia="Times New Roman" w:hAnsiTheme="majorHAnsi" w:cstheme="majorHAnsi"/>
          <w:bCs/>
          <w:color w:val="000000"/>
          <w:lang w:val="en-US"/>
        </w:rPr>
      </w:pPr>
      <w:r w:rsidRPr="00F96CE2">
        <w:rPr>
          <w:rFonts w:asciiTheme="majorHAnsi" w:eastAsia="Times New Roman" w:hAnsiTheme="majorHAnsi" w:cstheme="majorHAnsi"/>
          <w:bCs/>
          <w:color w:val="000000"/>
          <w:lang w:val="en-US"/>
        </w:rPr>
        <w:t xml:space="preserve">Goldstein, A., Aronow, L., &amp; Kalman, S. M. (1974). </w:t>
      </w:r>
      <w:r w:rsidRPr="00F96CE2">
        <w:rPr>
          <w:rFonts w:asciiTheme="majorHAnsi" w:eastAsia="Times New Roman" w:hAnsiTheme="majorHAnsi" w:cstheme="majorHAnsi"/>
          <w:bCs/>
          <w:i/>
          <w:iCs/>
          <w:color w:val="000000"/>
          <w:lang w:val="en-US"/>
        </w:rPr>
        <w:t>Principle of drug action: The basis of pharmacology</w:t>
      </w:r>
      <w:r w:rsidRPr="00F96CE2">
        <w:rPr>
          <w:rFonts w:asciiTheme="majorHAnsi" w:eastAsia="Times New Roman" w:hAnsiTheme="majorHAnsi" w:cstheme="majorHAnsi"/>
          <w:bCs/>
          <w:color w:val="000000"/>
          <w:lang w:val="en-US"/>
        </w:rPr>
        <w:t xml:space="preserve"> (2nd ed., pp. 47–52). John Wiley and Sons.</w:t>
      </w:r>
    </w:p>
    <w:p w14:paraId="7E6A878C" w14:textId="77777777" w:rsidR="005925E4" w:rsidRPr="00F96CE2" w:rsidRDefault="005925E4" w:rsidP="00BE7581">
      <w:pPr>
        <w:ind w:left="720" w:hanging="720"/>
        <w:rPr>
          <w:rFonts w:asciiTheme="majorHAnsi" w:hAnsiTheme="majorHAnsi" w:cstheme="majorHAnsi"/>
          <w:lang w:val="en-US"/>
        </w:rPr>
      </w:pPr>
      <w:r w:rsidRPr="00F96CE2">
        <w:rPr>
          <w:rFonts w:asciiTheme="majorHAnsi" w:hAnsiTheme="majorHAnsi" w:cstheme="majorHAnsi"/>
          <w:lang w:val="en-US"/>
        </w:rPr>
        <w:t xml:space="preserve">Google. (2025, March 26). </w:t>
      </w:r>
      <w:r w:rsidRPr="00F96CE2">
        <w:rPr>
          <w:rFonts w:asciiTheme="majorHAnsi" w:hAnsiTheme="majorHAnsi" w:cstheme="majorHAnsi"/>
          <w:i/>
          <w:iCs/>
          <w:lang w:val="en-US"/>
        </w:rPr>
        <w:t>Differential scanning calorimetry</w:t>
      </w:r>
      <w:r w:rsidRPr="00F96CE2">
        <w:rPr>
          <w:rFonts w:asciiTheme="majorHAnsi" w:hAnsiTheme="majorHAnsi" w:cstheme="majorHAnsi"/>
          <w:lang w:val="en-US"/>
        </w:rPr>
        <w:t xml:space="preserve">. </w:t>
      </w:r>
    </w:p>
    <w:p w14:paraId="57DF0BC1" w14:textId="77777777" w:rsidR="005925E4" w:rsidRPr="00F96CE2" w:rsidRDefault="005925E4" w:rsidP="00BE7581">
      <w:pPr>
        <w:ind w:left="720" w:hanging="720"/>
        <w:rPr>
          <w:rFonts w:asciiTheme="majorHAnsi" w:hAnsiTheme="majorHAnsi" w:cstheme="majorHAnsi"/>
          <w:lang w:val="en-US"/>
        </w:rPr>
      </w:pPr>
      <w:r w:rsidRPr="00F96CE2">
        <w:rPr>
          <w:rFonts w:asciiTheme="majorHAnsi" w:hAnsiTheme="majorHAnsi" w:cstheme="majorHAnsi"/>
          <w:lang w:val="en-US"/>
        </w:rPr>
        <w:lastRenderedPageBreak/>
        <w:t xml:space="preserve">Google. (n.d.). </w:t>
      </w:r>
      <w:r w:rsidRPr="00F96CE2">
        <w:rPr>
          <w:rFonts w:asciiTheme="majorHAnsi" w:hAnsiTheme="majorHAnsi" w:cstheme="majorHAnsi"/>
          <w:i/>
          <w:iCs/>
          <w:lang w:val="en-US"/>
        </w:rPr>
        <w:t xml:space="preserve">FTIR spectroscopic </w:t>
      </w:r>
      <w:proofErr w:type="gramStart"/>
      <w:r w:rsidRPr="00F96CE2">
        <w:rPr>
          <w:rFonts w:asciiTheme="majorHAnsi" w:hAnsiTheme="majorHAnsi" w:cstheme="majorHAnsi"/>
          <w:i/>
          <w:iCs/>
          <w:lang w:val="en-US"/>
        </w:rPr>
        <w:t>investigation</w:t>
      </w:r>
      <w:r w:rsidRPr="00F96CE2">
        <w:rPr>
          <w:rFonts w:asciiTheme="majorHAnsi" w:hAnsiTheme="majorHAnsi" w:cstheme="majorHAnsi"/>
          <w:lang w:val="en-US"/>
        </w:rPr>
        <w:t xml:space="preserve"> .</w:t>
      </w:r>
      <w:proofErr w:type="gramEnd"/>
      <w:r w:rsidRPr="00F96CE2">
        <w:rPr>
          <w:rFonts w:asciiTheme="majorHAnsi" w:hAnsiTheme="majorHAnsi" w:cstheme="majorHAnsi"/>
          <w:lang w:val="en-US"/>
        </w:rPr>
        <w:t xml:space="preserve"> </w:t>
      </w:r>
    </w:p>
    <w:p w14:paraId="22D2DBBC" w14:textId="77777777" w:rsidR="005925E4" w:rsidRPr="00F96CE2" w:rsidRDefault="005925E4" w:rsidP="00BE7581">
      <w:pPr>
        <w:tabs>
          <w:tab w:val="num" w:pos="720"/>
        </w:tabs>
        <w:spacing w:after="0" w:line="360" w:lineRule="auto"/>
        <w:ind w:left="720" w:hanging="720"/>
        <w:jc w:val="both"/>
        <w:rPr>
          <w:rFonts w:asciiTheme="majorHAnsi" w:eastAsia="Times New Roman" w:hAnsiTheme="majorHAnsi" w:cstheme="majorHAnsi"/>
          <w:bCs/>
          <w:color w:val="000000"/>
          <w:lang w:val="en-US"/>
        </w:rPr>
      </w:pPr>
      <w:proofErr w:type="spellStart"/>
      <w:r w:rsidRPr="00F96CE2">
        <w:rPr>
          <w:rFonts w:asciiTheme="majorHAnsi" w:eastAsia="Times New Roman" w:hAnsiTheme="majorHAnsi" w:cstheme="majorHAnsi"/>
          <w:bCs/>
          <w:color w:val="000000"/>
          <w:lang w:val="en-US"/>
        </w:rPr>
        <w:t>Hansten</w:t>
      </w:r>
      <w:proofErr w:type="spellEnd"/>
      <w:r w:rsidRPr="00F96CE2">
        <w:rPr>
          <w:rFonts w:asciiTheme="majorHAnsi" w:eastAsia="Times New Roman" w:hAnsiTheme="majorHAnsi" w:cstheme="majorHAnsi"/>
          <w:bCs/>
          <w:color w:val="000000"/>
          <w:lang w:val="en-US"/>
        </w:rPr>
        <w:t xml:space="preserve">, P. D., &amp; Horn, J. R. (1989). </w:t>
      </w:r>
      <w:r w:rsidRPr="00F96CE2">
        <w:rPr>
          <w:rFonts w:asciiTheme="majorHAnsi" w:eastAsia="Times New Roman" w:hAnsiTheme="majorHAnsi" w:cstheme="majorHAnsi"/>
          <w:bCs/>
          <w:i/>
          <w:iCs/>
          <w:color w:val="000000"/>
          <w:lang w:val="en-US"/>
        </w:rPr>
        <w:t>Drug interactions: Clinical significance of drug-drug interaction</w:t>
      </w:r>
      <w:r w:rsidRPr="00F96CE2">
        <w:rPr>
          <w:rFonts w:asciiTheme="majorHAnsi" w:eastAsia="Times New Roman" w:hAnsiTheme="majorHAnsi" w:cstheme="majorHAnsi"/>
          <w:bCs/>
          <w:color w:val="000000"/>
          <w:lang w:val="en-US"/>
        </w:rPr>
        <w:t>. Philadelphia.</w:t>
      </w:r>
    </w:p>
    <w:p w14:paraId="0E446F00" w14:textId="77777777" w:rsidR="005925E4" w:rsidRPr="00F96CE2" w:rsidRDefault="005925E4" w:rsidP="00BE7581">
      <w:pPr>
        <w:pStyle w:val="NormalWeb"/>
        <w:ind w:left="720" w:hanging="720"/>
        <w:rPr>
          <w:rFonts w:asciiTheme="majorHAnsi" w:hAnsiTheme="majorHAnsi" w:cstheme="majorHAnsi"/>
          <w:sz w:val="22"/>
          <w:szCs w:val="22"/>
        </w:rPr>
      </w:pPr>
      <w:r w:rsidRPr="00F96CE2">
        <w:rPr>
          <w:rFonts w:asciiTheme="majorHAnsi" w:hAnsiTheme="majorHAnsi" w:cstheme="majorHAnsi"/>
          <w:sz w:val="22"/>
          <w:szCs w:val="22"/>
        </w:rPr>
        <w:t xml:space="preserve"> Hossain, M. A., &amp; Amran, M. S. (2019). A cross-sectional pilot study on pharmacovigilance to improve the drug safety in Bangladesh. </w:t>
      </w:r>
      <w:r w:rsidRPr="00F96CE2">
        <w:rPr>
          <w:rStyle w:val="Emphasis"/>
          <w:rFonts w:asciiTheme="majorHAnsi" w:hAnsiTheme="majorHAnsi" w:cstheme="majorHAnsi"/>
          <w:sz w:val="22"/>
          <w:szCs w:val="22"/>
        </w:rPr>
        <w:t>Biomedical &amp; Pharmacology Journal, 12</w:t>
      </w:r>
      <w:r w:rsidRPr="00F96CE2">
        <w:rPr>
          <w:rFonts w:asciiTheme="majorHAnsi" w:hAnsiTheme="majorHAnsi" w:cstheme="majorHAnsi"/>
          <w:sz w:val="22"/>
          <w:szCs w:val="22"/>
        </w:rPr>
        <w:t>(3), 1039–1049.</w:t>
      </w:r>
    </w:p>
    <w:p w14:paraId="72631336" w14:textId="77777777" w:rsidR="005925E4" w:rsidRPr="00F96CE2" w:rsidRDefault="005925E4" w:rsidP="00BE7581">
      <w:pPr>
        <w:ind w:left="720" w:hanging="720"/>
        <w:rPr>
          <w:rFonts w:asciiTheme="majorHAnsi" w:hAnsiTheme="majorHAnsi" w:cstheme="majorHAnsi"/>
          <w:lang w:val="en-US"/>
        </w:rPr>
      </w:pPr>
      <w:r w:rsidRPr="00F96CE2">
        <w:rPr>
          <w:rFonts w:asciiTheme="majorHAnsi" w:hAnsiTheme="majorHAnsi" w:cstheme="majorHAnsi"/>
          <w:lang w:val="en-US"/>
        </w:rPr>
        <w:t xml:space="preserve"> John, H. B., &amp; Ost, C. (1974). </w:t>
      </w:r>
      <w:r w:rsidRPr="00F96CE2">
        <w:rPr>
          <w:rFonts w:asciiTheme="majorHAnsi" w:hAnsiTheme="majorHAnsi" w:cstheme="majorHAnsi"/>
          <w:i/>
          <w:iCs/>
          <w:lang w:val="en-US"/>
        </w:rPr>
        <w:t>Inorganic medicinal and pharmaceutical chemistry</w:t>
      </w:r>
      <w:r w:rsidRPr="00F96CE2">
        <w:rPr>
          <w:rFonts w:asciiTheme="majorHAnsi" w:hAnsiTheme="majorHAnsi" w:cstheme="majorHAnsi"/>
          <w:lang w:val="en-US"/>
        </w:rPr>
        <w:t xml:space="preserve"> (p. 213). London: Henry Kimpton.</w:t>
      </w:r>
    </w:p>
    <w:p w14:paraId="5DE4F201" w14:textId="77777777" w:rsidR="005925E4" w:rsidRPr="00F96CE2" w:rsidRDefault="005925E4" w:rsidP="00BE7581">
      <w:pPr>
        <w:ind w:left="720" w:hanging="720"/>
        <w:rPr>
          <w:rFonts w:asciiTheme="majorHAnsi" w:hAnsiTheme="majorHAnsi" w:cstheme="majorHAnsi"/>
          <w:lang w:val="en-US"/>
        </w:rPr>
      </w:pPr>
      <w:r w:rsidRPr="00F96CE2">
        <w:rPr>
          <w:rFonts w:asciiTheme="majorHAnsi" w:hAnsiTheme="majorHAnsi" w:cstheme="majorHAnsi"/>
          <w:lang w:val="en-US"/>
        </w:rPr>
        <w:t xml:space="preserve">Kabir, M. Z., Tee, W. V., Mohamad, S. B., Alias, Z., &amp; Tayyab, S. (2016). Interaction of an anticancer drug, gefitinib with human serum albumin: Insights from fluorescence spectroscopy and computational modeling analysis. </w:t>
      </w:r>
      <w:r w:rsidRPr="00F96CE2">
        <w:rPr>
          <w:rFonts w:asciiTheme="majorHAnsi" w:hAnsiTheme="majorHAnsi" w:cstheme="majorHAnsi"/>
          <w:i/>
          <w:iCs/>
          <w:lang w:val="en-US"/>
        </w:rPr>
        <w:t>RSC Advances</w:t>
      </w:r>
      <w:r w:rsidRPr="00F96CE2">
        <w:rPr>
          <w:rFonts w:asciiTheme="majorHAnsi" w:hAnsiTheme="majorHAnsi" w:cstheme="majorHAnsi"/>
          <w:lang w:val="en-US"/>
        </w:rPr>
        <w:t xml:space="preserve">, </w:t>
      </w:r>
      <w:r w:rsidRPr="00F96CE2">
        <w:rPr>
          <w:rFonts w:asciiTheme="majorHAnsi" w:hAnsiTheme="majorHAnsi" w:cstheme="majorHAnsi"/>
          <w:i/>
          <w:iCs/>
          <w:lang w:val="en-US"/>
        </w:rPr>
        <w:t>6</w:t>
      </w:r>
      <w:r w:rsidRPr="00F96CE2">
        <w:rPr>
          <w:rFonts w:asciiTheme="majorHAnsi" w:hAnsiTheme="majorHAnsi" w:cstheme="majorHAnsi"/>
          <w:lang w:val="en-US"/>
        </w:rPr>
        <w:t xml:space="preserve">(94), 91756–91767. </w:t>
      </w:r>
    </w:p>
    <w:p w14:paraId="33250614" w14:textId="77777777" w:rsidR="005925E4" w:rsidRPr="00F96CE2" w:rsidRDefault="005925E4" w:rsidP="00BE7581">
      <w:pPr>
        <w:ind w:left="720" w:hanging="720"/>
        <w:rPr>
          <w:rFonts w:asciiTheme="majorHAnsi" w:hAnsiTheme="majorHAnsi" w:cstheme="majorHAnsi"/>
          <w:lang w:val="en-US"/>
        </w:rPr>
      </w:pPr>
      <w:r w:rsidRPr="00F96CE2">
        <w:rPr>
          <w:rFonts w:asciiTheme="majorHAnsi" w:hAnsiTheme="majorHAnsi" w:cstheme="majorHAnsi"/>
          <w:lang w:val="en-US"/>
        </w:rPr>
        <w:t xml:space="preserve"> Karim, S. R., Koly, S. F., Amran, M. S., &amp; Kabir, S. (2016). In vivo studies of protein binding of ketorolac in rat model by UV-VIS spectrophotometry and </w:t>
      </w:r>
      <w:proofErr w:type="gramStart"/>
      <w:r w:rsidRPr="00F96CE2">
        <w:rPr>
          <w:rFonts w:asciiTheme="majorHAnsi" w:hAnsiTheme="majorHAnsi" w:cstheme="majorHAnsi"/>
          <w:lang w:val="en-US"/>
        </w:rPr>
        <w:t>high performance</w:t>
      </w:r>
      <w:proofErr w:type="gramEnd"/>
      <w:r w:rsidRPr="00F96CE2">
        <w:rPr>
          <w:rFonts w:asciiTheme="majorHAnsi" w:hAnsiTheme="majorHAnsi" w:cstheme="majorHAnsi"/>
          <w:lang w:val="en-US"/>
        </w:rPr>
        <w:t xml:space="preserve"> liquid chromatographic methods. </w:t>
      </w:r>
      <w:r w:rsidRPr="00F96CE2">
        <w:rPr>
          <w:rFonts w:asciiTheme="majorHAnsi" w:hAnsiTheme="majorHAnsi" w:cstheme="majorHAnsi"/>
          <w:i/>
          <w:iCs/>
          <w:lang w:val="en-US"/>
        </w:rPr>
        <w:t>Dhaka University Journal of Pharmaceutical Sciences, 15</w:t>
      </w:r>
      <w:r w:rsidRPr="00F96CE2">
        <w:rPr>
          <w:rFonts w:asciiTheme="majorHAnsi" w:hAnsiTheme="majorHAnsi" w:cstheme="majorHAnsi"/>
          <w:lang w:val="en-US"/>
        </w:rPr>
        <w:t xml:space="preserve">(1), 63–67. </w:t>
      </w:r>
    </w:p>
    <w:p w14:paraId="2E66EE74" w14:textId="77777777" w:rsidR="005925E4" w:rsidRDefault="005925E4" w:rsidP="00BE7581">
      <w:pPr>
        <w:ind w:left="720" w:hanging="720"/>
        <w:rPr>
          <w:rFonts w:asciiTheme="majorHAnsi" w:hAnsiTheme="majorHAnsi" w:cstheme="majorHAnsi"/>
          <w:lang w:val="en-US"/>
        </w:rPr>
      </w:pPr>
      <w:proofErr w:type="spellStart"/>
      <w:r w:rsidRPr="00F96CE2">
        <w:rPr>
          <w:rFonts w:asciiTheme="majorHAnsi" w:hAnsiTheme="majorHAnsi" w:cstheme="majorHAnsi"/>
          <w:lang w:val="en-US"/>
        </w:rPr>
        <w:t>Kayesh</w:t>
      </w:r>
      <w:proofErr w:type="spellEnd"/>
      <w:r w:rsidRPr="00F96CE2">
        <w:rPr>
          <w:rFonts w:asciiTheme="majorHAnsi" w:hAnsiTheme="majorHAnsi" w:cstheme="majorHAnsi"/>
          <w:lang w:val="en-US"/>
        </w:rPr>
        <w:t xml:space="preserve">, R., Sultan, M. Z., Rahman, A., Uddin, M. G., Aktar, F., &amp; Rashid, M. A. (2013). Development and validation of a RP-HPLC method for the quantification of omeprazole in pharmaceutical dosage form. </w:t>
      </w:r>
      <w:r w:rsidRPr="00F96CE2">
        <w:rPr>
          <w:rFonts w:asciiTheme="majorHAnsi" w:hAnsiTheme="majorHAnsi" w:cstheme="majorHAnsi"/>
          <w:i/>
          <w:iCs/>
          <w:lang w:val="en-US"/>
        </w:rPr>
        <w:t>Journal of Scientific Research</w:t>
      </w:r>
      <w:r w:rsidRPr="00F96CE2">
        <w:rPr>
          <w:rFonts w:asciiTheme="majorHAnsi" w:hAnsiTheme="majorHAnsi" w:cstheme="majorHAnsi"/>
          <w:lang w:val="en-US"/>
        </w:rPr>
        <w:t xml:space="preserve">, </w:t>
      </w:r>
      <w:r w:rsidRPr="00F96CE2">
        <w:rPr>
          <w:rFonts w:asciiTheme="majorHAnsi" w:hAnsiTheme="majorHAnsi" w:cstheme="majorHAnsi"/>
          <w:i/>
          <w:iCs/>
          <w:lang w:val="en-US"/>
        </w:rPr>
        <w:t>5</w:t>
      </w:r>
      <w:r w:rsidRPr="00F96CE2">
        <w:rPr>
          <w:rFonts w:asciiTheme="majorHAnsi" w:hAnsiTheme="majorHAnsi" w:cstheme="majorHAnsi"/>
          <w:lang w:val="en-US"/>
        </w:rPr>
        <w:t xml:space="preserve">(2), 335–342. </w:t>
      </w:r>
    </w:p>
    <w:p w14:paraId="3DD6B307" w14:textId="77777777" w:rsidR="005925E4" w:rsidRPr="00F96CE2" w:rsidRDefault="005925E4" w:rsidP="00BE7581">
      <w:pPr>
        <w:ind w:left="720" w:hanging="720"/>
        <w:rPr>
          <w:rFonts w:asciiTheme="majorHAnsi" w:hAnsiTheme="majorHAnsi" w:cstheme="majorHAnsi"/>
          <w:lang w:val="en-US"/>
        </w:rPr>
      </w:pPr>
      <w:r w:rsidRPr="00F96CE2">
        <w:rPr>
          <w:rFonts w:asciiTheme="majorHAnsi" w:hAnsiTheme="majorHAnsi" w:cstheme="majorHAnsi"/>
          <w:lang w:val="en-US"/>
        </w:rPr>
        <w:t xml:space="preserve"> Khopkar, S. M. (2007). </w:t>
      </w:r>
      <w:r w:rsidRPr="00F96CE2">
        <w:rPr>
          <w:rFonts w:asciiTheme="majorHAnsi" w:hAnsiTheme="majorHAnsi" w:cstheme="majorHAnsi"/>
          <w:i/>
          <w:iCs/>
          <w:lang w:val="en-US"/>
        </w:rPr>
        <w:t>Basic concepts of analytical chemistry</w:t>
      </w:r>
      <w:r w:rsidRPr="00F96CE2">
        <w:rPr>
          <w:rFonts w:asciiTheme="majorHAnsi" w:hAnsiTheme="majorHAnsi" w:cstheme="majorHAnsi"/>
          <w:lang w:val="en-US"/>
        </w:rPr>
        <w:t xml:space="preserve"> (3rd ed.).</w:t>
      </w:r>
    </w:p>
    <w:p w14:paraId="709EFA0B" w14:textId="77777777" w:rsidR="005925E4" w:rsidRPr="00F96CE2" w:rsidRDefault="005925E4" w:rsidP="00BE7581">
      <w:pPr>
        <w:ind w:left="720" w:hanging="720"/>
        <w:rPr>
          <w:rFonts w:asciiTheme="majorHAnsi" w:hAnsiTheme="majorHAnsi" w:cstheme="majorHAnsi"/>
          <w:lang w:val="en-US"/>
        </w:rPr>
      </w:pPr>
      <w:r w:rsidRPr="00F96CE2">
        <w:rPr>
          <w:rFonts w:asciiTheme="majorHAnsi" w:hAnsiTheme="majorHAnsi" w:cstheme="majorHAnsi"/>
          <w:lang w:val="en-US"/>
        </w:rPr>
        <w:t xml:space="preserve">Kundu, S. P., Sultan, M. Z., Rahman, A., Paul, S. K., </w:t>
      </w:r>
      <w:proofErr w:type="spellStart"/>
      <w:r w:rsidRPr="00F96CE2">
        <w:rPr>
          <w:rFonts w:asciiTheme="majorHAnsi" w:hAnsiTheme="majorHAnsi" w:cstheme="majorHAnsi"/>
          <w:lang w:val="en-US"/>
        </w:rPr>
        <w:t>Shikder</w:t>
      </w:r>
      <w:proofErr w:type="spellEnd"/>
      <w:r w:rsidRPr="00F96CE2">
        <w:rPr>
          <w:rFonts w:asciiTheme="majorHAnsi" w:hAnsiTheme="majorHAnsi" w:cstheme="majorHAnsi"/>
          <w:lang w:val="en-US"/>
        </w:rPr>
        <w:t xml:space="preserve">, S., Kundu, S., Hossain, M. A., &amp; Amran, M. S. (2015). The study of analgesic activity of complexes of magnesium sulfate with aspirin, paracetamol and naproxen. </w:t>
      </w:r>
      <w:r w:rsidRPr="00F96CE2">
        <w:rPr>
          <w:rFonts w:asciiTheme="majorHAnsi" w:hAnsiTheme="majorHAnsi" w:cstheme="majorHAnsi"/>
          <w:i/>
          <w:iCs/>
          <w:lang w:val="en-US"/>
        </w:rPr>
        <w:t>Clinical Pharmacology &amp; Biopharmaceutics</w:t>
      </w:r>
      <w:r w:rsidRPr="00F96CE2">
        <w:rPr>
          <w:rFonts w:asciiTheme="majorHAnsi" w:hAnsiTheme="majorHAnsi" w:cstheme="majorHAnsi"/>
          <w:lang w:val="en-US"/>
        </w:rPr>
        <w:t xml:space="preserve">, </w:t>
      </w:r>
      <w:r w:rsidRPr="00F96CE2">
        <w:rPr>
          <w:rFonts w:asciiTheme="majorHAnsi" w:hAnsiTheme="majorHAnsi" w:cstheme="majorHAnsi"/>
          <w:i/>
          <w:iCs/>
          <w:lang w:val="en-US"/>
        </w:rPr>
        <w:t>4</w:t>
      </w:r>
      <w:r w:rsidRPr="00F96CE2">
        <w:rPr>
          <w:rFonts w:asciiTheme="majorHAnsi" w:hAnsiTheme="majorHAnsi" w:cstheme="majorHAnsi"/>
          <w:lang w:val="en-US"/>
        </w:rPr>
        <w:t xml:space="preserve">(3). </w:t>
      </w:r>
    </w:p>
    <w:p w14:paraId="1DEB646B" w14:textId="77777777" w:rsidR="005925E4" w:rsidRPr="00F96CE2" w:rsidRDefault="005925E4" w:rsidP="00BE7581">
      <w:pPr>
        <w:ind w:left="720" w:hanging="720"/>
        <w:rPr>
          <w:rFonts w:asciiTheme="majorHAnsi" w:hAnsiTheme="majorHAnsi" w:cstheme="majorHAnsi"/>
          <w:lang w:val="en-US"/>
        </w:rPr>
      </w:pPr>
      <w:r w:rsidRPr="00F96CE2">
        <w:rPr>
          <w:rFonts w:asciiTheme="majorHAnsi" w:hAnsiTheme="majorHAnsi" w:cstheme="majorHAnsi"/>
          <w:lang w:val="en-US"/>
        </w:rPr>
        <w:t xml:space="preserve">Liu, T., Qian, G., Wang, W., &amp; Zhang, Y. (2015). Molecular docking to understand the metabolic behavior of GNF-351 by CYP3A4 and its potential drug–drug interaction with ketoconazole. </w:t>
      </w:r>
      <w:r w:rsidRPr="00F96CE2">
        <w:rPr>
          <w:rFonts w:asciiTheme="majorHAnsi" w:hAnsiTheme="majorHAnsi" w:cstheme="majorHAnsi"/>
          <w:i/>
          <w:iCs/>
          <w:lang w:val="en-US"/>
        </w:rPr>
        <w:t>European Journal of Drug Metabolism and Pharmacokinetics</w:t>
      </w:r>
      <w:r w:rsidRPr="00F96CE2">
        <w:rPr>
          <w:rFonts w:asciiTheme="majorHAnsi" w:hAnsiTheme="majorHAnsi" w:cstheme="majorHAnsi"/>
          <w:lang w:val="en-US"/>
        </w:rPr>
        <w:t xml:space="preserve">, </w:t>
      </w:r>
      <w:r w:rsidRPr="00F96CE2">
        <w:rPr>
          <w:rFonts w:asciiTheme="majorHAnsi" w:hAnsiTheme="majorHAnsi" w:cstheme="majorHAnsi"/>
          <w:i/>
          <w:iCs/>
          <w:lang w:val="en-US"/>
        </w:rPr>
        <w:t>40</w:t>
      </w:r>
      <w:r w:rsidRPr="00F96CE2">
        <w:rPr>
          <w:rFonts w:asciiTheme="majorHAnsi" w:hAnsiTheme="majorHAnsi" w:cstheme="majorHAnsi"/>
          <w:lang w:val="en-US"/>
        </w:rPr>
        <w:t xml:space="preserve">(2), 235–238. </w:t>
      </w:r>
    </w:p>
    <w:p w14:paraId="6A78306A" w14:textId="77777777" w:rsidR="005925E4" w:rsidRDefault="005925E4" w:rsidP="00BE7581">
      <w:pPr>
        <w:tabs>
          <w:tab w:val="num" w:pos="720"/>
        </w:tabs>
        <w:spacing w:after="0" w:line="360" w:lineRule="auto"/>
        <w:ind w:left="720" w:hanging="720"/>
        <w:jc w:val="both"/>
        <w:rPr>
          <w:rFonts w:asciiTheme="majorHAnsi" w:hAnsiTheme="majorHAnsi" w:cstheme="majorHAnsi"/>
        </w:rPr>
      </w:pPr>
      <w:r w:rsidRPr="00F96CE2">
        <w:rPr>
          <w:rFonts w:asciiTheme="majorHAnsi" w:hAnsiTheme="majorHAnsi" w:cstheme="majorHAnsi"/>
        </w:rPr>
        <w:t xml:space="preserve"> Mohiuddin, M., Amran, M. S., &amp; Hossain, M. A. (2010). The in vivo effects of caffeine on the hypoglycemic activity of gliclazide and metformin in healthy rats. </w:t>
      </w:r>
      <w:r w:rsidRPr="00F96CE2">
        <w:rPr>
          <w:rStyle w:val="Emphasis"/>
          <w:rFonts w:asciiTheme="majorHAnsi" w:hAnsiTheme="majorHAnsi" w:cstheme="majorHAnsi"/>
        </w:rPr>
        <w:t>Dhaka University Journal of Pharmaceutical Sciences, 8</w:t>
      </w:r>
      <w:r w:rsidRPr="00F96CE2">
        <w:rPr>
          <w:rFonts w:asciiTheme="majorHAnsi" w:hAnsiTheme="majorHAnsi" w:cstheme="majorHAnsi"/>
        </w:rPr>
        <w:t xml:space="preserve">(1), 47–51. </w:t>
      </w:r>
    </w:p>
    <w:p w14:paraId="1FE640A8" w14:textId="77777777" w:rsidR="005925E4" w:rsidRPr="00F96CE2" w:rsidRDefault="005925E4" w:rsidP="00BE7581">
      <w:pPr>
        <w:ind w:left="720" w:hanging="720"/>
        <w:rPr>
          <w:rFonts w:asciiTheme="majorHAnsi" w:hAnsiTheme="majorHAnsi" w:cstheme="majorHAnsi"/>
          <w:lang w:val="en-US"/>
        </w:rPr>
      </w:pPr>
      <w:r w:rsidRPr="00F96CE2">
        <w:rPr>
          <w:rFonts w:asciiTheme="majorHAnsi" w:hAnsiTheme="majorHAnsi" w:cstheme="majorHAnsi"/>
          <w:lang w:val="en-US"/>
        </w:rPr>
        <w:t xml:space="preserve">Nabi, S. N., Hussain, A., &amp; Ahmed, N. N. (1974). Salt-like </w:t>
      </w:r>
      <w:proofErr w:type="spellStart"/>
      <w:r w:rsidRPr="00F96CE2">
        <w:rPr>
          <w:rFonts w:asciiTheme="majorHAnsi" w:hAnsiTheme="majorHAnsi" w:cstheme="majorHAnsi"/>
          <w:lang w:val="en-US"/>
        </w:rPr>
        <w:t>behaviour</w:t>
      </w:r>
      <w:proofErr w:type="spellEnd"/>
      <w:r w:rsidRPr="00F96CE2">
        <w:rPr>
          <w:rFonts w:asciiTheme="majorHAnsi" w:hAnsiTheme="majorHAnsi" w:cstheme="majorHAnsi"/>
          <w:lang w:val="en-US"/>
        </w:rPr>
        <w:t xml:space="preserve"> of covalent halides. Part IV. Electrolytic conductance of solutions of thionyl chloride, and its reactions with silver salts and Lewis acids in acetone. </w:t>
      </w:r>
      <w:r w:rsidRPr="00F96CE2">
        <w:rPr>
          <w:rFonts w:asciiTheme="majorHAnsi" w:hAnsiTheme="majorHAnsi" w:cstheme="majorHAnsi"/>
          <w:i/>
          <w:iCs/>
          <w:lang w:val="en-US"/>
        </w:rPr>
        <w:t>Journal of the Chemical Society, Dalton Transactions</w:t>
      </w:r>
      <w:r w:rsidRPr="00F96CE2">
        <w:rPr>
          <w:rFonts w:asciiTheme="majorHAnsi" w:hAnsiTheme="majorHAnsi" w:cstheme="majorHAnsi"/>
          <w:lang w:val="en-US"/>
        </w:rPr>
        <w:t xml:space="preserve">, (11), 1199. </w:t>
      </w:r>
    </w:p>
    <w:p w14:paraId="5F4B20F4" w14:textId="77777777" w:rsidR="005925E4" w:rsidRPr="00F96CE2" w:rsidRDefault="005925E4" w:rsidP="00BE7581">
      <w:pPr>
        <w:ind w:left="720" w:hanging="720"/>
        <w:rPr>
          <w:rFonts w:asciiTheme="majorHAnsi" w:hAnsiTheme="majorHAnsi" w:cstheme="majorHAnsi"/>
          <w:lang w:val="en-US"/>
        </w:rPr>
      </w:pPr>
      <w:r w:rsidRPr="00F96CE2">
        <w:rPr>
          <w:rFonts w:asciiTheme="majorHAnsi" w:hAnsiTheme="majorHAnsi" w:cstheme="majorHAnsi"/>
          <w:lang w:val="en-US"/>
        </w:rPr>
        <w:t xml:space="preserve"> Nahar, D. K., Kabir, S., &amp; Amran, M. S. (2016). Fluorescence spectroscopic analysis of the interaction between omeprazole and bovine serum albumin. </w:t>
      </w:r>
      <w:r w:rsidRPr="00F96CE2">
        <w:rPr>
          <w:rFonts w:asciiTheme="majorHAnsi" w:hAnsiTheme="majorHAnsi" w:cstheme="majorHAnsi"/>
          <w:i/>
          <w:iCs/>
          <w:lang w:val="en-US"/>
        </w:rPr>
        <w:t>World Journal of Pharmacy and Pharmaceutical Sciences, 5</w:t>
      </w:r>
      <w:r w:rsidRPr="00F96CE2">
        <w:rPr>
          <w:rFonts w:asciiTheme="majorHAnsi" w:hAnsiTheme="majorHAnsi" w:cstheme="majorHAnsi"/>
          <w:lang w:val="en-US"/>
        </w:rPr>
        <w:t xml:space="preserve">(9), 16–25. </w:t>
      </w:r>
    </w:p>
    <w:p w14:paraId="603C2C1F" w14:textId="77777777" w:rsidR="005925E4" w:rsidRPr="00F96CE2" w:rsidRDefault="005925E4" w:rsidP="00BE7581">
      <w:pPr>
        <w:ind w:left="720" w:hanging="720"/>
        <w:rPr>
          <w:rFonts w:asciiTheme="majorHAnsi" w:hAnsiTheme="majorHAnsi" w:cstheme="majorHAnsi"/>
          <w:lang w:val="en-US"/>
        </w:rPr>
      </w:pPr>
      <w:r w:rsidRPr="00F96CE2">
        <w:rPr>
          <w:rFonts w:asciiTheme="majorHAnsi" w:hAnsiTheme="majorHAnsi" w:cstheme="majorHAnsi"/>
          <w:lang w:val="en-US"/>
        </w:rPr>
        <w:t xml:space="preserve">Niu, J., Straubinger, R. M., &amp; Mager, D. E. (2019). Pharmacodynamic drug–drug interactions. </w:t>
      </w:r>
      <w:r w:rsidRPr="00F96CE2">
        <w:rPr>
          <w:rFonts w:asciiTheme="majorHAnsi" w:hAnsiTheme="majorHAnsi" w:cstheme="majorHAnsi"/>
          <w:i/>
          <w:iCs/>
          <w:lang w:val="en-US"/>
        </w:rPr>
        <w:t>Clinical Pharmacology &amp; Therapeutics</w:t>
      </w:r>
      <w:r w:rsidRPr="00F96CE2">
        <w:rPr>
          <w:rFonts w:asciiTheme="majorHAnsi" w:hAnsiTheme="majorHAnsi" w:cstheme="majorHAnsi"/>
          <w:lang w:val="en-US"/>
        </w:rPr>
        <w:t xml:space="preserve">, </w:t>
      </w:r>
      <w:r w:rsidRPr="00F96CE2">
        <w:rPr>
          <w:rFonts w:asciiTheme="majorHAnsi" w:hAnsiTheme="majorHAnsi" w:cstheme="majorHAnsi"/>
          <w:i/>
          <w:iCs/>
          <w:lang w:val="en-US"/>
        </w:rPr>
        <w:t>105</w:t>
      </w:r>
      <w:r w:rsidRPr="00F96CE2">
        <w:rPr>
          <w:rFonts w:asciiTheme="majorHAnsi" w:hAnsiTheme="majorHAnsi" w:cstheme="majorHAnsi"/>
          <w:lang w:val="en-US"/>
        </w:rPr>
        <w:t xml:space="preserve">(6), 1395–1406. </w:t>
      </w:r>
    </w:p>
    <w:p w14:paraId="7F758849" w14:textId="77777777" w:rsidR="005925E4" w:rsidRPr="00F96CE2" w:rsidRDefault="005925E4" w:rsidP="00BE7581">
      <w:pPr>
        <w:ind w:left="720" w:hanging="720"/>
        <w:rPr>
          <w:rFonts w:asciiTheme="majorHAnsi" w:hAnsiTheme="majorHAnsi" w:cstheme="majorHAnsi"/>
          <w:lang w:val="en-US"/>
        </w:rPr>
      </w:pPr>
      <w:proofErr w:type="spellStart"/>
      <w:r w:rsidRPr="00F96CE2">
        <w:rPr>
          <w:rFonts w:asciiTheme="majorHAnsi" w:hAnsiTheme="majorHAnsi" w:cstheme="majorHAnsi"/>
          <w:lang w:val="en-US"/>
        </w:rPr>
        <w:lastRenderedPageBreak/>
        <w:t>Palleria</w:t>
      </w:r>
      <w:proofErr w:type="spellEnd"/>
      <w:r w:rsidRPr="00F96CE2">
        <w:rPr>
          <w:rFonts w:asciiTheme="majorHAnsi" w:hAnsiTheme="majorHAnsi" w:cstheme="majorHAnsi"/>
          <w:lang w:val="en-US"/>
        </w:rPr>
        <w:t xml:space="preserve">, C., Di Paolo, A., </w:t>
      </w:r>
      <w:proofErr w:type="spellStart"/>
      <w:r w:rsidRPr="00F96CE2">
        <w:rPr>
          <w:rFonts w:asciiTheme="majorHAnsi" w:hAnsiTheme="majorHAnsi" w:cstheme="majorHAnsi"/>
          <w:lang w:val="en-US"/>
        </w:rPr>
        <w:t>Giofrè</w:t>
      </w:r>
      <w:proofErr w:type="spellEnd"/>
      <w:r w:rsidRPr="00F96CE2">
        <w:rPr>
          <w:rFonts w:asciiTheme="majorHAnsi" w:hAnsiTheme="majorHAnsi" w:cstheme="majorHAnsi"/>
          <w:lang w:val="en-US"/>
        </w:rPr>
        <w:t xml:space="preserve">, C., </w:t>
      </w:r>
      <w:proofErr w:type="spellStart"/>
      <w:r w:rsidRPr="00F96CE2">
        <w:rPr>
          <w:rFonts w:asciiTheme="majorHAnsi" w:hAnsiTheme="majorHAnsi" w:cstheme="majorHAnsi"/>
          <w:lang w:val="en-US"/>
        </w:rPr>
        <w:t>Caglioti</w:t>
      </w:r>
      <w:proofErr w:type="spellEnd"/>
      <w:r w:rsidRPr="00F96CE2">
        <w:rPr>
          <w:rFonts w:asciiTheme="majorHAnsi" w:hAnsiTheme="majorHAnsi" w:cstheme="majorHAnsi"/>
          <w:lang w:val="en-US"/>
        </w:rPr>
        <w:t xml:space="preserve">, C., Leuzzi, G., Siniscalchi, A., ... &amp; Gallelli, L. (2013). Pharmacokinetic drug-drug interaction and their implication in clinical management. </w:t>
      </w:r>
      <w:r w:rsidRPr="00F96CE2">
        <w:rPr>
          <w:rFonts w:asciiTheme="majorHAnsi" w:hAnsiTheme="majorHAnsi" w:cstheme="majorHAnsi"/>
          <w:i/>
          <w:iCs/>
          <w:lang w:val="en-US"/>
        </w:rPr>
        <w:t>Journal of Research in Medical Sciences</w:t>
      </w:r>
      <w:r w:rsidRPr="00F96CE2">
        <w:rPr>
          <w:rFonts w:asciiTheme="majorHAnsi" w:hAnsiTheme="majorHAnsi" w:cstheme="majorHAnsi"/>
          <w:lang w:val="en-US"/>
        </w:rPr>
        <w:t xml:space="preserve">, </w:t>
      </w:r>
      <w:r w:rsidRPr="00F96CE2">
        <w:rPr>
          <w:rFonts w:asciiTheme="majorHAnsi" w:hAnsiTheme="majorHAnsi" w:cstheme="majorHAnsi"/>
          <w:i/>
          <w:iCs/>
          <w:lang w:val="en-US"/>
        </w:rPr>
        <w:t>18</w:t>
      </w:r>
      <w:r w:rsidRPr="00F96CE2">
        <w:rPr>
          <w:rFonts w:asciiTheme="majorHAnsi" w:hAnsiTheme="majorHAnsi" w:cstheme="majorHAnsi"/>
          <w:lang w:val="en-US"/>
        </w:rPr>
        <w:t>(7), 601.</w:t>
      </w:r>
    </w:p>
    <w:p w14:paraId="5AFA4F5B" w14:textId="77777777" w:rsidR="005925E4" w:rsidRPr="00F96CE2" w:rsidRDefault="005925E4" w:rsidP="00BE7581">
      <w:pPr>
        <w:pStyle w:val="NormalWeb"/>
        <w:ind w:left="720" w:hanging="720"/>
        <w:rPr>
          <w:rFonts w:asciiTheme="majorHAnsi" w:hAnsiTheme="majorHAnsi" w:cstheme="majorHAnsi"/>
          <w:sz w:val="22"/>
          <w:szCs w:val="22"/>
        </w:rPr>
      </w:pPr>
      <w:r w:rsidRPr="00F96CE2">
        <w:rPr>
          <w:rFonts w:asciiTheme="majorHAnsi" w:hAnsiTheme="majorHAnsi" w:cstheme="majorHAnsi"/>
          <w:sz w:val="22"/>
          <w:szCs w:val="22"/>
        </w:rPr>
        <w:t xml:space="preserve"> Paul Kundu, S., Mohammad Amjad, F., Sultana, S., Zakir Sultan, M., Hossain, M. A., &amp; Amran, M. S. (2012). Study of differential scanning calorimetry of complex of magnesium sulfate with aspirin, paracetamol and naproxen. </w:t>
      </w:r>
      <w:r w:rsidRPr="00F96CE2">
        <w:rPr>
          <w:rStyle w:val="Emphasis"/>
          <w:rFonts w:asciiTheme="majorHAnsi" w:hAnsiTheme="majorHAnsi" w:cstheme="majorHAnsi"/>
          <w:sz w:val="22"/>
          <w:szCs w:val="22"/>
        </w:rPr>
        <w:t>Bangladesh Pharmaceutical Journal, 15</w:t>
      </w:r>
      <w:r w:rsidRPr="00F96CE2">
        <w:rPr>
          <w:rFonts w:asciiTheme="majorHAnsi" w:hAnsiTheme="majorHAnsi" w:cstheme="majorHAnsi"/>
          <w:sz w:val="22"/>
          <w:szCs w:val="22"/>
        </w:rPr>
        <w:t>.</w:t>
      </w:r>
    </w:p>
    <w:p w14:paraId="4FC33332" w14:textId="77777777" w:rsidR="005925E4" w:rsidRPr="00F96CE2" w:rsidRDefault="005925E4" w:rsidP="00BE7581">
      <w:pPr>
        <w:ind w:left="720" w:hanging="720"/>
        <w:rPr>
          <w:rFonts w:asciiTheme="majorHAnsi" w:hAnsiTheme="majorHAnsi" w:cstheme="majorHAnsi"/>
          <w:lang w:val="en-US"/>
        </w:rPr>
      </w:pPr>
      <w:r w:rsidRPr="00F96CE2">
        <w:rPr>
          <w:rFonts w:asciiTheme="majorHAnsi" w:hAnsiTheme="majorHAnsi" w:cstheme="majorHAnsi"/>
          <w:lang w:val="en-US"/>
        </w:rPr>
        <w:t xml:space="preserve"> Perrin, D. D., &amp; Boyd, B. (1974). Buffers for pH and metal ion control. In </w:t>
      </w:r>
      <w:r w:rsidRPr="00F96CE2">
        <w:rPr>
          <w:rFonts w:asciiTheme="majorHAnsi" w:hAnsiTheme="majorHAnsi" w:cstheme="majorHAnsi"/>
          <w:i/>
          <w:iCs/>
          <w:lang w:val="en-US"/>
        </w:rPr>
        <w:t>Science Paperbacks</w:t>
      </w:r>
      <w:r w:rsidRPr="00F96CE2">
        <w:rPr>
          <w:rFonts w:asciiTheme="majorHAnsi" w:hAnsiTheme="majorHAnsi" w:cstheme="majorHAnsi"/>
          <w:lang w:val="en-US"/>
        </w:rPr>
        <w:t xml:space="preserve"> (pp. 44–64). New York.</w:t>
      </w:r>
    </w:p>
    <w:p w14:paraId="0E8FD68A" w14:textId="77777777" w:rsidR="005925E4" w:rsidRPr="00F96CE2" w:rsidRDefault="005925E4" w:rsidP="00BE7581">
      <w:pPr>
        <w:pStyle w:val="NormalWeb"/>
        <w:ind w:left="720" w:hanging="720"/>
        <w:rPr>
          <w:rFonts w:asciiTheme="majorHAnsi" w:hAnsiTheme="majorHAnsi" w:cstheme="majorHAnsi"/>
          <w:sz w:val="22"/>
          <w:szCs w:val="22"/>
        </w:rPr>
      </w:pPr>
      <w:r w:rsidRPr="00F96CE2">
        <w:rPr>
          <w:rFonts w:asciiTheme="majorHAnsi" w:hAnsiTheme="majorHAnsi" w:cstheme="majorHAnsi"/>
          <w:sz w:val="22"/>
          <w:szCs w:val="22"/>
        </w:rPr>
        <w:t xml:space="preserve">Saha, S., Begum, R., Rahman, A., Sultan, M. Z., Amran, M. S., &amp; Hossain, M. A. (2015). Evaluation of in vitro interaction of metformin with ibuprofen in aqueous medium. </w:t>
      </w:r>
      <w:r w:rsidRPr="00F96CE2">
        <w:rPr>
          <w:rStyle w:val="Emphasis"/>
          <w:rFonts w:asciiTheme="majorHAnsi" w:hAnsiTheme="majorHAnsi" w:cstheme="majorHAnsi"/>
          <w:sz w:val="22"/>
          <w:szCs w:val="22"/>
        </w:rPr>
        <w:t>Bangladesh Pharmaceutical Journal, 16</w:t>
      </w:r>
      <w:r w:rsidRPr="00F96CE2">
        <w:rPr>
          <w:rFonts w:asciiTheme="majorHAnsi" w:hAnsiTheme="majorHAnsi" w:cstheme="majorHAnsi"/>
          <w:sz w:val="22"/>
          <w:szCs w:val="22"/>
        </w:rPr>
        <w:t xml:space="preserve">(2), 189–194. </w:t>
      </w:r>
    </w:p>
    <w:p w14:paraId="3F2629A6" w14:textId="77777777" w:rsidR="005925E4" w:rsidRPr="00F96CE2" w:rsidRDefault="005925E4" w:rsidP="00BE7581">
      <w:pPr>
        <w:ind w:left="720" w:hanging="720"/>
        <w:rPr>
          <w:rFonts w:asciiTheme="majorHAnsi" w:hAnsiTheme="majorHAnsi" w:cstheme="majorHAnsi"/>
          <w:lang w:val="en-US"/>
        </w:rPr>
      </w:pPr>
      <w:r w:rsidRPr="00F96CE2">
        <w:rPr>
          <w:rFonts w:asciiTheme="majorHAnsi" w:hAnsiTheme="majorHAnsi" w:cstheme="majorHAnsi"/>
          <w:lang w:val="en-US"/>
        </w:rPr>
        <w:t xml:space="preserve"> Saha, S., Begum, R., Sultan, M. Z., Amjad, F. M., Amran, M. S., &amp; Hossain, M. A. (2013). In vitro interaction of metformin with diclofenac in aqueous medium. </w:t>
      </w:r>
      <w:r w:rsidRPr="00F96CE2">
        <w:rPr>
          <w:rFonts w:asciiTheme="majorHAnsi" w:hAnsiTheme="majorHAnsi" w:cstheme="majorHAnsi"/>
          <w:i/>
          <w:iCs/>
          <w:lang w:val="en-US"/>
        </w:rPr>
        <w:t>Dhaka University Journal of Pharmaceutical Sciences, 11</w:t>
      </w:r>
      <w:r w:rsidRPr="00F96CE2">
        <w:rPr>
          <w:rFonts w:asciiTheme="majorHAnsi" w:hAnsiTheme="majorHAnsi" w:cstheme="majorHAnsi"/>
          <w:lang w:val="en-US"/>
        </w:rPr>
        <w:t xml:space="preserve">(2), 101–106. </w:t>
      </w:r>
    </w:p>
    <w:p w14:paraId="3618A404" w14:textId="77777777" w:rsidR="005925E4" w:rsidRPr="00F96CE2" w:rsidRDefault="005925E4" w:rsidP="00BE7581">
      <w:pPr>
        <w:ind w:left="720" w:hanging="720"/>
        <w:rPr>
          <w:rFonts w:asciiTheme="majorHAnsi" w:hAnsiTheme="majorHAnsi" w:cstheme="majorHAnsi"/>
          <w:lang w:val="en-US"/>
        </w:rPr>
      </w:pPr>
      <w:r w:rsidRPr="00F96CE2">
        <w:rPr>
          <w:rFonts w:asciiTheme="majorHAnsi" w:hAnsiTheme="majorHAnsi" w:cstheme="majorHAnsi"/>
          <w:lang w:val="en-US"/>
        </w:rPr>
        <w:t xml:space="preserve">Salam, M. A., Baki, M. A., Zafrul Azam, A. T. M., Amran, M. S., Amjad, F. M., Rokeya, B., &amp; Hossain, M. A. (2009). In vitro and in vivo effects of glipizide and gliclazide on the protein binding, plasma concentration and serum glucose, cholesterol and creatinine levels of ibuprofen. </w:t>
      </w:r>
      <w:r w:rsidRPr="00F96CE2">
        <w:rPr>
          <w:rFonts w:asciiTheme="majorHAnsi" w:hAnsiTheme="majorHAnsi" w:cstheme="majorHAnsi"/>
          <w:i/>
          <w:iCs/>
          <w:lang w:val="en-US"/>
        </w:rPr>
        <w:t>Journal of Pharmacology and Toxicology, 4</w:t>
      </w:r>
      <w:r w:rsidRPr="00F96CE2">
        <w:rPr>
          <w:rFonts w:asciiTheme="majorHAnsi" w:hAnsiTheme="majorHAnsi" w:cstheme="majorHAnsi"/>
          <w:lang w:val="en-US"/>
        </w:rPr>
        <w:t xml:space="preserve">(8), 307–313. </w:t>
      </w:r>
    </w:p>
    <w:p w14:paraId="6A58F7B4" w14:textId="77777777" w:rsidR="005925E4" w:rsidRPr="00F96CE2" w:rsidRDefault="005925E4" w:rsidP="00BE7581">
      <w:pPr>
        <w:ind w:left="720" w:hanging="720"/>
        <w:rPr>
          <w:rFonts w:asciiTheme="majorHAnsi" w:hAnsiTheme="majorHAnsi" w:cstheme="majorHAnsi"/>
          <w:lang w:val="en-US"/>
        </w:rPr>
      </w:pPr>
      <w:r w:rsidRPr="00F96CE2">
        <w:rPr>
          <w:rFonts w:asciiTheme="majorHAnsi" w:hAnsiTheme="majorHAnsi" w:cstheme="majorHAnsi"/>
          <w:lang w:val="en-US"/>
        </w:rPr>
        <w:t xml:space="preserve">Sayeed, M. A., &amp; Rana, S. (2013). In vitro and in vivo drug-drug interaction study between ketotifen fumarate and chlorpheniramine maleate at gastric and intestinal </w:t>
      </w:r>
      <w:proofErr w:type="spellStart"/>
      <w:r w:rsidRPr="00F96CE2">
        <w:rPr>
          <w:rFonts w:asciiTheme="majorHAnsi" w:hAnsiTheme="majorHAnsi" w:cstheme="majorHAnsi"/>
          <w:lang w:val="en-US"/>
        </w:rPr>
        <w:t>pH.</w:t>
      </w:r>
      <w:proofErr w:type="spellEnd"/>
      <w:r w:rsidRPr="00F96CE2">
        <w:rPr>
          <w:rFonts w:asciiTheme="majorHAnsi" w:hAnsiTheme="majorHAnsi" w:cstheme="majorHAnsi"/>
          <w:lang w:val="en-US"/>
        </w:rPr>
        <w:t xml:space="preserve"> </w:t>
      </w:r>
      <w:r w:rsidRPr="00F96CE2">
        <w:rPr>
          <w:rFonts w:asciiTheme="majorHAnsi" w:hAnsiTheme="majorHAnsi" w:cstheme="majorHAnsi"/>
          <w:i/>
          <w:iCs/>
          <w:lang w:val="en-US"/>
        </w:rPr>
        <w:t>e-Journal of Science &amp; Technology (e-JST)</w:t>
      </w:r>
      <w:r w:rsidRPr="00F96CE2">
        <w:rPr>
          <w:rFonts w:asciiTheme="majorHAnsi" w:hAnsiTheme="majorHAnsi" w:cstheme="majorHAnsi"/>
          <w:lang w:val="en-US"/>
        </w:rPr>
        <w:t xml:space="preserve">, </w:t>
      </w:r>
      <w:r w:rsidRPr="00F96CE2">
        <w:rPr>
          <w:rFonts w:asciiTheme="majorHAnsi" w:hAnsiTheme="majorHAnsi" w:cstheme="majorHAnsi"/>
          <w:i/>
          <w:iCs/>
          <w:lang w:val="en-US"/>
        </w:rPr>
        <w:t>2</w:t>
      </w:r>
      <w:r w:rsidRPr="00F96CE2">
        <w:rPr>
          <w:rFonts w:asciiTheme="majorHAnsi" w:hAnsiTheme="majorHAnsi" w:cstheme="majorHAnsi"/>
          <w:lang w:val="en-US"/>
        </w:rPr>
        <w:t>(8).</w:t>
      </w:r>
    </w:p>
    <w:p w14:paraId="7223B4D1" w14:textId="77777777" w:rsidR="005925E4" w:rsidRPr="00BE7581" w:rsidRDefault="005925E4" w:rsidP="00BE7581">
      <w:pPr>
        <w:tabs>
          <w:tab w:val="num" w:pos="720"/>
        </w:tabs>
        <w:spacing w:after="0" w:line="360" w:lineRule="auto"/>
        <w:ind w:left="720" w:hanging="720"/>
        <w:jc w:val="both"/>
        <w:rPr>
          <w:rFonts w:asciiTheme="majorHAnsi" w:eastAsia="Times New Roman" w:hAnsiTheme="majorHAnsi" w:cstheme="majorHAnsi"/>
          <w:bCs/>
          <w:color w:val="000000"/>
          <w:lang w:val="en-US"/>
        </w:rPr>
      </w:pPr>
      <w:r w:rsidRPr="00F96CE2">
        <w:rPr>
          <w:rFonts w:asciiTheme="majorHAnsi" w:hAnsiTheme="majorHAnsi" w:cstheme="majorHAnsi"/>
        </w:rPr>
        <w:t xml:space="preserve">Shahriar, S., Chowdhury, A. A., Amran, M. S., &amp; Chowdhury, J. A. (2020). Tablet splitting performance evaluation of losartan potassium and </w:t>
      </w:r>
      <w:proofErr w:type="spellStart"/>
      <w:r w:rsidRPr="00F96CE2">
        <w:rPr>
          <w:rFonts w:asciiTheme="majorHAnsi" w:hAnsiTheme="majorHAnsi" w:cstheme="majorHAnsi"/>
        </w:rPr>
        <w:t>olmesartan</w:t>
      </w:r>
      <w:proofErr w:type="spellEnd"/>
      <w:r w:rsidRPr="00F96CE2">
        <w:rPr>
          <w:rFonts w:asciiTheme="majorHAnsi" w:hAnsiTheme="majorHAnsi" w:cstheme="majorHAnsi"/>
        </w:rPr>
        <w:t xml:space="preserve"> </w:t>
      </w:r>
      <w:proofErr w:type="spellStart"/>
      <w:r w:rsidRPr="00F96CE2">
        <w:rPr>
          <w:rFonts w:asciiTheme="majorHAnsi" w:hAnsiTheme="majorHAnsi" w:cstheme="majorHAnsi"/>
        </w:rPr>
        <w:t>medoxomil</w:t>
      </w:r>
      <w:proofErr w:type="spellEnd"/>
      <w:r w:rsidRPr="00F96CE2">
        <w:rPr>
          <w:rFonts w:asciiTheme="majorHAnsi" w:hAnsiTheme="majorHAnsi" w:cstheme="majorHAnsi"/>
        </w:rPr>
        <w:t xml:space="preserve"> IR tablets marketed in Bangladesh. </w:t>
      </w:r>
      <w:r w:rsidRPr="00F96CE2">
        <w:rPr>
          <w:rStyle w:val="Emphasis"/>
          <w:rFonts w:asciiTheme="majorHAnsi" w:hAnsiTheme="majorHAnsi" w:cstheme="majorHAnsi"/>
        </w:rPr>
        <w:t>Bangladesh Pharmaceutical Journal, 23</w:t>
      </w:r>
      <w:r w:rsidRPr="00F96CE2">
        <w:rPr>
          <w:rFonts w:asciiTheme="majorHAnsi" w:hAnsiTheme="majorHAnsi" w:cstheme="majorHAnsi"/>
        </w:rPr>
        <w:t>(2), 146–154.</w:t>
      </w:r>
    </w:p>
    <w:p w14:paraId="5EDC9C80" w14:textId="77777777" w:rsidR="005925E4" w:rsidRPr="00F96CE2" w:rsidRDefault="005925E4" w:rsidP="00BE7581">
      <w:pPr>
        <w:tabs>
          <w:tab w:val="num" w:pos="720"/>
        </w:tabs>
        <w:spacing w:after="0" w:line="360" w:lineRule="auto"/>
        <w:ind w:left="720" w:hanging="720"/>
        <w:jc w:val="both"/>
        <w:rPr>
          <w:rFonts w:asciiTheme="majorHAnsi" w:eastAsia="Times New Roman" w:hAnsiTheme="majorHAnsi" w:cstheme="majorHAnsi"/>
          <w:bCs/>
          <w:color w:val="000000"/>
          <w:lang w:val="en-US"/>
        </w:rPr>
      </w:pPr>
      <w:r w:rsidRPr="00F96CE2">
        <w:rPr>
          <w:rFonts w:asciiTheme="majorHAnsi" w:eastAsia="Times New Roman" w:hAnsiTheme="majorHAnsi" w:cstheme="majorHAnsi"/>
          <w:bCs/>
          <w:color w:val="000000"/>
          <w:lang w:val="en-US"/>
        </w:rPr>
        <w:t xml:space="preserve">Sinko, P. J. (2017). </w:t>
      </w:r>
      <w:r w:rsidRPr="00F96CE2">
        <w:rPr>
          <w:rFonts w:asciiTheme="majorHAnsi" w:eastAsia="Times New Roman" w:hAnsiTheme="majorHAnsi" w:cstheme="majorHAnsi"/>
          <w:bCs/>
          <w:i/>
          <w:iCs/>
          <w:color w:val="000000"/>
          <w:lang w:val="en-US"/>
        </w:rPr>
        <w:t>Martin’s physical pharmacy and pharmaceutical sciences</w:t>
      </w:r>
      <w:r w:rsidRPr="00F96CE2">
        <w:rPr>
          <w:rFonts w:asciiTheme="majorHAnsi" w:eastAsia="Times New Roman" w:hAnsiTheme="majorHAnsi" w:cstheme="majorHAnsi"/>
          <w:bCs/>
          <w:color w:val="000000"/>
          <w:lang w:val="en-US"/>
        </w:rPr>
        <w:t xml:space="preserve"> (7th ed., pp. 203–221). Wolters Kluwer.</w:t>
      </w:r>
    </w:p>
    <w:p w14:paraId="506CCDF7" w14:textId="77777777" w:rsidR="005925E4" w:rsidRPr="00F96CE2" w:rsidRDefault="005925E4" w:rsidP="00BE7581">
      <w:pPr>
        <w:ind w:left="720" w:hanging="720"/>
        <w:rPr>
          <w:rFonts w:asciiTheme="majorHAnsi" w:hAnsiTheme="majorHAnsi" w:cstheme="majorHAnsi"/>
          <w:lang w:val="en-US"/>
        </w:rPr>
      </w:pPr>
      <w:proofErr w:type="spellStart"/>
      <w:r w:rsidRPr="00F96CE2">
        <w:rPr>
          <w:rFonts w:asciiTheme="majorHAnsi" w:hAnsiTheme="majorHAnsi" w:cstheme="majorHAnsi"/>
          <w:lang w:val="en-US"/>
        </w:rPr>
        <w:t>Siraji</w:t>
      </w:r>
      <w:proofErr w:type="spellEnd"/>
      <w:r w:rsidRPr="00F96CE2">
        <w:rPr>
          <w:rFonts w:asciiTheme="majorHAnsi" w:hAnsiTheme="majorHAnsi" w:cstheme="majorHAnsi"/>
          <w:lang w:val="en-US"/>
        </w:rPr>
        <w:t xml:space="preserve">, F., Azam, A. T. M., Amran, M. S., Islam, J., Amjad, F., &amp; Hossain, M. (2011). In vitro interaction of metronidazole and mebendazole with copper (II) and chromium (III) in aqueous media. </w:t>
      </w:r>
      <w:r w:rsidRPr="00F96CE2">
        <w:rPr>
          <w:rFonts w:asciiTheme="majorHAnsi" w:hAnsiTheme="majorHAnsi" w:cstheme="majorHAnsi"/>
          <w:i/>
          <w:iCs/>
          <w:lang w:val="en-US"/>
        </w:rPr>
        <w:t>Journal of Scientific Research</w:t>
      </w:r>
      <w:r w:rsidRPr="00F96CE2">
        <w:rPr>
          <w:rFonts w:asciiTheme="majorHAnsi" w:hAnsiTheme="majorHAnsi" w:cstheme="majorHAnsi"/>
          <w:lang w:val="en-US"/>
        </w:rPr>
        <w:t xml:space="preserve">, </w:t>
      </w:r>
      <w:r w:rsidRPr="00F96CE2">
        <w:rPr>
          <w:rFonts w:asciiTheme="majorHAnsi" w:hAnsiTheme="majorHAnsi" w:cstheme="majorHAnsi"/>
          <w:i/>
          <w:iCs/>
          <w:lang w:val="en-US"/>
        </w:rPr>
        <w:t>4</w:t>
      </w:r>
      <w:r w:rsidRPr="00F96CE2">
        <w:rPr>
          <w:rFonts w:asciiTheme="majorHAnsi" w:hAnsiTheme="majorHAnsi" w:cstheme="majorHAnsi"/>
          <w:lang w:val="en-US"/>
        </w:rPr>
        <w:t xml:space="preserve">(1). </w:t>
      </w:r>
    </w:p>
    <w:p w14:paraId="7926530B" w14:textId="77777777" w:rsidR="005925E4" w:rsidRPr="00F96CE2" w:rsidRDefault="005925E4" w:rsidP="00BE7581">
      <w:pPr>
        <w:ind w:left="720" w:hanging="720"/>
        <w:rPr>
          <w:rFonts w:asciiTheme="majorHAnsi" w:hAnsiTheme="majorHAnsi" w:cstheme="majorHAnsi"/>
          <w:lang w:val="en-US"/>
        </w:rPr>
      </w:pPr>
      <w:r w:rsidRPr="00F96CE2">
        <w:rPr>
          <w:rFonts w:asciiTheme="majorHAnsi" w:hAnsiTheme="majorHAnsi" w:cstheme="majorHAnsi"/>
          <w:lang w:val="en-US"/>
        </w:rPr>
        <w:t xml:space="preserve"> Vogel, A. I. (1961). </w:t>
      </w:r>
      <w:r w:rsidRPr="00F96CE2">
        <w:rPr>
          <w:rFonts w:asciiTheme="majorHAnsi" w:hAnsiTheme="majorHAnsi" w:cstheme="majorHAnsi"/>
          <w:i/>
          <w:iCs/>
          <w:lang w:val="en-US"/>
        </w:rPr>
        <w:t>A textbook of quantitative inorganic analysis</w:t>
      </w:r>
      <w:r w:rsidRPr="00F96CE2">
        <w:rPr>
          <w:rFonts w:asciiTheme="majorHAnsi" w:hAnsiTheme="majorHAnsi" w:cstheme="majorHAnsi"/>
          <w:lang w:val="en-US"/>
        </w:rPr>
        <w:t xml:space="preserve"> (p. 93). London: Longmans.</w:t>
      </w:r>
    </w:p>
    <w:sectPr w:rsidR="005925E4" w:rsidRPr="00F96CE2">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1ACCB7" w14:textId="77777777" w:rsidR="00702BC0" w:rsidRDefault="00702BC0">
      <w:pPr>
        <w:spacing w:after="0" w:line="240" w:lineRule="auto"/>
      </w:pPr>
      <w:r>
        <w:separator/>
      </w:r>
    </w:p>
  </w:endnote>
  <w:endnote w:type="continuationSeparator" w:id="0">
    <w:p w14:paraId="412B8E61" w14:textId="77777777" w:rsidR="00702BC0" w:rsidRDefault="00702B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BB95899D-A266-4122-BBD9-34421470B2BF}"/>
    <w:embedBold r:id="rId2" w:fontKey="{9E22BE2E-7D4C-4EE6-BBE8-9458F2F15A91}"/>
    <w:embedItalic r:id="rId3" w:fontKey="{A17AF788-2429-47E1-9CFC-6F188CEC43AB}"/>
    <w:embedBoldItalic r:id="rId4" w:fontKey="{6B3A3F17-D053-4E4B-82BD-D1484B47223D}"/>
  </w:font>
  <w:font w:name="E-F6">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0B87B873-C808-4826-8929-ACF0DD4547FF}"/>
    <w:embedItalic r:id="rId6" w:fontKey="{A9DEDC9D-3CC8-4E3B-BC22-087FBA3A56BD}"/>
  </w:font>
  <w:font w:name="Cambria Math">
    <w:panose1 w:val="02040503050406030204"/>
    <w:charset w:val="00"/>
    <w:family w:val="roman"/>
    <w:pitch w:val="variable"/>
    <w:sig w:usb0="E00006FF" w:usb1="420024FF" w:usb2="02000000" w:usb3="00000000" w:csb0="0000019F" w:csb1="00000000"/>
    <w:embedRegular r:id="rId7" w:fontKey="{A69FF6B2-5F6A-46A4-8F44-9B68DCF4D1CD}"/>
    <w:embedItalic r:id="rId8" w:fontKey="{12DA2256-6F37-4A8D-9EAD-36964C51F2C0}"/>
  </w:font>
  <w:font w:name="Cambria">
    <w:panose1 w:val="02040503050406030204"/>
    <w:charset w:val="00"/>
    <w:family w:val="roman"/>
    <w:pitch w:val="variable"/>
    <w:sig w:usb0="E00006FF" w:usb1="420024FF" w:usb2="02000000" w:usb3="00000000" w:csb0="0000019F" w:csb1="00000000"/>
    <w:embedRegular r:id="rId9" w:fontKey="{CCD5C5B9-447B-48FF-AD14-42D96E862DC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838164" w14:textId="77777777" w:rsidR="008219B1" w:rsidRDefault="008219B1">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B2B96E" w14:textId="77777777" w:rsidR="008219B1" w:rsidRDefault="008219B1">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F12417" w14:textId="77777777" w:rsidR="008219B1" w:rsidRDefault="008219B1">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2A124E" w14:textId="77777777" w:rsidR="00702BC0" w:rsidRDefault="00702BC0">
      <w:pPr>
        <w:spacing w:after="0" w:line="240" w:lineRule="auto"/>
      </w:pPr>
      <w:r>
        <w:separator/>
      </w:r>
    </w:p>
  </w:footnote>
  <w:footnote w:type="continuationSeparator" w:id="0">
    <w:p w14:paraId="2F9BA442" w14:textId="77777777" w:rsidR="00702BC0" w:rsidRDefault="00702B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435C52" w14:textId="77777777" w:rsidR="008219B1" w:rsidRDefault="00702BC0">
    <w:pPr>
      <w:pBdr>
        <w:top w:val="nil"/>
        <w:left w:val="nil"/>
        <w:bottom w:val="nil"/>
        <w:right w:val="nil"/>
        <w:between w:val="nil"/>
      </w:pBdr>
      <w:tabs>
        <w:tab w:val="center" w:pos="4680"/>
        <w:tab w:val="right" w:pos="9360"/>
      </w:tabs>
      <w:spacing w:after="0" w:line="240" w:lineRule="auto"/>
      <w:rPr>
        <w:color w:val="000000"/>
      </w:rPr>
    </w:pPr>
    <w:r>
      <w:rPr>
        <w:color w:val="000000"/>
      </w:rPr>
      <w:pict w14:anchorId="7AAF09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49" type="#_x0000_t136" style="position:absolute;margin-left:0;margin-top:0;width:555.6pt;height:104.15pt;rotation:315;z-index:-251657728;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2C5705" w14:textId="77777777" w:rsidR="008219B1" w:rsidRDefault="00702BC0">
    <w:pPr>
      <w:pBdr>
        <w:top w:val="nil"/>
        <w:left w:val="nil"/>
        <w:bottom w:val="nil"/>
        <w:right w:val="nil"/>
        <w:between w:val="nil"/>
      </w:pBdr>
      <w:tabs>
        <w:tab w:val="center" w:pos="4680"/>
        <w:tab w:val="right" w:pos="9360"/>
      </w:tabs>
      <w:spacing w:after="0" w:line="240" w:lineRule="auto"/>
      <w:rPr>
        <w:color w:val="000000"/>
      </w:rPr>
    </w:pPr>
    <w:r>
      <w:rPr>
        <w:color w:val="000000"/>
      </w:rPr>
      <w:pict w14:anchorId="2809B0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1" type="#_x0000_t136" style="position:absolute;margin-left:0;margin-top:0;width:555.6pt;height:104.15pt;rotation:315;z-index:-251659776;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45E411" w14:textId="77777777" w:rsidR="008219B1" w:rsidRDefault="00702BC0">
    <w:pPr>
      <w:pBdr>
        <w:top w:val="nil"/>
        <w:left w:val="nil"/>
        <w:bottom w:val="nil"/>
        <w:right w:val="nil"/>
        <w:between w:val="nil"/>
      </w:pBdr>
      <w:tabs>
        <w:tab w:val="center" w:pos="4680"/>
        <w:tab w:val="right" w:pos="9360"/>
      </w:tabs>
      <w:spacing w:after="0" w:line="240" w:lineRule="auto"/>
      <w:rPr>
        <w:color w:val="000000"/>
      </w:rPr>
    </w:pPr>
    <w:r>
      <w:rPr>
        <w:color w:val="000000"/>
      </w:rPr>
      <w:pict w14:anchorId="16BA97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555.6pt;height:104.15pt;rotation:315;z-index:-251658752;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FC5BC9"/>
    <w:multiLevelType w:val="multilevel"/>
    <w:tmpl w:val="D0CEECD6"/>
    <w:lvl w:ilvl="0">
      <w:start w:val="1"/>
      <w:numFmt w:val="decimal"/>
      <w:lvlText w:val="%1."/>
      <w:lvlJc w:val="left"/>
      <w:pPr>
        <w:tabs>
          <w:tab w:val="num" w:pos="360"/>
        </w:tabs>
        <w:ind w:left="360" w:hanging="360"/>
      </w:pPr>
    </w:lvl>
    <w:lvl w:ilvl="1" w:tentative="1">
      <w:start w:val="1"/>
      <w:numFmt w:val="decimal"/>
      <w:lvlText w:val="%2."/>
      <w:lvlJc w:val="left"/>
      <w:pPr>
        <w:tabs>
          <w:tab w:val="num" w:pos="1170"/>
        </w:tabs>
        <w:ind w:left="1170" w:hanging="360"/>
      </w:pPr>
    </w:lvl>
    <w:lvl w:ilvl="2" w:tentative="1">
      <w:start w:val="1"/>
      <w:numFmt w:val="decimal"/>
      <w:lvlText w:val="%3."/>
      <w:lvlJc w:val="left"/>
      <w:pPr>
        <w:tabs>
          <w:tab w:val="num" w:pos="1890"/>
        </w:tabs>
        <w:ind w:left="1890" w:hanging="360"/>
      </w:pPr>
    </w:lvl>
    <w:lvl w:ilvl="3" w:tentative="1">
      <w:start w:val="1"/>
      <w:numFmt w:val="decimal"/>
      <w:lvlText w:val="%4."/>
      <w:lvlJc w:val="left"/>
      <w:pPr>
        <w:tabs>
          <w:tab w:val="num" w:pos="2610"/>
        </w:tabs>
        <w:ind w:left="2610" w:hanging="360"/>
      </w:pPr>
    </w:lvl>
    <w:lvl w:ilvl="4" w:tentative="1">
      <w:start w:val="1"/>
      <w:numFmt w:val="decimal"/>
      <w:lvlText w:val="%5."/>
      <w:lvlJc w:val="left"/>
      <w:pPr>
        <w:tabs>
          <w:tab w:val="num" w:pos="3330"/>
        </w:tabs>
        <w:ind w:left="3330" w:hanging="360"/>
      </w:pPr>
    </w:lvl>
    <w:lvl w:ilvl="5" w:tentative="1">
      <w:start w:val="1"/>
      <w:numFmt w:val="decimal"/>
      <w:lvlText w:val="%6."/>
      <w:lvlJc w:val="left"/>
      <w:pPr>
        <w:tabs>
          <w:tab w:val="num" w:pos="4050"/>
        </w:tabs>
        <w:ind w:left="4050" w:hanging="360"/>
      </w:pPr>
    </w:lvl>
    <w:lvl w:ilvl="6" w:tentative="1">
      <w:start w:val="1"/>
      <w:numFmt w:val="decimal"/>
      <w:lvlText w:val="%7."/>
      <w:lvlJc w:val="left"/>
      <w:pPr>
        <w:tabs>
          <w:tab w:val="num" w:pos="4770"/>
        </w:tabs>
        <w:ind w:left="4770" w:hanging="360"/>
      </w:pPr>
    </w:lvl>
    <w:lvl w:ilvl="7" w:tentative="1">
      <w:start w:val="1"/>
      <w:numFmt w:val="decimal"/>
      <w:lvlText w:val="%8."/>
      <w:lvlJc w:val="left"/>
      <w:pPr>
        <w:tabs>
          <w:tab w:val="num" w:pos="5490"/>
        </w:tabs>
        <w:ind w:left="5490" w:hanging="360"/>
      </w:pPr>
    </w:lvl>
    <w:lvl w:ilvl="8" w:tentative="1">
      <w:start w:val="1"/>
      <w:numFmt w:val="decimal"/>
      <w:lvlText w:val="%9."/>
      <w:lvlJc w:val="left"/>
      <w:pPr>
        <w:tabs>
          <w:tab w:val="num" w:pos="6210"/>
        </w:tabs>
        <w:ind w:left="6210" w:hanging="360"/>
      </w:pPr>
    </w:lvl>
  </w:abstractNum>
  <w:abstractNum w:abstractNumId="1" w15:restartNumberingAfterBreak="0">
    <w:nsid w:val="2377515D"/>
    <w:multiLevelType w:val="multilevel"/>
    <w:tmpl w:val="39CCCD96"/>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0C4698E"/>
    <w:multiLevelType w:val="multilevel"/>
    <w:tmpl w:val="6096C6C8"/>
    <w:lvl w:ilvl="0">
      <w:start w:val="2"/>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EBB2FC9"/>
    <w:multiLevelType w:val="multilevel"/>
    <w:tmpl w:val="F2CADC0E"/>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CF77E5E"/>
    <w:multiLevelType w:val="multilevel"/>
    <w:tmpl w:val="49105AEE"/>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13664E0"/>
    <w:multiLevelType w:val="multilevel"/>
    <w:tmpl w:val="4C9A1A1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0"/>
  </w:num>
  <w:num w:numId="4">
    <w:abstractNumId w:val="5"/>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19B1"/>
    <w:rsid w:val="000631AC"/>
    <w:rsid w:val="000D3823"/>
    <w:rsid w:val="001E3B0A"/>
    <w:rsid w:val="00314973"/>
    <w:rsid w:val="003C1771"/>
    <w:rsid w:val="0049121B"/>
    <w:rsid w:val="005925E4"/>
    <w:rsid w:val="005C59FB"/>
    <w:rsid w:val="005E4B0F"/>
    <w:rsid w:val="00617952"/>
    <w:rsid w:val="00622060"/>
    <w:rsid w:val="006E4596"/>
    <w:rsid w:val="0070087A"/>
    <w:rsid w:val="00702BC0"/>
    <w:rsid w:val="007054BC"/>
    <w:rsid w:val="00773C99"/>
    <w:rsid w:val="00777270"/>
    <w:rsid w:val="00787346"/>
    <w:rsid w:val="007951DC"/>
    <w:rsid w:val="008219B1"/>
    <w:rsid w:val="008269EE"/>
    <w:rsid w:val="00862544"/>
    <w:rsid w:val="008A0D93"/>
    <w:rsid w:val="008B4487"/>
    <w:rsid w:val="008D12CB"/>
    <w:rsid w:val="00902924"/>
    <w:rsid w:val="00903CBF"/>
    <w:rsid w:val="0096735A"/>
    <w:rsid w:val="00A317F9"/>
    <w:rsid w:val="00A404D4"/>
    <w:rsid w:val="00A62220"/>
    <w:rsid w:val="00AF4485"/>
    <w:rsid w:val="00B51C60"/>
    <w:rsid w:val="00BE7581"/>
    <w:rsid w:val="00C007A8"/>
    <w:rsid w:val="00C21310"/>
    <w:rsid w:val="00C26C61"/>
    <w:rsid w:val="00C53A37"/>
    <w:rsid w:val="00C81F68"/>
    <w:rsid w:val="00D56D95"/>
    <w:rsid w:val="00D57517"/>
    <w:rsid w:val="00DA4EF6"/>
    <w:rsid w:val="00DB0A42"/>
    <w:rsid w:val="00DF539F"/>
    <w:rsid w:val="00F95033"/>
    <w:rsid w:val="00F96CE2"/>
    <w:rsid w:val="00FF40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FCC6D7C"/>
  <w15:docId w15:val="{E133F70B-E2A7-42BF-A601-B8F134DDD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spacing w:line="240" w:lineRule="auto"/>
      <w:outlineLvl w:val="0"/>
    </w:pPr>
    <w:rPr>
      <w:rFonts w:ascii="E-F6" w:eastAsia="E-F6" w:hAnsi="E-F6" w:cs="E-F6"/>
      <w:b/>
      <w:sz w:val="48"/>
      <w:szCs w:val="48"/>
    </w:rPr>
  </w:style>
  <w:style w:type="paragraph" w:styleId="Heading2">
    <w:name w:val="heading 2"/>
    <w:basedOn w:val="Normal"/>
    <w:next w:val="Normal"/>
    <w:uiPriority w:val="9"/>
    <w:semiHidden/>
    <w:unhideWhenUsed/>
    <w:qFormat/>
    <w:pPr>
      <w:keepNext/>
      <w:keepLines/>
      <w:spacing w:before="40" w:after="0"/>
      <w:outlineLvl w:val="1"/>
    </w:pPr>
    <w:rPr>
      <w:color w:val="2F5496"/>
      <w:sz w:val="26"/>
      <w:szCs w:val="26"/>
    </w:rPr>
  </w:style>
  <w:style w:type="paragraph" w:styleId="Heading3">
    <w:name w:val="heading 3"/>
    <w:basedOn w:val="Normal"/>
    <w:next w:val="Normal"/>
    <w:uiPriority w:val="9"/>
    <w:semiHidden/>
    <w:unhideWhenUsed/>
    <w:qFormat/>
    <w:pPr>
      <w:keepNext/>
      <w:keepLines/>
      <w:spacing w:before="40" w:after="0"/>
      <w:outlineLvl w:val="2"/>
    </w:pPr>
    <w:rPr>
      <w:color w:val="1F3863"/>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paragraph" w:styleId="FootnoteText">
    <w:name w:val="footnote text"/>
    <w:basedOn w:val="Normal"/>
    <w:link w:val="FootnoteTextChar"/>
    <w:uiPriority w:val="99"/>
    <w:semiHidden/>
    <w:unhideWhenUsed/>
    <w:rsid w:val="00A6222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62220"/>
    <w:rPr>
      <w:sz w:val="20"/>
      <w:szCs w:val="20"/>
    </w:rPr>
  </w:style>
  <w:style w:type="character" w:styleId="FootnoteReference">
    <w:name w:val="footnote reference"/>
    <w:basedOn w:val="DefaultParagraphFont"/>
    <w:uiPriority w:val="99"/>
    <w:semiHidden/>
    <w:unhideWhenUsed/>
    <w:rsid w:val="00A62220"/>
    <w:rPr>
      <w:vertAlign w:val="superscript"/>
    </w:rPr>
  </w:style>
  <w:style w:type="paragraph" w:styleId="NormalWeb">
    <w:name w:val="Normal (Web)"/>
    <w:basedOn w:val="Normal"/>
    <w:uiPriority w:val="99"/>
    <w:unhideWhenUsed/>
    <w:rsid w:val="005E4B0F"/>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5E4B0F"/>
    <w:rPr>
      <w:i/>
      <w:iCs/>
    </w:rPr>
  </w:style>
  <w:style w:type="character" w:styleId="Hyperlink">
    <w:name w:val="Hyperlink"/>
    <w:basedOn w:val="DefaultParagraphFont"/>
    <w:uiPriority w:val="99"/>
    <w:unhideWhenUsed/>
    <w:rsid w:val="005E4B0F"/>
    <w:rPr>
      <w:color w:val="0000FF"/>
      <w:u w:val="single"/>
    </w:rPr>
  </w:style>
  <w:style w:type="character" w:styleId="UnresolvedMention">
    <w:name w:val="Unresolved Mention"/>
    <w:basedOn w:val="DefaultParagraphFont"/>
    <w:uiPriority w:val="99"/>
    <w:semiHidden/>
    <w:unhideWhenUsed/>
    <w:rsid w:val="00D575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792599">
      <w:bodyDiv w:val="1"/>
      <w:marLeft w:val="0"/>
      <w:marRight w:val="0"/>
      <w:marTop w:val="0"/>
      <w:marBottom w:val="0"/>
      <w:divBdr>
        <w:top w:val="none" w:sz="0" w:space="0" w:color="auto"/>
        <w:left w:val="none" w:sz="0" w:space="0" w:color="auto"/>
        <w:bottom w:val="none" w:sz="0" w:space="0" w:color="auto"/>
        <w:right w:val="none" w:sz="0" w:space="0" w:color="auto"/>
      </w:divBdr>
    </w:div>
    <w:div w:id="133375889">
      <w:bodyDiv w:val="1"/>
      <w:marLeft w:val="0"/>
      <w:marRight w:val="0"/>
      <w:marTop w:val="0"/>
      <w:marBottom w:val="0"/>
      <w:divBdr>
        <w:top w:val="none" w:sz="0" w:space="0" w:color="auto"/>
        <w:left w:val="none" w:sz="0" w:space="0" w:color="auto"/>
        <w:bottom w:val="none" w:sz="0" w:space="0" w:color="auto"/>
        <w:right w:val="none" w:sz="0" w:space="0" w:color="auto"/>
      </w:divBdr>
    </w:div>
    <w:div w:id="244650618">
      <w:bodyDiv w:val="1"/>
      <w:marLeft w:val="0"/>
      <w:marRight w:val="0"/>
      <w:marTop w:val="0"/>
      <w:marBottom w:val="0"/>
      <w:divBdr>
        <w:top w:val="none" w:sz="0" w:space="0" w:color="auto"/>
        <w:left w:val="none" w:sz="0" w:space="0" w:color="auto"/>
        <w:bottom w:val="none" w:sz="0" w:space="0" w:color="auto"/>
        <w:right w:val="none" w:sz="0" w:space="0" w:color="auto"/>
      </w:divBdr>
    </w:div>
    <w:div w:id="254410949">
      <w:bodyDiv w:val="1"/>
      <w:marLeft w:val="0"/>
      <w:marRight w:val="0"/>
      <w:marTop w:val="0"/>
      <w:marBottom w:val="0"/>
      <w:divBdr>
        <w:top w:val="none" w:sz="0" w:space="0" w:color="auto"/>
        <w:left w:val="none" w:sz="0" w:space="0" w:color="auto"/>
        <w:bottom w:val="none" w:sz="0" w:space="0" w:color="auto"/>
        <w:right w:val="none" w:sz="0" w:space="0" w:color="auto"/>
      </w:divBdr>
    </w:div>
    <w:div w:id="784036849">
      <w:bodyDiv w:val="1"/>
      <w:marLeft w:val="0"/>
      <w:marRight w:val="0"/>
      <w:marTop w:val="0"/>
      <w:marBottom w:val="0"/>
      <w:divBdr>
        <w:top w:val="none" w:sz="0" w:space="0" w:color="auto"/>
        <w:left w:val="none" w:sz="0" w:space="0" w:color="auto"/>
        <w:bottom w:val="none" w:sz="0" w:space="0" w:color="auto"/>
        <w:right w:val="none" w:sz="0" w:space="0" w:color="auto"/>
      </w:divBdr>
    </w:div>
    <w:div w:id="1212572082">
      <w:bodyDiv w:val="1"/>
      <w:marLeft w:val="0"/>
      <w:marRight w:val="0"/>
      <w:marTop w:val="0"/>
      <w:marBottom w:val="0"/>
      <w:divBdr>
        <w:top w:val="none" w:sz="0" w:space="0" w:color="auto"/>
        <w:left w:val="none" w:sz="0" w:space="0" w:color="auto"/>
        <w:bottom w:val="none" w:sz="0" w:space="0" w:color="auto"/>
        <w:right w:val="none" w:sz="0" w:space="0" w:color="auto"/>
      </w:divBdr>
    </w:div>
    <w:div w:id="1257401320">
      <w:bodyDiv w:val="1"/>
      <w:marLeft w:val="0"/>
      <w:marRight w:val="0"/>
      <w:marTop w:val="0"/>
      <w:marBottom w:val="0"/>
      <w:divBdr>
        <w:top w:val="none" w:sz="0" w:space="0" w:color="auto"/>
        <w:left w:val="none" w:sz="0" w:space="0" w:color="auto"/>
        <w:bottom w:val="none" w:sz="0" w:space="0" w:color="auto"/>
        <w:right w:val="none" w:sz="0" w:space="0" w:color="auto"/>
      </w:divBdr>
    </w:div>
    <w:div w:id="1272856149">
      <w:bodyDiv w:val="1"/>
      <w:marLeft w:val="0"/>
      <w:marRight w:val="0"/>
      <w:marTop w:val="0"/>
      <w:marBottom w:val="0"/>
      <w:divBdr>
        <w:top w:val="none" w:sz="0" w:space="0" w:color="auto"/>
        <w:left w:val="none" w:sz="0" w:space="0" w:color="auto"/>
        <w:bottom w:val="none" w:sz="0" w:space="0" w:color="auto"/>
        <w:right w:val="none" w:sz="0" w:space="0" w:color="auto"/>
      </w:divBdr>
    </w:div>
    <w:div w:id="1444837220">
      <w:bodyDiv w:val="1"/>
      <w:marLeft w:val="0"/>
      <w:marRight w:val="0"/>
      <w:marTop w:val="0"/>
      <w:marBottom w:val="0"/>
      <w:divBdr>
        <w:top w:val="none" w:sz="0" w:space="0" w:color="auto"/>
        <w:left w:val="none" w:sz="0" w:space="0" w:color="auto"/>
        <w:bottom w:val="none" w:sz="0" w:space="0" w:color="auto"/>
        <w:right w:val="none" w:sz="0" w:space="0" w:color="auto"/>
      </w:divBdr>
    </w:div>
    <w:div w:id="1817720374">
      <w:bodyDiv w:val="1"/>
      <w:marLeft w:val="0"/>
      <w:marRight w:val="0"/>
      <w:marTop w:val="0"/>
      <w:marBottom w:val="0"/>
      <w:divBdr>
        <w:top w:val="none" w:sz="0" w:space="0" w:color="auto"/>
        <w:left w:val="none" w:sz="0" w:space="0" w:color="auto"/>
        <w:bottom w:val="none" w:sz="0" w:space="0" w:color="auto"/>
        <w:right w:val="none" w:sz="0" w:space="0" w:color="auto"/>
      </w:divBdr>
    </w:div>
    <w:div w:id="1938125730">
      <w:bodyDiv w:val="1"/>
      <w:marLeft w:val="0"/>
      <w:marRight w:val="0"/>
      <w:marTop w:val="0"/>
      <w:marBottom w:val="0"/>
      <w:divBdr>
        <w:top w:val="none" w:sz="0" w:space="0" w:color="auto"/>
        <w:left w:val="none" w:sz="0" w:space="0" w:color="auto"/>
        <w:bottom w:val="none" w:sz="0" w:space="0" w:color="auto"/>
        <w:right w:val="none" w:sz="0" w:space="0" w:color="auto"/>
      </w:divBdr>
    </w:div>
    <w:div w:id="2051025712">
      <w:bodyDiv w:val="1"/>
      <w:marLeft w:val="0"/>
      <w:marRight w:val="0"/>
      <w:marTop w:val="0"/>
      <w:marBottom w:val="0"/>
      <w:divBdr>
        <w:top w:val="none" w:sz="0" w:space="0" w:color="auto"/>
        <w:left w:val="none" w:sz="0" w:space="0" w:color="auto"/>
        <w:bottom w:val="none" w:sz="0" w:space="0" w:color="auto"/>
        <w:right w:val="none" w:sz="0" w:space="0" w:color="auto"/>
      </w:divBdr>
    </w:div>
    <w:div w:id="20528744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D57060-78F3-43AD-8A9C-FC1881C645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20</Pages>
  <Words>6115</Words>
  <Characters>34859</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farjana shanta</dc:creator>
  <cp:lastModifiedBy>SDI 1089</cp:lastModifiedBy>
  <cp:revision>7</cp:revision>
  <dcterms:created xsi:type="dcterms:W3CDTF">2025-07-07T01:32:00Z</dcterms:created>
  <dcterms:modified xsi:type="dcterms:W3CDTF">2025-07-10T08:56:00Z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5a2d47c1-af61-4abe-9afc-40c729986959</vt:lpwstr>
  </property>
</Properties>
</file>