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62B70" w14:textId="30160CE2" w:rsidR="001A7673" w:rsidRDefault="005C2337" w:rsidP="00BA2FA8">
      <w:pPr>
        <w:spacing w:line="360" w:lineRule="auto"/>
        <w:jc w:val="center"/>
        <w:rPr>
          <w:rFonts w:ascii="Times New Roman" w:hAnsi="Times New Roman" w:cs="Times New Roman"/>
          <w:b/>
          <w:color w:val="000000" w:themeColor="text1"/>
          <w:sz w:val="24"/>
          <w:szCs w:val="24"/>
        </w:rPr>
      </w:pPr>
      <w:bookmarkStart w:id="0" w:name="_Toc86908006"/>
      <w:bookmarkStart w:id="1" w:name="_Hlk86908444"/>
      <w:r w:rsidRPr="002F72C4">
        <w:rPr>
          <w:rFonts w:ascii="Times New Roman" w:hAnsi="Times New Roman" w:cs="Times New Roman"/>
          <w:b/>
          <w:color w:val="000000" w:themeColor="text1"/>
          <w:sz w:val="24"/>
          <w:szCs w:val="24"/>
        </w:rPr>
        <w:t xml:space="preserve">Health-Related Quality of Life </w:t>
      </w:r>
      <w:r w:rsidR="00516D72" w:rsidRPr="002F72C4">
        <w:rPr>
          <w:rFonts w:ascii="Times New Roman" w:hAnsi="Times New Roman" w:cs="Times New Roman"/>
          <w:b/>
          <w:color w:val="000000" w:themeColor="text1"/>
          <w:sz w:val="24"/>
          <w:szCs w:val="24"/>
        </w:rPr>
        <w:t>and Associated Factors a</w:t>
      </w:r>
      <w:r w:rsidRPr="002F72C4">
        <w:rPr>
          <w:rFonts w:ascii="Times New Roman" w:hAnsi="Times New Roman" w:cs="Times New Roman"/>
          <w:b/>
          <w:color w:val="000000" w:themeColor="text1"/>
          <w:sz w:val="24"/>
          <w:szCs w:val="24"/>
        </w:rPr>
        <w:t xml:space="preserve">mong Renal Transplant Recipients in </w:t>
      </w:r>
      <w:r w:rsidR="00DB64BF">
        <w:rPr>
          <w:rFonts w:ascii="Times New Roman" w:hAnsi="Times New Roman" w:cs="Times New Roman"/>
          <w:b/>
          <w:color w:val="000000" w:themeColor="text1"/>
          <w:sz w:val="24"/>
          <w:szCs w:val="24"/>
        </w:rPr>
        <w:t>the Largest</w:t>
      </w:r>
      <w:r w:rsidRPr="002F72C4">
        <w:rPr>
          <w:rFonts w:ascii="Times New Roman" w:hAnsi="Times New Roman" w:cs="Times New Roman"/>
          <w:b/>
          <w:color w:val="000000" w:themeColor="text1"/>
          <w:sz w:val="24"/>
          <w:szCs w:val="24"/>
        </w:rPr>
        <w:t xml:space="preserve"> Kenyan </w:t>
      </w:r>
      <w:r w:rsidR="001F1580">
        <w:rPr>
          <w:rFonts w:ascii="Times New Roman" w:hAnsi="Times New Roman" w:cs="Times New Roman"/>
          <w:b/>
          <w:color w:val="000000" w:themeColor="text1"/>
          <w:sz w:val="24"/>
          <w:szCs w:val="24"/>
        </w:rPr>
        <w:t xml:space="preserve">Public </w:t>
      </w:r>
      <w:r w:rsidRPr="002F72C4">
        <w:rPr>
          <w:rFonts w:ascii="Times New Roman" w:hAnsi="Times New Roman" w:cs="Times New Roman"/>
          <w:b/>
          <w:color w:val="000000" w:themeColor="text1"/>
          <w:sz w:val="24"/>
          <w:szCs w:val="24"/>
        </w:rPr>
        <w:t>Hospital</w:t>
      </w:r>
    </w:p>
    <w:p w14:paraId="31858DDE" w14:textId="77777777" w:rsidR="00C21697" w:rsidRPr="002F72C4" w:rsidRDefault="00C21697" w:rsidP="00BA2FA8">
      <w:pPr>
        <w:spacing w:line="360" w:lineRule="auto"/>
        <w:jc w:val="center"/>
        <w:rPr>
          <w:rFonts w:ascii="Times New Roman" w:hAnsi="Times New Roman" w:cs="Times New Roman"/>
          <w:b/>
          <w:color w:val="000000" w:themeColor="text1"/>
          <w:sz w:val="24"/>
          <w:szCs w:val="24"/>
        </w:rPr>
      </w:pPr>
    </w:p>
    <w:p w14:paraId="58D6E6C3" w14:textId="77777777" w:rsidR="00C21697" w:rsidRPr="00C21697" w:rsidRDefault="00C21697" w:rsidP="00C21697"/>
    <w:p w14:paraId="30B12BFB" w14:textId="31ABEE6B" w:rsidR="004B3141" w:rsidRPr="002F72C4" w:rsidRDefault="003165E5" w:rsidP="004B3141">
      <w:pPr>
        <w:pStyle w:val="Heading1"/>
        <w:spacing w:line="240" w:lineRule="auto"/>
        <w:rPr>
          <w:rFonts w:cs="Times New Roman"/>
          <w:b/>
          <w:color w:val="000000" w:themeColor="text1"/>
          <w:szCs w:val="24"/>
        </w:rPr>
      </w:pPr>
      <w:r w:rsidRPr="002F72C4">
        <w:rPr>
          <w:rFonts w:cs="Times New Roman"/>
          <w:b/>
          <w:color w:val="000000" w:themeColor="text1"/>
          <w:szCs w:val="24"/>
        </w:rPr>
        <w:t>A</w:t>
      </w:r>
      <w:bookmarkEnd w:id="0"/>
      <w:r w:rsidR="008F0BB5" w:rsidRPr="002F72C4">
        <w:rPr>
          <w:rFonts w:cs="Times New Roman"/>
          <w:b/>
          <w:color w:val="000000" w:themeColor="text1"/>
          <w:szCs w:val="24"/>
        </w:rPr>
        <w:t>bstract</w:t>
      </w:r>
    </w:p>
    <w:p w14:paraId="64C44D77" w14:textId="71064B9D" w:rsidR="003165E5" w:rsidRPr="002F72C4" w:rsidRDefault="003165E5" w:rsidP="00134D8A">
      <w:pPr>
        <w:spacing w:line="360" w:lineRule="auto"/>
        <w:jc w:val="both"/>
        <w:rPr>
          <w:rFonts w:ascii="Times New Roman" w:hAnsi="Times New Roman" w:cs="Times New Roman"/>
          <w:b/>
          <w:color w:val="000000" w:themeColor="text1"/>
          <w:sz w:val="24"/>
          <w:szCs w:val="24"/>
        </w:rPr>
      </w:pPr>
      <w:r w:rsidRPr="002F72C4">
        <w:rPr>
          <w:rFonts w:ascii="Times New Roman" w:hAnsi="Times New Roman" w:cs="Times New Roman"/>
          <w:b/>
          <w:color w:val="000000" w:themeColor="text1"/>
          <w:sz w:val="24"/>
          <w:szCs w:val="24"/>
        </w:rPr>
        <w:t>Background:</w:t>
      </w:r>
      <w:r w:rsidR="00134D8A">
        <w:rPr>
          <w:rFonts w:ascii="Times New Roman" w:hAnsi="Times New Roman" w:cs="Times New Roman"/>
          <w:b/>
          <w:color w:val="000000" w:themeColor="text1"/>
          <w:sz w:val="24"/>
          <w:szCs w:val="24"/>
        </w:rPr>
        <w:t xml:space="preserve"> </w:t>
      </w:r>
      <w:r w:rsidR="00134D8A" w:rsidRPr="00134D8A">
        <w:rPr>
          <w:rFonts w:ascii="Times New Roman" w:hAnsi="Times New Roman" w:cs="Times New Roman"/>
          <w:color w:val="000000"/>
          <w:sz w:val="24"/>
          <w:szCs w:val="24"/>
          <w:highlight w:val="yellow"/>
        </w:rPr>
        <w:t xml:space="preserve">Health related quality of life is an important indicator of </w:t>
      </w:r>
      <w:r w:rsidR="00134D8A">
        <w:rPr>
          <w:rFonts w:ascii="Times New Roman" w:hAnsi="Times New Roman" w:cs="Times New Roman"/>
          <w:color w:val="000000"/>
          <w:sz w:val="24"/>
          <w:szCs w:val="24"/>
          <w:highlight w:val="yellow"/>
        </w:rPr>
        <w:t>the</w:t>
      </w:r>
      <w:r w:rsidR="00134D8A" w:rsidRPr="00134D8A">
        <w:rPr>
          <w:rFonts w:ascii="Times New Roman" w:hAnsi="Times New Roman" w:cs="Times New Roman"/>
          <w:color w:val="000000"/>
          <w:sz w:val="24"/>
          <w:szCs w:val="24"/>
          <w:highlight w:val="yellow"/>
        </w:rPr>
        <w:t xml:space="preserve"> outcome of a </w:t>
      </w:r>
      <w:r w:rsidR="00134D8A">
        <w:rPr>
          <w:rFonts w:ascii="Times New Roman" w:hAnsi="Times New Roman" w:cs="Times New Roman"/>
          <w:color w:val="000000"/>
          <w:sz w:val="24"/>
          <w:szCs w:val="24"/>
          <w:highlight w:val="yellow"/>
        </w:rPr>
        <w:t xml:space="preserve">major </w:t>
      </w:r>
      <w:r w:rsidR="00134D8A" w:rsidRPr="00134D8A">
        <w:rPr>
          <w:rFonts w:ascii="Times New Roman" w:hAnsi="Times New Roman" w:cs="Times New Roman"/>
          <w:color w:val="000000"/>
          <w:sz w:val="24"/>
          <w:szCs w:val="24"/>
          <w:highlight w:val="yellow"/>
        </w:rPr>
        <w:t xml:space="preserve">therapeutic intervention. Lack of health related quality of life data </w:t>
      </w:r>
      <w:r w:rsidR="006A0B75" w:rsidRPr="00134D8A">
        <w:rPr>
          <w:rFonts w:ascii="Times New Roman" w:hAnsi="Times New Roman" w:cs="Times New Roman"/>
          <w:color w:val="000000"/>
          <w:sz w:val="24"/>
          <w:szCs w:val="24"/>
          <w:highlight w:val="yellow"/>
        </w:rPr>
        <w:t xml:space="preserve">following renal transplantation in </w:t>
      </w:r>
      <w:r w:rsidR="00E15CB5">
        <w:rPr>
          <w:rFonts w:ascii="Times New Roman" w:hAnsi="Times New Roman" w:cs="Times New Roman"/>
          <w:color w:val="000000"/>
          <w:sz w:val="24"/>
          <w:szCs w:val="24"/>
          <w:highlight w:val="yellow"/>
        </w:rPr>
        <w:t>resource-constrained countries</w:t>
      </w:r>
      <w:r w:rsidR="006A0B75" w:rsidRPr="00134D8A">
        <w:rPr>
          <w:rFonts w:ascii="Times New Roman" w:hAnsi="Times New Roman" w:cs="Times New Roman"/>
          <w:color w:val="000000"/>
          <w:sz w:val="24"/>
          <w:szCs w:val="24"/>
          <w:highlight w:val="yellow"/>
        </w:rPr>
        <w:t xml:space="preserve"> </w:t>
      </w:r>
      <w:r w:rsidR="006E5278">
        <w:rPr>
          <w:rFonts w:ascii="Times New Roman" w:hAnsi="Times New Roman" w:cs="Times New Roman"/>
          <w:color w:val="000000"/>
          <w:sz w:val="24"/>
          <w:szCs w:val="24"/>
          <w:highlight w:val="yellow"/>
        </w:rPr>
        <w:t>results i</w:t>
      </w:r>
      <w:r w:rsidR="00134D8A" w:rsidRPr="00134D8A">
        <w:rPr>
          <w:rFonts w:ascii="Times New Roman" w:hAnsi="Times New Roman" w:cs="Times New Roman"/>
          <w:color w:val="000000"/>
          <w:sz w:val="24"/>
          <w:szCs w:val="24"/>
          <w:highlight w:val="yellow"/>
        </w:rPr>
        <w:t>n poor disease management.</w:t>
      </w:r>
      <w:r w:rsidR="00134D8A" w:rsidRPr="00134D8A">
        <w:t xml:space="preserve"> </w:t>
      </w:r>
      <w:r w:rsidRPr="002F72C4">
        <w:rPr>
          <w:rFonts w:ascii="Times New Roman" w:hAnsi="Times New Roman" w:cs="Times New Roman"/>
          <w:color w:val="000000" w:themeColor="text1"/>
          <w:sz w:val="24"/>
          <w:szCs w:val="24"/>
        </w:rPr>
        <w:t xml:space="preserve">                 </w:t>
      </w:r>
    </w:p>
    <w:p w14:paraId="59DCAC0A" w14:textId="68D6D75B" w:rsidR="003165E5" w:rsidRPr="002F72C4" w:rsidRDefault="003165E5" w:rsidP="003165E5">
      <w:pPr>
        <w:spacing w:line="360" w:lineRule="auto"/>
        <w:jc w:val="both"/>
        <w:rPr>
          <w:rFonts w:ascii="Times New Roman" w:hAnsi="Times New Roman" w:cs="Times New Roman"/>
          <w:color w:val="000000" w:themeColor="text1"/>
          <w:sz w:val="24"/>
          <w:szCs w:val="24"/>
          <w:shd w:val="clear" w:color="auto" w:fill="FFFFFF"/>
        </w:rPr>
      </w:pPr>
      <w:r w:rsidRPr="002F72C4">
        <w:rPr>
          <w:rFonts w:ascii="Times New Roman" w:hAnsi="Times New Roman" w:cs="Times New Roman"/>
          <w:b/>
          <w:color w:val="000000" w:themeColor="text1"/>
          <w:sz w:val="24"/>
          <w:szCs w:val="24"/>
        </w:rPr>
        <w:t>Study objective:</w:t>
      </w:r>
      <w:r w:rsidRPr="002F72C4">
        <w:rPr>
          <w:rFonts w:ascii="Times New Roman" w:hAnsi="Times New Roman" w:cs="Times New Roman"/>
          <w:color w:val="000000" w:themeColor="text1"/>
          <w:sz w:val="24"/>
          <w:szCs w:val="24"/>
        </w:rPr>
        <w:t xml:space="preserve"> To </w:t>
      </w:r>
      <w:r w:rsidR="00ED30C1" w:rsidRPr="002F72C4">
        <w:rPr>
          <w:rFonts w:ascii="Times New Roman" w:hAnsi="Times New Roman" w:cs="Times New Roman"/>
          <w:color w:val="000000" w:themeColor="text1"/>
          <w:sz w:val="24"/>
          <w:szCs w:val="24"/>
        </w:rPr>
        <w:t>assess</w:t>
      </w:r>
      <w:r w:rsidR="00AD1B34" w:rsidRPr="002F72C4">
        <w:rPr>
          <w:rFonts w:ascii="Times New Roman" w:hAnsi="Times New Roman" w:cs="Times New Roman"/>
          <w:color w:val="000000" w:themeColor="text1"/>
          <w:sz w:val="24"/>
          <w:szCs w:val="24"/>
        </w:rPr>
        <w:t xml:space="preserve"> the</w:t>
      </w:r>
      <w:r w:rsidRPr="002F72C4">
        <w:rPr>
          <w:rFonts w:ascii="Times New Roman" w:hAnsi="Times New Roman" w:cs="Times New Roman"/>
          <w:color w:val="000000" w:themeColor="text1"/>
          <w:sz w:val="24"/>
          <w:szCs w:val="24"/>
        </w:rPr>
        <w:t xml:space="preserve"> </w:t>
      </w:r>
      <w:r w:rsidR="007067B2" w:rsidRPr="002F72C4">
        <w:rPr>
          <w:rFonts w:ascii="Times New Roman" w:hAnsi="Times New Roman" w:cs="Times New Roman"/>
          <w:color w:val="000000" w:themeColor="text1"/>
          <w:sz w:val="24"/>
          <w:szCs w:val="24"/>
          <w:shd w:val="clear" w:color="auto" w:fill="FFFFFF"/>
        </w:rPr>
        <w:t>health-related</w:t>
      </w:r>
      <w:r w:rsidRPr="002F72C4">
        <w:rPr>
          <w:rFonts w:ascii="Times New Roman" w:hAnsi="Times New Roman" w:cs="Times New Roman"/>
          <w:color w:val="000000" w:themeColor="text1"/>
          <w:sz w:val="24"/>
          <w:szCs w:val="24"/>
          <w:shd w:val="clear" w:color="auto" w:fill="FFFFFF"/>
        </w:rPr>
        <w:t xml:space="preserve"> quality of life </w:t>
      </w:r>
      <w:r w:rsidR="001F1580">
        <w:rPr>
          <w:rFonts w:ascii="Times New Roman" w:hAnsi="Times New Roman" w:cs="Times New Roman"/>
          <w:color w:val="000000" w:themeColor="text1"/>
          <w:sz w:val="24"/>
          <w:szCs w:val="24"/>
          <w:shd w:val="clear" w:color="auto" w:fill="FFFFFF"/>
        </w:rPr>
        <w:t xml:space="preserve">and associated factors </w:t>
      </w:r>
      <w:r w:rsidR="001F1580" w:rsidRPr="002F72C4">
        <w:rPr>
          <w:rFonts w:ascii="Times New Roman" w:hAnsi="Times New Roman" w:cs="Times New Roman"/>
          <w:color w:val="000000" w:themeColor="text1"/>
          <w:sz w:val="24"/>
          <w:szCs w:val="24"/>
          <w:shd w:val="clear" w:color="auto" w:fill="FFFFFF"/>
        </w:rPr>
        <w:t>among</w:t>
      </w:r>
      <w:r w:rsidRPr="002F72C4">
        <w:rPr>
          <w:rFonts w:ascii="Times New Roman" w:hAnsi="Times New Roman" w:cs="Times New Roman"/>
          <w:color w:val="000000" w:themeColor="text1"/>
          <w:sz w:val="24"/>
          <w:szCs w:val="24"/>
          <w:shd w:val="clear" w:color="auto" w:fill="FFFFFF"/>
        </w:rPr>
        <w:t xml:space="preserve"> renal transplant </w:t>
      </w:r>
      <w:r w:rsidR="00B764F1" w:rsidRPr="002F72C4">
        <w:rPr>
          <w:rFonts w:ascii="Times New Roman" w:hAnsi="Times New Roman" w:cs="Times New Roman"/>
          <w:color w:val="000000" w:themeColor="text1"/>
          <w:sz w:val="24"/>
          <w:szCs w:val="24"/>
          <w:shd w:val="clear" w:color="auto" w:fill="FFFFFF"/>
        </w:rPr>
        <w:t xml:space="preserve">recipients </w:t>
      </w:r>
      <w:r w:rsidR="006F5F68">
        <w:rPr>
          <w:rFonts w:ascii="Times New Roman" w:hAnsi="Times New Roman" w:cs="Times New Roman"/>
          <w:color w:val="000000" w:themeColor="text1"/>
          <w:sz w:val="24"/>
          <w:szCs w:val="24"/>
          <w:shd w:val="clear" w:color="auto" w:fill="FFFFFF"/>
        </w:rPr>
        <w:t xml:space="preserve">at </w:t>
      </w:r>
      <w:r w:rsidR="001F1580">
        <w:rPr>
          <w:rFonts w:ascii="Times New Roman" w:hAnsi="Times New Roman" w:cs="Times New Roman"/>
          <w:color w:val="000000" w:themeColor="text1"/>
          <w:sz w:val="24"/>
          <w:szCs w:val="24"/>
          <w:shd w:val="clear" w:color="auto" w:fill="FFFFFF"/>
        </w:rPr>
        <w:t>Kenyatta National Hospital.</w:t>
      </w:r>
    </w:p>
    <w:p w14:paraId="602BB936" w14:textId="57C87BB8" w:rsidR="003165E5" w:rsidRPr="006A2A11" w:rsidRDefault="003165E5" w:rsidP="003165E5">
      <w:pPr>
        <w:spacing w:line="360" w:lineRule="auto"/>
        <w:jc w:val="both"/>
        <w:rPr>
          <w:rFonts w:ascii="Times New Roman" w:hAnsi="Times New Roman" w:cs="Times New Roman"/>
          <w:color w:val="000000" w:themeColor="text1"/>
          <w:sz w:val="24"/>
          <w:szCs w:val="24"/>
          <w:shd w:val="clear" w:color="auto" w:fill="FFFFFF"/>
        </w:rPr>
      </w:pPr>
      <w:r w:rsidRPr="002F72C4">
        <w:rPr>
          <w:rFonts w:ascii="Times New Roman" w:hAnsi="Times New Roman" w:cs="Times New Roman"/>
          <w:b/>
          <w:color w:val="000000" w:themeColor="text1"/>
          <w:sz w:val="24"/>
          <w:szCs w:val="24"/>
        </w:rPr>
        <w:t xml:space="preserve">Methodology: </w:t>
      </w:r>
      <w:r w:rsidRPr="002F72C4">
        <w:rPr>
          <w:rFonts w:ascii="Times New Roman" w:hAnsi="Times New Roman" w:cs="Times New Roman"/>
          <w:color w:val="000000" w:themeColor="text1"/>
          <w:sz w:val="24"/>
          <w:szCs w:val="24"/>
        </w:rPr>
        <w:t xml:space="preserve">A cross-sectional descriptive study involving 80 </w:t>
      </w:r>
      <w:r w:rsidR="006A0B75" w:rsidRPr="002F72C4">
        <w:rPr>
          <w:rFonts w:ascii="Times New Roman" w:hAnsi="Times New Roman" w:cs="Times New Roman"/>
          <w:color w:val="000000" w:themeColor="text1"/>
          <w:sz w:val="24"/>
          <w:szCs w:val="24"/>
        </w:rPr>
        <w:t>sequentially</w:t>
      </w:r>
      <w:r w:rsidR="007067B2" w:rsidRPr="002F72C4">
        <w:rPr>
          <w:rFonts w:ascii="Times New Roman" w:hAnsi="Times New Roman" w:cs="Times New Roman"/>
          <w:color w:val="000000" w:themeColor="text1"/>
          <w:sz w:val="24"/>
          <w:szCs w:val="24"/>
        </w:rPr>
        <w:t xml:space="preserve"> sampled patients</w:t>
      </w:r>
      <w:r w:rsidRPr="002F72C4">
        <w:rPr>
          <w:rFonts w:ascii="Times New Roman" w:hAnsi="Times New Roman" w:cs="Times New Roman"/>
          <w:color w:val="000000" w:themeColor="text1"/>
          <w:sz w:val="24"/>
          <w:szCs w:val="24"/>
        </w:rPr>
        <w:t xml:space="preserve"> was carried</w:t>
      </w:r>
      <w:r w:rsidR="00CB492D">
        <w:rPr>
          <w:rFonts w:ascii="Times New Roman" w:hAnsi="Times New Roman" w:cs="Times New Roman"/>
          <w:color w:val="000000" w:themeColor="text1"/>
          <w:sz w:val="24"/>
          <w:szCs w:val="24"/>
        </w:rPr>
        <w:t xml:space="preserve"> out</w:t>
      </w:r>
      <w:r w:rsidRPr="002F72C4">
        <w:rPr>
          <w:rFonts w:ascii="Times New Roman" w:hAnsi="Times New Roman" w:cs="Times New Roman"/>
          <w:color w:val="000000" w:themeColor="text1"/>
          <w:sz w:val="24"/>
          <w:szCs w:val="24"/>
        </w:rPr>
        <w:t xml:space="preserve"> </w:t>
      </w:r>
      <w:r w:rsidR="001F1580">
        <w:rPr>
          <w:rFonts w:ascii="Times New Roman" w:hAnsi="Times New Roman" w:cs="Times New Roman"/>
          <w:color w:val="000000" w:themeColor="text1"/>
          <w:sz w:val="24"/>
          <w:szCs w:val="24"/>
        </w:rPr>
        <w:t>for three consecutive months</w:t>
      </w:r>
      <w:r w:rsidR="006A2A11" w:rsidRPr="006A2A11">
        <w:rPr>
          <w:rFonts w:ascii="Times New Roman" w:hAnsi="Times New Roman" w:cs="Times New Roman"/>
          <w:color w:val="000000" w:themeColor="text1"/>
          <w:sz w:val="24"/>
          <w:szCs w:val="24"/>
          <w:shd w:val="clear" w:color="auto" w:fill="FFFFFF"/>
        </w:rPr>
        <w:t xml:space="preserve"> </w:t>
      </w:r>
      <w:r w:rsidR="006A2A11" w:rsidRPr="002F72C4">
        <w:rPr>
          <w:rFonts w:ascii="Times New Roman" w:hAnsi="Times New Roman" w:cs="Times New Roman"/>
          <w:color w:val="000000" w:themeColor="text1"/>
          <w:sz w:val="24"/>
          <w:szCs w:val="24"/>
          <w:shd w:val="clear" w:color="auto" w:fill="FFFFFF"/>
        </w:rPr>
        <w:t>at the renal transplant clinic within Kenyatta National Hospital</w:t>
      </w:r>
      <w:r w:rsidR="006A2A11">
        <w:rPr>
          <w:rFonts w:ascii="Times New Roman" w:hAnsi="Times New Roman" w:cs="Times New Roman"/>
          <w:color w:val="000000" w:themeColor="text1"/>
          <w:sz w:val="24"/>
          <w:szCs w:val="24"/>
          <w:shd w:val="clear" w:color="auto" w:fill="FFFFFF"/>
        </w:rPr>
        <w:t>.</w:t>
      </w:r>
      <w:r w:rsidR="00462B6E" w:rsidRPr="002F72C4">
        <w:rPr>
          <w:rFonts w:ascii="Times New Roman" w:hAnsi="Times New Roman" w:cs="Times New Roman"/>
          <w:color w:val="000000" w:themeColor="text1"/>
          <w:sz w:val="24"/>
          <w:szCs w:val="24"/>
        </w:rPr>
        <w:t xml:space="preserve"> </w:t>
      </w:r>
      <w:r w:rsidR="001F1580">
        <w:rPr>
          <w:rFonts w:ascii="Times New Roman" w:hAnsi="Times New Roman" w:cs="Times New Roman"/>
          <w:color w:val="000000" w:themeColor="text1"/>
          <w:sz w:val="24"/>
          <w:szCs w:val="24"/>
        </w:rPr>
        <w:t xml:space="preserve">Health related quality of life data </w:t>
      </w:r>
      <w:r w:rsidR="006A0B75">
        <w:rPr>
          <w:rFonts w:ascii="Times New Roman" w:hAnsi="Times New Roman" w:cs="Times New Roman"/>
          <w:color w:val="000000" w:themeColor="text1"/>
          <w:sz w:val="24"/>
          <w:szCs w:val="24"/>
        </w:rPr>
        <w:t xml:space="preserve">were </w:t>
      </w:r>
      <w:r w:rsidR="001F1580">
        <w:rPr>
          <w:rFonts w:ascii="Times New Roman" w:hAnsi="Times New Roman" w:cs="Times New Roman"/>
          <w:color w:val="000000" w:themeColor="text1"/>
          <w:sz w:val="24"/>
          <w:szCs w:val="24"/>
        </w:rPr>
        <w:t>collected using the globally accepted K</w:t>
      </w:r>
      <w:r w:rsidR="007D6757">
        <w:rPr>
          <w:rFonts w:ascii="Times New Roman" w:hAnsi="Times New Roman" w:cs="Times New Roman"/>
          <w:color w:val="000000" w:themeColor="text1"/>
          <w:sz w:val="24"/>
          <w:szCs w:val="24"/>
        </w:rPr>
        <w:t xml:space="preserve">idney Transplant </w:t>
      </w:r>
      <w:r w:rsidR="007D6757" w:rsidRPr="007D6757">
        <w:rPr>
          <w:rFonts w:ascii="Times New Roman" w:hAnsi="Times New Roman" w:cs="Times New Roman"/>
          <w:color w:val="000000" w:themeColor="text1"/>
          <w:sz w:val="24"/>
          <w:szCs w:val="24"/>
          <w:highlight w:val="yellow"/>
        </w:rPr>
        <w:t>Questionnaire-2</w:t>
      </w:r>
      <w:r w:rsidR="001F1580" w:rsidRPr="007D6757">
        <w:rPr>
          <w:rFonts w:ascii="Times New Roman" w:hAnsi="Times New Roman" w:cs="Times New Roman"/>
          <w:color w:val="000000" w:themeColor="text1"/>
          <w:sz w:val="24"/>
          <w:szCs w:val="24"/>
          <w:highlight w:val="yellow"/>
        </w:rPr>
        <w:t>5</w:t>
      </w:r>
      <w:r w:rsidR="006A2A11">
        <w:rPr>
          <w:rFonts w:ascii="Times New Roman" w:hAnsi="Times New Roman" w:cs="Times New Roman"/>
          <w:color w:val="000000" w:themeColor="text1"/>
          <w:sz w:val="24"/>
          <w:szCs w:val="24"/>
        </w:rPr>
        <w:t xml:space="preserve"> and analyzed</w:t>
      </w:r>
      <w:r w:rsidRPr="002F72C4">
        <w:rPr>
          <w:rFonts w:ascii="Times New Roman" w:hAnsi="Times New Roman" w:cs="Times New Roman"/>
          <w:color w:val="000000" w:themeColor="text1"/>
          <w:sz w:val="24"/>
          <w:szCs w:val="24"/>
        </w:rPr>
        <w:t xml:space="preserve"> using Stata</w:t>
      </w:r>
      <w:r w:rsidR="009A4FB6" w:rsidRPr="002F72C4">
        <w:rPr>
          <w:rFonts w:ascii="Times New Roman" w:hAnsi="Times New Roman" w:cs="Times New Roman"/>
          <w:color w:val="000000" w:themeColor="text1"/>
          <w:sz w:val="24"/>
          <w:szCs w:val="24"/>
        </w:rPr>
        <w:t xml:space="preserve"> version </w:t>
      </w:r>
      <w:r w:rsidR="00462B6E" w:rsidRPr="002F72C4">
        <w:rPr>
          <w:rFonts w:ascii="Times New Roman" w:hAnsi="Times New Roman" w:cs="Times New Roman"/>
          <w:color w:val="000000" w:themeColor="text1"/>
          <w:sz w:val="24"/>
          <w:szCs w:val="24"/>
        </w:rPr>
        <w:t>13 at</w:t>
      </w:r>
      <w:r w:rsidR="00ED30C1" w:rsidRPr="002F72C4">
        <w:rPr>
          <w:rFonts w:ascii="Times New Roman" w:hAnsi="Times New Roman" w:cs="Times New Roman"/>
          <w:color w:val="000000" w:themeColor="text1"/>
          <w:sz w:val="24"/>
          <w:szCs w:val="24"/>
        </w:rPr>
        <w:t xml:space="preserve"> p</w:t>
      </w:r>
      <w:r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u w:val="single"/>
        </w:rPr>
        <w:t xml:space="preserve">&lt; </w:t>
      </w:r>
      <w:r w:rsidR="00462B6E" w:rsidRPr="002F72C4">
        <w:rPr>
          <w:rFonts w:ascii="Times New Roman" w:hAnsi="Times New Roman" w:cs="Times New Roman"/>
          <w:color w:val="000000" w:themeColor="text1"/>
          <w:sz w:val="24"/>
          <w:szCs w:val="24"/>
        </w:rPr>
        <w:t>0.0</w:t>
      </w:r>
      <w:r w:rsidR="007F4628" w:rsidRPr="002F72C4">
        <w:rPr>
          <w:rFonts w:ascii="Times New Roman" w:hAnsi="Times New Roman" w:cs="Times New Roman"/>
          <w:color w:val="000000" w:themeColor="text1"/>
          <w:sz w:val="24"/>
          <w:szCs w:val="24"/>
        </w:rPr>
        <w:t xml:space="preserve">5. </w:t>
      </w:r>
      <w:r w:rsidR="009B38BA" w:rsidRPr="002F72C4">
        <w:rPr>
          <w:rFonts w:ascii="Times New Roman" w:hAnsi="Times New Roman" w:cs="Times New Roman"/>
          <w:color w:val="000000" w:themeColor="text1"/>
          <w:sz w:val="24"/>
          <w:szCs w:val="24"/>
        </w:rPr>
        <w:t xml:space="preserve">Associations </w:t>
      </w:r>
      <w:r w:rsidR="006A0B75">
        <w:rPr>
          <w:rFonts w:ascii="Times New Roman" w:hAnsi="Times New Roman" w:cs="Times New Roman"/>
          <w:color w:val="000000" w:themeColor="text1"/>
          <w:sz w:val="24"/>
          <w:szCs w:val="24"/>
        </w:rPr>
        <w:t xml:space="preserve">were determined </w:t>
      </w:r>
      <w:r w:rsidR="00CA71A6" w:rsidRPr="002F72C4">
        <w:rPr>
          <w:rFonts w:ascii="Times New Roman" w:hAnsi="Times New Roman" w:cs="Times New Roman"/>
          <w:color w:val="000000" w:themeColor="text1"/>
          <w:sz w:val="24"/>
          <w:szCs w:val="24"/>
        </w:rPr>
        <w:t xml:space="preserve">between </w:t>
      </w:r>
      <w:r w:rsidR="006A0B75">
        <w:rPr>
          <w:rFonts w:ascii="Times New Roman" w:hAnsi="Times New Roman" w:cs="Times New Roman"/>
          <w:color w:val="000000" w:themeColor="text1"/>
          <w:sz w:val="24"/>
          <w:szCs w:val="24"/>
        </w:rPr>
        <w:t>patients’</w:t>
      </w:r>
      <w:r w:rsidR="00ED30C1" w:rsidRPr="002F72C4">
        <w:rPr>
          <w:rFonts w:ascii="Times New Roman" w:hAnsi="Times New Roman" w:cs="Times New Roman"/>
          <w:color w:val="000000" w:themeColor="text1"/>
          <w:sz w:val="24"/>
          <w:szCs w:val="24"/>
        </w:rPr>
        <w:t xml:space="preserve"> </w:t>
      </w:r>
      <w:r w:rsidR="00106512" w:rsidRPr="002F72C4">
        <w:rPr>
          <w:rFonts w:ascii="Times New Roman" w:hAnsi="Times New Roman" w:cs="Times New Roman"/>
          <w:color w:val="000000" w:themeColor="text1"/>
          <w:sz w:val="24"/>
          <w:szCs w:val="24"/>
        </w:rPr>
        <w:t>clinical</w:t>
      </w:r>
      <w:r w:rsidR="00A57F18" w:rsidRPr="002F72C4">
        <w:rPr>
          <w:rFonts w:ascii="Times New Roman" w:hAnsi="Times New Roman" w:cs="Times New Roman"/>
          <w:color w:val="000000" w:themeColor="text1"/>
          <w:sz w:val="24"/>
          <w:szCs w:val="24"/>
        </w:rPr>
        <w:t xml:space="preserve"> variables</w:t>
      </w:r>
      <w:r w:rsidR="00ED30C1" w:rsidRPr="002F72C4">
        <w:rPr>
          <w:rFonts w:ascii="Times New Roman" w:hAnsi="Times New Roman" w:cs="Times New Roman"/>
          <w:color w:val="000000" w:themeColor="text1"/>
          <w:sz w:val="24"/>
          <w:szCs w:val="24"/>
        </w:rPr>
        <w:t xml:space="preserve"> </w:t>
      </w:r>
      <w:r w:rsidR="006A0B75">
        <w:rPr>
          <w:rFonts w:ascii="Times New Roman" w:hAnsi="Times New Roman" w:cs="Times New Roman"/>
          <w:color w:val="000000" w:themeColor="text1"/>
          <w:sz w:val="24"/>
          <w:szCs w:val="24"/>
        </w:rPr>
        <w:t>and</w:t>
      </w:r>
      <w:r w:rsidR="00CA71A6" w:rsidRPr="002F72C4">
        <w:rPr>
          <w:rFonts w:ascii="Times New Roman" w:hAnsi="Times New Roman" w:cs="Times New Roman"/>
          <w:color w:val="000000" w:themeColor="text1"/>
          <w:sz w:val="24"/>
          <w:szCs w:val="24"/>
        </w:rPr>
        <w:t xml:space="preserve"> </w:t>
      </w:r>
      <w:r w:rsidR="009B38BA" w:rsidRPr="002F72C4">
        <w:rPr>
          <w:rFonts w:ascii="Times New Roman" w:hAnsi="Times New Roman" w:cs="Times New Roman"/>
          <w:color w:val="000000" w:themeColor="text1"/>
          <w:sz w:val="24"/>
          <w:szCs w:val="24"/>
        </w:rPr>
        <w:t>health-related</w:t>
      </w:r>
      <w:r w:rsidR="00CA71A6" w:rsidRPr="002F72C4">
        <w:rPr>
          <w:rFonts w:ascii="Times New Roman" w:hAnsi="Times New Roman" w:cs="Times New Roman"/>
          <w:color w:val="000000" w:themeColor="text1"/>
          <w:sz w:val="24"/>
          <w:szCs w:val="24"/>
        </w:rPr>
        <w:t xml:space="preserve"> quality of life scores</w:t>
      </w:r>
      <w:r w:rsidR="00106512" w:rsidRPr="002F72C4">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 </w:t>
      </w:r>
      <w:r w:rsidR="004D1736" w:rsidRPr="002F72C4">
        <w:rPr>
          <w:rFonts w:ascii="Times New Roman" w:hAnsi="Times New Roman" w:cs="Times New Roman"/>
          <w:color w:val="000000" w:themeColor="text1"/>
          <w:sz w:val="24"/>
          <w:szCs w:val="24"/>
        </w:rPr>
        <w:t>L</w:t>
      </w:r>
      <w:r w:rsidR="003B65D9" w:rsidRPr="002F72C4">
        <w:rPr>
          <w:rFonts w:ascii="Times New Roman" w:hAnsi="Times New Roman" w:cs="Times New Roman"/>
          <w:color w:val="000000" w:themeColor="text1"/>
          <w:sz w:val="24"/>
          <w:szCs w:val="24"/>
        </w:rPr>
        <w:t>inear</w:t>
      </w:r>
      <w:r w:rsidRPr="002F72C4">
        <w:rPr>
          <w:rFonts w:ascii="Times New Roman" w:hAnsi="Times New Roman" w:cs="Times New Roman"/>
          <w:color w:val="000000" w:themeColor="text1"/>
          <w:sz w:val="24"/>
          <w:szCs w:val="24"/>
        </w:rPr>
        <w:t xml:space="preserve"> regression analysis determine</w:t>
      </w:r>
      <w:r w:rsidR="006A2A11">
        <w:rPr>
          <w:rFonts w:ascii="Times New Roman" w:hAnsi="Times New Roman" w:cs="Times New Roman"/>
          <w:color w:val="000000" w:themeColor="text1"/>
          <w:sz w:val="24"/>
          <w:szCs w:val="24"/>
        </w:rPr>
        <w:t>d</w:t>
      </w:r>
      <w:r w:rsidRPr="002F72C4">
        <w:rPr>
          <w:rFonts w:ascii="Times New Roman" w:hAnsi="Times New Roman" w:cs="Times New Roman"/>
          <w:color w:val="000000" w:themeColor="text1"/>
          <w:sz w:val="24"/>
          <w:szCs w:val="24"/>
        </w:rPr>
        <w:t xml:space="preserve"> </w:t>
      </w:r>
      <w:r w:rsidR="005C5961">
        <w:rPr>
          <w:rFonts w:ascii="Times New Roman" w:hAnsi="Times New Roman" w:cs="Times New Roman"/>
          <w:color w:val="000000" w:themeColor="text1"/>
          <w:sz w:val="24"/>
          <w:szCs w:val="24"/>
        </w:rPr>
        <w:t xml:space="preserve">the </w:t>
      </w:r>
      <w:r w:rsidR="006A0B75">
        <w:rPr>
          <w:rFonts w:ascii="Times New Roman" w:hAnsi="Times New Roman" w:cs="Times New Roman"/>
          <w:color w:val="000000" w:themeColor="text1"/>
          <w:sz w:val="24"/>
          <w:szCs w:val="24"/>
        </w:rPr>
        <w:t xml:space="preserve">extent to which the clinical variables influenced </w:t>
      </w:r>
      <w:r w:rsidR="00ED30C1" w:rsidRPr="002F72C4">
        <w:rPr>
          <w:rFonts w:ascii="Times New Roman" w:hAnsi="Times New Roman" w:cs="Times New Roman"/>
          <w:color w:val="000000" w:themeColor="text1"/>
          <w:sz w:val="24"/>
          <w:szCs w:val="24"/>
        </w:rPr>
        <w:t xml:space="preserve">health related </w:t>
      </w:r>
      <w:r w:rsidR="0030576A" w:rsidRPr="002F72C4">
        <w:rPr>
          <w:rFonts w:ascii="Times New Roman" w:hAnsi="Times New Roman" w:cs="Times New Roman"/>
          <w:color w:val="000000" w:themeColor="text1"/>
          <w:sz w:val="24"/>
          <w:szCs w:val="24"/>
        </w:rPr>
        <w:t xml:space="preserve">quality of life </w:t>
      </w:r>
      <w:r w:rsidR="00ED30C1" w:rsidRPr="002F72C4">
        <w:rPr>
          <w:rFonts w:ascii="Times New Roman" w:hAnsi="Times New Roman" w:cs="Times New Roman"/>
          <w:color w:val="000000" w:themeColor="text1"/>
          <w:sz w:val="24"/>
          <w:szCs w:val="24"/>
        </w:rPr>
        <w:t>scores</w:t>
      </w:r>
      <w:r w:rsidRPr="002F72C4">
        <w:rPr>
          <w:rFonts w:ascii="Times New Roman" w:hAnsi="Times New Roman" w:cs="Times New Roman"/>
          <w:color w:val="000000" w:themeColor="text1"/>
          <w:sz w:val="24"/>
          <w:szCs w:val="24"/>
        </w:rPr>
        <w:t xml:space="preserve">. </w:t>
      </w:r>
    </w:p>
    <w:p w14:paraId="086D2EB4" w14:textId="560F59A6" w:rsidR="003165E5" w:rsidRPr="002F72C4" w:rsidRDefault="003165E5" w:rsidP="003165E5">
      <w:pPr>
        <w:spacing w:line="360" w:lineRule="auto"/>
        <w:jc w:val="both"/>
        <w:rPr>
          <w:rFonts w:ascii="Times New Roman" w:hAnsi="Times New Roman" w:cs="Times New Roman"/>
          <w:color w:val="000000" w:themeColor="text1"/>
          <w:sz w:val="24"/>
          <w:szCs w:val="24"/>
        </w:rPr>
      </w:pPr>
      <w:r w:rsidRPr="002F72C4">
        <w:rPr>
          <w:rFonts w:ascii="Times New Roman" w:hAnsi="Times New Roman" w:cs="Times New Roman"/>
          <w:b/>
          <w:color w:val="000000" w:themeColor="text1"/>
          <w:sz w:val="24"/>
          <w:szCs w:val="24"/>
        </w:rPr>
        <w:t xml:space="preserve">Results: </w:t>
      </w:r>
      <w:r w:rsidRPr="002F72C4">
        <w:rPr>
          <w:rFonts w:ascii="Times New Roman" w:hAnsi="Times New Roman" w:cs="Times New Roman"/>
          <w:color w:val="000000" w:themeColor="text1"/>
          <w:sz w:val="24"/>
          <w:szCs w:val="24"/>
        </w:rPr>
        <w:t>The mean age of the participants was 45.4(</w:t>
      </w:r>
      <w:r w:rsidR="001F1580">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14.7)</w:t>
      </w:r>
      <w:r w:rsidR="006A2A11">
        <w:rPr>
          <w:rFonts w:ascii="Times New Roman" w:hAnsi="Times New Roman" w:cs="Times New Roman"/>
          <w:color w:val="000000" w:themeColor="text1"/>
          <w:sz w:val="24"/>
          <w:szCs w:val="24"/>
        </w:rPr>
        <w:t>. T</w:t>
      </w:r>
      <w:r w:rsidRPr="002F72C4">
        <w:rPr>
          <w:rFonts w:ascii="Times New Roman" w:hAnsi="Times New Roman" w:cs="Times New Roman"/>
          <w:color w:val="000000" w:themeColor="text1"/>
          <w:sz w:val="24"/>
          <w:szCs w:val="24"/>
        </w:rPr>
        <w:t xml:space="preserve">he </w:t>
      </w:r>
      <w:r w:rsidR="006A0B75">
        <w:rPr>
          <w:rFonts w:ascii="Times New Roman" w:hAnsi="Times New Roman" w:cs="Times New Roman"/>
          <w:color w:val="000000" w:themeColor="text1"/>
          <w:sz w:val="24"/>
          <w:szCs w:val="24"/>
        </w:rPr>
        <w:t xml:space="preserve">overall </w:t>
      </w:r>
      <w:r w:rsidR="001F1580">
        <w:rPr>
          <w:rFonts w:ascii="Times New Roman" w:hAnsi="Times New Roman" w:cs="Times New Roman"/>
          <w:color w:val="000000" w:themeColor="text1"/>
          <w:sz w:val="24"/>
          <w:szCs w:val="24"/>
        </w:rPr>
        <w:t>health related quality of life score was</w:t>
      </w:r>
      <w:r w:rsidRPr="002F72C4">
        <w:rPr>
          <w:rFonts w:ascii="Times New Roman" w:hAnsi="Times New Roman" w:cs="Times New Roman"/>
          <w:color w:val="000000" w:themeColor="text1"/>
          <w:sz w:val="24"/>
          <w:szCs w:val="24"/>
        </w:rPr>
        <w:t xml:space="preserve"> 5.19(</w:t>
      </w:r>
      <w:r w:rsidR="001F1580">
        <w:rPr>
          <w:rFonts w:ascii="Times New Roman" w:hAnsi="Times New Roman" w:cs="Times New Roman"/>
          <w:color w:val="000000" w:themeColor="text1"/>
          <w:sz w:val="24"/>
          <w:szCs w:val="24"/>
        </w:rPr>
        <w:t>±</w:t>
      </w:r>
      <w:r w:rsidR="006A0B75">
        <w:rPr>
          <w:rFonts w:ascii="Times New Roman" w:hAnsi="Times New Roman" w:cs="Times New Roman"/>
          <w:color w:val="000000" w:themeColor="text1"/>
          <w:sz w:val="24"/>
          <w:szCs w:val="24"/>
        </w:rPr>
        <w:t>0.78)</w:t>
      </w:r>
      <w:r w:rsidRPr="002F72C4">
        <w:rPr>
          <w:rFonts w:ascii="Times New Roman" w:hAnsi="Times New Roman" w:cs="Times New Roman"/>
          <w:color w:val="000000" w:themeColor="text1"/>
          <w:sz w:val="24"/>
          <w:szCs w:val="24"/>
        </w:rPr>
        <w:t xml:space="preserve">. </w:t>
      </w:r>
      <w:r w:rsidR="007D6757" w:rsidRPr="00415FB0">
        <w:rPr>
          <w:rFonts w:ascii="Times New Roman" w:hAnsi="Times New Roman" w:cs="Times New Roman"/>
          <w:color w:val="000000" w:themeColor="text1"/>
          <w:sz w:val="24"/>
          <w:szCs w:val="24"/>
          <w:highlight w:val="yellow"/>
        </w:rPr>
        <w:t>Forgetfulness</w:t>
      </w:r>
      <w:r w:rsidR="00415FB0" w:rsidRPr="00415FB0">
        <w:rPr>
          <w:rFonts w:ascii="Times New Roman" w:hAnsi="Times New Roman" w:cs="Times New Roman"/>
          <w:color w:val="000000" w:themeColor="text1"/>
          <w:sz w:val="24"/>
          <w:szCs w:val="24"/>
          <w:highlight w:val="yellow"/>
        </w:rPr>
        <w:t xml:space="preserve"> (35.0%)</w:t>
      </w:r>
      <w:r w:rsidR="007D6757" w:rsidRPr="00415FB0">
        <w:rPr>
          <w:rFonts w:ascii="Times New Roman" w:hAnsi="Times New Roman" w:cs="Times New Roman"/>
          <w:color w:val="000000" w:themeColor="text1"/>
          <w:sz w:val="24"/>
          <w:szCs w:val="24"/>
          <w:highlight w:val="yellow"/>
        </w:rPr>
        <w:t xml:space="preserve"> </w:t>
      </w:r>
      <w:r w:rsidR="00415FB0" w:rsidRPr="00415FB0">
        <w:rPr>
          <w:rFonts w:ascii="Times New Roman" w:hAnsi="Times New Roman" w:cs="Times New Roman"/>
          <w:color w:val="000000" w:themeColor="text1"/>
          <w:sz w:val="24"/>
          <w:szCs w:val="24"/>
          <w:highlight w:val="yellow"/>
        </w:rPr>
        <w:t xml:space="preserve">was the most </w:t>
      </w:r>
      <w:r w:rsidR="003A186F">
        <w:rPr>
          <w:rFonts w:ascii="Times New Roman" w:hAnsi="Times New Roman" w:cs="Times New Roman"/>
          <w:color w:val="000000" w:themeColor="text1"/>
          <w:sz w:val="24"/>
          <w:szCs w:val="24"/>
          <w:highlight w:val="yellow"/>
        </w:rPr>
        <w:t xml:space="preserve">bothersome </w:t>
      </w:r>
      <w:r w:rsidR="00415FB0" w:rsidRPr="00415FB0">
        <w:rPr>
          <w:rFonts w:ascii="Times New Roman" w:hAnsi="Times New Roman" w:cs="Times New Roman"/>
          <w:color w:val="000000" w:themeColor="text1"/>
          <w:sz w:val="24"/>
          <w:szCs w:val="24"/>
          <w:highlight w:val="yellow"/>
        </w:rPr>
        <w:t>feature</w:t>
      </w:r>
      <w:r w:rsidR="00415FB0">
        <w:rPr>
          <w:rFonts w:ascii="Times New Roman" w:hAnsi="Times New Roman" w:cs="Times New Roman"/>
          <w:color w:val="000000" w:themeColor="text1"/>
          <w:sz w:val="24"/>
          <w:szCs w:val="24"/>
          <w:highlight w:val="yellow"/>
        </w:rPr>
        <w:t xml:space="preserve"> </w:t>
      </w:r>
      <w:r w:rsidR="005C5961">
        <w:rPr>
          <w:rFonts w:ascii="Times New Roman" w:hAnsi="Times New Roman" w:cs="Times New Roman"/>
          <w:color w:val="000000" w:themeColor="text1"/>
          <w:sz w:val="24"/>
          <w:szCs w:val="24"/>
          <w:highlight w:val="yellow"/>
        </w:rPr>
        <w:t xml:space="preserve">and </w:t>
      </w:r>
      <w:r w:rsidR="00415FB0" w:rsidRPr="00415FB0">
        <w:rPr>
          <w:rFonts w:ascii="Times New Roman" w:hAnsi="Times New Roman" w:cs="Times New Roman"/>
          <w:color w:val="000000" w:themeColor="text1"/>
          <w:sz w:val="24"/>
          <w:szCs w:val="24"/>
          <w:highlight w:val="yellow"/>
        </w:rPr>
        <w:t>73.8% of the participants scored 7 on appearance domain while 30</w:t>
      </w:r>
      <w:r w:rsidR="006A0B75">
        <w:rPr>
          <w:rFonts w:ascii="Times New Roman" w:hAnsi="Times New Roman" w:cs="Times New Roman"/>
          <w:color w:val="000000" w:themeColor="text1"/>
          <w:sz w:val="24"/>
          <w:szCs w:val="24"/>
          <w:highlight w:val="yellow"/>
        </w:rPr>
        <w:t xml:space="preserve">.0 </w:t>
      </w:r>
      <w:r w:rsidR="00415FB0" w:rsidRPr="00415FB0">
        <w:rPr>
          <w:rFonts w:ascii="Times New Roman" w:hAnsi="Times New Roman" w:cs="Times New Roman"/>
          <w:color w:val="000000" w:themeColor="text1"/>
          <w:sz w:val="24"/>
          <w:szCs w:val="24"/>
          <w:highlight w:val="yellow"/>
        </w:rPr>
        <w:t xml:space="preserve">% </w:t>
      </w:r>
      <w:r w:rsidR="006A0B75">
        <w:rPr>
          <w:rFonts w:ascii="Times New Roman" w:hAnsi="Times New Roman" w:cs="Times New Roman"/>
          <w:color w:val="000000" w:themeColor="text1"/>
          <w:sz w:val="24"/>
          <w:szCs w:val="24"/>
          <w:highlight w:val="yellow"/>
        </w:rPr>
        <w:t>scored 5 on fatigue dimension</w:t>
      </w:r>
      <w:r w:rsidR="00415FB0" w:rsidRPr="00415FB0">
        <w:rPr>
          <w:rFonts w:ascii="Times New Roman" w:hAnsi="Times New Roman" w:cs="Times New Roman"/>
          <w:color w:val="000000" w:themeColor="text1"/>
          <w:sz w:val="24"/>
          <w:szCs w:val="24"/>
          <w:highlight w:val="yellow"/>
        </w:rPr>
        <w:t>. A third of the patien</w:t>
      </w:r>
      <w:r w:rsidR="006A0B75">
        <w:rPr>
          <w:rFonts w:ascii="Times New Roman" w:hAnsi="Times New Roman" w:cs="Times New Roman"/>
          <w:color w:val="000000" w:themeColor="text1"/>
          <w:sz w:val="24"/>
          <w:szCs w:val="24"/>
          <w:highlight w:val="yellow"/>
        </w:rPr>
        <w:t>ts scored 5 on uncertainty</w:t>
      </w:r>
      <w:r w:rsidR="00415FB0" w:rsidRPr="00415FB0">
        <w:rPr>
          <w:rFonts w:ascii="Times New Roman" w:hAnsi="Times New Roman" w:cs="Times New Roman"/>
          <w:color w:val="000000" w:themeColor="text1"/>
          <w:sz w:val="24"/>
          <w:szCs w:val="24"/>
          <w:highlight w:val="yellow"/>
        </w:rPr>
        <w:t xml:space="preserve"> </w:t>
      </w:r>
      <w:r w:rsidR="006A0B75">
        <w:rPr>
          <w:rFonts w:ascii="Times New Roman" w:hAnsi="Times New Roman" w:cs="Times New Roman"/>
          <w:color w:val="000000" w:themeColor="text1"/>
          <w:sz w:val="24"/>
          <w:szCs w:val="24"/>
          <w:highlight w:val="yellow"/>
        </w:rPr>
        <w:t>dimension</w:t>
      </w:r>
      <w:r w:rsidR="00415FB0" w:rsidRPr="00415FB0">
        <w:rPr>
          <w:rFonts w:ascii="Times New Roman" w:hAnsi="Times New Roman" w:cs="Times New Roman"/>
          <w:color w:val="000000" w:themeColor="text1"/>
          <w:sz w:val="24"/>
          <w:szCs w:val="24"/>
          <w:highlight w:val="yellow"/>
        </w:rPr>
        <w:t xml:space="preserve"> while 32.5% scored 6 on emotions domain.</w:t>
      </w:r>
      <w:r w:rsidR="00415FB0">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 xml:space="preserve">The highest </w:t>
      </w:r>
      <w:r w:rsidR="00AF30FB">
        <w:rPr>
          <w:rFonts w:ascii="Times New Roman" w:hAnsi="Times New Roman" w:cs="Times New Roman"/>
          <w:color w:val="000000" w:themeColor="text1"/>
          <w:sz w:val="24"/>
          <w:szCs w:val="24"/>
        </w:rPr>
        <w:t xml:space="preserve">mean </w:t>
      </w:r>
      <w:r w:rsidRPr="002F72C4">
        <w:rPr>
          <w:rFonts w:ascii="Times New Roman" w:hAnsi="Times New Roman" w:cs="Times New Roman"/>
          <w:color w:val="000000" w:themeColor="text1"/>
          <w:sz w:val="24"/>
          <w:szCs w:val="24"/>
        </w:rPr>
        <w:t xml:space="preserve">score was in the appearance </w:t>
      </w:r>
      <w:r w:rsidR="001F1580">
        <w:rPr>
          <w:rFonts w:ascii="Times New Roman" w:hAnsi="Times New Roman" w:cs="Times New Roman"/>
          <w:color w:val="000000" w:themeColor="text1"/>
          <w:sz w:val="24"/>
          <w:szCs w:val="24"/>
        </w:rPr>
        <w:t>domain,</w:t>
      </w:r>
      <w:r w:rsidRPr="002F72C4">
        <w:rPr>
          <w:rFonts w:ascii="Times New Roman" w:hAnsi="Times New Roman" w:cs="Times New Roman"/>
          <w:color w:val="000000" w:themeColor="text1"/>
          <w:sz w:val="24"/>
          <w:szCs w:val="24"/>
        </w:rPr>
        <w:t xml:space="preserve"> 6.62(</w:t>
      </w:r>
      <w:r w:rsidR="001F1580">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0.60) </w:t>
      </w:r>
      <w:r w:rsidR="00AF30FB">
        <w:rPr>
          <w:rFonts w:ascii="Times New Roman" w:hAnsi="Times New Roman" w:cs="Times New Roman"/>
          <w:color w:val="000000" w:themeColor="text1"/>
          <w:sz w:val="24"/>
          <w:szCs w:val="24"/>
        </w:rPr>
        <w:t xml:space="preserve">and </w:t>
      </w:r>
      <w:r w:rsidRPr="002F72C4">
        <w:rPr>
          <w:rFonts w:ascii="Times New Roman" w:hAnsi="Times New Roman" w:cs="Times New Roman"/>
          <w:color w:val="000000" w:themeColor="text1"/>
          <w:sz w:val="24"/>
          <w:szCs w:val="24"/>
        </w:rPr>
        <w:t>th</w:t>
      </w:r>
      <w:r w:rsidR="00AF30FB">
        <w:rPr>
          <w:rFonts w:ascii="Times New Roman" w:hAnsi="Times New Roman" w:cs="Times New Roman"/>
          <w:color w:val="000000" w:themeColor="text1"/>
          <w:sz w:val="24"/>
          <w:szCs w:val="24"/>
        </w:rPr>
        <w:t>e lowest was on uncertainty</w:t>
      </w:r>
      <w:r w:rsidRPr="002F72C4">
        <w:rPr>
          <w:rFonts w:ascii="Times New Roman" w:hAnsi="Times New Roman" w:cs="Times New Roman"/>
          <w:color w:val="000000" w:themeColor="text1"/>
          <w:sz w:val="24"/>
          <w:szCs w:val="24"/>
        </w:rPr>
        <w:t xml:space="preserve"> domain</w:t>
      </w:r>
      <w:r w:rsidR="00AF30FB">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 4.28(</w:t>
      </w:r>
      <w:r w:rsidR="001F1580">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1.12). </w:t>
      </w:r>
      <w:r w:rsidR="003A186F" w:rsidRPr="00413D37">
        <w:rPr>
          <w:rFonts w:ascii="Times New Roman" w:hAnsi="Times New Roman" w:cs="Times New Roman"/>
          <w:color w:val="000000" w:themeColor="text1"/>
          <w:sz w:val="24"/>
          <w:szCs w:val="24"/>
          <w:highlight w:val="yellow"/>
        </w:rPr>
        <w:t>Patients with comorbid diabetes and hypertension had statistically significantly lower scores</w:t>
      </w:r>
      <w:r w:rsidR="00413D37" w:rsidRPr="00413D37">
        <w:rPr>
          <w:rFonts w:ascii="Times New Roman" w:hAnsi="Times New Roman" w:cs="Times New Roman"/>
          <w:color w:val="000000" w:themeColor="text1"/>
          <w:sz w:val="24"/>
          <w:szCs w:val="24"/>
          <w:highlight w:val="yellow"/>
        </w:rPr>
        <w:t xml:space="preserve"> [</w:t>
      </w:r>
      <w:r w:rsidR="003A186F" w:rsidRPr="00413D37">
        <w:rPr>
          <w:rFonts w:ascii="Times New Roman" w:hAnsi="Times New Roman" w:cs="Times New Roman"/>
          <w:color w:val="000000" w:themeColor="text1"/>
          <w:sz w:val="24"/>
          <w:szCs w:val="24"/>
          <w:highlight w:val="yellow"/>
        </w:rPr>
        <w:t>4.79 (±0.82)</w:t>
      </w:r>
      <w:r w:rsidR="00413D37" w:rsidRPr="00413D37">
        <w:rPr>
          <w:rFonts w:ascii="Times New Roman" w:hAnsi="Times New Roman" w:cs="Times New Roman"/>
          <w:color w:val="000000" w:themeColor="text1"/>
          <w:sz w:val="24"/>
          <w:szCs w:val="24"/>
          <w:highlight w:val="yellow"/>
        </w:rPr>
        <w:t>]</w:t>
      </w:r>
      <w:r w:rsidR="003A186F" w:rsidRPr="00413D37">
        <w:rPr>
          <w:rFonts w:ascii="Times New Roman" w:hAnsi="Times New Roman" w:cs="Times New Roman"/>
          <w:color w:val="000000" w:themeColor="text1"/>
          <w:sz w:val="24"/>
          <w:szCs w:val="24"/>
          <w:highlight w:val="yellow"/>
        </w:rPr>
        <w:t xml:space="preserve"> </w:t>
      </w:r>
      <w:r w:rsidR="005C5961">
        <w:rPr>
          <w:rFonts w:ascii="Times New Roman" w:hAnsi="Times New Roman" w:cs="Times New Roman"/>
          <w:color w:val="000000" w:themeColor="text1"/>
          <w:sz w:val="24"/>
          <w:szCs w:val="24"/>
          <w:highlight w:val="yellow"/>
        </w:rPr>
        <w:t>(p=0.017)</w:t>
      </w:r>
      <w:r w:rsidR="005C5961">
        <w:rPr>
          <w:rFonts w:ascii="Times New Roman" w:hAnsi="Times New Roman" w:cs="Times New Roman"/>
          <w:color w:val="000000" w:themeColor="text1"/>
          <w:sz w:val="24"/>
          <w:szCs w:val="24"/>
        </w:rPr>
        <w:t xml:space="preserve"> and</w:t>
      </w:r>
      <w:r w:rsidR="00413D37">
        <w:rPr>
          <w:rFonts w:ascii="Times New Roman" w:hAnsi="Times New Roman" w:cs="Times New Roman"/>
          <w:color w:val="000000" w:themeColor="text1"/>
          <w:sz w:val="24"/>
          <w:szCs w:val="24"/>
        </w:rPr>
        <w:t xml:space="preserve"> </w:t>
      </w:r>
      <w:r w:rsidR="005C5961">
        <w:rPr>
          <w:rFonts w:ascii="Times New Roman" w:hAnsi="Times New Roman" w:cs="Times New Roman"/>
          <w:color w:val="000000" w:themeColor="text1"/>
          <w:sz w:val="24"/>
          <w:szCs w:val="24"/>
        </w:rPr>
        <w:t>c</w:t>
      </w:r>
      <w:r w:rsidR="00AF30FB">
        <w:rPr>
          <w:rFonts w:ascii="Times New Roman" w:hAnsi="Times New Roman" w:cs="Times New Roman"/>
          <w:color w:val="000000" w:themeColor="text1"/>
          <w:sz w:val="24"/>
          <w:szCs w:val="24"/>
        </w:rPr>
        <w:t>omorbidity with</w:t>
      </w:r>
      <w:r w:rsidR="005A5AAA" w:rsidRPr="002F72C4">
        <w:rPr>
          <w:rFonts w:ascii="Times New Roman" w:hAnsi="Times New Roman" w:cs="Times New Roman"/>
          <w:color w:val="000000" w:themeColor="text1"/>
          <w:sz w:val="24"/>
          <w:szCs w:val="24"/>
        </w:rPr>
        <w:t xml:space="preserve"> diabetes</w:t>
      </w:r>
      <w:r w:rsidR="004D405C">
        <w:rPr>
          <w:rFonts w:ascii="Times New Roman" w:hAnsi="Times New Roman" w:cs="Times New Roman"/>
          <w:color w:val="000000" w:themeColor="text1"/>
          <w:sz w:val="24"/>
          <w:szCs w:val="24"/>
        </w:rPr>
        <w:t xml:space="preserve"> </w:t>
      </w:r>
      <w:r w:rsidR="005A5AAA" w:rsidRPr="002F72C4">
        <w:rPr>
          <w:rFonts w:ascii="Times New Roman" w:hAnsi="Times New Roman" w:cs="Times New Roman"/>
          <w:color w:val="000000" w:themeColor="text1"/>
          <w:sz w:val="24"/>
          <w:szCs w:val="24"/>
        </w:rPr>
        <w:t>decreased the score</w:t>
      </w:r>
      <w:r w:rsidR="006A2A11">
        <w:rPr>
          <w:rFonts w:ascii="Times New Roman" w:hAnsi="Times New Roman" w:cs="Times New Roman"/>
          <w:color w:val="000000" w:themeColor="text1"/>
          <w:sz w:val="24"/>
          <w:szCs w:val="24"/>
        </w:rPr>
        <w:t>s</w:t>
      </w:r>
      <w:r w:rsidR="005A5AAA" w:rsidRPr="002F72C4">
        <w:rPr>
          <w:rFonts w:ascii="Times New Roman" w:hAnsi="Times New Roman" w:cs="Times New Roman"/>
          <w:color w:val="000000" w:themeColor="text1"/>
          <w:sz w:val="24"/>
          <w:szCs w:val="24"/>
        </w:rPr>
        <w:t xml:space="preserve"> </w:t>
      </w:r>
      <w:r w:rsidR="005C5961">
        <w:rPr>
          <w:rFonts w:ascii="Times New Roman" w:hAnsi="Times New Roman" w:cs="Times New Roman"/>
          <w:color w:val="000000" w:themeColor="text1"/>
          <w:sz w:val="24"/>
          <w:szCs w:val="24"/>
        </w:rPr>
        <w:t xml:space="preserve">by </w:t>
      </w:r>
      <w:r w:rsidR="005A5AAA" w:rsidRPr="002F72C4">
        <w:rPr>
          <w:rFonts w:ascii="Times New Roman" w:hAnsi="Times New Roman" w:cs="Times New Roman"/>
          <w:color w:val="000000" w:themeColor="text1"/>
          <w:sz w:val="24"/>
          <w:szCs w:val="24"/>
        </w:rPr>
        <w:t xml:space="preserve">11.67 units </w:t>
      </w:r>
      <w:r w:rsidR="002A17C0" w:rsidRPr="002F72C4">
        <w:rPr>
          <w:rFonts w:ascii="Times New Roman" w:hAnsi="Times New Roman" w:cs="Times New Roman"/>
          <w:color w:val="000000" w:themeColor="text1"/>
          <w:sz w:val="24"/>
          <w:szCs w:val="24"/>
        </w:rPr>
        <w:t>{</w:t>
      </w:r>
      <w:r w:rsidR="005A5AAA" w:rsidRPr="002F72C4">
        <w:rPr>
          <w:rFonts w:ascii="Times New Roman" w:hAnsi="Times New Roman" w:cs="Times New Roman"/>
          <w:color w:val="000000" w:themeColor="text1"/>
          <w:sz w:val="24"/>
          <w:szCs w:val="24"/>
        </w:rPr>
        <w:t>95% CI (-21.283, -2.064)</w:t>
      </w:r>
      <w:r w:rsidR="002A17C0" w:rsidRPr="002F72C4">
        <w:rPr>
          <w:rFonts w:ascii="Times New Roman" w:hAnsi="Times New Roman" w:cs="Times New Roman"/>
          <w:color w:val="000000" w:themeColor="text1"/>
          <w:sz w:val="24"/>
          <w:szCs w:val="24"/>
        </w:rPr>
        <w:t>}.</w:t>
      </w:r>
    </w:p>
    <w:p w14:paraId="5FA570F4" w14:textId="6FAF7C9A" w:rsidR="00832B5B" w:rsidRPr="002F72C4" w:rsidRDefault="003165E5" w:rsidP="00442D9B">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r w:rsidRPr="002F72C4">
        <w:rPr>
          <w:rFonts w:ascii="Times New Roman" w:hAnsi="Times New Roman" w:cs="Times New Roman"/>
          <w:b/>
          <w:color w:val="000000" w:themeColor="text1"/>
          <w:sz w:val="24"/>
          <w:szCs w:val="24"/>
        </w:rPr>
        <w:t xml:space="preserve">Conclusions: </w:t>
      </w:r>
      <w:r w:rsidR="004D405C">
        <w:rPr>
          <w:rFonts w:ascii="Times New Roman" w:hAnsi="Times New Roman" w:cs="Times New Roman"/>
          <w:color w:val="000000" w:themeColor="text1"/>
          <w:sz w:val="24"/>
          <w:szCs w:val="24"/>
          <w:lang w:val="en-GB"/>
        </w:rPr>
        <w:t>Health related quality of life among the renal transplant recipients</w:t>
      </w:r>
      <w:r w:rsidR="007F4628" w:rsidRPr="002F72C4">
        <w:rPr>
          <w:rFonts w:ascii="Times New Roman" w:hAnsi="Times New Roman" w:cs="Times New Roman"/>
          <w:color w:val="000000" w:themeColor="text1"/>
          <w:sz w:val="24"/>
          <w:szCs w:val="24"/>
          <w:lang w:val="en-GB"/>
        </w:rPr>
        <w:t xml:space="preserve"> was </w:t>
      </w:r>
      <w:r w:rsidR="00442D9B" w:rsidRPr="002F72C4">
        <w:rPr>
          <w:rFonts w:ascii="Times New Roman" w:hAnsi="Times New Roman" w:cs="Times New Roman"/>
          <w:color w:val="000000" w:themeColor="text1"/>
          <w:sz w:val="24"/>
          <w:szCs w:val="24"/>
          <w:lang w:val="en-GB"/>
        </w:rPr>
        <w:t xml:space="preserve">good. </w:t>
      </w:r>
      <w:r w:rsidR="0038155B" w:rsidRPr="0038155B">
        <w:rPr>
          <w:rFonts w:ascii="Times New Roman" w:hAnsi="Times New Roman" w:cs="Times New Roman"/>
          <w:color w:val="000000" w:themeColor="text1"/>
          <w:sz w:val="24"/>
          <w:szCs w:val="24"/>
          <w:highlight w:val="yellow"/>
          <w:lang w:val="en-GB"/>
        </w:rPr>
        <w:t xml:space="preserve">The low </w:t>
      </w:r>
      <w:r w:rsidR="00F47D84" w:rsidRPr="00F47D84">
        <w:rPr>
          <w:rFonts w:ascii="Times New Roman" w:hAnsi="Times New Roman" w:cs="Times New Roman"/>
          <w:color w:val="000000" w:themeColor="text1"/>
          <w:sz w:val="24"/>
          <w:szCs w:val="24"/>
          <w:highlight w:val="yellow"/>
          <w:lang w:val="en-GB"/>
        </w:rPr>
        <w:t xml:space="preserve">scores </w:t>
      </w:r>
      <w:r w:rsidR="005C5961">
        <w:rPr>
          <w:rFonts w:ascii="Times New Roman" w:hAnsi="Times New Roman" w:cs="Times New Roman"/>
          <w:color w:val="000000" w:themeColor="text1"/>
          <w:sz w:val="24"/>
          <w:szCs w:val="24"/>
          <w:highlight w:val="yellow"/>
          <w:lang w:val="en-GB"/>
        </w:rPr>
        <w:t xml:space="preserve">in </w:t>
      </w:r>
      <w:r w:rsidR="00A65809">
        <w:rPr>
          <w:rFonts w:ascii="Times New Roman" w:hAnsi="Times New Roman" w:cs="Times New Roman"/>
          <w:color w:val="000000" w:themeColor="text1"/>
          <w:sz w:val="24"/>
          <w:szCs w:val="24"/>
          <w:highlight w:val="yellow"/>
          <w:lang w:val="en-GB"/>
        </w:rPr>
        <w:t xml:space="preserve">uncertainty/fear and </w:t>
      </w:r>
      <w:r w:rsidR="00413D37" w:rsidRPr="00F47D84">
        <w:rPr>
          <w:rFonts w:ascii="Times New Roman" w:hAnsi="Times New Roman" w:cs="Times New Roman"/>
          <w:color w:val="000000" w:themeColor="text1"/>
          <w:sz w:val="24"/>
          <w:szCs w:val="24"/>
          <w:highlight w:val="yellow"/>
          <w:lang w:val="en-GB"/>
        </w:rPr>
        <w:t>comorbid diabetes</w:t>
      </w:r>
      <w:r w:rsidR="00A65809">
        <w:rPr>
          <w:rFonts w:ascii="Times New Roman" w:hAnsi="Times New Roman" w:cs="Times New Roman"/>
          <w:color w:val="000000" w:themeColor="text1"/>
          <w:sz w:val="24"/>
          <w:szCs w:val="24"/>
          <w:highlight w:val="yellow"/>
          <w:lang w:val="en-GB"/>
        </w:rPr>
        <w:t>/</w:t>
      </w:r>
      <w:r w:rsidR="00F47D84" w:rsidRPr="00F47D84">
        <w:rPr>
          <w:rFonts w:ascii="Times New Roman" w:hAnsi="Times New Roman" w:cs="Times New Roman"/>
          <w:color w:val="000000" w:themeColor="text1"/>
          <w:sz w:val="24"/>
          <w:szCs w:val="24"/>
          <w:highlight w:val="yellow"/>
          <w:lang w:val="en-GB"/>
        </w:rPr>
        <w:t xml:space="preserve">hypertension </w:t>
      </w:r>
      <w:r w:rsidR="00A65809">
        <w:rPr>
          <w:rFonts w:ascii="Times New Roman" w:hAnsi="Times New Roman" w:cs="Times New Roman"/>
          <w:color w:val="000000" w:themeColor="text1"/>
          <w:sz w:val="24"/>
          <w:szCs w:val="24"/>
          <w:highlight w:val="yellow"/>
          <w:lang w:val="en-GB"/>
        </w:rPr>
        <w:t xml:space="preserve">reflect distress </w:t>
      </w:r>
      <w:r w:rsidR="00F47D84" w:rsidRPr="00F47D84">
        <w:rPr>
          <w:rFonts w:ascii="Times New Roman" w:hAnsi="Times New Roman" w:cs="Times New Roman"/>
          <w:color w:val="000000" w:themeColor="text1"/>
          <w:sz w:val="24"/>
          <w:szCs w:val="24"/>
          <w:highlight w:val="yellow"/>
          <w:lang w:val="en-GB"/>
        </w:rPr>
        <w:t>suggest</w:t>
      </w:r>
      <w:r w:rsidR="00A65809">
        <w:rPr>
          <w:rFonts w:ascii="Times New Roman" w:hAnsi="Times New Roman" w:cs="Times New Roman"/>
          <w:color w:val="000000" w:themeColor="text1"/>
          <w:sz w:val="24"/>
          <w:szCs w:val="24"/>
          <w:highlight w:val="yellow"/>
          <w:lang w:val="en-GB"/>
        </w:rPr>
        <w:t>ing</w:t>
      </w:r>
      <w:r w:rsidR="00F47D84" w:rsidRPr="00F47D84">
        <w:rPr>
          <w:rFonts w:ascii="Times New Roman" w:hAnsi="Times New Roman" w:cs="Times New Roman"/>
          <w:color w:val="000000" w:themeColor="text1"/>
          <w:sz w:val="24"/>
          <w:szCs w:val="24"/>
          <w:highlight w:val="yellow"/>
          <w:lang w:val="en-GB"/>
        </w:rPr>
        <w:t xml:space="preserve"> that clinicians should </w:t>
      </w:r>
      <w:r w:rsidR="00A65809">
        <w:rPr>
          <w:rFonts w:ascii="Times New Roman" w:hAnsi="Times New Roman" w:cs="Times New Roman"/>
          <w:color w:val="000000" w:themeColor="text1"/>
          <w:sz w:val="24"/>
          <w:szCs w:val="24"/>
          <w:highlight w:val="yellow"/>
          <w:lang w:val="en-GB"/>
        </w:rPr>
        <w:t xml:space="preserve">incorporate </w:t>
      </w:r>
      <w:r w:rsidR="00F47D84" w:rsidRPr="00F47D84">
        <w:rPr>
          <w:rFonts w:ascii="Times New Roman" w:hAnsi="Times New Roman" w:cs="Times New Roman"/>
          <w:color w:val="000000" w:themeColor="text1"/>
          <w:sz w:val="24"/>
          <w:szCs w:val="24"/>
          <w:highlight w:val="yellow"/>
          <w:lang w:val="en-GB"/>
        </w:rPr>
        <w:t xml:space="preserve">psychosocial </w:t>
      </w:r>
      <w:r w:rsidR="00A65809">
        <w:rPr>
          <w:rFonts w:ascii="Times New Roman" w:hAnsi="Times New Roman" w:cs="Times New Roman"/>
          <w:color w:val="000000" w:themeColor="text1"/>
          <w:sz w:val="24"/>
          <w:szCs w:val="24"/>
          <w:highlight w:val="yellow"/>
          <w:lang w:val="en-GB"/>
        </w:rPr>
        <w:t>care</w:t>
      </w:r>
      <w:r w:rsidR="00F47D84" w:rsidRPr="00F47D84">
        <w:rPr>
          <w:rFonts w:ascii="Times New Roman" w:hAnsi="Times New Roman" w:cs="Times New Roman"/>
          <w:color w:val="000000" w:themeColor="text1"/>
          <w:sz w:val="24"/>
          <w:szCs w:val="24"/>
          <w:highlight w:val="yellow"/>
          <w:lang w:val="en-GB"/>
        </w:rPr>
        <w:t xml:space="preserve"> among </w:t>
      </w:r>
      <w:r w:rsidR="00A65809">
        <w:rPr>
          <w:rFonts w:ascii="Times New Roman" w:hAnsi="Times New Roman" w:cs="Times New Roman"/>
          <w:color w:val="000000" w:themeColor="text1"/>
          <w:sz w:val="24"/>
          <w:szCs w:val="24"/>
          <w:highlight w:val="yellow"/>
          <w:lang w:val="en-GB"/>
        </w:rPr>
        <w:t xml:space="preserve">renal transplant </w:t>
      </w:r>
      <w:r w:rsidR="00A65809">
        <w:rPr>
          <w:rFonts w:ascii="Times New Roman" w:hAnsi="Times New Roman" w:cs="Times New Roman"/>
          <w:color w:val="000000" w:themeColor="text1"/>
          <w:sz w:val="24"/>
          <w:szCs w:val="24"/>
          <w:highlight w:val="yellow"/>
          <w:lang w:val="en-GB"/>
        </w:rPr>
        <w:lastRenderedPageBreak/>
        <w:t>recipients</w:t>
      </w:r>
      <w:r w:rsidR="00F47D84" w:rsidRPr="00F47D84">
        <w:rPr>
          <w:rFonts w:ascii="Times New Roman" w:hAnsi="Times New Roman" w:cs="Times New Roman"/>
          <w:color w:val="000000" w:themeColor="text1"/>
          <w:sz w:val="24"/>
          <w:szCs w:val="24"/>
          <w:highlight w:val="yellow"/>
          <w:lang w:val="en-GB"/>
        </w:rPr>
        <w:t>.</w:t>
      </w:r>
      <w:r w:rsidR="00F47D84">
        <w:rPr>
          <w:rFonts w:ascii="Times New Roman" w:hAnsi="Times New Roman" w:cs="Times New Roman"/>
          <w:color w:val="000000" w:themeColor="text1"/>
          <w:sz w:val="24"/>
          <w:szCs w:val="24"/>
          <w:lang w:val="en-GB"/>
        </w:rPr>
        <w:t xml:space="preserve"> </w:t>
      </w:r>
      <w:r w:rsidRPr="002F72C4">
        <w:rPr>
          <w:rFonts w:ascii="Times New Roman" w:hAnsi="Times New Roman" w:cs="Times New Roman"/>
          <w:color w:val="000000" w:themeColor="text1"/>
          <w:sz w:val="24"/>
          <w:szCs w:val="24"/>
          <w:lang w:val="en-GB"/>
        </w:rPr>
        <w:t xml:space="preserve">Future studies should correlate scores before and after transplantation to </w:t>
      </w:r>
      <w:r w:rsidR="00AF30FB">
        <w:rPr>
          <w:rFonts w:ascii="Times New Roman" w:hAnsi="Times New Roman" w:cs="Times New Roman"/>
          <w:color w:val="000000" w:themeColor="text1"/>
          <w:sz w:val="24"/>
          <w:szCs w:val="24"/>
          <w:lang w:val="en-GB"/>
        </w:rPr>
        <w:t>ascertain</w:t>
      </w:r>
      <w:r w:rsidRPr="002F72C4">
        <w:rPr>
          <w:rFonts w:ascii="Times New Roman" w:hAnsi="Times New Roman" w:cs="Times New Roman"/>
          <w:color w:val="000000" w:themeColor="text1"/>
          <w:sz w:val="24"/>
          <w:szCs w:val="24"/>
          <w:lang w:val="en-GB"/>
        </w:rPr>
        <w:t xml:space="preserve"> the impact of</w:t>
      </w:r>
      <w:r w:rsidR="000E1C6A" w:rsidRPr="002F72C4">
        <w:rPr>
          <w:rFonts w:ascii="Times New Roman" w:hAnsi="Times New Roman" w:cs="Times New Roman"/>
          <w:color w:val="000000" w:themeColor="text1"/>
          <w:sz w:val="24"/>
          <w:szCs w:val="24"/>
          <w:lang w:val="en-GB"/>
        </w:rPr>
        <w:t xml:space="preserve"> transplantation on </w:t>
      </w:r>
      <w:r w:rsidR="004D405C">
        <w:rPr>
          <w:rFonts w:ascii="Times New Roman" w:hAnsi="Times New Roman" w:cs="Times New Roman"/>
          <w:color w:val="000000" w:themeColor="text1"/>
          <w:sz w:val="24"/>
          <w:szCs w:val="24"/>
          <w:lang w:val="en-GB"/>
        </w:rPr>
        <w:t>quality of life</w:t>
      </w:r>
      <w:bookmarkStart w:id="2" w:name="_Toc86908008"/>
      <w:r w:rsidR="004D405C">
        <w:rPr>
          <w:rFonts w:ascii="Times New Roman" w:hAnsi="Times New Roman" w:cs="Times New Roman"/>
          <w:color w:val="000000" w:themeColor="text1"/>
          <w:sz w:val="24"/>
          <w:szCs w:val="24"/>
          <w:lang w:val="en-GB"/>
        </w:rPr>
        <w:t>.</w:t>
      </w:r>
    </w:p>
    <w:p w14:paraId="1C0D4662" w14:textId="628EDC86" w:rsidR="005C2337" w:rsidRPr="002F72C4" w:rsidRDefault="005C2337" w:rsidP="00442D9B">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p>
    <w:p w14:paraId="1DAEFC04" w14:textId="7D25B264" w:rsidR="005C2337" w:rsidRPr="002F72C4" w:rsidRDefault="005C2337" w:rsidP="00442D9B">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r w:rsidRPr="002F72C4">
        <w:rPr>
          <w:rFonts w:ascii="Times New Roman" w:hAnsi="Times New Roman" w:cs="Times New Roman"/>
          <w:b/>
          <w:color w:val="000000" w:themeColor="text1"/>
          <w:sz w:val="24"/>
          <w:szCs w:val="24"/>
          <w:lang w:val="en-GB"/>
        </w:rPr>
        <w:t>Key words:</w:t>
      </w:r>
      <w:r w:rsidRPr="002F72C4">
        <w:rPr>
          <w:rFonts w:ascii="Times New Roman" w:hAnsi="Times New Roman" w:cs="Times New Roman"/>
          <w:color w:val="000000" w:themeColor="text1"/>
          <w:sz w:val="24"/>
          <w:szCs w:val="24"/>
          <w:lang w:val="en-GB"/>
        </w:rPr>
        <w:t xml:space="preserve"> </w:t>
      </w:r>
      <w:r w:rsidR="00566104" w:rsidRPr="002F72C4">
        <w:rPr>
          <w:rFonts w:ascii="Times New Roman" w:hAnsi="Times New Roman" w:cs="Times New Roman"/>
          <w:color w:val="000000" w:themeColor="text1"/>
          <w:sz w:val="24"/>
          <w:szCs w:val="24"/>
          <w:lang w:val="en-GB"/>
        </w:rPr>
        <w:t xml:space="preserve">Health Related Quality of Life, Kidney transplant, </w:t>
      </w:r>
      <w:r w:rsidR="00CB492D">
        <w:rPr>
          <w:rFonts w:ascii="Times New Roman" w:hAnsi="Times New Roman" w:cs="Times New Roman"/>
          <w:color w:val="000000" w:themeColor="text1"/>
          <w:sz w:val="24"/>
          <w:szCs w:val="24"/>
          <w:lang w:val="en-GB"/>
        </w:rPr>
        <w:t>Renal</w:t>
      </w:r>
      <w:r w:rsidR="00CB492D" w:rsidRPr="002F72C4">
        <w:rPr>
          <w:rFonts w:ascii="Times New Roman" w:hAnsi="Times New Roman" w:cs="Times New Roman"/>
          <w:color w:val="000000" w:themeColor="text1"/>
          <w:sz w:val="24"/>
          <w:szCs w:val="24"/>
          <w:lang w:val="en-GB"/>
        </w:rPr>
        <w:t xml:space="preserve"> </w:t>
      </w:r>
      <w:r w:rsidR="00566104" w:rsidRPr="002F72C4">
        <w:rPr>
          <w:rFonts w:ascii="Times New Roman" w:hAnsi="Times New Roman" w:cs="Times New Roman"/>
          <w:color w:val="000000" w:themeColor="text1"/>
          <w:sz w:val="24"/>
          <w:szCs w:val="24"/>
          <w:lang w:val="en-GB"/>
        </w:rPr>
        <w:t xml:space="preserve">transplant recipients, </w:t>
      </w:r>
      <w:r w:rsidR="004D405C">
        <w:rPr>
          <w:rFonts w:ascii="Times New Roman" w:hAnsi="Times New Roman" w:cs="Times New Roman"/>
          <w:color w:val="000000" w:themeColor="text1"/>
          <w:sz w:val="24"/>
          <w:szCs w:val="24"/>
          <w:lang w:val="en-GB"/>
        </w:rPr>
        <w:t xml:space="preserve">Health related quality of life scores. </w:t>
      </w:r>
    </w:p>
    <w:p w14:paraId="68EB1801" w14:textId="77777777" w:rsidR="00832B5B" w:rsidRPr="002F72C4" w:rsidRDefault="00832B5B" w:rsidP="00832B5B">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p>
    <w:p w14:paraId="1DA6122D" w14:textId="197F1A37" w:rsidR="000A1DFE" w:rsidRPr="002F72C4" w:rsidRDefault="003165E5" w:rsidP="00A25E7C">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F72C4">
        <w:rPr>
          <w:rStyle w:val="Emphasis"/>
          <w:b/>
          <w:i w:val="0"/>
          <w:iCs w:val="0"/>
          <w:color w:val="000000" w:themeColor="text1"/>
          <w:sz w:val="24"/>
          <w:szCs w:val="24"/>
        </w:rPr>
        <w:t>1.</w:t>
      </w:r>
      <w:bookmarkEnd w:id="2"/>
      <w:r w:rsidR="00435DFB" w:rsidRPr="002F72C4">
        <w:rPr>
          <w:rStyle w:val="Emphasis"/>
          <w:b/>
          <w:i w:val="0"/>
          <w:iCs w:val="0"/>
          <w:color w:val="000000" w:themeColor="text1"/>
          <w:sz w:val="24"/>
          <w:szCs w:val="24"/>
        </w:rPr>
        <w:t>Introduction</w:t>
      </w:r>
    </w:p>
    <w:p w14:paraId="003F4EBB" w14:textId="673C5304" w:rsidR="004A7392" w:rsidRPr="002F72C4" w:rsidRDefault="004F1512" w:rsidP="000A1DFE">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F72C4">
        <w:rPr>
          <w:rFonts w:ascii="Times New Roman" w:hAnsi="Times New Roman" w:cs="Times New Roman"/>
          <w:color w:val="000000" w:themeColor="text1"/>
          <w:sz w:val="24"/>
          <w:szCs w:val="24"/>
        </w:rPr>
        <w:t>Health related quality of life</w:t>
      </w:r>
      <w:r>
        <w:rPr>
          <w:rFonts w:ascii="Times New Roman" w:hAnsi="Times New Roman" w:cs="Times New Roman"/>
          <w:color w:val="000000" w:themeColor="text1"/>
          <w:sz w:val="24"/>
          <w:szCs w:val="24"/>
        </w:rPr>
        <w:t xml:space="preserve"> (HRQoL)</w:t>
      </w:r>
      <w:r w:rsidRPr="002F72C4">
        <w:rPr>
          <w:rFonts w:ascii="Times New Roman" w:hAnsi="Times New Roman" w:cs="Times New Roman"/>
          <w:color w:val="000000" w:themeColor="text1"/>
          <w:sz w:val="24"/>
          <w:szCs w:val="24"/>
        </w:rPr>
        <w:t xml:space="preserve"> assesses various aspects of overall wellbeing, including physical, psychological and social functioning and the impact of disease and its management on  aspects of wellbeing, from a patient’s perspective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{"citationItems":[{"id":"ITEM-1","itemData":{"ISSN":"0163-7525","author":[{"dropping-particle":"","family":"Kaplan","given":"Robert M","non-dropping-particle":"","parse-names":false,"suffix":""},{"dropping-particle":"","family":"Hays","given":"Ron D","non-dropping-particle":"","parse-names":false,"suffix":""}],"container-title":"Annual review of public health","id":"ITEM-1","issue":"1","issued":{"date-parts":[["2022"]]},"page":"355-373","publisher":"Annual Reviews","title":"Health-related quality of life measurement in public health","type":"article-journal","volume":"43"},"uris":["http://www.mendeley.com/documents/?uuid=18672505-eca9-49be-bc60-cc11d962bf27"]}],"mendeley":{"formattedCitation":"(Kaplan &amp; Hays, 2022)","plainTextFormattedCitation":"(Kaplan &amp; Hays, 2022)","previouslyFormattedCitation":"(Kaplan &amp; Hays, 2022)"},"properties":{"noteIndex":0},"schema":"https://github.com/citation-style-language/schema/raw/master/csl-citation.json"}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4F1512">
        <w:rPr>
          <w:rFonts w:ascii="Times New Roman" w:hAnsi="Times New Roman" w:cs="Times New Roman"/>
          <w:noProof/>
          <w:color w:val="000000" w:themeColor="text1"/>
          <w:sz w:val="24"/>
          <w:szCs w:val="24"/>
        </w:rPr>
        <w:t>(Kaplan &amp; Hays, 2022)</w:t>
      </w:r>
      <w:r>
        <w:rPr>
          <w:rFonts w:ascii="Times New Roman" w:hAnsi="Times New Roman" w:cs="Times New Roman"/>
          <w:color w:val="000000" w:themeColor="text1"/>
          <w:sz w:val="24"/>
          <w:szCs w:val="24"/>
        </w:rPr>
        <w:fldChar w:fldCharType="end"/>
      </w:r>
      <w:r w:rsidRPr="002F72C4">
        <w:rPr>
          <w:rFonts w:ascii="Times New Roman" w:hAnsi="Times New Roman" w:cs="Times New Roman"/>
          <w:bCs/>
          <w:color w:val="000000" w:themeColor="text1"/>
          <w:sz w:val="24"/>
          <w:szCs w:val="24"/>
        </w:rPr>
        <w:t xml:space="preserve">. </w:t>
      </w:r>
      <w:r w:rsidR="00972C60" w:rsidRPr="002F72C4">
        <w:rPr>
          <w:rFonts w:ascii="Times New Roman" w:hAnsi="Times New Roman" w:cs="Times New Roman"/>
          <w:bCs/>
          <w:color w:val="000000" w:themeColor="text1"/>
          <w:sz w:val="24"/>
          <w:szCs w:val="24"/>
        </w:rPr>
        <w:t>When</w:t>
      </w:r>
      <w:r w:rsidR="00CB5665" w:rsidRPr="002F72C4">
        <w:rPr>
          <w:rFonts w:ascii="Times New Roman" w:hAnsi="Times New Roman" w:cs="Times New Roman"/>
          <w:bCs/>
          <w:color w:val="000000" w:themeColor="text1"/>
          <w:sz w:val="24"/>
          <w:szCs w:val="24"/>
        </w:rPr>
        <w:t xml:space="preserve"> </w:t>
      </w:r>
      <w:r w:rsidR="004A7392" w:rsidRPr="002F72C4">
        <w:rPr>
          <w:rFonts w:ascii="Times New Roman" w:hAnsi="Times New Roman" w:cs="Times New Roman"/>
          <w:bCs/>
          <w:color w:val="000000" w:themeColor="text1"/>
          <w:sz w:val="24"/>
          <w:szCs w:val="24"/>
        </w:rPr>
        <w:t xml:space="preserve">assessed using </w:t>
      </w:r>
      <w:r w:rsidR="00CB5665" w:rsidRPr="002F72C4">
        <w:rPr>
          <w:rFonts w:ascii="Times New Roman" w:hAnsi="Times New Roman" w:cs="Times New Roman"/>
          <w:bCs/>
          <w:color w:val="000000" w:themeColor="text1"/>
          <w:sz w:val="24"/>
          <w:szCs w:val="24"/>
        </w:rPr>
        <w:t xml:space="preserve">valid and reliable tools, HRQoL becomes a </w:t>
      </w:r>
      <w:r w:rsidR="004A7392" w:rsidRPr="002F72C4">
        <w:rPr>
          <w:rFonts w:ascii="Times New Roman" w:hAnsi="Times New Roman" w:cs="Times New Roman"/>
          <w:bCs/>
          <w:color w:val="000000" w:themeColor="text1"/>
          <w:sz w:val="24"/>
          <w:szCs w:val="24"/>
        </w:rPr>
        <w:t>good indic</w:t>
      </w:r>
      <w:r w:rsidR="00CB5665" w:rsidRPr="002F72C4">
        <w:rPr>
          <w:rFonts w:ascii="Times New Roman" w:hAnsi="Times New Roman" w:cs="Times New Roman"/>
          <w:bCs/>
          <w:color w:val="000000" w:themeColor="text1"/>
          <w:sz w:val="24"/>
          <w:szCs w:val="24"/>
        </w:rPr>
        <w:t>ator</w:t>
      </w:r>
      <w:r w:rsidR="006662A2" w:rsidRPr="002F72C4">
        <w:rPr>
          <w:rFonts w:ascii="Times New Roman" w:hAnsi="Times New Roman" w:cs="Times New Roman"/>
          <w:bCs/>
          <w:color w:val="000000" w:themeColor="text1"/>
          <w:sz w:val="24"/>
          <w:szCs w:val="24"/>
        </w:rPr>
        <w:t xml:space="preserve"> for monitoring </w:t>
      </w:r>
      <w:r w:rsidR="00AB5F31" w:rsidRPr="002F72C4">
        <w:rPr>
          <w:rFonts w:ascii="Times New Roman" w:hAnsi="Times New Roman" w:cs="Times New Roman"/>
          <w:bCs/>
          <w:color w:val="000000" w:themeColor="text1"/>
          <w:sz w:val="24"/>
          <w:szCs w:val="24"/>
        </w:rPr>
        <w:t>interventions</w:t>
      </w:r>
      <w:r>
        <w:rPr>
          <w:rFonts w:ascii="Times New Roman" w:hAnsi="Times New Roman" w:cs="Times New Roman"/>
          <w:bCs/>
          <w:color w:val="000000" w:themeColor="text1"/>
          <w:sz w:val="24"/>
          <w:szCs w:val="24"/>
        </w:rPr>
        <w:t xml:space="preserve">. Consequently, assessing HRQoL among patients </w:t>
      </w:r>
      <w:r w:rsidR="00CB492D">
        <w:rPr>
          <w:rFonts w:ascii="Times New Roman" w:hAnsi="Times New Roman" w:cs="Times New Roman"/>
          <w:bCs/>
          <w:color w:val="000000" w:themeColor="text1"/>
          <w:sz w:val="24"/>
          <w:szCs w:val="24"/>
        </w:rPr>
        <w:t xml:space="preserve"> helps</w:t>
      </w:r>
      <w:r w:rsidR="00CB492D" w:rsidRPr="002F72C4">
        <w:rPr>
          <w:rFonts w:ascii="Times New Roman" w:hAnsi="Times New Roman" w:cs="Times New Roman"/>
          <w:bCs/>
          <w:color w:val="000000" w:themeColor="text1"/>
          <w:sz w:val="24"/>
          <w:szCs w:val="24"/>
        </w:rPr>
        <w:t xml:space="preserve"> </w:t>
      </w:r>
      <w:r w:rsidR="00972C60" w:rsidRPr="002F72C4">
        <w:rPr>
          <w:rFonts w:ascii="Times New Roman" w:hAnsi="Times New Roman" w:cs="Times New Roman"/>
          <w:bCs/>
          <w:color w:val="000000" w:themeColor="text1"/>
          <w:sz w:val="24"/>
          <w:szCs w:val="24"/>
        </w:rPr>
        <w:t>inform</w:t>
      </w:r>
      <w:r w:rsidR="004A7392" w:rsidRPr="002F72C4">
        <w:rPr>
          <w:rFonts w:ascii="Times New Roman" w:hAnsi="Times New Roman" w:cs="Times New Roman"/>
          <w:bCs/>
          <w:color w:val="000000" w:themeColor="text1"/>
          <w:sz w:val="24"/>
          <w:szCs w:val="24"/>
        </w:rPr>
        <w:t xml:space="preserve"> </w:t>
      </w:r>
      <w:r w:rsidR="006662A2" w:rsidRPr="002F72C4">
        <w:rPr>
          <w:rFonts w:ascii="Times New Roman" w:hAnsi="Times New Roman" w:cs="Times New Roman"/>
          <w:bCs/>
          <w:color w:val="000000" w:themeColor="text1"/>
          <w:sz w:val="24"/>
          <w:szCs w:val="24"/>
        </w:rPr>
        <w:t xml:space="preserve">treatment decisions and </w:t>
      </w:r>
      <w:r w:rsidR="004A7392" w:rsidRPr="002F72C4">
        <w:rPr>
          <w:rFonts w:ascii="Times New Roman" w:hAnsi="Times New Roman" w:cs="Times New Roman"/>
          <w:bCs/>
          <w:color w:val="000000" w:themeColor="text1"/>
          <w:sz w:val="24"/>
          <w:szCs w:val="24"/>
        </w:rPr>
        <w:t>health</w:t>
      </w:r>
      <w:r w:rsidR="006662A2" w:rsidRPr="002F72C4">
        <w:rPr>
          <w:rFonts w:ascii="Times New Roman" w:hAnsi="Times New Roman" w:cs="Times New Roman"/>
          <w:bCs/>
          <w:color w:val="000000" w:themeColor="text1"/>
          <w:sz w:val="24"/>
          <w:szCs w:val="24"/>
        </w:rPr>
        <w:t>care policies</w:t>
      </w:r>
      <w:r>
        <w:rPr>
          <w:rFonts w:ascii="Times New Roman" w:hAnsi="Times New Roman" w:cs="Times New Roman"/>
          <w:bCs/>
          <w:color w:val="000000" w:themeColor="text1"/>
          <w:sz w:val="24"/>
          <w:szCs w:val="24"/>
        </w:rPr>
        <w:t xml:space="preserve"> </w:t>
      </w:r>
      <w:r w:rsidR="008D11FA" w:rsidRPr="002F72C4">
        <w:rPr>
          <w:rFonts w:ascii="Times New Roman" w:hAnsi="Times New Roman" w:cs="Times New Roman"/>
          <w:bCs/>
          <w:color w:val="000000" w:themeColor="text1"/>
          <w:sz w:val="24"/>
          <w:szCs w:val="24"/>
        </w:rPr>
        <w:fldChar w:fldCharType="begin" w:fldLock="1"/>
      </w:r>
      <w:r w:rsidR="004573B9" w:rsidRPr="002F72C4">
        <w:rPr>
          <w:rFonts w:ascii="Times New Roman" w:hAnsi="Times New Roman" w:cs="Times New Roman"/>
          <w:bCs/>
          <w:color w:val="000000" w:themeColor="text1"/>
          <w:sz w:val="24"/>
          <w:szCs w:val="24"/>
        </w:rPr>
        <w:instrText>ADDIN CSL_CITATION {"citationItems":[{"id":"ITEM-1","itemData":{"ISSN":"1660-4601","author":[{"dropping-particle":"","family":"Hernández-Segura","given":"Natalia","non-dropping-particle":"","parse-names":false,"suffix":""},{"dropping-particle":"","family":"Marcos-Delgado","given":"Alba","non-dropping-particle":"","parse-names":false,"suffix":""},{"dropping-particle":"","family":"Pinto-Carral","given":"Arrate","non-dropping-particle":"","parse-names":false,"suffix":""},{"dropping-particle":"","family":"Fernández-Villa","given":"Tania","non-dropping-particle":"","parse-names":false,"suffix":""},{"dropping-particle":"","family":"Molina","given":"Antonio J","non-dropping-particle":"","parse-names":false,"suffix":""}],"container-title":"International journal of environmental research and public health","id":"ITEM-1","issue":"24","issued":{"date-parts":[["2022"]]},"page":"16493","publisher":"MDPI","title":"Health-related quality of life (HRQOL) instruments and mobility: a systematic review","type":"article-journal","volume":"19"},"uris":["http://www.mendeley.com/documents/?uuid=ef5ba912-c057-4cc9-b982-027e923a1cea"]}],"mendeley":{"formattedCitation":"(Hernández-Segura et al., 2022)","plainTextFormattedCitation":"(Hernández-Segura et al., 2022)","previouslyFormattedCitation":"(Hernández-Segura et al., 2022)"},"properties":{"noteIndex":0},"schema":"https://github.com/citation-style-language/schema/raw/master/csl-citation.json"}</w:instrText>
      </w:r>
      <w:r w:rsidR="008D11FA" w:rsidRPr="002F72C4">
        <w:rPr>
          <w:rFonts w:ascii="Times New Roman" w:hAnsi="Times New Roman" w:cs="Times New Roman"/>
          <w:bCs/>
          <w:color w:val="000000" w:themeColor="text1"/>
          <w:sz w:val="24"/>
          <w:szCs w:val="24"/>
        </w:rPr>
        <w:fldChar w:fldCharType="separate"/>
      </w:r>
      <w:r w:rsidR="008D11FA" w:rsidRPr="002F72C4">
        <w:rPr>
          <w:rFonts w:ascii="Times New Roman" w:hAnsi="Times New Roman" w:cs="Times New Roman"/>
          <w:bCs/>
          <w:noProof/>
          <w:color w:val="000000" w:themeColor="text1"/>
          <w:sz w:val="24"/>
          <w:szCs w:val="24"/>
        </w:rPr>
        <w:t>(Hernández-Segura et al., 2022)</w:t>
      </w:r>
      <w:r w:rsidR="008D11FA" w:rsidRPr="002F72C4">
        <w:rPr>
          <w:rFonts w:ascii="Times New Roman" w:hAnsi="Times New Roman" w:cs="Times New Roman"/>
          <w:bCs/>
          <w:color w:val="000000" w:themeColor="text1"/>
          <w:sz w:val="24"/>
          <w:szCs w:val="24"/>
        </w:rPr>
        <w:fldChar w:fldCharType="end"/>
      </w:r>
      <w:r w:rsidR="004A7392" w:rsidRPr="002F72C4">
        <w:rPr>
          <w:rFonts w:ascii="Times New Roman" w:hAnsi="Times New Roman" w:cs="Times New Roman"/>
          <w:bCs/>
          <w:color w:val="000000" w:themeColor="text1"/>
          <w:sz w:val="24"/>
          <w:szCs w:val="24"/>
        </w:rPr>
        <w:t xml:space="preserve">.  </w:t>
      </w:r>
    </w:p>
    <w:p w14:paraId="2C1DA3E7" w14:textId="77777777" w:rsidR="004F1512" w:rsidRDefault="004F1512" w:rsidP="00AC1EC8">
      <w:pPr>
        <w:spacing w:after="0" w:line="360" w:lineRule="auto"/>
        <w:jc w:val="both"/>
        <w:rPr>
          <w:rFonts w:ascii="Times New Roman" w:hAnsi="Times New Roman" w:cs="Times New Roman"/>
          <w:bCs/>
          <w:color w:val="000000" w:themeColor="text1"/>
          <w:sz w:val="24"/>
          <w:szCs w:val="24"/>
        </w:rPr>
      </w:pPr>
    </w:p>
    <w:p w14:paraId="4C1704A1" w14:textId="3603E428" w:rsidR="004F1512" w:rsidRDefault="004F1512" w:rsidP="00AC1EC8">
      <w:pPr>
        <w:spacing w:after="0" w:line="360" w:lineRule="auto"/>
        <w:jc w:val="both"/>
        <w:rPr>
          <w:rFonts w:ascii="Times New Roman" w:hAnsi="Times New Roman" w:cs="Times New Roman"/>
          <w:bCs/>
          <w:color w:val="000000" w:themeColor="text1"/>
          <w:sz w:val="24"/>
          <w:szCs w:val="24"/>
        </w:rPr>
      </w:pPr>
      <w:r w:rsidRPr="002F72C4">
        <w:rPr>
          <w:rFonts w:ascii="Times New Roman" w:hAnsi="Times New Roman" w:cs="Times New Roman"/>
          <w:color w:val="000000" w:themeColor="text1"/>
          <w:sz w:val="24"/>
          <w:szCs w:val="24"/>
        </w:rPr>
        <w:t xml:space="preserve">HRQoL as a measure of health outcome, is gaining recognition as a valid tool in monitoring treatment outcomes, following  </w:t>
      </w:r>
      <w:r>
        <w:rPr>
          <w:rFonts w:ascii="Times New Roman" w:hAnsi="Times New Roman" w:cs="Times New Roman"/>
          <w:color w:val="000000" w:themeColor="text1"/>
          <w:sz w:val="24"/>
          <w:szCs w:val="24"/>
        </w:rPr>
        <w:t xml:space="preserve">renal </w:t>
      </w:r>
      <w:r w:rsidRPr="002F72C4">
        <w:rPr>
          <w:rFonts w:ascii="Times New Roman" w:hAnsi="Times New Roman" w:cs="Times New Roman"/>
          <w:color w:val="000000" w:themeColor="text1"/>
          <w:sz w:val="24"/>
          <w:szCs w:val="24"/>
        </w:rPr>
        <w:t>transplantation</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Papalois","given":"Zoe-Athena","non-dropping-particle":"","parse-names":false,"suffix":""},{"dropping-particle":"","family":"Papalois","given":"Vassilios","non-dropping-particle":"","parse-names":false,"suffix":""}],"container-title":"Patient Reported Outcomes and Quality of Life in Surgery","id":"ITEM-1","issued":{"date-parts":[["2023"]]},"page":"215-240","publisher":"Springer","title":"Health-Related Quality of Life and Patient Reported Outcome Measures Following Transplantation Surgery","type":"chapter"},"uris":["http://www.mendeley.com/documents/?uuid=67f1b4fd-0fa1-4403-8bcf-26cca8fa5a1d"]}],"mendeley":{"formattedCitation":"(Papalois &amp; Papalois, 2023)","plainTextFormattedCitation":"(Papalois &amp; Papalois, 2023)","previouslyFormattedCitation":"(Papalois &amp; Papalois, 2023)"},"properties":{"noteIndex":0},"schema":"https://github.com/citation-style-language/schema/raw/master/csl-citation.json"}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4D405C">
        <w:rPr>
          <w:rFonts w:ascii="Times New Roman" w:hAnsi="Times New Roman" w:cs="Times New Roman"/>
          <w:noProof/>
          <w:color w:val="000000" w:themeColor="text1"/>
          <w:sz w:val="24"/>
          <w:szCs w:val="24"/>
        </w:rPr>
        <w:t>(Papalois &amp; Papalois, 2023)</w:t>
      </w:r>
      <w:r>
        <w:rPr>
          <w:rFonts w:ascii="Times New Roman" w:hAnsi="Times New Roman" w:cs="Times New Roman"/>
          <w:color w:val="000000" w:themeColor="text1"/>
          <w:sz w:val="24"/>
          <w:szCs w:val="24"/>
        </w:rPr>
        <w:fldChar w:fldCharType="end"/>
      </w:r>
      <w:r w:rsidRPr="002F72C4">
        <w:rPr>
          <w:rFonts w:ascii="Times New Roman" w:hAnsi="Times New Roman" w:cs="Times New Roman"/>
          <w:color w:val="000000" w:themeColor="text1"/>
          <w:sz w:val="24"/>
          <w:szCs w:val="24"/>
        </w:rPr>
        <w:t>.</w:t>
      </w:r>
      <w:r w:rsidRPr="002F72C4">
        <w:rPr>
          <w:rFonts w:ascii="Times New Roman" w:hAnsi="Times New Roman" w:cs="Times New Roman"/>
          <w:bCs/>
          <w:color w:val="000000" w:themeColor="text1"/>
          <w:sz w:val="24"/>
          <w:szCs w:val="24"/>
        </w:rPr>
        <w:t xml:space="preserve"> </w:t>
      </w:r>
      <w:r w:rsidR="00F61294" w:rsidRPr="002F72C4">
        <w:rPr>
          <w:rFonts w:ascii="Times New Roman" w:hAnsi="Times New Roman" w:cs="Times New Roman"/>
          <w:bCs/>
          <w:color w:val="000000" w:themeColor="text1"/>
          <w:sz w:val="24"/>
          <w:szCs w:val="24"/>
        </w:rPr>
        <w:t>The advantages of renal transplantation(RT)</w:t>
      </w:r>
      <w:r w:rsidR="004A7392" w:rsidRPr="002F72C4">
        <w:rPr>
          <w:rFonts w:ascii="Times New Roman" w:hAnsi="Times New Roman" w:cs="Times New Roman"/>
          <w:bCs/>
          <w:color w:val="000000" w:themeColor="text1"/>
          <w:sz w:val="24"/>
          <w:szCs w:val="24"/>
        </w:rPr>
        <w:t xml:space="preserve"> on HRQoL are we</w:t>
      </w:r>
      <w:r w:rsidR="0008404C" w:rsidRPr="002F72C4">
        <w:rPr>
          <w:rFonts w:ascii="Times New Roman" w:hAnsi="Times New Roman" w:cs="Times New Roman"/>
          <w:bCs/>
          <w:color w:val="000000" w:themeColor="text1"/>
          <w:sz w:val="24"/>
          <w:szCs w:val="24"/>
        </w:rPr>
        <w:t xml:space="preserve">ll </w:t>
      </w:r>
      <w:r w:rsidR="00700CA4" w:rsidRPr="002F72C4">
        <w:rPr>
          <w:rFonts w:ascii="Times New Roman" w:hAnsi="Times New Roman" w:cs="Times New Roman"/>
          <w:bCs/>
          <w:color w:val="000000" w:themeColor="text1"/>
          <w:sz w:val="24"/>
          <w:szCs w:val="24"/>
        </w:rPr>
        <w:t>established</w:t>
      </w:r>
      <w:r w:rsidR="0008404C" w:rsidRPr="002F72C4">
        <w:rPr>
          <w:rFonts w:ascii="Times New Roman" w:hAnsi="Times New Roman" w:cs="Times New Roman"/>
          <w:bCs/>
          <w:color w:val="000000" w:themeColor="text1"/>
          <w:sz w:val="24"/>
          <w:szCs w:val="24"/>
        </w:rPr>
        <w:t xml:space="preserve"> </w:t>
      </w:r>
      <w:r w:rsidR="00E14AA1" w:rsidRPr="002F72C4">
        <w:rPr>
          <w:rFonts w:ascii="Times New Roman" w:hAnsi="Times New Roman" w:cs="Times New Roman"/>
          <w:bCs/>
          <w:color w:val="000000" w:themeColor="text1"/>
          <w:sz w:val="24"/>
          <w:szCs w:val="24"/>
        </w:rPr>
        <w:t>globally</w:t>
      </w:r>
      <w:r>
        <w:rPr>
          <w:rFonts w:ascii="Times New Roman" w:hAnsi="Times New Roman" w:cs="Times New Roman"/>
          <w:bCs/>
          <w:color w:val="000000" w:themeColor="text1"/>
          <w:sz w:val="24"/>
          <w:szCs w:val="24"/>
        </w:rPr>
        <w:t xml:space="preserve"> </w:t>
      </w:r>
      <w:r w:rsidR="00E84BEA" w:rsidRPr="002F72C4">
        <w:rPr>
          <w:rFonts w:ascii="Times New Roman" w:hAnsi="Times New Roman" w:cs="Times New Roman"/>
          <w:bCs/>
          <w:color w:val="000000" w:themeColor="text1"/>
          <w:sz w:val="24"/>
          <w:szCs w:val="24"/>
        </w:rPr>
        <w:fldChar w:fldCharType="begin" w:fldLock="1"/>
      </w:r>
      <w:r>
        <w:rPr>
          <w:rFonts w:ascii="Times New Roman" w:hAnsi="Times New Roman" w:cs="Times New Roman"/>
          <w:bCs/>
          <w:color w:val="000000" w:themeColor="text1"/>
          <w:sz w:val="24"/>
          <w:szCs w:val="24"/>
        </w:rPr>
        <w:instrText>ADDIN CSL_CITATION {"citationItems":[{"id":"ITEM-1","itemData":{"DOI":"10.5812/NUMONTHLY.79497","ISSN":"2251-7014","abstract":"Background: Renal transplantation is one of the best modalities to lengthen the life expectancy of patients with end-stage renal disease (ESRD). However, no sufficient documents exist regarding the effects of renal transplantation on the health-related quality of life (HRQOL) especially in Iranian population. Objectives: This study aimed to determine the possible influence of renal transplantation in different scales of HRQOL in southern Iran. Methods: This Quasi-experimental study was carried out with 120 patient candidate for renal transplantation (Apr 2012 - Jan 2014). Using the general SF-36 questionnaire, HRQOL of the patients 1 week before and 3 months after the transplantation was evaluated. All data were analyzed statistically using descriptive and analytical tests (α = 0.05). Results: Seventy-eight patients (65%) were male. The mean (SD) of the age was 38.92 (13.259) years. HRQOL and its eight scales were significantly different before and after the transplantation (P &lt; 0.001). There was a significant difference between general perception of health and primary school, as well as diploma (P = 0.008). Other demographical factors such as age, gender, marital status and type of donor had no impact on HRQOL, statistically. There was no correlation between HRQOL and the length of facing the disease, except in the subgroup of role limitation due to physical problems (P = 0.01). Conclusions: The study showed that renal transplantation has sufficient credibility in improvement of HRQOL in patients with ESRD. Moreover, continuous enhancement of education level and public knowledge might be as effective as development of medical serving systems in maintaining and achieving greater improvement in HRQOL.","author":[{"dropping-particle":"","family":"Mousavi-Roknabadi","given":"Razieh Sadat","non-dropping-particle":"","parse-names":false,"suffix":""},{"dropping-particle":"","family":"Ershadi","given":"Faezeh","non-dropping-particle":"","parse-names":false,"suffix":""},{"dropping-particle":"","family":"Hadi","given":"Negin","non-dropping-particle":"","parse-names":false,"suffix":""},{"dropping-particle":"","family":"Shahroodi","given":"Jamshid Roozbeh","non-dropping-particle":"","parse-names":false,"suffix":""},{"dropping-particle":"","family":"Shayan","given":"Zahra","non-dropping-particle":"","parse-names":false,"suffix":""},{"dropping-particle":"","family":"Keshavarz","given":"Soheila","non-dropping-particle":"","parse-names":false,"suffix":""},{"dropping-particle":"","family":"Sarbizhan","given":"Halimeh Raeisi","non-dropping-particle":"","parse-names":false,"suffix":""},{"dropping-particle":"","family":"Roozrokh","given":"Afsaneh","non-dropping-particle":"","parse-names":false,"suffix":""}],"container-title":"Nephro-Urology Monthly 2019 11:2","id":"ITEM-1","issue":"2","issued":{"date-parts":[["2019","5"]]},"publisher":"Kowsar","title":"Effect of Renal Transplantation on Health-Related Quality of Life in Patients with End-Stage Renal Disease; A Quasi-Experimental Study","type":"article-journal","volume":"11"},"uris":["http://www.mendeley.com/documents/?uuid=27ab3264-d486-4093-b0c4-6146de613c56"]},{"id":"ITEM-2","itemData":{"ISSN":"0931-0509","author":[{"dropping-particle":"","family":"Wang","given":"Yiman","non-dropping-particle":"","parse-names":false,"suffix":""},{"dropping-particle":"","family":"Hemmelder","given":"Marc H","non-dropping-particle":"","parse-names":false,"suffix":""},{"dropping-particle":"","family":"Bos","given":"Willem Jan W","non-dropping-particle":"","parse-names":false,"suffix":""},{"dropping-particle":"","family":"Snoep","given":"Jaapjan D","non-dropping-particle":"","parse-names":false,"suffix":""},{"dropping-particle":"","family":"Vries","given":"Aiko P J","non-dropping-particle":"de","parse-names":false,"suffix":""},{"dropping-particle":"","family":"Dekker","given":"Friedo W","non-dropping-particle":"","parse-names":false,"suffix":""},{"dropping-particle":"","family":"Meuleman","given":"Yvette","non-dropping-particle":"","parse-names":false,"suffix":""}],"container-title":"Nephrology dialysis transplantation","id":"ITEM-2","issue":"12","issued":{"date-parts":[["2021"]]},"page":"2327-2339","publisher":"Oxford University Press","title":"Mapping health-related quality of life after kidney transplantation by group comparisons: a systematic review","type":"article-journal","volume":"36"},"uris":["http://www.mendeley.com/documents/?uuid=5d5e26da-383a-410a-8f10-63ecfa999679"]}],"mendeley":{"formattedCitation":"(Mousavi-Roknabadi et al., 2019; Wang et al., 2021)","plainTextFormattedCitation":"(Mousavi-Roknabadi et al., 2019; Wang et al., 2021)","previouslyFormattedCitation":"(Mousavi-Roknabadi et al., 2019; Wang et al., 2021)"},"properties":{"noteIndex":0},"schema":"https://github.com/citation-style-language/schema/raw/master/csl-citation.json"}</w:instrText>
      </w:r>
      <w:r w:rsidR="00E84BEA" w:rsidRPr="002F72C4">
        <w:rPr>
          <w:rFonts w:ascii="Times New Roman" w:hAnsi="Times New Roman" w:cs="Times New Roman"/>
          <w:bCs/>
          <w:color w:val="000000" w:themeColor="text1"/>
          <w:sz w:val="24"/>
          <w:szCs w:val="24"/>
        </w:rPr>
        <w:fldChar w:fldCharType="separate"/>
      </w:r>
      <w:r w:rsidRPr="004F1512">
        <w:rPr>
          <w:rFonts w:ascii="Times New Roman" w:hAnsi="Times New Roman" w:cs="Times New Roman"/>
          <w:bCs/>
          <w:noProof/>
          <w:color w:val="000000" w:themeColor="text1"/>
          <w:sz w:val="24"/>
          <w:szCs w:val="24"/>
        </w:rPr>
        <w:t>(Mousavi-Roknabadi et al., 2019; Wang et al., 2021)</w:t>
      </w:r>
      <w:r w:rsidR="00E84BEA" w:rsidRPr="002F72C4">
        <w:rPr>
          <w:rFonts w:ascii="Times New Roman" w:hAnsi="Times New Roman" w:cs="Times New Roman"/>
          <w:bCs/>
          <w:color w:val="000000" w:themeColor="text1"/>
          <w:sz w:val="24"/>
          <w:szCs w:val="24"/>
        </w:rPr>
        <w:fldChar w:fldCharType="end"/>
      </w:r>
      <w:r w:rsidR="00D641A7" w:rsidRPr="002F72C4">
        <w:rPr>
          <w:rFonts w:ascii="Times New Roman" w:hAnsi="Times New Roman" w:cs="Times New Roman"/>
          <w:bCs/>
          <w:color w:val="000000" w:themeColor="text1"/>
          <w:sz w:val="24"/>
          <w:szCs w:val="24"/>
        </w:rPr>
        <w:t>.</w:t>
      </w:r>
      <w:r w:rsidR="00700CA4" w:rsidRPr="002F72C4">
        <w:rPr>
          <w:rFonts w:ascii="Times New Roman" w:hAnsi="Times New Roman" w:cs="Times New Roman"/>
          <w:bCs/>
          <w:color w:val="000000" w:themeColor="text1"/>
          <w:sz w:val="24"/>
          <w:szCs w:val="24"/>
        </w:rPr>
        <w:t xml:space="preserve"> </w:t>
      </w:r>
      <w:r w:rsidR="004A7392" w:rsidRPr="002F72C4">
        <w:rPr>
          <w:rFonts w:ascii="Times New Roman" w:hAnsi="Times New Roman" w:cs="Times New Roman"/>
          <w:bCs/>
          <w:color w:val="000000" w:themeColor="text1"/>
          <w:sz w:val="24"/>
          <w:szCs w:val="24"/>
        </w:rPr>
        <w:t>Compared to patients on peritoneal dialysis or h</w:t>
      </w:r>
      <w:r>
        <w:rPr>
          <w:rFonts w:ascii="Times New Roman" w:hAnsi="Times New Roman" w:cs="Times New Roman"/>
          <w:bCs/>
          <w:color w:val="000000" w:themeColor="text1"/>
          <w:sz w:val="24"/>
          <w:szCs w:val="24"/>
        </w:rPr>
        <w:t>emodialysis</w:t>
      </w:r>
      <w:r w:rsidR="004D1298" w:rsidRPr="002F72C4">
        <w:rPr>
          <w:rFonts w:ascii="Times New Roman" w:hAnsi="Times New Roman" w:cs="Times New Roman"/>
          <w:bCs/>
          <w:color w:val="000000" w:themeColor="text1"/>
          <w:sz w:val="24"/>
          <w:szCs w:val="24"/>
        </w:rPr>
        <w:t>, renal transplant recipients</w:t>
      </w:r>
      <w:r w:rsidR="00F61294" w:rsidRPr="002F72C4">
        <w:rPr>
          <w:rFonts w:ascii="Times New Roman" w:hAnsi="Times New Roman" w:cs="Times New Roman"/>
          <w:bCs/>
          <w:color w:val="000000" w:themeColor="text1"/>
          <w:sz w:val="24"/>
          <w:szCs w:val="24"/>
        </w:rPr>
        <w:t xml:space="preserve"> show</w:t>
      </w:r>
      <w:r w:rsidR="004A7392" w:rsidRPr="002F72C4">
        <w:rPr>
          <w:rFonts w:ascii="Times New Roman" w:hAnsi="Times New Roman" w:cs="Times New Roman"/>
          <w:bCs/>
          <w:color w:val="000000" w:themeColor="text1"/>
          <w:sz w:val="24"/>
          <w:szCs w:val="24"/>
        </w:rPr>
        <w:t xml:space="preserve"> improved </w:t>
      </w:r>
      <w:r w:rsidR="0008404C" w:rsidRPr="002F72C4">
        <w:rPr>
          <w:rFonts w:ascii="Times New Roman" w:hAnsi="Times New Roman" w:cs="Times New Roman"/>
          <w:bCs/>
          <w:color w:val="000000" w:themeColor="text1"/>
          <w:sz w:val="24"/>
          <w:szCs w:val="24"/>
        </w:rPr>
        <w:t>mental, physical, and social functioning</w:t>
      </w:r>
      <w:r>
        <w:rPr>
          <w:rFonts w:ascii="Times New Roman" w:hAnsi="Times New Roman" w:cs="Times New Roman"/>
          <w:bCs/>
          <w:color w:val="000000" w:themeColor="text1"/>
          <w:sz w:val="24"/>
          <w:szCs w:val="24"/>
        </w:rPr>
        <w:t xml:space="preserve"> </w:t>
      </w:r>
      <w:r w:rsidR="004573B9" w:rsidRPr="002F72C4">
        <w:rPr>
          <w:rFonts w:ascii="Times New Roman" w:hAnsi="Times New Roman" w:cs="Times New Roman"/>
          <w:bCs/>
          <w:color w:val="000000" w:themeColor="text1"/>
          <w:sz w:val="24"/>
          <w:szCs w:val="24"/>
        </w:rPr>
        <w:fldChar w:fldCharType="begin" w:fldLock="1"/>
      </w:r>
      <w:r w:rsidR="004573B9" w:rsidRPr="002F72C4">
        <w:rPr>
          <w:rFonts w:ascii="Times New Roman" w:hAnsi="Times New Roman" w:cs="Times New Roman"/>
          <w:bCs/>
          <w:color w:val="000000" w:themeColor="text1"/>
          <w:sz w:val="24"/>
          <w:szCs w:val="24"/>
        </w:rPr>
        <w:instrText>ADDIN CSL_CITATION {"citationItems":[{"id":"ITEM-1","itemData":{"ISSN":"2075-4426","author":[{"dropping-particle":"","family":"Zaragoza-Fernández","given":"Gloria M","non-dropping-particle":"","parse-names":false,"suffix":""},{"dropping-particle":"","family":"La Flor","given":"José C","non-dropping-particle":"De","parse-names":false,"suffix":""},{"dropping-particle":"","family":"Fernández Abreu","given":"Verónica","non-dropping-particle":"","parse-names":false,"suffix":""},{"dropping-particle":"","family":"Castellano","given":"Elisa Iglesias","non-dropping-particle":"","parse-names":false,"suffix":""},{"dropping-particle":"","family":"Rodríguez-Barbero Requena","given":"Laura","non-dropping-particle":"","parse-names":false,"suffix":""},{"dropping-particle":"","family":"Fernández Castillo","given":"Rafael","non-dropping-particle":"","parse-names":false,"suffix":""}],"container-title":"Journal of Personalized Medicine","id":"ITEM-1","issue":"5","issued":{"date-parts":[["2025"]]},"page":"179","publisher":"MDPI","title":"Comparison of Depression in Hemodialysis, Peritoneal Dialysis, and Kidney Transplant Patients: A Systematic Review with Meta-Analysis","type":"article-journal","volume":"15"},"uris":["http://www.mendeley.com/documents/?uuid=b9090b82-b342-4230-8843-c03b181e830b"]}],"mendeley":{"formattedCitation":"(Zaragoza-Fernández et al., 2025)","plainTextFormattedCitation":"(Zaragoza-Fernández et al., 2025)","previouslyFormattedCitation":"(Zaragoza-Fernández et al., 2025)"},"properties":{"noteIndex":0},"schema":"https://github.com/citation-style-language/schema/raw/master/csl-citation.json"}</w:instrText>
      </w:r>
      <w:r w:rsidR="004573B9" w:rsidRPr="002F72C4">
        <w:rPr>
          <w:rFonts w:ascii="Times New Roman" w:hAnsi="Times New Roman" w:cs="Times New Roman"/>
          <w:bCs/>
          <w:color w:val="000000" w:themeColor="text1"/>
          <w:sz w:val="24"/>
          <w:szCs w:val="24"/>
        </w:rPr>
        <w:fldChar w:fldCharType="separate"/>
      </w:r>
      <w:r w:rsidR="004573B9" w:rsidRPr="002F72C4">
        <w:rPr>
          <w:rFonts w:ascii="Times New Roman" w:hAnsi="Times New Roman" w:cs="Times New Roman"/>
          <w:bCs/>
          <w:noProof/>
          <w:color w:val="000000" w:themeColor="text1"/>
          <w:sz w:val="24"/>
          <w:szCs w:val="24"/>
        </w:rPr>
        <w:t>(Zaragoza-Fernández et al., 2025)</w:t>
      </w:r>
      <w:r w:rsidR="004573B9" w:rsidRPr="002F72C4">
        <w:rPr>
          <w:rFonts w:ascii="Times New Roman" w:hAnsi="Times New Roman" w:cs="Times New Roman"/>
          <w:bCs/>
          <w:color w:val="000000" w:themeColor="text1"/>
          <w:sz w:val="24"/>
          <w:szCs w:val="24"/>
        </w:rPr>
        <w:fldChar w:fldCharType="end"/>
      </w:r>
      <w:r w:rsidR="004A7392" w:rsidRPr="002F72C4">
        <w:rPr>
          <w:rFonts w:ascii="Times New Roman" w:hAnsi="Times New Roman" w:cs="Times New Roman"/>
          <w:bCs/>
          <w:color w:val="000000" w:themeColor="text1"/>
          <w:sz w:val="24"/>
          <w:szCs w:val="24"/>
        </w:rPr>
        <w:t>.</w:t>
      </w:r>
      <w:r w:rsidR="00FA423A" w:rsidRPr="002F72C4">
        <w:rPr>
          <w:rFonts w:ascii="Times New Roman" w:hAnsi="Times New Roman" w:cs="Times New Roman"/>
          <w:bCs/>
          <w:color w:val="000000" w:themeColor="text1"/>
          <w:sz w:val="24"/>
          <w:szCs w:val="24"/>
        </w:rPr>
        <w:t xml:space="preserve"> </w:t>
      </w:r>
    </w:p>
    <w:p w14:paraId="3991D39D" w14:textId="40210CCB" w:rsidR="0087435C" w:rsidRDefault="006A4DA3" w:rsidP="00AC1EC8">
      <w:pPr>
        <w:spacing w:after="0"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shd w:val="clear" w:color="auto" w:fill="FFFFFF"/>
        </w:rPr>
        <w:t>In the USA,</w:t>
      </w:r>
      <w:r w:rsidR="00FA423A" w:rsidRPr="002F72C4">
        <w:rPr>
          <w:rFonts w:ascii="Times New Roman" w:hAnsi="Times New Roman" w:cs="Times New Roman"/>
          <w:color w:val="000000" w:themeColor="text1"/>
          <w:sz w:val="24"/>
          <w:szCs w:val="24"/>
          <w:shd w:val="clear" w:color="auto" w:fill="FFFFFF"/>
        </w:rPr>
        <w:t xml:space="preserve"> </w:t>
      </w:r>
      <w:r w:rsidR="00DF60E5" w:rsidRPr="002F72C4">
        <w:rPr>
          <w:rFonts w:ascii="Times New Roman" w:hAnsi="Times New Roman" w:cs="Times New Roman"/>
          <w:color w:val="000000" w:themeColor="text1"/>
          <w:sz w:val="24"/>
          <w:szCs w:val="24"/>
          <w:shd w:val="clear" w:color="auto" w:fill="FFFFFF"/>
        </w:rPr>
        <w:t>improvement in HRQoL among patients after transplantation</w:t>
      </w:r>
      <w:r w:rsidR="00377A42" w:rsidRPr="002F72C4">
        <w:rPr>
          <w:rFonts w:ascii="Times New Roman" w:hAnsi="Times New Roman" w:cs="Times New Roman"/>
          <w:color w:val="000000" w:themeColor="text1"/>
          <w:sz w:val="24"/>
          <w:szCs w:val="24"/>
          <w:shd w:val="clear" w:color="auto" w:fill="FFFFFF"/>
        </w:rPr>
        <w:t xml:space="preserve"> has been reported</w:t>
      </w:r>
      <w:r w:rsidRPr="002F72C4">
        <w:rPr>
          <w:rFonts w:ascii="Times New Roman" w:hAnsi="Times New Roman" w:cs="Times New Roman"/>
          <w:color w:val="000000" w:themeColor="text1"/>
          <w:sz w:val="24"/>
          <w:szCs w:val="24"/>
          <w:shd w:val="clear" w:color="auto" w:fill="FFFFFF"/>
        </w:rPr>
        <w:t xml:space="preserve"> </w:t>
      </w:r>
      <w:r w:rsidR="004573B9" w:rsidRPr="002F72C4">
        <w:rPr>
          <w:rFonts w:ascii="Times New Roman" w:hAnsi="Times New Roman" w:cs="Times New Roman"/>
          <w:color w:val="000000" w:themeColor="text1"/>
          <w:sz w:val="24"/>
          <w:szCs w:val="24"/>
          <w:shd w:val="clear" w:color="auto" w:fill="FFFFFF"/>
        </w:rPr>
        <w:fldChar w:fldCharType="begin" w:fldLock="1"/>
      </w:r>
      <w:r w:rsidR="00100DC2">
        <w:rPr>
          <w:rFonts w:ascii="Times New Roman" w:hAnsi="Times New Roman" w:cs="Times New Roman"/>
          <w:color w:val="000000" w:themeColor="text1"/>
          <w:sz w:val="24"/>
          <w:szCs w:val="24"/>
          <w:shd w:val="clear" w:color="auto" w:fill="FFFFFF"/>
        </w:rPr>
        <w:instrText>ADDIN CSL_CITATION {"citationItems":[{"id":"ITEM-1","itemData":{"ISSN":"0931-0509","author":[{"dropping-particle":"","family":"Wang","given":"Yiman","non-dropping-particle":"","parse-names":false,"suffix":""},{"dropping-particle":"","family":"Hemmelder","given":"Marc H","non-dropping-particle":"","parse-names":false,"suffix":""},{"dropping-particle":"","family":"Bos","given":"Willem Jan W","non-dropping-particle":"","parse-names":false,"suffix":""},{"dropping-particle":"","family":"Snoep","given":"Jaapjan D","non-dropping-particle":"","parse-names":false,"suffix":""},{"dropping-particle":"","family":"Vries","given":"Aiko P J","non-dropping-particle":"de","parse-names":false,"suffix":""},{"dropping-particle":"","family":"Dekker","given":"Friedo W","non-dropping-particle":"","parse-names":false,"suffix":""},{"dropping-particle":"","family":"Meuleman","given":"Yvette","non-dropping-particle":"","parse-names":false,"suffix":""}],"container-title":"Nephrology dialysis transplantation","id":"ITEM-1","issue":"12","issued":{"date-parts":[["2021"]]},"page":"2327-2339","publisher":"Oxford University Press","title":"Mapping health-related quality of life after kidney transplantation by group comparisons: a systematic review","type":"article-journal","volume":"36"},"uris":["http://www.mendeley.com/documents/?uuid=5d5e26da-383a-410a-8f10-63ecfa999679"]}],"mendeley":{"formattedCitation":"(Wang et al., 2021)","plainTextFormattedCitation":"(Wang et al., 2021)","previouslyFormattedCitation":"(Wang et al., 2021)"},"properties":{"noteIndex":0},"schema":"https://github.com/citation-style-language/schema/raw/master/csl-citation.json"}</w:instrText>
      </w:r>
      <w:r w:rsidR="004573B9" w:rsidRPr="002F72C4">
        <w:rPr>
          <w:rFonts w:ascii="Times New Roman" w:hAnsi="Times New Roman" w:cs="Times New Roman"/>
          <w:color w:val="000000" w:themeColor="text1"/>
          <w:sz w:val="24"/>
          <w:szCs w:val="24"/>
          <w:shd w:val="clear" w:color="auto" w:fill="FFFFFF"/>
        </w:rPr>
        <w:fldChar w:fldCharType="separate"/>
      </w:r>
      <w:r w:rsidR="004573B9" w:rsidRPr="002F72C4">
        <w:rPr>
          <w:rFonts w:ascii="Times New Roman" w:hAnsi="Times New Roman" w:cs="Times New Roman"/>
          <w:noProof/>
          <w:color w:val="000000" w:themeColor="text1"/>
          <w:sz w:val="24"/>
          <w:szCs w:val="24"/>
          <w:shd w:val="clear" w:color="auto" w:fill="FFFFFF"/>
        </w:rPr>
        <w:t>(Wang et al., 2021)</w:t>
      </w:r>
      <w:r w:rsidR="004573B9" w:rsidRPr="002F72C4">
        <w:rPr>
          <w:rFonts w:ascii="Times New Roman" w:hAnsi="Times New Roman" w:cs="Times New Roman"/>
          <w:color w:val="000000" w:themeColor="text1"/>
          <w:sz w:val="24"/>
          <w:szCs w:val="24"/>
          <w:shd w:val="clear" w:color="auto" w:fill="FFFFFF"/>
        </w:rPr>
        <w:fldChar w:fldCharType="end"/>
      </w:r>
      <w:r w:rsidR="00025C91" w:rsidRPr="002F72C4">
        <w:rPr>
          <w:rFonts w:ascii="Times New Roman" w:hAnsi="Times New Roman" w:cs="Times New Roman"/>
          <w:color w:val="000000" w:themeColor="text1"/>
          <w:sz w:val="24"/>
          <w:szCs w:val="24"/>
          <w:shd w:val="clear" w:color="auto" w:fill="FFFFFF"/>
        </w:rPr>
        <w:t xml:space="preserve">. </w:t>
      </w:r>
      <w:r w:rsidR="00AF5FF9" w:rsidRPr="002F72C4">
        <w:rPr>
          <w:rFonts w:ascii="Times New Roman" w:hAnsi="Times New Roman" w:cs="Times New Roman"/>
          <w:color w:val="000000" w:themeColor="text1"/>
          <w:sz w:val="24"/>
          <w:szCs w:val="24"/>
          <w:shd w:val="clear" w:color="auto" w:fill="FFFFFF"/>
        </w:rPr>
        <w:t>African countries</w:t>
      </w:r>
      <w:r w:rsidR="006B0648" w:rsidRPr="002F72C4">
        <w:rPr>
          <w:rFonts w:ascii="Times New Roman" w:hAnsi="Times New Roman" w:cs="Times New Roman"/>
          <w:color w:val="000000" w:themeColor="text1"/>
          <w:sz w:val="24"/>
          <w:szCs w:val="24"/>
          <w:shd w:val="clear" w:color="auto" w:fill="FFFFFF"/>
        </w:rPr>
        <w:t xml:space="preserve"> like </w:t>
      </w:r>
      <w:r w:rsidR="00284032" w:rsidRPr="002F72C4">
        <w:rPr>
          <w:rFonts w:ascii="Times New Roman" w:hAnsi="Times New Roman" w:cs="Times New Roman"/>
          <w:color w:val="000000" w:themeColor="text1"/>
          <w:sz w:val="24"/>
          <w:szCs w:val="24"/>
          <w:shd w:val="clear" w:color="auto" w:fill="FFFFFF"/>
        </w:rPr>
        <w:t>Egypt report</w:t>
      </w:r>
      <w:r w:rsidR="006B0648" w:rsidRPr="002F72C4">
        <w:rPr>
          <w:rFonts w:ascii="Times New Roman" w:hAnsi="Times New Roman" w:cs="Times New Roman"/>
          <w:color w:val="000000" w:themeColor="text1"/>
          <w:sz w:val="24"/>
          <w:szCs w:val="24"/>
          <w:shd w:val="clear" w:color="auto" w:fill="FFFFFF"/>
        </w:rPr>
        <w:t xml:space="preserve"> unsatisfactory overall quality of life</w:t>
      </w:r>
      <w:r w:rsidR="00AF5FF9" w:rsidRPr="002F72C4">
        <w:rPr>
          <w:rFonts w:ascii="Times New Roman" w:hAnsi="Times New Roman" w:cs="Times New Roman"/>
          <w:color w:val="000000" w:themeColor="text1"/>
          <w:sz w:val="24"/>
          <w:szCs w:val="24"/>
          <w:shd w:val="clear" w:color="auto" w:fill="FFFFFF"/>
        </w:rPr>
        <w:t xml:space="preserve"> </w:t>
      </w:r>
      <w:r w:rsidR="004F1512">
        <w:rPr>
          <w:rFonts w:ascii="Times New Roman" w:hAnsi="Times New Roman" w:cs="Times New Roman"/>
          <w:color w:val="000000" w:themeColor="text1"/>
          <w:sz w:val="24"/>
          <w:szCs w:val="24"/>
          <w:shd w:val="clear" w:color="auto" w:fill="FFFFFF"/>
        </w:rPr>
        <w:fldChar w:fldCharType="begin" w:fldLock="1"/>
      </w:r>
      <w:r w:rsidR="004978C7">
        <w:rPr>
          <w:rFonts w:ascii="Times New Roman" w:hAnsi="Times New Roman" w:cs="Times New Roman"/>
          <w:color w:val="000000" w:themeColor="text1"/>
          <w:sz w:val="24"/>
          <w:szCs w:val="24"/>
          <w:shd w:val="clear" w:color="auto" w:fill="FFFFFF"/>
        </w:rPr>
        <w:instrText>ADDIN CSL_CITATION {"citationItems":[{"id":"ITEM-1","itemData":{"ISSN":"2090-5416","author":[{"dropping-particle":"","family":"Rasheed","given":"Amany Haroun","non-dropping-particle":"El","parse-names":false,"suffix":""},{"dropping-particle":"","family":"Khedr","given":"Essam","non-dropping-particle":"","parse-names":false,"suffix":""},{"dropping-particle":"","family":"Naguib","given":"Rehab","non-dropping-particle":"","parse-names":false,"suffix":""},{"dropping-particle":"","family":"Eid","given":"Maissa","non-dropping-particle":"","parse-names":false,"suffix":""},{"dropping-particle":"","family":"Elkholy","given":"Hussien","non-dropping-particle":"","parse-names":false,"suffix":""},{"dropping-particle":"","family":"Rabie","given":"Samah","non-dropping-particle":"","parse-names":false,"suffix":""}],"container-title":"Middle East Current Psychiatry","id":"ITEM-1","issue":"1","issued":{"date-parts":[["2020"]]},"page":"31","publisher":"Springer","title":"Quality of life in a sample of Egyptian renal transplant recipients","type":"article-journal","volume":"27"},"uris":["http://www.mendeley.com/documents/?uuid=6c1f961b-7603-43ea-a0ab-0cc87a0d4601"]}],"mendeley":{"formattedCitation":"(El Rasheed et al., 2020)","plainTextFormattedCitation":"(El Rasheed et al., 2020)","previouslyFormattedCitation":"(Haroun et al., n.d.)"},"properties":{"noteIndex":0},"schema":"https://github.com/citation-style-language/schema/raw/master/csl-citation.json"}</w:instrText>
      </w:r>
      <w:r w:rsidR="004F1512">
        <w:rPr>
          <w:rFonts w:ascii="Times New Roman" w:hAnsi="Times New Roman" w:cs="Times New Roman"/>
          <w:color w:val="000000" w:themeColor="text1"/>
          <w:sz w:val="24"/>
          <w:szCs w:val="24"/>
          <w:shd w:val="clear" w:color="auto" w:fill="FFFFFF"/>
        </w:rPr>
        <w:fldChar w:fldCharType="separate"/>
      </w:r>
      <w:r w:rsidR="004978C7" w:rsidRPr="004978C7">
        <w:rPr>
          <w:rFonts w:ascii="Times New Roman" w:hAnsi="Times New Roman" w:cs="Times New Roman"/>
          <w:noProof/>
          <w:color w:val="000000" w:themeColor="text1"/>
          <w:sz w:val="24"/>
          <w:szCs w:val="24"/>
          <w:shd w:val="clear" w:color="auto" w:fill="FFFFFF"/>
        </w:rPr>
        <w:t>(El Rasheed et al., 2020)</w:t>
      </w:r>
      <w:r w:rsidR="004F1512">
        <w:rPr>
          <w:rFonts w:ascii="Times New Roman" w:hAnsi="Times New Roman" w:cs="Times New Roman"/>
          <w:color w:val="000000" w:themeColor="text1"/>
          <w:sz w:val="24"/>
          <w:szCs w:val="24"/>
          <w:shd w:val="clear" w:color="auto" w:fill="FFFFFF"/>
        </w:rPr>
        <w:fldChar w:fldCharType="end"/>
      </w:r>
      <w:r w:rsidR="00DF60E5" w:rsidRPr="002F72C4">
        <w:rPr>
          <w:rFonts w:ascii="Times New Roman" w:hAnsi="Times New Roman" w:cs="Times New Roman"/>
          <w:color w:val="000000" w:themeColor="text1"/>
          <w:sz w:val="24"/>
          <w:szCs w:val="24"/>
        </w:rPr>
        <w:t>.</w:t>
      </w:r>
      <w:r w:rsidR="00DF60E5" w:rsidRPr="002F72C4">
        <w:rPr>
          <w:rFonts w:ascii="Times New Roman" w:hAnsi="Times New Roman" w:cs="Times New Roman"/>
          <w:color w:val="000000" w:themeColor="text1"/>
          <w:sz w:val="24"/>
          <w:szCs w:val="24"/>
          <w:shd w:val="clear" w:color="auto" w:fill="FFFFFF"/>
        </w:rPr>
        <w:t xml:space="preserve">  </w:t>
      </w:r>
      <w:r w:rsidR="005B3F24" w:rsidRPr="002F72C4">
        <w:rPr>
          <w:rFonts w:ascii="Times New Roman" w:hAnsi="Times New Roman" w:cs="Times New Roman"/>
          <w:color w:val="000000" w:themeColor="text1"/>
          <w:sz w:val="24"/>
          <w:szCs w:val="24"/>
          <w:shd w:val="clear" w:color="auto" w:fill="FFFFFF"/>
        </w:rPr>
        <w:t>Conversely</w:t>
      </w:r>
      <w:r w:rsidR="006B0648" w:rsidRPr="002F72C4">
        <w:rPr>
          <w:rFonts w:ascii="Times New Roman" w:hAnsi="Times New Roman" w:cs="Times New Roman"/>
          <w:color w:val="000000" w:themeColor="text1"/>
          <w:sz w:val="24"/>
          <w:szCs w:val="24"/>
          <w:shd w:val="clear" w:color="auto" w:fill="FFFFFF"/>
        </w:rPr>
        <w:t>,</w:t>
      </w:r>
      <w:r w:rsidR="00055C36" w:rsidRPr="002F72C4">
        <w:rPr>
          <w:rFonts w:ascii="Times New Roman" w:hAnsi="Times New Roman" w:cs="Times New Roman"/>
          <w:color w:val="000000" w:themeColor="text1"/>
          <w:sz w:val="24"/>
          <w:szCs w:val="24"/>
          <w:shd w:val="clear" w:color="auto" w:fill="FFFFFF"/>
        </w:rPr>
        <w:t xml:space="preserve"> Ethiopia</w:t>
      </w:r>
      <w:r w:rsidR="00DF60E5" w:rsidRPr="002F72C4">
        <w:rPr>
          <w:rFonts w:ascii="Times New Roman" w:hAnsi="Times New Roman" w:cs="Times New Roman"/>
          <w:color w:val="000000" w:themeColor="text1"/>
          <w:sz w:val="24"/>
          <w:szCs w:val="24"/>
          <w:shd w:val="clear" w:color="auto" w:fill="FFFFFF"/>
        </w:rPr>
        <w:t xml:space="preserve"> </w:t>
      </w:r>
      <w:r w:rsidR="00284032" w:rsidRPr="002F72C4">
        <w:rPr>
          <w:rFonts w:ascii="Times New Roman" w:hAnsi="Times New Roman" w:cs="Times New Roman"/>
          <w:color w:val="000000" w:themeColor="text1"/>
          <w:sz w:val="24"/>
          <w:szCs w:val="24"/>
          <w:shd w:val="clear" w:color="auto" w:fill="FFFFFF"/>
        </w:rPr>
        <w:t xml:space="preserve">has </w:t>
      </w:r>
      <w:r w:rsidR="00DF60E5" w:rsidRPr="002F72C4">
        <w:rPr>
          <w:rFonts w:ascii="Times New Roman" w:hAnsi="Times New Roman" w:cs="Times New Roman"/>
          <w:color w:val="000000" w:themeColor="text1"/>
          <w:sz w:val="24"/>
          <w:szCs w:val="24"/>
          <w:shd w:val="clear" w:color="auto" w:fill="FFFFFF"/>
        </w:rPr>
        <w:t>document</w:t>
      </w:r>
      <w:r w:rsidR="00284032" w:rsidRPr="002F72C4">
        <w:rPr>
          <w:rFonts w:ascii="Times New Roman" w:hAnsi="Times New Roman" w:cs="Times New Roman"/>
          <w:color w:val="000000" w:themeColor="text1"/>
          <w:sz w:val="24"/>
          <w:szCs w:val="24"/>
          <w:shd w:val="clear" w:color="auto" w:fill="FFFFFF"/>
        </w:rPr>
        <w:t>ed</w:t>
      </w:r>
      <w:r w:rsidR="00DF60E5" w:rsidRPr="002F72C4">
        <w:rPr>
          <w:rFonts w:ascii="Times New Roman" w:hAnsi="Times New Roman" w:cs="Times New Roman"/>
          <w:color w:val="000000" w:themeColor="text1"/>
          <w:sz w:val="24"/>
          <w:szCs w:val="24"/>
          <w:shd w:val="clear" w:color="auto" w:fill="FFFFFF"/>
        </w:rPr>
        <w:t xml:space="preserve"> </w:t>
      </w:r>
      <w:r w:rsidR="00CC407D" w:rsidRPr="002F72C4">
        <w:rPr>
          <w:rFonts w:ascii="Times New Roman" w:hAnsi="Times New Roman" w:cs="Times New Roman"/>
          <w:color w:val="000000" w:themeColor="text1"/>
          <w:sz w:val="24"/>
          <w:szCs w:val="24"/>
          <w:shd w:val="clear" w:color="auto" w:fill="FFFFFF"/>
        </w:rPr>
        <w:t xml:space="preserve">good </w:t>
      </w:r>
      <w:r w:rsidR="00055C36" w:rsidRPr="002F72C4">
        <w:rPr>
          <w:rFonts w:ascii="Times New Roman" w:hAnsi="Times New Roman" w:cs="Times New Roman"/>
          <w:color w:val="000000" w:themeColor="text1"/>
          <w:sz w:val="24"/>
          <w:szCs w:val="24"/>
          <w:shd w:val="clear" w:color="auto" w:fill="FFFFFF"/>
        </w:rPr>
        <w:t>quality of life</w:t>
      </w:r>
      <w:r w:rsidR="004F1512">
        <w:rPr>
          <w:rFonts w:ascii="Times New Roman" w:hAnsi="Times New Roman" w:cs="Times New Roman"/>
          <w:color w:val="000000" w:themeColor="text1"/>
          <w:sz w:val="24"/>
          <w:szCs w:val="24"/>
          <w:shd w:val="clear" w:color="auto" w:fill="FFFFFF"/>
        </w:rPr>
        <w:t xml:space="preserve"> scores at</w:t>
      </w:r>
      <w:r w:rsidR="00055C36" w:rsidRPr="002F72C4">
        <w:rPr>
          <w:rFonts w:ascii="Times New Roman" w:hAnsi="Times New Roman" w:cs="Times New Roman"/>
          <w:color w:val="000000" w:themeColor="text1"/>
          <w:sz w:val="24"/>
          <w:szCs w:val="24"/>
          <w:shd w:val="clear" w:color="auto" w:fill="FFFFFF"/>
        </w:rPr>
        <w:t xml:space="preserve"> 6.068 </w:t>
      </w:r>
      <w:r w:rsidR="004F1512">
        <w:rPr>
          <w:rFonts w:ascii="Times New Roman" w:hAnsi="Times New Roman" w:cs="Times New Roman"/>
          <w:color w:val="000000" w:themeColor="text1"/>
          <w:sz w:val="24"/>
          <w:szCs w:val="24"/>
          <w:shd w:val="clear" w:color="auto" w:fill="FFFFFF"/>
        </w:rPr>
        <w:t>±</w:t>
      </w:r>
      <w:r w:rsidR="00055C36" w:rsidRPr="002F72C4">
        <w:rPr>
          <w:rFonts w:ascii="Times New Roman" w:hAnsi="Times New Roman" w:cs="Times New Roman"/>
          <w:color w:val="000000" w:themeColor="text1"/>
          <w:sz w:val="24"/>
          <w:szCs w:val="24"/>
          <w:shd w:val="clear" w:color="auto" w:fill="FFFFFF"/>
        </w:rPr>
        <w:t xml:space="preserve"> 0.79 </w:t>
      </w:r>
      <w:r w:rsidR="00284032" w:rsidRPr="002F72C4">
        <w:rPr>
          <w:rFonts w:ascii="Times New Roman" w:hAnsi="Times New Roman" w:cs="Times New Roman"/>
          <w:color w:val="000000" w:themeColor="text1"/>
          <w:sz w:val="24"/>
          <w:szCs w:val="24"/>
          <w:shd w:val="clear" w:color="auto" w:fill="FFFFFF"/>
        </w:rPr>
        <w:t xml:space="preserve"> among </w:t>
      </w:r>
      <w:r w:rsidR="00DF60E5" w:rsidRPr="002F72C4">
        <w:rPr>
          <w:rFonts w:ascii="Times New Roman" w:hAnsi="Times New Roman" w:cs="Times New Roman"/>
          <w:color w:val="000000" w:themeColor="text1"/>
          <w:sz w:val="24"/>
          <w:szCs w:val="24"/>
          <w:shd w:val="clear" w:color="auto" w:fill="FFFFFF"/>
        </w:rPr>
        <w:t>kidney transplant recipients</w:t>
      </w:r>
      <w:r w:rsidR="004F1512">
        <w:rPr>
          <w:rFonts w:ascii="Times New Roman" w:hAnsi="Times New Roman" w:cs="Times New Roman"/>
          <w:color w:val="000000" w:themeColor="text1"/>
          <w:sz w:val="24"/>
          <w:szCs w:val="24"/>
          <w:shd w:val="clear" w:color="auto" w:fill="FFFFFF"/>
        </w:rPr>
        <w:t xml:space="preserve"> </w:t>
      </w:r>
      <w:r w:rsidR="00055C36" w:rsidRPr="002F72C4">
        <w:rPr>
          <w:rFonts w:ascii="Times New Roman" w:hAnsi="Times New Roman" w:cs="Times New Roman"/>
          <w:color w:val="000000" w:themeColor="text1"/>
          <w:sz w:val="24"/>
          <w:szCs w:val="24"/>
          <w:shd w:val="clear" w:color="auto" w:fill="FFFFFF"/>
        </w:rPr>
        <w:fldChar w:fldCharType="begin" w:fldLock="1"/>
      </w:r>
      <w:r w:rsidR="008D692C" w:rsidRPr="002F72C4">
        <w:rPr>
          <w:rFonts w:ascii="Times New Roman" w:hAnsi="Times New Roman" w:cs="Times New Roman"/>
          <w:color w:val="000000" w:themeColor="text1"/>
          <w:sz w:val="24"/>
          <w:szCs w:val="24"/>
          <w:shd w:val="clear" w:color="auto" w:fill="FFFFFF"/>
        </w:rPr>
        <w:instrText>ADDIN CSL_CITATION {"citationItems":[{"id":"ITEM-1","itemData":{"author":[{"dropping-particle":"","family":"Siyoum","given":"Mekdim","non-dropping-particle":"","parse-names":false,"suffix":""},{"dropping-particle":"","family":"Muleta","given":"Mahteme","non-dropping-particle":"","parse-names":false,"suffix":""},{"dropping-particle":"","family":"Gebretsadik","given":"Tekleberhan","non-dropping-particle":"","parse-names":false,"suffix":""},{"dropping-particle":"","family":"Gelan","given":"Engida","non-dropping-particle":"","parse-names":false,"suffix":""},{"dropping-particle":"","family":"Ketema","given":"Tsion","non-dropping-particle":"","parse-names":false,"suffix":""},{"dropping-particle":"","family":"Teshome","given":"Tesfalem","non-dropping-particle":"","parse-names":false,"suffix":""},{"dropping-particle":"","family":"Woodside","given":"Kenneth","non-dropping-particle":"","parse-names":false,"suffix":""},{"dropping-particle":"","family":"Leichtman","given":"Alan","non-dropping-particle":"","parse-names":false,"suffix":""},{"dropping-particle":"","family":"Punch","given":"Jeffery","non-dropping-particle":"","parse-names":false,"suffix":""},{"dropping-particle":"","family":"States","given":"United","non-dropping-particle":"","parse-names":false,"suffix":""},{"dropping-particle":"","family":"States","given":"United","non-dropping-particle":"","parse-names":false,"suffix":""}],"id":"ITEM-1","issue":"September","issued":{"date-parts":[["2020"]]},"page":"2019-2020","title":"QUALITY OF LIFE AND ASSOCIATED FACTORS OF KIDNEY TRANSPLANT PATIENTS IN ETHIOPIA Surgery , Saint Paul Hospital Millennium Medical College , Addis Ababa , Ethiopia ; 2 Public Health , Saint Paul Hospital Millennium Medical College , Addis Ababa , Ethiopia ","type":"article-journal","volume":"104"},"uris":["http://www.mendeley.com/documents/?uuid=82be229b-2286-43c5-9eef-560e1bdf0a76"]}],"mendeley":{"formattedCitation":"(Siyoum et al., 2020)","plainTextFormattedCitation":"(Siyoum et al., 2020)","previouslyFormattedCitation":"(Siyoum et al., 2020)"},"properties":{"noteIndex":0},"schema":"https://github.com/citation-style-language/schema/raw/master/csl-citation.json"}</w:instrText>
      </w:r>
      <w:r w:rsidR="00055C36" w:rsidRPr="002F72C4">
        <w:rPr>
          <w:rFonts w:ascii="Times New Roman" w:hAnsi="Times New Roman" w:cs="Times New Roman"/>
          <w:color w:val="000000" w:themeColor="text1"/>
          <w:sz w:val="24"/>
          <w:szCs w:val="24"/>
          <w:shd w:val="clear" w:color="auto" w:fill="FFFFFF"/>
        </w:rPr>
        <w:fldChar w:fldCharType="separate"/>
      </w:r>
      <w:r w:rsidR="002B261F" w:rsidRPr="002F72C4">
        <w:rPr>
          <w:rFonts w:ascii="Times New Roman" w:hAnsi="Times New Roman" w:cs="Times New Roman"/>
          <w:noProof/>
          <w:color w:val="000000" w:themeColor="text1"/>
          <w:sz w:val="24"/>
          <w:szCs w:val="24"/>
          <w:shd w:val="clear" w:color="auto" w:fill="FFFFFF"/>
        </w:rPr>
        <w:t>(Siyoum et al., 2020)</w:t>
      </w:r>
      <w:r w:rsidR="00055C36" w:rsidRPr="002F72C4">
        <w:rPr>
          <w:rFonts w:ascii="Times New Roman" w:hAnsi="Times New Roman" w:cs="Times New Roman"/>
          <w:color w:val="000000" w:themeColor="text1"/>
          <w:sz w:val="24"/>
          <w:szCs w:val="24"/>
          <w:shd w:val="clear" w:color="auto" w:fill="FFFFFF"/>
        </w:rPr>
        <w:fldChar w:fldCharType="end"/>
      </w:r>
      <w:r w:rsidR="00DF60E5" w:rsidRPr="002F72C4">
        <w:rPr>
          <w:rFonts w:ascii="Times New Roman" w:hAnsi="Times New Roman" w:cs="Times New Roman"/>
          <w:color w:val="000000" w:themeColor="text1"/>
          <w:sz w:val="24"/>
          <w:szCs w:val="24"/>
          <w:shd w:val="clear" w:color="auto" w:fill="FFFFFF"/>
        </w:rPr>
        <w:t>. In Kenya, no study has been done to evaluate HRQoL outcomes</w:t>
      </w:r>
      <w:r w:rsidR="0087435C">
        <w:rPr>
          <w:rFonts w:ascii="Times New Roman" w:hAnsi="Times New Roman" w:cs="Times New Roman"/>
          <w:color w:val="000000" w:themeColor="text1"/>
          <w:sz w:val="24"/>
          <w:szCs w:val="24"/>
          <w:shd w:val="clear" w:color="auto" w:fill="FFFFFF"/>
        </w:rPr>
        <w:t xml:space="preserve"> and associated factors</w:t>
      </w:r>
      <w:r w:rsidR="00DF60E5" w:rsidRPr="002F72C4">
        <w:rPr>
          <w:rFonts w:ascii="Times New Roman" w:hAnsi="Times New Roman" w:cs="Times New Roman"/>
          <w:color w:val="000000" w:themeColor="text1"/>
          <w:sz w:val="24"/>
          <w:szCs w:val="24"/>
          <w:shd w:val="clear" w:color="auto" w:fill="FFFFFF"/>
        </w:rPr>
        <w:t xml:space="preserve"> among renal transplan</w:t>
      </w:r>
      <w:r w:rsidR="00F56200" w:rsidRPr="002F72C4">
        <w:rPr>
          <w:rFonts w:ascii="Times New Roman" w:hAnsi="Times New Roman" w:cs="Times New Roman"/>
          <w:color w:val="000000" w:themeColor="text1"/>
          <w:sz w:val="24"/>
          <w:szCs w:val="24"/>
          <w:shd w:val="clear" w:color="auto" w:fill="FFFFFF"/>
        </w:rPr>
        <w:t>t recipients.</w:t>
      </w:r>
      <w:r w:rsidR="00AC1EC8" w:rsidRPr="002F72C4">
        <w:rPr>
          <w:rFonts w:ascii="Times New Roman" w:hAnsi="Times New Roman" w:cs="Times New Roman"/>
          <w:color w:val="000000" w:themeColor="text1"/>
          <w:sz w:val="24"/>
          <w:szCs w:val="24"/>
          <w:shd w:val="clear" w:color="auto" w:fill="FFFFFF"/>
        </w:rPr>
        <w:t xml:space="preserve"> </w:t>
      </w:r>
      <w:r w:rsidR="00933643" w:rsidRPr="002F72C4">
        <w:rPr>
          <w:rFonts w:ascii="Times New Roman" w:hAnsi="Times New Roman" w:cs="Times New Roman"/>
          <w:color w:val="000000" w:themeColor="text1"/>
          <w:sz w:val="24"/>
          <w:szCs w:val="24"/>
        </w:rPr>
        <w:t xml:space="preserve">Furthermore, lack of HRQoL data hinders detection </w:t>
      </w:r>
      <w:r w:rsidR="00820D4C" w:rsidRPr="002F72C4">
        <w:rPr>
          <w:rFonts w:ascii="Times New Roman" w:hAnsi="Times New Roman" w:cs="Times New Roman"/>
          <w:color w:val="000000" w:themeColor="text1"/>
          <w:sz w:val="24"/>
          <w:szCs w:val="24"/>
        </w:rPr>
        <w:t xml:space="preserve">and management of problems </w:t>
      </w:r>
      <w:r w:rsidR="0087435C">
        <w:rPr>
          <w:rFonts w:ascii="Times New Roman" w:hAnsi="Times New Roman" w:cs="Times New Roman"/>
          <w:color w:val="000000" w:themeColor="text1"/>
          <w:sz w:val="24"/>
          <w:szCs w:val="24"/>
        </w:rPr>
        <w:t xml:space="preserve">that </w:t>
      </w:r>
      <w:r w:rsidR="00820D4C" w:rsidRPr="002F72C4">
        <w:rPr>
          <w:rFonts w:ascii="Times New Roman" w:hAnsi="Times New Roman" w:cs="Times New Roman"/>
          <w:color w:val="000000" w:themeColor="text1"/>
          <w:sz w:val="24"/>
          <w:szCs w:val="24"/>
        </w:rPr>
        <w:t>kidney</w:t>
      </w:r>
      <w:r w:rsidR="00DC14FE" w:rsidRPr="002F72C4">
        <w:rPr>
          <w:rFonts w:ascii="Times New Roman" w:hAnsi="Times New Roman" w:cs="Times New Roman"/>
          <w:color w:val="000000" w:themeColor="text1"/>
          <w:sz w:val="24"/>
          <w:szCs w:val="24"/>
        </w:rPr>
        <w:t xml:space="preserve"> </w:t>
      </w:r>
      <w:r w:rsidR="0087435C">
        <w:rPr>
          <w:rFonts w:ascii="Times New Roman" w:hAnsi="Times New Roman" w:cs="Times New Roman"/>
          <w:color w:val="000000" w:themeColor="text1"/>
          <w:sz w:val="24"/>
          <w:szCs w:val="24"/>
        </w:rPr>
        <w:t xml:space="preserve">transplant </w:t>
      </w:r>
      <w:r w:rsidR="00DC14FE" w:rsidRPr="002F72C4">
        <w:rPr>
          <w:rFonts w:ascii="Times New Roman" w:hAnsi="Times New Roman" w:cs="Times New Roman"/>
          <w:color w:val="000000" w:themeColor="text1"/>
          <w:sz w:val="24"/>
          <w:szCs w:val="24"/>
        </w:rPr>
        <w:t>patient</w:t>
      </w:r>
      <w:r w:rsidR="0087435C">
        <w:rPr>
          <w:rFonts w:ascii="Times New Roman" w:hAnsi="Times New Roman" w:cs="Times New Roman"/>
          <w:color w:val="000000" w:themeColor="text1"/>
          <w:sz w:val="24"/>
          <w:szCs w:val="24"/>
        </w:rPr>
        <w:t>s</w:t>
      </w:r>
      <w:r w:rsidR="00DC14FE" w:rsidRPr="002F72C4">
        <w:rPr>
          <w:rFonts w:ascii="Times New Roman" w:hAnsi="Times New Roman" w:cs="Times New Roman"/>
          <w:color w:val="000000" w:themeColor="text1"/>
          <w:sz w:val="24"/>
          <w:szCs w:val="24"/>
        </w:rPr>
        <w:t xml:space="preserve"> may </w:t>
      </w:r>
      <w:r w:rsidR="004D1298" w:rsidRPr="002F72C4">
        <w:rPr>
          <w:rFonts w:ascii="Times New Roman" w:hAnsi="Times New Roman" w:cs="Times New Roman"/>
          <w:color w:val="000000" w:themeColor="text1"/>
          <w:sz w:val="24"/>
          <w:szCs w:val="24"/>
        </w:rPr>
        <w:t xml:space="preserve">be </w:t>
      </w:r>
      <w:r w:rsidR="00DC14FE" w:rsidRPr="002F72C4">
        <w:rPr>
          <w:rFonts w:ascii="Times New Roman" w:hAnsi="Times New Roman" w:cs="Times New Roman"/>
          <w:color w:val="000000" w:themeColor="text1"/>
          <w:sz w:val="24"/>
          <w:szCs w:val="24"/>
        </w:rPr>
        <w:t>experience</w:t>
      </w:r>
      <w:r w:rsidR="00B30744" w:rsidRPr="002F72C4">
        <w:rPr>
          <w:rFonts w:ascii="Times New Roman" w:hAnsi="Times New Roman" w:cs="Times New Roman"/>
          <w:color w:val="000000" w:themeColor="text1"/>
          <w:sz w:val="24"/>
          <w:szCs w:val="24"/>
        </w:rPr>
        <w:t>,</w:t>
      </w:r>
      <w:r w:rsidR="00933643" w:rsidRPr="002F72C4">
        <w:rPr>
          <w:rFonts w:ascii="Times New Roman" w:hAnsi="Times New Roman" w:cs="Times New Roman"/>
          <w:color w:val="000000" w:themeColor="text1"/>
          <w:sz w:val="24"/>
          <w:szCs w:val="24"/>
        </w:rPr>
        <w:t xml:space="preserve"> resulting in poor disease </w:t>
      </w:r>
      <w:r w:rsidR="00D97BFB" w:rsidRPr="002F72C4">
        <w:rPr>
          <w:rFonts w:ascii="Times New Roman" w:hAnsi="Times New Roman" w:cs="Times New Roman"/>
          <w:color w:val="000000" w:themeColor="text1"/>
          <w:sz w:val="24"/>
          <w:szCs w:val="24"/>
        </w:rPr>
        <w:t xml:space="preserve">management. </w:t>
      </w:r>
    </w:p>
    <w:p w14:paraId="49DABD0E" w14:textId="77777777" w:rsidR="0087435C" w:rsidRDefault="0087435C" w:rsidP="00AC1EC8">
      <w:pPr>
        <w:spacing w:after="0" w:line="360" w:lineRule="auto"/>
        <w:jc w:val="both"/>
        <w:rPr>
          <w:rFonts w:ascii="Times New Roman" w:hAnsi="Times New Roman" w:cs="Times New Roman"/>
          <w:color w:val="000000" w:themeColor="text1"/>
          <w:sz w:val="24"/>
          <w:szCs w:val="24"/>
        </w:rPr>
      </w:pPr>
    </w:p>
    <w:p w14:paraId="0BE12CF7" w14:textId="366195F2" w:rsidR="00385B64" w:rsidRPr="002F72C4" w:rsidRDefault="00D97BFB" w:rsidP="00AC1EC8">
      <w:pPr>
        <w:spacing w:after="0"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This</w:t>
      </w:r>
      <w:r w:rsidR="003165E5" w:rsidRPr="002F72C4">
        <w:rPr>
          <w:rFonts w:ascii="Times New Roman" w:hAnsi="Times New Roman" w:cs="Times New Roman"/>
          <w:color w:val="000000" w:themeColor="text1"/>
          <w:sz w:val="24"/>
          <w:szCs w:val="24"/>
        </w:rPr>
        <w:t xml:space="preserve"> study </w:t>
      </w:r>
      <w:r w:rsidR="00AC1EC8" w:rsidRPr="002F72C4">
        <w:rPr>
          <w:rFonts w:ascii="Times New Roman" w:hAnsi="Times New Roman" w:cs="Times New Roman"/>
          <w:color w:val="000000" w:themeColor="text1"/>
          <w:sz w:val="24"/>
          <w:szCs w:val="24"/>
        </w:rPr>
        <w:t>sought</w:t>
      </w:r>
      <w:r w:rsidR="00264468" w:rsidRPr="002F72C4">
        <w:rPr>
          <w:rFonts w:ascii="Times New Roman" w:hAnsi="Times New Roman" w:cs="Times New Roman"/>
          <w:color w:val="000000" w:themeColor="text1"/>
          <w:sz w:val="24"/>
          <w:szCs w:val="24"/>
        </w:rPr>
        <w:t xml:space="preserve"> to </w:t>
      </w:r>
      <w:r w:rsidR="0087435C">
        <w:rPr>
          <w:rFonts w:ascii="Times New Roman" w:hAnsi="Times New Roman" w:cs="Times New Roman"/>
          <w:color w:val="000000" w:themeColor="text1"/>
          <w:sz w:val="24"/>
          <w:szCs w:val="24"/>
        </w:rPr>
        <w:t>assess</w:t>
      </w:r>
      <w:r w:rsidR="00CC407D" w:rsidRPr="002F72C4">
        <w:rPr>
          <w:rFonts w:ascii="Times New Roman" w:hAnsi="Times New Roman" w:cs="Times New Roman"/>
          <w:color w:val="000000" w:themeColor="text1"/>
          <w:sz w:val="24"/>
          <w:szCs w:val="24"/>
          <w:shd w:val="clear" w:color="auto" w:fill="FFFFFF"/>
        </w:rPr>
        <w:t xml:space="preserve"> health-related quality of life outcomes in renal transplant recipients and </w:t>
      </w:r>
      <w:r w:rsidR="0087435C">
        <w:rPr>
          <w:rFonts w:ascii="Times New Roman" w:hAnsi="Times New Roman" w:cs="Times New Roman"/>
          <w:color w:val="000000" w:themeColor="text1"/>
          <w:sz w:val="24"/>
          <w:szCs w:val="24"/>
          <w:shd w:val="clear" w:color="auto" w:fill="FFFFFF"/>
        </w:rPr>
        <w:t xml:space="preserve">the </w:t>
      </w:r>
      <w:r w:rsidR="00CC407D" w:rsidRPr="002F72C4">
        <w:rPr>
          <w:rFonts w:ascii="Times New Roman" w:hAnsi="Times New Roman" w:cs="Times New Roman"/>
          <w:color w:val="000000" w:themeColor="text1"/>
          <w:sz w:val="24"/>
          <w:szCs w:val="24"/>
        </w:rPr>
        <w:t>domains of HRQoL mostly affected by transplantation</w:t>
      </w:r>
      <w:r w:rsidR="00CC407D" w:rsidRPr="002F72C4">
        <w:rPr>
          <w:rFonts w:ascii="Times New Roman" w:hAnsi="Times New Roman" w:cs="Times New Roman"/>
          <w:color w:val="000000" w:themeColor="text1"/>
          <w:sz w:val="24"/>
          <w:szCs w:val="24"/>
          <w:shd w:val="clear" w:color="auto" w:fill="FFFFFF"/>
        </w:rPr>
        <w:t xml:space="preserve">. Additionally, </w:t>
      </w:r>
      <w:r w:rsidR="0087435C">
        <w:rPr>
          <w:rFonts w:ascii="Times New Roman" w:hAnsi="Times New Roman" w:cs="Times New Roman"/>
          <w:color w:val="000000" w:themeColor="text1"/>
          <w:sz w:val="24"/>
          <w:szCs w:val="24"/>
          <w:shd w:val="clear" w:color="auto" w:fill="FFFFFF"/>
        </w:rPr>
        <w:t xml:space="preserve">the </w:t>
      </w:r>
      <w:r w:rsidR="0087435C">
        <w:rPr>
          <w:rFonts w:ascii="Times New Roman" w:hAnsi="Times New Roman" w:cs="Times New Roman"/>
          <w:color w:val="000000" w:themeColor="text1"/>
          <w:sz w:val="24"/>
          <w:szCs w:val="24"/>
          <w:shd w:val="clear" w:color="auto" w:fill="FFFFFF"/>
        </w:rPr>
        <w:lastRenderedPageBreak/>
        <w:t>study sought to establish the</w:t>
      </w:r>
      <w:r w:rsidR="00CC407D" w:rsidRPr="002F72C4">
        <w:rPr>
          <w:rFonts w:ascii="Times New Roman" w:hAnsi="Times New Roman" w:cs="Times New Roman"/>
          <w:color w:val="000000" w:themeColor="text1"/>
          <w:sz w:val="24"/>
          <w:szCs w:val="24"/>
          <w:shd w:val="clear" w:color="auto" w:fill="FFFFFF"/>
        </w:rPr>
        <w:t xml:space="preserve"> sociodemographic and clinical variables that </w:t>
      </w:r>
      <w:r w:rsidR="0087435C">
        <w:rPr>
          <w:rFonts w:ascii="Times New Roman" w:hAnsi="Times New Roman" w:cs="Times New Roman"/>
          <w:color w:val="000000" w:themeColor="text1"/>
          <w:sz w:val="24"/>
          <w:szCs w:val="24"/>
          <w:shd w:val="clear" w:color="auto" w:fill="FFFFFF"/>
        </w:rPr>
        <w:t xml:space="preserve">impacted on </w:t>
      </w:r>
      <w:r w:rsidR="00CC407D" w:rsidRPr="002F72C4">
        <w:rPr>
          <w:rFonts w:ascii="Times New Roman" w:hAnsi="Times New Roman" w:cs="Times New Roman"/>
          <w:color w:val="000000" w:themeColor="text1"/>
          <w:sz w:val="24"/>
          <w:szCs w:val="24"/>
          <w:shd w:val="clear" w:color="auto" w:fill="FFFFFF"/>
        </w:rPr>
        <w:t>HRQoL</w:t>
      </w:r>
      <w:r w:rsidR="00917093" w:rsidRPr="002F72C4">
        <w:rPr>
          <w:rFonts w:ascii="Times New Roman" w:hAnsi="Times New Roman" w:cs="Times New Roman"/>
          <w:color w:val="000000" w:themeColor="text1"/>
          <w:sz w:val="24"/>
          <w:szCs w:val="24"/>
          <w:shd w:val="clear" w:color="auto" w:fill="FFFFFF"/>
        </w:rPr>
        <w:t xml:space="preserve">. </w:t>
      </w:r>
      <w:r w:rsidR="0087435C">
        <w:rPr>
          <w:rFonts w:ascii="Times New Roman" w:hAnsi="Times New Roman" w:cs="Times New Roman"/>
          <w:color w:val="000000" w:themeColor="text1"/>
          <w:sz w:val="24"/>
          <w:szCs w:val="24"/>
          <w:shd w:val="clear" w:color="auto" w:fill="FFFFFF"/>
        </w:rPr>
        <w:t>The study also sought to evaluate the</w:t>
      </w:r>
      <w:r w:rsidR="00917093" w:rsidRPr="002F72C4">
        <w:rPr>
          <w:rFonts w:ascii="Times New Roman" w:hAnsi="Times New Roman" w:cs="Times New Roman"/>
          <w:color w:val="000000" w:themeColor="text1"/>
          <w:sz w:val="24"/>
          <w:szCs w:val="24"/>
        </w:rPr>
        <w:t xml:space="preserve"> </w:t>
      </w:r>
      <w:r w:rsidR="00A25E7C" w:rsidRPr="002F72C4">
        <w:rPr>
          <w:rFonts w:ascii="Times New Roman" w:hAnsi="Times New Roman" w:cs="Times New Roman"/>
          <w:color w:val="000000" w:themeColor="text1"/>
          <w:sz w:val="24"/>
          <w:szCs w:val="24"/>
        </w:rPr>
        <w:t>potential</w:t>
      </w:r>
      <w:r w:rsidR="000A24BF" w:rsidRPr="002F72C4">
        <w:rPr>
          <w:rFonts w:ascii="Times New Roman" w:hAnsi="Times New Roman" w:cs="Times New Roman"/>
          <w:color w:val="000000" w:themeColor="text1"/>
          <w:sz w:val="24"/>
          <w:szCs w:val="24"/>
        </w:rPr>
        <w:t xml:space="preserve"> areas that could</w:t>
      </w:r>
      <w:r w:rsidR="003165E5" w:rsidRPr="002F72C4">
        <w:rPr>
          <w:rFonts w:ascii="Times New Roman" w:hAnsi="Times New Roman" w:cs="Times New Roman"/>
          <w:color w:val="000000" w:themeColor="text1"/>
          <w:sz w:val="24"/>
          <w:szCs w:val="24"/>
        </w:rPr>
        <w:t xml:space="preserve"> </w:t>
      </w:r>
      <w:r w:rsidR="0087435C">
        <w:rPr>
          <w:rFonts w:ascii="Times New Roman" w:hAnsi="Times New Roman" w:cs="Times New Roman"/>
          <w:color w:val="000000" w:themeColor="text1"/>
          <w:sz w:val="24"/>
          <w:szCs w:val="24"/>
        </w:rPr>
        <w:t xml:space="preserve">be used to </w:t>
      </w:r>
      <w:r w:rsidR="009D33EA">
        <w:rPr>
          <w:rFonts w:ascii="Times New Roman" w:hAnsi="Times New Roman" w:cs="Times New Roman"/>
          <w:color w:val="000000" w:themeColor="text1"/>
          <w:sz w:val="24"/>
          <w:szCs w:val="24"/>
        </w:rPr>
        <w:t xml:space="preserve">optimize </w:t>
      </w:r>
      <w:r w:rsidR="009D33EA" w:rsidRPr="002F72C4">
        <w:rPr>
          <w:rFonts w:ascii="Times New Roman" w:hAnsi="Times New Roman" w:cs="Times New Roman"/>
          <w:bCs/>
          <w:color w:val="000000" w:themeColor="text1"/>
          <w:sz w:val="24"/>
          <w:szCs w:val="24"/>
        </w:rPr>
        <w:t>HRQoL</w:t>
      </w:r>
      <w:r w:rsidR="003165E5" w:rsidRPr="002F72C4">
        <w:rPr>
          <w:rFonts w:ascii="Times New Roman" w:hAnsi="Times New Roman" w:cs="Times New Roman"/>
          <w:bCs/>
          <w:color w:val="000000" w:themeColor="text1"/>
          <w:sz w:val="24"/>
          <w:szCs w:val="24"/>
        </w:rPr>
        <w:t xml:space="preserve"> in </w:t>
      </w:r>
      <w:r w:rsidR="0087435C">
        <w:rPr>
          <w:rFonts w:ascii="Times New Roman" w:hAnsi="Times New Roman" w:cs="Times New Roman"/>
          <w:bCs/>
          <w:color w:val="000000" w:themeColor="text1"/>
          <w:sz w:val="24"/>
          <w:szCs w:val="24"/>
        </w:rPr>
        <w:t xml:space="preserve">the management of </w:t>
      </w:r>
      <w:r w:rsidR="003165E5" w:rsidRPr="002F72C4">
        <w:rPr>
          <w:rFonts w:ascii="Times New Roman" w:hAnsi="Times New Roman" w:cs="Times New Roman"/>
          <w:bCs/>
          <w:color w:val="000000" w:themeColor="text1"/>
          <w:sz w:val="24"/>
          <w:szCs w:val="24"/>
        </w:rPr>
        <w:t>renal transplant recipients</w:t>
      </w:r>
      <w:r w:rsidR="000A24BF" w:rsidRPr="002F72C4">
        <w:rPr>
          <w:rFonts w:ascii="Times New Roman" w:hAnsi="Times New Roman" w:cs="Times New Roman"/>
          <w:color w:val="000000" w:themeColor="text1"/>
          <w:sz w:val="24"/>
          <w:szCs w:val="24"/>
        </w:rPr>
        <w:t>.</w:t>
      </w:r>
    </w:p>
    <w:p w14:paraId="1058AB61" w14:textId="77777777" w:rsidR="004B3141" w:rsidRPr="002F72C4" w:rsidRDefault="00F74F46" w:rsidP="004B3141">
      <w:pPr>
        <w:pStyle w:val="Heading1"/>
        <w:spacing w:line="240" w:lineRule="auto"/>
        <w:jc w:val="both"/>
        <w:rPr>
          <w:rFonts w:cs="Times New Roman"/>
          <w:b/>
          <w:bCs/>
          <w:color w:val="000000" w:themeColor="text1"/>
          <w:szCs w:val="24"/>
          <w:lang w:val="en-GB"/>
        </w:rPr>
      </w:pPr>
      <w:bookmarkStart w:id="3" w:name="_Toc86908033"/>
      <w:bookmarkStart w:id="4" w:name="_Toc536452246"/>
      <w:bookmarkStart w:id="5" w:name="_Toc5626662"/>
      <w:bookmarkStart w:id="6" w:name="_Toc536521895"/>
      <w:r w:rsidRPr="002F72C4">
        <w:rPr>
          <w:rFonts w:cs="Times New Roman"/>
          <w:b/>
          <w:bCs/>
          <w:color w:val="000000" w:themeColor="text1"/>
          <w:szCs w:val="24"/>
          <w:lang w:val="en-GB"/>
        </w:rPr>
        <w:t>2.</w:t>
      </w:r>
      <w:r w:rsidR="003165E5" w:rsidRPr="002F72C4">
        <w:rPr>
          <w:rFonts w:cs="Times New Roman"/>
          <w:b/>
          <w:bCs/>
          <w:color w:val="000000" w:themeColor="text1"/>
          <w:szCs w:val="24"/>
          <w:lang w:val="en-GB"/>
        </w:rPr>
        <w:t xml:space="preserve"> M</w:t>
      </w:r>
      <w:bookmarkEnd w:id="3"/>
      <w:bookmarkEnd w:id="4"/>
      <w:bookmarkEnd w:id="5"/>
      <w:bookmarkEnd w:id="6"/>
      <w:r w:rsidR="00135631" w:rsidRPr="002F72C4">
        <w:rPr>
          <w:rFonts w:cs="Times New Roman"/>
          <w:b/>
          <w:bCs/>
          <w:color w:val="000000" w:themeColor="text1"/>
          <w:szCs w:val="24"/>
          <w:lang w:val="en-GB"/>
        </w:rPr>
        <w:t>ethodology</w:t>
      </w:r>
      <w:bookmarkStart w:id="7" w:name="_Toc5626664"/>
      <w:bookmarkStart w:id="8" w:name="_Toc536521897"/>
      <w:bookmarkStart w:id="9" w:name="_Toc536452248"/>
      <w:bookmarkStart w:id="10" w:name="_Toc258921629"/>
      <w:bookmarkStart w:id="11" w:name="_Toc257620154"/>
      <w:bookmarkStart w:id="12" w:name="_Toc86908035"/>
    </w:p>
    <w:p w14:paraId="45E00409" w14:textId="31B88F27" w:rsidR="003165E5" w:rsidRPr="002F72C4" w:rsidRDefault="003165E5" w:rsidP="004B3141">
      <w:pPr>
        <w:pStyle w:val="Heading1"/>
        <w:spacing w:line="240" w:lineRule="auto"/>
        <w:jc w:val="both"/>
        <w:rPr>
          <w:rFonts w:cs="Times New Roman"/>
          <w:b/>
          <w:bCs/>
          <w:color w:val="000000" w:themeColor="text1"/>
          <w:szCs w:val="24"/>
          <w:lang w:val="en-GB"/>
        </w:rPr>
      </w:pPr>
      <w:r w:rsidRPr="002F72C4">
        <w:rPr>
          <w:rFonts w:cs="Times New Roman"/>
          <w:b/>
          <w:color w:val="000000" w:themeColor="text1"/>
          <w:szCs w:val="24"/>
        </w:rPr>
        <w:t>Study Design</w:t>
      </w:r>
      <w:bookmarkEnd w:id="7"/>
      <w:bookmarkEnd w:id="8"/>
      <w:bookmarkEnd w:id="9"/>
      <w:bookmarkEnd w:id="10"/>
      <w:bookmarkEnd w:id="11"/>
      <w:bookmarkEnd w:id="12"/>
      <w:r w:rsidR="00485753" w:rsidRPr="002F72C4">
        <w:rPr>
          <w:rFonts w:cs="Times New Roman"/>
          <w:b/>
          <w:color w:val="000000" w:themeColor="text1"/>
          <w:szCs w:val="24"/>
        </w:rPr>
        <w:t xml:space="preserve"> and Site</w:t>
      </w:r>
    </w:p>
    <w:p w14:paraId="3E079474" w14:textId="694FB258" w:rsidR="003165E5" w:rsidRPr="002F72C4" w:rsidRDefault="003165E5" w:rsidP="00485753">
      <w:pPr>
        <w:shd w:val="clear" w:color="auto" w:fill="FFFFFF"/>
        <w:spacing w:beforeLines="30" w:before="72" w:afterLines="30" w:after="72"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 xml:space="preserve">The </w:t>
      </w:r>
      <w:r w:rsidR="007E11CC" w:rsidRPr="002F72C4">
        <w:rPr>
          <w:rFonts w:ascii="Times New Roman" w:hAnsi="Times New Roman" w:cs="Times New Roman"/>
          <w:color w:val="000000" w:themeColor="text1"/>
          <w:sz w:val="24"/>
          <w:szCs w:val="24"/>
        </w:rPr>
        <w:t xml:space="preserve">research adopted </w:t>
      </w:r>
      <w:r w:rsidRPr="002F72C4">
        <w:rPr>
          <w:rFonts w:ascii="Times New Roman" w:hAnsi="Times New Roman" w:cs="Times New Roman"/>
          <w:color w:val="000000" w:themeColor="text1"/>
          <w:sz w:val="24"/>
          <w:szCs w:val="24"/>
        </w:rPr>
        <w:t>a cross-sectional descriptive study</w:t>
      </w:r>
      <w:r w:rsidR="007E11CC" w:rsidRPr="002F72C4">
        <w:rPr>
          <w:rFonts w:ascii="Times New Roman" w:hAnsi="Times New Roman" w:cs="Times New Roman"/>
          <w:color w:val="000000" w:themeColor="text1"/>
          <w:sz w:val="24"/>
          <w:szCs w:val="24"/>
        </w:rPr>
        <w:t xml:space="preserve"> d</w:t>
      </w:r>
      <w:r w:rsidRPr="002F72C4">
        <w:rPr>
          <w:rFonts w:ascii="Times New Roman" w:hAnsi="Times New Roman" w:cs="Times New Roman"/>
          <w:color w:val="000000" w:themeColor="text1"/>
          <w:sz w:val="24"/>
          <w:szCs w:val="24"/>
        </w:rPr>
        <w:t xml:space="preserve">esign </w:t>
      </w:r>
      <w:r w:rsidR="007E11CC" w:rsidRPr="002F72C4">
        <w:rPr>
          <w:rFonts w:ascii="Times New Roman" w:hAnsi="Times New Roman" w:cs="Times New Roman"/>
          <w:color w:val="000000" w:themeColor="text1"/>
          <w:sz w:val="24"/>
          <w:szCs w:val="24"/>
        </w:rPr>
        <w:t xml:space="preserve">which </w:t>
      </w:r>
      <w:r w:rsidRPr="002F72C4">
        <w:rPr>
          <w:rFonts w:ascii="Times New Roman" w:hAnsi="Times New Roman" w:cs="Times New Roman"/>
          <w:color w:val="000000" w:themeColor="text1"/>
          <w:sz w:val="24"/>
          <w:szCs w:val="24"/>
        </w:rPr>
        <w:t>involved determining exposure and o</w:t>
      </w:r>
      <w:r w:rsidR="00135631" w:rsidRPr="002F72C4">
        <w:rPr>
          <w:rFonts w:ascii="Times New Roman" w:hAnsi="Times New Roman" w:cs="Times New Roman"/>
          <w:color w:val="000000" w:themeColor="text1"/>
          <w:sz w:val="24"/>
          <w:szCs w:val="24"/>
        </w:rPr>
        <w:t>utcome simultaneously.</w:t>
      </w:r>
      <w:r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shd w:val="clear" w:color="auto" w:fill="FFFFFF"/>
        </w:rPr>
        <w:t xml:space="preserve">The study was conducted </w:t>
      </w:r>
      <w:r w:rsidR="001F1580" w:rsidRPr="002F72C4">
        <w:rPr>
          <w:rFonts w:ascii="Times New Roman" w:hAnsi="Times New Roman" w:cs="Times New Roman"/>
          <w:color w:val="000000" w:themeColor="text1"/>
          <w:sz w:val="24"/>
          <w:szCs w:val="24"/>
        </w:rPr>
        <w:t>between 1</w:t>
      </w:r>
      <w:r w:rsidR="001F1580" w:rsidRPr="002F72C4">
        <w:rPr>
          <w:rFonts w:ascii="Times New Roman" w:hAnsi="Times New Roman" w:cs="Times New Roman"/>
          <w:color w:val="000000" w:themeColor="text1"/>
          <w:sz w:val="24"/>
          <w:szCs w:val="24"/>
          <w:vertAlign w:val="superscript"/>
        </w:rPr>
        <w:t>st</w:t>
      </w:r>
      <w:r w:rsidR="001F1580" w:rsidRPr="002F72C4">
        <w:rPr>
          <w:rFonts w:ascii="Times New Roman" w:hAnsi="Times New Roman" w:cs="Times New Roman"/>
          <w:color w:val="000000" w:themeColor="text1"/>
          <w:sz w:val="24"/>
          <w:szCs w:val="24"/>
        </w:rPr>
        <w:t xml:space="preserve"> July 2021 and 30</w:t>
      </w:r>
      <w:r w:rsidR="001F1580" w:rsidRPr="002F72C4">
        <w:rPr>
          <w:rFonts w:ascii="Times New Roman" w:hAnsi="Times New Roman" w:cs="Times New Roman"/>
          <w:color w:val="000000" w:themeColor="text1"/>
          <w:sz w:val="24"/>
          <w:szCs w:val="24"/>
          <w:vertAlign w:val="superscript"/>
        </w:rPr>
        <w:t>th</w:t>
      </w:r>
      <w:r w:rsidR="001F1580" w:rsidRPr="002F72C4">
        <w:rPr>
          <w:rFonts w:ascii="Times New Roman" w:hAnsi="Times New Roman" w:cs="Times New Roman"/>
          <w:color w:val="000000" w:themeColor="text1"/>
          <w:sz w:val="24"/>
          <w:szCs w:val="24"/>
        </w:rPr>
        <w:t xml:space="preserve"> September 2021</w:t>
      </w:r>
      <w:r w:rsidRPr="002F72C4">
        <w:rPr>
          <w:rFonts w:ascii="Times New Roman" w:hAnsi="Times New Roman" w:cs="Times New Roman"/>
          <w:color w:val="000000" w:themeColor="text1"/>
          <w:sz w:val="24"/>
          <w:szCs w:val="24"/>
          <w:shd w:val="clear" w:color="auto" w:fill="FFFFFF"/>
        </w:rPr>
        <w:t xml:space="preserve">at the renal transplant clinic, within </w:t>
      </w:r>
      <w:r w:rsidR="000D45DD" w:rsidRPr="002F72C4">
        <w:rPr>
          <w:rFonts w:ascii="Times New Roman" w:hAnsi="Times New Roman" w:cs="Times New Roman"/>
          <w:color w:val="000000" w:themeColor="text1"/>
          <w:sz w:val="24"/>
          <w:szCs w:val="24"/>
          <w:shd w:val="clear" w:color="auto" w:fill="FFFFFF"/>
        </w:rPr>
        <w:t xml:space="preserve">the </w:t>
      </w:r>
      <w:r w:rsidRPr="002F72C4">
        <w:rPr>
          <w:rFonts w:ascii="Times New Roman" w:hAnsi="Times New Roman" w:cs="Times New Roman"/>
          <w:color w:val="000000" w:themeColor="text1"/>
          <w:sz w:val="24"/>
          <w:szCs w:val="24"/>
          <w:shd w:val="clear" w:color="auto" w:fill="FFFFFF"/>
        </w:rPr>
        <w:t>renal unit of Kenyatta National Hospital (KNH). This specialized clinic offers renal transplantation and post-transplant care to</w:t>
      </w:r>
      <w:r w:rsidR="00AF55A8" w:rsidRPr="002F72C4">
        <w:rPr>
          <w:rFonts w:ascii="Times New Roman" w:hAnsi="Times New Roman" w:cs="Times New Roman"/>
          <w:color w:val="000000" w:themeColor="text1"/>
          <w:sz w:val="24"/>
          <w:szCs w:val="24"/>
          <w:shd w:val="clear" w:color="auto" w:fill="FFFFFF"/>
        </w:rPr>
        <w:t xml:space="preserve"> recipients on follow-up.  KNH</w:t>
      </w:r>
      <w:r w:rsidRPr="002F72C4">
        <w:rPr>
          <w:rFonts w:ascii="Times New Roman" w:hAnsi="Times New Roman" w:cs="Times New Roman"/>
          <w:color w:val="000000" w:themeColor="text1"/>
          <w:sz w:val="24"/>
          <w:szCs w:val="24"/>
          <w:shd w:val="clear" w:color="auto" w:fill="FFFFFF"/>
        </w:rPr>
        <w:t xml:space="preserve"> is the </w:t>
      </w:r>
      <w:r w:rsidR="005E4C9F">
        <w:rPr>
          <w:rFonts w:ascii="Times New Roman" w:hAnsi="Times New Roman" w:cs="Times New Roman"/>
          <w:color w:val="000000" w:themeColor="text1"/>
          <w:sz w:val="24"/>
          <w:szCs w:val="24"/>
          <w:shd w:val="clear" w:color="auto" w:fill="FFFFFF"/>
        </w:rPr>
        <w:t>largest</w:t>
      </w:r>
      <w:r w:rsidRPr="002F72C4">
        <w:rPr>
          <w:rFonts w:ascii="Times New Roman" w:hAnsi="Times New Roman" w:cs="Times New Roman"/>
          <w:color w:val="000000" w:themeColor="text1"/>
          <w:sz w:val="24"/>
          <w:szCs w:val="24"/>
          <w:shd w:val="clear" w:color="auto" w:fill="FFFFFF"/>
        </w:rPr>
        <w:t xml:space="preserve"> public </w:t>
      </w:r>
      <w:r w:rsidR="005E4C9F">
        <w:rPr>
          <w:rFonts w:ascii="Times New Roman" w:hAnsi="Times New Roman" w:cs="Times New Roman"/>
          <w:color w:val="000000" w:themeColor="text1"/>
          <w:sz w:val="24"/>
          <w:szCs w:val="24"/>
          <w:shd w:val="clear" w:color="auto" w:fill="FFFFFF"/>
        </w:rPr>
        <w:t xml:space="preserve">health </w:t>
      </w:r>
      <w:r w:rsidRPr="002F72C4">
        <w:rPr>
          <w:rFonts w:ascii="Times New Roman" w:hAnsi="Times New Roman" w:cs="Times New Roman"/>
          <w:color w:val="000000" w:themeColor="text1"/>
          <w:sz w:val="24"/>
          <w:szCs w:val="24"/>
          <w:shd w:val="clear" w:color="auto" w:fill="FFFFFF"/>
        </w:rPr>
        <w:t>facility with a specialized renal transplant program in the country</w:t>
      </w:r>
      <w:r w:rsidR="006461B4" w:rsidRPr="002F72C4">
        <w:rPr>
          <w:rFonts w:ascii="Times New Roman" w:hAnsi="Times New Roman" w:cs="Times New Roman"/>
          <w:color w:val="000000" w:themeColor="text1"/>
          <w:sz w:val="24"/>
          <w:szCs w:val="24"/>
          <w:shd w:val="clear" w:color="auto" w:fill="FFFFFF"/>
        </w:rPr>
        <w:t xml:space="preserve"> therefore capturing a good number of patients who may need pre and post-transplant services. </w:t>
      </w:r>
    </w:p>
    <w:p w14:paraId="43D6EF0C" w14:textId="77777777" w:rsidR="003165E5" w:rsidRPr="002F72C4" w:rsidRDefault="003165E5" w:rsidP="003165E5">
      <w:pPr>
        <w:pStyle w:val="Heading2"/>
        <w:spacing w:line="360" w:lineRule="auto"/>
        <w:jc w:val="both"/>
        <w:rPr>
          <w:rFonts w:cs="Times New Roman"/>
          <w:b/>
          <w:color w:val="000000" w:themeColor="text1"/>
          <w:szCs w:val="24"/>
        </w:rPr>
      </w:pPr>
      <w:bookmarkStart w:id="13" w:name="_Toc5626666"/>
      <w:bookmarkStart w:id="14" w:name="_Toc536521899"/>
      <w:bookmarkStart w:id="15" w:name="_Toc536452250"/>
      <w:bookmarkStart w:id="16" w:name="_Toc258921631"/>
      <w:bookmarkStart w:id="17" w:name="_Toc257620156"/>
      <w:bookmarkStart w:id="18" w:name="_Toc86908037"/>
      <w:r w:rsidRPr="002F72C4">
        <w:rPr>
          <w:rFonts w:cs="Times New Roman"/>
          <w:b/>
          <w:color w:val="000000" w:themeColor="text1"/>
          <w:szCs w:val="24"/>
        </w:rPr>
        <w:t>Study Population</w:t>
      </w:r>
      <w:bookmarkEnd w:id="13"/>
      <w:bookmarkEnd w:id="14"/>
      <w:bookmarkEnd w:id="15"/>
      <w:bookmarkEnd w:id="16"/>
      <w:bookmarkEnd w:id="17"/>
      <w:bookmarkEnd w:id="18"/>
    </w:p>
    <w:p w14:paraId="279D6F16" w14:textId="53766E37" w:rsidR="003165E5" w:rsidRPr="002F72C4" w:rsidRDefault="003165E5" w:rsidP="009B3D1E">
      <w:pPr>
        <w:spacing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The target population was all adult renal transplant recipients in Kenya. Study population constituted adult patients who previously underwent renal transplant and are followed up at KNH.</w:t>
      </w:r>
      <w:bookmarkStart w:id="19" w:name="_Toc258921632"/>
      <w:bookmarkStart w:id="20" w:name="_Toc257620157"/>
      <w:r w:rsidR="00291007" w:rsidRPr="002F72C4">
        <w:rPr>
          <w:rFonts w:ascii="Times New Roman" w:hAnsi="Times New Roman" w:cs="Times New Roman"/>
          <w:color w:val="000000" w:themeColor="text1"/>
          <w:sz w:val="24"/>
          <w:szCs w:val="24"/>
        </w:rPr>
        <w:t xml:space="preserve"> Patient</w:t>
      </w:r>
      <w:r w:rsidRPr="002F72C4">
        <w:rPr>
          <w:rFonts w:ascii="Times New Roman" w:hAnsi="Times New Roman" w:cs="Times New Roman"/>
          <w:color w:val="000000" w:themeColor="text1"/>
          <w:sz w:val="24"/>
          <w:szCs w:val="24"/>
        </w:rPr>
        <w:t xml:space="preserve"> with currently functioning graft</w:t>
      </w:r>
      <w:r w:rsidR="00CB492D">
        <w:rPr>
          <w:rFonts w:ascii="Times New Roman" w:hAnsi="Times New Roman" w:cs="Times New Roman"/>
          <w:color w:val="000000" w:themeColor="text1"/>
          <w:sz w:val="24"/>
          <w:szCs w:val="24"/>
        </w:rPr>
        <w:t>s</w:t>
      </w:r>
      <w:r w:rsidR="00485753" w:rsidRPr="002F72C4">
        <w:rPr>
          <w:rFonts w:ascii="Times New Roman" w:hAnsi="Times New Roman" w:cs="Times New Roman"/>
          <w:color w:val="000000" w:themeColor="text1"/>
          <w:sz w:val="24"/>
          <w:szCs w:val="24"/>
        </w:rPr>
        <w:t xml:space="preserve"> were eligible</w:t>
      </w:r>
      <w:r w:rsidR="009B3D1E" w:rsidRPr="002F72C4">
        <w:rPr>
          <w:rFonts w:ascii="Times New Roman" w:hAnsi="Times New Roman" w:cs="Times New Roman"/>
          <w:color w:val="000000" w:themeColor="text1"/>
          <w:sz w:val="24"/>
          <w:szCs w:val="24"/>
        </w:rPr>
        <w:t xml:space="preserve"> including those on follow up at renal transplant clinic KNH, or who had their transplant in other </w:t>
      </w:r>
      <w:r w:rsidR="005E4C9F" w:rsidRPr="002F72C4">
        <w:rPr>
          <w:rFonts w:ascii="Times New Roman" w:hAnsi="Times New Roman" w:cs="Times New Roman"/>
          <w:color w:val="000000" w:themeColor="text1"/>
          <w:sz w:val="24"/>
          <w:szCs w:val="24"/>
        </w:rPr>
        <w:t>centers</w:t>
      </w:r>
      <w:r w:rsidR="009B3D1E" w:rsidRPr="002F72C4">
        <w:rPr>
          <w:rFonts w:ascii="Times New Roman" w:hAnsi="Times New Roman" w:cs="Times New Roman"/>
          <w:color w:val="000000" w:themeColor="text1"/>
          <w:sz w:val="24"/>
          <w:szCs w:val="24"/>
        </w:rPr>
        <w:t xml:space="preserve">. </w:t>
      </w:r>
      <w:r w:rsidR="00485753" w:rsidRPr="002F72C4">
        <w:rPr>
          <w:rFonts w:ascii="Times New Roman" w:hAnsi="Times New Roman" w:cs="Times New Roman"/>
          <w:color w:val="000000" w:themeColor="text1"/>
          <w:sz w:val="24"/>
          <w:szCs w:val="24"/>
        </w:rPr>
        <w:t>In addition,</w:t>
      </w:r>
      <w:r w:rsidR="009B3D1E" w:rsidRPr="002F72C4">
        <w:rPr>
          <w:rFonts w:ascii="Times New Roman" w:hAnsi="Times New Roman" w:cs="Times New Roman"/>
          <w:color w:val="000000" w:themeColor="text1"/>
          <w:sz w:val="24"/>
          <w:szCs w:val="24"/>
        </w:rPr>
        <w:t xml:space="preserve"> p</w:t>
      </w:r>
      <w:r w:rsidRPr="002F72C4">
        <w:rPr>
          <w:rFonts w:ascii="Times New Roman" w:hAnsi="Times New Roman" w:cs="Times New Roman"/>
          <w:color w:val="000000" w:themeColor="text1"/>
          <w:sz w:val="24"/>
          <w:szCs w:val="24"/>
        </w:rPr>
        <w:t xml:space="preserve">atient </w:t>
      </w:r>
      <w:r w:rsidR="009B3D1E" w:rsidRPr="002F72C4">
        <w:rPr>
          <w:rFonts w:ascii="Times New Roman" w:hAnsi="Times New Roman" w:cs="Times New Roman"/>
          <w:color w:val="000000" w:themeColor="text1"/>
          <w:sz w:val="24"/>
          <w:szCs w:val="24"/>
        </w:rPr>
        <w:t xml:space="preserve">must have </w:t>
      </w:r>
      <w:r w:rsidR="0087435C" w:rsidRPr="002F72C4">
        <w:rPr>
          <w:rFonts w:ascii="Times New Roman" w:hAnsi="Times New Roman" w:cs="Times New Roman"/>
          <w:color w:val="000000" w:themeColor="text1"/>
          <w:sz w:val="24"/>
          <w:szCs w:val="24"/>
        </w:rPr>
        <w:t>undergone a</w:t>
      </w:r>
      <w:r w:rsidR="00AA093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kidney transplant at leas</w:t>
      </w:r>
      <w:r w:rsidR="005E4C9F">
        <w:rPr>
          <w:rFonts w:ascii="Times New Roman" w:hAnsi="Times New Roman" w:cs="Times New Roman"/>
          <w:color w:val="000000" w:themeColor="text1"/>
          <w:sz w:val="24"/>
          <w:szCs w:val="24"/>
        </w:rPr>
        <w:t xml:space="preserve">t 3 months prior to </w:t>
      </w:r>
      <w:r w:rsidR="009D33EA">
        <w:rPr>
          <w:rFonts w:ascii="Times New Roman" w:hAnsi="Times New Roman" w:cs="Times New Roman"/>
          <w:color w:val="000000" w:themeColor="text1"/>
          <w:sz w:val="24"/>
          <w:szCs w:val="24"/>
        </w:rPr>
        <w:t>recruitment</w:t>
      </w:r>
      <w:r w:rsidR="009D33EA" w:rsidRPr="002F72C4">
        <w:rPr>
          <w:rFonts w:ascii="Times New Roman" w:hAnsi="Times New Roman" w:cs="Times New Roman"/>
          <w:color w:val="000000" w:themeColor="text1"/>
          <w:sz w:val="24"/>
          <w:szCs w:val="24"/>
        </w:rPr>
        <w:t>. This</w:t>
      </w:r>
      <w:r w:rsidRPr="002F72C4">
        <w:rPr>
          <w:rFonts w:ascii="Times New Roman" w:hAnsi="Times New Roman" w:cs="Times New Roman"/>
          <w:color w:val="000000" w:themeColor="text1"/>
          <w:sz w:val="24"/>
          <w:szCs w:val="24"/>
        </w:rPr>
        <w:t xml:space="preserve"> is because</w:t>
      </w:r>
      <w:r w:rsidR="00AA093E" w:rsidRPr="002F72C4">
        <w:rPr>
          <w:rFonts w:ascii="Times New Roman" w:hAnsi="Times New Roman" w:cs="Times New Roman"/>
          <w:color w:val="000000" w:themeColor="text1"/>
          <w:sz w:val="24"/>
          <w:szCs w:val="24"/>
        </w:rPr>
        <w:t xml:space="preserve">, after 3 months </w:t>
      </w:r>
      <w:r w:rsidRPr="002F72C4">
        <w:rPr>
          <w:rFonts w:ascii="Times New Roman" w:hAnsi="Times New Roman" w:cs="Times New Roman"/>
          <w:color w:val="000000" w:themeColor="text1"/>
          <w:sz w:val="24"/>
          <w:szCs w:val="24"/>
        </w:rPr>
        <w:t xml:space="preserve">of </w:t>
      </w:r>
      <w:r w:rsidR="009D33EA" w:rsidRPr="002F72C4">
        <w:rPr>
          <w:rFonts w:ascii="Times New Roman" w:hAnsi="Times New Roman" w:cs="Times New Roman"/>
          <w:color w:val="000000" w:themeColor="text1"/>
          <w:sz w:val="24"/>
          <w:szCs w:val="24"/>
        </w:rPr>
        <w:t>transplantation,</w:t>
      </w:r>
      <w:r w:rsidRPr="002F72C4">
        <w:rPr>
          <w:rFonts w:ascii="Times New Roman" w:hAnsi="Times New Roman" w:cs="Times New Roman"/>
          <w:color w:val="000000" w:themeColor="text1"/>
          <w:sz w:val="24"/>
          <w:szCs w:val="24"/>
        </w:rPr>
        <w:t xml:space="preserve"> </w:t>
      </w:r>
      <w:r w:rsidR="00AA093E" w:rsidRPr="002F72C4">
        <w:rPr>
          <w:rFonts w:ascii="Times New Roman" w:hAnsi="Times New Roman" w:cs="Times New Roman"/>
          <w:color w:val="000000" w:themeColor="text1"/>
          <w:sz w:val="24"/>
          <w:szCs w:val="24"/>
        </w:rPr>
        <w:t xml:space="preserve">the </w:t>
      </w:r>
      <w:r w:rsidRPr="002F72C4">
        <w:rPr>
          <w:rFonts w:ascii="Times New Roman" w:hAnsi="Times New Roman" w:cs="Times New Roman"/>
          <w:color w:val="000000" w:themeColor="text1"/>
          <w:sz w:val="24"/>
          <w:szCs w:val="24"/>
        </w:rPr>
        <w:t xml:space="preserve">patient </w:t>
      </w:r>
      <w:r w:rsidR="009D33EA" w:rsidRPr="002F72C4">
        <w:rPr>
          <w:rFonts w:ascii="Times New Roman" w:hAnsi="Times New Roman" w:cs="Times New Roman"/>
          <w:color w:val="000000" w:themeColor="text1"/>
          <w:sz w:val="24"/>
          <w:szCs w:val="24"/>
        </w:rPr>
        <w:t>is considered</w:t>
      </w:r>
      <w:r w:rsidRPr="002F72C4">
        <w:rPr>
          <w:rFonts w:ascii="Times New Roman" w:hAnsi="Times New Roman" w:cs="Times New Roman"/>
          <w:color w:val="000000" w:themeColor="text1"/>
          <w:sz w:val="24"/>
          <w:szCs w:val="24"/>
        </w:rPr>
        <w:t xml:space="preserve"> stable and may not be experiencing acute phase transplant reactions</w:t>
      </w:r>
      <w:r w:rsidR="00AA093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which may result in overly low health rel</w:t>
      </w:r>
      <w:r w:rsidR="009B3D1E" w:rsidRPr="002F72C4">
        <w:rPr>
          <w:rFonts w:ascii="Times New Roman" w:hAnsi="Times New Roman" w:cs="Times New Roman"/>
          <w:color w:val="000000" w:themeColor="text1"/>
          <w:sz w:val="24"/>
          <w:szCs w:val="24"/>
        </w:rPr>
        <w:t xml:space="preserve">ated quality of life reporting. </w:t>
      </w:r>
      <w:r w:rsidRPr="002F72C4">
        <w:rPr>
          <w:rFonts w:ascii="Times New Roman" w:hAnsi="Times New Roman" w:cs="Times New Roman"/>
          <w:color w:val="000000" w:themeColor="text1"/>
          <w:sz w:val="24"/>
          <w:szCs w:val="24"/>
        </w:rPr>
        <w:t xml:space="preserve">Patient </w:t>
      </w:r>
      <w:r w:rsidR="009B3D1E" w:rsidRPr="002F72C4">
        <w:rPr>
          <w:rFonts w:ascii="Times New Roman" w:hAnsi="Times New Roman" w:cs="Times New Roman"/>
          <w:color w:val="000000" w:themeColor="text1"/>
          <w:sz w:val="24"/>
          <w:szCs w:val="24"/>
        </w:rPr>
        <w:t xml:space="preserve">who were </w:t>
      </w:r>
      <w:r w:rsidRPr="002F72C4">
        <w:rPr>
          <w:rFonts w:ascii="Times New Roman" w:hAnsi="Times New Roman" w:cs="Times New Roman"/>
          <w:color w:val="000000" w:themeColor="text1"/>
          <w:sz w:val="24"/>
          <w:szCs w:val="24"/>
        </w:rPr>
        <w:t>willing to participate in the study by written, informed consent</w:t>
      </w:r>
      <w:r w:rsidR="009B3D1E" w:rsidRPr="002F72C4">
        <w:rPr>
          <w:rFonts w:ascii="Times New Roman" w:hAnsi="Times New Roman" w:cs="Times New Roman"/>
          <w:color w:val="000000" w:themeColor="text1"/>
          <w:sz w:val="24"/>
          <w:szCs w:val="24"/>
        </w:rPr>
        <w:t xml:space="preserve"> were invited</w:t>
      </w:r>
      <w:r w:rsidRPr="002F72C4">
        <w:rPr>
          <w:rFonts w:ascii="Times New Roman" w:hAnsi="Times New Roman" w:cs="Times New Roman"/>
          <w:color w:val="000000" w:themeColor="text1"/>
          <w:sz w:val="24"/>
          <w:szCs w:val="24"/>
        </w:rPr>
        <w:t>.</w:t>
      </w:r>
      <w:r w:rsidR="009B3D1E" w:rsidRPr="002F72C4">
        <w:rPr>
          <w:rFonts w:ascii="Times New Roman" w:hAnsi="Times New Roman" w:cs="Times New Roman"/>
          <w:color w:val="000000" w:themeColor="text1"/>
          <w:sz w:val="24"/>
          <w:szCs w:val="24"/>
        </w:rPr>
        <w:t xml:space="preserve"> The study excluded h</w:t>
      </w:r>
      <w:r w:rsidRPr="002F72C4">
        <w:rPr>
          <w:rFonts w:ascii="Times New Roman" w:hAnsi="Times New Roman" w:cs="Times New Roman"/>
          <w:color w:val="000000" w:themeColor="text1"/>
          <w:sz w:val="24"/>
          <w:szCs w:val="24"/>
        </w:rPr>
        <w:t>ospitalized patients wh</w:t>
      </w:r>
      <w:r w:rsidR="009B3D1E" w:rsidRPr="002F72C4">
        <w:rPr>
          <w:rFonts w:ascii="Times New Roman" w:hAnsi="Times New Roman" w:cs="Times New Roman"/>
          <w:color w:val="000000" w:themeColor="text1"/>
          <w:sz w:val="24"/>
          <w:szCs w:val="24"/>
        </w:rPr>
        <w:t xml:space="preserve">o were too weak to participate and those with cognitive impairment </w:t>
      </w:r>
      <w:r w:rsidRPr="002F72C4">
        <w:rPr>
          <w:rFonts w:ascii="Times New Roman" w:hAnsi="Times New Roman" w:cs="Times New Roman"/>
          <w:color w:val="000000" w:themeColor="text1"/>
          <w:sz w:val="24"/>
          <w:szCs w:val="24"/>
        </w:rPr>
        <w:t>because they may not have been in a capacity to give voluntary and informed consent</w:t>
      </w:r>
      <w:r w:rsidR="005E4C9F">
        <w:rPr>
          <w:rFonts w:ascii="Times New Roman" w:hAnsi="Times New Roman" w:cs="Times New Roman"/>
          <w:color w:val="000000" w:themeColor="text1"/>
          <w:sz w:val="24"/>
          <w:szCs w:val="24"/>
        </w:rPr>
        <w:t xml:space="preserve">. Additionally, </w:t>
      </w:r>
      <w:r w:rsidR="009B3D1E" w:rsidRPr="002F72C4">
        <w:rPr>
          <w:rFonts w:ascii="Times New Roman" w:hAnsi="Times New Roman" w:cs="Times New Roman"/>
          <w:color w:val="000000" w:themeColor="text1"/>
          <w:sz w:val="24"/>
          <w:szCs w:val="24"/>
        </w:rPr>
        <w:t>t</w:t>
      </w:r>
      <w:r w:rsidRPr="002F72C4">
        <w:rPr>
          <w:rFonts w:ascii="Times New Roman" w:hAnsi="Times New Roman" w:cs="Times New Roman"/>
          <w:color w:val="000000" w:themeColor="text1"/>
          <w:sz w:val="24"/>
          <w:szCs w:val="24"/>
        </w:rPr>
        <w:t xml:space="preserve">hey may have reported bias information </w:t>
      </w:r>
      <w:r w:rsidR="00B14D1F" w:rsidRPr="002F72C4">
        <w:rPr>
          <w:rFonts w:ascii="Times New Roman" w:hAnsi="Times New Roman" w:cs="Times New Roman"/>
          <w:color w:val="000000" w:themeColor="text1"/>
          <w:sz w:val="24"/>
          <w:szCs w:val="24"/>
        </w:rPr>
        <w:t>in favo</w:t>
      </w:r>
      <w:r w:rsidRPr="002F72C4">
        <w:rPr>
          <w:rFonts w:ascii="Times New Roman" w:hAnsi="Times New Roman" w:cs="Times New Roman"/>
          <w:color w:val="000000" w:themeColor="text1"/>
          <w:sz w:val="24"/>
          <w:szCs w:val="24"/>
        </w:rPr>
        <w:t>r of very low HRQoL scores</w:t>
      </w:r>
      <w:r w:rsidR="009B3D1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 xml:space="preserve">Patients with other organ </w:t>
      </w:r>
      <w:r w:rsidR="00E103AF" w:rsidRPr="002F72C4">
        <w:rPr>
          <w:rFonts w:ascii="Times New Roman" w:hAnsi="Times New Roman" w:cs="Times New Roman"/>
          <w:color w:val="000000" w:themeColor="text1"/>
          <w:sz w:val="24"/>
          <w:szCs w:val="24"/>
        </w:rPr>
        <w:t>failure were</w:t>
      </w:r>
      <w:r w:rsidR="00A064F7" w:rsidRPr="002F72C4">
        <w:rPr>
          <w:rFonts w:ascii="Times New Roman" w:hAnsi="Times New Roman" w:cs="Times New Roman"/>
          <w:color w:val="000000" w:themeColor="text1"/>
          <w:sz w:val="24"/>
          <w:szCs w:val="24"/>
        </w:rPr>
        <w:t xml:space="preserve"> left out </w:t>
      </w:r>
      <w:r w:rsidRPr="002F72C4">
        <w:rPr>
          <w:rFonts w:ascii="Times New Roman" w:hAnsi="Times New Roman" w:cs="Times New Roman"/>
          <w:color w:val="000000" w:themeColor="text1"/>
          <w:sz w:val="24"/>
          <w:szCs w:val="24"/>
        </w:rPr>
        <w:t xml:space="preserve">because they would have acted as </w:t>
      </w:r>
      <w:r w:rsidR="005E4C9F" w:rsidRPr="002F72C4">
        <w:rPr>
          <w:rFonts w:ascii="Times New Roman" w:hAnsi="Times New Roman" w:cs="Times New Roman"/>
          <w:color w:val="000000" w:themeColor="text1"/>
          <w:sz w:val="24"/>
          <w:szCs w:val="24"/>
        </w:rPr>
        <w:t>possible confounders</w:t>
      </w:r>
      <w:r w:rsidRPr="002F72C4">
        <w:rPr>
          <w:rFonts w:ascii="Times New Roman" w:hAnsi="Times New Roman" w:cs="Times New Roman"/>
          <w:color w:val="000000" w:themeColor="text1"/>
          <w:sz w:val="24"/>
          <w:szCs w:val="24"/>
        </w:rPr>
        <w:t>.</w:t>
      </w:r>
      <w:bookmarkStart w:id="21" w:name="_Toc5626670"/>
      <w:bookmarkStart w:id="22" w:name="_Toc536521903"/>
      <w:bookmarkStart w:id="23" w:name="_Toc536452254"/>
      <w:bookmarkEnd w:id="19"/>
      <w:bookmarkEnd w:id="20"/>
    </w:p>
    <w:p w14:paraId="5DBB5CA8" w14:textId="77777777" w:rsidR="003165E5" w:rsidRPr="002F72C4" w:rsidRDefault="003165E5" w:rsidP="003165E5">
      <w:pPr>
        <w:pStyle w:val="Heading2"/>
        <w:spacing w:line="360" w:lineRule="auto"/>
        <w:jc w:val="both"/>
        <w:rPr>
          <w:rFonts w:cs="Times New Roman"/>
          <w:b/>
          <w:color w:val="000000" w:themeColor="text1"/>
          <w:szCs w:val="24"/>
        </w:rPr>
      </w:pPr>
      <w:bookmarkStart w:id="24" w:name="_Toc86908040"/>
      <w:r w:rsidRPr="002F72C4">
        <w:rPr>
          <w:rFonts w:cs="Times New Roman"/>
          <w:b/>
          <w:color w:val="000000" w:themeColor="text1"/>
          <w:szCs w:val="24"/>
        </w:rPr>
        <w:t>Sample Size</w:t>
      </w:r>
      <w:bookmarkEnd w:id="21"/>
      <w:bookmarkEnd w:id="22"/>
      <w:bookmarkEnd w:id="23"/>
      <w:r w:rsidRPr="002F72C4">
        <w:rPr>
          <w:rFonts w:cs="Times New Roman"/>
          <w:b/>
          <w:color w:val="000000" w:themeColor="text1"/>
          <w:szCs w:val="24"/>
        </w:rPr>
        <w:t xml:space="preserve"> Estimation</w:t>
      </w:r>
      <w:bookmarkEnd w:id="24"/>
      <w:r w:rsidR="00E103AF" w:rsidRPr="002F72C4">
        <w:rPr>
          <w:rFonts w:cs="Times New Roman"/>
          <w:b/>
          <w:color w:val="000000" w:themeColor="text1"/>
          <w:szCs w:val="24"/>
        </w:rPr>
        <w:t xml:space="preserve"> and sampling</w:t>
      </w:r>
    </w:p>
    <w:p w14:paraId="4F7AA48D" w14:textId="1C676533" w:rsidR="00DB78DF" w:rsidRPr="00DB78DF" w:rsidRDefault="00DB78DF" w:rsidP="00DB78DF">
      <w:pPr>
        <w:autoSpaceDE w:val="0"/>
        <w:autoSpaceDN w:val="0"/>
        <w:adjustRightInd w:val="0"/>
        <w:spacing w:after="0" w:line="360" w:lineRule="auto"/>
        <w:rPr>
          <w:rFonts w:ascii="Times New Roman" w:hAnsi="Times New Roman" w:cs="Times New Roman"/>
          <w:color w:val="000000" w:themeColor="text1"/>
          <w:sz w:val="24"/>
          <w:szCs w:val="24"/>
          <w:highlight w:val="yellow"/>
        </w:rPr>
      </w:pPr>
      <w:bookmarkStart w:id="25" w:name="_Toc5626674"/>
      <w:bookmarkStart w:id="26" w:name="_Toc536521907"/>
      <w:bookmarkStart w:id="27" w:name="_Toc536452258"/>
      <w:bookmarkStart w:id="28" w:name="_Toc86908042"/>
      <w:r w:rsidRPr="00DB78DF">
        <w:rPr>
          <w:rFonts w:ascii="Times New Roman" w:hAnsi="Times New Roman" w:cs="Times New Roman"/>
          <w:color w:val="000000" w:themeColor="text1"/>
          <w:sz w:val="24"/>
          <w:szCs w:val="24"/>
          <w:highlight w:val="yellow"/>
        </w:rPr>
        <w:t xml:space="preserve">Sample size estimation was determined using the formula described by Naing, Winn and Rusli (2006) for finite population. This formula has been proposed for the sample size that is more than 5% target population </w:t>
      </w:r>
      <w:r w:rsidRPr="00DB78DF">
        <w:rPr>
          <w:rFonts w:ascii="Times New Roman" w:hAnsi="Times New Roman" w:cs="Times New Roman"/>
          <w:color w:val="000000" w:themeColor="text1"/>
          <w:sz w:val="24"/>
          <w:szCs w:val="24"/>
          <w:highlight w:val="yellow"/>
        </w:rPr>
        <w:fldChar w:fldCharType="begin" w:fldLock="1"/>
      </w:r>
      <w:r w:rsidRPr="00DB78DF">
        <w:rPr>
          <w:rFonts w:ascii="Times New Roman" w:hAnsi="Times New Roman" w:cs="Times New Roman"/>
          <w:color w:val="000000" w:themeColor="text1"/>
          <w:sz w:val="24"/>
          <w:szCs w:val="24"/>
          <w:highlight w:val="yellow"/>
        </w:rPr>
        <w:instrText>ADDIN CSL_CITATION {"citationItems":[{"id":"ITEM-1","itemData":{"ISSN":"1823-8602","author":[{"dropping-particle":"","family":"Naing","given":"Lin","non-dropping-particle":"","parse-names":false,"suffix":""},{"dropping-particle":"","family":"Winn","given":"TBNR","non-dropping-particle":"","parse-names":false,"suffix":""},{"dropping-particle":"","family":"Rusli","given":"B N","non-dropping-particle":"","parse-names":false,"suffix":""}],"container-title":"Archives of orofacial Sciences","id":"ITEM-1","issued":{"date-parts":[["2006"]]},"page":"9-14","publisher":"School of Dental Sciences, Universiti Sains Malaysia","title":"Practical issues in calculating the sample size for prevalence studies","type":"article-journal","volume":"1"},"uris":["http://www.mendeley.com/documents/?uuid=6ae1da7a-240f-4c5f-84eb-c07cc93cead1"]}],"mendeley":{"formattedCitation":"(Naing et al., 2006)","plainTextFormattedCitation":"(Naing et al., 2006)","previouslyFormattedCitation":"(Naing et al., 2006)"},"properties":{"noteIndex":0},"schema":"https://github.com/citation-style-language/schema/raw/master/csl-citation.json"}</w:instrText>
      </w:r>
      <w:r w:rsidRPr="00DB78DF">
        <w:rPr>
          <w:rFonts w:ascii="Times New Roman" w:hAnsi="Times New Roman" w:cs="Times New Roman"/>
          <w:color w:val="000000" w:themeColor="text1"/>
          <w:sz w:val="24"/>
          <w:szCs w:val="24"/>
          <w:highlight w:val="yellow"/>
        </w:rPr>
        <w:fldChar w:fldCharType="separate"/>
      </w:r>
      <w:r w:rsidRPr="00DB78DF">
        <w:rPr>
          <w:rFonts w:ascii="Times New Roman" w:hAnsi="Times New Roman" w:cs="Times New Roman"/>
          <w:noProof/>
          <w:color w:val="000000" w:themeColor="text1"/>
          <w:sz w:val="24"/>
          <w:szCs w:val="24"/>
          <w:highlight w:val="yellow"/>
        </w:rPr>
        <w:t>(Naing et al., 2006)</w:t>
      </w:r>
      <w:r w:rsidRPr="00DB78DF">
        <w:rPr>
          <w:rFonts w:ascii="Times New Roman" w:hAnsi="Times New Roman" w:cs="Times New Roman"/>
          <w:color w:val="000000" w:themeColor="text1"/>
          <w:sz w:val="24"/>
          <w:szCs w:val="24"/>
          <w:highlight w:val="yellow"/>
        </w:rPr>
        <w:fldChar w:fldCharType="end"/>
      </w:r>
      <w:r w:rsidRPr="00DB78DF">
        <w:rPr>
          <w:rFonts w:ascii="Times New Roman" w:hAnsi="Times New Roman" w:cs="Times New Roman"/>
          <w:color w:val="000000" w:themeColor="text1"/>
          <w:sz w:val="24"/>
          <w:szCs w:val="24"/>
          <w:highlight w:val="yellow"/>
        </w:rPr>
        <w:t xml:space="preserve"> </w:t>
      </w:r>
      <w:r w:rsidR="00E15CB5">
        <w:rPr>
          <w:rFonts w:ascii="Times New Roman" w:hAnsi="Times New Roman" w:cs="Times New Roman"/>
          <w:color w:val="000000" w:themeColor="text1"/>
          <w:sz w:val="24"/>
          <w:szCs w:val="24"/>
          <w:highlight w:val="yellow"/>
        </w:rPr>
        <w:t>such as our</w:t>
      </w:r>
      <w:bookmarkStart w:id="29" w:name="_GoBack"/>
      <w:bookmarkEnd w:id="29"/>
      <w:r w:rsidRPr="00DB78DF">
        <w:rPr>
          <w:rFonts w:ascii="Times New Roman" w:hAnsi="Times New Roman" w:cs="Times New Roman"/>
          <w:color w:val="000000" w:themeColor="text1"/>
          <w:sz w:val="24"/>
          <w:szCs w:val="24"/>
          <w:highlight w:val="yellow"/>
        </w:rPr>
        <w:t xml:space="preserve"> study. </w:t>
      </w:r>
    </w:p>
    <w:p w14:paraId="2F078878" w14:textId="77777777" w:rsidR="00DB78DF" w:rsidRPr="00DB78DF" w:rsidRDefault="00DB78DF" w:rsidP="00DB78DF">
      <w:pPr>
        <w:autoSpaceDE w:val="0"/>
        <w:autoSpaceDN w:val="0"/>
        <w:adjustRightInd w:val="0"/>
        <w:spacing w:after="0" w:line="360" w:lineRule="auto"/>
        <w:ind w:left="1440"/>
        <w:rPr>
          <w:rFonts w:ascii="Times New Roman" w:hAnsi="Times New Roman"/>
          <w:sz w:val="24"/>
          <w:szCs w:val="24"/>
          <w:highlight w:val="yellow"/>
          <w:vertAlign w:val="superscript"/>
        </w:rPr>
      </w:pPr>
      <w:r w:rsidRPr="00DB78DF">
        <w:rPr>
          <w:rFonts w:ascii="Times New Roman" w:hAnsi="Times New Roman"/>
          <w:noProof/>
          <w:sz w:val="24"/>
          <w:szCs w:val="24"/>
          <w:highlight w:val="yellow"/>
          <w:vertAlign w:val="superscript"/>
        </w:rPr>
        <w:lastRenderedPageBreak/>
        <w:drawing>
          <wp:inline distT="0" distB="0" distL="0" distR="0" wp14:anchorId="7C1E4A0E" wp14:editId="310BF512">
            <wp:extent cx="3362325" cy="13144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325" cy="1314450"/>
                    </a:xfrm>
                    <a:prstGeom prst="rect">
                      <a:avLst/>
                    </a:prstGeom>
                    <a:noFill/>
                    <a:ln>
                      <a:noFill/>
                    </a:ln>
                  </pic:spPr>
                </pic:pic>
              </a:graphicData>
            </a:graphic>
          </wp:inline>
        </w:drawing>
      </w:r>
    </w:p>
    <w:p w14:paraId="4F0B35DD" w14:textId="7385D447" w:rsidR="00DB78DF" w:rsidRPr="002F72C4" w:rsidRDefault="00DB78DF" w:rsidP="00DB78DF">
      <w:pPr>
        <w:spacing w:line="360" w:lineRule="auto"/>
        <w:jc w:val="both"/>
        <w:rPr>
          <w:rFonts w:ascii="Times New Roman" w:hAnsi="Times New Roman" w:cs="Times New Roman"/>
          <w:color w:val="000000" w:themeColor="text1"/>
          <w:sz w:val="24"/>
          <w:szCs w:val="24"/>
          <w:lang w:val="en-GB"/>
        </w:rPr>
      </w:pPr>
      <w:r w:rsidRPr="00DB78DF">
        <w:rPr>
          <w:rFonts w:ascii="Times New Roman" w:hAnsi="Times New Roman"/>
          <w:sz w:val="24"/>
          <w:szCs w:val="24"/>
          <w:highlight w:val="yellow"/>
        </w:rPr>
        <w:t>Where, n</w:t>
      </w:r>
      <w:r w:rsidRPr="00DB78DF">
        <w:rPr>
          <w:rFonts w:ascii="Times New Roman" w:hAnsi="Times New Roman"/>
          <w:sz w:val="24"/>
          <w:szCs w:val="24"/>
          <w:highlight w:val="yellow"/>
          <w:vertAlign w:val="subscript"/>
        </w:rPr>
        <w:t>1</w:t>
      </w:r>
      <w:r w:rsidRPr="00DB78DF">
        <w:rPr>
          <w:rFonts w:ascii="Times New Roman" w:hAnsi="Times New Roman"/>
          <w:sz w:val="24"/>
          <w:szCs w:val="24"/>
          <w:highlight w:val="yellow"/>
        </w:rPr>
        <w:t xml:space="preserve"> is sample size with finite population correction, N is population size of renal transplant patients on follow up at renal unit of Kenyatta National Hospital, which is 130, Z is z- statistic for 95% level of confidence in this study (1.96), p is the estimated proportion of patients with </w:t>
      </w:r>
      <w:r w:rsidR="00FD1812">
        <w:rPr>
          <w:rFonts w:ascii="Times New Roman" w:hAnsi="Times New Roman"/>
          <w:sz w:val="24"/>
          <w:szCs w:val="24"/>
          <w:highlight w:val="yellow"/>
        </w:rPr>
        <w:t xml:space="preserve">satisfactory overall </w:t>
      </w:r>
      <w:r w:rsidRPr="00DB78DF">
        <w:rPr>
          <w:rFonts w:ascii="Times New Roman" w:hAnsi="Times New Roman"/>
          <w:sz w:val="24"/>
          <w:szCs w:val="24"/>
          <w:highlight w:val="yellow"/>
        </w:rPr>
        <w:t>health related quality of life</w:t>
      </w:r>
      <w:r w:rsidR="00FD1812">
        <w:rPr>
          <w:rFonts w:ascii="Times New Roman" w:hAnsi="Times New Roman"/>
          <w:sz w:val="24"/>
          <w:szCs w:val="24"/>
          <w:highlight w:val="yellow"/>
        </w:rPr>
        <w:t>,</w:t>
      </w:r>
      <w:r w:rsidRPr="00DB78DF">
        <w:rPr>
          <w:rFonts w:ascii="Times New Roman" w:hAnsi="Times New Roman"/>
          <w:sz w:val="24"/>
          <w:szCs w:val="24"/>
          <w:highlight w:val="yellow"/>
        </w:rPr>
        <w:t xml:space="preserve"> which has been reported </w:t>
      </w:r>
      <w:r w:rsidR="00FD1812">
        <w:rPr>
          <w:rFonts w:ascii="Times New Roman" w:hAnsi="Times New Roman"/>
          <w:sz w:val="24"/>
          <w:szCs w:val="24"/>
          <w:highlight w:val="yellow"/>
        </w:rPr>
        <w:t>to be</w:t>
      </w:r>
      <w:r w:rsidRPr="00DB78DF">
        <w:rPr>
          <w:rFonts w:ascii="Times New Roman" w:hAnsi="Times New Roman"/>
          <w:sz w:val="24"/>
          <w:szCs w:val="24"/>
          <w:highlight w:val="yellow"/>
        </w:rPr>
        <w:t xml:space="preserve"> approximately 70% from the previous studies </w:t>
      </w:r>
      <w:r w:rsidRPr="00DB78DF">
        <w:rPr>
          <w:rFonts w:ascii="Times New Roman" w:hAnsi="Times New Roman"/>
          <w:sz w:val="24"/>
          <w:szCs w:val="24"/>
          <w:highlight w:val="yellow"/>
        </w:rPr>
        <w:fldChar w:fldCharType="begin" w:fldLock="1"/>
      </w:r>
      <w:r w:rsidR="00BC129A">
        <w:rPr>
          <w:rFonts w:ascii="Times New Roman" w:hAnsi="Times New Roman"/>
          <w:sz w:val="24"/>
          <w:szCs w:val="24"/>
          <w:highlight w:val="yellow"/>
        </w:rPr>
        <w:instrText>ADDIN CSL_CITATION {"citationItems":[{"id":"ITEM-1","itemData":{"ISSN":"2296-875X","author":[{"dropping-particle":"","family":"Vu","given":"Le Nguyen","non-dropping-particle":"","parse-names":false,"suffix":""},{"dropping-particle":"","family":"Nghia","given":"Nguyen Quang","non-dropping-particle":"","parse-names":false,"suffix":""},{"dropping-particle":"","family":"Tuan","given":"Tran Minh","non-dropping-particle":"","parse-names":false,"suffix":""},{"dropping-particle":"","family":"Phuong","given":"Tran Ha","non-dropping-particle":"","parse-names":false,"suffix":""},{"dropping-particle":"","family":"Vo","given":"Hoang-Long","non-dropping-particle":"","parse-names":false,"suffix":""},{"dropping-particle":"","family":"Viet","given":"Khai Ninh","non-dropping-particle":"","parse-names":false,"suffix":""},{"dropping-particle":"","family":"Giang","given":"Tran Binh","non-dropping-particle":"","parse-names":false,"suffix":""}],"container-title":"Frontiers in surgery","id":"ITEM-1","issued":{"date-parts":[["2021"]]},"page":"646629","publisher":"Frontiers Media SA","title":"Measuring health-related quality of life in Vietnamese patients after kidney transplantation","type":"article-journal","volume":"8"},"uris":["http://www.mendeley.com/documents/?uuid=0a48bfb9-ffd5-4965-892c-a4994a3f4964"]}],"mendeley":{"formattedCitation":"(Vu et al., 2021)","plainTextFormattedCitation":"(Vu et al., 2021)","previouslyFormattedCitation":"(Vu et al., 2021)"},"properties":{"noteIndex":0},"schema":"https://github.com/citation-style-language/schema/raw/master/csl-citation.json"}</w:instrText>
      </w:r>
      <w:r w:rsidRPr="00DB78DF">
        <w:rPr>
          <w:rFonts w:ascii="Times New Roman" w:hAnsi="Times New Roman"/>
          <w:sz w:val="24"/>
          <w:szCs w:val="24"/>
          <w:highlight w:val="yellow"/>
        </w:rPr>
        <w:fldChar w:fldCharType="separate"/>
      </w:r>
      <w:r w:rsidRPr="00DB78DF">
        <w:rPr>
          <w:rFonts w:ascii="Times New Roman" w:hAnsi="Times New Roman"/>
          <w:noProof/>
          <w:sz w:val="24"/>
          <w:szCs w:val="24"/>
          <w:highlight w:val="yellow"/>
        </w:rPr>
        <w:t>(Vu et al., 2021)</w:t>
      </w:r>
      <w:r w:rsidRPr="00DB78DF">
        <w:rPr>
          <w:rFonts w:ascii="Times New Roman" w:hAnsi="Times New Roman"/>
          <w:sz w:val="24"/>
          <w:szCs w:val="24"/>
          <w:highlight w:val="yellow"/>
        </w:rPr>
        <w:fldChar w:fldCharType="end"/>
      </w:r>
      <w:r w:rsidRPr="00DB78DF">
        <w:rPr>
          <w:rFonts w:ascii="Times New Roman" w:hAnsi="Times New Roman"/>
          <w:sz w:val="24"/>
          <w:szCs w:val="24"/>
          <w:highlight w:val="yellow"/>
        </w:rPr>
        <w:t xml:space="preserve"> and,  d is precision at  5% in our study. Substitution in the equation gave a </w:t>
      </w:r>
      <w:r w:rsidRPr="00DB78DF">
        <w:rPr>
          <w:rFonts w:ascii="Times New Roman" w:hAnsi="Times New Roman" w:cs="Times New Roman"/>
          <w:color w:val="000000" w:themeColor="text1"/>
          <w:sz w:val="24"/>
          <w:szCs w:val="24"/>
          <w:highlight w:val="yellow"/>
        </w:rPr>
        <w:t xml:space="preserve">minimum sample size of 84. </w:t>
      </w:r>
      <w:r w:rsidRPr="00DB78DF">
        <w:rPr>
          <w:rFonts w:ascii="Times New Roman" w:hAnsi="Times New Roman"/>
          <w:color w:val="000000" w:themeColor="text1"/>
          <w:sz w:val="24"/>
          <w:szCs w:val="24"/>
          <w:highlight w:val="yellow"/>
        </w:rPr>
        <w:t>However, a</w:t>
      </w:r>
      <w:r w:rsidRPr="00DB78DF">
        <w:rPr>
          <w:rFonts w:ascii="Times New Roman" w:hAnsi="Times New Roman" w:cs="Times New Roman"/>
          <w:color w:val="000000" w:themeColor="text1"/>
          <w:sz w:val="24"/>
          <w:szCs w:val="24"/>
          <w:highlight w:val="yellow"/>
        </w:rPr>
        <w:t xml:space="preserve"> </w:t>
      </w:r>
      <w:r w:rsidRPr="00DB78DF">
        <w:rPr>
          <w:rFonts w:ascii="Times New Roman" w:hAnsi="Times New Roman" w:cs="Times New Roman"/>
          <w:color w:val="000000" w:themeColor="text1"/>
          <w:sz w:val="24"/>
          <w:szCs w:val="24"/>
          <w:highlight w:val="yellow"/>
          <w:lang w:val="en-GB"/>
        </w:rPr>
        <w:t xml:space="preserve">total of 92 renal transplant patients were screened for eligibility but 80 were eligible. Six were excluded because of repeat hospital visits,3 were hospitalized and were too weak to participate in the study while the other 3 patients declined consent. </w:t>
      </w:r>
      <w:r w:rsidRPr="00DB78DF">
        <w:rPr>
          <w:rFonts w:ascii="Times New Roman" w:hAnsi="Times New Roman" w:cs="Times New Roman"/>
          <w:color w:val="000000" w:themeColor="text1"/>
          <w:sz w:val="24"/>
          <w:szCs w:val="24"/>
          <w:highlight w:val="yellow"/>
        </w:rPr>
        <w:t>Consecutive sampling was used in selection of study participants. Files of patients on follow up were scrutinized for eligibility criteria. File numbers of patients who met eligibility criteria were recorded on a separate list to avoid confusion and duplication of data. This procedure was repeated until the required sample size was achieved.</w:t>
      </w:r>
      <w:r w:rsidRPr="002F72C4">
        <w:rPr>
          <w:rFonts w:ascii="Times New Roman" w:hAnsi="Times New Roman" w:cs="Times New Roman"/>
          <w:color w:val="000000" w:themeColor="text1"/>
          <w:sz w:val="24"/>
          <w:szCs w:val="24"/>
        </w:rPr>
        <w:t xml:space="preserve"> </w:t>
      </w:r>
    </w:p>
    <w:p w14:paraId="2EBB2639" w14:textId="77777777" w:rsidR="003165E5" w:rsidRPr="002F72C4" w:rsidRDefault="003165E5" w:rsidP="003165E5">
      <w:pPr>
        <w:pStyle w:val="Heading2"/>
        <w:spacing w:line="360" w:lineRule="auto"/>
        <w:jc w:val="both"/>
        <w:rPr>
          <w:rFonts w:cs="Times New Roman"/>
          <w:b/>
          <w:color w:val="000000" w:themeColor="text1"/>
          <w:szCs w:val="24"/>
        </w:rPr>
      </w:pPr>
      <w:r w:rsidRPr="002F72C4">
        <w:rPr>
          <w:rFonts w:cs="Times New Roman"/>
          <w:b/>
          <w:color w:val="000000" w:themeColor="text1"/>
          <w:szCs w:val="24"/>
        </w:rPr>
        <w:t>Participants Recruitment and Consenting Process</w:t>
      </w:r>
      <w:bookmarkEnd w:id="25"/>
      <w:bookmarkEnd w:id="26"/>
      <w:bookmarkEnd w:id="27"/>
      <w:bookmarkEnd w:id="28"/>
    </w:p>
    <w:p w14:paraId="5CB63398" w14:textId="6487EA05" w:rsidR="003165E5" w:rsidRPr="002F72C4" w:rsidRDefault="003165E5" w:rsidP="003165E5">
      <w:pPr>
        <w:autoSpaceDE w:val="0"/>
        <w:autoSpaceDN w:val="0"/>
        <w:adjustRightInd w:val="0"/>
        <w:spacing w:after="0"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Eligible patients presenting for follow up at the renal transplant outpatient clinic were recruited before seeing their physician. Adequate oral and written information about the purpose, nature and possible risks and benefit of the stu</w:t>
      </w:r>
      <w:r w:rsidR="0087255E" w:rsidRPr="002F72C4">
        <w:rPr>
          <w:rFonts w:ascii="Times New Roman" w:hAnsi="Times New Roman" w:cs="Times New Roman"/>
          <w:color w:val="000000" w:themeColor="text1"/>
          <w:sz w:val="24"/>
          <w:szCs w:val="24"/>
        </w:rPr>
        <w:t xml:space="preserve">dy were provided. Patients </w:t>
      </w:r>
      <w:r w:rsidRPr="002F72C4">
        <w:rPr>
          <w:rFonts w:ascii="Times New Roman" w:hAnsi="Times New Roman" w:cs="Times New Roman"/>
          <w:color w:val="000000" w:themeColor="text1"/>
          <w:sz w:val="24"/>
          <w:szCs w:val="24"/>
        </w:rPr>
        <w:t xml:space="preserve">were notified about the right to withdraw from the study without </w:t>
      </w:r>
      <w:r w:rsidR="00415279" w:rsidRPr="002F72C4">
        <w:rPr>
          <w:rFonts w:ascii="Times New Roman" w:hAnsi="Times New Roman" w:cs="Times New Roman"/>
          <w:color w:val="000000" w:themeColor="text1"/>
          <w:sz w:val="24"/>
          <w:szCs w:val="24"/>
        </w:rPr>
        <w:t>grim</w:t>
      </w:r>
      <w:r w:rsidRPr="002F72C4">
        <w:rPr>
          <w:rFonts w:ascii="Times New Roman" w:hAnsi="Times New Roman" w:cs="Times New Roman"/>
          <w:color w:val="000000" w:themeColor="text1"/>
          <w:sz w:val="24"/>
          <w:szCs w:val="24"/>
        </w:rPr>
        <w:t xml:space="preserve"> consequen</w:t>
      </w:r>
      <w:r w:rsidR="00EC7A36" w:rsidRPr="002F72C4">
        <w:rPr>
          <w:rFonts w:ascii="Times New Roman" w:hAnsi="Times New Roman" w:cs="Times New Roman"/>
          <w:color w:val="000000" w:themeColor="text1"/>
          <w:sz w:val="24"/>
          <w:szCs w:val="24"/>
        </w:rPr>
        <w:t>ces.</w:t>
      </w:r>
    </w:p>
    <w:p w14:paraId="54E634B8" w14:textId="77777777" w:rsidR="003165E5" w:rsidRPr="002F72C4" w:rsidRDefault="003165E5" w:rsidP="003165E5">
      <w:pPr>
        <w:pStyle w:val="Heading2"/>
        <w:spacing w:line="360" w:lineRule="auto"/>
        <w:jc w:val="both"/>
        <w:rPr>
          <w:rFonts w:cs="Times New Roman"/>
          <w:b/>
          <w:color w:val="000000" w:themeColor="text1"/>
          <w:szCs w:val="24"/>
        </w:rPr>
      </w:pPr>
      <w:bookmarkStart w:id="30" w:name="_Toc5626675"/>
      <w:bookmarkStart w:id="31" w:name="_Toc536521908"/>
      <w:bookmarkStart w:id="32" w:name="_Toc536452259"/>
      <w:bookmarkStart w:id="33" w:name="_Toc86908043"/>
      <w:r w:rsidRPr="002F72C4">
        <w:rPr>
          <w:rFonts w:cs="Times New Roman"/>
          <w:b/>
          <w:color w:val="000000" w:themeColor="text1"/>
          <w:szCs w:val="24"/>
        </w:rPr>
        <w:t>Research Instruments and Data Collection</w:t>
      </w:r>
      <w:bookmarkEnd w:id="30"/>
      <w:bookmarkEnd w:id="31"/>
      <w:bookmarkEnd w:id="32"/>
      <w:bookmarkEnd w:id="33"/>
      <w:r w:rsidRPr="002F72C4">
        <w:rPr>
          <w:rFonts w:cs="Times New Roman"/>
          <w:b/>
          <w:color w:val="000000" w:themeColor="text1"/>
          <w:szCs w:val="24"/>
        </w:rPr>
        <w:t xml:space="preserve"> </w:t>
      </w:r>
    </w:p>
    <w:p w14:paraId="1E816344" w14:textId="7785CAB8" w:rsidR="003165E5" w:rsidRPr="002F72C4" w:rsidRDefault="00415279" w:rsidP="003165E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study used the worldwide established Kidney Transplant Questionnaire-25 (KTQ-25) to collect the health related quality of life data. In addition, a</w:t>
      </w:r>
      <w:r w:rsidR="003165E5" w:rsidRPr="002F72C4">
        <w:rPr>
          <w:rFonts w:ascii="Times New Roman" w:hAnsi="Times New Roman" w:cs="Times New Roman"/>
          <w:color w:val="000000" w:themeColor="text1"/>
          <w:sz w:val="24"/>
          <w:szCs w:val="24"/>
        </w:rPr>
        <w:t xml:space="preserve"> data collection form designed based on the research objectives, </w:t>
      </w:r>
      <w:r>
        <w:rPr>
          <w:rFonts w:ascii="Times New Roman" w:hAnsi="Times New Roman" w:cs="Times New Roman"/>
          <w:color w:val="000000" w:themeColor="text1"/>
          <w:sz w:val="24"/>
          <w:szCs w:val="24"/>
        </w:rPr>
        <w:t xml:space="preserve">was </w:t>
      </w:r>
      <w:r w:rsidR="003165E5" w:rsidRPr="002F72C4">
        <w:rPr>
          <w:rFonts w:ascii="Times New Roman" w:hAnsi="Times New Roman" w:cs="Times New Roman"/>
          <w:color w:val="000000" w:themeColor="text1"/>
          <w:sz w:val="24"/>
          <w:szCs w:val="24"/>
        </w:rPr>
        <w:t>used</w:t>
      </w:r>
      <w:r w:rsidR="00A16FD1" w:rsidRPr="002F72C4">
        <w:rPr>
          <w:rFonts w:ascii="Times New Roman" w:hAnsi="Times New Roman" w:cs="Times New Roman"/>
          <w:color w:val="000000" w:themeColor="text1"/>
          <w:sz w:val="24"/>
          <w:szCs w:val="24"/>
        </w:rPr>
        <w:t xml:space="preserve"> to obtain information on </w:t>
      </w:r>
      <w:r>
        <w:rPr>
          <w:rFonts w:ascii="Times New Roman" w:hAnsi="Times New Roman" w:cs="Times New Roman"/>
          <w:color w:val="000000" w:themeColor="text1"/>
          <w:sz w:val="24"/>
          <w:szCs w:val="24"/>
        </w:rPr>
        <w:t>socio-demographics, comorbidities and serum creatinine levels, which could impact on HRQoL.</w:t>
      </w:r>
    </w:p>
    <w:p w14:paraId="64C9FB2C" w14:textId="77777777" w:rsidR="003165E5" w:rsidRPr="002F72C4" w:rsidRDefault="003165E5" w:rsidP="003165E5">
      <w:pPr>
        <w:autoSpaceDE w:val="0"/>
        <w:autoSpaceDN w:val="0"/>
        <w:adjustRightInd w:val="0"/>
        <w:spacing w:after="0" w:line="360" w:lineRule="auto"/>
        <w:ind w:left="1440"/>
        <w:jc w:val="both"/>
        <w:rPr>
          <w:rFonts w:ascii="Times New Roman" w:hAnsi="Times New Roman" w:cs="Times New Roman"/>
          <w:color w:val="000000" w:themeColor="text1"/>
          <w:sz w:val="24"/>
          <w:szCs w:val="24"/>
        </w:rPr>
      </w:pPr>
    </w:p>
    <w:p w14:paraId="33B5AE29" w14:textId="77777777" w:rsidR="003165E5" w:rsidRPr="002F72C4" w:rsidRDefault="00A16FD1" w:rsidP="00804C4E">
      <w:pPr>
        <w:pStyle w:val="Heading3"/>
        <w:spacing w:before="0" w:line="360" w:lineRule="auto"/>
        <w:jc w:val="both"/>
        <w:rPr>
          <w:rFonts w:ascii="Times New Roman" w:hAnsi="Times New Roman" w:cs="Times New Roman"/>
          <w:b/>
          <w:color w:val="000000" w:themeColor="text1"/>
        </w:rPr>
      </w:pPr>
      <w:r w:rsidRPr="002F72C4">
        <w:rPr>
          <w:rFonts w:ascii="Times New Roman" w:hAnsi="Times New Roman" w:cs="Times New Roman"/>
          <w:b/>
          <w:color w:val="000000" w:themeColor="text1"/>
        </w:rPr>
        <w:lastRenderedPageBreak/>
        <w:t>Data Analysis</w:t>
      </w:r>
    </w:p>
    <w:p w14:paraId="76E5C53B" w14:textId="01F14A86" w:rsidR="00E44CDA" w:rsidRPr="002F72C4" w:rsidRDefault="00107DB8" w:rsidP="00415279">
      <w:pPr>
        <w:shd w:val="clear" w:color="auto" w:fill="FFFFFF"/>
        <w:spacing w:beforeLines="150" w:before="360" w:afterLines="150" w:after="360"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Data was analyzed using STATA Version 13.0. Normally distributed continuous variables were summarized as means and standard deviations. Abnormally distributed variables were summarized as median and interquartile range</w:t>
      </w:r>
      <w:r w:rsidR="00415279">
        <w:rPr>
          <w:rFonts w:ascii="Times New Roman" w:hAnsi="Times New Roman" w:cs="Times New Roman"/>
          <w:color w:val="000000" w:themeColor="text1"/>
          <w:sz w:val="24"/>
          <w:szCs w:val="24"/>
        </w:rPr>
        <w:t>s</w:t>
      </w:r>
      <w:r w:rsidRPr="002F72C4">
        <w:rPr>
          <w:rFonts w:ascii="Times New Roman" w:hAnsi="Times New Roman" w:cs="Times New Roman"/>
          <w:color w:val="000000" w:themeColor="text1"/>
          <w:sz w:val="24"/>
          <w:szCs w:val="24"/>
        </w:rPr>
        <w:t>. To determine the impact of socio-demographic and clinical variables on HRQoL, univariate and multivariate analyses were</w:t>
      </w:r>
      <w:r w:rsidR="00B95399" w:rsidRPr="002F72C4">
        <w:rPr>
          <w:rFonts w:ascii="Times New Roman" w:hAnsi="Times New Roman" w:cs="Times New Roman"/>
          <w:color w:val="000000" w:themeColor="text1"/>
          <w:sz w:val="24"/>
          <w:szCs w:val="24"/>
        </w:rPr>
        <w:t xml:space="preserve"> </w:t>
      </w:r>
      <w:r w:rsidR="00EB1675" w:rsidRPr="002F72C4">
        <w:rPr>
          <w:rFonts w:ascii="Times New Roman" w:hAnsi="Times New Roman" w:cs="Times New Roman"/>
          <w:color w:val="000000" w:themeColor="text1"/>
          <w:sz w:val="24"/>
          <w:szCs w:val="24"/>
        </w:rPr>
        <w:t>performed.</w:t>
      </w:r>
      <w:r w:rsidR="00E44CDA" w:rsidRPr="002F72C4">
        <w:rPr>
          <w:rFonts w:ascii="Times New Roman" w:hAnsi="Times New Roman" w:cs="Times New Roman"/>
          <w:color w:val="000000" w:themeColor="text1"/>
          <w:sz w:val="24"/>
          <w:szCs w:val="24"/>
        </w:rPr>
        <w:t xml:space="preserve"> </w:t>
      </w:r>
      <w:r w:rsidR="00B95399" w:rsidRPr="002F72C4">
        <w:rPr>
          <w:rFonts w:ascii="Times New Roman" w:hAnsi="Times New Roman" w:cs="Times New Roman"/>
          <w:color w:val="000000" w:themeColor="text1"/>
          <w:sz w:val="24"/>
          <w:szCs w:val="24"/>
        </w:rPr>
        <w:t xml:space="preserve">Associations between </w:t>
      </w:r>
      <w:r w:rsidR="00415279">
        <w:rPr>
          <w:rFonts w:ascii="Times New Roman" w:hAnsi="Times New Roman" w:cs="Times New Roman"/>
          <w:color w:val="000000" w:themeColor="text1"/>
          <w:sz w:val="24"/>
          <w:szCs w:val="24"/>
        </w:rPr>
        <w:t xml:space="preserve">HRQoL scores and </w:t>
      </w:r>
      <w:r w:rsidR="00B95399" w:rsidRPr="002F72C4">
        <w:rPr>
          <w:rFonts w:ascii="Times New Roman" w:hAnsi="Times New Roman" w:cs="Times New Roman"/>
          <w:color w:val="000000" w:themeColor="text1"/>
          <w:sz w:val="24"/>
          <w:szCs w:val="24"/>
        </w:rPr>
        <w:t>socio-demographic and clinical variables were determined using</w:t>
      </w:r>
      <w:r w:rsidR="00E44CDA" w:rsidRPr="002F72C4">
        <w:rPr>
          <w:rFonts w:ascii="Times New Roman" w:hAnsi="Times New Roman" w:cs="Times New Roman"/>
          <w:color w:val="000000" w:themeColor="text1"/>
          <w:sz w:val="24"/>
          <w:szCs w:val="24"/>
        </w:rPr>
        <w:t xml:space="preserve"> </w:t>
      </w:r>
      <w:r w:rsidR="0096565D" w:rsidRPr="002F72C4">
        <w:rPr>
          <w:rFonts w:ascii="Times New Roman" w:hAnsi="Times New Roman" w:cs="Times New Roman"/>
          <w:color w:val="000000" w:themeColor="text1"/>
          <w:sz w:val="24"/>
          <w:szCs w:val="24"/>
        </w:rPr>
        <w:t>bivariate analysis.  Linear</w:t>
      </w:r>
      <w:r w:rsidRPr="002F72C4">
        <w:rPr>
          <w:rFonts w:ascii="Times New Roman" w:hAnsi="Times New Roman" w:cs="Times New Roman"/>
          <w:color w:val="000000" w:themeColor="text1"/>
          <w:sz w:val="24"/>
          <w:szCs w:val="24"/>
        </w:rPr>
        <w:t xml:space="preserve"> regression was conducted to determine predictors of </w:t>
      </w:r>
      <w:r w:rsidR="00415279">
        <w:rPr>
          <w:rFonts w:ascii="Times New Roman" w:hAnsi="Times New Roman" w:cs="Times New Roman"/>
          <w:color w:val="000000" w:themeColor="text1"/>
          <w:sz w:val="24"/>
          <w:szCs w:val="24"/>
        </w:rPr>
        <w:t>HRQoL among</w:t>
      </w:r>
      <w:r w:rsidRPr="002F72C4">
        <w:rPr>
          <w:rFonts w:ascii="Times New Roman" w:hAnsi="Times New Roman" w:cs="Times New Roman"/>
          <w:color w:val="000000" w:themeColor="text1"/>
          <w:sz w:val="24"/>
          <w:szCs w:val="24"/>
        </w:rPr>
        <w:t xml:space="preserve"> kidney transplant recipients. The level of s</w:t>
      </w:r>
      <w:r w:rsidR="00E44CDA" w:rsidRPr="002F72C4">
        <w:rPr>
          <w:rFonts w:ascii="Times New Roman" w:hAnsi="Times New Roman" w:cs="Times New Roman"/>
          <w:color w:val="000000" w:themeColor="text1"/>
          <w:sz w:val="24"/>
          <w:szCs w:val="24"/>
        </w:rPr>
        <w:t xml:space="preserve">ignificance was set at </w:t>
      </w:r>
      <w:r w:rsidR="00415279">
        <w:rPr>
          <w:rFonts w:ascii="Times New Roman" w:hAnsi="Times New Roman" w:cs="Times New Roman"/>
          <w:color w:val="000000" w:themeColor="text1"/>
          <w:sz w:val="24"/>
          <w:szCs w:val="24"/>
        </w:rPr>
        <w:t>p</w:t>
      </w:r>
      <w:r w:rsidR="00E44CDA" w:rsidRPr="002F72C4">
        <w:rPr>
          <w:rFonts w:ascii="Times New Roman" w:hAnsi="Times New Roman" w:cs="Times New Roman"/>
          <w:color w:val="000000" w:themeColor="text1"/>
          <w:sz w:val="24"/>
          <w:szCs w:val="24"/>
        </w:rPr>
        <w:t xml:space="preserve"> </w:t>
      </w:r>
      <w:r w:rsidR="00415279">
        <w:rPr>
          <w:rFonts w:ascii="Times New Roman" w:hAnsi="Times New Roman" w:cs="Times New Roman"/>
          <w:color w:val="000000" w:themeColor="text1"/>
          <w:sz w:val="24"/>
          <w:szCs w:val="24"/>
        </w:rPr>
        <w:t>≤</w:t>
      </w:r>
      <w:r w:rsidR="00E44CDA" w:rsidRPr="002F72C4">
        <w:rPr>
          <w:rFonts w:ascii="Times New Roman" w:hAnsi="Times New Roman" w:cs="Times New Roman"/>
          <w:color w:val="000000" w:themeColor="text1"/>
          <w:sz w:val="24"/>
          <w:szCs w:val="24"/>
        </w:rPr>
        <w:t xml:space="preserve"> 0.05.</w:t>
      </w:r>
      <w:r w:rsidR="00415279" w:rsidRPr="00415279">
        <w:rPr>
          <w:rFonts w:ascii="Times New Roman" w:hAnsi="Times New Roman" w:cs="Times New Roman"/>
          <w:color w:val="000000" w:themeColor="text1"/>
          <w:sz w:val="24"/>
          <w:szCs w:val="24"/>
        </w:rPr>
        <w:t xml:space="preserve"> </w:t>
      </w:r>
      <w:r w:rsidR="00415279" w:rsidRPr="002F72C4">
        <w:rPr>
          <w:rFonts w:ascii="Times New Roman" w:hAnsi="Times New Roman" w:cs="Times New Roman"/>
          <w:color w:val="000000" w:themeColor="text1"/>
          <w:sz w:val="24"/>
          <w:szCs w:val="24"/>
        </w:rPr>
        <w:t>The results were presented in form of tables, charts and graphs.</w:t>
      </w:r>
    </w:p>
    <w:p w14:paraId="3644384C" w14:textId="77777777" w:rsidR="00A57923" w:rsidRPr="002F72C4" w:rsidRDefault="00F56200" w:rsidP="00A57923">
      <w:pPr>
        <w:shd w:val="clear" w:color="auto" w:fill="FFFFFF"/>
        <w:spacing w:beforeLines="150" w:before="360" w:afterLines="150" w:after="360" w:line="360" w:lineRule="auto"/>
        <w:jc w:val="both"/>
        <w:rPr>
          <w:rFonts w:ascii="Times New Roman" w:hAnsi="Times New Roman" w:cs="Times New Roman"/>
          <w:b/>
          <w:color w:val="000000" w:themeColor="text1"/>
          <w:sz w:val="24"/>
          <w:szCs w:val="24"/>
        </w:rPr>
      </w:pPr>
      <w:r w:rsidRPr="002F72C4">
        <w:rPr>
          <w:rFonts w:ascii="Times New Roman" w:hAnsi="Times New Roman" w:cs="Times New Roman"/>
          <w:b/>
          <w:color w:val="000000" w:themeColor="text1"/>
          <w:sz w:val="24"/>
          <w:szCs w:val="24"/>
        </w:rPr>
        <w:t>Ethical consideration</w:t>
      </w:r>
    </w:p>
    <w:p w14:paraId="3D1127D8" w14:textId="6BE6CF0B" w:rsidR="00005592" w:rsidRPr="002F72C4" w:rsidRDefault="00C4381E" w:rsidP="00A57923">
      <w:pPr>
        <w:shd w:val="clear" w:color="auto" w:fill="FFFFFF"/>
        <w:spacing w:beforeLines="150" w:before="360" w:afterLines="150" w:after="360" w:line="360" w:lineRule="auto"/>
        <w:jc w:val="both"/>
        <w:rPr>
          <w:rFonts w:ascii="Times New Roman" w:hAnsi="Times New Roman" w:cs="Times New Roman"/>
          <w:b/>
          <w:color w:val="000000" w:themeColor="text1"/>
          <w:sz w:val="24"/>
          <w:szCs w:val="24"/>
        </w:rPr>
      </w:pPr>
      <w:r w:rsidRPr="002F72C4">
        <w:rPr>
          <w:rFonts w:ascii="Times New Roman" w:hAnsi="Times New Roman" w:cs="Times New Roman"/>
          <w:color w:val="000000" w:themeColor="text1"/>
          <w:sz w:val="24"/>
          <w:szCs w:val="24"/>
        </w:rPr>
        <w:t>Permission to carry out this study was granted by the KNH/UON Ethics and re</w:t>
      </w:r>
      <w:r w:rsidR="00415279">
        <w:rPr>
          <w:rFonts w:ascii="Times New Roman" w:hAnsi="Times New Roman" w:cs="Times New Roman"/>
          <w:color w:val="000000" w:themeColor="text1"/>
          <w:sz w:val="24"/>
          <w:szCs w:val="24"/>
        </w:rPr>
        <w:t>search committee (KNH/UON-ERC) vide a</w:t>
      </w:r>
      <w:r w:rsidRPr="002F72C4">
        <w:rPr>
          <w:rFonts w:ascii="Times New Roman" w:hAnsi="Times New Roman" w:cs="Times New Roman"/>
          <w:color w:val="000000" w:themeColor="text1"/>
          <w:sz w:val="24"/>
          <w:szCs w:val="24"/>
        </w:rPr>
        <w:t xml:space="preserve">pproval reference </w:t>
      </w:r>
      <w:r w:rsidR="00415279">
        <w:rPr>
          <w:rFonts w:ascii="Times New Roman" w:hAnsi="Times New Roman" w:cs="Times New Roman"/>
          <w:color w:val="000000" w:themeColor="text1"/>
          <w:sz w:val="24"/>
          <w:szCs w:val="24"/>
        </w:rPr>
        <w:t>number</w:t>
      </w:r>
      <w:r w:rsidRPr="002F72C4">
        <w:rPr>
          <w:rFonts w:ascii="Times New Roman" w:hAnsi="Times New Roman" w:cs="Times New Roman"/>
          <w:color w:val="000000" w:themeColor="text1"/>
          <w:sz w:val="24"/>
          <w:szCs w:val="24"/>
        </w:rPr>
        <w:t xml:space="preserve"> P70/02/2021. Oral and written consent was sought from eligible participants. Participant information was safeguarded using unique identifier codes</w:t>
      </w:r>
      <w:r w:rsidR="00415279">
        <w:rPr>
          <w:rFonts w:ascii="Times New Roman" w:hAnsi="Times New Roman" w:cs="Times New Roman"/>
          <w:color w:val="000000" w:themeColor="text1"/>
          <w:sz w:val="24"/>
          <w:szCs w:val="24"/>
        </w:rPr>
        <w:t xml:space="preserve"> throughout the study</w:t>
      </w:r>
      <w:r w:rsidRPr="002F72C4">
        <w:rPr>
          <w:rFonts w:ascii="Times New Roman" w:hAnsi="Times New Roman" w:cs="Times New Roman"/>
          <w:color w:val="000000" w:themeColor="text1"/>
          <w:sz w:val="24"/>
          <w:szCs w:val="24"/>
        </w:rPr>
        <w:t>.</w:t>
      </w:r>
    </w:p>
    <w:p w14:paraId="5632701F" w14:textId="18A5430F" w:rsidR="003165E5" w:rsidRPr="002F72C4" w:rsidRDefault="003165E5" w:rsidP="0096140D">
      <w:pPr>
        <w:pStyle w:val="Heading1"/>
        <w:rPr>
          <w:rFonts w:eastAsia="Calibri" w:cs="Times New Roman"/>
          <w:b/>
          <w:color w:val="000000" w:themeColor="text1"/>
          <w:szCs w:val="24"/>
          <w:lang w:val="en-GB"/>
        </w:rPr>
      </w:pPr>
      <w:bookmarkStart w:id="34" w:name="_Toc86908057"/>
      <w:r w:rsidRPr="002F72C4">
        <w:rPr>
          <w:rFonts w:eastAsia="Calibri" w:cs="Times New Roman"/>
          <w:b/>
          <w:color w:val="000000" w:themeColor="text1"/>
          <w:szCs w:val="24"/>
          <w:lang w:val="en-GB"/>
        </w:rPr>
        <w:t>R</w:t>
      </w:r>
      <w:bookmarkEnd w:id="34"/>
      <w:r w:rsidR="008F0BB5" w:rsidRPr="002F72C4">
        <w:rPr>
          <w:rFonts w:eastAsia="Calibri" w:cs="Times New Roman"/>
          <w:b/>
          <w:color w:val="000000" w:themeColor="text1"/>
          <w:szCs w:val="24"/>
          <w:lang w:val="en-GB"/>
        </w:rPr>
        <w:t>esults</w:t>
      </w:r>
    </w:p>
    <w:p w14:paraId="68042941" w14:textId="77777777" w:rsidR="003165E5" w:rsidRPr="002F72C4" w:rsidRDefault="003165E5" w:rsidP="003165E5">
      <w:pPr>
        <w:autoSpaceDE w:val="0"/>
        <w:autoSpaceDN w:val="0"/>
        <w:adjustRightInd w:val="0"/>
        <w:spacing w:after="0" w:line="360" w:lineRule="auto"/>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A total of 80 study participants were recruited into the study. Table 1 summarizes their sociodemographic </w:t>
      </w:r>
      <w:r w:rsidR="00C9165F" w:rsidRPr="002F72C4">
        <w:rPr>
          <w:rFonts w:ascii="Times New Roman" w:eastAsia="Calibri" w:hAnsi="Times New Roman" w:cs="Times New Roman"/>
          <w:color w:val="000000" w:themeColor="text1"/>
          <w:sz w:val="24"/>
          <w:szCs w:val="24"/>
          <w:lang w:val="en-GB"/>
        </w:rPr>
        <w:t xml:space="preserve">and clinical </w:t>
      </w:r>
      <w:r w:rsidRPr="002F72C4">
        <w:rPr>
          <w:rFonts w:ascii="Times New Roman" w:eastAsia="Calibri" w:hAnsi="Times New Roman" w:cs="Times New Roman"/>
          <w:color w:val="000000" w:themeColor="text1"/>
          <w:sz w:val="24"/>
          <w:szCs w:val="24"/>
          <w:lang w:val="en-GB"/>
        </w:rPr>
        <w:t>characteristics.</w:t>
      </w:r>
    </w:p>
    <w:p w14:paraId="02AF9435" w14:textId="77777777" w:rsidR="003165E5" w:rsidRPr="002F72C4" w:rsidRDefault="003165E5" w:rsidP="0080223D">
      <w:pPr>
        <w:pStyle w:val="Caption"/>
        <w:rPr>
          <w:rFonts w:ascii="Times New Roman" w:eastAsia="Calibri" w:hAnsi="Times New Roman"/>
          <w:b w:val="0"/>
          <w:color w:val="000000" w:themeColor="text1"/>
          <w:sz w:val="24"/>
          <w:szCs w:val="24"/>
          <w:lang w:val="en-GB"/>
        </w:rPr>
      </w:pPr>
      <w:bookmarkStart w:id="35" w:name="_Toc86835612"/>
      <w:bookmarkStart w:id="36" w:name="_Toc86835596"/>
      <w:r w:rsidRPr="002F72C4">
        <w:rPr>
          <w:rFonts w:ascii="Times New Roman" w:hAnsi="Times New Roman"/>
          <w:color w:val="000000" w:themeColor="text1"/>
          <w:sz w:val="24"/>
          <w:szCs w:val="24"/>
        </w:rPr>
        <w:t xml:space="preserve">Table </w:t>
      </w:r>
      <w:r w:rsidRPr="002F72C4">
        <w:rPr>
          <w:rFonts w:ascii="Times New Roman" w:hAnsi="Times New Roman"/>
          <w:color w:val="000000" w:themeColor="text1"/>
          <w:sz w:val="24"/>
          <w:szCs w:val="24"/>
        </w:rPr>
        <w:fldChar w:fldCharType="begin"/>
      </w:r>
      <w:r w:rsidRPr="002F72C4">
        <w:rPr>
          <w:rFonts w:ascii="Times New Roman" w:hAnsi="Times New Roman"/>
          <w:color w:val="000000" w:themeColor="text1"/>
          <w:sz w:val="24"/>
          <w:szCs w:val="24"/>
        </w:rPr>
        <w:instrText xml:space="preserve"> SEQ Table \* ARABIC </w:instrText>
      </w:r>
      <w:r w:rsidRPr="002F72C4">
        <w:rPr>
          <w:rFonts w:ascii="Times New Roman" w:hAnsi="Times New Roman"/>
          <w:color w:val="000000" w:themeColor="text1"/>
          <w:sz w:val="24"/>
          <w:szCs w:val="24"/>
        </w:rPr>
        <w:fldChar w:fldCharType="separate"/>
      </w:r>
      <w:r w:rsidR="00B66BFA" w:rsidRPr="002F72C4">
        <w:rPr>
          <w:rFonts w:ascii="Times New Roman" w:hAnsi="Times New Roman"/>
          <w:noProof/>
          <w:color w:val="000000" w:themeColor="text1"/>
          <w:sz w:val="24"/>
          <w:szCs w:val="24"/>
        </w:rPr>
        <w:t>1</w:t>
      </w:r>
      <w:r w:rsidRPr="002F72C4">
        <w:rPr>
          <w:rFonts w:ascii="Times New Roman" w:hAnsi="Times New Roman"/>
          <w:color w:val="000000" w:themeColor="text1"/>
          <w:sz w:val="24"/>
          <w:szCs w:val="24"/>
        </w:rPr>
        <w:fldChar w:fldCharType="end"/>
      </w:r>
      <w:r w:rsidRPr="002F72C4">
        <w:rPr>
          <w:rFonts w:ascii="Times New Roman" w:hAnsi="Times New Roman"/>
          <w:color w:val="000000" w:themeColor="text1"/>
          <w:sz w:val="24"/>
          <w:szCs w:val="24"/>
        </w:rPr>
        <w:t xml:space="preserve">: </w:t>
      </w:r>
      <w:r w:rsidRPr="002F72C4">
        <w:rPr>
          <w:rFonts w:ascii="Times New Roman" w:eastAsia="Calibri" w:hAnsi="Times New Roman"/>
          <w:color w:val="000000" w:themeColor="text1"/>
          <w:sz w:val="24"/>
          <w:szCs w:val="24"/>
          <w:lang w:val="en-GB"/>
        </w:rPr>
        <w:t>Part</w:t>
      </w:r>
      <w:r w:rsidR="00C9165F" w:rsidRPr="002F72C4">
        <w:rPr>
          <w:rFonts w:ascii="Times New Roman" w:eastAsia="Calibri" w:hAnsi="Times New Roman"/>
          <w:color w:val="000000" w:themeColor="text1"/>
          <w:sz w:val="24"/>
          <w:szCs w:val="24"/>
          <w:lang w:val="en-GB"/>
        </w:rPr>
        <w:t>icipant</w:t>
      </w:r>
      <w:r w:rsidR="004A0F84" w:rsidRPr="002F72C4">
        <w:rPr>
          <w:rFonts w:ascii="Times New Roman" w:eastAsia="Calibri" w:hAnsi="Times New Roman"/>
          <w:color w:val="000000" w:themeColor="text1"/>
          <w:sz w:val="24"/>
          <w:szCs w:val="24"/>
          <w:lang w:val="en-GB"/>
        </w:rPr>
        <w:t>s’</w:t>
      </w:r>
      <w:r w:rsidR="00C9165F" w:rsidRPr="002F72C4">
        <w:rPr>
          <w:rFonts w:ascii="Times New Roman" w:eastAsia="Calibri" w:hAnsi="Times New Roman"/>
          <w:color w:val="000000" w:themeColor="text1"/>
          <w:sz w:val="24"/>
          <w:szCs w:val="24"/>
          <w:lang w:val="en-GB"/>
        </w:rPr>
        <w:t xml:space="preserve"> </w:t>
      </w:r>
      <w:r w:rsidRPr="002F72C4">
        <w:rPr>
          <w:rFonts w:ascii="Times New Roman" w:eastAsia="Calibri" w:hAnsi="Times New Roman"/>
          <w:color w:val="000000" w:themeColor="text1"/>
          <w:sz w:val="24"/>
          <w:szCs w:val="24"/>
          <w:lang w:val="en-GB"/>
        </w:rPr>
        <w:t xml:space="preserve">sociodemographic </w:t>
      </w:r>
      <w:r w:rsidR="00C9165F" w:rsidRPr="002F72C4">
        <w:rPr>
          <w:rFonts w:ascii="Times New Roman" w:eastAsia="Calibri" w:hAnsi="Times New Roman"/>
          <w:color w:val="000000" w:themeColor="text1"/>
          <w:sz w:val="24"/>
          <w:szCs w:val="24"/>
          <w:lang w:val="en-GB"/>
        </w:rPr>
        <w:t xml:space="preserve">and clinical </w:t>
      </w:r>
      <w:r w:rsidRPr="002F72C4">
        <w:rPr>
          <w:rFonts w:ascii="Times New Roman" w:eastAsia="Calibri" w:hAnsi="Times New Roman"/>
          <w:color w:val="000000" w:themeColor="text1"/>
          <w:sz w:val="24"/>
          <w:szCs w:val="24"/>
          <w:lang w:val="en-GB"/>
        </w:rPr>
        <w:t>characteristics</w:t>
      </w:r>
      <w:bookmarkEnd w:id="35"/>
      <w:bookmarkEnd w:id="36"/>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1530"/>
        <w:gridCol w:w="3240"/>
      </w:tblGrid>
      <w:tr w:rsidR="002F72C4" w:rsidRPr="002F72C4" w14:paraId="4DC8BDAB" w14:textId="77777777" w:rsidTr="00C9165F">
        <w:tc>
          <w:tcPr>
            <w:tcW w:w="4230" w:type="dxa"/>
            <w:tcBorders>
              <w:top w:val="single" w:sz="4" w:space="0" w:color="auto"/>
              <w:bottom w:val="single" w:sz="4" w:space="0" w:color="auto"/>
            </w:tcBorders>
            <w:hideMark/>
          </w:tcPr>
          <w:p w14:paraId="24D576D1"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Variable                               Characteristic</w:t>
            </w:r>
          </w:p>
        </w:tc>
        <w:tc>
          <w:tcPr>
            <w:tcW w:w="1530" w:type="dxa"/>
            <w:tcBorders>
              <w:top w:val="single" w:sz="4" w:space="0" w:color="auto"/>
              <w:bottom w:val="single" w:sz="4" w:space="0" w:color="auto"/>
            </w:tcBorders>
            <w:hideMark/>
          </w:tcPr>
          <w:p w14:paraId="2C3C074C"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Frequency (n)</w:t>
            </w:r>
          </w:p>
        </w:tc>
        <w:tc>
          <w:tcPr>
            <w:tcW w:w="3240" w:type="dxa"/>
            <w:tcBorders>
              <w:top w:val="single" w:sz="4" w:space="0" w:color="auto"/>
              <w:bottom w:val="single" w:sz="4" w:space="0" w:color="auto"/>
            </w:tcBorders>
            <w:hideMark/>
          </w:tcPr>
          <w:p w14:paraId="15F0B126"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Percentage(%)</w:t>
            </w:r>
          </w:p>
        </w:tc>
      </w:tr>
      <w:tr w:rsidR="002F72C4" w:rsidRPr="002F72C4" w14:paraId="7D68B390" w14:textId="77777777" w:rsidTr="00C9165F">
        <w:tc>
          <w:tcPr>
            <w:tcW w:w="4230" w:type="dxa"/>
            <w:tcBorders>
              <w:top w:val="single" w:sz="4" w:space="0" w:color="auto"/>
            </w:tcBorders>
            <w:hideMark/>
          </w:tcPr>
          <w:p w14:paraId="2921322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 xml:space="preserve">Sex </w:t>
            </w:r>
          </w:p>
        </w:tc>
        <w:tc>
          <w:tcPr>
            <w:tcW w:w="1530" w:type="dxa"/>
            <w:tcBorders>
              <w:top w:val="single" w:sz="4" w:space="0" w:color="auto"/>
            </w:tcBorders>
          </w:tcPr>
          <w:p w14:paraId="798E8EC8"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Borders>
              <w:top w:val="single" w:sz="4" w:space="0" w:color="auto"/>
            </w:tcBorders>
          </w:tcPr>
          <w:p w14:paraId="6D0895D3"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4B72CF12" w14:textId="77777777" w:rsidTr="00C9165F">
        <w:tc>
          <w:tcPr>
            <w:tcW w:w="4230" w:type="dxa"/>
            <w:hideMark/>
          </w:tcPr>
          <w:p w14:paraId="34BD9B84"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Male</w:t>
            </w:r>
          </w:p>
        </w:tc>
        <w:tc>
          <w:tcPr>
            <w:tcW w:w="1530" w:type="dxa"/>
            <w:hideMark/>
          </w:tcPr>
          <w:p w14:paraId="6903E8B3"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56</w:t>
            </w:r>
          </w:p>
        </w:tc>
        <w:tc>
          <w:tcPr>
            <w:tcW w:w="3240" w:type="dxa"/>
            <w:hideMark/>
          </w:tcPr>
          <w:p w14:paraId="5602FB62"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70.0</w:t>
            </w:r>
          </w:p>
        </w:tc>
      </w:tr>
      <w:tr w:rsidR="002F72C4" w:rsidRPr="002F72C4" w14:paraId="11906B64" w14:textId="77777777" w:rsidTr="00C9165F">
        <w:tc>
          <w:tcPr>
            <w:tcW w:w="4230" w:type="dxa"/>
            <w:hideMark/>
          </w:tcPr>
          <w:p w14:paraId="0E7EB1AB"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Female</w:t>
            </w:r>
          </w:p>
        </w:tc>
        <w:tc>
          <w:tcPr>
            <w:tcW w:w="1530" w:type="dxa"/>
            <w:hideMark/>
          </w:tcPr>
          <w:p w14:paraId="2D72B594"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24</w:t>
            </w:r>
          </w:p>
        </w:tc>
        <w:tc>
          <w:tcPr>
            <w:tcW w:w="3240" w:type="dxa"/>
            <w:hideMark/>
          </w:tcPr>
          <w:p w14:paraId="24ACBB0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30.0</w:t>
            </w:r>
          </w:p>
        </w:tc>
      </w:tr>
      <w:tr w:rsidR="002F72C4" w:rsidRPr="002F72C4" w14:paraId="38B3124E" w14:textId="77777777" w:rsidTr="00C9165F">
        <w:tc>
          <w:tcPr>
            <w:tcW w:w="4230" w:type="dxa"/>
            <w:hideMark/>
          </w:tcPr>
          <w:p w14:paraId="6C749F5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Marital status</w:t>
            </w:r>
            <w:r w:rsidRPr="002F72C4">
              <w:rPr>
                <w:rFonts w:ascii="Times New Roman" w:hAnsi="Times New Roman"/>
                <w:b/>
                <w:i/>
                <w:color w:val="000000" w:themeColor="text1"/>
                <w:sz w:val="24"/>
                <w:szCs w:val="24"/>
              </w:rPr>
              <w:t>)</w:t>
            </w:r>
          </w:p>
        </w:tc>
        <w:tc>
          <w:tcPr>
            <w:tcW w:w="1530" w:type="dxa"/>
          </w:tcPr>
          <w:p w14:paraId="511289ED"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4F422C87"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31800138" w14:textId="77777777" w:rsidTr="00C9165F">
        <w:tc>
          <w:tcPr>
            <w:tcW w:w="4230" w:type="dxa"/>
            <w:hideMark/>
          </w:tcPr>
          <w:p w14:paraId="48D21D51"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Married</w:t>
            </w:r>
          </w:p>
        </w:tc>
        <w:tc>
          <w:tcPr>
            <w:tcW w:w="1530" w:type="dxa"/>
            <w:hideMark/>
          </w:tcPr>
          <w:p w14:paraId="3FBB843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64</w:t>
            </w:r>
          </w:p>
        </w:tc>
        <w:tc>
          <w:tcPr>
            <w:tcW w:w="3240" w:type="dxa"/>
            <w:hideMark/>
          </w:tcPr>
          <w:p w14:paraId="17CD13D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80.0</w:t>
            </w:r>
          </w:p>
        </w:tc>
      </w:tr>
      <w:tr w:rsidR="002F72C4" w:rsidRPr="002F72C4" w14:paraId="385E20B7" w14:textId="77777777" w:rsidTr="00C9165F">
        <w:tc>
          <w:tcPr>
            <w:tcW w:w="4230" w:type="dxa"/>
            <w:hideMark/>
          </w:tcPr>
          <w:p w14:paraId="16BB8575"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Single</w:t>
            </w:r>
          </w:p>
        </w:tc>
        <w:tc>
          <w:tcPr>
            <w:tcW w:w="1530" w:type="dxa"/>
            <w:hideMark/>
          </w:tcPr>
          <w:p w14:paraId="32FB914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16</w:t>
            </w:r>
          </w:p>
        </w:tc>
        <w:tc>
          <w:tcPr>
            <w:tcW w:w="3240" w:type="dxa"/>
            <w:hideMark/>
          </w:tcPr>
          <w:p w14:paraId="7800237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20.0</w:t>
            </w:r>
          </w:p>
        </w:tc>
      </w:tr>
      <w:tr w:rsidR="002F72C4" w:rsidRPr="002F72C4" w14:paraId="398E25F8" w14:textId="77777777" w:rsidTr="00C9165F">
        <w:tc>
          <w:tcPr>
            <w:tcW w:w="4230" w:type="dxa"/>
            <w:hideMark/>
          </w:tcPr>
          <w:p w14:paraId="0E19F037"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 xml:space="preserve">Highest education </w:t>
            </w:r>
          </w:p>
        </w:tc>
        <w:tc>
          <w:tcPr>
            <w:tcW w:w="1530" w:type="dxa"/>
          </w:tcPr>
          <w:p w14:paraId="14211865"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54B186D3"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7F3889FA" w14:textId="77777777" w:rsidTr="00C9165F">
        <w:tc>
          <w:tcPr>
            <w:tcW w:w="4230" w:type="dxa"/>
            <w:hideMark/>
          </w:tcPr>
          <w:p w14:paraId="1D53625A"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Primary</w:t>
            </w:r>
          </w:p>
        </w:tc>
        <w:tc>
          <w:tcPr>
            <w:tcW w:w="1530" w:type="dxa"/>
            <w:hideMark/>
          </w:tcPr>
          <w:p w14:paraId="22F0E69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3240" w:type="dxa"/>
            <w:hideMark/>
          </w:tcPr>
          <w:p w14:paraId="0ECA3AA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7.5</w:t>
            </w:r>
          </w:p>
        </w:tc>
      </w:tr>
      <w:tr w:rsidR="002F72C4" w:rsidRPr="002F72C4" w14:paraId="78756AF8" w14:textId="77777777" w:rsidTr="00C9165F">
        <w:tc>
          <w:tcPr>
            <w:tcW w:w="4230" w:type="dxa"/>
            <w:hideMark/>
          </w:tcPr>
          <w:p w14:paraId="37124B4F"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Secondary</w:t>
            </w:r>
          </w:p>
        </w:tc>
        <w:tc>
          <w:tcPr>
            <w:tcW w:w="1530" w:type="dxa"/>
            <w:hideMark/>
          </w:tcPr>
          <w:p w14:paraId="53DFE98B"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40</w:t>
            </w:r>
          </w:p>
        </w:tc>
        <w:tc>
          <w:tcPr>
            <w:tcW w:w="3240" w:type="dxa"/>
            <w:hideMark/>
          </w:tcPr>
          <w:p w14:paraId="500F5D26"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50.0</w:t>
            </w:r>
          </w:p>
        </w:tc>
      </w:tr>
      <w:tr w:rsidR="002F72C4" w:rsidRPr="002F72C4" w14:paraId="4387805E" w14:textId="77777777" w:rsidTr="00C9165F">
        <w:tc>
          <w:tcPr>
            <w:tcW w:w="4230" w:type="dxa"/>
            <w:hideMark/>
          </w:tcPr>
          <w:p w14:paraId="4B95A913"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Tertiary</w:t>
            </w:r>
          </w:p>
        </w:tc>
        <w:tc>
          <w:tcPr>
            <w:tcW w:w="1530" w:type="dxa"/>
            <w:hideMark/>
          </w:tcPr>
          <w:p w14:paraId="478416D8"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34</w:t>
            </w:r>
          </w:p>
        </w:tc>
        <w:tc>
          <w:tcPr>
            <w:tcW w:w="3240" w:type="dxa"/>
            <w:hideMark/>
          </w:tcPr>
          <w:p w14:paraId="316D274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42.5</w:t>
            </w:r>
          </w:p>
        </w:tc>
      </w:tr>
      <w:tr w:rsidR="002F72C4" w:rsidRPr="002F72C4" w14:paraId="73C0B818" w14:textId="77777777" w:rsidTr="00C9165F">
        <w:tc>
          <w:tcPr>
            <w:tcW w:w="4230" w:type="dxa"/>
            <w:hideMark/>
          </w:tcPr>
          <w:p w14:paraId="40545FE1"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 xml:space="preserve">Employment </w:t>
            </w:r>
          </w:p>
        </w:tc>
        <w:tc>
          <w:tcPr>
            <w:tcW w:w="1530" w:type="dxa"/>
          </w:tcPr>
          <w:p w14:paraId="7FEF0A62"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106E5507"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1290B837" w14:textId="77777777" w:rsidTr="00C9165F">
        <w:tc>
          <w:tcPr>
            <w:tcW w:w="4230" w:type="dxa"/>
            <w:hideMark/>
          </w:tcPr>
          <w:p w14:paraId="436366A8"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lastRenderedPageBreak/>
              <w:t>Employed</w:t>
            </w:r>
          </w:p>
        </w:tc>
        <w:tc>
          <w:tcPr>
            <w:tcW w:w="1530" w:type="dxa"/>
            <w:hideMark/>
          </w:tcPr>
          <w:p w14:paraId="57661146"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36</w:t>
            </w:r>
          </w:p>
        </w:tc>
        <w:tc>
          <w:tcPr>
            <w:tcW w:w="3240" w:type="dxa"/>
            <w:hideMark/>
          </w:tcPr>
          <w:p w14:paraId="01B186E5"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45.0</w:t>
            </w:r>
          </w:p>
        </w:tc>
      </w:tr>
      <w:tr w:rsidR="002F72C4" w:rsidRPr="002F72C4" w14:paraId="5C28370B" w14:textId="77777777" w:rsidTr="00C9165F">
        <w:tc>
          <w:tcPr>
            <w:tcW w:w="4230" w:type="dxa"/>
            <w:hideMark/>
          </w:tcPr>
          <w:p w14:paraId="54F7D239"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Self-employed</w:t>
            </w:r>
          </w:p>
        </w:tc>
        <w:tc>
          <w:tcPr>
            <w:tcW w:w="1530" w:type="dxa"/>
            <w:hideMark/>
          </w:tcPr>
          <w:p w14:paraId="4248C70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22</w:t>
            </w:r>
          </w:p>
        </w:tc>
        <w:tc>
          <w:tcPr>
            <w:tcW w:w="3240" w:type="dxa"/>
            <w:hideMark/>
          </w:tcPr>
          <w:p w14:paraId="7D08F83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27.5</w:t>
            </w:r>
          </w:p>
        </w:tc>
      </w:tr>
      <w:tr w:rsidR="002F72C4" w:rsidRPr="002F72C4" w14:paraId="28FB466D" w14:textId="77777777" w:rsidTr="00C9165F">
        <w:tc>
          <w:tcPr>
            <w:tcW w:w="4230" w:type="dxa"/>
            <w:hideMark/>
          </w:tcPr>
          <w:p w14:paraId="0DD476A4"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Unemployed</w:t>
            </w:r>
          </w:p>
        </w:tc>
        <w:tc>
          <w:tcPr>
            <w:tcW w:w="1530" w:type="dxa"/>
            <w:hideMark/>
          </w:tcPr>
          <w:p w14:paraId="2AD83CA8"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10</w:t>
            </w:r>
          </w:p>
        </w:tc>
        <w:tc>
          <w:tcPr>
            <w:tcW w:w="3240" w:type="dxa"/>
            <w:hideMark/>
          </w:tcPr>
          <w:p w14:paraId="449BD30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12.5</w:t>
            </w:r>
          </w:p>
        </w:tc>
      </w:tr>
      <w:tr w:rsidR="002F72C4" w:rsidRPr="002F72C4" w14:paraId="53D87744" w14:textId="77777777" w:rsidTr="00C9165F">
        <w:tc>
          <w:tcPr>
            <w:tcW w:w="4230" w:type="dxa"/>
            <w:hideMark/>
          </w:tcPr>
          <w:p w14:paraId="4AC994BF"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Retired</w:t>
            </w:r>
          </w:p>
        </w:tc>
        <w:tc>
          <w:tcPr>
            <w:tcW w:w="1530" w:type="dxa"/>
            <w:hideMark/>
          </w:tcPr>
          <w:p w14:paraId="325C325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w:t>
            </w:r>
          </w:p>
        </w:tc>
        <w:tc>
          <w:tcPr>
            <w:tcW w:w="3240" w:type="dxa"/>
            <w:hideMark/>
          </w:tcPr>
          <w:p w14:paraId="1604DE7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15.0</w:t>
            </w:r>
          </w:p>
        </w:tc>
      </w:tr>
      <w:tr w:rsidR="002F72C4" w:rsidRPr="002F72C4" w14:paraId="58F54C83" w14:textId="77777777" w:rsidTr="00C9165F">
        <w:tc>
          <w:tcPr>
            <w:tcW w:w="4230" w:type="dxa"/>
            <w:hideMark/>
          </w:tcPr>
          <w:p w14:paraId="32645055"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 xml:space="preserve">Denomination </w:t>
            </w:r>
          </w:p>
        </w:tc>
        <w:tc>
          <w:tcPr>
            <w:tcW w:w="1530" w:type="dxa"/>
          </w:tcPr>
          <w:p w14:paraId="4D6AA48B" w14:textId="77777777" w:rsidR="003165E5" w:rsidRPr="002F72C4" w:rsidRDefault="003165E5">
            <w:pPr>
              <w:spacing w:line="240" w:lineRule="auto"/>
              <w:jc w:val="center"/>
              <w:rPr>
                <w:rFonts w:ascii="Times New Roman" w:hAnsi="Times New Roman"/>
                <w:b/>
                <w:color w:val="000000" w:themeColor="text1"/>
                <w:sz w:val="24"/>
                <w:szCs w:val="24"/>
              </w:rPr>
            </w:pPr>
          </w:p>
        </w:tc>
        <w:tc>
          <w:tcPr>
            <w:tcW w:w="3240" w:type="dxa"/>
          </w:tcPr>
          <w:p w14:paraId="0F375645" w14:textId="77777777" w:rsidR="003165E5" w:rsidRPr="002F72C4" w:rsidRDefault="003165E5">
            <w:pPr>
              <w:spacing w:line="240" w:lineRule="auto"/>
              <w:jc w:val="center"/>
              <w:rPr>
                <w:rFonts w:ascii="Times New Roman" w:hAnsi="Times New Roman"/>
                <w:b/>
                <w:color w:val="000000" w:themeColor="text1"/>
                <w:sz w:val="24"/>
                <w:szCs w:val="24"/>
              </w:rPr>
            </w:pPr>
          </w:p>
        </w:tc>
      </w:tr>
      <w:tr w:rsidR="002F72C4" w:rsidRPr="002F72C4" w14:paraId="2EF10BD0" w14:textId="77777777" w:rsidTr="00C9165F">
        <w:tc>
          <w:tcPr>
            <w:tcW w:w="4230" w:type="dxa"/>
            <w:hideMark/>
          </w:tcPr>
          <w:p w14:paraId="55852750"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Christian</w:t>
            </w:r>
          </w:p>
        </w:tc>
        <w:tc>
          <w:tcPr>
            <w:tcW w:w="1530" w:type="dxa"/>
            <w:hideMark/>
          </w:tcPr>
          <w:p w14:paraId="70420D3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76</w:t>
            </w:r>
          </w:p>
        </w:tc>
        <w:tc>
          <w:tcPr>
            <w:tcW w:w="3240" w:type="dxa"/>
            <w:hideMark/>
          </w:tcPr>
          <w:p w14:paraId="3101D91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95.0</w:t>
            </w:r>
          </w:p>
        </w:tc>
      </w:tr>
      <w:tr w:rsidR="002F72C4" w:rsidRPr="002F72C4" w14:paraId="74B4F65D" w14:textId="77777777" w:rsidTr="00C9165F">
        <w:tc>
          <w:tcPr>
            <w:tcW w:w="4230" w:type="dxa"/>
            <w:hideMark/>
          </w:tcPr>
          <w:p w14:paraId="705EEB99"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Muslim</w:t>
            </w:r>
          </w:p>
        </w:tc>
        <w:tc>
          <w:tcPr>
            <w:tcW w:w="1530" w:type="dxa"/>
            <w:hideMark/>
          </w:tcPr>
          <w:p w14:paraId="04813FE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w:t>
            </w:r>
          </w:p>
        </w:tc>
        <w:tc>
          <w:tcPr>
            <w:tcW w:w="3240" w:type="dxa"/>
            <w:hideMark/>
          </w:tcPr>
          <w:p w14:paraId="6D7D230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5.0</w:t>
            </w:r>
          </w:p>
        </w:tc>
      </w:tr>
      <w:tr w:rsidR="002F72C4" w:rsidRPr="002F72C4" w14:paraId="46980A83" w14:textId="77777777" w:rsidTr="00C9165F">
        <w:tc>
          <w:tcPr>
            <w:tcW w:w="4230" w:type="dxa"/>
            <w:hideMark/>
          </w:tcPr>
          <w:p w14:paraId="5D5C4AB0"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Comorbidity</w:t>
            </w:r>
          </w:p>
        </w:tc>
        <w:tc>
          <w:tcPr>
            <w:tcW w:w="1530" w:type="dxa"/>
          </w:tcPr>
          <w:p w14:paraId="38AA3A59"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758D3E32"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19C2FDE7" w14:textId="77777777" w:rsidTr="00C9165F">
        <w:tc>
          <w:tcPr>
            <w:tcW w:w="4230" w:type="dxa"/>
            <w:hideMark/>
          </w:tcPr>
          <w:p w14:paraId="51D8114A"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Diabetes</w:t>
            </w:r>
          </w:p>
        </w:tc>
        <w:tc>
          <w:tcPr>
            <w:tcW w:w="1530" w:type="dxa"/>
            <w:hideMark/>
          </w:tcPr>
          <w:p w14:paraId="691C2B9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w:t>
            </w:r>
          </w:p>
        </w:tc>
        <w:tc>
          <w:tcPr>
            <w:tcW w:w="3240" w:type="dxa"/>
            <w:hideMark/>
          </w:tcPr>
          <w:p w14:paraId="78C0DBF3"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5.0</w:t>
            </w:r>
          </w:p>
        </w:tc>
      </w:tr>
      <w:tr w:rsidR="002F72C4" w:rsidRPr="002F72C4" w14:paraId="1D6CBC5F" w14:textId="77777777" w:rsidTr="00C9165F">
        <w:tc>
          <w:tcPr>
            <w:tcW w:w="4230" w:type="dxa"/>
            <w:hideMark/>
          </w:tcPr>
          <w:p w14:paraId="68934DDF"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Diabetes and Hypertension</w:t>
            </w:r>
          </w:p>
        </w:tc>
        <w:tc>
          <w:tcPr>
            <w:tcW w:w="1530" w:type="dxa"/>
            <w:hideMark/>
          </w:tcPr>
          <w:p w14:paraId="761F64B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20</w:t>
            </w:r>
          </w:p>
        </w:tc>
        <w:tc>
          <w:tcPr>
            <w:tcW w:w="3240" w:type="dxa"/>
            <w:hideMark/>
          </w:tcPr>
          <w:p w14:paraId="2D6882C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25.0</w:t>
            </w:r>
          </w:p>
        </w:tc>
      </w:tr>
      <w:tr w:rsidR="002F72C4" w:rsidRPr="002F72C4" w14:paraId="7F1879EF" w14:textId="77777777" w:rsidTr="00C9165F">
        <w:tc>
          <w:tcPr>
            <w:tcW w:w="4230" w:type="dxa"/>
            <w:hideMark/>
          </w:tcPr>
          <w:p w14:paraId="6F8339F6"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Hypertension</w:t>
            </w:r>
          </w:p>
        </w:tc>
        <w:tc>
          <w:tcPr>
            <w:tcW w:w="1530" w:type="dxa"/>
            <w:hideMark/>
          </w:tcPr>
          <w:p w14:paraId="18538E14"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48</w:t>
            </w:r>
          </w:p>
        </w:tc>
        <w:tc>
          <w:tcPr>
            <w:tcW w:w="3240" w:type="dxa"/>
            <w:hideMark/>
          </w:tcPr>
          <w:p w14:paraId="587E448B"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60.0</w:t>
            </w:r>
          </w:p>
        </w:tc>
      </w:tr>
      <w:tr w:rsidR="002F72C4" w:rsidRPr="002F72C4" w14:paraId="4EBC9C08" w14:textId="77777777" w:rsidTr="00C9165F">
        <w:tc>
          <w:tcPr>
            <w:tcW w:w="4230" w:type="dxa"/>
            <w:hideMark/>
          </w:tcPr>
          <w:p w14:paraId="690AC62D"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Hypertension and Thrombosis</w:t>
            </w:r>
          </w:p>
        </w:tc>
        <w:tc>
          <w:tcPr>
            <w:tcW w:w="1530" w:type="dxa"/>
            <w:hideMark/>
          </w:tcPr>
          <w:p w14:paraId="5D618C08"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w:t>
            </w:r>
          </w:p>
        </w:tc>
        <w:tc>
          <w:tcPr>
            <w:tcW w:w="3240" w:type="dxa"/>
            <w:hideMark/>
          </w:tcPr>
          <w:p w14:paraId="0245E70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1.3</w:t>
            </w:r>
          </w:p>
        </w:tc>
      </w:tr>
      <w:tr w:rsidR="002F72C4" w:rsidRPr="002F72C4" w14:paraId="3D13AB7D" w14:textId="77777777" w:rsidTr="00C9165F">
        <w:tc>
          <w:tcPr>
            <w:tcW w:w="4230" w:type="dxa"/>
            <w:hideMark/>
          </w:tcPr>
          <w:p w14:paraId="34BACA5B"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 xml:space="preserve">History of smoking </w:t>
            </w:r>
          </w:p>
        </w:tc>
        <w:tc>
          <w:tcPr>
            <w:tcW w:w="1530" w:type="dxa"/>
          </w:tcPr>
          <w:p w14:paraId="7CF1E1AB" w14:textId="77777777" w:rsidR="003165E5" w:rsidRPr="002F72C4" w:rsidRDefault="003165E5">
            <w:pPr>
              <w:spacing w:line="240" w:lineRule="auto"/>
              <w:jc w:val="center"/>
              <w:rPr>
                <w:rFonts w:ascii="Times New Roman" w:hAnsi="Times New Roman"/>
                <w:b/>
                <w:color w:val="000000" w:themeColor="text1"/>
                <w:sz w:val="24"/>
                <w:szCs w:val="24"/>
              </w:rPr>
            </w:pPr>
          </w:p>
        </w:tc>
        <w:tc>
          <w:tcPr>
            <w:tcW w:w="3240" w:type="dxa"/>
          </w:tcPr>
          <w:p w14:paraId="666B4A71" w14:textId="77777777" w:rsidR="003165E5" w:rsidRPr="002F72C4" w:rsidRDefault="003165E5">
            <w:pPr>
              <w:spacing w:line="240" w:lineRule="auto"/>
              <w:jc w:val="center"/>
              <w:rPr>
                <w:rFonts w:ascii="Times New Roman" w:hAnsi="Times New Roman"/>
                <w:b/>
                <w:color w:val="000000" w:themeColor="text1"/>
                <w:sz w:val="24"/>
                <w:szCs w:val="24"/>
              </w:rPr>
            </w:pPr>
          </w:p>
        </w:tc>
      </w:tr>
      <w:tr w:rsidR="002F72C4" w:rsidRPr="002F72C4" w14:paraId="4AAB49CA" w14:textId="77777777" w:rsidTr="00C9165F">
        <w:tc>
          <w:tcPr>
            <w:tcW w:w="4230" w:type="dxa"/>
            <w:hideMark/>
          </w:tcPr>
          <w:p w14:paraId="36A6BD77" w14:textId="77777777" w:rsidR="003165E5" w:rsidRPr="002F72C4" w:rsidRDefault="003165E5" w:rsidP="0022290B">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Smoker</w:t>
            </w:r>
          </w:p>
        </w:tc>
        <w:tc>
          <w:tcPr>
            <w:tcW w:w="1530" w:type="dxa"/>
            <w:hideMark/>
          </w:tcPr>
          <w:p w14:paraId="35BF5D04"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9</w:t>
            </w:r>
          </w:p>
        </w:tc>
        <w:tc>
          <w:tcPr>
            <w:tcW w:w="3240" w:type="dxa"/>
            <w:hideMark/>
          </w:tcPr>
          <w:p w14:paraId="096033A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11.3</w:t>
            </w:r>
          </w:p>
        </w:tc>
      </w:tr>
      <w:tr w:rsidR="002F72C4" w:rsidRPr="002F72C4" w14:paraId="37C4CC33" w14:textId="77777777" w:rsidTr="00C9165F">
        <w:tc>
          <w:tcPr>
            <w:tcW w:w="4230" w:type="dxa"/>
            <w:hideMark/>
          </w:tcPr>
          <w:p w14:paraId="283AB156" w14:textId="77777777" w:rsidR="003165E5" w:rsidRPr="002F72C4" w:rsidRDefault="003165E5" w:rsidP="0022290B">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Non-smoker</w:t>
            </w:r>
          </w:p>
        </w:tc>
        <w:tc>
          <w:tcPr>
            <w:tcW w:w="1530" w:type="dxa"/>
            <w:hideMark/>
          </w:tcPr>
          <w:p w14:paraId="6EB1F9BF"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71</w:t>
            </w:r>
          </w:p>
        </w:tc>
        <w:tc>
          <w:tcPr>
            <w:tcW w:w="3240" w:type="dxa"/>
            <w:hideMark/>
          </w:tcPr>
          <w:p w14:paraId="3CC6F57F"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88.8</w:t>
            </w:r>
          </w:p>
        </w:tc>
      </w:tr>
      <w:tr w:rsidR="002F72C4" w:rsidRPr="002F72C4" w14:paraId="4CA472A0" w14:textId="77777777" w:rsidTr="00C9165F">
        <w:tc>
          <w:tcPr>
            <w:tcW w:w="4230" w:type="dxa"/>
            <w:hideMark/>
          </w:tcPr>
          <w:p w14:paraId="13DA89CF"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 xml:space="preserve">History of alcohol use </w:t>
            </w:r>
          </w:p>
        </w:tc>
        <w:tc>
          <w:tcPr>
            <w:tcW w:w="1530" w:type="dxa"/>
          </w:tcPr>
          <w:p w14:paraId="41E59667"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1FC7BCD8"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60F9911C" w14:textId="77777777" w:rsidTr="00C9165F">
        <w:tc>
          <w:tcPr>
            <w:tcW w:w="4230" w:type="dxa"/>
            <w:hideMark/>
          </w:tcPr>
          <w:p w14:paraId="5BCE3AE4"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Consumers</w:t>
            </w:r>
          </w:p>
        </w:tc>
        <w:tc>
          <w:tcPr>
            <w:tcW w:w="1530" w:type="dxa"/>
            <w:hideMark/>
          </w:tcPr>
          <w:p w14:paraId="11B623B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w:t>
            </w:r>
          </w:p>
        </w:tc>
        <w:tc>
          <w:tcPr>
            <w:tcW w:w="3240" w:type="dxa"/>
            <w:hideMark/>
          </w:tcPr>
          <w:p w14:paraId="1384994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18.8</w:t>
            </w:r>
          </w:p>
        </w:tc>
      </w:tr>
      <w:tr w:rsidR="002F72C4" w:rsidRPr="002F72C4" w14:paraId="0BF7C9D3" w14:textId="77777777" w:rsidTr="00C9165F">
        <w:tc>
          <w:tcPr>
            <w:tcW w:w="4230" w:type="dxa"/>
            <w:hideMark/>
          </w:tcPr>
          <w:p w14:paraId="6140C838"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Non-consumers</w:t>
            </w:r>
          </w:p>
        </w:tc>
        <w:tc>
          <w:tcPr>
            <w:tcW w:w="1530" w:type="dxa"/>
            <w:hideMark/>
          </w:tcPr>
          <w:p w14:paraId="0D4DFF83"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65</w:t>
            </w:r>
          </w:p>
        </w:tc>
        <w:tc>
          <w:tcPr>
            <w:tcW w:w="3240" w:type="dxa"/>
            <w:hideMark/>
          </w:tcPr>
          <w:p w14:paraId="044FFF0A"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81.3</w:t>
            </w:r>
          </w:p>
        </w:tc>
      </w:tr>
      <w:tr w:rsidR="002F72C4" w:rsidRPr="002F72C4" w14:paraId="4F45670B" w14:textId="77777777" w:rsidTr="00C9165F">
        <w:tc>
          <w:tcPr>
            <w:tcW w:w="4230" w:type="dxa"/>
            <w:hideMark/>
          </w:tcPr>
          <w:p w14:paraId="3C06570E"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 xml:space="preserve">Kidney source </w:t>
            </w:r>
          </w:p>
        </w:tc>
        <w:tc>
          <w:tcPr>
            <w:tcW w:w="1530" w:type="dxa"/>
          </w:tcPr>
          <w:p w14:paraId="5A467ECA"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5D7AE8E4"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49C8D531" w14:textId="77777777" w:rsidTr="00C9165F">
        <w:tc>
          <w:tcPr>
            <w:tcW w:w="4230" w:type="dxa"/>
            <w:hideMark/>
          </w:tcPr>
          <w:p w14:paraId="348EE045"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Living donor – relative</w:t>
            </w:r>
          </w:p>
        </w:tc>
        <w:tc>
          <w:tcPr>
            <w:tcW w:w="1530" w:type="dxa"/>
            <w:hideMark/>
          </w:tcPr>
          <w:p w14:paraId="683E97A6"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80</w:t>
            </w:r>
          </w:p>
        </w:tc>
        <w:tc>
          <w:tcPr>
            <w:tcW w:w="3240" w:type="dxa"/>
            <w:hideMark/>
          </w:tcPr>
          <w:p w14:paraId="444C9A5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100.0</w:t>
            </w:r>
          </w:p>
        </w:tc>
      </w:tr>
      <w:tr w:rsidR="002F72C4" w:rsidRPr="002F72C4" w14:paraId="1D7F3CCE" w14:textId="77777777" w:rsidTr="00C9165F">
        <w:trPr>
          <w:trHeight w:val="197"/>
        </w:trPr>
        <w:tc>
          <w:tcPr>
            <w:tcW w:w="4230" w:type="dxa"/>
            <w:hideMark/>
          </w:tcPr>
          <w:p w14:paraId="38A78262"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 xml:space="preserve">Dialysis type </w:t>
            </w:r>
          </w:p>
        </w:tc>
        <w:tc>
          <w:tcPr>
            <w:tcW w:w="1530" w:type="dxa"/>
          </w:tcPr>
          <w:p w14:paraId="0D41AB51"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tcPr>
          <w:p w14:paraId="2B56015E"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2BA63C8C" w14:textId="77777777" w:rsidTr="00C9165F">
        <w:tc>
          <w:tcPr>
            <w:tcW w:w="4230" w:type="dxa"/>
            <w:hideMark/>
          </w:tcPr>
          <w:p w14:paraId="354C7384" w14:textId="77777777" w:rsidR="003165E5" w:rsidRPr="002F72C4" w:rsidRDefault="003165E5">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Haemodialysis</w:t>
            </w:r>
          </w:p>
        </w:tc>
        <w:tc>
          <w:tcPr>
            <w:tcW w:w="1530" w:type="dxa"/>
            <w:hideMark/>
          </w:tcPr>
          <w:p w14:paraId="50F8702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80</w:t>
            </w:r>
          </w:p>
        </w:tc>
        <w:tc>
          <w:tcPr>
            <w:tcW w:w="3240" w:type="dxa"/>
            <w:hideMark/>
          </w:tcPr>
          <w:p w14:paraId="65F2B8B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100.0</w:t>
            </w:r>
          </w:p>
        </w:tc>
      </w:tr>
      <w:tr w:rsidR="002F72C4" w:rsidRPr="002F72C4" w14:paraId="3CA2C335" w14:textId="77777777" w:rsidTr="00C9165F">
        <w:tc>
          <w:tcPr>
            <w:tcW w:w="4230" w:type="dxa"/>
            <w:hideMark/>
          </w:tcPr>
          <w:p w14:paraId="236D9370"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 xml:space="preserve">Dialysis duration in months </w:t>
            </w:r>
            <w:r w:rsidRPr="002F72C4">
              <w:rPr>
                <w:rFonts w:ascii="Times New Roman" w:hAnsi="Times New Roman"/>
                <w:b/>
                <w:i/>
                <w:color w:val="000000" w:themeColor="text1"/>
                <w:sz w:val="24"/>
                <w:szCs w:val="24"/>
              </w:rPr>
              <w:t>(median, IQR)</w:t>
            </w:r>
          </w:p>
        </w:tc>
        <w:tc>
          <w:tcPr>
            <w:tcW w:w="1530" w:type="dxa"/>
            <w:hideMark/>
          </w:tcPr>
          <w:p w14:paraId="3DBDFB9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12.0</w:t>
            </w:r>
          </w:p>
        </w:tc>
        <w:tc>
          <w:tcPr>
            <w:tcW w:w="3240" w:type="dxa"/>
            <w:hideMark/>
          </w:tcPr>
          <w:p w14:paraId="3C69A9C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12.0 – 26.5</w:t>
            </w:r>
          </w:p>
        </w:tc>
      </w:tr>
      <w:tr w:rsidR="002F72C4" w:rsidRPr="002F72C4" w14:paraId="352F09B3" w14:textId="77777777" w:rsidTr="00C9165F">
        <w:tc>
          <w:tcPr>
            <w:tcW w:w="4230" w:type="dxa"/>
            <w:hideMark/>
          </w:tcPr>
          <w:p w14:paraId="4B279D86" w14:textId="77777777" w:rsidR="003165E5" w:rsidRPr="002F72C4" w:rsidRDefault="003165E5" w:rsidP="00C9165F">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 xml:space="preserve">Creatinine in </w:t>
            </w:r>
            <w:r w:rsidR="00C9165F" w:rsidRPr="002F72C4">
              <w:rPr>
                <w:rFonts w:ascii="Times New Roman" w:hAnsi="Times New Roman"/>
                <w:b/>
                <w:color w:val="000000" w:themeColor="text1"/>
                <w:sz w:val="24"/>
                <w:szCs w:val="24"/>
              </w:rPr>
              <w:t>µ</w:t>
            </w:r>
            <w:r w:rsidRPr="002F72C4">
              <w:rPr>
                <w:rFonts w:ascii="Times New Roman" w:hAnsi="Times New Roman"/>
                <w:b/>
                <w:color w:val="000000" w:themeColor="text1"/>
                <w:sz w:val="24"/>
                <w:szCs w:val="24"/>
              </w:rPr>
              <w:t>mol/L</w:t>
            </w:r>
            <w:r w:rsidRPr="002F72C4">
              <w:rPr>
                <w:rFonts w:ascii="Times New Roman" w:hAnsi="Times New Roman"/>
                <w:b/>
                <w:i/>
                <w:color w:val="000000" w:themeColor="text1"/>
                <w:sz w:val="24"/>
                <w:szCs w:val="24"/>
              </w:rPr>
              <w:t>(median, IQR)</w:t>
            </w:r>
          </w:p>
        </w:tc>
        <w:tc>
          <w:tcPr>
            <w:tcW w:w="1530" w:type="dxa"/>
            <w:hideMark/>
          </w:tcPr>
          <w:p w14:paraId="49D2EC47"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105.0</w:t>
            </w:r>
          </w:p>
        </w:tc>
        <w:tc>
          <w:tcPr>
            <w:tcW w:w="3240" w:type="dxa"/>
            <w:hideMark/>
          </w:tcPr>
          <w:p w14:paraId="3BBF4E63"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98.0 – 120.0</w:t>
            </w:r>
          </w:p>
        </w:tc>
      </w:tr>
      <w:tr w:rsidR="002F72C4" w:rsidRPr="002F72C4" w14:paraId="4079AD11" w14:textId="77777777" w:rsidTr="00C9165F">
        <w:tc>
          <w:tcPr>
            <w:tcW w:w="4230" w:type="dxa"/>
            <w:hideMark/>
          </w:tcPr>
          <w:p w14:paraId="6893FAC8"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b/>
                <w:color w:val="000000" w:themeColor="text1"/>
                <w:sz w:val="24"/>
                <w:szCs w:val="24"/>
              </w:rPr>
              <w:t>Duration after transplant in months</w:t>
            </w:r>
            <w:r w:rsidRPr="002F72C4">
              <w:rPr>
                <w:rFonts w:ascii="Times New Roman" w:hAnsi="Times New Roman"/>
                <w:b/>
                <w:i/>
                <w:color w:val="000000" w:themeColor="text1"/>
                <w:sz w:val="24"/>
                <w:szCs w:val="24"/>
              </w:rPr>
              <w:t>(median, IQR)</w:t>
            </w:r>
          </w:p>
        </w:tc>
        <w:tc>
          <w:tcPr>
            <w:tcW w:w="1530" w:type="dxa"/>
            <w:hideMark/>
          </w:tcPr>
          <w:p w14:paraId="1008B3EF"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51.5</w:t>
            </w:r>
          </w:p>
        </w:tc>
        <w:tc>
          <w:tcPr>
            <w:tcW w:w="3240" w:type="dxa"/>
            <w:hideMark/>
          </w:tcPr>
          <w:p w14:paraId="38EB932B"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30.0 – 84.0</w:t>
            </w:r>
          </w:p>
        </w:tc>
      </w:tr>
      <w:tr w:rsidR="003165E5" w:rsidRPr="002F72C4" w14:paraId="369B585D" w14:textId="77777777" w:rsidTr="00C9165F">
        <w:tc>
          <w:tcPr>
            <w:tcW w:w="4230" w:type="dxa"/>
            <w:tcBorders>
              <w:bottom w:val="single" w:sz="4" w:space="0" w:color="auto"/>
            </w:tcBorders>
            <w:hideMark/>
          </w:tcPr>
          <w:p w14:paraId="16F133DA" w14:textId="6C5382D8" w:rsidR="003165E5" w:rsidRPr="002F72C4" w:rsidRDefault="0022290B">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Patient’s a</w:t>
            </w:r>
            <w:r w:rsidR="003165E5" w:rsidRPr="002F72C4">
              <w:rPr>
                <w:rFonts w:ascii="Times New Roman" w:hAnsi="Times New Roman"/>
                <w:b/>
                <w:color w:val="000000" w:themeColor="text1"/>
                <w:sz w:val="24"/>
                <w:szCs w:val="24"/>
              </w:rPr>
              <w:t>ge</w:t>
            </w:r>
            <w:r w:rsidR="007A3526" w:rsidRPr="002F72C4">
              <w:rPr>
                <w:rFonts w:ascii="Times New Roman" w:hAnsi="Times New Roman"/>
                <w:b/>
                <w:color w:val="000000" w:themeColor="text1"/>
                <w:sz w:val="24"/>
                <w:szCs w:val="24"/>
              </w:rPr>
              <w:t xml:space="preserve"> </w:t>
            </w:r>
            <w:r w:rsidR="003165E5" w:rsidRPr="002F72C4">
              <w:rPr>
                <w:rFonts w:ascii="Times New Roman" w:hAnsi="Times New Roman"/>
                <w:b/>
                <w:color w:val="000000" w:themeColor="text1"/>
                <w:sz w:val="24"/>
                <w:szCs w:val="24"/>
              </w:rPr>
              <w:t>(</w:t>
            </w:r>
            <w:r w:rsidR="00BA655F" w:rsidRPr="002F72C4">
              <w:rPr>
                <w:rFonts w:ascii="Times New Roman" w:hAnsi="Times New Roman"/>
                <w:b/>
                <w:color w:val="000000" w:themeColor="text1"/>
                <w:sz w:val="24"/>
                <w:szCs w:val="24"/>
              </w:rPr>
              <w:t>mean, SD</w:t>
            </w:r>
            <w:r w:rsidR="003165E5" w:rsidRPr="002F72C4">
              <w:rPr>
                <w:rFonts w:ascii="Times New Roman" w:hAnsi="Times New Roman"/>
                <w:b/>
                <w:color w:val="000000" w:themeColor="text1"/>
                <w:sz w:val="24"/>
                <w:szCs w:val="24"/>
              </w:rPr>
              <w:t>)</w:t>
            </w:r>
          </w:p>
          <w:p w14:paraId="3E5F0165" w14:textId="77777777" w:rsidR="007A3526" w:rsidRPr="002F72C4" w:rsidRDefault="007A3526" w:rsidP="007A3526">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 xml:space="preserve">       (median, IQR)                                                  </w:t>
            </w:r>
          </w:p>
        </w:tc>
        <w:tc>
          <w:tcPr>
            <w:tcW w:w="1530" w:type="dxa"/>
            <w:tcBorders>
              <w:bottom w:val="single" w:sz="4" w:space="0" w:color="auto"/>
            </w:tcBorders>
            <w:hideMark/>
          </w:tcPr>
          <w:p w14:paraId="5DC5594E" w14:textId="77777777" w:rsidR="007A3526" w:rsidRPr="002F72C4" w:rsidRDefault="007A3526">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45.4</w:t>
            </w:r>
          </w:p>
          <w:p w14:paraId="76FFE877" w14:textId="77777777" w:rsidR="003165E5" w:rsidRPr="002F72C4" w:rsidRDefault="007A3526">
            <w:pPr>
              <w:spacing w:line="240" w:lineRule="auto"/>
              <w:jc w:val="center"/>
              <w:rPr>
                <w:rFonts w:ascii="Times New Roman" w:hAnsi="Times New Roman"/>
                <w:b/>
                <w:color w:val="000000" w:themeColor="text1"/>
                <w:sz w:val="24"/>
                <w:szCs w:val="24"/>
              </w:rPr>
            </w:pPr>
            <w:r w:rsidRPr="002F72C4">
              <w:rPr>
                <w:rFonts w:ascii="Times New Roman" w:hAnsi="Times New Roman"/>
                <w:color w:val="000000" w:themeColor="text1"/>
                <w:sz w:val="24"/>
                <w:szCs w:val="24"/>
              </w:rPr>
              <w:t xml:space="preserve"> 47.5</w:t>
            </w:r>
          </w:p>
        </w:tc>
        <w:tc>
          <w:tcPr>
            <w:tcW w:w="3240" w:type="dxa"/>
            <w:tcBorders>
              <w:bottom w:val="single" w:sz="4" w:space="0" w:color="auto"/>
            </w:tcBorders>
            <w:hideMark/>
          </w:tcPr>
          <w:p w14:paraId="528602F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14.7</w:t>
            </w:r>
          </w:p>
          <w:p w14:paraId="7A2D4ACB" w14:textId="77777777" w:rsidR="007A3526" w:rsidRPr="002F72C4" w:rsidRDefault="007A3526">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33.0-58.0</w:t>
            </w:r>
          </w:p>
        </w:tc>
      </w:tr>
    </w:tbl>
    <w:p w14:paraId="0099C320" w14:textId="77777777" w:rsidR="003165E5" w:rsidRPr="002F72C4" w:rsidRDefault="003165E5" w:rsidP="003165E5">
      <w:pPr>
        <w:autoSpaceDE w:val="0"/>
        <w:autoSpaceDN w:val="0"/>
        <w:adjustRightInd w:val="0"/>
        <w:spacing w:after="0" w:line="360" w:lineRule="auto"/>
        <w:jc w:val="both"/>
        <w:rPr>
          <w:rFonts w:ascii="Times New Roman" w:eastAsia="Calibri" w:hAnsi="Times New Roman" w:cs="Times New Roman"/>
          <w:b/>
          <w:color w:val="000000" w:themeColor="text1"/>
          <w:sz w:val="24"/>
          <w:szCs w:val="24"/>
          <w:lang w:val="en-GB"/>
        </w:rPr>
      </w:pPr>
    </w:p>
    <w:p w14:paraId="25DF6636" w14:textId="5B3B8D8A" w:rsidR="003165E5" w:rsidRPr="002F72C4" w:rsidRDefault="003165E5" w:rsidP="003165E5">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2F72C4">
        <w:rPr>
          <w:rFonts w:ascii="Times New Roman" w:eastAsia="Calibri" w:hAnsi="Times New Roman" w:cs="Times New Roman"/>
          <w:color w:val="000000" w:themeColor="text1"/>
          <w:sz w:val="24"/>
          <w:szCs w:val="24"/>
          <w:lang w:val="en-GB"/>
        </w:rPr>
        <w:t xml:space="preserve">The population was largely </w:t>
      </w:r>
      <w:r w:rsidR="0080223D" w:rsidRPr="002F72C4">
        <w:rPr>
          <w:rFonts w:ascii="Times New Roman" w:eastAsia="Calibri" w:hAnsi="Times New Roman" w:cs="Times New Roman"/>
          <w:color w:val="000000" w:themeColor="text1"/>
          <w:sz w:val="24"/>
          <w:szCs w:val="24"/>
          <w:lang w:val="en-GB"/>
        </w:rPr>
        <w:t>constituted</w:t>
      </w:r>
      <w:r w:rsidR="00340507" w:rsidRPr="002F72C4">
        <w:rPr>
          <w:rFonts w:ascii="Times New Roman" w:eastAsia="Calibri" w:hAnsi="Times New Roman" w:cs="Times New Roman"/>
          <w:color w:val="000000" w:themeColor="text1"/>
          <w:sz w:val="24"/>
          <w:szCs w:val="24"/>
          <w:lang w:val="en-GB"/>
        </w:rPr>
        <w:t xml:space="preserve"> </w:t>
      </w:r>
      <w:r w:rsidR="00C53C83" w:rsidRPr="002F72C4">
        <w:rPr>
          <w:rFonts w:ascii="Times New Roman" w:eastAsia="Calibri" w:hAnsi="Times New Roman" w:cs="Times New Roman"/>
          <w:color w:val="000000" w:themeColor="text1"/>
          <w:sz w:val="24"/>
          <w:szCs w:val="24"/>
          <w:lang w:val="en-GB"/>
        </w:rPr>
        <w:t>of males</w:t>
      </w:r>
      <w:r w:rsidRPr="002F72C4">
        <w:rPr>
          <w:rFonts w:ascii="Times New Roman" w:eastAsia="Calibri" w:hAnsi="Times New Roman" w:cs="Times New Roman"/>
          <w:color w:val="000000" w:themeColor="text1"/>
          <w:sz w:val="24"/>
          <w:szCs w:val="24"/>
          <w:lang w:val="en-GB"/>
        </w:rPr>
        <w:t xml:space="preserve"> (n=56, 70</w:t>
      </w:r>
      <w:r w:rsidR="00C9165F" w:rsidRPr="002F72C4">
        <w:rPr>
          <w:rFonts w:ascii="Times New Roman" w:eastAsia="Calibri" w:hAnsi="Times New Roman" w:cs="Times New Roman"/>
          <w:color w:val="000000" w:themeColor="text1"/>
          <w:sz w:val="24"/>
          <w:szCs w:val="24"/>
          <w:lang w:val="en-GB"/>
        </w:rPr>
        <w:t>.0</w:t>
      </w:r>
      <w:r w:rsidRPr="002F72C4">
        <w:rPr>
          <w:rFonts w:ascii="Times New Roman" w:eastAsia="Calibri" w:hAnsi="Times New Roman" w:cs="Times New Roman"/>
          <w:color w:val="000000" w:themeColor="text1"/>
          <w:sz w:val="24"/>
          <w:szCs w:val="24"/>
          <w:lang w:val="en-GB"/>
        </w:rPr>
        <w:t>%).</w:t>
      </w:r>
      <w:r w:rsidR="00C727B9" w:rsidRPr="002F72C4">
        <w:rPr>
          <w:rFonts w:ascii="Times New Roman" w:eastAsia="Calibri" w:hAnsi="Times New Roman" w:cs="Times New Roman"/>
          <w:color w:val="000000" w:themeColor="text1"/>
          <w:sz w:val="24"/>
          <w:szCs w:val="24"/>
          <w:lang w:val="en-GB"/>
        </w:rPr>
        <w:t xml:space="preserve"> </w:t>
      </w:r>
      <w:r w:rsidRPr="002F72C4">
        <w:rPr>
          <w:rFonts w:ascii="Times New Roman" w:eastAsia="Calibri" w:hAnsi="Times New Roman" w:cs="Times New Roman"/>
          <w:color w:val="000000" w:themeColor="text1"/>
          <w:sz w:val="24"/>
          <w:szCs w:val="24"/>
          <w:lang w:val="en-GB"/>
        </w:rPr>
        <w:t xml:space="preserve">The mean (SD) age of participants was 45.4 (14.7) years, where the youngest participant was 18.0 years, </w:t>
      </w:r>
      <w:r w:rsidR="00C9165F" w:rsidRPr="002F72C4">
        <w:rPr>
          <w:rFonts w:ascii="Times New Roman" w:eastAsia="Calibri" w:hAnsi="Times New Roman" w:cs="Times New Roman"/>
          <w:color w:val="000000" w:themeColor="text1"/>
          <w:sz w:val="24"/>
          <w:szCs w:val="24"/>
          <w:lang w:val="en-GB"/>
        </w:rPr>
        <w:t>and</w:t>
      </w:r>
      <w:r w:rsidRPr="002F72C4">
        <w:rPr>
          <w:rFonts w:ascii="Times New Roman" w:eastAsia="Calibri" w:hAnsi="Times New Roman" w:cs="Times New Roman"/>
          <w:color w:val="000000" w:themeColor="text1"/>
          <w:sz w:val="24"/>
          <w:szCs w:val="24"/>
          <w:lang w:val="en-GB"/>
        </w:rPr>
        <w:t xml:space="preserve"> the oldest was 72.0 years. </w:t>
      </w:r>
      <w:r w:rsidRPr="002F72C4">
        <w:rPr>
          <w:rFonts w:ascii="Times New Roman" w:eastAsia="Calibri" w:hAnsi="Times New Roman" w:cs="Times New Roman"/>
          <w:color w:val="000000" w:themeColor="text1"/>
          <w:sz w:val="24"/>
          <w:szCs w:val="24"/>
        </w:rPr>
        <w:t>Most of the patients</w:t>
      </w:r>
      <w:r w:rsidRPr="002F72C4">
        <w:rPr>
          <w:rFonts w:ascii="Times New Roman" w:eastAsia="Calibri" w:hAnsi="Times New Roman" w:cs="Times New Roman"/>
          <w:b/>
          <w:color w:val="000000" w:themeColor="text1"/>
          <w:sz w:val="24"/>
          <w:szCs w:val="24"/>
          <w:lang w:val="en-GB"/>
        </w:rPr>
        <w:t xml:space="preserve"> </w:t>
      </w:r>
      <w:r w:rsidRPr="002F72C4">
        <w:rPr>
          <w:rFonts w:ascii="Times New Roman" w:eastAsia="Calibri" w:hAnsi="Times New Roman" w:cs="Times New Roman"/>
          <w:color w:val="000000" w:themeColor="text1"/>
          <w:sz w:val="24"/>
          <w:szCs w:val="24"/>
        </w:rPr>
        <w:t>were married (n=64,</w:t>
      </w:r>
      <w:r w:rsidR="00C9165F" w:rsidRPr="002F72C4">
        <w:rPr>
          <w:rFonts w:ascii="Times New Roman" w:eastAsia="Calibri" w:hAnsi="Times New Roman" w:cs="Times New Roman"/>
          <w:color w:val="000000" w:themeColor="text1"/>
          <w:sz w:val="24"/>
          <w:szCs w:val="24"/>
        </w:rPr>
        <w:t xml:space="preserve"> </w:t>
      </w:r>
      <w:r w:rsidRPr="002F72C4">
        <w:rPr>
          <w:rFonts w:ascii="Times New Roman" w:eastAsia="Calibri" w:hAnsi="Times New Roman" w:cs="Times New Roman"/>
          <w:color w:val="000000" w:themeColor="text1"/>
          <w:sz w:val="24"/>
          <w:szCs w:val="24"/>
        </w:rPr>
        <w:t>80</w:t>
      </w:r>
      <w:r w:rsidR="00C9165F" w:rsidRPr="002F72C4">
        <w:rPr>
          <w:rFonts w:ascii="Times New Roman" w:eastAsia="Calibri" w:hAnsi="Times New Roman" w:cs="Times New Roman"/>
          <w:color w:val="000000" w:themeColor="text1"/>
          <w:sz w:val="24"/>
          <w:szCs w:val="24"/>
        </w:rPr>
        <w:t>.0</w:t>
      </w:r>
      <w:r w:rsidR="008669DC" w:rsidRPr="002F72C4">
        <w:rPr>
          <w:rFonts w:ascii="Times New Roman" w:eastAsia="Calibri" w:hAnsi="Times New Roman" w:cs="Times New Roman"/>
          <w:color w:val="000000" w:themeColor="text1"/>
          <w:sz w:val="24"/>
          <w:szCs w:val="24"/>
        </w:rPr>
        <w:t xml:space="preserve">%), had secondary education level </w:t>
      </w:r>
      <w:r w:rsidRPr="002F72C4">
        <w:rPr>
          <w:rFonts w:ascii="Times New Roman" w:eastAsia="Calibri" w:hAnsi="Times New Roman" w:cs="Times New Roman"/>
          <w:color w:val="000000" w:themeColor="text1"/>
          <w:sz w:val="24"/>
          <w:szCs w:val="24"/>
        </w:rPr>
        <w:t>(40</w:t>
      </w:r>
      <w:r w:rsidRPr="002F72C4">
        <w:rPr>
          <w:rFonts w:ascii="Times New Roman" w:eastAsia="Calibri" w:hAnsi="Times New Roman" w:cs="Times New Roman"/>
          <w:color w:val="000000" w:themeColor="text1"/>
          <w:sz w:val="24"/>
          <w:szCs w:val="24"/>
          <w:lang w:val="en-GB"/>
        </w:rPr>
        <w:t>, 50.0%)</w:t>
      </w:r>
      <w:r w:rsidRPr="002F72C4">
        <w:rPr>
          <w:rFonts w:ascii="Times New Roman" w:eastAsia="Calibri" w:hAnsi="Times New Roman" w:cs="Times New Roman"/>
          <w:color w:val="000000" w:themeColor="text1"/>
          <w:sz w:val="24"/>
          <w:szCs w:val="24"/>
        </w:rPr>
        <w:t xml:space="preserve"> </w:t>
      </w:r>
      <w:r w:rsidR="008669DC" w:rsidRPr="002F72C4">
        <w:rPr>
          <w:rFonts w:ascii="Times New Roman" w:eastAsia="Calibri" w:hAnsi="Times New Roman" w:cs="Times New Roman"/>
          <w:color w:val="000000" w:themeColor="text1"/>
          <w:sz w:val="24"/>
          <w:szCs w:val="24"/>
        </w:rPr>
        <w:t xml:space="preserve">and employed </w:t>
      </w:r>
      <w:r w:rsidRPr="002F72C4">
        <w:rPr>
          <w:rFonts w:ascii="Times New Roman" w:eastAsia="Calibri" w:hAnsi="Times New Roman" w:cs="Times New Roman"/>
          <w:color w:val="000000" w:themeColor="text1"/>
          <w:sz w:val="24"/>
          <w:szCs w:val="24"/>
        </w:rPr>
        <w:t xml:space="preserve">(n= 36 ,45.9%). </w:t>
      </w:r>
      <w:r w:rsidR="0022290B" w:rsidRPr="002F72C4">
        <w:rPr>
          <w:rFonts w:ascii="Times New Roman" w:eastAsia="Calibri" w:hAnsi="Times New Roman" w:cs="Times New Roman"/>
          <w:color w:val="000000" w:themeColor="text1"/>
          <w:sz w:val="24"/>
          <w:szCs w:val="24"/>
        </w:rPr>
        <w:t>Over</w:t>
      </w:r>
      <w:r w:rsidRPr="002F72C4">
        <w:rPr>
          <w:rFonts w:ascii="Times New Roman" w:eastAsia="Calibri" w:hAnsi="Times New Roman" w:cs="Times New Roman"/>
          <w:color w:val="000000" w:themeColor="text1"/>
          <w:sz w:val="24"/>
          <w:szCs w:val="24"/>
        </w:rPr>
        <w:t xml:space="preserve"> half the study participants (n=48,</w:t>
      </w:r>
      <w:r w:rsidR="00C9165F" w:rsidRPr="002F72C4">
        <w:rPr>
          <w:rFonts w:ascii="Times New Roman" w:eastAsia="Calibri" w:hAnsi="Times New Roman" w:cs="Times New Roman"/>
          <w:color w:val="000000" w:themeColor="text1"/>
          <w:sz w:val="24"/>
          <w:szCs w:val="24"/>
        </w:rPr>
        <w:t xml:space="preserve"> </w:t>
      </w:r>
      <w:r w:rsidRPr="002F72C4">
        <w:rPr>
          <w:rFonts w:ascii="Times New Roman" w:eastAsia="Calibri" w:hAnsi="Times New Roman" w:cs="Times New Roman"/>
          <w:color w:val="000000" w:themeColor="text1"/>
          <w:sz w:val="24"/>
          <w:szCs w:val="24"/>
        </w:rPr>
        <w:t>60</w:t>
      </w:r>
      <w:r w:rsidR="00C9165F" w:rsidRPr="002F72C4">
        <w:rPr>
          <w:rFonts w:ascii="Times New Roman" w:eastAsia="Calibri" w:hAnsi="Times New Roman" w:cs="Times New Roman"/>
          <w:color w:val="000000" w:themeColor="text1"/>
          <w:sz w:val="24"/>
          <w:szCs w:val="24"/>
        </w:rPr>
        <w:t>.0</w:t>
      </w:r>
      <w:r w:rsidRPr="002F72C4">
        <w:rPr>
          <w:rFonts w:ascii="Times New Roman" w:eastAsia="Calibri" w:hAnsi="Times New Roman" w:cs="Times New Roman"/>
          <w:color w:val="000000" w:themeColor="text1"/>
          <w:sz w:val="24"/>
          <w:szCs w:val="24"/>
        </w:rPr>
        <w:t>%) had hypertension while a quarter (20,25</w:t>
      </w:r>
      <w:r w:rsidR="00C9165F" w:rsidRPr="002F72C4">
        <w:rPr>
          <w:rFonts w:ascii="Times New Roman" w:eastAsia="Calibri" w:hAnsi="Times New Roman" w:cs="Times New Roman"/>
          <w:color w:val="000000" w:themeColor="text1"/>
          <w:sz w:val="24"/>
          <w:szCs w:val="24"/>
        </w:rPr>
        <w:t>.0</w:t>
      </w:r>
      <w:r w:rsidRPr="002F72C4">
        <w:rPr>
          <w:rFonts w:ascii="Times New Roman" w:eastAsia="Calibri" w:hAnsi="Times New Roman" w:cs="Times New Roman"/>
          <w:color w:val="000000" w:themeColor="text1"/>
          <w:sz w:val="24"/>
          <w:szCs w:val="24"/>
        </w:rPr>
        <w:t>%) had both diabetes and hypertension.</w:t>
      </w:r>
      <w:r w:rsidR="004A0F84" w:rsidRPr="002F72C4">
        <w:rPr>
          <w:rFonts w:ascii="Times New Roman" w:eastAsia="Calibri" w:hAnsi="Times New Roman" w:cs="Times New Roman"/>
          <w:color w:val="000000" w:themeColor="text1"/>
          <w:sz w:val="24"/>
          <w:szCs w:val="24"/>
        </w:rPr>
        <w:t xml:space="preserve"> All the study participants received their kidney from living donor relative and the median duration post kidney transplantation was 51.5 (IQR 30</w:t>
      </w:r>
      <w:r w:rsidR="00222258" w:rsidRPr="002F72C4">
        <w:rPr>
          <w:rFonts w:ascii="Times New Roman" w:eastAsia="Calibri" w:hAnsi="Times New Roman" w:cs="Times New Roman"/>
          <w:color w:val="000000" w:themeColor="text1"/>
          <w:sz w:val="24"/>
          <w:szCs w:val="24"/>
        </w:rPr>
        <w:t>, 84</w:t>
      </w:r>
      <w:r w:rsidR="004A0F84" w:rsidRPr="002F72C4">
        <w:rPr>
          <w:rFonts w:ascii="Times New Roman" w:eastAsia="Calibri" w:hAnsi="Times New Roman" w:cs="Times New Roman"/>
          <w:color w:val="000000" w:themeColor="text1"/>
          <w:sz w:val="24"/>
          <w:szCs w:val="24"/>
        </w:rPr>
        <w:t>) months</w:t>
      </w:r>
      <w:r w:rsidRPr="002F72C4">
        <w:rPr>
          <w:rFonts w:ascii="Times New Roman" w:eastAsia="Calibri" w:hAnsi="Times New Roman" w:cs="Times New Roman"/>
          <w:color w:val="000000" w:themeColor="text1"/>
          <w:sz w:val="24"/>
          <w:szCs w:val="24"/>
        </w:rPr>
        <w:t xml:space="preserve"> (</w:t>
      </w:r>
      <w:r w:rsidRPr="002F72C4">
        <w:rPr>
          <w:rFonts w:ascii="Times New Roman" w:eastAsia="Calibri" w:hAnsi="Times New Roman" w:cs="Times New Roman"/>
          <w:b/>
          <w:color w:val="000000" w:themeColor="text1"/>
          <w:sz w:val="24"/>
          <w:szCs w:val="24"/>
        </w:rPr>
        <w:t>Table 1</w:t>
      </w:r>
      <w:r w:rsidRPr="002F72C4">
        <w:rPr>
          <w:rFonts w:ascii="Times New Roman" w:eastAsia="Calibri" w:hAnsi="Times New Roman" w:cs="Times New Roman"/>
          <w:color w:val="000000" w:themeColor="text1"/>
          <w:sz w:val="24"/>
          <w:szCs w:val="24"/>
        </w:rPr>
        <w:t>).</w:t>
      </w:r>
    </w:p>
    <w:p w14:paraId="0660F951" w14:textId="637529B6" w:rsidR="009827FB" w:rsidRPr="002F72C4" w:rsidRDefault="003165E5" w:rsidP="009827FB">
      <w:pPr>
        <w:pStyle w:val="Heading2"/>
        <w:rPr>
          <w:rFonts w:eastAsia="Calibri" w:cs="Times New Roman"/>
          <w:b/>
          <w:color w:val="000000" w:themeColor="text1"/>
          <w:szCs w:val="24"/>
          <w:lang w:val="en-GB"/>
        </w:rPr>
      </w:pPr>
      <w:bookmarkStart w:id="37" w:name="_Toc86908064"/>
      <w:r w:rsidRPr="002F72C4">
        <w:rPr>
          <w:rFonts w:eastAsia="Calibri" w:cs="Times New Roman"/>
          <w:b/>
          <w:color w:val="000000" w:themeColor="text1"/>
          <w:szCs w:val="24"/>
          <w:lang w:val="en-GB"/>
        </w:rPr>
        <w:lastRenderedPageBreak/>
        <w:t xml:space="preserve">Health related quality of life scores </w:t>
      </w:r>
      <w:bookmarkStart w:id="38" w:name="_Toc86908065"/>
      <w:bookmarkEnd w:id="37"/>
      <w:r w:rsidR="00F322BB" w:rsidRPr="002F72C4">
        <w:rPr>
          <w:rFonts w:eastAsia="Calibri" w:cs="Times New Roman"/>
          <w:b/>
          <w:color w:val="000000" w:themeColor="text1"/>
          <w:szCs w:val="24"/>
          <w:lang w:val="en-GB"/>
        </w:rPr>
        <w:t>among the participants</w:t>
      </w:r>
    </w:p>
    <w:p w14:paraId="51495348" w14:textId="77777777" w:rsidR="003165E5" w:rsidRPr="002F72C4" w:rsidRDefault="003165E5" w:rsidP="009827FB">
      <w:pPr>
        <w:pStyle w:val="Heading2"/>
        <w:rPr>
          <w:rFonts w:eastAsia="Calibri" w:cs="Times New Roman"/>
          <w:b/>
          <w:color w:val="000000" w:themeColor="text1"/>
          <w:szCs w:val="24"/>
          <w:lang w:val="en-GB"/>
        </w:rPr>
      </w:pPr>
      <w:r w:rsidRPr="002F72C4">
        <w:rPr>
          <w:rFonts w:eastAsia="Calibri" w:cs="Times New Roman"/>
          <w:b/>
          <w:color w:val="000000" w:themeColor="text1"/>
          <w:szCs w:val="24"/>
          <w:lang w:val="en-GB"/>
        </w:rPr>
        <w:t xml:space="preserve">Physical symptoms experienced by participants </w:t>
      </w:r>
      <w:bookmarkEnd w:id="38"/>
    </w:p>
    <w:p w14:paraId="050CD1DB" w14:textId="6FA45060"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Table </w:t>
      </w:r>
      <w:r w:rsidR="001D7523" w:rsidRPr="002F72C4">
        <w:rPr>
          <w:rFonts w:ascii="Times New Roman" w:eastAsia="Calibri" w:hAnsi="Times New Roman" w:cs="Times New Roman"/>
          <w:color w:val="000000" w:themeColor="text1"/>
          <w:sz w:val="24"/>
          <w:szCs w:val="24"/>
          <w:lang w:val="en-GB"/>
        </w:rPr>
        <w:t>2</w:t>
      </w:r>
      <w:r w:rsidRPr="002F72C4">
        <w:rPr>
          <w:rFonts w:ascii="Times New Roman" w:eastAsia="Calibri" w:hAnsi="Times New Roman" w:cs="Times New Roman"/>
          <w:color w:val="000000" w:themeColor="text1"/>
          <w:sz w:val="24"/>
          <w:szCs w:val="24"/>
          <w:lang w:val="en-GB"/>
        </w:rPr>
        <w:t xml:space="preserve"> below </w:t>
      </w:r>
      <w:r w:rsidR="0022290B" w:rsidRPr="002F72C4">
        <w:rPr>
          <w:rFonts w:ascii="Times New Roman" w:eastAsia="Calibri" w:hAnsi="Times New Roman" w:cs="Times New Roman"/>
          <w:color w:val="000000" w:themeColor="text1"/>
          <w:sz w:val="24"/>
          <w:szCs w:val="24"/>
          <w:lang w:val="en-GB"/>
        </w:rPr>
        <w:t>illustrates</w:t>
      </w:r>
      <w:r w:rsidRPr="002F72C4">
        <w:rPr>
          <w:rFonts w:ascii="Times New Roman" w:eastAsia="Calibri" w:hAnsi="Times New Roman" w:cs="Times New Roman"/>
          <w:color w:val="000000" w:themeColor="text1"/>
          <w:sz w:val="24"/>
          <w:szCs w:val="24"/>
          <w:lang w:val="en-GB"/>
        </w:rPr>
        <w:t xml:space="preserve"> patient specific physical symptoms identified as most bothersome during the previous four weeks of the study.</w:t>
      </w:r>
    </w:p>
    <w:p w14:paraId="57DB6E83" w14:textId="77777777" w:rsidR="003165E5" w:rsidRPr="002F72C4" w:rsidRDefault="003165E5" w:rsidP="003165E5">
      <w:pPr>
        <w:pStyle w:val="Caption"/>
        <w:rPr>
          <w:rFonts w:ascii="Times New Roman" w:hAnsi="Times New Roman"/>
          <w:color w:val="000000" w:themeColor="text1"/>
          <w:sz w:val="24"/>
          <w:szCs w:val="24"/>
        </w:rPr>
      </w:pPr>
    </w:p>
    <w:p w14:paraId="182B7B06" w14:textId="18AD25CE" w:rsidR="003165E5" w:rsidRPr="002F72C4" w:rsidRDefault="003165E5" w:rsidP="003165E5">
      <w:pPr>
        <w:pStyle w:val="Caption"/>
        <w:rPr>
          <w:rFonts w:ascii="Times New Roman" w:eastAsia="Calibri" w:hAnsi="Times New Roman"/>
          <w:color w:val="000000" w:themeColor="text1"/>
          <w:sz w:val="24"/>
          <w:szCs w:val="24"/>
          <w:lang w:val="en-GB"/>
        </w:rPr>
      </w:pPr>
      <w:bookmarkStart w:id="39" w:name="_Toc86835616"/>
      <w:bookmarkStart w:id="40" w:name="_Toc86835600"/>
      <w:r w:rsidRPr="002F72C4">
        <w:rPr>
          <w:rFonts w:ascii="Times New Roman" w:hAnsi="Times New Roman"/>
          <w:color w:val="000000" w:themeColor="text1"/>
          <w:sz w:val="24"/>
          <w:szCs w:val="24"/>
        </w:rPr>
        <w:t xml:space="preserve">Table </w:t>
      </w:r>
      <w:r w:rsidR="00291007" w:rsidRPr="002F72C4">
        <w:rPr>
          <w:rFonts w:ascii="Times New Roman" w:hAnsi="Times New Roman"/>
          <w:color w:val="000000" w:themeColor="text1"/>
          <w:sz w:val="24"/>
          <w:szCs w:val="24"/>
        </w:rPr>
        <w:t>2</w:t>
      </w:r>
      <w:r w:rsidRPr="002F72C4">
        <w:rPr>
          <w:rFonts w:ascii="Times New Roman" w:hAnsi="Times New Roman"/>
          <w:color w:val="000000" w:themeColor="text1"/>
          <w:sz w:val="24"/>
          <w:szCs w:val="24"/>
        </w:rPr>
        <w:t xml:space="preserve">: </w:t>
      </w:r>
      <w:r w:rsidRPr="002F72C4">
        <w:rPr>
          <w:rFonts w:ascii="Times New Roman" w:eastAsia="Calibri" w:hAnsi="Times New Roman"/>
          <w:color w:val="000000" w:themeColor="text1"/>
          <w:sz w:val="24"/>
          <w:szCs w:val="24"/>
          <w:lang w:val="en-GB"/>
        </w:rPr>
        <w:t>Distribution of physical symptoms experienced among study participants</w:t>
      </w:r>
      <w:bookmarkEnd w:id="39"/>
      <w:bookmarkEnd w:id="40"/>
    </w:p>
    <w:tbl>
      <w:tblPr>
        <w:tblStyle w:val="TableGrid5"/>
        <w:tblW w:w="0" w:type="auto"/>
        <w:tblLayout w:type="fixed"/>
        <w:tblLook w:val="04A0" w:firstRow="1" w:lastRow="0" w:firstColumn="1" w:lastColumn="0" w:noHBand="0" w:noVBand="1"/>
      </w:tblPr>
      <w:tblGrid>
        <w:gridCol w:w="5490"/>
        <w:gridCol w:w="1350"/>
        <w:gridCol w:w="2160"/>
      </w:tblGrid>
      <w:tr w:rsidR="002F72C4" w:rsidRPr="002F72C4" w14:paraId="5B9ADABC" w14:textId="77777777" w:rsidTr="009827FB">
        <w:tc>
          <w:tcPr>
            <w:tcW w:w="5490" w:type="dxa"/>
            <w:tcBorders>
              <w:top w:val="single" w:sz="12" w:space="0" w:color="auto"/>
              <w:left w:val="nil"/>
              <w:bottom w:val="single" w:sz="12" w:space="0" w:color="auto"/>
              <w:right w:val="nil"/>
            </w:tcBorders>
          </w:tcPr>
          <w:p w14:paraId="571B4A14" w14:textId="77777777" w:rsidR="003165E5" w:rsidRPr="002F72C4" w:rsidRDefault="003165E5">
            <w:pPr>
              <w:spacing w:line="240" w:lineRule="auto"/>
              <w:rPr>
                <w:rFonts w:ascii="Times New Roman" w:hAnsi="Times New Roman"/>
                <w:b/>
                <w:color w:val="000000" w:themeColor="text1"/>
                <w:sz w:val="24"/>
                <w:szCs w:val="24"/>
              </w:rPr>
            </w:pPr>
          </w:p>
        </w:tc>
        <w:tc>
          <w:tcPr>
            <w:tcW w:w="1350" w:type="dxa"/>
            <w:tcBorders>
              <w:top w:val="single" w:sz="12" w:space="0" w:color="auto"/>
              <w:left w:val="nil"/>
              <w:bottom w:val="single" w:sz="12" w:space="0" w:color="auto"/>
              <w:right w:val="nil"/>
            </w:tcBorders>
            <w:hideMark/>
          </w:tcPr>
          <w:p w14:paraId="4CF5C43F"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Frequency</w:t>
            </w:r>
          </w:p>
        </w:tc>
        <w:tc>
          <w:tcPr>
            <w:tcW w:w="2160" w:type="dxa"/>
            <w:tcBorders>
              <w:top w:val="single" w:sz="12" w:space="0" w:color="auto"/>
              <w:left w:val="nil"/>
              <w:bottom w:val="single" w:sz="12" w:space="0" w:color="auto"/>
              <w:right w:val="nil"/>
            </w:tcBorders>
            <w:hideMark/>
          </w:tcPr>
          <w:p w14:paraId="0B767CB5"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Percent of patients</w:t>
            </w:r>
          </w:p>
        </w:tc>
      </w:tr>
      <w:tr w:rsidR="002F72C4" w:rsidRPr="002F72C4" w14:paraId="38C2D0BA" w14:textId="77777777" w:rsidTr="009827FB">
        <w:tc>
          <w:tcPr>
            <w:tcW w:w="5490" w:type="dxa"/>
            <w:tcBorders>
              <w:top w:val="single" w:sz="12" w:space="0" w:color="auto"/>
              <w:left w:val="nil"/>
              <w:bottom w:val="nil"/>
              <w:right w:val="nil"/>
            </w:tcBorders>
            <w:hideMark/>
          </w:tcPr>
          <w:p w14:paraId="5EC633DD"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Forgetfulness</w:t>
            </w:r>
          </w:p>
        </w:tc>
        <w:tc>
          <w:tcPr>
            <w:tcW w:w="1350" w:type="dxa"/>
            <w:tcBorders>
              <w:top w:val="single" w:sz="12" w:space="0" w:color="auto"/>
              <w:left w:val="nil"/>
              <w:bottom w:val="nil"/>
              <w:right w:val="nil"/>
            </w:tcBorders>
            <w:hideMark/>
          </w:tcPr>
          <w:p w14:paraId="74C08FC1"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28</w:t>
            </w:r>
          </w:p>
        </w:tc>
        <w:tc>
          <w:tcPr>
            <w:tcW w:w="2160" w:type="dxa"/>
            <w:tcBorders>
              <w:top w:val="single" w:sz="12" w:space="0" w:color="auto"/>
              <w:left w:val="nil"/>
              <w:bottom w:val="nil"/>
              <w:right w:val="nil"/>
            </w:tcBorders>
            <w:hideMark/>
          </w:tcPr>
          <w:p w14:paraId="1A57E39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35.0%</w:t>
            </w:r>
          </w:p>
        </w:tc>
      </w:tr>
      <w:tr w:rsidR="002F72C4" w:rsidRPr="002F72C4" w14:paraId="418814A9" w14:textId="77777777" w:rsidTr="003165E5">
        <w:tc>
          <w:tcPr>
            <w:tcW w:w="5490" w:type="dxa"/>
            <w:tcBorders>
              <w:top w:val="nil"/>
              <w:left w:val="nil"/>
              <w:bottom w:val="nil"/>
              <w:right w:val="nil"/>
            </w:tcBorders>
            <w:hideMark/>
          </w:tcPr>
          <w:p w14:paraId="24CE443E"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Aching, tired legs</w:t>
            </w:r>
          </w:p>
        </w:tc>
        <w:tc>
          <w:tcPr>
            <w:tcW w:w="1350" w:type="dxa"/>
            <w:tcBorders>
              <w:top w:val="nil"/>
              <w:left w:val="nil"/>
              <w:bottom w:val="nil"/>
              <w:right w:val="nil"/>
            </w:tcBorders>
            <w:hideMark/>
          </w:tcPr>
          <w:p w14:paraId="181CBBB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26</w:t>
            </w:r>
          </w:p>
        </w:tc>
        <w:tc>
          <w:tcPr>
            <w:tcW w:w="2160" w:type="dxa"/>
            <w:tcBorders>
              <w:top w:val="nil"/>
              <w:left w:val="nil"/>
              <w:bottom w:val="nil"/>
              <w:right w:val="nil"/>
            </w:tcBorders>
            <w:hideMark/>
          </w:tcPr>
          <w:p w14:paraId="215B2AD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32.5%</w:t>
            </w:r>
          </w:p>
        </w:tc>
      </w:tr>
      <w:tr w:rsidR="002F72C4" w:rsidRPr="002F72C4" w14:paraId="51C9FE53" w14:textId="77777777" w:rsidTr="003165E5">
        <w:tc>
          <w:tcPr>
            <w:tcW w:w="5490" w:type="dxa"/>
            <w:tcBorders>
              <w:top w:val="nil"/>
              <w:left w:val="nil"/>
              <w:bottom w:val="nil"/>
              <w:right w:val="nil"/>
            </w:tcBorders>
            <w:hideMark/>
          </w:tcPr>
          <w:p w14:paraId="1C8D6FF6"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Urinary tract infection</w:t>
            </w:r>
          </w:p>
        </w:tc>
        <w:tc>
          <w:tcPr>
            <w:tcW w:w="1350" w:type="dxa"/>
            <w:tcBorders>
              <w:top w:val="nil"/>
              <w:left w:val="nil"/>
              <w:bottom w:val="nil"/>
              <w:right w:val="nil"/>
            </w:tcBorders>
            <w:hideMark/>
          </w:tcPr>
          <w:p w14:paraId="790CFEAA"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23</w:t>
            </w:r>
          </w:p>
        </w:tc>
        <w:tc>
          <w:tcPr>
            <w:tcW w:w="2160" w:type="dxa"/>
            <w:tcBorders>
              <w:top w:val="nil"/>
              <w:left w:val="nil"/>
              <w:bottom w:val="nil"/>
              <w:right w:val="nil"/>
            </w:tcBorders>
            <w:hideMark/>
          </w:tcPr>
          <w:p w14:paraId="0292B8D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28.7%</w:t>
            </w:r>
          </w:p>
        </w:tc>
      </w:tr>
      <w:tr w:rsidR="002F72C4" w:rsidRPr="002F72C4" w14:paraId="53E27C11" w14:textId="77777777" w:rsidTr="003165E5">
        <w:tc>
          <w:tcPr>
            <w:tcW w:w="5490" w:type="dxa"/>
            <w:tcBorders>
              <w:top w:val="nil"/>
              <w:left w:val="nil"/>
              <w:bottom w:val="nil"/>
              <w:right w:val="nil"/>
            </w:tcBorders>
            <w:hideMark/>
          </w:tcPr>
          <w:p w14:paraId="4D2E9769"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Decreased sexual ability</w:t>
            </w:r>
          </w:p>
        </w:tc>
        <w:tc>
          <w:tcPr>
            <w:tcW w:w="1350" w:type="dxa"/>
            <w:tcBorders>
              <w:top w:val="nil"/>
              <w:left w:val="nil"/>
              <w:bottom w:val="nil"/>
              <w:right w:val="nil"/>
            </w:tcBorders>
            <w:hideMark/>
          </w:tcPr>
          <w:p w14:paraId="0F737F26"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20</w:t>
            </w:r>
          </w:p>
        </w:tc>
        <w:tc>
          <w:tcPr>
            <w:tcW w:w="2160" w:type="dxa"/>
            <w:tcBorders>
              <w:top w:val="nil"/>
              <w:left w:val="nil"/>
              <w:bottom w:val="nil"/>
              <w:right w:val="nil"/>
            </w:tcBorders>
            <w:hideMark/>
          </w:tcPr>
          <w:p w14:paraId="5CE18CC6"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25.0%</w:t>
            </w:r>
          </w:p>
        </w:tc>
      </w:tr>
      <w:tr w:rsidR="002F72C4" w:rsidRPr="002F72C4" w14:paraId="5B23AE0C" w14:textId="77777777" w:rsidTr="003165E5">
        <w:tc>
          <w:tcPr>
            <w:tcW w:w="5490" w:type="dxa"/>
            <w:tcBorders>
              <w:top w:val="nil"/>
              <w:left w:val="nil"/>
              <w:bottom w:val="nil"/>
              <w:right w:val="nil"/>
            </w:tcBorders>
            <w:hideMark/>
          </w:tcPr>
          <w:p w14:paraId="32BE86D9"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Headaches</w:t>
            </w:r>
          </w:p>
        </w:tc>
        <w:tc>
          <w:tcPr>
            <w:tcW w:w="1350" w:type="dxa"/>
            <w:tcBorders>
              <w:top w:val="nil"/>
              <w:left w:val="nil"/>
              <w:bottom w:val="nil"/>
              <w:right w:val="nil"/>
            </w:tcBorders>
            <w:hideMark/>
          </w:tcPr>
          <w:p w14:paraId="5247F12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17</w:t>
            </w:r>
          </w:p>
        </w:tc>
        <w:tc>
          <w:tcPr>
            <w:tcW w:w="2160" w:type="dxa"/>
            <w:tcBorders>
              <w:top w:val="nil"/>
              <w:left w:val="nil"/>
              <w:bottom w:val="nil"/>
              <w:right w:val="nil"/>
            </w:tcBorders>
            <w:hideMark/>
          </w:tcPr>
          <w:p w14:paraId="2CFC039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21.3%</w:t>
            </w:r>
          </w:p>
        </w:tc>
      </w:tr>
      <w:tr w:rsidR="002F72C4" w:rsidRPr="002F72C4" w14:paraId="71C4A35B" w14:textId="77777777" w:rsidTr="003165E5">
        <w:tc>
          <w:tcPr>
            <w:tcW w:w="5490" w:type="dxa"/>
            <w:tcBorders>
              <w:top w:val="nil"/>
              <w:left w:val="nil"/>
              <w:bottom w:val="nil"/>
              <w:right w:val="nil"/>
            </w:tcBorders>
            <w:hideMark/>
          </w:tcPr>
          <w:p w14:paraId="02D8E08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Side-effects from medications</w:t>
            </w:r>
          </w:p>
        </w:tc>
        <w:tc>
          <w:tcPr>
            <w:tcW w:w="1350" w:type="dxa"/>
            <w:tcBorders>
              <w:top w:val="nil"/>
              <w:left w:val="nil"/>
              <w:bottom w:val="nil"/>
              <w:right w:val="nil"/>
            </w:tcBorders>
            <w:hideMark/>
          </w:tcPr>
          <w:p w14:paraId="552B1AB3"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16</w:t>
            </w:r>
          </w:p>
        </w:tc>
        <w:tc>
          <w:tcPr>
            <w:tcW w:w="2160" w:type="dxa"/>
            <w:tcBorders>
              <w:top w:val="nil"/>
              <w:left w:val="nil"/>
              <w:bottom w:val="nil"/>
              <w:right w:val="nil"/>
            </w:tcBorders>
            <w:hideMark/>
          </w:tcPr>
          <w:p w14:paraId="71AC1593"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20.0%</w:t>
            </w:r>
          </w:p>
        </w:tc>
      </w:tr>
      <w:tr w:rsidR="002F72C4" w:rsidRPr="002F72C4" w14:paraId="2C302882" w14:textId="77777777" w:rsidTr="003165E5">
        <w:tc>
          <w:tcPr>
            <w:tcW w:w="5490" w:type="dxa"/>
            <w:tcBorders>
              <w:top w:val="nil"/>
              <w:left w:val="nil"/>
              <w:bottom w:val="nil"/>
              <w:right w:val="nil"/>
            </w:tcBorders>
            <w:hideMark/>
          </w:tcPr>
          <w:p w14:paraId="1FBBDD1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Trouble getting to sleep</w:t>
            </w:r>
          </w:p>
        </w:tc>
        <w:tc>
          <w:tcPr>
            <w:tcW w:w="1350" w:type="dxa"/>
            <w:tcBorders>
              <w:top w:val="nil"/>
              <w:left w:val="nil"/>
              <w:bottom w:val="nil"/>
              <w:right w:val="nil"/>
            </w:tcBorders>
            <w:hideMark/>
          </w:tcPr>
          <w:p w14:paraId="051E492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16</w:t>
            </w:r>
          </w:p>
        </w:tc>
        <w:tc>
          <w:tcPr>
            <w:tcW w:w="2160" w:type="dxa"/>
            <w:tcBorders>
              <w:top w:val="nil"/>
              <w:left w:val="nil"/>
              <w:bottom w:val="nil"/>
              <w:right w:val="nil"/>
            </w:tcBorders>
            <w:hideMark/>
          </w:tcPr>
          <w:p w14:paraId="75E9FA31"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20.0%</w:t>
            </w:r>
          </w:p>
        </w:tc>
      </w:tr>
      <w:tr w:rsidR="002F72C4" w:rsidRPr="002F72C4" w14:paraId="6BE87D56" w14:textId="77777777" w:rsidTr="003165E5">
        <w:tc>
          <w:tcPr>
            <w:tcW w:w="5490" w:type="dxa"/>
            <w:tcBorders>
              <w:top w:val="nil"/>
              <w:left w:val="nil"/>
              <w:bottom w:val="nil"/>
              <w:right w:val="nil"/>
            </w:tcBorders>
            <w:hideMark/>
          </w:tcPr>
          <w:p w14:paraId="4E8EBCB2"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Light-headedness or dizziness during daily activities</w:t>
            </w:r>
          </w:p>
        </w:tc>
        <w:tc>
          <w:tcPr>
            <w:tcW w:w="1350" w:type="dxa"/>
            <w:tcBorders>
              <w:top w:val="nil"/>
              <w:left w:val="nil"/>
              <w:bottom w:val="nil"/>
              <w:right w:val="nil"/>
            </w:tcBorders>
            <w:hideMark/>
          </w:tcPr>
          <w:p w14:paraId="54E9DEB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16</w:t>
            </w:r>
          </w:p>
        </w:tc>
        <w:tc>
          <w:tcPr>
            <w:tcW w:w="2160" w:type="dxa"/>
            <w:tcBorders>
              <w:top w:val="nil"/>
              <w:left w:val="nil"/>
              <w:bottom w:val="nil"/>
              <w:right w:val="nil"/>
            </w:tcBorders>
            <w:hideMark/>
          </w:tcPr>
          <w:p w14:paraId="2B11FB7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20.0%</w:t>
            </w:r>
          </w:p>
        </w:tc>
      </w:tr>
      <w:tr w:rsidR="002F72C4" w:rsidRPr="002F72C4" w14:paraId="673329E9" w14:textId="77777777" w:rsidTr="003165E5">
        <w:tc>
          <w:tcPr>
            <w:tcW w:w="5490" w:type="dxa"/>
            <w:tcBorders>
              <w:top w:val="nil"/>
              <w:left w:val="nil"/>
              <w:bottom w:val="nil"/>
              <w:right w:val="nil"/>
            </w:tcBorders>
            <w:hideMark/>
          </w:tcPr>
          <w:p w14:paraId="511D312B"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Aching bones</w:t>
            </w:r>
          </w:p>
        </w:tc>
        <w:tc>
          <w:tcPr>
            <w:tcW w:w="1350" w:type="dxa"/>
            <w:tcBorders>
              <w:top w:val="nil"/>
              <w:left w:val="nil"/>
              <w:bottom w:val="nil"/>
              <w:right w:val="nil"/>
            </w:tcBorders>
            <w:hideMark/>
          </w:tcPr>
          <w:p w14:paraId="67F4323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w:t>
            </w:r>
          </w:p>
        </w:tc>
        <w:tc>
          <w:tcPr>
            <w:tcW w:w="2160" w:type="dxa"/>
            <w:tcBorders>
              <w:top w:val="nil"/>
              <w:left w:val="nil"/>
              <w:bottom w:val="nil"/>
              <w:right w:val="nil"/>
            </w:tcBorders>
            <w:hideMark/>
          </w:tcPr>
          <w:p w14:paraId="1E380C0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18.8%</w:t>
            </w:r>
          </w:p>
        </w:tc>
      </w:tr>
      <w:tr w:rsidR="002F72C4" w:rsidRPr="002F72C4" w14:paraId="47B9810D" w14:textId="77777777" w:rsidTr="003165E5">
        <w:tc>
          <w:tcPr>
            <w:tcW w:w="5490" w:type="dxa"/>
            <w:tcBorders>
              <w:top w:val="nil"/>
              <w:left w:val="nil"/>
              <w:bottom w:val="nil"/>
              <w:right w:val="nil"/>
            </w:tcBorders>
            <w:hideMark/>
          </w:tcPr>
          <w:p w14:paraId="30DBABA8"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Constipation or diarrhoea</w:t>
            </w:r>
          </w:p>
        </w:tc>
        <w:tc>
          <w:tcPr>
            <w:tcW w:w="1350" w:type="dxa"/>
            <w:tcBorders>
              <w:top w:val="nil"/>
              <w:left w:val="nil"/>
              <w:bottom w:val="nil"/>
              <w:right w:val="nil"/>
            </w:tcBorders>
            <w:hideMark/>
          </w:tcPr>
          <w:p w14:paraId="765527F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w:t>
            </w:r>
          </w:p>
        </w:tc>
        <w:tc>
          <w:tcPr>
            <w:tcW w:w="2160" w:type="dxa"/>
            <w:tcBorders>
              <w:top w:val="nil"/>
              <w:left w:val="nil"/>
              <w:bottom w:val="nil"/>
              <w:right w:val="nil"/>
            </w:tcBorders>
            <w:hideMark/>
          </w:tcPr>
          <w:p w14:paraId="3BEB2A1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18.8%</w:t>
            </w:r>
          </w:p>
        </w:tc>
      </w:tr>
      <w:tr w:rsidR="002F72C4" w:rsidRPr="002F72C4" w14:paraId="4D4A9E16" w14:textId="77777777" w:rsidTr="003165E5">
        <w:tc>
          <w:tcPr>
            <w:tcW w:w="5490" w:type="dxa"/>
            <w:tcBorders>
              <w:top w:val="nil"/>
              <w:left w:val="nil"/>
              <w:bottom w:val="nil"/>
              <w:right w:val="nil"/>
            </w:tcBorders>
            <w:hideMark/>
          </w:tcPr>
          <w:p w14:paraId="3298B660"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Very little strength</w:t>
            </w:r>
          </w:p>
        </w:tc>
        <w:tc>
          <w:tcPr>
            <w:tcW w:w="1350" w:type="dxa"/>
            <w:tcBorders>
              <w:top w:val="nil"/>
              <w:left w:val="nil"/>
              <w:bottom w:val="nil"/>
              <w:right w:val="nil"/>
            </w:tcBorders>
            <w:hideMark/>
          </w:tcPr>
          <w:p w14:paraId="279954D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14</w:t>
            </w:r>
          </w:p>
        </w:tc>
        <w:tc>
          <w:tcPr>
            <w:tcW w:w="2160" w:type="dxa"/>
            <w:tcBorders>
              <w:top w:val="nil"/>
              <w:left w:val="nil"/>
              <w:bottom w:val="nil"/>
              <w:right w:val="nil"/>
            </w:tcBorders>
            <w:hideMark/>
          </w:tcPr>
          <w:p w14:paraId="4059BA3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17.5%</w:t>
            </w:r>
          </w:p>
        </w:tc>
      </w:tr>
      <w:tr w:rsidR="002F72C4" w:rsidRPr="002F72C4" w14:paraId="18420812" w14:textId="77777777" w:rsidTr="003165E5">
        <w:tc>
          <w:tcPr>
            <w:tcW w:w="5490" w:type="dxa"/>
            <w:tcBorders>
              <w:top w:val="nil"/>
              <w:left w:val="nil"/>
              <w:bottom w:val="nil"/>
              <w:right w:val="nil"/>
            </w:tcBorders>
            <w:hideMark/>
          </w:tcPr>
          <w:p w14:paraId="429F895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Increased appetite</w:t>
            </w:r>
          </w:p>
        </w:tc>
        <w:tc>
          <w:tcPr>
            <w:tcW w:w="1350" w:type="dxa"/>
            <w:tcBorders>
              <w:top w:val="nil"/>
              <w:left w:val="nil"/>
              <w:bottom w:val="nil"/>
              <w:right w:val="nil"/>
            </w:tcBorders>
            <w:hideMark/>
          </w:tcPr>
          <w:p w14:paraId="7D656051"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14</w:t>
            </w:r>
          </w:p>
        </w:tc>
        <w:tc>
          <w:tcPr>
            <w:tcW w:w="2160" w:type="dxa"/>
            <w:tcBorders>
              <w:top w:val="nil"/>
              <w:left w:val="nil"/>
              <w:bottom w:val="nil"/>
              <w:right w:val="nil"/>
            </w:tcBorders>
            <w:hideMark/>
          </w:tcPr>
          <w:p w14:paraId="352CF1B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17.5%</w:t>
            </w:r>
          </w:p>
        </w:tc>
      </w:tr>
      <w:tr w:rsidR="002F72C4" w:rsidRPr="002F72C4" w14:paraId="67A8166A" w14:textId="77777777" w:rsidTr="003165E5">
        <w:tc>
          <w:tcPr>
            <w:tcW w:w="5490" w:type="dxa"/>
            <w:tcBorders>
              <w:top w:val="nil"/>
              <w:left w:val="nil"/>
              <w:bottom w:val="nil"/>
              <w:right w:val="nil"/>
            </w:tcBorders>
            <w:hideMark/>
          </w:tcPr>
          <w:p w14:paraId="383C676B"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Loss of weight and muscle</w:t>
            </w:r>
          </w:p>
        </w:tc>
        <w:tc>
          <w:tcPr>
            <w:tcW w:w="1350" w:type="dxa"/>
            <w:tcBorders>
              <w:top w:val="nil"/>
              <w:left w:val="nil"/>
              <w:bottom w:val="nil"/>
              <w:right w:val="nil"/>
            </w:tcBorders>
            <w:hideMark/>
          </w:tcPr>
          <w:p w14:paraId="0058354A"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13</w:t>
            </w:r>
          </w:p>
        </w:tc>
        <w:tc>
          <w:tcPr>
            <w:tcW w:w="2160" w:type="dxa"/>
            <w:tcBorders>
              <w:top w:val="nil"/>
              <w:left w:val="nil"/>
              <w:bottom w:val="nil"/>
              <w:right w:val="nil"/>
            </w:tcBorders>
            <w:hideMark/>
          </w:tcPr>
          <w:p w14:paraId="5300FAF3"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16.3%</w:t>
            </w:r>
          </w:p>
        </w:tc>
      </w:tr>
      <w:tr w:rsidR="002F72C4" w:rsidRPr="002F72C4" w14:paraId="17F3F39A" w14:textId="77777777" w:rsidTr="003165E5">
        <w:tc>
          <w:tcPr>
            <w:tcW w:w="5490" w:type="dxa"/>
            <w:tcBorders>
              <w:top w:val="nil"/>
              <w:left w:val="nil"/>
              <w:bottom w:val="nil"/>
              <w:right w:val="nil"/>
            </w:tcBorders>
            <w:hideMark/>
          </w:tcPr>
          <w:p w14:paraId="3670DC71"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Itchy/dry skin</w:t>
            </w:r>
          </w:p>
        </w:tc>
        <w:tc>
          <w:tcPr>
            <w:tcW w:w="1350" w:type="dxa"/>
            <w:tcBorders>
              <w:top w:val="nil"/>
              <w:left w:val="nil"/>
              <w:bottom w:val="nil"/>
              <w:right w:val="nil"/>
            </w:tcBorders>
            <w:hideMark/>
          </w:tcPr>
          <w:p w14:paraId="22C59F2A"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w:t>
            </w:r>
          </w:p>
        </w:tc>
        <w:tc>
          <w:tcPr>
            <w:tcW w:w="2160" w:type="dxa"/>
            <w:tcBorders>
              <w:top w:val="nil"/>
              <w:left w:val="nil"/>
              <w:bottom w:val="nil"/>
              <w:right w:val="nil"/>
            </w:tcBorders>
            <w:hideMark/>
          </w:tcPr>
          <w:p w14:paraId="1277C60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15.0%</w:t>
            </w:r>
          </w:p>
        </w:tc>
      </w:tr>
      <w:tr w:rsidR="002F72C4" w:rsidRPr="002F72C4" w14:paraId="710D45B7" w14:textId="77777777" w:rsidTr="003165E5">
        <w:tc>
          <w:tcPr>
            <w:tcW w:w="5490" w:type="dxa"/>
            <w:tcBorders>
              <w:top w:val="nil"/>
              <w:left w:val="nil"/>
              <w:bottom w:val="nil"/>
              <w:right w:val="nil"/>
            </w:tcBorders>
            <w:hideMark/>
          </w:tcPr>
          <w:p w14:paraId="04D50941"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Coughing during day or night</w:t>
            </w:r>
          </w:p>
        </w:tc>
        <w:tc>
          <w:tcPr>
            <w:tcW w:w="1350" w:type="dxa"/>
            <w:tcBorders>
              <w:top w:val="nil"/>
              <w:left w:val="nil"/>
              <w:bottom w:val="nil"/>
              <w:right w:val="nil"/>
            </w:tcBorders>
            <w:hideMark/>
          </w:tcPr>
          <w:p w14:paraId="7BD0BFD4"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w:t>
            </w:r>
          </w:p>
        </w:tc>
        <w:tc>
          <w:tcPr>
            <w:tcW w:w="2160" w:type="dxa"/>
            <w:tcBorders>
              <w:top w:val="nil"/>
              <w:left w:val="nil"/>
              <w:bottom w:val="nil"/>
              <w:right w:val="nil"/>
            </w:tcBorders>
            <w:hideMark/>
          </w:tcPr>
          <w:p w14:paraId="125C1138"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15.0%</w:t>
            </w:r>
          </w:p>
        </w:tc>
      </w:tr>
      <w:tr w:rsidR="002F72C4" w:rsidRPr="002F72C4" w14:paraId="2230E85B" w14:textId="77777777" w:rsidTr="003165E5">
        <w:tc>
          <w:tcPr>
            <w:tcW w:w="5490" w:type="dxa"/>
            <w:tcBorders>
              <w:top w:val="nil"/>
              <w:left w:val="nil"/>
              <w:bottom w:val="nil"/>
              <w:right w:val="nil"/>
            </w:tcBorders>
            <w:hideMark/>
          </w:tcPr>
          <w:p w14:paraId="25387C69"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Loss of appetite</w:t>
            </w:r>
          </w:p>
        </w:tc>
        <w:tc>
          <w:tcPr>
            <w:tcW w:w="1350" w:type="dxa"/>
            <w:tcBorders>
              <w:top w:val="nil"/>
              <w:left w:val="nil"/>
              <w:bottom w:val="nil"/>
              <w:right w:val="nil"/>
            </w:tcBorders>
            <w:hideMark/>
          </w:tcPr>
          <w:p w14:paraId="0309969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w:t>
            </w:r>
          </w:p>
        </w:tc>
        <w:tc>
          <w:tcPr>
            <w:tcW w:w="2160" w:type="dxa"/>
            <w:tcBorders>
              <w:top w:val="nil"/>
              <w:left w:val="nil"/>
              <w:bottom w:val="nil"/>
              <w:right w:val="nil"/>
            </w:tcBorders>
            <w:hideMark/>
          </w:tcPr>
          <w:p w14:paraId="21E325E1"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15.0%</w:t>
            </w:r>
          </w:p>
        </w:tc>
      </w:tr>
      <w:tr w:rsidR="002F72C4" w:rsidRPr="002F72C4" w14:paraId="237EB0B4" w14:textId="77777777" w:rsidTr="003165E5">
        <w:tc>
          <w:tcPr>
            <w:tcW w:w="5490" w:type="dxa"/>
            <w:tcBorders>
              <w:top w:val="nil"/>
              <w:left w:val="nil"/>
              <w:bottom w:val="nil"/>
              <w:right w:val="nil"/>
            </w:tcBorders>
            <w:hideMark/>
          </w:tcPr>
          <w:p w14:paraId="494EBDB4"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Trouble getting a good night’s sleep</w:t>
            </w:r>
          </w:p>
        </w:tc>
        <w:tc>
          <w:tcPr>
            <w:tcW w:w="1350" w:type="dxa"/>
            <w:tcBorders>
              <w:top w:val="nil"/>
              <w:left w:val="nil"/>
              <w:bottom w:val="nil"/>
              <w:right w:val="nil"/>
            </w:tcBorders>
            <w:hideMark/>
          </w:tcPr>
          <w:p w14:paraId="6CD089A4"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11</w:t>
            </w:r>
          </w:p>
        </w:tc>
        <w:tc>
          <w:tcPr>
            <w:tcW w:w="2160" w:type="dxa"/>
            <w:tcBorders>
              <w:top w:val="nil"/>
              <w:left w:val="nil"/>
              <w:bottom w:val="nil"/>
              <w:right w:val="nil"/>
            </w:tcBorders>
            <w:hideMark/>
          </w:tcPr>
          <w:p w14:paraId="173D3DF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13.8%</w:t>
            </w:r>
          </w:p>
        </w:tc>
      </w:tr>
      <w:tr w:rsidR="002F72C4" w:rsidRPr="002F72C4" w14:paraId="55E94D06" w14:textId="77777777" w:rsidTr="003165E5">
        <w:tc>
          <w:tcPr>
            <w:tcW w:w="5490" w:type="dxa"/>
            <w:tcBorders>
              <w:top w:val="nil"/>
              <w:left w:val="nil"/>
              <w:bottom w:val="nil"/>
              <w:right w:val="nil"/>
            </w:tcBorders>
            <w:hideMark/>
          </w:tcPr>
          <w:p w14:paraId="4E4DB4EB"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Waking up during the night</w:t>
            </w:r>
          </w:p>
        </w:tc>
        <w:tc>
          <w:tcPr>
            <w:tcW w:w="1350" w:type="dxa"/>
            <w:tcBorders>
              <w:top w:val="nil"/>
              <w:left w:val="nil"/>
              <w:bottom w:val="nil"/>
              <w:right w:val="nil"/>
            </w:tcBorders>
            <w:hideMark/>
          </w:tcPr>
          <w:p w14:paraId="162278C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10</w:t>
            </w:r>
          </w:p>
        </w:tc>
        <w:tc>
          <w:tcPr>
            <w:tcW w:w="2160" w:type="dxa"/>
            <w:tcBorders>
              <w:top w:val="nil"/>
              <w:left w:val="nil"/>
              <w:bottom w:val="nil"/>
              <w:right w:val="nil"/>
            </w:tcBorders>
            <w:hideMark/>
          </w:tcPr>
          <w:p w14:paraId="4381641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12.5%</w:t>
            </w:r>
          </w:p>
        </w:tc>
      </w:tr>
      <w:tr w:rsidR="002F72C4" w:rsidRPr="002F72C4" w14:paraId="556141CD" w14:textId="77777777" w:rsidTr="003165E5">
        <w:tc>
          <w:tcPr>
            <w:tcW w:w="5490" w:type="dxa"/>
            <w:tcBorders>
              <w:top w:val="nil"/>
              <w:left w:val="nil"/>
              <w:bottom w:val="nil"/>
              <w:right w:val="nil"/>
            </w:tcBorders>
            <w:hideMark/>
          </w:tcPr>
          <w:p w14:paraId="723CBF63"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Excessive weight gain</w:t>
            </w:r>
          </w:p>
        </w:tc>
        <w:tc>
          <w:tcPr>
            <w:tcW w:w="1350" w:type="dxa"/>
            <w:tcBorders>
              <w:top w:val="nil"/>
              <w:left w:val="nil"/>
              <w:bottom w:val="nil"/>
              <w:right w:val="nil"/>
            </w:tcBorders>
            <w:hideMark/>
          </w:tcPr>
          <w:p w14:paraId="1F871B7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10</w:t>
            </w:r>
          </w:p>
        </w:tc>
        <w:tc>
          <w:tcPr>
            <w:tcW w:w="2160" w:type="dxa"/>
            <w:tcBorders>
              <w:top w:val="nil"/>
              <w:left w:val="nil"/>
              <w:bottom w:val="nil"/>
              <w:right w:val="nil"/>
            </w:tcBorders>
            <w:hideMark/>
          </w:tcPr>
          <w:p w14:paraId="1D36AB9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12.5%</w:t>
            </w:r>
          </w:p>
        </w:tc>
      </w:tr>
      <w:tr w:rsidR="002F72C4" w:rsidRPr="002F72C4" w14:paraId="7A1E932F" w14:textId="77777777" w:rsidTr="003165E5">
        <w:tc>
          <w:tcPr>
            <w:tcW w:w="5490" w:type="dxa"/>
            <w:tcBorders>
              <w:top w:val="nil"/>
              <w:left w:val="nil"/>
              <w:bottom w:val="nil"/>
              <w:right w:val="nil"/>
            </w:tcBorders>
            <w:hideMark/>
          </w:tcPr>
          <w:p w14:paraId="0F264B0A"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Nausea or upset stomach</w:t>
            </w:r>
          </w:p>
        </w:tc>
        <w:tc>
          <w:tcPr>
            <w:tcW w:w="1350" w:type="dxa"/>
            <w:tcBorders>
              <w:top w:val="nil"/>
              <w:left w:val="nil"/>
              <w:bottom w:val="nil"/>
              <w:right w:val="nil"/>
            </w:tcBorders>
            <w:hideMark/>
          </w:tcPr>
          <w:p w14:paraId="4B1971E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9</w:t>
            </w:r>
          </w:p>
        </w:tc>
        <w:tc>
          <w:tcPr>
            <w:tcW w:w="2160" w:type="dxa"/>
            <w:tcBorders>
              <w:top w:val="nil"/>
              <w:left w:val="nil"/>
              <w:bottom w:val="nil"/>
              <w:right w:val="nil"/>
            </w:tcBorders>
            <w:hideMark/>
          </w:tcPr>
          <w:p w14:paraId="2A32CE3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11.3%</w:t>
            </w:r>
          </w:p>
        </w:tc>
      </w:tr>
      <w:tr w:rsidR="002F72C4" w:rsidRPr="002F72C4" w14:paraId="439A2D67" w14:textId="77777777" w:rsidTr="003165E5">
        <w:tc>
          <w:tcPr>
            <w:tcW w:w="5490" w:type="dxa"/>
            <w:tcBorders>
              <w:top w:val="nil"/>
              <w:left w:val="nil"/>
              <w:bottom w:val="nil"/>
              <w:right w:val="nil"/>
            </w:tcBorders>
            <w:hideMark/>
          </w:tcPr>
          <w:p w14:paraId="0201658B"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Need to rest frequently because of shortness of breath</w:t>
            </w:r>
          </w:p>
        </w:tc>
        <w:tc>
          <w:tcPr>
            <w:tcW w:w="1350" w:type="dxa"/>
            <w:tcBorders>
              <w:top w:val="nil"/>
              <w:left w:val="nil"/>
              <w:bottom w:val="nil"/>
              <w:right w:val="nil"/>
            </w:tcBorders>
            <w:hideMark/>
          </w:tcPr>
          <w:p w14:paraId="0AA1358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7</w:t>
            </w:r>
          </w:p>
        </w:tc>
        <w:tc>
          <w:tcPr>
            <w:tcW w:w="2160" w:type="dxa"/>
            <w:tcBorders>
              <w:top w:val="nil"/>
              <w:left w:val="nil"/>
              <w:bottom w:val="nil"/>
              <w:right w:val="nil"/>
            </w:tcBorders>
            <w:hideMark/>
          </w:tcPr>
          <w:p w14:paraId="658F4014"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8.8%</w:t>
            </w:r>
          </w:p>
        </w:tc>
      </w:tr>
      <w:tr w:rsidR="002F72C4" w:rsidRPr="002F72C4" w14:paraId="3C4FEEBE" w14:textId="77777777" w:rsidTr="003165E5">
        <w:tc>
          <w:tcPr>
            <w:tcW w:w="5490" w:type="dxa"/>
            <w:tcBorders>
              <w:top w:val="nil"/>
              <w:left w:val="nil"/>
              <w:bottom w:val="nil"/>
              <w:right w:val="nil"/>
            </w:tcBorders>
            <w:hideMark/>
          </w:tcPr>
          <w:p w14:paraId="0CCC936D"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Difficulty in concentrating</w:t>
            </w:r>
          </w:p>
        </w:tc>
        <w:tc>
          <w:tcPr>
            <w:tcW w:w="1350" w:type="dxa"/>
            <w:tcBorders>
              <w:top w:val="nil"/>
              <w:left w:val="nil"/>
              <w:bottom w:val="nil"/>
              <w:right w:val="nil"/>
            </w:tcBorders>
            <w:hideMark/>
          </w:tcPr>
          <w:p w14:paraId="1F40694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2160" w:type="dxa"/>
            <w:tcBorders>
              <w:top w:val="nil"/>
              <w:left w:val="nil"/>
              <w:bottom w:val="nil"/>
              <w:right w:val="nil"/>
            </w:tcBorders>
            <w:hideMark/>
          </w:tcPr>
          <w:p w14:paraId="0512C65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7.5%</w:t>
            </w:r>
          </w:p>
        </w:tc>
      </w:tr>
      <w:tr w:rsidR="002F72C4" w:rsidRPr="002F72C4" w14:paraId="31AC1C0C" w14:textId="77777777" w:rsidTr="003165E5">
        <w:tc>
          <w:tcPr>
            <w:tcW w:w="5490" w:type="dxa"/>
            <w:tcBorders>
              <w:top w:val="nil"/>
              <w:left w:val="nil"/>
              <w:bottom w:val="nil"/>
              <w:right w:val="nil"/>
            </w:tcBorders>
            <w:hideMark/>
          </w:tcPr>
          <w:p w14:paraId="6186C185"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Acne</w:t>
            </w:r>
          </w:p>
        </w:tc>
        <w:tc>
          <w:tcPr>
            <w:tcW w:w="1350" w:type="dxa"/>
            <w:tcBorders>
              <w:top w:val="nil"/>
              <w:left w:val="nil"/>
              <w:bottom w:val="nil"/>
              <w:right w:val="nil"/>
            </w:tcBorders>
            <w:hideMark/>
          </w:tcPr>
          <w:p w14:paraId="09BAE4A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2160" w:type="dxa"/>
            <w:tcBorders>
              <w:top w:val="nil"/>
              <w:left w:val="nil"/>
              <w:bottom w:val="nil"/>
              <w:right w:val="nil"/>
            </w:tcBorders>
            <w:hideMark/>
          </w:tcPr>
          <w:p w14:paraId="61E1E21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7.5%</w:t>
            </w:r>
          </w:p>
        </w:tc>
      </w:tr>
      <w:tr w:rsidR="002F72C4" w:rsidRPr="002F72C4" w14:paraId="097AA813" w14:textId="77777777" w:rsidTr="003165E5">
        <w:tc>
          <w:tcPr>
            <w:tcW w:w="5490" w:type="dxa"/>
            <w:tcBorders>
              <w:top w:val="nil"/>
              <w:left w:val="nil"/>
              <w:bottom w:val="nil"/>
              <w:right w:val="nil"/>
            </w:tcBorders>
            <w:hideMark/>
          </w:tcPr>
          <w:p w14:paraId="32BCC3F7"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Muscle pain</w:t>
            </w:r>
          </w:p>
        </w:tc>
        <w:tc>
          <w:tcPr>
            <w:tcW w:w="1350" w:type="dxa"/>
            <w:tcBorders>
              <w:top w:val="nil"/>
              <w:left w:val="nil"/>
              <w:bottom w:val="nil"/>
              <w:right w:val="nil"/>
            </w:tcBorders>
            <w:hideMark/>
          </w:tcPr>
          <w:p w14:paraId="0EB698C6"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2160" w:type="dxa"/>
            <w:tcBorders>
              <w:top w:val="nil"/>
              <w:left w:val="nil"/>
              <w:bottom w:val="nil"/>
              <w:right w:val="nil"/>
            </w:tcBorders>
            <w:hideMark/>
          </w:tcPr>
          <w:p w14:paraId="0E0FA6B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7.5%</w:t>
            </w:r>
          </w:p>
        </w:tc>
      </w:tr>
      <w:tr w:rsidR="002F72C4" w:rsidRPr="002F72C4" w14:paraId="5728D133" w14:textId="77777777" w:rsidTr="003165E5">
        <w:tc>
          <w:tcPr>
            <w:tcW w:w="5490" w:type="dxa"/>
            <w:tcBorders>
              <w:top w:val="nil"/>
              <w:left w:val="nil"/>
              <w:bottom w:val="nil"/>
              <w:right w:val="nil"/>
            </w:tcBorders>
            <w:hideMark/>
          </w:tcPr>
          <w:p w14:paraId="418E973A"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Vomiting</w:t>
            </w:r>
          </w:p>
        </w:tc>
        <w:tc>
          <w:tcPr>
            <w:tcW w:w="1350" w:type="dxa"/>
            <w:tcBorders>
              <w:top w:val="nil"/>
              <w:left w:val="nil"/>
              <w:bottom w:val="nil"/>
              <w:right w:val="nil"/>
            </w:tcBorders>
            <w:hideMark/>
          </w:tcPr>
          <w:p w14:paraId="164C5A0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w:t>
            </w:r>
          </w:p>
        </w:tc>
        <w:tc>
          <w:tcPr>
            <w:tcW w:w="2160" w:type="dxa"/>
            <w:tcBorders>
              <w:top w:val="nil"/>
              <w:left w:val="nil"/>
              <w:bottom w:val="nil"/>
              <w:right w:val="nil"/>
            </w:tcBorders>
            <w:hideMark/>
          </w:tcPr>
          <w:p w14:paraId="0A2561E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5.0%</w:t>
            </w:r>
          </w:p>
        </w:tc>
      </w:tr>
      <w:tr w:rsidR="002F72C4" w:rsidRPr="002F72C4" w14:paraId="183FF385" w14:textId="77777777" w:rsidTr="003165E5">
        <w:tc>
          <w:tcPr>
            <w:tcW w:w="5490" w:type="dxa"/>
            <w:tcBorders>
              <w:top w:val="nil"/>
              <w:left w:val="nil"/>
              <w:bottom w:val="nil"/>
              <w:right w:val="nil"/>
            </w:tcBorders>
            <w:hideMark/>
          </w:tcPr>
          <w:p w14:paraId="53EE70E9"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Shortness of breath in daily activities</w:t>
            </w:r>
          </w:p>
        </w:tc>
        <w:tc>
          <w:tcPr>
            <w:tcW w:w="1350" w:type="dxa"/>
            <w:tcBorders>
              <w:top w:val="nil"/>
              <w:left w:val="nil"/>
              <w:bottom w:val="nil"/>
              <w:right w:val="nil"/>
            </w:tcBorders>
            <w:hideMark/>
          </w:tcPr>
          <w:p w14:paraId="7D6E7D3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w:t>
            </w:r>
          </w:p>
        </w:tc>
        <w:tc>
          <w:tcPr>
            <w:tcW w:w="2160" w:type="dxa"/>
            <w:tcBorders>
              <w:top w:val="nil"/>
              <w:left w:val="nil"/>
              <w:bottom w:val="nil"/>
              <w:right w:val="nil"/>
            </w:tcBorders>
            <w:hideMark/>
          </w:tcPr>
          <w:p w14:paraId="12C7DB97"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5.0%</w:t>
            </w:r>
          </w:p>
        </w:tc>
      </w:tr>
      <w:tr w:rsidR="002F72C4" w:rsidRPr="002F72C4" w14:paraId="45C9D1CC" w14:textId="77777777" w:rsidTr="003165E5">
        <w:tc>
          <w:tcPr>
            <w:tcW w:w="5490" w:type="dxa"/>
            <w:tcBorders>
              <w:top w:val="nil"/>
              <w:left w:val="nil"/>
              <w:bottom w:val="nil"/>
              <w:right w:val="nil"/>
            </w:tcBorders>
            <w:hideMark/>
          </w:tcPr>
          <w:p w14:paraId="686DE99D"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Confusion</w:t>
            </w:r>
          </w:p>
        </w:tc>
        <w:tc>
          <w:tcPr>
            <w:tcW w:w="1350" w:type="dxa"/>
            <w:tcBorders>
              <w:top w:val="nil"/>
              <w:left w:val="nil"/>
              <w:bottom w:val="nil"/>
              <w:right w:val="nil"/>
            </w:tcBorders>
            <w:hideMark/>
          </w:tcPr>
          <w:p w14:paraId="5BA823F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w:t>
            </w:r>
          </w:p>
        </w:tc>
        <w:tc>
          <w:tcPr>
            <w:tcW w:w="2160" w:type="dxa"/>
            <w:tcBorders>
              <w:top w:val="nil"/>
              <w:left w:val="nil"/>
              <w:bottom w:val="nil"/>
              <w:right w:val="nil"/>
            </w:tcBorders>
            <w:hideMark/>
          </w:tcPr>
          <w:p w14:paraId="5C79C00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3.8%</w:t>
            </w:r>
          </w:p>
        </w:tc>
      </w:tr>
      <w:tr w:rsidR="002F72C4" w:rsidRPr="002F72C4" w14:paraId="77F75936" w14:textId="77777777" w:rsidTr="003165E5">
        <w:tc>
          <w:tcPr>
            <w:tcW w:w="5490" w:type="dxa"/>
            <w:tcBorders>
              <w:top w:val="nil"/>
              <w:left w:val="nil"/>
              <w:bottom w:val="nil"/>
              <w:right w:val="nil"/>
            </w:tcBorders>
            <w:hideMark/>
          </w:tcPr>
          <w:p w14:paraId="6A824A7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Decreased mental ability</w:t>
            </w:r>
          </w:p>
        </w:tc>
        <w:tc>
          <w:tcPr>
            <w:tcW w:w="1350" w:type="dxa"/>
            <w:tcBorders>
              <w:top w:val="nil"/>
              <w:left w:val="nil"/>
              <w:bottom w:val="nil"/>
              <w:right w:val="nil"/>
            </w:tcBorders>
            <w:hideMark/>
          </w:tcPr>
          <w:p w14:paraId="23706CE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w:t>
            </w:r>
          </w:p>
        </w:tc>
        <w:tc>
          <w:tcPr>
            <w:tcW w:w="2160" w:type="dxa"/>
            <w:tcBorders>
              <w:top w:val="nil"/>
              <w:left w:val="nil"/>
              <w:bottom w:val="nil"/>
              <w:right w:val="nil"/>
            </w:tcBorders>
            <w:hideMark/>
          </w:tcPr>
          <w:p w14:paraId="2B0EF5C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2.5%</w:t>
            </w:r>
          </w:p>
        </w:tc>
      </w:tr>
      <w:tr w:rsidR="002F72C4" w:rsidRPr="002F72C4" w14:paraId="7A4FEBF5" w14:textId="77777777" w:rsidTr="003165E5">
        <w:tc>
          <w:tcPr>
            <w:tcW w:w="5490" w:type="dxa"/>
            <w:tcBorders>
              <w:top w:val="nil"/>
              <w:left w:val="nil"/>
              <w:bottom w:val="nil"/>
              <w:right w:val="nil"/>
            </w:tcBorders>
            <w:hideMark/>
          </w:tcPr>
          <w:p w14:paraId="672653DE"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Embarrassment caused by appearance or access site</w:t>
            </w:r>
          </w:p>
        </w:tc>
        <w:tc>
          <w:tcPr>
            <w:tcW w:w="1350" w:type="dxa"/>
            <w:tcBorders>
              <w:top w:val="nil"/>
              <w:left w:val="nil"/>
              <w:bottom w:val="nil"/>
              <w:right w:val="nil"/>
            </w:tcBorders>
            <w:hideMark/>
          </w:tcPr>
          <w:p w14:paraId="446C512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w:t>
            </w:r>
          </w:p>
        </w:tc>
        <w:tc>
          <w:tcPr>
            <w:tcW w:w="2160" w:type="dxa"/>
            <w:tcBorders>
              <w:top w:val="nil"/>
              <w:left w:val="nil"/>
              <w:bottom w:val="nil"/>
              <w:right w:val="nil"/>
            </w:tcBorders>
            <w:hideMark/>
          </w:tcPr>
          <w:p w14:paraId="0A7309E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2.5%</w:t>
            </w:r>
          </w:p>
        </w:tc>
      </w:tr>
      <w:tr w:rsidR="002F72C4" w:rsidRPr="002F72C4" w14:paraId="0971798D" w14:textId="77777777" w:rsidTr="003165E5">
        <w:tc>
          <w:tcPr>
            <w:tcW w:w="5490" w:type="dxa"/>
            <w:tcBorders>
              <w:top w:val="nil"/>
              <w:left w:val="nil"/>
              <w:bottom w:val="nil"/>
              <w:right w:val="nil"/>
            </w:tcBorders>
            <w:hideMark/>
          </w:tcPr>
          <w:p w14:paraId="671C1EA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Regulating bowel movements</w:t>
            </w:r>
          </w:p>
        </w:tc>
        <w:tc>
          <w:tcPr>
            <w:tcW w:w="1350" w:type="dxa"/>
            <w:tcBorders>
              <w:top w:val="nil"/>
              <w:left w:val="nil"/>
              <w:bottom w:val="nil"/>
              <w:right w:val="nil"/>
            </w:tcBorders>
            <w:hideMark/>
          </w:tcPr>
          <w:p w14:paraId="3CD1925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w:t>
            </w:r>
          </w:p>
        </w:tc>
        <w:tc>
          <w:tcPr>
            <w:tcW w:w="2160" w:type="dxa"/>
            <w:tcBorders>
              <w:top w:val="nil"/>
              <w:left w:val="nil"/>
              <w:bottom w:val="nil"/>
              <w:right w:val="nil"/>
            </w:tcBorders>
            <w:hideMark/>
          </w:tcPr>
          <w:p w14:paraId="4EE6DB22"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2.5%</w:t>
            </w:r>
          </w:p>
        </w:tc>
      </w:tr>
      <w:tr w:rsidR="002F72C4" w:rsidRPr="002F72C4" w14:paraId="3383AF37" w14:textId="77777777" w:rsidTr="003165E5">
        <w:tc>
          <w:tcPr>
            <w:tcW w:w="5490" w:type="dxa"/>
            <w:tcBorders>
              <w:top w:val="nil"/>
              <w:left w:val="nil"/>
              <w:bottom w:val="nil"/>
              <w:right w:val="nil"/>
            </w:tcBorders>
            <w:hideMark/>
          </w:tcPr>
          <w:p w14:paraId="6150D3AA"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Difficulty focusing attention</w:t>
            </w:r>
          </w:p>
        </w:tc>
        <w:tc>
          <w:tcPr>
            <w:tcW w:w="1350" w:type="dxa"/>
            <w:tcBorders>
              <w:top w:val="nil"/>
              <w:left w:val="nil"/>
              <w:bottom w:val="nil"/>
              <w:right w:val="nil"/>
            </w:tcBorders>
            <w:hideMark/>
          </w:tcPr>
          <w:p w14:paraId="74D4F87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w:t>
            </w:r>
          </w:p>
        </w:tc>
        <w:tc>
          <w:tcPr>
            <w:tcW w:w="2160" w:type="dxa"/>
            <w:tcBorders>
              <w:top w:val="nil"/>
              <w:left w:val="nil"/>
              <w:bottom w:val="nil"/>
              <w:right w:val="nil"/>
            </w:tcBorders>
            <w:hideMark/>
          </w:tcPr>
          <w:p w14:paraId="294E14E0"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2.5%</w:t>
            </w:r>
          </w:p>
        </w:tc>
      </w:tr>
      <w:tr w:rsidR="002F72C4" w:rsidRPr="002F72C4" w14:paraId="54B57B99" w14:textId="77777777" w:rsidTr="003165E5">
        <w:tc>
          <w:tcPr>
            <w:tcW w:w="5490" w:type="dxa"/>
            <w:tcBorders>
              <w:top w:val="nil"/>
              <w:left w:val="nil"/>
              <w:bottom w:val="nil"/>
              <w:right w:val="nil"/>
            </w:tcBorders>
            <w:hideMark/>
          </w:tcPr>
          <w:p w14:paraId="5DE5A2A7"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Shivering</w:t>
            </w:r>
          </w:p>
        </w:tc>
        <w:tc>
          <w:tcPr>
            <w:tcW w:w="1350" w:type="dxa"/>
            <w:tcBorders>
              <w:top w:val="nil"/>
              <w:left w:val="nil"/>
              <w:bottom w:val="nil"/>
              <w:right w:val="nil"/>
            </w:tcBorders>
            <w:hideMark/>
          </w:tcPr>
          <w:p w14:paraId="4D9DBA0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w:t>
            </w:r>
          </w:p>
        </w:tc>
        <w:tc>
          <w:tcPr>
            <w:tcW w:w="2160" w:type="dxa"/>
            <w:tcBorders>
              <w:top w:val="nil"/>
              <w:left w:val="nil"/>
              <w:bottom w:val="nil"/>
              <w:right w:val="nil"/>
            </w:tcBorders>
            <w:hideMark/>
          </w:tcPr>
          <w:p w14:paraId="36F79FA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1.3%</w:t>
            </w:r>
          </w:p>
        </w:tc>
      </w:tr>
      <w:tr w:rsidR="002F72C4" w:rsidRPr="002F72C4" w14:paraId="02D15E05" w14:textId="77777777" w:rsidTr="009827FB">
        <w:tc>
          <w:tcPr>
            <w:tcW w:w="5490" w:type="dxa"/>
            <w:tcBorders>
              <w:top w:val="nil"/>
              <w:left w:val="nil"/>
              <w:bottom w:val="nil"/>
              <w:right w:val="nil"/>
            </w:tcBorders>
            <w:hideMark/>
          </w:tcPr>
          <w:p w14:paraId="51538EEC"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Palpitations</w:t>
            </w:r>
          </w:p>
        </w:tc>
        <w:tc>
          <w:tcPr>
            <w:tcW w:w="1350" w:type="dxa"/>
            <w:tcBorders>
              <w:top w:val="nil"/>
              <w:left w:val="nil"/>
              <w:bottom w:val="nil"/>
              <w:right w:val="nil"/>
            </w:tcBorders>
            <w:hideMark/>
          </w:tcPr>
          <w:p w14:paraId="0D9ED49F"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w:t>
            </w:r>
          </w:p>
        </w:tc>
        <w:tc>
          <w:tcPr>
            <w:tcW w:w="2160" w:type="dxa"/>
            <w:tcBorders>
              <w:top w:val="nil"/>
              <w:left w:val="nil"/>
              <w:bottom w:val="nil"/>
              <w:right w:val="nil"/>
            </w:tcBorders>
            <w:hideMark/>
          </w:tcPr>
          <w:p w14:paraId="214F85E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1.3%</w:t>
            </w:r>
          </w:p>
        </w:tc>
      </w:tr>
      <w:tr w:rsidR="002F72C4" w:rsidRPr="002F72C4" w14:paraId="2DCC926B" w14:textId="77777777" w:rsidTr="009827FB">
        <w:tc>
          <w:tcPr>
            <w:tcW w:w="5490" w:type="dxa"/>
            <w:tcBorders>
              <w:top w:val="nil"/>
              <w:left w:val="nil"/>
              <w:bottom w:val="single" w:sz="12" w:space="0" w:color="auto"/>
              <w:right w:val="nil"/>
            </w:tcBorders>
            <w:hideMark/>
          </w:tcPr>
          <w:p w14:paraId="35108A88"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No patient specific physical symptom</w:t>
            </w:r>
          </w:p>
        </w:tc>
        <w:tc>
          <w:tcPr>
            <w:tcW w:w="1350" w:type="dxa"/>
            <w:tcBorders>
              <w:top w:val="nil"/>
              <w:left w:val="nil"/>
              <w:bottom w:val="single" w:sz="12" w:space="0" w:color="auto"/>
              <w:right w:val="nil"/>
            </w:tcBorders>
            <w:hideMark/>
          </w:tcPr>
          <w:p w14:paraId="569F5D6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w:t>
            </w:r>
          </w:p>
        </w:tc>
        <w:tc>
          <w:tcPr>
            <w:tcW w:w="2160" w:type="dxa"/>
            <w:tcBorders>
              <w:top w:val="nil"/>
              <w:left w:val="nil"/>
              <w:bottom w:val="single" w:sz="12" w:space="0" w:color="auto"/>
              <w:right w:val="nil"/>
            </w:tcBorders>
            <w:hideMark/>
          </w:tcPr>
          <w:p w14:paraId="3ACEE24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6.3%</w:t>
            </w:r>
          </w:p>
        </w:tc>
      </w:tr>
    </w:tbl>
    <w:p w14:paraId="1C19E2AC"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lastRenderedPageBreak/>
        <w:t>Generally, the most common and reported bothersome symptom experienced was forgetfulness (n=28,35%) followed by aching, tired legs (n=26,32.5%), urinary tract infections (n=23,28.7%), decreased sexual ability (n=20,25.</w:t>
      </w:r>
      <w:r w:rsidR="008669DC" w:rsidRPr="002F72C4">
        <w:rPr>
          <w:rFonts w:ascii="Times New Roman" w:eastAsia="Calibri" w:hAnsi="Times New Roman" w:cs="Times New Roman"/>
          <w:color w:val="000000" w:themeColor="text1"/>
          <w:sz w:val="24"/>
          <w:szCs w:val="24"/>
          <w:lang w:val="en-GB"/>
        </w:rPr>
        <w:t>0%) and headaches (n=17,21. 3%)</w:t>
      </w:r>
      <w:r w:rsidRPr="002F72C4">
        <w:rPr>
          <w:rFonts w:ascii="Times New Roman" w:eastAsia="Calibri" w:hAnsi="Times New Roman" w:cs="Times New Roman"/>
          <w:color w:val="000000" w:themeColor="text1"/>
          <w:sz w:val="24"/>
          <w:szCs w:val="24"/>
          <w:lang w:val="en-GB"/>
        </w:rPr>
        <w:t xml:space="preserve"> (</w:t>
      </w:r>
      <w:r w:rsidRPr="002F72C4">
        <w:rPr>
          <w:rFonts w:ascii="Times New Roman" w:eastAsia="Calibri" w:hAnsi="Times New Roman" w:cs="Times New Roman"/>
          <w:b/>
          <w:color w:val="000000" w:themeColor="text1"/>
          <w:sz w:val="24"/>
          <w:szCs w:val="24"/>
          <w:lang w:val="en-GB"/>
        </w:rPr>
        <w:t xml:space="preserve">Table </w:t>
      </w:r>
      <w:r w:rsidR="001D7523" w:rsidRPr="002F72C4">
        <w:rPr>
          <w:rFonts w:ascii="Times New Roman" w:eastAsia="Calibri" w:hAnsi="Times New Roman" w:cs="Times New Roman"/>
          <w:b/>
          <w:color w:val="000000" w:themeColor="text1"/>
          <w:sz w:val="24"/>
          <w:szCs w:val="24"/>
          <w:lang w:val="en-GB"/>
        </w:rPr>
        <w:t>2</w:t>
      </w:r>
      <w:r w:rsidRPr="002F72C4">
        <w:rPr>
          <w:rFonts w:ascii="Times New Roman" w:eastAsia="Calibri" w:hAnsi="Times New Roman" w:cs="Times New Roman"/>
          <w:color w:val="000000" w:themeColor="text1"/>
          <w:sz w:val="24"/>
          <w:szCs w:val="24"/>
          <w:lang w:val="en-GB"/>
        </w:rPr>
        <w:t>).</w:t>
      </w:r>
    </w:p>
    <w:p w14:paraId="2819A51F" w14:textId="77777777" w:rsidR="008D69E1" w:rsidRPr="002F72C4" w:rsidRDefault="008D69E1"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p>
    <w:p w14:paraId="7AE0586C" w14:textId="77777777" w:rsidR="003165E5" w:rsidRPr="002F72C4" w:rsidRDefault="003165E5" w:rsidP="003165E5">
      <w:pPr>
        <w:pStyle w:val="Heading3"/>
        <w:rPr>
          <w:rFonts w:ascii="Times New Roman" w:eastAsia="Calibri" w:hAnsi="Times New Roman" w:cs="Times New Roman"/>
          <w:b/>
          <w:color w:val="000000" w:themeColor="text1"/>
        </w:rPr>
      </w:pPr>
      <w:bookmarkStart w:id="41" w:name="_Toc86908066"/>
      <w:r w:rsidRPr="002F72C4">
        <w:rPr>
          <w:rFonts w:ascii="Times New Roman" w:eastAsia="Calibri" w:hAnsi="Times New Roman" w:cs="Times New Roman"/>
          <w:b/>
          <w:color w:val="000000" w:themeColor="text1"/>
          <w:lang w:val="en-GB"/>
        </w:rPr>
        <w:t>Appearance</w:t>
      </w:r>
      <w:r w:rsidRPr="002F72C4">
        <w:rPr>
          <w:rFonts w:ascii="Times New Roman" w:eastAsia="Calibri" w:hAnsi="Times New Roman" w:cs="Times New Roman"/>
          <w:b/>
          <w:color w:val="000000" w:themeColor="text1"/>
        </w:rPr>
        <w:t xml:space="preserve"> domain scores</w:t>
      </w:r>
      <w:bookmarkEnd w:id="41"/>
    </w:p>
    <w:p w14:paraId="0BAD0FFD"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r w:rsidRPr="002F72C4">
        <w:rPr>
          <w:rFonts w:ascii="Times New Roman" w:eastAsia="Calibri" w:hAnsi="Times New Roman" w:cs="Times New Roman"/>
          <w:color w:val="000000" w:themeColor="text1"/>
          <w:sz w:val="24"/>
          <w:szCs w:val="24"/>
        </w:rPr>
        <w:t xml:space="preserve">Figure </w:t>
      </w:r>
      <w:r w:rsidR="001D7523" w:rsidRPr="002F72C4">
        <w:rPr>
          <w:rFonts w:ascii="Times New Roman" w:eastAsia="Calibri" w:hAnsi="Times New Roman" w:cs="Times New Roman"/>
          <w:color w:val="000000" w:themeColor="text1"/>
          <w:sz w:val="24"/>
          <w:szCs w:val="24"/>
        </w:rPr>
        <w:t>1</w:t>
      </w:r>
      <w:r w:rsidRPr="002F72C4">
        <w:rPr>
          <w:rFonts w:ascii="Times New Roman" w:eastAsia="Calibri" w:hAnsi="Times New Roman" w:cs="Times New Roman"/>
          <w:color w:val="000000" w:themeColor="text1"/>
          <w:sz w:val="24"/>
          <w:szCs w:val="24"/>
        </w:rPr>
        <w:t xml:space="preserve"> below gives information about appearance domain score. Majority of the patients had a score of 7 at 73.8%, demonstrating that most patients had no worries about their appearance.</w:t>
      </w:r>
    </w:p>
    <w:p w14:paraId="094B0DFE"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p>
    <w:p w14:paraId="1F647BC7"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r w:rsidRPr="002F72C4">
        <w:rPr>
          <w:rFonts w:ascii="Times New Roman" w:hAnsi="Times New Roman" w:cs="Times New Roman"/>
          <w:noProof/>
          <w:color w:val="000000" w:themeColor="text1"/>
          <w:sz w:val="24"/>
          <w:szCs w:val="24"/>
        </w:rPr>
        <w:drawing>
          <wp:inline distT="0" distB="0" distL="0" distR="0" wp14:anchorId="78F505B6" wp14:editId="6AE91512">
            <wp:extent cx="4572000" cy="274320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ED451A"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p>
    <w:p w14:paraId="6580DF0B" w14:textId="77777777" w:rsidR="003165E5" w:rsidRPr="002F72C4" w:rsidRDefault="003165E5" w:rsidP="003165E5">
      <w:pPr>
        <w:pStyle w:val="Caption"/>
        <w:rPr>
          <w:rFonts w:ascii="Times New Roman" w:eastAsia="Calibri" w:hAnsi="Times New Roman"/>
          <w:color w:val="000000" w:themeColor="text1"/>
          <w:sz w:val="24"/>
          <w:szCs w:val="24"/>
        </w:rPr>
      </w:pPr>
      <w:bookmarkStart w:id="42" w:name="_Toc86835630"/>
      <w:r w:rsidRPr="002F72C4">
        <w:rPr>
          <w:rFonts w:ascii="Times New Roman" w:hAnsi="Times New Roman"/>
          <w:color w:val="000000" w:themeColor="text1"/>
          <w:sz w:val="24"/>
          <w:szCs w:val="24"/>
        </w:rPr>
        <w:t xml:space="preserve">Figure </w:t>
      </w:r>
      <w:r w:rsidR="001D7523" w:rsidRPr="002F72C4">
        <w:rPr>
          <w:rFonts w:ascii="Times New Roman" w:hAnsi="Times New Roman"/>
          <w:color w:val="000000" w:themeColor="text1"/>
          <w:sz w:val="24"/>
          <w:szCs w:val="24"/>
        </w:rPr>
        <w:t>1</w:t>
      </w:r>
      <w:r w:rsidRPr="002F72C4">
        <w:rPr>
          <w:rFonts w:ascii="Times New Roman" w:hAnsi="Times New Roman"/>
          <w:color w:val="000000" w:themeColor="text1"/>
          <w:sz w:val="24"/>
          <w:szCs w:val="24"/>
        </w:rPr>
        <w:t>:</w:t>
      </w:r>
      <w:r w:rsidRPr="002F72C4">
        <w:rPr>
          <w:rFonts w:ascii="Times New Roman" w:eastAsia="Calibri" w:hAnsi="Times New Roman"/>
          <w:color w:val="000000" w:themeColor="text1"/>
          <w:sz w:val="24"/>
          <w:szCs w:val="24"/>
        </w:rPr>
        <w:t xml:space="preserve"> KTQ Appearance score</w:t>
      </w:r>
      <w:bookmarkEnd w:id="42"/>
    </w:p>
    <w:p w14:paraId="1BF998B7"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rPr>
      </w:pPr>
    </w:p>
    <w:p w14:paraId="516477A6" w14:textId="77777777" w:rsidR="003165E5" w:rsidRPr="002F72C4" w:rsidRDefault="003165E5" w:rsidP="003165E5">
      <w:pPr>
        <w:pStyle w:val="Heading3"/>
        <w:rPr>
          <w:rFonts w:ascii="Times New Roman" w:eastAsia="Calibri" w:hAnsi="Times New Roman" w:cs="Times New Roman"/>
          <w:b/>
          <w:color w:val="000000" w:themeColor="text1"/>
        </w:rPr>
      </w:pPr>
      <w:bookmarkStart w:id="43" w:name="_Toc86908067"/>
      <w:r w:rsidRPr="002F72C4">
        <w:rPr>
          <w:rFonts w:ascii="Times New Roman" w:eastAsia="Calibri" w:hAnsi="Times New Roman" w:cs="Times New Roman"/>
          <w:b/>
          <w:color w:val="000000" w:themeColor="text1"/>
          <w:lang w:val="en-GB"/>
        </w:rPr>
        <w:t>Fatigue</w:t>
      </w:r>
      <w:r w:rsidRPr="002F72C4">
        <w:rPr>
          <w:rFonts w:ascii="Times New Roman" w:eastAsia="Calibri" w:hAnsi="Times New Roman" w:cs="Times New Roman"/>
          <w:b/>
          <w:color w:val="000000" w:themeColor="text1"/>
        </w:rPr>
        <w:t xml:space="preserve"> domain scores</w:t>
      </w:r>
      <w:bookmarkEnd w:id="43"/>
    </w:p>
    <w:p w14:paraId="164F0CF9"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Figure </w:t>
      </w:r>
      <w:r w:rsidR="00222258" w:rsidRPr="002F72C4">
        <w:rPr>
          <w:rFonts w:ascii="Times New Roman" w:eastAsia="Calibri" w:hAnsi="Times New Roman" w:cs="Times New Roman"/>
          <w:color w:val="000000" w:themeColor="text1"/>
          <w:sz w:val="24"/>
          <w:szCs w:val="24"/>
          <w:lang w:val="en-GB"/>
        </w:rPr>
        <w:t>2</w:t>
      </w:r>
      <w:r w:rsidRPr="002F72C4">
        <w:rPr>
          <w:rFonts w:ascii="Times New Roman" w:eastAsia="Calibri" w:hAnsi="Times New Roman" w:cs="Times New Roman"/>
          <w:color w:val="000000" w:themeColor="text1"/>
          <w:sz w:val="24"/>
          <w:szCs w:val="24"/>
          <w:lang w:val="en-GB"/>
        </w:rPr>
        <w:t xml:space="preserve"> below presents information about fatigue domain. Majority of the study participants experienced moderate fatigue</w:t>
      </w:r>
      <w:r w:rsidR="004F16E8" w:rsidRPr="002F72C4">
        <w:rPr>
          <w:rFonts w:ascii="Times New Roman" w:eastAsia="Calibri" w:hAnsi="Times New Roman" w:cs="Times New Roman"/>
          <w:color w:val="000000" w:themeColor="text1"/>
          <w:sz w:val="24"/>
          <w:szCs w:val="24"/>
          <w:lang w:val="en-GB"/>
        </w:rPr>
        <w:t xml:space="preserve"> (30</w:t>
      </w:r>
      <w:r w:rsidR="009827FB" w:rsidRPr="002F72C4">
        <w:rPr>
          <w:rFonts w:ascii="Times New Roman" w:eastAsia="Calibri" w:hAnsi="Times New Roman" w:cs="Times New Roman"/>
          <w:color w:val="000000" w:themeColor="text1"/>
          <w:sz w:val="24"/>
          <w:szCs w:val="24"/>
          <w:lang w:val="en-GB"/>
        </w:rPr>
        <w:t>.0</w:t>
      </w:r>
      <w:r w:rsidR="00B56D3D" w:rsidRPr="002F72C4">
        <w:rPr>
          <w:rFonts w:ascii="Times New Roman" w:eastAsia="Calibri" w:hAnsi="Times New Roman" w:cs="Times New Roman"/>
          <w:color w:val="000000" w:themeColor="text1"/>
          <w:sz w:val="24"/>
          <w:szCs w:val="24"/>
          <w:lang w:val="en-GB"/>
        </w:rPr>
        <w:t>%) at</w:t>
      </w:r>
      <w:r w:rsidRPr="002F72C4">
        <w:rPr>
          <w:rFonts w:ascii="Times New Roman" w:eastAsia="Calibri" w:hAnsi="Times New Roman" w:cs="Times New Roman"/>
          <w:color w:val="000000" w:themeColor="text1"/>
          <w:sz w:val="24"/>
          <w:szCs w:val="24"/>
          <w:lang w:val="en-GB"/>
        </w:rPr>
        <w:t xml:space="preserve"> a score of 5, while only 1.3% of the study participants scored 1 denoting severe fatigue.</w:t>
      </w:r>
    </w:p>
    <w:p w14:paraId="71B174FC"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p>
    <w:p w14:paraId="3FE1E128"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hAnsi="Times New Roman" w:cs="Times New Roman"/>
          <w:noProof/>
          <w:color w:val="000000" w:themeColor="text1"/>
          <w:sz w:val="24"/>
          <w:szCs w:val="24"/>
        </w:rPr>
        <w:lastRenderedPageBreak/>
        <w:drawing>
          <wp:inline distT="0" distB="0" distL="0" distR="0" wp14:anchorId="0ADA3A6B" wp14:editId="70FFDD7B">
            <wp:extent cx="4601210" cy="2772410"/>
            <wp:effectExtent l="0" t="0" r="8890" b="889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878DE0"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p>
    <w:p w14:paraId="065ABC1F" w14:textId="77777777" w:rsidR="003165E5" w:rsidRPr="002F72C4" w:rsidRDefault="003165E5" w:rsidP="003165E5">
      <w:pPr>
        <w:pStyle w:val="Caption"/>
        <w:rPr>
          <w:rFonts w:ascii="Times New Roman" w:eastAsia="Calibri" w:hAnsi="Times New Roman"/>
          <w:color w:val="000000" w:themeColor="text1"/>
          <w:sz w:val="24"/>
          <w:szCs w:val="24"/>
        </w:rPr>
      </w:pPr>
      <w:bookmarkStart w:id="44" w:name="_Toc86835631"/>
      <w:r w:rsidRPr="002F72C4">
        <w:rPr>
          <w:rFonts w:ascii="Times New Roman" w:hAnsi="Times New Roman"/>
          <w:color w:val="000000" w:themeColor="text1"/>
          <w:sz w:val="24"/>
          <w:szCs w:val="24"/>
        </w:rPr>
        <w:t xml:space="preserve">Figure </w:t>
      </w:r>
      <w:r w:rsidR="001D7523" w:rsidRPr="002F72C4">
        <w:rPr>
          <w:rFonts w:ascii="Times New Roman" w:hAnsi="Times New Roman"/>
          <w:color w:val="000000" w:themeColor="text1"/>
          <w:sz w:val="24"/>
          <w:szCs w:val="24"/>
        </w:rPr>
        <w:t>2</w:t>
      </w:r>
      <w:r w:rsidRPr="002F72C4">
        <w:rPr>
          <w:rFonts w:ascii="Times New Roman" w:hAnsi="Times New Roman"/>
          <w:color w:val="000000" w:themeColor="text1"/>
          <w:sz w:val="24"/>
          <w:szCs w:val="24"/>
        </w:rPr>
        <w:t>:</w:t>
      </w:r>
      <w:r w:rsidRPr="002F72C4">
        <w:rPr>
          <w:rFonts w:ascii="Times New Roman" w:eastAsia="Calibri" w:hAnsi="Times New Roman"/>
          <w:color w:val="000000" w:themeColor="text1"/>
          <w:sz w:val="24"/>
          <w:szCs w:val="24"/>
        </w:rPr>
        <w:t xml:space="preserve"> Fatigue domain score among study participants</w:t>
      </w:r>
      <w:bookmarkEnd w:id="44"/>
    </w:p>
    <w:p w14:paraId="61EF9A65" w14:textId="77777777" w:rsidR="003165E5" w:rsidRPr="002F72C4" w:rsidRDefault="003165E5" w:rsidP="003165E5">
      <w:pPr>
        <w:pStyle w:val="Heading3"/>
        <w:rPr>
          <w:rFonts w:ascii="Times New Roman" w:eastAsia="Calibri" w:hAnsi="Times New Roman" w:cs="Times New Roman"/>
          <w:b/>
          <w:color w:val="000000" w:themeColor="text1"/>
        </w:rPr>
      </w:pPr>
      <w:bookmarkStart w:id="45" w:name="_Toc86908068"/>
      <w:r w:rsidRPr="002F72C4">
        <w:rPr>
          <w:rFonts w:ascii="Times New Roman" w:eastAsia="Calibri" w:hAnsi="Times New Roman" w:cs="Times New Roman"/>
          <w:b/>
          <w:color w:val="000000" w:themeColor="text1"/>
          <w:lang w:val="en-GB"/>
        </w:rPr>
        <w:t>Uncertainty/Fear</w:t>
      </w:r>
      <w:r w:rsidRPr="002F72C4">
        <w:rPr>
          <w:rFonts w:ascii="Times New Roman" w:eastAsia="Calibri" w:hAnsi="Times New Roman" w:cs="Times New Roman"/>
          <w:b/>
          <w:color w:val="000000" w:themeColor="text1"/>
        </w:rPr>
        <w:t xml:space="preserve"> domain scores</w:t>
      </w:r>
      <w:bookmarkEnd w:id="45"/>
    </w:p>
    <w:p w14:paraId="40030A2E"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r w:rsidRPr="002F72C4">
        <w:rPr>
          <w:rFonts w:ascii="Times New Roman" w:eastAsia="Calibri" w:hAnsi="Times New Roman" w:cs="Times New Roman"/>
          <w:color w:val="000000" w:themeColor="text1"/>
          <w:sz w:val="24"/>
          <w:szCs w:val="24"/>
        </w:rPr>
        <w:t xml:space="preserve">Figure </w:t>
      </w:r>
      <w:r w:rsidR="00222258" w:rsidRPr="002F72C4">
        <w:rPr>
          <w:rFonts w:ascii="Times New Roman" w:eastAsia="Calibri" w:hAnsi="Times New Roman" w:cs="Times New Roman"/>
          <w:color w:val="000000" w:themeColor="text1"/>
          <w:sz w:val="24"/>
          <w:szCs w:val="24"/>
        </w:rPr>
        <w:t>3</w:t>
      </w:r>
      <w:r w:rsidRPr="002F72C4">
        <w:rPr>
          <w:rFonts w:ascii="Times New Roman" w:eastAsia="Calibri" w:hAnsi="Times New Roman" w:cs="Times New Roman"/>
          <w:color w:val="000000" w:themeColor="text1"/>
          <w:sz w:val="24"/>
          <w:szCs w:val="24"/>
        </w:rPr>
        <w:t xml:space="preserve"> below provides information on uncertainty/fear domain. </w:t>
      </w:r>
    </w:p>
    <w:p w14:paraId="4FAA595B"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r w:rsidRPr="002F72C4">
        <w:rPr>
          <w:rFonts w:ascii="Times New Roman" w:hAnsi="Times New Roman" w:cs="Times New Roman"/>
          <w:noProof/>
          <w:color w:val="000000" w:themeColor="text1"/>
          <w:sz w:val="24"/>
          <w:szCs w:val="24"/>
        </w:rPr>
        <w:drawing>
          <wp:inline distT="0" distB="0" distL="0" distR="0" wp14:anchorId="22E0A3E2" wp14:editId="1EFBD3AB">
            <wp:extent cx="4601210" cy="2772410"/>
            <wp:effectExtent l="0" t="0" r="8890" b="889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32DF4F" w14:textId="77777777" w:rsidR="003165E5" w:rsidRPr="002F72C4" w:rsidRDefault="003165E5" w:rsidP="007E5E47">
      <w:pPr>
        <w:pStyle w:val="Caption"/>
        <w:rPr>
          <w:rFonts w:ascii="Times New Roman" w:eastAsia="Calibri" w:hAnsi="Times New Roman"/>
          <w:color w:val="000000" w:themeColor="text1"/>
          <w:sz w:val="24"/>
          <w:szCs w:val="24"/>
        </w:rPr>
      </w:pPr>
      <w:bookmarkStart w:id="46" w:name="_Toc86835632"/>
      <w:r w:rsidRPr="002F72C4">
        <w:rPr>
          <w:rFonts w:ascii="Times New Roman" w:hAnsi="Times New Roman"/>
          <w:color w:val="000000" w:themeColor="text1"/>
          <w:sz w:val="24"/>
          <w:szCs w:val="24"/>
        </w:rPr>
        <w:t xml:space="preserve">Figure </w:t>
      </w:r>
      <w:r w:rsidR="001D7523" w:rsidRPr="002F72C4">
        <w:rPr>
          <w:rFonts w:ascii="Times New Roman" w:hAnsi="Times New Roman"/>
          <w:color w:val="000000" w:themeColor="text1"/>
          <w:sz w:val="24"/>
          <w:szCs w:val="24"/>
        </w:rPr>
        <w:t>3</w:t>
      </w:r>
      <w:r w:rsidRPr="002F72C4">
        <w:rPr>
          <w:rFonts w:ascii="Times New Roman" w:hAnsi="Times New Roman"/>
          <w:color w:val="000000" w:themeColor="text1"/>
          <w:sz w:val="24"/>
          <w:szCs w:val="24"/>
        </w:rPr>
        <w:t xml:space="preserve">: </w:t>
      </w:r>
      <w:r w:rsidRPr="002F72C4">
        <w:rPr>
          <w:rFonts w:ascii="Times New Roman" w:eastAsia="Calibri" w:hAnsi="Times New Roman"/>
          <w:color w:val="000000" w:themeColor="text1"/>
          <w:sz w:val="24"/>
          <w:szCs w:val="24"/>
        </w:rPr>
        <w:t>Uncertainty/Fear score among study participant</w:t>
      </w:r>
      <w:bookmarkEnd w:id="46"/>
      <w:r w:rsidR="005D14C1" w:rsidRPr="002F72C4">
        <w:rPr>
          <w:rFonts w:ascii="Times New Roman" w:eastAsia="Calibri" w:hAnsi="Times New Roman"/>
          <w:color w:val="000000" w:themeColor="text1"/>
          <w:sz w:val="24"/>
          <w:szCs w:val="24"/>
        </w:rPr>
        <w:t>s</w:t>
      </w:r>
    </w:p>
    <w:p w14:paraId="1BADBF14" w14:textId="603F2209" w:rsidR="00222258" w:rsidRPr="002F72C4" w:rsidRDefault="00222258" w:rsidP="00222258">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r w:rsidRPr="002F72C4">
        <w:rPr>
          <w:rFonts w:ascii="Times New Roman" w:eastAsia="Calibri" w:hAnsi="Times New Roman" w:cs="Times New Roman"/>
          <w:color w:val="000000" w:themeColor="text1"/>
          <w:sz w:val="24"/>
          <w:szCs w:val="24"/>
        </w:rPr>
        <w:t xml:space="preserve">Majority of the study participants experienced symptoms related to uncertainty /fear (33.5%) at a score of 5. </w:t>
      </w:r>
      <w:r w:rsidR="002F72C4" w:rsidRPr="002F72C4">
        <w:rPr>
          <w:rFonts w:ascii="Times New Roman" w:eastAsia="Calibri" w:hAnsi="Times New Roman" w:cs="Times New Roman"/>
          <w:color w:val="000000" w:themeColor="text1"/>
          <w:sz w:val="24"/>
          <w:szCs w:val="24"/>
        </w:rPr>
        <w:t>A</w:t>
      </w:r>
      <w:r w:rsidRPr="002F72C4">
        <w:rPr>
          <w:rFonts w:ascii="Times New Roman" w:eastAsia="Calibri" w:hAnsi="Times New Roman" w:cs="Times New Roman"/>
          <w:color w:val="000000" w:themeColor="text1"/>
          <w:sz w:val="24"/>
          <w:szCs w:val="24"/>
        </w:rPr>
        <w:t xml:space="preserve"> fairly large number had a score of 3 and 4 at 16.3% and 27.5 %, respectively indicating presence of fear /uncertainty. Only, 17.6% of study participants had a score ranging from 6 to 7 denoting no uncertainty and fear (</w:t>
      </w:r>
      <w:r w:rsidRPr="002F72C4">
        <w:rPr>
          <w:rFonts w:ascii="Times New Roman" w:eastAsia="Calibri" w:hAnsi="Times New Roman" w:cs="Times New Roman"/>
          <w:b/>
          <w:color w:val="000000" w:themeColor="text1"/>
          <w:sz w:val="24"/>
          <w:szCs w:val="24"/>
        </w:rPr>
        <w:t>Figure 3</w:t>
      </w:r>
      <w:r w:rsidRPr="002F72C4">
        <w:rPr>
          <w:rFonts w:ascii="Times New Roman" w:eastAsia="Calibri" w:hAnsi="Times New Roman" w:cs="Times New Roman"/>
          <w:color w:val="000000" w:themeColor="text1"/>
          <w:sz w:val="24"/>
          <w:szCs w:val="24"/>
        </w:rPr>
        <w:t>).</w:t>
      </w:r>
    </w:p>
    <w:p w14:paraId="738832E3" w14:textId="77777777" w:rsidR="00222258" w:rsidRPr="002F72C4" w:rsidRDefault="00222258"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lang w:val="en-GB"/>
        </w:rPr>
      </w:pPr>
    </w:p>
    <w:p w14:paraId="4B151963"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rPr>
      </w:pPr>
      <w:r w:rsidRPr="002F72C4">
        <w:rPr>
          <w:rFonts w:ascii="Times New Roman" w:eastAsia="Calibri" w:hAnsi="Times New Roman" w:cs="Times New Roman"/>
          <w:b/>
          <w:color w:val="000000" w:themeColor="text1"/>
          <w:sz w:val="24"/>
          <w:szCs w:val="24"/>
          <w:lang w:val="en-GB"/>
        </w:rPr>
        <w:lastRenderedPageBreak/>
        <w:t>Emotions</w:t>
      </w:r>
      <w:r w:rsidRPr="002F72C4">
        <w:rPr>
          <w:rFonts w:ascii="Times New Roman" w:eastAsia="Calibri" w:hAnsi="Times New Roman" w:cs="Times New Roman"/>
          <w:b/>
          <w:color w:val="000000" w:themeColor="text1"/>
          <w:sz w:val="24"/>
          <w:szCs w:val="24"/>
        </w:rPr>
        <w:t xml:space="preserve"> domain scores</w:t>
      </w:r>
    </w:p>
    <w:p w14:paraId="037BCC9A"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r w:rsidRPr="002F72C4">
        <w:rPr>
          <w:rFonts w:ascii="Times New Roman" w:eastAsia="Calibri" w:hAnsi="Times New Roman" w:cs="Times New Roman"/>
          <w:color w:val="000000" w:themeColor="text1"/>
          <w:sz w:val="24"/>
          <w:szCs w:val="24"/>
        </w:rPr>
        <w:t>Approximately, half 51.3% of the study participants had no trouble with emotional symptoms at a score of 6 and 7. However,48.7</w:t>
      </w:r>
      <w:r w:rsidR="008D69E1" w:rsidRPr="002F72C4">
        <w:rPr>
          <w:rFonts w:ascii="Times New Roman" w:eastAsia="Calibri" w:hAnsi="Times New Roman" w:cs="Times New Roman"/>
          <w:color w:val="000000" w:themeColor="text1"/>
          <w:sz w:val="24"/>
          <w:szCs w:val="24"/>
        </w:rPr>
        <w:t>% of</w:t>
      </w:r>
      <w:r w:rsidR="005D14C1" w:rsidRPr="002F72C4">
        <w:rPr>
          <w:rFonts w:ascii="Times New Roman" w:eastAsia="Calibri" w:hAnsi="Times New Roman" w:cs="Times New Roman"/>
          <w:color w:val="000000" w:themeColor="text1"/>
          <w:sz w:val="24"/>
          <w:szCs w:val="24"/>
        </w:rPr>
        <w:t xml:space="preserve"> </w:t>
      </w:r>
      <w:r w:rsidRPr="002F72C4">
        <w:rPr>
          <w:rFonts w:ascii="Times New Roman" w:eastAsia="Calibri" w:hAnsi="Times New Roman" w:cs="Times New Roman"/>
          <w:color w:val="000000" w:themeColor="text1"/>
          <w:sz w:val="24"/>
          <w:szCs w:val="24"/>
        </w:rPr>
        <w:t xml:space="preserve">patients </w:t>
      </w:r>
      <w:r w:rsidR="005D14C1" w:rsidRPr="002F72C4">
        <w:rPr>
          <w:rFonts w:ascii="Times New Roman" w:eastAsia="Calibri" w:hAnsi="Times New Roman" w:cs="Times New Roman"/>
          <w:color w:val="000000" w:themeColor="text1"/>
          <w:sz w:val="24"/>
          <w:szCs w:val="24"/>
        </w:rPr>
        <w:t>had severe to moderate trouble i</w:t>
      </w:r>
      <w:r w:rsidRPr="002F72C4">
        <w:rPr>
          <w:rFonts w:ascii="Times New Roman" w:eastAsia="Calibri" w:hAnsi="Times New Roman" w:cs="Times New Roman"/>
          <w:color w:val="000000" w:themeColor="text1"/>
          <w:sz w:val="24"/>
          <w:szCs w:val="24"/>
        </w:rPr>
        <w:t>n emotions domain with scores ranging from 3 to 5 (</w:t>
      </w:r>
      <w:r w:rsidRPr="002F72C4">
        <w:rPr>
          <w:rFonts w:ascii="Times New Roman" w:eastAsia="Calibri" w:hAnsi="Times New Roman" w:cs="Times New Roman"/>
          <w:b/>
          <w:color w:val="000000" w:themeColor="text1"/>
          <w:sz w:val="24"/>
          <w:szCs w:val="24"/>
        </w:rPr>
        <w:t xml:space="preserve">Figure </w:t>
      </w:r>
      <w:r w:rsidR="00222258" w:rsidRPr="002F72C4">
        <w:rPr>
          <w:rFonts w:ascii="Times New Roman" w:eastAsia="Calibri" w:hAnsi="Times New Roman" w:cs="Times New Roman"/>
          <w:b/>
          <w:color w:val="000000" w:themeColor="text1"/>
          <w:sz w:val="24"/>
          <w:szCs w:val="24"/>
        </w:rPr>
        <w:t>4</w:t>
      </w:r>
      <w:r w:rsidRPr="002F72C4">
        <w:rPr>
          <w:rFonts w:ascii="Times New Roman" w:eastAsia="Calibri" w:hAnsi="Times New Roman" w:cs="Times New Roman"/>
          <w:color w:val="000000" w:themeColor="text1"/>
          <w:sz w:val="24"/>
          <w:szCs w:val="24"/>
        </w:rPr>
        <w:t>).</w:t>
      </w:r>
    </w:p>
    <w:p w14:paraId="3F64D70F"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rPr>
      </w:pPr>
    </w:p>
    <w:p w14:paraId="1A9B2D3F"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rPr>
      </w:pPr>
      <w:r w:rsidRPr="002F72C4">
        <w:rPr>
          <w:rFonts w:ascii="Times New Roman" w:hAnsi="Times New Roman" w:cs="Times New Roman"/>
          <w:noProof/>
          <w:color w:val="000000" w:themeColor="text1"/>
          <w:sz w:val="24"/>
          <w:szCs w:val="24"/>
        </w:rPr>
        <w:drawing>
          <wp:inline distT="0" distB="0" distL="0" distR="0" wp14:anchorId="3DF4144C" wp14:editId="0DF9AB60">
            <wp:extent cx="4601210" cy="2772410"/>
            <wp:effectExtent l="0" t="0" r="8890" b="889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2398B6"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rPr>
      </w:pPr>
    </w:p>
    <w:p w14:paraId="46A65B41" w14:textId="77777777" w:rsidR="003165E5" w:rsidRPr="002F72C4" w:rsidRDefault="003165E5" w:rsidP="00263C57">
      <w:pPr>
        <w:pStyle w:val="Caption"/>
        <w:rPr>
          <w:rFonts w:ascii="Times New Roman" w:eastAsia="Calibri" w:hAnsi="Times New Roman"/>
          <w:color w:val="000000" w:themeColor="text1"/>
          <w:sz w:val="24"/>
          <w:szCs w:val="24"/>
        </w:rPr>
      </w:pPr>
      <w:bookmarkStart w:id="47" w:name="_Toc86835633"/>
      <w:r w:rsidRPr="002F72C4">
        <w:rPr>
          <w:rFonts w:ascii="Times New Roman" w:hAnsi="Times New Roman"/>
          <w:color w:val="000000" w:themeColor="text1"/>
          <w:sz w:val="24"/>
          <w:szCs w:val="24"/>
        </w:rPr>
        <w:t xml:space="preserve">Figure </w:t>
      </w:r>
      <w:r w:rsidR="001D7523" w:rsidRPr="002F72C4">
        <w:rPr>
          <w:rFonts w:ascii="Times New Roman" w:hAnsi="Times New Roman"/>
          <w:color w:val="000000" w:themeColor="text1"/>
          <w:sz w:val="24"/>
          <w:szCs w:val="24"/>
        </w:rPr>
        <w:t>4</w:t>
      </w:r>
      <w:r w:rsidRPr="002F72C4">
        <w:rPr>
          <w:rFonts w:ascii="Times New Roman" w:eastAsia="Calibri" w:hAnsi="Times New Roman"/>
          <w:color w:val="000000" w:themeColor="text1"/>
          <w:sz w:val="24"/>
          <w:szCs w:val="24"/>
        </w:rPr>
        <w:t>: Emotions domain score among study participants</w:t>
      </w:r>
      <w:bookmarkEnd w:id="47"/>
    </w:p>
    <w:p w14:paraId="77079DFB" w14:textId="77777777" w:rsidR="00456E7E" w:rsidRPr="002F72C4" w:rsidRDefault="00456E7E" w:rsidP="00456E7E">
      <w:pPr>
        <w:pStyle w:val="Heading3"/>
        <w:rPr>
          <w:rFonts w:ascii="Times New Roman" w:eastAsia="Calibri" w:hAnsi="Times New Roman" w:cs="Times New Roman"/>
          <w:b/>
          <w:color w:val="000000" w:themeColor="text1"/>
          <w:lang w:val="en-GB"/>
        </w:rPr>
      </w:pPr>
      <w:bookmarkStart w:id="48" w:name="_Toc86908069"/>
      <w:r w:rsidRPr="002F72C4">
        <w:rPr>
          <w:rFonts w:ascii="Times New Roman" w:eastAsia="Calibri" w:hAnsi="Times New Roman" w:cs="Times New Roman"/>
          <w:b/>
          <w:color w:val="000000" w:themeColor="text1"/>
          <w:lang w:val="en-GB"/>
        </w:rPr>
        <w:t>Health related quality of life summary score based on KTQ-25.</w:t>
      </w:r>
      <w:bookmarkEnd w:id="48"/>
    </w:p>
    <w:p w14:paraId="7A44B06C" w14:textId="7CCFD774" w:rsidR="00456E7E" w:rsidRPr="002F72C4" w:rsidRDefault="00456E7E" w:rsidP="00456E7E">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The table below illustrates the distribution of health related quality of life summary scores as assessed by the kidney transplant questionnaire (Table </w:t>
      </w:r>
      <w:r w:rsidR="00B1228F">
        <w:rPr>
          <w:rFonts w:ascii="Times New Roman" w:eastAsia="Calibri" w:hAnsi="Times New Roman" w:cs="Times New Roman"/>
          <w:color w:val="000000" w:themeColor="text1"/>
          <w:sz w:val="24"/>
          <w:szCs w:val="24"/>
          <w:lang w:val="en-GB"/>
        </w:rPr>
        <w:t>3</w:t>
      </w:r>
      <w:r w:rsidRPr="002F72C4">
        <w:rPr>
          <w:rFonts w:ascii="Times New Roman" w:eastAsia="Calibri" w:hAnsi="Times New Roman" w:cs="Times New Roman"/>
          <w:color w:val="000000" w:themeColor="text1"/>
          <w:sz w:val="24"/>
          <w:szCs w:val="24"/>
          <w:lang w:val="en-GB"/>
        </w:rPr>
        <w:t>). The overall mean health related quality of life score was 5.19(0.78). The highest score was obtained in appearance domain 6.62(0.60), followed by emotions 5.37(1.12), and fatigue 5.33(1.38). Physical symptoms and fear/uncertainty dimensions had the least score of 4.64(1.34) and 4.28(1.12), respectively.</w:t>
      </w:r>
    </w:p>
    <w:p w14:paraId="38312462" w14:textId="77777777" w:rsidR="00456E7E" w:rsidRPr="002F72C4" w:rsidRDefault="00456E7E" w:rsidP="00456E7E">
      <w:pPr>
        <w:rPr>
          <w:rFonts w:ascii="Times New Roman" w:hAnsi="Times New Roman" w:cs="Times New Roman"/>
          <w:color w:val="000000" w:themeColor="text1"/>
          <w:sz w:val="24"/>
          <w:szCs w:val="24"/>
        </w:rPr>
      </w:pPr>
    </w:p>
    <w:p w14:paraId="504D94E6" w14:textId="52CB1D02" w:rsidR="00456E7E" w:rsidRPr="002F72C4" w:rsidRDefault="00456E7E" w:rsidP="00456E7E">
      <w:pPr>
        <w:pStyle w:val="Caption"/>
        <w:rPr>
          <w:rFonts w:ascii="Times New Roman" w:eastAsia="Calibri" w:hAnsi="Times New Roman"/>
          <w:color w:val="000000" w:themeColor="text1"/>
          <w:sz w:val="24"/>
          <w:szCs w:val="24"/>
          <w:lang w:val="en-GB"/>
        </w:rPr>
      </w:pPr>
      <w:bookmarkStart w:id="49" w:name="_Toc86835617"/>
      <w:bookmarkStart w:id="50" w:name="_Toc86835601"/>
      <w:r w:rsidRPr="002F72C4">
        <w:rPr>
          <w:rFonts w:ascii="Times New Roman" w:hAnsi="Times New Roman"/>
          <w:color w:val="000000" w:themeColor="text1"/>
          <w:sz w:val="24"/>
          <w:szCs w:val="24"/>
        </w:rPr>
        <w:t xml:space="preserve">Table </w:t>
      </w:r>
      <w:r w:rsidR="00B1228F">
        <w:rPr>
          <w:rFonts w:ascii="Times New Roman" w:hAnsi="Times New Roman"/>
          <w:color w:val="000000" w:themeColor="text1"/>
          <w:sz w:val="24"/>
          <w:szCs w:val="24"/>
        </w:rPr>
        <w:t>3</w:t>
      </w:r>
      <w:r w:rsidRPr="002F72C4">
        <w:rPr>
          <w:rFonts w:ascii="Times New Roman" w:eastAsia="Calibri" w:hAnsi="Times New Roman"/>
          <w:color w:val="000000" w:themeColor="text1"/>
          <w:sz w:val="24"/>
          <w:szCs w:val="24"/>
          <w:lang w:val="en-GB"/>
        </w:rPr>
        <w:t>: Health related quality of life summary score among study participants</w:t>
      </w:r>
      <w:bookmarkEnd w:id="49"/>
      <w:bookmarkEnd w:id="50"/>
    </w:p>
    <w:tbl>
      <w:tblPr>
        <w:tblStyle w:val="TableGrid5"/>
        <w:tblW w:w="0" w:type="auto"/>
        <w:tblLayout w:type="fixed"/>
        <w:tblLook w:val="04A0" w:firstRow="1" w:lastRow="0" w:firstColumn="1" w:lastColumn="0" w:noHBand="0" w:noVBand="1"/>
      </w:tblPr>
      <w:tblGrid>
        <w:gridCol w:w="4500"/>
        <w:gridCol w:w="2340"/>
      </w:tblGrid>
      <w:tr w:rsidR="002F72C4" w:rsidRPr="002F72C4" w14:paraId="22D8DFB2" w14:textId="77777777" w:rsidTr="00976640">
        <w:tc>
          <w:tcPr>
            <w:tcW w:w="4500" w:type="dxa"/>
            <w:tcBorders>
              <w:top w:val="single" w:sz="4" w:space="0" w:color="auto"/>
              <w:left w:val="nil"/>
              <w:bottom w:val="single" w:sz="4" w:space="0" w:color="auto"/>
              <w:right w:val="nil"/>
            </w:tcBorders>
            <w:hideMark/>
          </w:tcPr>
          <w:p w14:paraId="4B561877" w14:textId="24AA1B0E" w:rsidR="00456E7E" w:rsidRPr="002F72C4" w:rsidRDefault="0022290B" w:rsidP="00976640">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Quality of Life</w:t>
            </w:r>
          </w:p>
        </w:tc>
        <w:tc>
          <w:tcPr>
            <w:tcW w:w="2340" w:type="dxa"/>
            <w:tcBorders>
              <w:top w:val="single" w:sz="4" w:space="0" w:color="auto"/>
              <w:left w:val="nil"/>
              <w:bottom w:val="single" w:sz="4" w:space="0" w:color="auto"/>
              <w:right w:val="nil"/>
            </w:tcBorders>
            <w:hideMark/>
          </w:tcPr>
          <w:p w14:paraId="40F57010" w14:textId="77777777" w:rsidR="00456E7E" w:rsidRPr="002F72C4" w:rsidRDefault="00456E7E" w:rsidP="00976640">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Mean score (SD)</w:t>
            </w:r>
          </w:p>
        </w:tc>
      </w:tr>
      <w:tr w:rsidR="002F72C4" w:rsidRPr="002F72C4" w14:paraId="1BCAA6AD" w14:textId="77777777" w:rsidTr="00976640">
        <w:tc>
          <w:tcPr>
            <w:tcW w:w="4500" w:type="dxa"/>
            <w:tcBorders>
              <w:top w:val="single" w:sz="4" w:space="0" w:color="auto"/>
              <w:left w:val="nil"/>
              <w:bottom w:val="nil"/>
              <w:right w:val="nil"/>
            </w:tcBorders>
            <w:hideMark/>
          </w:tcPr>
          <w:p w14:paraId="750A66E2" w14:textId="77777777" w:rsidR="00456E7E" w:rsidRPr="002F72C4" w:rsidRDefault="00456E7E" w:rsidP="00976640">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Appearance</w:t>
            </w:r>
          </w:p>
        </w:tc>
        <w:tc>
          <w:tcPr>
            <w:tcW w:w="2340" w:type="dxa"/>
            <w:tcBorders>
              <w:top w:val="single" w:sz="4" w:space="0" w:color="auto"/>
              <w:left w:val="nil"/>
              <w:bottom w:val="nil"/>
              <w:right w:val="nil"/>
            </w:tcBorders>
            <w:hideMark/>
          </w:tcPr>
          <w:p w14:paraId="2B19E749" w14:textId="77777777" w:rsidR="00456E7E" w:rsidRPr="002F72C4" w:rsidRDefault="00456E7E" w:rsidP="00976640">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6.62(0.60)</w:t>
            </w:r>
          </w:p>
        </w:tc>
      </w:tr>
      <w:tr w:rsidR="002F72C4" w:rsidRPr="002F72C4" w14:paraId="03393EA9" w14:textId="77777777" w:rsidTr="00976640">
        <w:tc>
          <w:tcPr>
            <w:tcW w:w="4500" w:type="dxa"/>
            <w:tcBorders>
              <w:top w:val="nil"/>
              <w:left w:val="nil"/>
              <w:bottom w:val="nil"/>
              <w:right w:val="nil"/>
            </w:tcBorders>
            <w:hideMark/>
          </w:tcPr>
          <w:p w14:paraId="4868F571" w14:textId="77777777" w:rsidR="00456E7E" w:rsidRPr="002F72C4" w:rsidRDefault="00456E7E" w:rsidP="00976640">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Emotions</w:t>
            </w:r>
          </w:p>
        </w:tc>
        <w:tc>
          <w:tcPr>
            <w:tcW w:w="2340" w:type="dxa"/>
            <w:tcBorders>
              <w:top w:val="nil"/>
              <w:left w:val="nil"/>
              <w:bottom w:val="nil"/>
              <w:right w:val="nil"/>
            </w:tcBorders>
            <w:hideMark/>
          </w:tcPr>
          <w:p w14:paraId="7D9CCB89" w14:textId="77777777" w:rsidR="00456E7E" w:rsidRPr="002F72C4" w:rsidRDefault="00456E7E" w:rsidP="00976640">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5.37(1.12)</w:t>
            </w:r>
          </w:p>
        </w:tc>
      </w:tr>
      <w:tr w:rsidR="002F72C4" w:rsidRPr="002F72C4" w14:paraId="62E276F5" w14:textId="77777777" w:rsidTr="00976640">
        <w:tc>
          <w:tcPr>
            <w:tcW w:w="4500" w:type="dxa"/>
            <w:tcBorders>
              <w:top w:val="nil"/>
              <w:left w:val="nil"/>
              <w:bottom w:val="nil"/>
              <w:right w:val="nil"/>
            </w:tcBorders>
            <w:hideMark/>
          </w:tcPr>
          <w:p w14:paraId="46257E7C" w14:textId="77777777" w:rsidR="00456E7E" w:rsidRPr="002F72C4" w:rsidRDefault="00456E7E" w:rsidP="00976640">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Fatigue</w:t>
            </w:r>
          </w:p>
        </w:tc>
        <w:tc>
          <w:tcPr>
            <w:tcW w:w="2340" w:type="dxa"/>
            <w:tcBorders>
              <w:top w:val="nil"/>
              <w:left w:val="nil"/>
              <w:bottom w:val="nil"/>
              <w:right w:val="nil"/>
            </w:tcBorders>
            <w:hideMark/>
          </w:tcPr>
          <w:p w14:paraId="27723185" w14:textId="77777777" w:rsidR="00456E7E" w:rsidRPr="002F72C4" w:rsidRDefault="00456E7E" w:rsidP="00976640">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5.33(1.38)</w:t>
            </w:r>
          </w:p>
        </w:tc>
      </w:tr>
      <w:tr w:rsidR="002F72C4" w:rsidRPr="002F72C4" w14:paraId="67F723AA" w14:textId="77777777" w:rsidTr="00976640">
        <w:tc>
          <w:tcPr>
            <w:tcW w:w="4500" w:type="dxa"/>
            <w:tcBorders>
              <w:top w:val="nil"/>
              <w:left w:val="nil"/>
              <w:bottom w:val="nil"/>
              <w:right w:val="nil"/>
            </w:tcBorders>
            <w:hideMark/>
          </w:tcPr>
          <w:p w14:paraId="24FA8553" w14:textId="77777777" w:rsidR="00456E7E" w:rsidRPr="002F72C4" w:rsidRDefault="00456E7E" w:rsidP="00976640">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Physical symptoms</w:t>
            </w:r>
          </w:p>
        </w:tc>
        <w:tc>
          <w:tcPr>
            <w:tcW w:w="2340" w:type="dxa"/>
            <w:tcBorders>
              <w:top w:val="nil"/>
              <w:left w:val="nil"/>
              <w:bottom w:val="nil"/>
              <w:right w:val="nil"/>
            </w:tcBorders>
            <w:hideMark/>
          </w:tcPr>
          <w:p w14:paraId="39D97F58" w14:textId="77777777" w:rsidR="00456E7E" w:rsidRPr="002F72C4" w:rsidRDefault="00456E7E" w:rsidP="00976640">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4.64 (1.34)</w:t>
            </w:r>
          </w:p>
        </w:tc>
      </w:tr>
      <w:tr w:rsidR="002F72C4" w:rsidRPr="002F72C4" w14:paraId="09419AE9" w14:textId="77777777" w:rsidTr="00976640">
        <w:tc>
          <w:tcPr>
            <w:tcW w:w="4500" w:type="dxa"/>
            <w:tcBorders>
              <w:top w:val="nil"/>
              <w:left w:val="nil"/>
              <w:bottom w:val="nil"/>
              <w:right w:val="nil"/>
            </w:tcBorders>
            <w:hideMark/>
          </w:tcPr>
          <w:p w14:paraId="0F2022A7" w14:textId="77777777" w:rsidR="00456E7E" w:rsidRPr="002F72C4" w:rsidRDefault="00456E7E" w:rsidP="00976640">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Fear/Uncertainty</w:t>
            </w:r>
          </w:p>
        </w:tc>
        <w:tc>
          <w:tcPr>
            <w:tcW w:w="2340" w:type="dxa"/>
            <w:tcBorders>
              <w:top w:val="nil"/>
              <w:left w:val="nil"/>
              <w:bottom w:val="nil"/>
              <w:right w:val="nil"/>
            </w:tcBorders>
            <w:hideMark/>
          </w:tcPr>
          <w:p w14:paraId="5EDE17BD" w14:textId="77777777" w:rsidR="00456E7E" w:rsidRPr="002F72C4" w:rsidRDefault="00456E7E" w:rsidP="00976640">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4.28 (1.12)</w:t>
            </w:r>
          </w:p>
        </w:tc>
      </w:tr>
      <w:tr w:rsidR="00456E7E" w:rsidRPr="002F72C4" w14:paraId="3B06059E" w14:textId="77777777" w:rsidTr="00976640">
        <w:tc>
          <w:tcPr>
            <w:tcW w:w="4500" w:type="dxa"/>
            <w:tcBorders>
              <w:top w:val="nil"/>
              <w:left w:val="nil"/>
              <w:bottom w:val="single" w:sz="4" w:space="0" w:color="auto"/>
              <w:right w:val="nil"/>
            </w:tcBorders>
            <w:hideMark/>
          </w:tcPr>
          <w:p w14:paraId="34E089AD" w14:textId="77777777" w:rsidR="00456E7E" w:rsidRPr="002F72C4" w:rsidRDefault="00456E7E" w:rsidP="00976640">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KTQ-25 Total</w:t>
            </w:r>
          </w:p>
        </w:tc>
        <w:tc>
          <w:tcPr>
            <w:tcW w:w="2340" w:type="dxa"/>
            <w:tcBorders>
              <w:top w:val="nil"/>
              <w:left w:val="nil"/>
              <w:bottom w:val="single" w:sz="4" w:space="0" w:color="auto"/>
              <w:right w:val="nil"/>
            </w:tcBorders>
            <w:hideMark/>
          </w:tcPr>
          <w:p w14:paraId="250E920F" w14:textId="77777777" w:rsidR="00456E7E" w:rsidRPr="002F72C4" w:rsidRDefault="00456E7E" w:rsidP="00976640">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5.19 (0.78)</w:t>
            </w:r>
          </w:p>
        </w:tc>
      </w:tr>
    </w:tbl>
    <w:p w14:paraId="711252C4" w14:textId="77777777" w:rsidR="009430B9" w:rsidRPr="002F72C4" w:rsidRDefault="009430B9" w:rsidP="002B1E47">
      <w:pPr>
        <w:autoSpaceDE w:val="0"/>
        <w:autoSpaceDN w:val="0"/>
        <w:adjustRightInd w:val="0"/>
        <w:spacing w:after="0" w:line="400" w:lineRule="atLeast"/>
        <w:jc w:val="both"/>
        <w:rPr>
          <w:rFonts w:ascii="Times New Roman" w:eastAsia="Calibri" w:hAnsi="Times New Roman" w:cs="Times New Roman"/>
          <w:b/>
          <w:color w:val="000000" w:themeColor="text1"/>
          <w:sz w:val="24"/>
          <w:szCs w:val="24"/>
          <w:lang w:val="en-GB"/>
        </w:rPr>
      </w:pPr>
    </w:p>
    <w:p w14:paraId="66FE1745" w14:textId="02F56DF7" w:rsidR="003165E5" w:rsidRPr="002F72C4" w:rsidRDefault="003165E5" w:rsidP="002B1E47">
      <w:pPr>
        <w:pStyle w:val="Heading2"/>
        <w:jc w:val="both"/>
        <w:rPr>
          <w:rFonts w:eastAsia="Calibri" w:cs="Times New Roman"/>
          <w:b/>
          <w:color w:val="000000" w:themeColor="text1"/>
          <w:szCs w:val="24"/>
          <w:lang w:val="en-GB"/>
        </w:rPr>
      </w:pPr>
      <w:bookmarkStart w:id="51" w:name="_Toc86908070"/>
      <w:r w:rsidRPr="002F72C4">
        <w:rPr>
          <w:rFonts w:eastAsia="Calibri" w:cs="Times New Roman"/>
          <w:b/>
          <w:color w:val="000000" w:themeColor="text1"/>
          <w:szCs w:val="24"/>
          <w:lang w:val="en-GB"/>
        </w:rPr>
        <w:t>Association between demographic characteristics and health related quality of life scale score</w:t>
      </w:r>
      <w:bookmarkEnd w:id="51"/>
      <w:r w:rsidR="002F72C4">
        <w:rPr>
          <w:rFonts w:eastAsia="Calibri" w:cs="Times New Roman"/>
          <w:b/>
          <w:color w:val="000000" w:themeColor="text1"/>
          <w:szCs w:val="24"/>
          <w:lang w:val="en-GB"/>
        </w:rPr>
        <w:t>s</w:t>
      </w:r>
      <w:r w:rsidR="00BA2FA8" w:rsidRPr="002F72C4">
        <w:rPr>
          <w:rFonts w:eastAsia="Calibri" w:cs="Times New Roman"/>
          <w:b/>
          <w:color w:val="000000" w:themeColor="text1"/>
          <w:szCs w:val="24"/>
          <w:lang w:val="en-GB"/>
        </w:rPr>
        <w:t xml:space="preserve"> </w:t>
      </w:r>
    </w:p>
    <w:p w14:paraId="3CCFABD3" w14:textId="7A310DB3" w:rsidR="003165E5" w:rsidRPr="002F72C4" w:rsidRDefault="003165E5" w:rsidP="002B1E47">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As shown in Table </w:t>
      </w:r>
      <w:r w:rsidR="00B1228F">
        <w:rPr>
          <w:rFonts w:ascii="Times New Roman" w:eastAsia="Calibri" w:hAnsi="Times New Roman" w:cs="Times New Roman"/>
          <w:color w:val="000000" w:themeColor="text1"/>
          <w:sz w:val="24"/>
          <w:szCs w:val="24"/>
          <w:lang w:val="en-GB"/>
        </w:rPr>
        <w:t>4</w:t>
      </w:r>
      <w:r w:rsidRPr="002F72C4">
        <w:rPr>
          <w:rFonts w:ascii="Times New Roman" w:eastAsia="Calibri" w:hAnsi="Times New Roman" w:cs="Times New Roman"/>
          <w:color w:val="000000" w:themeColor="text1"/>
          <w:sz w:val="24"/>
          <w:szCs w:val="24"/>
          <w:lang w:val="en-GB"/>
        </w:rPr>
        <w:t xml:space="preserve">, none of the sociodemographic variables had a significant effect on health related quality of life subscale domains. </w:t>
      </w:r>
    </w:p>
    <w:p w14:paraId="05FF9DDD" w14:textId="77777777" w:rsidR="0034054D" w:rsidRPr="002F72C4" w:rsidRDefault="0034054D" w:rsidP="002B1E47">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p>
    <w:p w14:paraId="3A57E374" w14:textId="3B7A2B13" w:rsidR="003165E5" w:rsidRPr="002F72C4" w:rsidRDefault="003165E5" w:rsidP="002B1E47">
      <w:pPr>
        <w:pStyle w:val="Caption"/>
        <w:jc w:val="both"/>
        <w:rPr>
          <w:rFonts w:ascii="Times New Roman" w:eastAsia="Calibri" w:hAnsi="Times New Roman"/>
          <w:color w:val="000000" w:themeColor="text1"/>
          <w:sz w:val="24"/>
          <w:szCs w:val="24"/>
          <w:lang w:val="en-GB"/>
        </w:rPr>
      </w:pPr>
      <w:bookmarkStart w:id="52" w:name="_Toc86835618"/>
      <w:bookmarkStart w:id="53" w:name="_Toc86835602"/>
      <w:r w:rsidRPr="002F72C4">
        <w:rPr>
          <w:rFonts w:ascii="Times New Roman" w:hAnsi="Times New Roman"/>
          <w:color w:val="000000" w:themeColor="text1"/>
          <w:sz w:val="24"/>
          <w:szCs w:val="24"/>
        </w:rPr>
        <w:t xml:space="preserve">Table </w:t>
      </w:r>
      <w:r w:rsidR="00B1228F">
        <w:rPr>
          <w:rFonts w:ascii="Times New Roman" w:hAnsi="Times New Roman"/>
          <w:color w:val="000000" w:themeColor="text1"/>
          <w:sz w:val="24"/>
          <w:szCs w:val="24"/>
        </w:rPr>
        <w:t>4</w:t>
      </w:r>
      <w:r w:rsidRPr="002F72C4">
        <w:rPr>
          <w:rFonts w:ascii="Times New Roman" w:eastAsia="Calibri" w:hAnsi="Times New Roman"/>
          <w:color w:val="000000" w:themeColor="text1"/>
          <w:sz w:val="24"/>
          <w:szCs w:val="24"/>
          <w:lang w:val="en-GB"/>
        </w:rPr>
        <w:t>: Association between demographic characteristics and mean HRQoL subscale score</w:t>
      </w:r>
      <w:bookmarkEnd w:id="52"/>
      <w:bookmarkEnd w:id="53"/>
    </w:p>
    <w:tbl>
      <w:tblPr>
        <w:tblStyle w:val="TableGrid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450"/>
        <w:gridCol w:w="1620"/>
        <w:gridCol w:w="1350"/>
        <w:gridCol w:w="1620"/>
        <w:gridCol w:w="1440"/>
        <w:gridCol w:w="1350"/>
      </w:tblGrid>
      <w:tr w:rsidR="002F72C4" w:rsidRPr="002F72C4" w14:paraId="1DD3F3B4" w14:textId="77777777" w:rsidTr="00222258">
        <w:tc>
          <w:tcPr>
            <w:tcW w:w="1620" w:type="dxa"/>
            <w:tcBorders>
              <w:top w:val="single" w:sz="12" w:space="0" w:color="auto"/>
              <w:bottom w:val="single" w:sz="12" w:space="0" w:color="auto"/>
            </w:tcBorders>
          </w:tcPr>
          <w:p w14:paraId="58BDAD82"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450" w:type="dxa"/>
            <w:tcBorders>
              <w:top w:val="single" w:sz="12" w:space="0" w:color="auto"/>
              <w:bottom w:val="single" w:sz="12" w:space="0" w:color="auto"/>
            </w:tcBorders>
          </w:tcPr>
          <w:p w14:paraId="7FB6424B"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7380" w:type="dxa"/>
            <w:gridSpan w:val="5"/>
            <w:tcBorders>
              <w:top w:val="single" w:sz="12" w:space="0" w:color="auto"/>
              <w:bottom w:val="single" w:sz="12" w:space="0" w:color="auto"/>
            </w:tcBorders>
            <w:hideMark/>
          </w:tcPr>
          <w:p w14:paraId="0E1A30EF" w14:textId="77777777" w:rsidR="003165E5" w:rsidRPr="002F72C4" w:rsidRDefault="003165E5" w:rsidP="001D7523">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Mean scores</w:t>
            </w:r>
          </w:p>
        </w:tc>
      </w:tr>
      <w:tr w:rsidR="002F72C4" w:rsidRPr="002F72C4" w14:paraId="61E5E61E" w14:textId="77777777" w:rsidTr="00222258">
        <w:tc>
          <w:tcPr>
            <w:tcW w:w="1620" w:type="dxa"/>
            <w:tcBorders>
              <w:top w:val="single" w:sz="12" w:space="0" w:color="auto"/>
              <w:bottom w:val="single" w:sz="12" w:space="0" w:color="auto"/>
            </w:tcBorders>
          </w:tcPr>
          <w:p w14:paraId="673900AD"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450" w:type="dxa"/>
            <w:tcBorders>
              <w:top w:val="single" w:sz="12" w:space="0" w:color="auto"/>
              <w:bottom w:val="single" w:sz="12" w:space="0" w:color="auto"/>
            </w:tcBorders>
            <w:hideMark/>
          </w:tcPr>
          <w:p w14:paraId="10DBE735" w14:textId="77777777" w:rsidR="003165E5" w:rsidRPr="002F72C4" w:rsidRDefault="00222258"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n</w:t>
            </w:r>
          </w:p>
        </w:tc>
        <w:tc>
          <w:tcPr>
            <w:tcW w:w="1620" w:type="dxa"/>
            <w:tcBorders>
              <w:top w:val="single" w:sz="12" w:space="0" w:color="auto"/>
              <w:bottom w:val="single" w:sz="12" w:space="0" w:color="auto"/>
            </w:tcBorders>
            <w:hideMark/>
          </w:tcPr>
          <w:p w14:paraId="5F41A77B" w14:textId="77777777" w:rsidR="003165E5" w:rsidRPr="002F72C4" w:rsidRDefault="003165E5"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Physical symptoms</w:t>
            </w:r>
          </w:p>
        </w:tc>
        <w:tc>
          <w:tcPr>
            <w:tcW w:w="1350" w:type="dxa"/>
            <w:tcBorders>
              <w:top w:val="single" w:sz="12" w:space="0" w:color="auto"/>
              <w:bottom w:val="single" w:sz="12" w:space="0" w:color="auto"/>
            </w:tcBorders>
            <w:hideMark/>
          </w:tcPr>
          <w:p w14:paraId="74C3019B" w14:textId="77777777" w:rsidR="003165E5" w:rsidRPr="002F72C4" w:rsidRDefault="003165E5"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Fatigue</w:t>
            </w:r>
          </w:p>
        </w:tc>
        <w:tc>
          <w:tcPr>
            <w:tcW w:w="1620" w:type="dxa"/>
            <w:tcBorders>
              <w:top w:val="single" w:sz="12" w:space="0" w:color="auto"/>
              <w:bottom w:val="single" w:sz="12" w:space="0" w:color="auto"/>
            </w:tcBorders>
            <w:hideMark/>
          </w:tcPr>
          <w:p w14:paraId="78219509" w14:textId="77777777" w:rsidR="003165E5" w:rsidRPr="002F72C4" w:rsidRDefault="003165E5"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Fear/ Uncertainty</w:t>
            </w:r>
          </w:p>
        </w:tc>
        <w:tc>
          <w:tcPr>
            <w:tcW w:w="1440" w:type="dxa"/>
            <w:tcBorders>
              <w:top w:val="single" w:sz="12" w:space="0" w:color="auto"/>
              <w:bottom w:val="single" w:sz="12" w:space="0" w:color="auto"/>
            </w:tcBorders>
            <w:hideMark/>
          </w:tcPr>
          <w:p w14:paraId="3B5F72AE" w14:textId="77777777" w:rsidR="003165E5" w:rsidRPr="002F72C4" w:rsidRDefault="003165E5"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Appearance</w:t>
            </w:r>
          </w:p>
        </w:tc>
        <w:tc>
          <w:tcPr>
            <w:tcW w:w="1350" w:type="dxa"/>
            <w:tcBorders>
              <w:top w:val="single" w:sz="12" w:space="0" w:color="auto"/>
              <w:bottom w:val="single" w:sz="12" w:space="0" w:color="auto"/>
            </w:tcBorders>
            <w:hideMark/>
          </w:tcPr>
          <w:p w14:paraId="57BF5327" w14:textId="77777777" w:rsidR="003165E5" w:rsidRPr="002F72C4" w:rsidRDefault="003165E5"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Emotions</w:t>
            </w:r>
          </w:p>
        </w:tc>
      </w:tr>
      <w:tr w:rsidR="002F72C4" w:rsidRPr="002F72C4" w14:paraId="45E50561" w14:textId="77777777" w:rsidTr="00222258">
        <w:tc>
          <w:tcPr>
            <w:tcW w:w="1620" w:type="dxa"/>
            <w:tcBorders>
              <w:top w:val="single" w:sz="12" w:space="0" w:color="auto"/>
            </w:tcBorders>
            <w:hideMark/>
          </w:tcPr>
          <w:p w14:paraId="4BB9FCC4" w14:textId="77777777" w:rsidR="003165E5" w:rsidRPr="002F72C4" w:rsidRDefault="003165E5" w:rsidP="002B1E47">
            <w:pPr>
              <w:spacing w:line="240" w:lineRule="auto"/>
              <w:jc w:val="both"/>
              <w:rPr>
                <w:rFonts w:ascii="Times New Roman" w:hAnsi="Times New Roman"/>
                <w:b/>
                <w:color w:val="000000" w:themeColor="text1"/>
                <w:sz w:val="24"/>
                <w:szCs w:val="24"/>
              </w:rPr>
            </w:pPr>
            <w:r w:rsidRPr="002F72C4">
              <w:rPr>
                <w:rFonts w:ascii="Times New Roman" w:hAnsi="Times New Roman"/>
                <w:b/>
                <w:color w:val="000000" w:themeColor="text1"/>
                <w:sz w:val="24"/>
                <w:szCs w:val="24"/>
              </w:rPr>
              <w:t>Age</w:t>
            </w:r>
          </w:p>
        </w:tc>
        <w:tc>
          <w:tcPr>
            <w:tcW w:w="450" w:type="dxa"/>
            <w:tcBorders>
              <w:top w:val="single" w:sz="12" w:space="0" w:color="auto"/>
            </w:tcBorders>
          </w:tcPr>
          <w:p w14:paraId="3922CC50"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Borders>
              <w:top w:val="single" w:sz="12" w:space="0" w:color="auto"/>
            </w:tcBorders>
          </w:tcPr>
          <w:p w14:paraId="0704DC21"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1350" w:type="dxa"/>
            <w:tcBorders>
              <w:top w:val="single" w:sz="12" w:space="0" w:color="auto"/>
            </w:tcBorders>
          </w:tcPr>
          <w:p w14:paraId="607D80E7"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1620" w:type="dxa"/>
            <w:tcBorders>
              <w:top w:val="single" w:sz="12" w:space="0" w:color="auto"/>
            </w:tcBorders>
          </w:tcPr>
          <w:p w14:paraId="49C7107C"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1440" w:type="dxa"/>
            <w:tcBorders>
              <w:top w:val="single" w:sz="12" w:space="0" w:color="auto"/>
            </w:tcBorders>
          </w:tcPr>
          <w:p w14:paraId="74D03478"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1350" w:type="dxa"/>
            <w:tcBorders>
              <w:top w:val="single" w:sz="12" w:space="0" w:color="auto"/>
            </w:tcBorders>
          </w:tcPr>
          <w:p w14:paraId="7279CE1C" w14:textId="77777777" w:rsidR="003165E5" w:rsidRPr="002F72C4" w:rsidRDefault="003165E5" w:rsidP="002B1E47">
            <w:pPr>
              <w:spacing w:line="240" w:lineRule="auto"/>
              <w:jc w:val="both"/>
              <w:rPr>
                <w:rFonts w:ascii="Times New Roman" w:hAnsi="Times New Roman"/>
                <w:b/>
                <w:color w:val="000000" w:themeColor="text1"/>
                <w:sz w:val="24"/>
                <w:szCs w:val="24"/>
              </w:rPr>
            </w:pPr>
          </w:p>
        </w:tc>
      </w:tr>
      <w:tr w:rsidR="002F72C4" w:rsidRPr="002F72C4" w14:paraId="3F76F407" w14:textId="77777777" w:rsidTr="00222258">
        <w:tc>
          <w:tcPr>
            <w:tcW w:w="1620" w:type="dxa"/>
            <w:hideMark/>
          </w:tcPr>
          <w:p w14:paraId="7E0C21CB"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≤25</w:t>
            </w:r>
          </w:p>
        </w:tc>
        <w:tc>
          <w:tcPr>
            <w:tcW w:w="450" w:type="dxa"/>
            <w:hideMark/>
          </w:tcPr>
          <w:p w14:paraId="3279547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1620" w:type="dxa"/>
            <w:hideMark/>
          </w:tcPr>
          <w:p w14:paraId="73AB476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4.11 (1.52)</w:t>
            </w:r>
          </w:p>
        </w:tc>
        <w:tc>
          <w:tcPr>
            <w:tcW w:w="1350" w:type="dxa"/>
            <w:hideMark/>
          </w:tcPr>
          <w:p w14:paraId="0CDF2E4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5.37 (1.04)</w:t>
            </w:r>
          </w:p>
        </w:tc>
        <w:tc>
          <w:tcPr>
            <w:tcW w:w="1620" w:type="dxa"/>
            <w:hideMark/>
          </w:tcPr>
          <w:p w14:paraId="68FE6CEC"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4.29 (1.64)</w:t>
            </w:r>
          </w:p>
        </w:tc>
        <w:tc>
          <w:tcPr>
            <w:tcW w:w="1440" w:type="dxa"/>
            <w:hideMark/>
          </w:tcPr>
          <w:p w14:paraId="03A5768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6.50 (0.79)</w:t>
            </w:r>
          </w:p>
        </w:tc>
        <w:tc>
          <w:tcPr>
            <w:tcW w:w="1350" w:type="dxa"/>
            <w:hideMark/>
          </w:tcPr>
          <w:p w14:paraId="7DBFBB0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5.67 (0.80)</w:t>
            </w:r>
          </w:p>
        </w:tc>
      </w:tr>
      <w:tr w:rsidR="002F72C4" w:rsidRPr="002F72C4" w14:paraId="15548A1D" w14:textId="77777777" w:rsidTr="00222258">
        <w:tc>
          <w:tcPr>
            <w:tcW w:w="1620" w:type="dxa"/>
            <w:hideMark/>
          </w:tcPr>
          <w:p w14:paraId="517C8D61"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26-40</w:t>
            </w:r>
          </w:p>
        </w:tc>
        <w:tc>
          <w:tcPr>
            <w:tcW w:w="450" w:type="dxa"/>
            <w:hideMark/>
          </w:tcPr>
          <w:p w14:paraId="32489E1A"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29</w:t>
            </w:r>
          </w:p>
        </w:tc>
        <w:tc>
          <w:tcPr>
            <w:tcW w:w="1620" w:type="dxa"/>
            <w:hideMark/>
          </w:tcPr>
          <w:p w14:paraId="26E6197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4.80 (1.26)</w:t>
            </w:r>
          </w:p>
        </w:tc>
        <w:tc>
          <w:tcPr>
            <w:tcW w:w="1350" w:type="dxa"/>
            <w:hideMark/>
          </w:tcPr>
          <w:p w14:paraId="646B079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5.31 (1.49)</w:t>
            </w:r>
          </w:p>
        </w:tc>
        <w:tc>
          <w:tcPr>
            <w:tcW w:w="1620" w:type="dxa"/>
            <w:hideMark/>
          </w:tcPr>
          <w:p w14:paraId="79105D76"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4.02 (1.30)</w:t>
            </w:r>
          </w:p>
        </w:tc>
        <w:tc>
          <w:tcPr>
            <w:tcW w:w="1440" w:type="dxa"/>
            <w:hideMark/>
          </w:tcPr>
          <w:p w14:paraId="03DE7DFE"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6.71 (0.43)</w:t>
            </w:r>
          </w:p>
        </w:tc>
        <w:tc>
          <w:tcPr>
            <w:tcW w:w="1350" w:type="dxa"/>
            <w:hideMark/>
          </w:tcPr>
          <w:p w14:paraId="09943226"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5.19 (1.29)</w:t>
            </w:r>
          </w:p>
        </w:tc>
      </w:tr>
      <w:tr w:rsidR="002F72C4" w:rsidRPr="002F72C4" w14:paraId="281BB0A8" w14:textId="77777777" w:rsidTr="00222258">
        <w:tc>
          <w:tcPr>
            <w:tcW w:w="1620" w:type="dxa"/>
            <w:hideMark/>
          </w:tcPr>
          <w:p w14:paraId="674337C0"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41-65</w:t>
            </w:r>
          </w:p>
        </w:tc>
        <w:tc>
          <w:tcPr>
            <w:tcW w:w="450" w:type="dxa"/>
            <w:hideMark/>
          </w:tcPr>
          <w:p w14:paraId="18BEA9F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39</w:t>
            </w:r>
          </w:p>
        </w:tc>
        <w:tc>
          <w:tcPr>
            <w:tcW w:w="1620" w:type="dxa"/>
            <w:hideMark/>
          </w:tcPr>
          <w:p w14:paraId="658AAA0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4.59 (1.38)</w:t>
            </w:r>
          </w:p>
        </w:tc>
        <w:tc>
          <w:tcPr>
            <w:tcW w:w="1350" w:type="dxa"/>
            <w:hideMark/>
          </w:tcPr>
          <w:p w14:paraId="13A9340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5.39 (1.35)</w:t>
            </w:r>
          </w:p>
        </w:tc>
        <w:tc>
          <w:tcPr>
            <w:tcW w:w="1620" w:type="dxa"/>
            <w:hideMark/>
          </w:tcPr>
          <w:p w14:paraId="5D3D721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4.46 (0.83)</w:t>
            </w:r>
          </w:p>
        </w:tc>
        <w:tc>
          <w:tcPr>
            <w:tcW w:w="1440" w:type="dxa"/>
            <w:hideMark/>
          </w:tcPr>
          <w:p w14:paraId="194FBB9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6.58 (0.68)</w:t>
            </w:r>
          </w:p>
        </w:tc>
        <w:tc>
          <w:tcPr>
            <w:tcW w:w="1350" w:type="dxa"/>
            <w:hideMark/>
          </w:tcPr>
          <w:p w14:paraId="22DD8A9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5.49 (1.07)</w:t>
            </w:r>
          </w:p>
        </w:tc>
      </w:tr>
      <w:tr w:rsidR="002F72C4" w:rsidRPr="002F72C4" w14:paraId="235D89C6" w14:textId="77777777" w:rsidTr="00222258">
        <w:tc>
          <w:tcPr>
            <w:tcW w:w="1620" w:type="dxa"/>
            <w:hideMark/>
          </w:tcPr>
          <w:p w14:paraId="4954EE07"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&gt;65</w:t>
            </w:r>
          </w:p>
        </w:tc>
        <w:tc>
          <w:tcPr>
            <w:tcW w:w="450" w:type="dxa"/>
            <w:hideMark/>
          </w:tcPr>
          <w:p w14:paraId="5A3C69F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1620" w:type="dxa"/>
            <w:hideMark/>
          </w:tcPr>
          <w:p w14:paraId="5AB935D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4.67(1.80)</w:t>
            </w:r>
          </w:p>
        </w:tc>
        <w:tc>
          <w:tcPr>
            <w:tcW w:w="1350" w:type="dxa"/>
            <w:hideMark/>
          </w:tcPr>
          <w:p w14:paraId="0E544E0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4.97(1.55)</w:t>
            </w:r>
          </w:p>
        </w:tc>
        <w:tc>
          <w:tcPr>
            <w:tcW w:w="1620" w:type="dxa"/>
            <w:hideMark/>
          </w:tcPr>
          <w:p w14:paraId="53424E3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4.42(1.22)</w:t>
            </w:r>
          </w:p>
        </w:tc>
        <w:tc>
          <w:tcPr>
            <w:tcW w:w="1440" w:type="dxa"/>
            <w:hideMark/>
          </w:tcPr>
          <w:p w14:paraId="31BF6E7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6.63(0.63)</w:t>
            </w:r>
          </w:p>
        </w:tc>
        <w:tc>
          <w:tcPr>
            <w:tcW w:w="1350" w:type="dxa"/>
            <w:hideMark/>
          </w:tcPr>
          <w:p w14:paraId="17FEC1C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5.19(0.92)</w:t>
            </w:r>
          </w:p>
        </w:tc>
      </w:tr>
      <w:tr w:rsidR="002F72C4" w:rsidRPr="002F72C4" w14:paraId="6B54C975" w14:textId="77777777" w:rsidTr="00222258">
        <w:tc>
          <w:tcPr>
            <w:tcW w:w="1620" w:type="dxa"/>
            <w:hideMark/>
          </w:tcPr>
          <w:p w14:paraId="567B4287" w14:textId="14336954" w:rsidR="003165E5" w:rsidRPr="002F72C4" w:rsidRDefault="00DC721E"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w:t>
            </w:r>
            <w:r w:rsidR="003165E5" w:rsidRPr="002F72C4">
              <w:rPr>
                <w:rFonts w:ascii="Times New Roman" w:hAnsi="Times New Roman"/>
                <w:color w:val="000000" w:themeColor="text1"/>
                <w:sz w:val="24"/>
                <w:szCs w:val="24"/>
              </w:rPr>
              <w:t>-value</w:t>
            </w:r>
          </w:p>
        </w:tc>
        <w:tc>
          <w:tcPr>
            <w:tcW w:w="450" w:type="dxa"/>
          </w:tcPr>
          <w:p w14:paraId="51B40777" w14:textId="77777777" w:rsidR="003165E5" w:rsidRPr="002F72C4" w:rsidRDefault="003165E5" w:rsidP="002B1E47">
            <w:pPr>
              <w:spacing w:line="240" w:lineRule="auto"/>
              <w:jc w:val="both"/>
              <w:rPr>
                <w:rFonts w:ascii="Times New Roman" w:hAnsi="Times New Roman"/>
                <w:b/>
                <w:color w:val="000000" w:themeColor="text1"/>
                <w:sz w:val="24"/>
                <w:szCs w:val="24"/>
              </w:rPr>
            </w:pPr>
          </w:p>
        </w:tc>
        <w:tc>
          <w:tcPr>
            <w:tcW w:w="1620" w:type="dxa"/>
            <w:hideMark/>
          </w:tcPr>
          <w:p w14:paraId="028F329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p= 0.716</w:t>
            </w:r>
          </w:p>
        </w:tc>
        <w:tc>
          <w:tcPr>
            <w:tcW w:w="1350" w:type="dxa"/>
            <w:hideMark/>
          </w:tcPr>
          <w:p w14:paraId="4A94232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p=0.922</w:t>
            </w:r>
          </w:p>
        </w:tc>
        <w:tc>
          <w:tcPr>
            <w:tcW w:w="1620" w:type="dxa"/>
            <w:hideMark/>
          </w:tcPr>
          <w:p w14:paraId="301511F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p=0.439</w:t>
            </w:r>
          </w:p>
        </w:tc>
        <w:tc>
          <w:tcPr>
            <w:tcW w:w="1440" w:type="dxa"/>
            <w:hideMark/>
          </w:tcPr>
          <w:p w14:paraId="335E30AE"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p=0.805</w:t>
            </w:r>
          </w:p>
        </w:tc>
        <w:tc>
          <w:tcPr>
            <w:tcW w:w="1350" w:type="dxa"/>
            <w:hideMark/>
          </w:tcPr>
          <w:p w14:paraId="3F7E4CCA"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p=0.630</w:t>
            </w:r>
          </w:p>
        </w:tc>
      </w:tr>
      <w:tr w:rsidR="002F72C4" w:rsidRPr="002F72C4" w14:paraId="7F1028DB" w14:textId="77777777" w:rsidTr="00222258">
        <w:tc>
          <w:tcPr>
            <w:tcW w:w="1620" w:type="dxa"/>
            <w:hideMark/>
          </w:tcPr>
          <w:p w14:paraId="2EC172C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b/>
                <w:color w:val="000000" w:themeColor="text1"/>
                <w:sz w:val="24"/>
                <w:szCs w:val="24"/>
              </w:rPr>
              <w:t>Gender</w:t>
            </w:r>
          </w:p>
        </w:tc>
        <w:tc>
          <w:tcPr>
            <w:tcW w:w="450" w:type="dxa"/>
          </w:tcPr>
          <w:p w14:paraId="4E5E38DA"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0FB7F23E"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1ED4EF58"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69EECCFF"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440" w:type="dxa"/>
          </w:tcPr>
          <w:p w14:paraId="093B3E2A"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40CC7779" w14:textId="77777777" w:rsidR="003165E5" w:rsidRPr="002F72C4" w:rsidRDefault="003165E5" w:rsidP="002B1E47">
            <w:pPr>
              <w:spacing w:line="240" w:lineRule="auto"/>
              <w:jc w:val="both"/>
              <w:rPr>
                <w:rFonts w:ascii="Times New Roman" w:hAnsi="Times New Roman"/>
                <w:color w:val="000000" w:themeColor="text1"/>
                <w:sz w:val="24"/>
                <w:szCs w:val="24"/>
              </w:rPr>
            </w:pPr>
          </w:p>
        </w:tc>
      </w:tr>
      <w:tr w:rsidR="002F72C4" w:rsidRPr="002F72C4" w14:paraId="12E66454" w14:textId="77777777" w:rsidTr="00222258">
        <w:tc>
          <w:tcPr>
            <w:tcW w:w="1620" w:type="dxa"/>
            <w:hideMark/>
          </w:tcPr>
          <w:p w14:paraId="29FC59D6"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Male</w:t>
            </w:r>
          </w:p>
        </w:tc>
        <w:tc>
          <w:tcPr>
            <w:tcW w:w="450" w:type="dxa"/>
            <w:hideMark/>
          </w:tcPr>
          <w:p w14:paraId="510F3F6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56</w:t>
            </w:r>
          </w:p>
        </w:tc>
        <w:tc>
          <w:tcPr>
            <w:tcW w:w="1620" w:type="dxa"/>
            <w:hideMark/>
          </w:tcPr>
          <w:p w14:paraId="50FF67D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4.67 (1.27)</w:t>
            </w:r>
          </w:p>
        </w:tc>
        <w:tc>
          <w:tcPr>
            <w:tcW w:w="1350" w:type="dxa"/>
            <w:hideMark/>
          </w:tcPr>
          <w:p w14:paraId="7140A49C"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5.26 (1.23)</w:t>
            </w:r>
          </w:p>
        </w:tc>
        <w:tc>
          <w:tcPr>
            <w:tcW w:w="1620" w:type="dxa"/>
            <w:hideMark/>
          </w:tcPr>
          <w:p w14:paraId="57F7E34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4.25 (1.15)</w:t>
            </w:r>
          </w:p>
        </w:tc>
        <w:tc>
          <w:tcPr>
            <w:tcW w:w="1440" w:type="dxa"/>
            <w:hideMark/>
          </w:tcPr>
          <w:p w14:paraId="5BD6857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6.70 (0.44)</w:t>
            </w:r>
          </w:p>
        </w:tc>
        <w:tc>
          <w:tcPr>
            <w:tcW w:w="1350" w:type="dxa"/>
            <w:hideMark/>
          </w:tcPr>
          <w:p w14:paraId="4FC9FC7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5.26 (1.14)</w:t>
            </w:r>
          </w:p>
        </w:tc>
      </w:tr>
      <w:tr w:rsidR="002F72C4" w:rsidRPr="002F72C4" w14:paraId="541E2C43" w14:textId="77777777" w:rsidTr="00222258">
        <w:tc>
          <w:tcPr>
            <w:tcW w:w="1620" w:type="dxa"/>
            <w:hideMark/>
          </w:tcPr>
          <w:p w14:paraId="2BA3A5DC"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Female</w:t>
            </w:r>
          </w:p>
        </w:tc>
        <w:tc>
          <w:tcPr>
            <w:tcW w:w="450" w:type="dxa"/>
            <w:hideMark/>
          </w:tcPr>
          <w:p w14:paraId="401EBD5E"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24</w:t>
            </w:r>
          </w:p>
        </w:tc>
        <w:tc>
          <w:tcPr>
            <w:tcW w:w="1620" w:type="dxa"/>
            <w:hideMark/>
          </w:tcPr>
          <w:p w14:paraId="76538DD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4.55(1.60)</w:t>
            </w:r>
          </w:p>
        </w:tc>
        <w:tc>
          <w:tcPr>
            <w:tcW w:w="1350" w:type="dxa"/>
            <w:hideMark/>
          </w:tcPr>
          <w:p w14:paraId="7E74A6D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5.48(1.69)</w:t>
            </w:r>
          </w:p>
        </w:tc>
        <w:tc>
          <w:tcPr>
            <w:tcW w:w="1620" w:type="dxa"/>
            <w:hideMark/>
          </w:tcPr>
          <w:p w14:paraId="5C31D2E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4.38(1.05)</w:t>
            </w:r>
          </w:p>
        </w:tc>
        <w:tc>
          <w:tcPr>
            <w:tcW w:w="1440" w:type="dxa"/>
            <w:hideMark/>
          </w:tcPr>
          <w:p w14:paraId="7E74124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6.43(0.84)</w:t>
            </w:r>
          </w:p>
        </w:tc>
        <w:tc>
          <w:tcPr>
            <w:tcW w:w="1350" w:type="dxa"/>
            <w:hideMark/>
          </w:tcPr>
          <w:p w14:paraId="45EDF00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5.63(1.08)</w:t>
            </w:r>
          </w:p>
        </w:tc>
      </w:tr>
      <w:tr w:rsidR="002F72C4" w:rsidRPr="002F72C4" w14:paraId="27E1BC1A" w14:textId="77777777" w:rsidTr="00222258">
        <w:tc>
          <w:tcPr>
            <w:tcW w:w="1620" w:type="dxa"/>
            <w:hideMark/>
          </w:tcPr>
          <w:p w14:paraId="2494D983" w14:textId="3F141713" w:rsidR="003165E5" w:rsidRPr="002F72C4" w:rsidRDefault="00DC721E"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w:t>
            </w:r>
            <w:r w:rsidR="003165E5" w:rsidRPr="002F72C4">
              <w:rPr>
                <w:rFonts w:ascii="Times New Roman" w:hAnsi="Times New Roman"/>
                <w:color w:val="000000" w:themeColor="text1"/>
                <w:sz w:val="24"/>
                <w:szCs w:val="24"/>
              </w:rPr>
              <w:t>-value</w:t>
            </w:r>
          </w:p>
        </w:tc>
        <w:tc>
          <w:tcPr>
            <w:tcW w:w="450" w:type="dxa"/>
          </w:tcPr>
          <w:p w14:paraId="7D6941E4"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hideMark/>
          </w:tcPr>
          <w:p w14:paraId="4A11B6B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p=0.712</w:t>
            </w:r>
          </w:p>
        </w:tc>
        <w:tc>
          <w:tcPr>
            <w:tcW w:w="1350" w:type="dxa"/>
            <w:hideMark/>
          </w:tcPr>
          <w:p w14:paraId="249BAA7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p=0.512</w:t>
            </w:r>
          </w:p>
        </w:tc>
        <w:tc>
          <w:tcPr>
            <w:tcW w:w="1620" w:type="dxa"/>
            <w:hideMark/>
          </w:tcPr>
          <w:p w14:paraId="02E6F66A"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p=0.636</w:t>
            </w:r>
          </w:p>
        </w:tc>
        <w:tc>
          <w:tcPr>
            <w:tcW w:w="1440" w:type="dxa"/>
            <w:hideMark/>
          </w:tcPr>
          <w:p w14:paraId="718804EA"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p=0.051</w:t>
            </w:r>
          </w:p>
        </w:tc>
        <w:tc>
          <w:tcPr>
            <w:tcW w:w="1350" w:type="dxa"/>
            <w:hideMark/>
          </w:tcPr>
          <w:p w14:paraId="0A317EF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p=0.191</w:t>
            </w:r>
          </w:p>
        </w:tc>
      </w:tr>
      <w:tr w:rsidR="002F72C4" w:rsidRPr="002F72C4" w14:paraId="136F04A4" w14:textId="77777777" w:rsidTr="00222258">
        <w:tc>
          <w:tcPr>
            <w:tcW w:w="1620" w:type="dxa"/>
            <w:hideMark/>
          </w:tcPr>
          <w:p w14:paraId="19FA058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b/>
                <w:color w:val="000000" w:themeColor="text1"/>
                <w:sz w:val="24"/>
                <w:szCs w:val="24"/>
              </w:rPr>
              <w:t>Education</w:t>
            </w:r>
          </w:p>
        </w:tc>
        <w:tc>
          <w:tcPr>
            <w:tcW w:w="450" w:type="dxa"/>
          </w:tcPr>
          <w:p w14:paraId="27B26B27"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02C5749D"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6C175C69"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57411CE2"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440" w:type="dxa"/>
          </w:tcPr>
          <w:p w14:paraId="77FDFADE"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658DFEA6" w14:textId="77777777" w:rsidR="003165E5" w:rsidRPr="002F72C4" w:rsidRDefault="003165E5" w:rsidP="002B1E47">
            <w:pPr>
              <w:spacing w:line="240" w:lineRule="auto"/>
              <w:jc w:val="both"/>
              <w:rPr>
                <w:rFonts w:ascii="Times New Roman" w:hAnsi="Times New Roman"/>
                <w:color w:val="000000" w:themeColor="text1"/>
                <w:sz w:val="24"/>
                <w:szCs w:val="24"/>
              </w:rPr>
            </w:pPr>
          </w:p>
        </w:tc>
      </w:tr>
      <w:tr w:rsidR="002F72C4" w:rsidRPr="002F72C4" w14:paraId="0C9BEF91" w14:textId="77777777" w:rsidTr="00222258">
        <w:tc>
          <w:tcPr>
            <w:tcW w:w="1620" w:type="dxa"/>
            <w:hideMark/>
          </w:tcPr>
          <w:p w14:paraId="2511D55B"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Primary</w:t>
            </w:r>
          </w:p>
        </w:tc>
        <w:tc>
          <w:tcPr>
            <w:tcW w:w="450" w:type="dxa"/>
            <w:hideMark/>
          </w:tcPr>
          <w:p w14:paraId="3832CC5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w:t>
            </w:r>
          </w:p>
        </w:tc>
        <w:tc>
          <w:tcPr>
            <w:tcW w:w="1620" w:type="dxa"/>
            <w:hideMark/>
          </w:tcPr>
          <w:p w14:paraId="0FD6F07E"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3.97 (1.19)</w:t>
            </w:r>
          </w:p>
        </w:tc>
        <w:tc>
          <w:tcPr>
            <w:tcW w:w="1350" w:type="dxa"/>
            <w:hideMark/>
          </w:tcPr>
          <w:p w14:paraId="43D4CA0B"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4.60 (1.99)</w:t>
            </w:r>
          </w:p>
        </w:tc>
        <w:tc>
          <w:tcPr>
            <w:tcW w:w="1620" w:type="dxa"/>
            <w:hideMark/>
          </w:tcPr>
          <w:p w14:paraId="5557F1A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4.29 (1.05)</w:t>
            </w:r>
          </w:p>
        </w:tc>
        <w:tc>
          <w:tcPr>
            <w:tcW w:w="1440" w:type="dxa"/>
            <w:hideMark/>
          </w:tcPr>
          <w:p w14:paraId="29DE252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6.25 (0.95)</w:t>
            </w:r>
          </w:p>
        </w:tc>
        <w:tc>
          <w:tcPr>
            <w:tcW w:w="1350" w:type="dxa"/>
            <w:hideMark/>
          </w:tcPr>
          <w:p w14:paraId="4A4322D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4.94 (0.59)</w:t>
            </w:r>
          </w:p>
        </w:tc>
      </w:tr>
      <w:tr w:rsidR="002F72C4" w:rsidRPr="002F72C4" w14:paraId="323EBF3A" w14:textId="77777777" w:rsidTr="00222258">
        <w:tc>
          <w:tcPr>
            <w:tcW w:w="1620" w:type="dxa"/>
            <w:hideMark/>
          </w:tcPr>
          <w:p w14:paraId="55424B44"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Secondary</w:t>
            </w:r>
          </w:p>
        </w:tc>
        <w:tc>
          <w:tcPr>
            <w:tcW w:w="450" w:type="dxa"/>
            <w:hideMark/>
          </w:tcPr>
          <w:p w14:paraId="6B4E556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40</w:t>
            </w:r>
          </w:p>
        </w:tc>
        <w:tc>
          <w:tcPr>
            <w:tcW w:w="1620" w:type="dxa"/>
            <w:hideMark/>
          </w:tcPr>
          <w:p w14:paraId="372E56BC"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4.74 (1.32)</w:t>
            </w:r>
          </w:p>
        </w:tc>
        <w:tc>
          <w:tcPr>
            <w:tcW w:w="1350" w:type="dxa"/>
            <w:hideMark/>
          </w:tcPr>
          <w:p w14:paraId="07C244B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5.37 (1.34)</w:t>
            </w:r>
          </w:p>
        </w:tc>
        <w:tc>
          <w:tcPr>
            <w:tcW w:w="1620" w:type="dxa"/>
            <w:hideMark/>
          </w:tcPr>
          <w:p w14:paraId="42D3C35A"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4.43 (1.04)</w:t>
            </w:r>
          </w:p>
        </w:tc>
        <w:tc>
          <w:tcPr>
            <w:tcW w:w="1440" w:type="dxa"/>
            <w:hideMark/>
          </w:tcPr>
          <w:p w14:paraId="50FA327B"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6.73 (0.46)</w:t>
            </w:r>
          </w:p>
        </w:tc>
        <w:tc>
          <w:tcPr>
            <w:tcW w:w="1350" w:type="dxa"/>
            <w:hideMark/>
          </w:tcPr>
          <w:p w14:paraId="296F69E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5.57 (1.00)</w:t>
            </w:r>
          </w:p>
        </w:tc>
      </w:tr>
      <w:tr w:rsidR="002F72C4" w:rsidRPr="002F72C4" w14:paraId="235A45A3" w14:textId="77777777" w:rsidTr="00222258">
        <w:tc>
          <w:tcPr>
            <w:tcW w:w="1620" w:type="dxa"/>
            <w:hideMark/>
          </w:tcPr>
          <w:p w14:paraId="2C3AD4A9"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Tertiary</w:t>
            </w:r>
          </w:p>
        </w:tc>
        <w:tc>
          <w:tcPr>
            <w:tcW w:w="450" w:type="dxa"/>
            <w:hideMark/>
          </w:tcPr>
          <w:p w14:paraId="67FD20E6"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34</w:t>
            </w:r>
          </w:p>
        </w:tc>
        <w:tc>
          <w:tcPr>
            <w:tcW w:w="1620" w:type="dxa"/>
            <w:hideMark/>
          </w:tcPr>
          <w:p w14:paraId="74E3F8A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4.63(1.45)</w:t>
            </w:r>
          </w:p>
        </w:tc>
        <w:tc>
          <w:tcPr>
            <w:tcW w:w="1350" w:type="dxa"/>
            <w:hideMark/>
          </w:tcPr>
          <w:p w14:paraId="68C754D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5.41(1.31)</w:t>
            </w:r>
          </w:p>
        </w:tc>
        <w:tc>
          <w:tcPr>
            <w:tcW w:w="1620" w:type="dxa"/>
            <w:hideMark/>
          </w:tcPr>
          <w:p w14:paraId="420DC5A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4.11(1.20)</w:t>
            </w:r>
          </w:p>
        </w:tc>
        <w:tc>
          <w:tcPr>
            <w:tcW w:w="1440" w:type="dxa"/>
            <w:hideMark/>
          </w:tcPr>
          <w:p w14:paraId="25641E1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6.63(0.65)</w:t>
            </w:r>
          </w:p>
        </w:tc>
        <w:tc>
          <w:tcPr>
            <w:tcW w:w="1350" w:type="dxa"/>
            <w:hideMark/>
          </w:tcPr>
          <w:p w14:paraId="0CE409D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5.22(1.29)</w:t>
            </w:r>
          </w:p>
        </w:tc>
      </w:tr>
      <w:tr w:rsidR="002F72C4" w:rsidRPr="002F72C4" w14:paraId="6F864765" w14:textId="77777777" w:rsidTr="00222258">
        <w:tc>
          <w:tcPr>
            <w:tcW w:w="1620" w:type="dxa"/>
            <w:hideMark/>
          </w:tcPr>
          <w:p w14:paraId="592E5175" w14:textId="07BB9ED9" w:rsidR="003165E5" w:rsidRPr="002F72C4" w:rsidRDefault="00DC721E"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w:t>
            </w:r>
            <w:r w:rsidR="003165E5" w:rsidRPr="002F72C4">
              <w:rPr>
                <w:rFonts w:ascii="Times New Roman" w:hAnsi="Times New Roman"/>
                <w:color w:val="000000" w:themeColor="text1"/>
                <w:sz w:val="24"/>
                <w:szCs w:val="24"/>
              </w:rPr>
              <w:t>-value</w:t>
            </w:r>
          </w:p>
        </w:tc>
        <w:tc>
          <w:tcPr>
            <w:tcW w:w="450" w:type="dxa"/>
          </w:tcPr>
          <w:p w14:paraId="60F7EE23"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hideMark/>
          </w:tcPr>
          <w:p w14:paraId="22779F7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p=0.445</w:t>
            </w:r>
          </w:p>
        </w:tc>
        <w:tc>
          <w:tcPr>
            <w:tcW w:w="1350" w:type="dxa"/>
            <w:hideMark/>
          </w:tcPr>
          <w:p w14:paraId="622E520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p=0.406</w:t>
            </w:r>
          </w:p>
        </w:tc>
        <w:tc>
          <w:tcPr>
            <w:tcW w:w="1620" w:type="dxa"/>
            <w:hideMark/>
          </w:tcPr>
          <w:p w14:paraId="260DCBA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p=0.471</w:t>
            </w:r>
          </w:p>
        </w:tc>
        <w:tc>
          <w:tcPr>
            <w:tcW w:w="1440" w:type="dxa"/>
            <w:hideMark/>
          </w:tcPr>
          <w:p w14:paraId="7A4AC23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p=0.151</w:t>
            </w:r>
          </w:p>
        </w:tc>
        <w:tc>
          <w:tcPr>
            <w:tcW w:w="1350" w:type="dxa"/>
            <w:hideMark/>
          </w:tcPr>
          <w:p w14:paraId="2108F406"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p=0.252</w:t>
            </w:r>
          </w:p>
        </w:tc>
      </w:tr>
      <w:tr w:rsidR="002F72C4" w:rsidRPr="002F72C4" w14:paraId="7C11FCCC" w14:textId="77777777" w:rsidTr="00222258">
        <w:tc>
          <w:tcPr>
            <w:tcW w:w="1620" w:type="dxa"/>
            <w:hideMark/>
          </w:tcPr>
          <w:p w14:paraId="0D6DD6E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b/>
                <w:color w:val="000000" w:themeColor="text1"/>
                <w:sz w:val="24"/>
                <w:szCs w:val="24"/>
              </w:rPr>
              <w:t>Marital status</w:t>
            </w:r>
          </w:p>
        </w:tc>
        <w:tc>
          <w:tcPr>
            <w:tcW w:w="450" w:type="dxa"/>
          </w:tcPr>
          <w:p w14:paraId="49D9C391"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42306A3E"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56689AD3"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06086361"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440" w:type="dxa"/>
          </w:tcPr>
          <w:p w14:paraId="0AD921BC"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46EFE431" w14:textId="77777777" w:rsidR="003165E5" w:rsidRPr="002F72C4" w:rsidRDefault="003165E5" w:rsidP="002B1E47">
            <w:pPr>
              <w:spacing w:line="240" w:lineRule="auto"/>
              <w:jc w:val="both"/>
              <w:rPr>
                <w:rFonts w:ascii="Times New Roman" w:hAnsi="Times New Roman"/>
                <w:color w:val="000000" w:themeColor="text1"/>
                <w:sz w:val="24"/>
                <w:szCs w:val="24"/>
              </w:rPr>
            </w:pPr>
          </w:p>
        </w:tc>
      </w:tr>
      <w:tr w:rsidR="002F72C4" w:rsidRPr="002F72C4" w14:paraId="4154C46C" w14:textId="77777777" w:rsidTr="00222258">
        <w:tc>
          <w:tcPr>
            <w:tcW w:w="1620" w:type="dxa"/>
            <w:hideMark/>
          </w:tcPr>
          <w:p w14:paraId="591C0582"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Married</w:t>
            </w:r>
          </w:p>
        </w:tc>
        <w:tc>
          <w:tcPr>
            <w:tcW w:w="450" w:type="dxa"/>
            <w:hideMark/>
          </w:tcPr>
          <w:p w14:paraId="230C3F8B"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64</w:t>
            </w:r>
          </w:p>
        </w:tc>
        <w:tc>
          <w:tcPr>
            <w:tcW w:w="1620" w:type="dxa"/>
            <w:hideMark/>
          </w:tcPr>
          <w:p w14:paraId="27EE7FE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4.55 (1.40)</w:t>
            </w:r>
          </w:p>
        </w:tc>
        <w:tc>
          <w:tcPr>
            <w:tcW w:w="1350" w:type="dxa"/>
            <w:hideMark/>
          </w:tcPr>
          <w:p w14:paraId="03ACA00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5.29 (1.46)</w:t>
            </w:r>
          </w:p>
        </w:tc>
        <w:tc>
          <w:tcPr>
            <w:tcW w:w="1620" w:type="dxa"/>
            <w:hideMark/>
          </w:tcPr>
          <w:p w14:paraId="1084C6E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4.31 (1.10)</w:t>
            </w:r>
          </w:p>
        </w:tc>
        <w:tc>
          <w:tcPr>
            <w:tcW w:w="1440" w:type="dxa"/>
            <w:hideMark/>
          </w:tcPr>
          <w:p w14:paraId="50CE430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6.61 (0.60)</w:t>
            </w:r>
          </w:p>
        </w:tc>
        <w:tc>
          <w:tcPr>
            <w:tcW w:w="1350" w:type="dxa"/>
            <w:hideMark/>
          </w:tcPr>
          <w:p w14:paraId="13EE8AF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5.39 (1.18)</w:t>
            </w:r>
          </w:p>
        </w:tc>
      </w:tr>
      <w:tr w:rsidR="002F72C4" w:rsidRPr="002F72C4" w14:paraId="1EA4707C" w14:textId="77777777" w:rsidTr="00222258">
        <w:tc>
          <w:tcPr>
            <w:tcW w:w="1620" w:type="dxa"/>
            <w:hideMark/>
          </w:tcPr>
          <w:p w14:paraId="6C0035A7"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Single</w:t>
            </w:r>
          </w:p>
        </w:tc>
        <w:tc>
          <w:tcPr>
            <w:tcW w:w="450" w:type="dxa"/>
            <w:hideMark/>
          </w:tcPr>
          <w:p w14:paraId="5F17406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16</w:t>
            </w:r>
          </w:p>
        </w:tc>
        <w:tc>
          <w:tcPr>
            <w:tcW w:w="1620" w:type="dxa"/>
            <w:hideMark/>
          </w:tcPr>
          <w:p w14:paraId="1A0D94B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4.96(1.22)</w:t>
            </w:r>
          </w:p>
        </w:tc>
        <w:tc>
          <w:tcPr>
            <w:tcW w:w="1350" w:type="dxa"/>
            <w:hideMark/>
          </w:tcPr>
          <w:p w14:paraId="160E20C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5.47(1.03)</w:t>
            </w:r>
          </w:p>
        </w:tc>
        <w:tc>
          <w:tcPr>
            <w:tcW w:w="1620" w:type="dxa"/>
            <w:hideMark/>
          </w:tcPr>
          <w:p w14:paraId="370BF09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4.17(1.20)</w:t>
            </w:r>
          </w:p>
        </w:tc>
        <w:tc>
          <w:tcPr>
            <w:tcW w:w="1440" w:type="dxa"/>
            <w:hideMark/>
          </w:tcPr>
          <w:p w14:paraId="6018E40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6.66(0.60)</w:t>
            </w:r>
          </w:p>
        </w:tc>
        <w:tc>
          <w:tcPr>
            <w:tcW w:w="1350" w:type="dxa"/>
            <w:hideMark/>
          </w:tcPr>
          <w:p w14:paraId="35F1F72E"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5.31(0.91)</w:t>
            </w:r>
          </w:p>
        </w:tc>
      </w:tr>
      <w:tr w:rsidR="002F72C4" w:rsidRPr="002F72C4" w14:paraId="4B269090" w14:textId="77777777" w:rsidTr="00222258">
        <w:tc>
          <w:tcPr>
            <w:tcW w:w="1620" w:type="dxa"/>
            <w:hideMark/>
          </w:tcPr>
          <w:p w14:paraId="257C178B" w14:textId="243E8530" w:rsidR="003165E5" w:rsidRPr="002F72C4" w:rsidRDefault="00DC721E"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w:t>
            </w:r>
            <w:r w:rsidR="003165E5" w:rsidRPr="002F72C4">
              <w:rPr>
                <w:rFonts w:ascii="Times New Roman" w:hAnsi="Times New Roman"/>
                <w:color w:val="000000" w:themeColor="text1"/>
                <w:sz w:val="24"/>
                <w:szCs w:val="24"/>
              </w:rPr>
              <w:t>value</w:t>
            </w:r>
          </w:p>
        </w:tc>
        <w:tc>
          <w:tcPr>
            <w:tcW w:w="450" w:type="dxa"/>
          </w:tcPr>
          <w:p w14:paraId="24A008D0"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hideMark/>
          </w:tcPr>
          <w:p w14:paraId="2A7EDAD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p=0.293</w:t>
            </w:r>
          </w:p>
        </w:tc>
        <w:tc>
          <w:tcPr>
            <w:tcW w:w="1350" w:type="dxa"/>
            <w:hideMark/>
          </w:tcPr>
          <w:p w14:paraId="5F9D7A2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p=0.635</w:t>
            </w:r>
          </w:p>
        </w:tc>
        <w:tc>
          <w:tcPr>
            <w:tcW w:w="1620" w:type="dxa"/>
            <w:hideMark/>
          </w:tcPr>
          <w:p w14:paraId="376468DC"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p=0.654</w:t>
            </w:r>
          </w:p>
        </w:tc>
        <w:tc>
          <w:tcPr>
            <w:tcW w:w="1440" w:type="dxa"/>
            <w:hideMark/>
          </w:tcPr>
          <w:p w14:paraId="2217A45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p=0.816</w:t>
            </w:r>
          </w:p>
        </w:tc>
        <w:tc>
          <w:tcPr>
            <w:tcW w:w="1350" w:type="dxa"/>
            <w:hideMark/>
          </w:tcPr>
          <w:p w14:paraId="0007ED4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p=0.812</w:t>
            </w:r>
          </w:p>
        </w:tc>
      </w:tr>
      <w:tr w:rsidR="002F72C4" w:rsidRPr="002F72C4" w14:paraId="0EB6EE2B" w14:textId="77777777" w:rsidTr="00222258">
        <w:tc>
          <w:tcPr>
            <w:tcW w:w="1620" w:type="dxa"/>
            <w:hideMark/>
          </w:tcPr>
          <w:p w14:paraId="2184C10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b/>
                <w:color w:val="000000" w:themeColor="text1"/>
                <w:sz w:val="24"/>
                <w:szCs w:val="24"/>
              </w:rPr>
              <w:t>Employment</w:t>
            </w:r>
          </w:p>
        </w:tc>
        <w:tc>
          <w:tcPr>
            <w:tcW w:w="450" w:type="dxa"/>
          </w:tcPr>
          <w:p w14:paraId="7CECF88F"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2A0884CE"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23DB9A3F"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Pr>
          <w:p w14:paraId="3AB91A56"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440" w:type="dxa"/>
          </w:tcPr>
          <w:p w14:paraId="6A34189A"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350" w:type="dxa"/>
          </w:tcPr>
          <w:p w14:paraId="6BA0B119" w14:textId="77777777" w:rsidR="003165E5" w:rsidRPr="002F72C4" w:rsidRDefault="003165E5" w:rsidP="002B1E47">
            <w:pPr>
              <w:spacing w:line="240" w:lineRule="auto"/>
              <w:jc w:val="both"/>
              <w:rPr>
                <w:rFonts w:ascii="Times New Roman" w:hAnsi="Times New Roman"/>
                <w:color w:val="000000" w:themeColor="text1"/>
                <w:sz w:val="24"/>
                <w:szCs w:val="24"/>
              </w:rPr>
            </w:pPr>
          </w:p>
        </w:tc>
      </w:tr>
      <w:tr w:rsidR="002F72C4" w:rsidRPr="002F72C4" w14:paraId="5104101A" w14:textId="77777777" w:rsidTr="00222258">
        <w:tc>
          <w:tcPr>
            <w:tcW w:w="1620" w:type="dxa"/>
            <w:hideMark/>
          </w:tcPr>
          <w:p w14:paraId="1ADB9242"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Employed</w:t>
            </w:r>
          </w:p>
        </w:tc>
        <w:tc>
          <w:tcPr>
            <w:tcW w:w="450" w:type="dxa"/>
            <w:hideMark/>
          </w:tcPr>
          <w:p w14:paraId="7486AF0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36</w:t>
            </w:r>
          </w:p>
        </w:tc>
        <w:tc>
          <w:tcPr>
            <w:tcW w:w="1620" w:type="dxa"/>
            <w:hideMark/>
          </w:tcPr>
          <w:p w14:paraId="6DF4F96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4.73 (1.30)</w:t>
            </w:r>
          </w:p>
        </w:tc>
        <w:tc>
          <w:tcPr>
            <w:tcW w:w="1350" w:type="dxa"/>
            <w:hideMark/>
          </w:tcPr>
          <w:p w14:paraId="6A10D33C"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5.66 (1.28)</w:t>
            </w:r>
          </w:p>
        </w:tc>
        <w:tc>
          <w:tcPr>
            <w:tcW w:w="1620" w:type="dxa"/>
            <w:hideMark/>
          </w:tcPr>
          <w:p w14:paraId="22849784"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4.41 (1.10)</w:t>
            </w:r>
          </w:p>
        </w:tc>
        <w:tc>
          <w:tcPr>
            <w:tcW w:w="1440" w:type="dxa"/>
            <w:hideMark/>
          </w:tcPr>
          <w:p w14:paraId="53B559F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6.63 (0.57)</w:t>
            </w:r>
          </w:p>
        </w:tc>
        <w:tc>
          <w:tcPr>
            <w:tcW w:w="1350" w:type="dxa"/>
            <w:hideMark/>
          </w:tcPr>
          <w:p w14:paraId="6F48A58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5.38 (1.20)</w:t>
            </w:r>
          </w:p>
        </w:tc>
      </w:tr>
      <w:tr w:rsidR="002F72C4" w:rsidRPr="002F72C4" w14:paraId="02B8A6D1" w14:textId="77777777" w:rsidTr="00222258">
        <w:tc>
          <w:tcPr>
            <w:tcW w:w="1620" w:type="dxa"/>
            <w:hideMark/>
          </w:tcPr>
          <w:p w14:paraId="23EA9548"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lastRenderedPageBreak/>
              <w:t>Self-employed</w:t>
            </w:r>
          </w:p>
        </w:tc>
        <w:tc>
          <w:tcPr>
            <w:tcW w:w="450" w:type="dxa"/>
            <w:hideMark/>
          </w:tcPr>
          <w:p w14:paraId="796DAAD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22</w:t>
            </w:r>
          </w:p>
        </w:tc>
        <w:tc>
          <w:tcPr>
            <w:tcW w:w="1620" w:type="dxa"/>
            <w:hideMark/>
          </w:tcPr>
          <w:p w14:paraId="7F40097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4.78 (1.30)</w:t>
            </w:r>
          </w:p>
        </w:tc>
        <w:tc>
          <w:tcPr>
            <w:tcW w:w="1350" w:type="dxa"/>
            <w:hideMark/>
          </w:tcPr>
          <w:p w14:paraId="56B7205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5.34 (1.15)</w:t>
            </w:r>
          </w:p>
        </w:tc>
        <w:tc>
          <w:tcPr>
            <w:tcW w:w="1620" w:type="dxa"/>
            <w:hideMark/>
          </w:tcPr>
          <w:p w14:paraId="4A5FD5C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4.19 (0.97)</w:t>
            </w:r>
          </w:p>
        </w:tc>
        <w:tc>
          <w:tcPr>
            <w:tcW w:w="1440" w:type="dxa"/>
            <w:hideMark/>
          </w:tcPr>
          <w:p w14:paraId="599869DD"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6.58 (0.78)</w:t>
            </w:r>
          </w:p>
        </w:tc>
        <w:tc>
          <w:tcPr>
            <w:tcW w:w="1350" w:type="dxa"/>
            <w:hideMark/>
          </w:tcPr>
          <w:p w14:paraId="47221CD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5.34 (1.11)</w:t>
            </w:r>
          </w:p>
        </w:tc>
      </w:tr>
      <w:tr w:rsidR="002F72C4" w:rsidRPr="002F72C4" w14:paraId="4ABF53A8" w14:textId="77777777" w:rsidTr="00222258">
        <w:tc>
          <w:tcPr>
            <w:tcW w:w="1620" w:type="dxa"/>
            <w:hideMark/>
          </w:tcPr>
          <w:p w14:paraId="00E46371"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Unemployed</w:t>
            </w:r>
          </w:p>
        </w:tc>
        <w:tc>
          <w:tcPr>
            <w:tcW w:w="450" w:type="dxa"/>
            <w:hideMark/>
          </w:tcPr>
          <w:p w14:paraId="54C78C6A"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10</w:t>
            </w:r>
          </w:p>
        </w:tc>
        <w:tc>
          <w:tcPr>
            <w:tcW w:w="1620" w:type="dxa"/>
            <w:hideMark/>
          </w:tcPr>
          <w:p w14:paraId="0662AF5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4.07 (1.85)</w:t>
            </w:r>
          </w:p>
        </w:tc>
        <w:tc>
          <w:tcPr>
            <w:tcW w:w="1350" w:type="dxa"/>
            <w:hideMark/>
          </w:tcPr>
          <w:p w14:paraId="12ED9ED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4.76 (1.98)</w:t>
            </w:r>
          </w:p>
        </w:tc>
        <w:tc>
          <w:tcPr>
            <w:tcW w:w="1620" w:type="dxa"/>
            <w:hideMark/>
          </w:tcPr>
          <w:p w14:paraId="40F31F6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3.78 (1.69)</w:t>
            </w:r>
          </w:p>
        </w:tc>
        <w:tc>
          <w:tcPr>
            <w:tcW w:w="1440" w:type="dxa"/>
            <w:hideMark/>
          </w:tcPr>
          <w:p w14:paraId="4A07A973"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6.80 (0.31)</w:t>
            </w:r>
          </w:p>
        </w:tc>
        <w:tc>
          <w:tcPr>
            <w:tcW w:w="1350" w:type="dxa"/>
            <w:hideMark/>
          </w:tcPr>
          <w:p w14:paraId="22FC791F"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5.33 (1.20)</w:t>
            </w:r>
          </w:p>
        </w:tc>
      </w:tr>
      <w:tr w:rsidR="002F72C4" w:rsidRPr="002F72C4" w14:paraId="2B7FB578" w14:textId="77777777" w:rsidTr="00222258">
        <w:tc>
          <w:tcPr>
            <w:tcW w:w="1620" w:type="dxa"/>
            <w:hideMark/>
          </w:tcPr>
          <w:p w14:paraId="28F9331E"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Retired</w:t>
            </w:r>
          </w:p>
        </w:tc>
        <w:tc>
          <w:tcPr>
            <w:tcW w:w="450" w:type="dxa"/>
            <w:hideMark/>
          </w:tcPr>
          <w:p w14:paraId="7B2ACCA1"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12</w:t>
            </w:r>
          </w:p>
        </w:tc>
        <w:tc>
          <w:tcPr>
            <w:tcW w:w="1620" w:type="dxa"/>
            <w:hideMark/>
          </w:tcPr>
          <w:p w14:paraId="33F9285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4.57 (1.27)</w:t>
            </w:r>
          </w:p>
        </w:tc>
        <w:tc>
          <w:tcPr>
            <w:tcW w:w="1350" w:type="dxa"/>
            <w:hideMark/>
          </w:tcPr>
          <w:p w14:paraId="788C4739"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4.80 (1.34)</w:t>
            </w:r>
          </w:p>
        </w:tc>
        <w:tc>
          <w:tcPr>
            <w:tcW w:w="1620" w:type="dxa"/>
            <w:hideMark/>
          </w:tcPr>
          <w:p w14:paraId="38953E75"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4.50 (0.78)</w:t>
            </w:r>
          </w:p>
        </w:tc>
        <w:tc>
          <w:tcPr>
            <w:tcW w:w="1440" w:type="dxa"/>
            <w:hideMark/>
          </w:tcPr>
          <w:p w14:paraId="5089E5F2"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6.56 (0.49)</w:t>
            </w:r>
          </w:p>
        </w:tc>
        <w:tc>
          <w:tcPr>
            <w:tcW w:w="1350" w:type="dxa"/>
            <w:hideMark/>
          </w:tcPr>
          <w:p w14:paraId="55474DC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5.46 (0.98)</w:t>
            </w:r>
          </w:p>
        </w:tc>
      </w:tr>
      <w:tr w:rsidR="003165E5" w:rsidRPr="002F72C4" w14:paraId="3BD025AA" w14:textId="77777777" w:rsidTr="00222258">
        <w:tc>
          <w:tcPr>
            <w:tcW w:w="1620" w:type="dxa"/>
            <w:tcBorders>
              <w:bottom w:val="single" w:sz="12" w:space="0" w:color="auto"/>
            </w:tcBorders>
            <w:hideMark/>
          </w:tcPr>
          <w:p w14:paraId="5D617ED4" w14:textId="008DAA78" w:rsidR="003165E5" w:rsidRPr="002F72C4" w:rsidRDefault="00DC721E"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w:t>
            </w:r>
            <w:r w:rsidR="003165E5" w:rsidRPr="002F72C4">
              <w:rPr>
                <w:rFonts w:ascii="Times New Roman" w:hAnsi="Times New Roman"/>
                <w:color w:val="000000" w:themeColor="text1"/>
                <w:sz w:val="24"/>
                <w:szCs w:val="24"/>
              </w:rPr>
              <w:t>-value</w:t>
            </w:r>
          </w:p>
        </w:tc>
        <w:tc>
          <w:tcPr>
            <w:tcW w:w="450" w:type="dxa"/>
            <w:tcBorders>
              <w:bottom w:val="single" w:sz="12" w:space="0" w:color="auto"/>
            </w:tcBorders>
          </w:tcPr>
          <w:p w14:paraId="004B7ABD" w14:textId="77777777" w:rsidR="003165E5" w:rsidRPr="002F72C4" w:rsidRDefault="003165E5" w:rsidP="002B1E47">
            <w:pPr>
              <w:spacing w:line="240" w:lineRule="auto"/>
              <w:jc w:val="both"/>
              <w:rPr>
                <w:rFonts w:ascii="Times New Roman" w:hAnsi="Times New Roman"/>
                <w:color w:val="000000" w:themeColor="text1"/>
                <w:sz w:val="24"/>
                <w:szCs w:val="24"/>
              </w:rPr>
            </w:pPr>
          </w:p>
        </w:tc>
        <w:tc>
          <w:tcPr>
            <w:tcW w:w="1620" w:type="dxa"/>
            <w:tcBorders>
              <w:bottom w:val="single" w:sz="12" w:space="0" w:color="auto"/>
            </w:tcBorders>
            <w:hideMark/>
          </w:tcPr>
          <w:p w14:paraId="6AB0517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p=0.544</w:t>
            </w:r>
          </w:p>
        </w:tc>
        <w:tc>
          <w:tcPr>
            <w:tcW w:w="1350" w:type="dxa"/>
            <w:tcBorders>
              <w:bottom w:val="single" w:sz="12" w:space="0" w:color="auto"/>
            </w:tcBorders>
            <w:hideMark/>
          </w:tcPr>
          <w:p w14:paraId="093233E7"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p=0.138</w:t>
            </w:r>
          </w:p>
        </w:tc>
        <w:tc>
          <w:tcPr>
            <w:tcW w:w="1620" w:type="dxa"/>
            <w:tcBorders>
              <w:bottom w:val="single" w:sz="12" w:space="0" w:color="auto"/>
            </w:tcBorders>
            <w:hideMark/>
          </w:tcPr>
          <w:p w14:paraId="65FDD57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p=0.374</w:t>
            </w:r>
          </w:p>
        </w:tc>
        <w:tc>
          <w:tcPr>
            <w:tcW w:w="1440" w:type="dxa"/>
            <w:tcBorders>
              <w:bottom w:val="single" w:sz="12" w:space="0" w:color="auto"/>
            </w:tcBorders>
            <w:hideMark/>
          </w:tcPr>
          <w:p w14:paraId="55F35168"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p=0.777</w:t>
            </w:r>
          </w:p>
        </w:tc>
        <w:tc>
          <w:tcPr>
            <w:tcW w:w="1350" w:type="dxa"/>
            <w:tcBorders>
              <w:bottom w:val="single" w:sz="12" w:space="0" w:color="auto"/>
            </w:tcBorders>
            <w:hideMark/>
          </w:tcPr>
          <w:p w14:paraId="7286E370" w14:textId="77777777" w:rsidR="003165E5" w:rsidRPr="002F72C4" w:rsidRDefault="003165E5" w:rsidP="002B1E47">
            <w:pPr>
              <w:spacing w:line="240" w:lineRule="auto"/>
              <w:jc w:val="both"/>
              <w:rPr>
                <w:rFonts w:ascii="Times New Roman" w:hAnsi="Times New Roman"/>
                <w:color w:val="000000" w:themeColor="text1"/>
                <w:sz w:val="24"/>
                <w:szCs w:val="24"/>
              </w:rPr>
            </w:pPr>
            <w:r w:rsidRPr="002F72C4">
              <w:rPr>
                <w:rFonts w:ascii="Times New Roman" w:hAnsi="Times New Roman"/>
                <w:color w:val="000000" w:themeColor="text1"/>
                <w:sz w:val="24"/>
                <w:szCs w:val="24"/>
              </w:rPr>
              <w:t>p=0.992</w:t>
            </w:r>
          </w:p>
        </w:tc>
      </w:tr>
    </w:tbl>
    <w:p w14:paraId="3B41CCD7" w14:textId="77777777" w:rsidR="008669DC" w:rsidRPr="002F72C4" w:rsidRDefault="008669DC" w:rsidP="002B1E47">
      <w:pPr>
        <w:pStyle w:val="Heading2"/>
        <w:jc w:val="both"/>
        <w:rPr>
          <w:rFonts w:eastAsia="Calibri" w:cs="Times New Roman"/>
          <w:b/>
          <w:color w:val="000000" w:themeColor="text1"/>
          <w:szCs w:val="24"/>
          <w:lang w:val="en-GB"/>
        </w:rPr>
      </w:pPr>
      <w:bookmarkStart w:id="54" w:name="_Toc86908071"/>
    </w:p>
    <w:p w14:paraId="665C2507" w14:textId="77777777" w:rsidR="003165E5" w:rsidRPr="002F72C4" w:rsidRDefault="003165E5" w:rsidP="002B1E47">
      <w:pPr>
        <w:pStyle w:val="Heading2"/>
        <w:jc w:val="both"/>
        <w:rPr>
          <w:rFonts w:eastAsia="Calibri" w:cs="Times New Roman"/>
          <w:b/>
          <w:color w:val="000000" w:themeColor="text1"/>
          <w:szCs w:val="24"/>
          <w:lang w:val="en-GB"/>
        </w:rPr>
      </w:pPr>
      <w:r w:rsidRPr="002F72C4">
        <w:rPr>
          <w:rFonts w:eastAsia="Calibri" w:cs="Times New Roman"/>
          <w:b/>
          <w:color w:val="000000" w:themeColor="text1"/>
          <w:szCs w:val="24"/>
          <w:lang w:val="en-GB"/>
        </w:rPr>
        <w:t>Association between socio-demographic characteristics and health related quality of life summary score</w:t>
      </w:r>
      <w:bookmarkEnd w:id="54"/>
    </w:p>
    <w:p w14:paraId="78055DF9" w14:textId="2B160793" w:rsidR="003165E5" w:rsidRPr="002F72C4" w:rsidRDefault="003165E5" w:rsidP="002B1E47">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As shown in Table </w:t>
      </w:r>
      <w:r w:rsidR="00B1228F">
        <w:rPr>
          <w:rFonts w:ascii="Times New Roman" w:eastAsia="Calibri" w:hAnsi="Times New Roman" w:cs="Times New Roman"/>
          <w:color w:val="000000" w:themeColor="text1"/>
          <w:sz w:val="24"/>
          <w:szCs w:val="24"/>
          <w:lang w:val="en-GB"/>
        </w:rPr>
        <w:t>5</w:t>
      </w:r>
      <w:r w:rsidRPr="002F72C4">
        <w:rPr>
          <w:rFonts w:ascii="Times New Roman" w:eastAsia="Calibri" w:hAnsi="Times New Roman" w:cs="Times New Roman"/>
          <w:color w:val="000000" w:themeColor="text1"/>
          <w:sz w:val="24"/>
          <w:szCs w:val="24"/>
          <w:lang w:val="en-GB"/>
        </w:rPr>
        <w:t>, none of the sociodemographic variables had a statistical</w:t>
      </w:r>
      <w:r w:rsidR="00446F68" w:rsidRPr="002F72C4">
        <w:rPr>
          <w:rFonts w:ascii="Times New Roman" w:eastAsia="Calibri" w:hAnsi="Times New Roman" w:cs="Times New Roman"/>
          <w:color w:val="000000" w:themeColor="text1"/>
          <w:sz w:val="24"/>
          <w:szCs w:val="24"/>
          <w:lang w:val="en-GB"/>
        </w:rPr>
        <w:t>ly</w:t>
      </w:r>
      <w:r w:rsidRPr="002F72C4">
        <w:rPr>
          <w:rFonts w:ascii="Times New Roman" w:eastAsia="Calibri" w:hAnsi="Times New Roman" w:cs="Times New Roman"/>
          <w:color w:val="000000" w:themeColor="text1"/>
          <w:sz w:val="24"/>
          <w:szCs w:val="24"/>
          <w:lang w:val="en-GB"/>
        </w:rPr>
        <w:t xml:space="preserve"> significant association with HRQoL summary score</w:t>
      </w:r>
      <w:r w:rsidR="002F72C4">
        <w:rPr>
          <w:rFonts w:ascii="Times New Roman" w:eastAsia="Calibri" w:hAnsi="Times New Roman" w:cs="Times New Roman"/>
          <w:color w:val="000000" w:themeColor="text1"/>
          <w:sz w:val="24"/>
          <w:szCs w:val="24"/>
          <w:lang w:val="en-GB"/>
        </w:rPr>
        <w:t>s</w:t>
      </w:r>
      <w:r w:rsidRPr="002F72C4">
        <w:rPr>
          <w:rFonts w:ascii="Times New Roman" w:eastAsia="Calibri" w:hAnsi="Times New Roman" w:cs="Times New Roman"/>
          <w:color w:val="000000" w:themeColor="text1"/>
          <w:sz w:val="24"/>
          <w:szCs w:val="24"/>
          <w:lang w:val="en-GB"/>
        </w:rPr>
        <w:t>. However, there was statistically significant association between comorbidity and health related quality of life (p = 0.017), with lower HRQoL score among study participants with diabetes and hypertensive comorbidity at 4.79 (0.82) (</w:t>
      </w:r>
      <w:r w:rsidRPr="002F72C4">
        <w:rPr>
          <w:rFonts w:ascii="Times New Roman" w:eastAsia="Calibri" w:hAnsi="Times New Roman" w:cs="Times New Roman"/>
          <w:b/>
          <w:color w:val="000000" w:themeColor="text1"/>
          <w:sz w:val="24"/>
          <w:szCs w:val="24"/>
          <w:lang w:val="en-GB"/>
        </w:rPr>
        <w:t xml:space="preserve">Table </w:t>
      </w:r>
      <w:r w:rsidR="00B1228F">
        <w:rPr>
          <w:rFonts w:ascii="Times New Roman" w:eastAsia="Calibri" w:hAnsi="Times New Roman" w:cs="Times New Roman"/>
          <w:b/>
          <w:color w:val="000000" w:themeColor="text1"/>
          <w:sz w:val="24"/>
          <w:szCs w:val="24"/>
          <w:lang w:val="en-GB"/>
        </w:rPr>
        <w:t>5</w:t>
      </w:r>
      <w:r w:rsidRPr="002F72C4">
        <w:rPr>
          <w:rFonts w:ascii="Times New Roman" w:eastAsia="Calibri" w:hAnsi="Times New Roman" w:cs="Times New Roman"/>
          <w:color w:val="000000" w:themeColor="text1"/>
          <w:sz w:val="24"/>
          <w:szCs w:val="24"/>
          <w:lang w:val="en-GB"/>
        </w:rPr>
        <w:t>).</w:t>
      </w:r>
    </w:p>
    <w:p w14:paraId="00F310E6"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lang w:val="en-GB"/>
        </w:rPr>
      </w:pPr>
    </w:p>
    <w:p w14:paraId="01A67300" w14:textId="77777777" w:rsidR="003431DC" w:rsidRPr="002F72C4" w:rsidRDefault="003165E5" w:rsidP="003165E5">
      <w:pPr>
        <w:pStyle w:val="Caption"/>
        <w:rPr>
          <w:rFonts w:ascii="Times New Roman" w:eastAsia="Calibri" w:hAnsi="Times New Roman"/>
          <w:b w:val="0"/>
          <w:color w:val="000000" w:themeColor="text1"/>
          <w:sz w:val="24"/>
          <w:szCs w:val="24"/>
          <w:lang w:val="en-GB"/>
        </w:rPr>
      </w:pPr>
      <w:r w:rsidRPr="002F72C4">
        <w:rPr>
          <w:rFonts w:ascii="Times New Roman" w:eastAsia="Calibri" w:hAnsi="Times New Roman"/>
          <w:b w:val="0"/>
          <w:color w:val="000000" w:themeColor="text1"/>
          <w:sz w:val="24"/>
          <w:szCs w:val="24"/>
          <w:lang w:val="en-GB"/>
        </w:rPr>
        <w:t xml:space="preserve"> </w:t>
      </w:r>
      <w:bookmarkStart w:id="55" w:name="_Toc86835619"/>
      <w:bookmarkStart w:id="56" w:name="_Toc86835603"/>
    </w:p>
    <w:p w14:paraId="07DBE95A" w14:textId="741CFE03" w:rsidR="003165E5" w:rsidRPr="002F72C4" w:rsidRDefault="003165E5" w:rsidP="003165E5">
      <w:pPr>
        <w:pStyle w:val="Caption"/>
        <w:rPr>
          <w:rFonts w:ascii="Times New Roman" w:eastAsia="Calibri" w:hAnsi="Times New Roman"/>
          <w:color w:val="000000" w:themeColor="text1"/>
          <w:sz w:val="24"/>
          <w:szCs w:val="24"/>
          <w:lang w:val="en-GB"/>
        </w:rPr>
      </w:pPr>
      <w:r w:rsidRPr="002F72C4">
        <w:rPr>
          <w:rFonts w:ascii="Times New Roman" w:hAnsi="Times New Roman"/>
          <w:color w:val="000000" w:themeColor="text1"/>
          <w:sz w:val="24"/>
          <w:szCs w:val="24"/>
        </w:rPr>
        <w:t xml:space="preserve">Table </w:t>
      </w:r>
      <w:r w:rsidR="00B1228F">
        <w:rPr>
          <w:rFonts w:ascii="Times New Roman" w:hAnsi="Times New Roman"/>
          <w:color w:val="000000" w:themeColor="text1"/>
          <w:sz w:val="24"/>
          <w:szCs w:val="24"/>
        </w:rPr>
        <w:t>5</w:t>
      </w:r>
      <w:r w:rsidRPr="002F72C4">
        <w:rPr>
          <w:rFonts w:ascii="Times New Roman" w:eastAsia="Calibri" w:hAnsi="Times New Roman"/>
          <w:color w:val="000000" w:themeColor="text1"/>
          <w:sz w:val="24"/>
          <w:szCs w:val="24"/>
          <w:lang w:val="en-GB"/>
        </w:rPr>
        <w:t>: Association between socio demographic and clinical characteristics with HRQoL score</w:t>
      </w:r>
      <w:bookmarkEnd w:id="55"/>
      <w:bookmarkEnd w:id="56"/>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990"/>
        <w:gridCol w:w="1260"/>
        <w:gridCol w:w="450"/>
        <w:gridCol w:w="1530"/>
        <w:gridCol w:w="1440"/>
        <w:gridCol w:w="270"/>
      </w:tblGrid>
      <w:tr w:rsidR="002F72C4" w:rsidRPr="002F72C4" w14:paraId="34DE6B5D" w14:textId="77777777" w:rsidTr="00222258">
        <w:tc>
          <w:tcPr>
            <w:tcW w:w="3060" w:type="dxa"/>
            <w:tcBorders>
              <w:top w:val="single" w:sz="12" w:space="0" w:color="auto"/>
              <w:bottom w:val="single" w:sz="12" w:space="0" w:color="auto"/>
            </w:tcBorders>
          </w:tcPr>
          <w:p w14:paraId="1A93D21A" w14:textId="77777777" w:rsidR="003165E5" w:rsidRPr="002F72C4" w:rsidRDefault="003165E5">
            <w:pPr>
              <w:spacing w:line="240" w:lineRule="auto"/>
              <w:rPr>
                <w:rFonts w:ascii="Times New Roman" w:hAnsi="Times New Roman"/>
                <w:b/>
                <w:color w:val="000000" w:themeColor="text1"/>
                <w:sz w:val="24"/>
                <w:szCs w:val="24"/>
              </w:rPr>
            </w:pPr>
          </w:p>
        </w:tc>
        <w:tc>
          <w:tcPr>
            <w:tcW w:w="2700" w:type="dxa"/>
            <w:gridSpan w:val="3"/>
            <w:tcBorders>
              <w:top w:val="single" w:sz="12" w:space="0" w:color="auto"/>
              <w:bottom w:val="single" w:sz="12" w:space="0" w:color="auto"/>
            </w:tcBorders>
            <w:hideMark/>
          </w:tcPr>
          <w:p w14:paraId="33EFFB76"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HRQoL Mean (SD) Score</w:t>
            </w:r>
          </w:p>
        </w:tc>
        <w:tc>
          <w:tcPr>
            <w:tcW w:w="3240" w:type="dxa"/>
            <w:gridSpan w:val="3"/>
            <w:tcBorders>
              <w:top w:val="single" w:sz="12" w:space="0" w:color="auto"/>
              <w:bottom w:val="single" w:sz="12" w:space="0" w:color="auto"/>
            </w:tcBorders>
            <w:hideMark/>
          </w:tcPr>
          <w:p w14:paraId="188EAF0E" w14:textId="77777777" w:rsidR="003165E5" w:rsidRPr="002F72C4" w:rsidRDefault="003165E5">
            <w:pPr>
              <w:spacing w:line="240" w:lineRule="auto"/>
              <w:jc w:val="center"/>
              <w:rPr>
                <w:rFonts w:ascii="Times New Roman" w:hAnsi="Times New Roman"/>
                <w:b/>
                <w:color w:val="000000" w:themeColor="text1"/>
                <w:sz w:val="24"/>
                <w:szCs w:val="24"/>
              </w:rPr>
            </w:pPr>
            <w:r w:rsidRPr="002F72C4">
              <w:rPr>
                <w:rFonts w:ascii="Times New Roman" w:hAnsi="Times New Roman"/>
                <w:b/>
                <w:color w:val="000000" w:themeColor="text1"/>
                <w:sz w:val="24"/>
                <w:szCs w:val="24"/>
              </w:rPr>
              <w:t>p-value</w:t>
            </w:r>
          </w:p>
        </w:tc>
      </w:tr>
      <w:tr w:rsidR="002F72C4" w:rsidRPr="002F72C4" w14:paraId="104933D1" w14:textId="77777777" w:rsidTr="00222258">
        <w:tc>
          <w:tcPr>
            <w:tcW w:w="3060" w:type="dxa"/>
            <w:tcBorders>
              <w:top w:val="single" w:sz="12" w:space="0" w:color="auto"/>
            </w:tcBorders>
            <w:hideMark/>
          </w:tcPr>
          <w:p w14:paraId="53C9A49D" w14:textId="63F48362" w:rsidR="003165E5" w:rsidRPr="002F72C4" w:rsidRDefault="003165E5" w:rsidP="00413D37">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Age</w:t>
            </w:r>
            <w:r w:rsidR="00222258" w:rsidRPr="002F72C4">
              <w:rPr>
                <w:rFonts w:ascii="Times New Roman" w:hAnsi="Times New Roman"/>
                <w:b/>
                <w:color w:val="000000" w:themeColor="text1"/>
                <w:sz w:val="24"/>
                <w:szCs w:val="24"/>
              </w:rPr>
              <w:t xml:space="preserve"> </w:t>
            </w:r>
            <w:r w:rsidR="00413D37">
              <w:rPr>
                <w:rFonts w:ascii="Times New Roman" w:hAnsi="Times New Roman"/>
                <w:b/>
                <w:color w:val="000000" w:themeColor="text1"/>
                <w:sz w:val="24"/>
                <w:szCs w:val="24"/>
              </w:rPr>
              <w:t>in y</w:t>
            </w:r>
            <w:r w:rsidR="00222258" w:rsidRPr="002F72C4">
              <w:rPr>
                <w:rFonts w:ascii="Times New Roman" w:hAnsi="Times New Roman"/>
                <w:b/>
                <w:color w:val="000000" w:themeColor="text1"/>
                <w:sz w:val="24"/>
                <w:szCs w:val="24"/>
              </w:rPr>
              <w:t>ears</w:t>
            </w:r>
          </w:p>
        </w:tc>
        <w:tc>
          <w:tcPr>
            <w:tcW w:w="2700" w:type="dxa"/>
            <w:gridSpan w:val="3"/>
            <w:tcBorders>
              <w:top w:val="single" w:sz="12" w:space="0" w:color="auto"/>
            </w:tcBorders>
          </w:tcPr>
          <w:p w14:paraId="79BD0AB6"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gridSpan w:val="3"/>
            <w:tcBorders>
              <w:top w:val="single" w:sz="12" w:space="0" w:color="auto"/>
            </w:tcBorders>
          </w:tcPr>
          <w:p w14:paraId="6450F162"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18F0E09A" w14:textId="77777777" w:rsidTr="00222258">
        <w:tc>
          <w:tcPr>
            <w:tcW w:w="3060" w:type="dxa"/>
            <w:hideMark/>
          </w:tcPr>
          <w:p w14:paraId="63558C06"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≤25</w:t>
            </w:r>
          </w:p>
        </w:tc>
        <w:tc>
          <w:tcPr>
            <w:tcW w:w="2700" w:type="dxa"/>
            <w:gridSpan w:val="3"/>
            <w:hideMark/>
          </w:tcPr>
          <w:p w14:paraId="63E9BDB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5.15 (0.99)</w:t>
            </w:r>
          </w:p>
        </w:tc>
        <w:tc>
          <w:tcPr>
            <w:tcW w:w="3240" w:type="dxa"/>
            <w:gridSpan w:val="3"/>
            <w:hideMark/>
          </w:tcPr>
          <w:p w14:paraId="1920C34B" w14:textId="77777777" w:rsidR="003165E5" w:rsidRPr="002F72C4" w:rsidRDefault="003165E5" w:rsidP="00DC721E">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0.988</w:t>
            </w:r>
          </w:p>
        </w:tc>
      </w:tr>
      <w:tr w:rsidR="002F72C4" w:rsidRPr="002F72C4" w14:paraId="217CFA1D" w14:textId="77777777" w:rsidTr="00222258">
        <w:tc>
          <w:tcPr>
            <w:tcW w:w="3060" w:type="dxa"/>
            <w:hideMark/>
          </w:tcPr>
          <w:p w14:paraId="6BE52AF1"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26-40</w:t>
            </w:r>
          </w:p>
        </w:tc>
        <w:tc>
          <w:tcPr>
            <w:tcW w:w="2700" w:type="dxa"/>
            <w:gridSpan w:val="3"/>
            <w:hideMark/>
          </w:tcPr>
          <w:p w14:paraId="51AD45D4"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5.18 (0.87)</w:t>
            </w:r>
          </w:p>
        </w:tc>
        <w:tc>
          <w:tcPr>
            <w:tcW w:w="3240" w:type="dxa"/>
            <w:gridSpan w:val="3"/>
          </w:tcPr>
          <w:p w14:paraId="7F5CAD9A"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7D2DBF8E" w14:textId="77777777" w:rsidTr="00222258">
        <w:tc>
          <w:tcPr>
            <w:tcW w:w="3060" w:type="dxa"/>
            <w:hideMark/>
          </w:tcPr>
          <w:p w14:paraId="5293E61A"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41-65</w:t>
            </w:r>
          </w:p>
        </w:tc>
        <w:tc>
          <w:tcPr>
            <w:tcW w:w="2700" w:type="dxa"/>
            <w:gridSpan w:val="3"/>
            <w:hideMark/>
          </w:tcPr>
          <w:p w14:paraId="0EEF5CCC"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5.22 (0.65)</w:t>
            </w:r>
          </w:p>
        </w:tc>
        <w:tc>
          <w:tcPr>
            <w:tcW w:w="3240" w:type="dxa"/>
            <w:gridSpan w:val="3"/>
          </w:tcPr>
          <w:p w14:paraId="0FC7C06D"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56F7AE3D" w14:textId="77777777" w:rsidTr="00222258">
        <w:tc>
          <w:tcPr>
            <w:tcW w:w="3060" w:type="dxa"/>
            <w:hideMark/>
          </w:tcPr>
          <w:p w14:paraId="5F1A9FFF"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&gt;65</w:t>
            </w:r>
          </w:p>
        </w:tc>
        <w:tc>
          <w:tcPr>
            <w:tcW w:w="2700" w:type="dxa"/>
            <w:gridSpan w:val="3"/>
            <w:hideMark/>
          </w:tcPr>
          <w:p w14:paraId="1B78EBC1"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5.13 (1.07)</w:t>
            </w:r>
          </w:p>
        </w:tc>
        <w:tc>
          <w:tcPr>
            <w:tcW w:w="3240" w:type="dxa"/>
            <w:gridSpan w:val="3"/>
          </w:tcPr>
          <w:p w14:paraId="08F91718"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631AE113" w14:textId="77777777" w:rsidTr="00222258">
        <w:tc>
          <w:tcPr>
            <w:tcW w:w="3060" w:type="dxa"/>
            <w:hideMark/>
          </w:tcPr>
          <w:p w14:paraId="76E42EAD"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Gender</w:t>
            </w:r>
          </w:p>
        </w:tc>
        <w:tc>
          <w:tcPr>
            <w:tcW w:w="2700" w:type="dxa"/>
            <w:gridSpan w:val="3"/>
          </w:tcPr>
          <w:p w14:paraId="2ADF9EDB"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gridSpan w:val="3"/>
          </w:tcPr>
          <w:p w14:paraId="5FDE02B6"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7DC1BEC5" w14:textId="77777777" w:rsidTr="00222258">
        <w:tc>
          <w:tcPr>
            <w:tcW w:w="3060" w:type="dxa"/>
            <w:hideMark/>
          </w:tcPr>
          <w:p w14:paraId="19397164"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Male</w:t>
            </w:r>
          </w:p>
        </w:tc>
        <w:tc>
          <w:tcPr>
            <w:tcW w:w="2700" w:type="dxa"/>
            <w:gridSpan w:val="3"/>
            <w:hideMark/>
          </w:tcPr>
          <w:p w14:paraId="4BBFDADA"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5.16 (0.68)</w:t>
            </w:r>
          </w:p>
        </w:tc>
        <w:tc>
          <w:tcPr>
            <w:tcW w:w="3240" w:type="dxa"/>
            <w:gridSpan w:val="3"/>
            <w:hideMark/>
          </w:tcPr>
          <w:p w14:paraId="1A3BA8A7" w14:textId="66C75632" w:rsidR="003165E5" w:rsidRPr="002F72C4" w:rsidRDefault="00DC721E" w:rsidP="00DC721E">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0.586</w:t>
            </w:r>
          </w:p>
        </w:tc>
      </w:tr>
      <w:tr w:rsidR="002F72C4" w:rsidRPr="002F72C4" w14:paraId="53C14031" w14:textId="77777777" w:rsidTr="00222258">
        <w:tc>
          <w:tcPr>
            <w:tcW w:w="3060" w:type="dxa"/>
            <w:hideMark/>
          </w:tcPr>
          <w:p w14:paraId="0CC07CF0"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Female</w:t>
            </w:r>
          </w:p>
        </w:tc>
        <w:tc>
          <w:tcPr>
            <w:tcW w:w="2700" w:type="dxa"/>
            <w:gridSpan w:val="3"/>
            <w:hideMark/>
          </w:tcPr>
          <w:p w14:paraId="4F85AFEB"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5.27 (0.99)</w:t>
            </w:r>
          </w:p>
        </w:tc>
        <w:tc>
          <w:tcPr>
            <w:tcW w:w="3240" w:type="dxa"/>
            <w:gridSpan w:val="3"/>
          </w:tcPr>
          <w:p w14:paraId="56BAB511"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2D5270F3" w14:textId="77777777" w:rsidTr="00222258">
        <w:tc>
          <w:tcPr>
            <w:tcW w:w="3060" w:type="dxa"/>
            <w:hideMark/>
          </w:tcPr>
          <w:p w14:paraId="37C86AAC"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Education</w:t>
            </w:r>
          </w:p>
        </w:tc>
        <w:tc>
          <w:tcPr>
            <w:tcW w:w="2700" w:type="dxa"/>
            <w:gridSpan w:val="3"/>
          </w:tcPr>
          <w:p w14:paraId="1EB11E48"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gridSpan w:val="3"/>
          </w:tcPr>
          <w:p w14:paraId="0BE362D0"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19C14A03" w14:textId="77777777" w:rsidTr="00222258">
        <w:tc>
          <w:tcPr>
            <w:tcW w:w="3060" w:type="dxa"/>
            <w:hideMark/>
          </w:tcPr>
          <w:p w14:paraId="4EC3D445"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Primary</w:t>
            </w:r>
          </w:p>
        </w:tc>
        <w:tc>
          <w:tcPr>
            <w:tcW w:w="2700" w:type="dxa"/>
            <w:gridSpan w:val="3"/>
            <w:hideMark/>
          </w:tcPr>
          <w:p w14:paraId="49B34B89"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4.75 (0.64)</w:t>
            </w:r>
          </w:p>
        </w:tc>
        <w:tc>
          <w:tcPr>
            <w:tcW w:w="3240" w:type="dxa"/>
            <w:gridSpan w:val="3"/>
            <w:hideMark/>
          </w:tcPr>
          <w:p w14:paraId="7E6592E5" w14:textId="53019C38" w:rsidR="003165E5" w:rsidRPr="002F72C4" w:rsidRDefault="00DC721E" w:rsidP="00DC721E">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0.165</w:t>
            </w:r>
          </w:p>
        </w:tc>
      </w:tr>
      <w:tr w:rsidR="002F72C4" w:rsidRPr="002F72C4" w14:paraId="0B9EB1C1" w14:textId="77777777" w:rsidTr="00222258">
        <w:tc>
          <w:tcPr>
            <w:tcW w:w="3060" w:type="dxa"/>
            <w:hideMark/>
          </w:tcPr>
          <w:p w14:paraId="27412172"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Secondary</w:t>
            </w:r>
          </w:p>
        </w:tc>
        <w:tc>
          <w:tcPr>
            <w:tcW w:w="2700" w:type="dxa"/>
            <w:gridSpan w:val="3"/>
            <w:hideMark/>
          </w:tcPr>
          <w:p w14:paraId="08ACC96A"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5.33 (0.79)</w:t>
            </w:r>
          </w:p>
        </w:tc>
        <w:tc>
          <w:tcPr>
            <w:tcW w:w="3240" w:type="dxa"/>
            <w:gridSpan w:val="3"/>
          </w:tcPr>
          <w:p w14:paraId="67B7A76B"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7DBEE2D8" w14:textId="77777777" w:rsidTr="00222258">
        <w:tc>
          <w:tcPr>
            <w:tcW w:w="3060" w:type="dxa"/>
            <w:hideMark/>
          </w:tcPr>
          <w:p w14:paraId="6215F295"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Tertiary</w:t>
            </w:r>
          </w:p>
        </w:tc>
        <w:tc>
          <w:tcPr>
            <w:tcW w:w="2700" w:type="dxa"/>
            <w:gridSpan w:val="3"/>
            <w:hideMark/>
          </w:tcPr>
          <w:p w14:paraId="7F08242D"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5.11 (0.78)</w:t>
            </w:r>
          </w:p>
        </w:tc>
        <w:tc>
          <w:tcPr>
            <w:tcW w:w="3240" w:type="dxa"/>
            <w:gridSpan w:val="3"/>
          </w:tcPr>
          <w:p w14:paraId="7660E1AF"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1158CA1B" w14:textId="77777777" w:rsidTr="00222258">
        <w:tc>
          <w:tcPr>
            <w:tcW w:w="3060" w:type="dxa"/>
            <w:hideMark/>
          </w:tcPr>
          <w:p w14:paraId="1F116471"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Marital status</w:t>
            </w:r>
          </w:p>
        </w:tc>
        <w:tc>
          <w:tcPr>
            <w:tcW w:w="2700" w:type="dxa"/>
            <w:gridSpan w:val="3"/>
          </w:tcPr>
          <w:p w14:paraId="79471325"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gridSpan w:val="3"/>
          </w:tcPr>
          <w:p w14:paraId="36B67950"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7D28866E" w14:textId="77777777" w:rsidTr="00222258">
        <w:tc>
          <w:tcPr>
            <w:tcW w:w="3060" w:type="dxa"/>
            <w:hideMark/>
          </w:tcPr>
          <w:p w14:paraId="164E31B2"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Married</w:t>
            </w:r>
          </w:p>
        </w:tc>
        <w:tc>
          <w:tcPr>
            <w:tcW w:w="2700" w:type="dxa"/>
            <w:gridSpan w:val="3"/>
            <w:hideMark/>
          </w:tcPr>
          <w:p w14:paraId="50D542D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5.17 (0.81)</w:t>
            </w:r>
          </w:p>
        </w:tc>
        <w:tc>
          <w:tcPr>
            <w:tcW w:w="3240" w:type="dxa"/>
            <w:gridSpan w:val="3"/>
            <w:hideMark/>
          </w:tcPr>
          <w:p w14:paraId="20732A3F" w14:textId="4EE7D3CF" w:rsidR="003165E5" w:rsidRPr="002F72C4" w:rsidRDefault="00DC721E" w:rsidP="00DC721E">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0.574</w:t>
            </w:r>
          </w:p>
        </w:tc>
      </w:tr>
      <w:tr w:rsidR="002F72C4" w:rsidRPr="002F72C4" w14:paraId="3314317C" w14:textId="77777777" w:rsidTr="00222258">
        <w:tc>
          <w:tcPr>
            <w:tcW w:w="3060" w:type="dxa"/>
            <w:hideMark/>
          </w:tcPr>
          <w:p w14:paraId="16BA181C"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Single</w:t>
            </w:r>
          </w:p>
        </w:tc>
        <w:tc>
          <w:tcPr>
            <w:tcW w:w="2700" w:type="dxa"/>
            <w:gridSpan w:val="3"/>
            <w:hideMark/>
          </w:tcPr>
          <w:p w14:paraId="7C3B9E3E"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5.29 (0.67)</w:t>
            </w:r>
          </w:p>
        </w:tc>
        <w:tc>
          <w:tcPr>
            <w:tcW w:w="3240" w:type="dxa"/>
            <w:gridSpan w:val="3"/>
          </w:tcPr>
          <w:p w14:paraId="1632B9F2"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52E1FD6E" w14:textId="77777777" w:rsidTr="00222258">
        <w:tc>
          <w:tcPr>
            <w:tcW w:w="3060" w:type="dxa"/>
            <w:hideMark/>
          </w:tcPr>
          <w:p w14:paraId="28BB4135"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Employment</w:t>
            </w:r>
          </w:p>
        </w:tc>
        <w:tc>
          <w:tcPr>
            <w:tcW w:w="2700" w:type="dxa"/>
            <w:gridSpan w:val="3"/>
          </w:tcPr>
          <w:p w14:paraId="32C15BF5" w14:textId="77777777" w:rsidR="003165E5" w:rsidRPr="002F72C4" w:rsidRDefault="003165E5">
            <w:pPr>
              <w:spacing w:line="240" w:lineRule="auto"/>
              <w:jc w:val="center"/>
              <w:rPr>
                <w:rFonts w:ascii="Times New Roman" w:hAnsi="Times New Roman"/>
                <w:color w:val="000000" w:themeColor="text1"/>
                <w:sz w:val="24"/>
                <w:szCs w:val="24"/>
              </w:rPr>
            </w:pPr>
          </w:p>
        </w:tc>
        <w:tc>
          <w:tcPr>
            <w:tcW w:w="3240" w:type="dxa"/>
            <w:gridSpan w:val="3"/>
          </w:tcPr>
          <w:p w14:paraId="3EF18757"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16A01992" w14:textId="77777777" w:rsidTr="00222258">
        <w:tc>
          <w:tcPr>
            <w:tcW w:w="3060" w:type="dxa"/>
            <w:hideMark/>
          </w:tcPr>
          <w:p w14:paraId="42C44339"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Employed</w:t>
            </w:r>
          </w:p>
        </w:tc>
        <w:tc>
          <w:tcPr>
            <w:tcW w:w="2700" w:type="dxa"/>
            <w:gridSpan w:val="3"/>
            <w:hideMark/>
          </w:tcPr>
          <w:p w14:paraId="7E53A883"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5.28 (0.74)</w:t>
            </w:r>
          </w:p>
        </w:tc>
        <w:tc>
          <w:tcPr>
            <w:tcW w:w="3240" w:type="dxa"/>
            <w:gridSpan w:val="3"/>
            <w:hideMark/>
          </w:tcPr>
          <w:p w14:paraId="6A749C61" w14:textId="5525F5B0" w:rsidR="003165E5" w:rsidRPr="002F72C4" w:rsidRDefault="00DC721E" w:rsidP="00DC721E">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0.597</w:t>
            </w:r>
          </w:p>
        </w:tc>
      </w:tr>
      <w:tr w:rsidR="002F72C4" w:rsidRPr="002F72C4" w14:paraId="6B8771AF" w14:textId="77777777" w:rsidTr="00222258">
        <w:tc>
          <w:tcPr>
            <w:tcW w:w="3060" w:type="dxa"/>
            <w:hideMark/>
          </w:tcPr>
          <w:p w14:paraId="1701B1D6"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Self-employed</w:t>
            </w:r>
          </w:p>
        </w:tc>
        <w:tc>
          <w:tcPr>
            <w:tcW w:w="2700" w:type="dxa"/>
            <w:gridSpan w:val="3"/>
            <w:hideMark/>
          </w:tcPr>
          <w:p w14:paraId="37101045"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5.22 (0.71)</w:t>
            </w:r>
          </w:p>
        </w:tc>
        <w:tc>
          <w:tcPr>
            <w:tcW w:w="3240" w:type="dxa"/>
            <w:gridSpan w:val="3"/>
          </w:tcPr>
          <w:p w14:paraId="7E4D0360"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23C185CC" w14:textId="77777777" w:rsidTr="00222258">
        <w:tc>
          <w:tcPr>
            <w:tcW w:w="3060" w:type="dxa"/>
            <w:hideMark/>
          </w:tcPr>
          <w:p w14:paraId="4621317F"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t>Unemployed</w:t>
            </w:r>
          </w:p>
        </w:tc>
        <w:tc>
          <w:tcPr>
            <w:tcW w:w="2700" w:type="dxa"/>
            <w:gridSpan w:val="3"/>
            <w:hideMark/>
          </w:tcPr>
          <w:p w14:paraId="0274B6C6"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4.90 (1.21)</w:t>
            </w:r>
          </w:p>
        </w:tc>
        <w:tc>
          <w:tcPr>
            <w:tcW w:w="3240" w:type="dxa"/>
            <w:gridSpan w:val="3"/>
          </w:tcPr>
          <w:p w14:paraId="5294710B"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4C377CF9" w14:textId="77777777" w:rsidTr="00222258">
        <w:tc>
          <w:tcPr>
            <w:tcW w:w="3060" w:type="dxa"/>
            <w:hideMark/>
          </w:tcPr>
          <w:p w14:paraId="5236A293" w14:textId="77777777" w:rsidR="003165E5" w:rsidRPr="002F72C4" w:rsidRDefault="003165E5" w:rsidP="00DC721E">
            <w:pPr>
              <w:spacing w:line="240" w:lineRule="auto"/>
              <w:jc w:val="right"/>
              <w:rPr>
                <w:rFonts w:ascii="Times New Roman" w:hAnsi="Times New Roman"/>
                <w:color w:val="000000" w:themeColor="text1"/>
                <w:sz w:val="24"/>
                <w:szCs w:val="24"/>
              </w:rPr>
            </w:pPr>
            <w:r w:rsidRPr="002F72C4">
              <w:rPr>
                <w:rFonts w:ascii="Times New Roman" w:hAnsi="Times New Roman"/>
                <w:color w:val="000000" w:themeColor="text1"/>
                <w:sz w:val="24"/>
                <w:szCs w:val="24"/>
              </w:rPr>
              <w:lastRenderedPageBreak/>
              <w:t>Retired</w:t>
            </w:r>
          </w:p>
        </w:tc>
        <w:tc>
          <w:tcPr>
            <w:tcW w:w="2700" w:type="dxa"/>
            <w:gridSpan w:val="3"/>
            <w:hideMark/>
          </w:tcPr>
          <w:p w14:paraId="1507B57A" w14:textId="77777777" w:rsidR="003165E5" w:rsidRPr="002F72C4" w:rsidRDefault="003165E5">
            <w:pPr>
              <w:spacing w:line="240" w:lineRule="auto"/>
              <w:jc w:val="center"/>
              <w:rPr>
                <w:rFonts w:ascii="Times New Roman" w:hAnsi="Times New Roman"/>
                <w:color w:val="000000" w:themeColor="text1"/>
                <w:sz w:val="24"/>
                <w:szCs w:val="24"/>
              </w:rPr>
            </w:pPr>
            <w:r w:rsidRPr="002F72C4">
              <w:rPr>
                <w:rFonts w:ascii="Times New Roman" w:hAnsi="Times New Roman"/>
                <w:color w:val="000000" w:themeColor="text1"/>
                <w:sz w:val="24"/>
                <w:szCs w:val="24"/>
              </w:rPr>
              <w:t>5.14 (0.62)</w:t>
            </w:r>
          </w:p>
        </w:tc>
        <w:tc>
          <w:tcPr>
            <w:tcW w:w="3240" w:type="dxa"/>
            <w:gridSpan w:val="3"/>
          </w:tcPr>
          <w:p w14:paraId="63C9B527"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6FA3A869" w14:textId="77777777" w:rsidTr="00222258">
        <w:trPr>
          <w:gridAfter w:val="1"/>
          <w:wAfter w:w="270" w:type="dxa"/>
        </w:trPr>
        <w:tc>
          <w:tcPr>
            <w:tcW w:w="4050" w:type="dxa"/>
            <w:gridSpan w:val="2"/>
            <w:hideMark/>
          </w:tcPr>
          <w:p w14:paraId="07C23434"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Comorbidity</w:t>
            </w:r>
          </w:p>
        </w:tc>
        <w:tc>
          <w:tcPr>
            <w:tcW w:w="1260" w:type="dxa"/>
          </w:tcPr>
          <w:p w14:paraId="405956E7" w14:textId="77777777" w:rsidR="003165E5" w:rsidRPr="002F72C4" w:rsidRDefault="003165E5">
            <w:pPr>
              <w:spacing w:line="240" w:lineRule="auto"/>
              <w:rPr>
                <w:rFonts w:ascii="Times New Roman" w:hAnsi="Times New Roman"/>
                <w:b/>
                <w:color w:val="000000" w:themeColor="text1"/>
                <w:sz w:val="24"/>
                <w:szCs w:val="24"/>
              </w:rPr>
            </w:pPr>
          </w:p>
        </w:tc>
        <w:tc>
          <w:tcPr>
            <w:tcW w:w="1980" w:type="dxa"/>
            <w:gridSpan w:val="2"/>
          </w:tcPr>
          <w:p w14:paraId="3E67B59C" w14:textId="77777777" w:rsidR="003165E5" w:rsidRPr="002F72C4" w:rsidRDefault="003165E5" w:rsidP="00DC721E">
            <w:pPr>
              <w:spacing w:line="240" w:lineRule="auto"/>
              <w:jc w:val="center"/>
              <w:rPr>
                <w:rFonts w:ascii="Times New Roman" w:hAnsi="Times New Roman"/>
                <w:color w:val="000000" w:themeColor="text1"/>
                <w:sz w:val="24"/>
                <w:szCs w:val="24"/>
              </w:rPr>
            </w:pPr>
          </w:p>
        </w:tc>
        <w:tc>
          <w:tcPr>
            <w:tcW w:w="1440" w:type="dxa"/>
          </w:tcPr>
          <w:p w14:paraId="2BAEE569" w14:textId="77777777" w:rsidR="003165E5" w:rsidRPr="002F72C4" w:rsidRDefault="003165E5" w:rsidP="00DC721E">
            <w:pPr>
              <w:spacing w:line="240" w:lineRule="auto"/>
              <w:jc w:val="center"/>
              <w:rPr>
                <w:rFonts w:ascii="Times New Roman" w:hAnsi="Times New Roman"/>
                <w:color w:val="000000" w:themeColor="text1"/>
                <w:sz w:val="24"/>
                <w:szCs w:val="24"/>
              </w:rPr>
            </w:pPr>
          </w:p>
        </w:tc>
      </w:tr>
      <w:tr w:rsidR="002F72C4" w:rsidRPr="002F72C4" w14:paraId="4B48A4C5" w14:textId="77777777" w:rsidTr="00222258">
        <w:trPr>
          <w:gridAfter w:val="1"/>
          <w:wAfter w:w="270" w:type="dxa"/>
        </w:trPr>
        <w:tc>
          <w:tcPr>
            <w:tcW w:w="4050" w:type="dxa"/>
            <w:gridSpan w:val="2"/>
            <w:hideMark/>
          </w:tcPr>
          <w:p w14:paraId="7480B7FB" w14:textId="15AC3C6F" w:rsidR="003165E5" w:rsidRPr="002F72C4" w:rsidRDefault="00DC721E" w:rsidP="00DC721E">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Diabetes</w:t>
            </w:r>
          </w:p>
        </w:tc>
        <w:tc>
          <w:tcPr>
            <w:tcW w:w="1260" w:type="dxa"/>
            <w:hideMark/>
          </w:tcPr>
          <w:p w14:paraId="091F117F"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5.50(0.80)</w:t>
            </w:r>
          </w:p>
        </w:tc>
        <w:tc>
          <w:tcPr>
            <w:tcW w:w="1980" w:type="dxa"/>
            <w:gridSpan w:val="2"/>
            <w:hideMark/>
          </w:tcPr>
          <w:p w14:paraId="07EEEB9D" w14:textId="77777777" w:rsidR="003165E5" w:rsidRPr="002F72C4" w:rsidRDefault="003165E5" w:rsidP="00DC721E">
            <w:pPr>
              <w:spacing w:line="240" w:lineRule="auto"/>
              <w:jc w:val="center"/>
              <w:rPr>
                <w:rFonts w:ascii="Times New Roman" w:hAnsi="Times New Roman"/>
                <w:color w:val="000000" w:themeColor="text1"/>
                <w:sz w:val="24"/>
                <w:szCs w:val="24"/>
              </w:rPr>
            </w:pPr>
          </w:p>
        </w:tc>
        <w:tc>
          <w:tcPr>
            <w:tcW w:w="1440" w:type="dxa"/>
            <w:hideMark/>
          </w:tcPr>
          <w:p w14:paraId="73D19B88" w14:textId="77777777" w:rsidR="003165E5" w:rsidRPr="002F72C4" w:rsidRDefault="003165E5" w:rsidP="00DC721E">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0.017</w:t>
            </w:r>
          </w:p>
        </w:tc>
      </w:tr>
      <w:tr w:rsidR="002F72C4" w:rsidRPr="002F72C4" w14:paraId="6EE59193" w14:textId="77777777" w:rsidTr="00222258">
        <w:trPr>
          <w:gridAfter w:val="1"/>
          <w:wAfter w:w="270" w:type="dxa"/>
        </w:trPr>
        <w:tc>
          <w:tcPr>
            <w:tcW w:w="4050" w:type="dxa"/>
            <w:gridSpan w:val="2"/>
            <w:hideMark/>
          </w:tcPr>
          <w:p w14:paraId="3CE5F6DA" w14:textId="464C59C1" w:rsidR="003165E5" w:rsidRPr="002F72C4" w:rsidRDefault="00DC721E" w:rsidP="00DC721E">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Hypertension</w:t>
            </w:r>
          </w:p>
        </w:tc>
        <w:tc>
          <w:tcPr>
            <w:tcW w:w="1260" w:type="dxa"/>
            <w:hideMark/>
          </w:tcPr>
          <w:p w14:paraId="5D3BE881"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5.24(0.69)</w:t>
            </w:r>
          </w:p>
        </w:tc>
        <w:tc>
          <w:tcPr>
            <w:tcW w:w="1980" w:type="dxa"/>
            <w:gridSpan w:val="2"/>
          </w:tcPr>
          <w:p w14:paraId="5E537880" w14:textId="77777777" w:rsidR="003165E5" w:rsidRPr="002F72C4" w:rsidRDefault="003165E5">
            <w:pPr>
              <w:spacing w:line="240" w:lineRule="auto"/>
              <w:jc w:val="center"/>
              <w:rPr>
                <w:rFonts w:ascii="Times New Roman" w:hAnsi="Times New Roman"/>
                <w:color w:val="000000" w:themeColor="text1"/>
                <w:sz w:val="24"/>
                <w:szCs w:val="24"/>
              </w:rPr>
            </w:pPr>
          </w:p>
        </w:tc>
        <w:tc>
          <w:tcPr>
            <w:tcW w:w="1440" w:type="dxa"/>
          </w:tcPr>
          <w:p w14:paraId="4342A5F5" w14:textId="77777777" w:rsidR="003165E5" w:rsidRPr="002F72C4" w:rsidRDefault="003165E5">
            <w:pPr>
              <w:spacing w:line="240" w:lineRule="auto"/>
              <w:jc w:val="center"/>
              <w:rPr>
                <w:rFonts w:ascii="Times New Roman" w:hAnsi="Times New Roman"/>
                <w:color w:val="000000" w:themeColor="text1"/>
                <w:sz w:val="24"/>
                <w:szCs w:val="24"/>
              </w:rPr>
            </w:pPr>
          </w:p>
        </w:tc>
      </w:tr>
      <w:tr w:rsidR="002F72C4" w:rsidRPr="002F72C4" w14:paraId="7E291637" w14:textId="77777777" w:rsidTr="00222258">
        <w:trPr>
          <w:gridAfter w:val="1"/>
          <w:wAfter w:w="270" w:type="dxa"/>
        </w:trPr>
        <w:tc>
          <w:tcPr>
            <w:tcW w:w="4050" w:type="dxa"/>
            <w:gridSpan w:val="2"/>
            <w:hideMark/>
          </w:tcPr>
          <w:p w14:paraId="780EB1FB" w14:textId="4E76580D" w:rsidR="003165E5" w:rsidRPr="002F72C4" w:rsidRDefault="00DC721E" w:rsidP="00DC721E">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Diabetes and Hypertension</w:t>
            </w:r>
          </w:p>
        </w:tc>
        <w:tc>
          <w:tcPr>
            <w:tcW w:w="1260" w:type="dxa"/>
            <w:hideMark/>
          </w:tcPr>
          <w:p w14:paraId="66CED481" w14:textId="77777777" w:rsidR="003165E5" w:rsidRPr="002F72C4" w:rsidRDefault="003165E5">
            <w:pPr>
              <w:spacing w:line="240" w:lineRule="auto"/>
              <w:rPr>
                <w:rFonts w:ascii="Times New Roman" w:hAnsi="Times New Roman"/>
                <w:b/>
                <w:color w:val="000000" w:themeColor="text1"/>
                <w:sz w:val="24"/>
                <w:szCs w:val="24"/>
              </w:rPr>
            </w:pPr>
            <w:r w:rsidRPr="002F72C4">
              <w:rPr>
                <w:rFonts w:ascii="Times New Roman" w:hAnsi="Times New Roman"/>
                <w:b/>
                <w:color w:val="000000" w:themeColor="text1"/>
                <w:sz w:val="24"/>
                <w:szCs w:val="24"/>
              </w:rPr>
              <w:t>4.79(0.82)</w:t>
            </w:r>
          </w:p>
        </w:tc>
        <w:tc>
          <w:tcPr>
            <w:tcW w:w="1980" w:type="dxa"/>
            <w:gridSpan w:val="2"/>
          </w:tcPr>
          <w:p w14:paraId="27BB4F7A" w14:textId="77777777" w:rsidR="003165E5" w:rsidRPr="002F72C4" w:rsidRDefault="003165E5">
            <w:pPr>
              <w:spacing w:line="240" w:lineRule="auto"/>
              <w:jc w:val="center"/>
              <w:rPr>
                <w:rFonts w:ascii="Times New Roman" w:hAnsi="Times New Roman"/>
                <w:b/>
                <w:color w:val="000000" w:themeColor="text1"/>
                <w:sz w:val="24"/>
                <w:szCs w:val="24"/>
              </w:rPr>
            </w:pPr>
          </w:p>
        </w:tc>
        <w:tc>
          <w:tcPr>
            <w:tcW w:w="1440" w:type="dxa"/>
          </w:tcPr>
          <w:p w14:paraId="57E4C366" w14:textId="77777777" w:rsidR="003165E5" w:rsidRPr="002F72C4" w:rsidRDefault="003165E5">
            <w:pPr>
              <w:spacing w:line="240" w:lineRule="auto"/>
              <w:jc w:val="center"/>
              <w:rPr>
                <w:rFonts w:ascii="Times New Roman" w:hAnsi="Times New Roman"/>
                <w:color w:val="000000" w:themeColor="text1"/>
                <w:sz w:val="24"/>
                <w:szCs w:val="24"/>
              </w:rPr>
            </w:pPr>
          </w:p>
        </w:tc>
      </w:tr>
      <w:tr w:rsidR="003165E5" w:rsidRPr="002F72C4" w14:paraId="267444A5" w14:textId="77777777" w:rsidTr="00222258">
        <w:trPr>
          <w:gridAfter w:val="1"/>
          <w:wAfter w:w="270" w:type="dxa"/>
        </w:trPr>
        <w:tc>
          <w:tcPr>
            <w:tcW w:w="4050" w:type="dxa"/>
            <w:gridSpan w:val="2"/>
            <w:tcBorders>
              <w:bottom w:val="single" w:sz="12" w:space="0" w:color="auto"/>
            </w:tcBorders>
            <w:hideMark/>
          </w:tcPr>
          <w:p w14:paraId="094626FB" w14:textId="40D05DB5" w:rsidR="003165E5" w:rsidRPr="002F72C4" w:rsidRDefault="00DC721E" w:rsidP="00DC721E">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 xml:space="preserve">    </w:t>
            </w:r>
            <w:r w:rsidR="003165E5" w:rsidRPr="002F72C4">
              <w:rPr>
                <w:rFonts w:ascii="Times New Roman" w:hAnsi="Times New Roman"/>
                <w:color w:val="000000" w:themeColor="text1"/>
                <w:sz w:val="24"/>
                <w:szCs w:val="24"/>
              </w:rPr>
              <w:t>Hypertension and Thrombosis</w:t>
            </w:r>
          </w:p>
        </w:tc>
        <w:tc>
          <w:tcPr>
            <w:tcW w:w="1260" w:type="dxa"/>
            <w:tcBorders>
              <w:bottom w:val="single" w:sz="12" w:space="0" w:color="auto"/>
            </w:tcBorders>
            <w:hideMark/>
          </w:tcPr>
          <w:p w14:paraId="63522D58" w14:textId="77777777" w:rsidR="003165E5" w:rsidRPr="002F72C4" w:rsidRDefault="003165E5">
            <w:pPr>
              <w:spacing w:line="240" w:lineRule="auto"/>
              <w:rPr>
                <w:rFonts w:ascii="Times New Roman" w:hAnsi="Times New Roman"/>
                <w:color w:val="000000" w:themeColor="text1"/>
                <w:sz w:val="24"/>
                <w:szCs w:val="24"/>
              </w:rPr>
            </w:pPr>
            <w:r w:rsidRPr="002F72C4">
              <w:rPr>
                <w:rFonts w:ascii="Times New Roman" w:hAnsi="Times New Roman"/>
                <w:color w:val="000000" w:themeColor="text1"/>
                <w:sz w:val="24"/>
                <w:szCs w:val="24"/>
              </w:rPr>
              <w:t>5.28(-)</w:t>
            </w:r>
          </w:p>
        </w:tc>
        <w:tc>
          <w:tcPr>
            <w:tcW w:w="1980" w:type="dxa"/>
            <w:gridSpan w:val="2"/>
            <w:tcBorders>
              <w:bottom w:val="single" w:sz="12" w:space="0" w:color="auto"/>
            </w:tcBorders>
          </w:tcPr>
          <w:p w14:paraId="62A271B7" w14:textId="77777777" w:rsidR="003165E5" w:rsidRPr="002F72C4" w:rsidRDefault="003165E5">
            <w:pPr>
              <w:spacing w:line="240" w:lineRule="auto"/>
              <w:jc w:val="center"/>
              <w:rPr>
                <w:rFonts w:ascii="Times New Roman" w:hAnsi="Times New Roman"/>
                <w:color w:val="000000" w:themeColor="text1"/>
                <w:sz w:val="24"/>
                <w:szCs w:val="24"/>
              </w:rPr>
            </w:pPr>
          </w:p>
        </w:tc>
        <w:tc>
          <w:tcPr>
            <w:tcW w:w="1440" w:type="dxa"/>
            <w:tcBorders>
              <w:bottom w:val="single" w:sz="12" w:space="0" w:color="auto"/>
            </w:tcBorders>
          </w:tcPr>
          <w:p w14:paraId="0CF17723" w14:textId="77777777" w:rsidR="003165E5" w:rsidRPr="002F72C4" w:rsidRDefault="003165E5">
            <w:pPr>
              <w:spacing w:line="240" w:lineRule="auto"/>
              <w:jc w:val="center"/>
              <w:rPr>
                <w:rFonts w:ascii="Times New Roman" w:hAnsi="Times New Roman"/>
                <w:color w:val="000000" w:themeColor="text1"/>
                <w:sz w:val="24"/>
                <w:szCs w:val="24"/>
              </w:rPr>
            </w:pPr>
          </w:p>
        </w:tc>
      </w:tr>
    </w:tbl>
    <w:p w14:paraId="557A39FE" w14:textId="77777777" w:rsidR="003165E5" w:rsidRPr="002F72C4" w:rsidRDefault="003165E5" w:rsidP="003165E5">
      <w:pPr>
        <w:autoSpaceDE w:val="0"/>
        <w:autoSpaceDN w:val="0"/>
        <w:adjustRightInd w:val="0"/>
        <w:spacing w:after="0" w:line="400" w:lineRule="atLeast"/>
        <w:jc w:val="both"/>
        <w:rPr>
          <w:rFonts w:ascii="Times New Roman" w:eastAsia="Calibri" w:hAnsi="Times New Roman" w:cs="Times New Roman"/>
          <w:b/>
          <w:color w:val="000000" w:themeColor="text1"/>
          <w:sz w:val="24"/>
          <w:szCs w:val="24"/>
          <w:lang w:val="en-GB"/>
        </w:rPr>
      </w:pPr>
    </w:p>
    <w:p w14:paraId="4D0FAD20" w14:textId="77777777" w:rsidR="00C44F5A" w:rsidRPr="002F72C4" w:rsidRDefault="00DD08F5" w:rsidP="003165E5">
      <w:pPr>
        <w:autoSpaceDE w:val="0"/>
        <w:autoSpaceDN w:val="0"/>
        <w:adjustRightInd w:val="0"/>
        <w:spacing w:after="0" w:line="400" w:lineRule="atLeast"/>
        <w:jc w:val="both"/>
        <w:rPr>
          <w:rFonts w:ascii="Times New Roman" w:eastAsia="Calibri" w:hAnsi="Times New Roman" w:cs="Times New Roman"/>
          <w:color w:val="000000" w:themeColor="text1"/>
          <w:sz w:val="24"/>
          <w:szCs w:val="24"/>
          <w:lang w:val="en-GB"/>
        </w:rPr>
      </w:pPr>
      <w:r w:rsidRPr="002F72C4">
        <w:rPr>
          <w:rFonts w:ascii="Times New Roman" w:eastAsia="Calibri" w:hAnsi="Times New Roman" w:cs="Times New Roman"/>
          <w:color w:val="000000" w:themeColor="text1"/>
          <w:sz w:val="24"/>
          <w:szCs w:val="24"/>
          <w:lang w:val="en-GB"/>
        </w:rPr>
        <w:t xml:space="preserve">Multiple linear </w:t>
      </w:r>
      <w:r w:rsidR="003165E5" w:rsidRPr="002F72C4">
        <w:rPr>
          <w:rFonts w:ascii="Times New Roman" w:eastAsia="Calibri" w:hAnsi="Times New Roman" w:cs="Times New Roman"/>
          <w:color w:val="000000" w:themeColor="text1"/>
          <w:sz w:val="24"/>
          <w:szCs w:val="24"/>
          <w:lang w:val="en-GB"/>
        </w:rPr>
        <w:t xml:space="preserve">regression analysis was conducted to determine the independent predictors of HRQoL in </w:t>
      </w:r>
      <w:r w:rsidR="00C43971" w:rsidRPr="002F72C4">
        <w:rPr>
          <w:rFonts w:ascii="Times New Roman" w:eastAsia="Calibri" w:hAnsi="Times New Roman" w:cs="Times New Roman"/>
          <w:color w:val="000000" w:themeColor="text1"/>
          <w:sz w:val="24"/>
          <w:szCs w:val="24"/>
          <w:lang w:val="en-GB"/>
        </w:rPr>
        <w:t xml:space="preserve">the </w:t>
      </w:r>
      <w:r w:rsidR="00222258" w:rsidRPr="002F72C4">
        <w:rPr>
          <w:rFonts w:ascii="Times New Roman" w:eastAsia="Calibri" w:hAnsi="Times New Roman" w:cs="Times New Roman"/>
          <w:color w:val="000000" w:themeColor="text1"/>
          <w:sz w:val="24"/>
          <w:szCs w:val="24"/>
          <w:lang w:val="en-GB"/>
        </w:rPr>
        <w:t>population under study.</w:t>
      </w:r>
    </w:p>
    <w:p w14:paraId="6D717505" w14:textId="77777777" w:rsidR="00222258" w:rsidRPr="002F72C4" w:rsidRDefault="00222258" w:rsidP="003165E5">
      <w:pPr>
        <w:autoSpaceDE w:val="0"/>
        <w:autoSpaceDN w:val="0"/>
        <w:adjustRightInd w:val="0"/>
        <w:spacing w:after="0" w:line="400" w:lineRule="atLeast"/>
        <w:jc w:val="both"/>
        <w:rPr>
          <w:rFonts w:ascii="Times New Roman" w:hAnsi="Times New Roman" w:cs="Times New Roman"/>
          <w:color w:val="000000" w:themeColor="text1"/>
          <w:sz w:val="24"/>
          <w:szCs w:val="24"/>
        </w:rPr>
      </w:pPr>
    </w:p>
    <w:p w14:paraId="34A33D33" w14:textId="77777777" w:rsidR="003165E5" w:rsidRPr="002F72C4" w:rsidRDefault="003165E5" w:rsidP="003165E5">
      <w:pPr>
        <w:pStyle w:val="Caption"/>
        <w:rPr>
          <w:rFonts w:ascii="Times New Roman" w:eastAsia="Calibri" w:hAnsi="Times New Roman"/>
          <w:color w:val="000000" w:themeColor="text1"/>
          <w:sz w:val="24"/>
          <w:szCs w:val="24"/>
          <w:lang w:val="en-GB"/>
        </w:rPr>
      </w:pPr>
      <w:bookmarkStart w:id="57" w:name="_Toc86835627"/>
      <w:bookmarkStart w:id="58" w:name="_Toc86835611"/>
      <w:r w:rsidRPr="002F72C4">
        <w:rPr>
          <w:rFonts w:ascii="Times New Roman" w:hAnsi="Times New Roman"/>
          <w:color w:val="000000" w:themeColor="text1"/>
          <w:sz w:val="24"/>
          <w:szCs w:val="24"/>
        </w:rPr>
        <w:t xml:space="preserve">Table </w:t>
      </w:r>
      <w:r w:rsidRPr="002F72C4">
        <w:rPr>
          <w:rFonts w:ascii="Times New Roman" w:hAnsi="Times New Roman"/>
          <w:color w:val="000000" w:themeColor="text1"/>
          <w:sz w:val="24"/>
          <w:szCs w:val="24"/>
        </w:rPr>
        <w:fldChar w:fldCharType="begin"/>
      </w:r>
      <w:r w:rsidRPr="002F72C4">
        <w:rPr>
          <w:rFonts w:ascii="Times New Roman" w:hAnsi="Times New Roman"/>
          <w:color w:val="000000" w:themeColor="text1"/>
          <w:sz w:val="24"/>
          <w:szCs w:val="24"/>
        </w:rPr>
        <w:instrText xml:space="preserve"> SEQ Table \* ARABIC </w:instrText>
      </w:r>
      <w:r w:rsidRPr="002F72C4">
        <w:rPr>
          <w:rFonts w:ascii="Times New Roman" w:hAnsi="Times New Roman"/>
          <w:color w:val="000000" w:themeColor="text1"/>
          <w:sz w:val="24"/>
          <w:szCs w:val="24"/>
        </w:rPr>
        <w:fldChar w:fldCharType="separate"/>
      </w:r>
      <w:r w:rsidR="00222258" w:rsidRPr="002F72C4">
        <w:rPr>
          <w:rFonts w:ascii="Times New Roman" w:hAnsi="Times New Roman"/>
          <w:noProof/>
          <w:color w:val="000000" w:themeColor="text1"/>
          <w:sz w:val="24"/>
          <w:szCs w:val="24"/>
        </w:rPr>
        <w:t>6</w:t>
      </w:r>
      <w:r w:rsidRPr="002F72C4">
        <w:rPr>
          <w:rFonts w:ascii="Times New Roman" w:hAnsi="Times New Roman"/>
          <w:color w:val="000000" w:themeColor="text1"/>
          <w:sz w:val="24"/>
          <w:szCs w:val="24"/>
        </w:rPr>
        <w:fldChar w:fldCharType="end"/>
      </w:r>
      <w:r w:rsidRPr="002F72C4">
        <w:rPr>
          <w:rFonts w:ascii="Times New Roman" w:eastAsia="Calibri" w:hAnsi="Times New Roman"/>
          <w:color w:val="000000" w:themeColor="text1"/>
          <w:sz w:val="24"/>
          <w:szCs w:val="24"/>
          <w:lang w:val="en-GB"/>
        </w:rPr>
        <w:t>: Independent predictors of HRQoL among study participants</w:t>
      </w:r>
      <w:bookmarkEnd w:id="57"/>
      <w:bookmarkEnd w:id="58"/>
    </w:p>
    <w:tbl>
      <w:tblPr>
        <w:tblStyle w:val="TableGrid"/>
        <w:tblW w:w="0" w:type="auto"/>
        <w:tblLook w:val="04A0" w:firstRow="1" w:lastRow="0" w:firstColumn="1" w:lastColumn="0" w:noHBand="0" w:noVBand="1"/>
      </w:tblPr>
      <w:tblGrid>
        <w:gridCol w:w="1958"/>
        <w:gridCol w:w="996"/>
        <w:gridCol w:w="1162"/>
        <w:gridCol w:w="1162"/>
        <w:gridCol w:w="1588"/>
        <w:gridCol w:w="1543"/>
      </w:tblGrid>
      <w:tr w:rsidR="002F72C4" w:rsidRPr="002F72C4" w14:paraId="75074979" w14:textId="77777777" w:rsidTr="00EE382C">
        <w:trPr>
          <w:trHeight w:val="278"/>
        </w:trPr>
        <w:tc>
          <w:tcPr>
            <w:tcW w:w="1958" w:type="dxa"/>
            <w:tcBorders>
              <w:left w:val="nil"/>
              <w:bottom w:val="single" w:sz="4" w:space="0" w:color="auto"/>
              <w:right w:val="nil"/>
            </w:tcBorders>
          </w:tcPr>
          <w:p w14:paraId="756F9515" w14:textId="77777777" w:rsidR="00F87A23" w:rsidRPr="002F72C4" w:rsidRDefault="00F87A23" w:rsidP="00EE382C">
            <w:pPr>
              <w:rPr>
                <w:rFonts w:ascii="Times New Roman" w:hAnsi="Times New Roman" w:cs="Times New Roman"/>
                <w:b/>
                <w:color w:val="000000" w:themeColor="text1"/>
                <w:sz w:val="24"/>
                <w:szCs w:val="24"/>
                <w:lang w:val="en-GB"/>
              </w:rPr>
            </w:pPr>
          </w:p>
        </w:tc>
        <w:tc>
          <w:tcPr>
            <w:tcW w:w="939" w:type="dxa"/>
            <w:tcBorders>
              <w:left w:val="nil"/>
              <w:bottom w:val="single" w:sz="4" w:space="0" w:color="auto"/>
              <w:right w:val="nil"/>
            </w:tcBorders>
          </w:tcPr>
          <w:p w14:paraId="54B73260" w14:textId="77777777" w:rsidR="00F87A23" w:rsidRPr="002F72C4" w:rsidRDefault="00F87A23" w:rsidP="00EE382C">
            <w:pPr>
              <w:rPr>
                <w:rFonts w:ascii="Times New Roman" w:hAnsi="Times New Roman" w:cs="Times New Roman"/>
                <w:b/>
                <w:color w:val="000000" w:themeColor="text1"/>
                <w:sz w:val="24"/>
                <w:szCs w:val="24"/>
                <w:lang w:val="en-GB"/>
              </w:rPr>
            </w:pPr>
          </w:p>
        </w:tc>
        <w:tc>
          <w:tcPr>
            <w:tcW w:w="1162" w:type="dxa"/>
            <w:tcBorders>
              <w:left w:val="nil"/>
              <w:bottom w:val="single" w:sz="4" w:space="0" w:color="auto"/>
              <w:right w:val="nil"/>
            </w:tcBorders>
          </w:tcPr>
          <w:p w14:paraId="13146E82" w14:textId="77777777" w:rsidR="00F87A23" w:rsidRPr="002F72C4" w:rsidRDefault="00F87A23" w:rsidP="00EE382C">
            <w:pPr>
              <w:rPr>
                <w:rFonts w:ascii="Times New Roman" w:hAnsi="Times New Roman" w:cs="Times New Roman"/>
                <w:b/>
                <w:color w:val="000000" w:themeColor="text1"/>
                <w:sz w:val="24"/>
                <w:szCs w:val="24"/>
                <w:lang w:val="en-GB"/>
              </w:rPr>
            </w:pPr>
          </w:p>
        </w:tc>
        <w:tc>
          <w:tcPr>
            <w:tcW w:w="1162" w:type="dxa"/>
            <w:tcBorders>
              <w:left w:val="nil"/>
              <w:bottom w:val="single" w:sz="4" w:space="0" w:color="auto"/>
              <w:right w:val="nil"/>
            </w:tcBorders>
          </w:tcPr>
          <w:p w14:paraId="11E03EB5" w14:textId="77777777" w:rsidR="00F87A23" w:rsidRPr="002F72C4" w:rsidRDefault="00F87A23" w:rsidP="00EE382C">
            <w:pPr>
              <w:rPr>
                <w:rFonts w:ascii="Times New Roman" w:hAnsi="Times New Roman" w:cs="Times New Roman"/>
                <w:b/>
                <w:color w:val="000000" w:themeColor="text1"/>
                <w:sz w:val="24"/>
                <w:szCs w:val="24"/>
                <w:lang w:val="en-GB"/>
              </w:rPr>
            </w:pPr>
          </w:p>
        </w:tc>
        <w:tc>
          <w:tcPr>
            <w:tcW w:w="1588" w:type="dxa"/>
            <w:tcBorders>
              <w:left w:val="nil"/>
              <w:bottom w:val="single" w:sz="4" w:space="0" w:color="auto"/>
              <w:right w:val="nil"/>
            </w:tcBorders>
          </w:tcPr>
          <w:p w14:paraId="62D2522F" w14:textId="24C1E61E" w:rsidR="00F87A23" w:rsidRPr="002F72C4" w:rsidRDefault="00F87A23" w:rsidP="002F72C4">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 xml:space="preserve">95% CI for </w:t>
            </w:r>
            <w:r w:rsidR="00DC721E" w:rsidRPr="002F72C4">
              <w:rPr>
                <w:rFonts w:ascii="Times New Roman" w:hAnsi="Times New Roman" w:cs="Times New Roman"/>
                <w:b/>
                <w:color w:val="000000" w:themeColor="text1"/>
                <w:sz w:val="24"/>
                <w:szCs w:val="24"/>
                <w:lang w:val="en-GB"/>
              </w:rPr>
              <w:t>β</w:t>
            </w:r>
          </w:p>
        </w:tc>
        <w:tc>
          <w:tcPr>
            <w:tcW w:w="1543" w:type="dxa"/>
            <w:tcBorders>
              <w:left w:val="nil"/>
              <w:bottom w:val="single" w:sz="4" w:space="0" w:color="auto"/>
              <w:right w:val="nil"/>
            </w:tcBorders>
          </w:tcPr>
          <w:p w14:paraId="39A7CA43" w14:textId="77777777" w:rsidR="00F87A23" w:rsidRPr="002F72C4" w:rsidRDefault="00F87A23" w:rsidP="00EE382C">
            <w:pPr>
              <w:rPr>
                <w:rFonts w:ascii="Times New Roman" w:hAnsi="Times New Roman" w:cs="Times New Roman"/>
                <w:b/>
                <w:color w:val="000000" w:themeColor="text1"/>
                <w:sz w:val="24"/>
                <w:szCs w:val="24"/>
                <w:lang w:val="en-GB"/>
              </w:rPr>
            </w:pPr>
          </w:p>
        </w:tc>
      </w:tr>
      <w:tr w:rsidR="002F72C4" w:rsidRPr="002F72C4" w14:paraId="1EAF5F9C" w14:textId="77777777" w:rsidTr="00EE382C">
        <w:trPr>
          <w:trHeight w:val="262"/>
        </w:trPr>
        <w:tc>
          <w:tcPr>
            <w:tcW w:w="1958" w:type="dxa"/>
            <w:tcBorders>
              <w:left w:val="nil"/>
              <w:bottom w:val="single" w:sz="4" w:space="0" w:color="auto"/>
              <w:right w:val="nil"/>
            </w:tcBorders>
          </w:tcPr>
          <w:p w14:paraId="339A9EB2" w14:textId="77777777" w:rsidR="00F87A23" w:rsidRPr="002F72C4" w:rsidRDefault="00F87A23" w:rsidP="00EE382C">
            <w:pPr>
              <w:rPr>
                <w:rFonts w:ascii="Times New Roman" w:hAnsi="Times New Roman" w:cs="Times New Roman"/>
                <w:b/>
                <w:color w:val="000000" w:themeColor="text1"/>
                <w:sz w:val="24"/>
                <w:szCs w:val="24"/>
                <w:lang w:val="en-GB"/>
              </w:rPr>
            </w:pPr>
          </w:p>
        </w:tc>
        <w:tc>
          <w:tcPr>
            <w:tcW w:w="939" w:type="dxa"/>
            <w:tcBorders>
              <w:left w:val="nil"/>
              <w:bottom w:val="single" w:sz="4" w:space="0" w:color="auto"/>
              <w:right w:val="nil"/>
            </w:tcBorders>
          </w:tcPr>
          <w:p w14:paraId="4DC6D054" w14:textId="6188E119" w:rsidR="00F87A23" w:rsidRPr="002F72C4" w:rsidRDefault="00DC721E" w:rsidP="00DC721E">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β</w:t>
            </w:r>
          </w:p>
        </w:tc>
        <w:tc>
          <w:tcPr>
            <w:tcW w:w="1162" w:type="dxa"/>
            <w:tcBorders>
              <w:left w:val="nil"/>
              <w:bottom w:val="single" w:sz="4" w:space="0" w:color="auto"/>
              <w:right w:val="nil"/>
            </w:tcBorders>
          </w:tcPr>
          <w:p w14:paraId="5F331329" w14:textId="5B307278" w:rsidR="00F87A23" w:rsidRPr="002F72C4" w:rsidRDefault="00C00FC4" w:rsidP="00DC721E">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T</w:t>
            </w:r>
          </w:p>
        </w:tc>
        <w:tc>
          <w:tcPr>
            <w:tcW w:w="1162" w:type="dxa"/>
            <w:tcBorders>
              <w:left w:val="nil"/>
              <w:bottom w:val="single" w:sz="4" w:space="0" w:color="auto"/>
              <w:right w:val="nil"/>
            </w:tcBorders>
          </w:tcPr>
          <w:p w14:paraId="4572F445" w14:textId="77777777" w:rsidR="00F87A23" w:rsidRPr="002F72C4" w:rsidRDefault="00F87A23" w:rsidP="00DC721E">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p-value</w:t>
            </w:r>
          </w:p>
        </w:tc>
        <w:tc>
          <w:tcPr>
            <w:tcW w:w="1588" w:type="dxa"/>
            <w:tcBorders>
              <w:left w:val="nil"/>
              <w:bottom w:val="single" w:sz="4" w:space="0" w:color="auto"/>
              <w:right w:val="nil"/>
            </w:tcBorders>
          </w:tcPr>
          <w:p w14:paraId="6611D5E1" w14:textId="77777777" w:rsidR="00F87A23" w:rsidRPr="002F72C4" w:rsidRDefault="00F87A23" w:rsidP="00DC721E">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Lower</w:t>
            </w:r>
          </w:p>
        </w:tc>
        <w:tc>
          <w:tcPr>
            <w:tcW w:w="1543" w:type="dxa"/>
            <w:tcBorders>
              <w:left w:val="nil"/>
              <w:bottom w:val="single" w:sz="4" w:space="0" w:color="auto"/>
              <w:right w:val="nil"/>
            </w:tcBorders>
          </w:tcPr>
          <w:p w14:paraId="5546F845" w14:textId="77777777" w:rsidR="00F87A23" w:rsidRPr="002F72C4" w:rsidRDefault="00F87A23" w:rsidP="00DC721E">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Upper</w:t>
            </w:r>
          </w:p>
        </w:tc>
      </w:tr>
      <w:tr w:rsidR="002F72C4" w:rsidRPr="002F72C4" w14:paraId="695E6C23" w14:textId="77777777" w:rsidTr="00EE382C">
        <w:trPr>
          <w:trHeight w:val="278"/>
        </w:trPr>
        <w:tc>
          <w:tcPr>
            <w:tcW w:w="1958" w:type="dxa"/>
            <w:tcBorders>
              <w:left w:val="nil"/>
              <w:bottom w:val="nil"/>
              <w:right w:val="nil"/>
            </w:tcBorders>
          </w:tcPr>
          <w:p w14:paraId="48F3B6C4" w14:textId="77777777" w:rsidR="00F87A23" w:rsidRPr="002F72C4" w:rsidRDefault="00F87A23" w:rsidP="00EE382C">
            <w:pP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(Constant)</w:t>
            </w:r>
          </w:p>
        </w:tc>
        <w:tc>
          <w:tcPr>
            <w:tcW w:w="939" w:type="dxa"/>
            <w:tcBorders>
              <w:left w:val="nil"/>
              <w:bottom w:val="nil"/>
              <w:right w:val="nil"/>
            </w:tcBorders>
          </w:tcPr>
          <w:p w14:paraId="48B767E7"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145.159</w:t>
            </w:r>
          </w:p>
        </w:tc>
        <w:tc>
          <w:tcPr>
            <w:tcW w:w="1162" w:type="dxa"/>
            <w:tcBorders>
              <w:left w:val="nil"/>
              <w:bottom w:val="nil"/>
              <w:right w:val="nil"/>
            </w:tcBorders>
          </w:tcPr>
          <w:p w14:paraId="3F19D592"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20.3</w:t>
            </w:r>
          </w:p>
        </w:tc>
        <w:tc>
          <w:tcPr>
            <w:tcW w:w="1162" w:type="dxa"/>
            <w:tcBorders>
              <w:left w:val="nil"/>
              <w:bottom w:val="nil"/>
              <w:right w:val="nil"/>
            </w:tcBorders>
          </w:tcPr>
          <w:p w14:paraId="5D2314E9"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0.000</w:t>
            </w:r>
          </w:p>
        </w:tc>
        <w:tc>
          <w:tcPr>
            <w:tcW w:w="1588" w:type="dxa"/>
            <w:tcBorders>
              <w:left w:val="nil"/>
              <w:bottom w:val="nil"/>
              <w:right w:val="nil"/>
            </w:tcBorders>
          </w:tcPr>
          <w:p w14:paraId="25E60470"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130.920</w:t>
            </w:r>
          </w:p>
        </w:tc>
        <w:tc>
          <w:tcPr>
            <w:tcW w:w="1543" w:type="dxa"/>
            <w:tcBorders>
              <w:left w:val="nil"/>
              <w:bottom w:val="nil"/>
              <w:right w:val="nil"/>
            </w:tcBorders>
          </w:tcPr>
          <w:p w14:paraId="044515B5"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159.399</w:t>
            </w:r>
          </w:p>
        </w:tc>
      </w:tr>
      <w:tr w:rsidR="002F72C4" w:rsidRPr="002F72C4" w14:paraId="0A70F78E" w14:textId="77777777" w:rsidTr="00EE382C">
        <w:trPr>
          <w:trHeight w:val="278"/>
        </w:trPr>
        <w:tc>
          <w:tcPr>
            <w:tcW w:w="1958" w:type="dxa"/>
            <w:tcBorders>
              <w:top w:val="nil"/>
              <w:left w:val="nil"/>
              <w:bottom w:val="nil"/>
              <w:right w:val="nil"/>
            </w:tcBorders>
          </w:tcPr>
          <w:p w14:paraId="66675B12" w14:textId="77777777" w:rsidR="00F87A23" w:rsidRPr="002F72C4" w:rsidRDefault="00F87A23" w:rsidP="00EE382C">
            <w:pP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Gender(Male)</w:t>
            </w:r>
          </w:p>
        </w:tc>
        <w:tc>
          <w:tcPr>
            <w:tcW w:w="939" w:type="dxa"/>
            <w:tcBorders>
              <w:top w:val="nil"/>
              <w:left w:val="nil"/>
              <w:bottom w:val="nil"/>
              <w:right w:val="nil"/>
            </w:tcBorders>
          </w:tcPr>
          <w:p w14:paraId="261DB202"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-0.248</w:t>
            </w:r>
          </w:p>
        </w:tc>
        <w:tc>
          <w:tcPr>
            <w:tcW w:w="1162" w:type="dxa"/>
            <w:tcBorders>
              <w:top w:val="nil"/>
              <w:left w:val="nil"/>
              <w:bottom w:val="nil"/>
              <w:right w:val="nil"/>
            </w:tcBorders>
          </w:tcPr>
          <w:p w14:paraId="5C42C2DA"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-0.051</w:t>
            </w:r>
          </w:p>
        </w:tc>
        <w:tc>
          <w:tcPr>
            <w:tcW w:w="1162" w:type="dxa"/>
            <w:tcBorders>
              <w:top w:val="nil"/>
              <w:left w:val="nil"/>
              <w:bottom w:val="nil"/>
              <w:right w:val="nil"/>
            </w:tcBorders>
          </w:tcPr>
          <w:p w14:paraId="083A1405"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0.960</w:t>
            </w:r>
          </w:p>
        </w:tc>
        <w:tc>
          <w:tcPr>
            <w:tcW w:w="1588" w:type="dxa"/>
            <w:tcBorders>
              <w:top w:val="nil"/>
              <w:left w:val="nil"/>
              <w:bottom w:val="nil"/>
              <w:right w:val="nil"/>
            </w:tcBorders>
          </w:tcPr>
          <w:p w14:paraId="371EA9BB"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-10.005</w:t>
            </w:r>
          </w:p>
        </w:tc>
        <w:tc>
          <w:tcPr>
            <w:tcW w:w="1543" w:type="dxa"/>
            <w:tcBorders>
              <w:top w:val="nil"/>
              <w:left w:val="nil"/>
              <w:bottom w:val="nil"/>
              <w:right w:val="nil"/>
            </w:tcBorders>
          </w:tcPr>
          <w:p w14:paraId="2E624154"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9.509</w:t>
            </w:r>
          </w:p>
        </w:tc>
      </w:tr>
      <w:tr w:rsidR="002F72C4" w:rsidRPr="002F72C4" w14:paraId="0606AA32" w14:textId="77777777" w:rsidTr="00EE382C">
        <w:trPr>
          <w:trHeight w:val="278"/>
        </w:trPr>
        <w:tc>
          <w:tcPr>
            <w:tcW w:w="1958" w:type="dxa"/>
            <w:tcBorders>
              <w:top w:val="nil"/>
              <w:left w:val="nil"/>
              <w:bottom w:val="nil"/>
              <w:right w:val="nil"/>
            </w:tcBorders>
          </w:tcPr>
          <w:p w14:paraId="2AD5B35E" w14:textId="14509A1F" w:rsidR="00F87A23" w:rsidRPr="002F72C4" w:rsidRDefault="00763F11" w:rsidP="00763F11">
            <w:pP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Diabetes presence</w:t>
            </w:r>
          </w:p>
        </w:tc>
        <w:tc>
          <w:tcPr>
            <w:tcW w:w="939" w:type="dxa"/>
            <w:tcBorders>
              <w:top w:val="nil"/>
              <w:left w:val="nil"/>
              <w:bottom w:val="nil"/>
              <w:right w:val="nil"/>
            </w:tcBorders>
          </w:tcPr>
          <w:p w14:paraId="634EDA23"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-11.673</w:t>
            </w:r>
          </w:p>
        </w:tc>
        <w:tc>
          <w:tcPr>
            <w:tcW w:w="1162" w:type="dxa"/>
            <w:tcBorders>
              <w:top w:val="nil"/>
              <w:left w:val="nil"/>
              <w:bottom w:val="nil"/>
              <w:right w:val="nil"/>
            </w:tcBorders>
          </w:tcPr>
          <w:p w14:paraId="63136B5F"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-2.421</w:t>
            </w:r>
          </w:p>
        </w:tc>
        <w:tc>
          <w:tcPr>
            <w:tcW w:w="1162" w:type="dxa"/>
            <w:tcBorders>
              <w:top w:val="nil"/>
              <w:left w:val="nil"/>
              <w:bottom w:val="nil"/>
              <w:right w:val="nil"/>
            </w:tcBorders>
          </w:tcPr>
          <w:p w14:paraId="7B0B029C" w14:textId="77777777" w:rsidR="00F87A23" w:rsidRPr="002F72C4" w:rsidRDefault="00F87A23" w:rsidP="00DC721E">
            <w:pPr>
              <w:jc w:val="center"/>
              <w:rPr>
                <w:rFonts w:ascii="Times New Roman" w:hAnsi="Times New Roman" w:cs="Times New Roman"/>
                <w:b/>
                <w:color w:val="000000" w:themeColor="text1"/>
                <w:sz w:val="24"/>
                <w:szCs w:val="24"/>
                <w:lang w:val="en-GB"/>
              </w:rPr>
            </w:pPr>
            <w:r w:rsidRPr="002F72C4">
              <w:rPr>
                <w:rFonts w:ascii="Times New Roman" w:hAnsi="Times New Roman" w:cs="Times New Roman"/>
                <w:b/>
                <w:color w:val="000000" w:themeColor="text1"/>
                <w:sz w:val="24"/>
                <w:szCs w:val="24"/>
                <w:lang w:val="en-GB"/>
              </w:rPr>
              <w:t>0.018</w:t>
            </w:r>
          </w:p>
        </w:tc>
        <w:tc>
          <w:tcPr>
            <w:tcW w:w="1588" w:type="dxa"/>
            <w:tcBorders>
              <w:top w:val="nil"/>
              <w:left w:val="nil"/>
              <w:bottom w:val="nil"/>
              <w:right w:val="nil"/>
            </w:tcBorders>
          </w:tcPr>
          <w:p w14:paraId="70701879"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-21.283</w:t>
            </w:r>
          </w:p>
        </w:tc>
        <w:tc>
          <w:tcPr>
            <w:tcW w:w="1543" w:type="dxa"/>
            <w:tcBorders>
              <w:top w:val="nil"/>
              <w:left w:val="nil"/>
              <w:bottom w:val="nil"/>
              <w:right w:val="nil"/>
            </w:tcBorders>
          </w:tcPr>
          <w:p w14:paraId="1767D943"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-2.064</w:t>
            </w:r>
          </w:p>
        </w:tc>
      </w:tr>
      <w:tr w:rsidR="002F72C4" w:rsidRPr="002F72C4" w14:paraId="3C63778F" w14:textId="77777777" w:rsidTr="00EE382C">
        <w:trPr>
          <w:trHeight w:val="278"/>
        </w:trPr>
        <w:tc>
          <w:tcPr>
            <w:tcW w:w="1958" w:type="dxa"/>
            <w:tcBorders>
              <w:top w:val="nil"/>
              <w:left w:val="nil"/>
              <w:bottom w:val="nil"/>
              <w:right w:val="nil"/>
            </w:tcBorders>
          </w:tcPr>
          <w:p w14:paraId="48BC053F" w14:textId="760F7163" w:rsidR="00F87A23" w:rsidRPr="002F72C4" w:rsidRDefault="002F72C4" w:rsidP="002F72C4">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High c</w:t>
            </w:r>
            <w:r w:rsidR="00F87A23" w:rsidRPr="002F72C4">
              <w:rPr>
                <w:rFonts w:ascii="Times New Roman" w:hAnsi="Times New Roman" w:cs="Times New Roman"/>
                <w:color w:val="000000" w:themeColor="text1"/>
                <w:sz w:val="24"/>
                <w:szCs w:val="24"/>
                <w:lang w:val="en-GB"/>
              </w:rPr>
              <w:t>reatinine levels</w:t>
            </w:r>
          </w:p>
        </w:tc>
        <w:tc>
          <w:tcPr>
            <w:tcW w:w="939" w:type="dxa"/>
            <w:tcBorders>
              <w:top w:val="nil"/>
              <w:left w:val="nil"/>
              <w:bottom w:val="nil"/>
              <w:right w:val="nil"/>
            </w:tcBorders>
          </w:tcPr>
          <w:p w14:paraId="70222DDB"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-0.048</w:t>
            </w:r>
          </w:p>
        </w:tc>
        <w:tc>
          <w:tcPr>
            <w:tcW w:w="1162" w:type="dxa"/>
            <w:tcBorders>
              <w:top w:val="nil"/>
              <w:left w:val="nil"/>
              <w:bottom w:val="nil"/>
              <w:right w:val="nil"/>
            </w:tcBorders>
          </w:tcPr>
          <w:p w14:paraId="6A4620F1"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-1.684</w:t>
            </w:r>
          </w:p>
        </w:tc>
        <w:tc>
          <w:tcPr>
            <w:tcW w:w="1162" w:type="dxa"/>
            <w:tcBorders>
              <w:top w:val="nil"/>
              <w:left w:val="nil"/>
              <w:bottom w:val="nil"/>
              <w:right w:val="nil"/>
            </w:tcBorders>
          </w:tcPr>
          <w:p w14:paraId="1F6ABD75"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0.096</w:t>
            </w:r>
          </w:p>
        </w:tc>
        <w:tc>
          <w:tcPr>
            <w:tcW w:w="1588" w:type="dxa"/>
            <w:tcBorders>
              <w:top w:val="nil"/>
              <w:left w:val="nil"/>
              <w:bottom w:val="nil"/>
              <w:right w:val="nil"/>
            </w:tcBorders>
          </w:tcPr>
          <w:p w14:paraId="5CF2E74D"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-0.105</w:t>
            </w:r>
          </w:p>
        </w:tc>
        <w:tc>
          <w:tcPr>
            <w:tcW w:w="1543" w:type="dxa"/>
            <w:tcBorders>
              <w:top w:val="nil"/>
              <w:left w:val="nil"/>
              <w:bottom w:val="nil"/>
              <w:right w:val="nil"/>
            </w:tcBorders>
          </w:tcPr>
          <w:p w14:paraId="6DA05ED8"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0.009</w:t>
            </w:r>
          </w:p>
        </w:tc>
      </w:tr>
      <w:tr w:rsidR="002F72C4" w:rsidRPr="002F72C4" w14:paraId="1656CDD8" w14:textId="77777777" w:rsidTr="00EE382C">
        <w:trPr>
          <w:trHeight w:val="286"/>
        </w:trPr>
        <w:tc>
          <w:tcPr>
            <w:tcW w:w="1958" w:type="dxa"/>
            <w:tcBorders>
              <w:top w:val="nil"/>
              <w:left w:val="nil"/>
              <w:right w:val="nil"/>
            </w:tcBorders>
          </w:tcPr>
          <w:p w14:paraId="4EEE82CA" w14:textId="576C5A9B" w:rsidR="00F87A23" w:rsidRPr="002F72C4" w:rsidRDefault="002F72C4" w:rsidP="002F72C4">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Long-time post </w:t>
            </w:r>
            <w:r w:rsidR="00F87A23" w:rsidRPr="002F72C4">
              <w:rPr>
                <w:rFonts w:ascii="Times New Roman" w:hAnsi="Times New Roman" w:cs="Times New Roman"/>
                <w:color w:val="000000" w:themeColor="text1"/>
                <w:sz w:val="24"/>
                <w:szCs w:val="24"/>
                <w:lang w:val="en-GB"/>
              </w:rPr>
              <w:t>transplantation</w:t>
            </w:r>
          </w:p>
        </w:tc>
        <w:tc>
          <w:tcPr>
            <w:tcW w:w="939" w:type="dxa"/>
            <w:tcBorders>
              <w:top w:val="nil"/>
              <w:left w:val="nil"/>
              <w:right w:val="nil"/>
            </w:tcBorders>
          </w:tcPr>
          <w:p w14:paraId="2F1C510E"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0.006</w:t>
            </w:r>
          </w:p>
        </w:tc>
        <w:tc>
          <w:tcPr>
            <w:tcW w:w="1162" w:type="dxa"/>
            <w:tcBorders>
              <w:top w:val="nil"/>
              <w:left w:val="nil"/>
              <w:right w:val="nil"/>
            </w:tcBorders>
          </w:tcPr>
          <w:p w14:paraId="6C5E5F79"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0.125</w:t>
            </w:r>
          </w:p>
        </w:tc>
        <w:tc>
          <w:tcPr>
            <w:tcW w:w="1162" w:type="dxa"/>
            <w:tcBorders>
              <w:top w:val="nil"/>
              <w:left w:val="nil"/>
              <w:right w:val="nil"/>
            </w:tcBorders>
          </w:tcPr>
          <w:p w14:paraId="7B81998B"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0.901</w:t>
            </w:r>
          </w:p>
        </w:tc>
        <w:tc>
          <w:tcPr>
            <w:tcW w:w="1588" w:type="dxa"/>
            <w:tcBorders>
              <w:top w:val="nil"/>
              <w:left w:val="nil"/>
              <w:right w:val="nil"/>
            </w:tcBorders>
          </w:tcPr>
          <w:p w14:paraId="35EC5B9D"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-0.092</w:t>
            </w:r>
          </w:p>
        </w:tc>
        <w:tc>
          <w:tcPr>
            <w:tcW w:w="1543" w:type="dxa"/>
            <w:tcBorders>
              <w:top w:val="nil"/>
              <w:left w:val="nil"/>
              <w:right w:val="nil"/>
            </w:tcBorders>
          </w:tcPr>
          <w:p w14:paraId="47836216" w14:textId="77777777" w:rsidR="00F87A23" w:rsidRPr="002F72C4" w:rsidRDefault="00F87A23" w:rsidP="00DC721E">
            <w:pPr>
              <w:jc w:val="center"/>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0.104</w:t>
            </w:r>
          </w:p>
        </w:tc>
      </w:tr>
    </w:tbl>
    <w:p w14:paraId="1B23A7DF" w14:textId="77777777" w:rsidR="00222258" w:rsidRPr="002F72C4" w:rsidRDefault="00222258" w:rsidP="00222258">
      <w:pPr>
        <w:autoSpaceDE w:val="0"/>
        <w:autoSpaceDN w:val="0"/>
        <w:adjustRightInd w:val="0"/>
        <w:spacing w:after="0" w:line="400" w:lineRule="atLeast"/>
        <w:jc w:val="both"/>
        <w:rPr>
          <w:rFonts w:ascii="Times New Roman" w:hAnsi="Times New Roman" w:cs="Times New Roman"/>
          <w:color w:val="000000" w:themeColor="text1"/>
          <w:sz w:val="24"/>
          <w:szCs w:val="24"/>
        </w:rPr>
      </w:pPr>
      <w:bookmarkStart w:id="59" w:name="_Toc86908076"/>
    </w:p>
    <w:p w14:paraId="41EBC5AB" w14:textId="7B9F9A53" w:rsidR="00222258" w:rsidRPr="002F72C4" w:rsidRDefault="00222258" w:rsidP="00222258">
      <w:pPr>
        <w:autoSpaceDE w:val="0"/>
        <w:autoSpaceDN w:val="0"/>
        <w:adjustRightInd w:val="0"/>
        <w:spacing w:after="0" w:line="400" w:lineRule="atLeast"/>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Male gender showed a reduction in the overall HRQoL by 0.248 points</w:t>
      </w:r>
      <w:r w:rsidR="002F72C4">
        <w:rPr>
          <w:rFonts w:ascii="Times New Roman" w:hAnsi="Times New Roman" w:cs="Times New Roman"/>
          <w:color w:val="000000" w:themeColor="text1"/>
          <w:sz w:val="24"/>
          <w:szCs w:val="24"/>
        </w:rPr>
        <w:t xml:space="preserve"> compared to female</w:t>
      </w:r>
      <w:r w:rsidRPr="002F72C4">
        <w:rPr>
          <w:rFonts w:ascii="Times New Roman" w:hAnsi="Times New Roman" w:cs="Times New Roman"/>
          <w:color w:val="000000" w:themeColor="text1"/>
          <w:sz w:val="24"/>
          <w:szCs w:val="24"/>
        </w:rPr>
        <w:t xml:space="preserve">. </w:t>
      </w:r>
      <w:r w:rsidR="002F72C4">
        <w:rPr>
          <w:rFonts w:ascii="Times New Roman" w:hAnsi="Times New Roman" w:cs="Times New Roman"/>
          <w:color w:val="000000" w:themeColor="text1"/>
          <w:sz w:val="24"/>
          <w:szCs w:val="24"/>
        </w:rPr>
        <w:t>Comorbidity with</w:t>
      </w:r>
      <w:r w:rsidRPr="002F72C4">
        <w:rPr>
          <w:rFonts w:ascii="Times New Roman" w:hAnsi="Times New Roman" w:cs="Times New Roman"/>
          <w:color w:val="000000" w:themeColor="text1"/>
          <w:sz w:val="24"/>
          <w:szCs w:val="24"/>
        </w:rPr>
        <w:t xml:space="preserve"> diabetes reduced the overall HRQoL score by 11.673 points</w:t>
      </w:r>
      <w:r w:rsidR="002F72C4">
        <w:rPr>
          <w:rFonts w:ascii="Times New Roman" w:hAnsi="Times New Roman" w:cs="Times New Roman"/>
          <w:color w:val="000000" w:themeColor="text1"/>
          <w:sz w:val="24"/>
          <w:szCs w:val="24"/>
        </w:rPr>
        <w:t xml:space="preserve"> compared to those without</w:t>
      </w:r>
      <w:r w:rsidRPr="002F72C4">
        <w:rPr>
          <w:rFonts w:ascii="Times New Roman" w:hAnsi="Times New Roman" w:cs="Times New Roman"/>
          <w:color w:val="000000" w:themeColor="text1"/>
          <w:sz w:val="24"/>
          <w:szCs w:val="24"/>
        </w:rPr>
        <w:t xml:space="preserve">. Side effects </w:t>
      </w:r>
      <w:r w:rsidR="00DC721E" w:rsidRPr="002F72C4">
        <w:rPr>
          <w:rFonts w:ascii="Times New Roman" w:hAnsi="Times New Roman" w:cs="Times New Roman"/>
          <w:color w:val="000000" w:themeColor="text1"/>
          <w:sz w:val="24"/>
          <w:szCs w:val="24"/>
        </w:rPr>
        <w:t xml:space="preserve">of medications </w:t>
      </w:r>
      <w:r w:rsidRPr="002F72C4">
        <w:rPr>
          <w:rFonts w:ascii="Times New Roman" w:hAnsi="Times New Roman" w:cs="Times New Roman"/>
          <w:color w:val="000000" w:themeColor="text1"/>
          <w:sz w:val="24"/>
          <w:szCs w:val="24"/>
        </w:rPr>
        <w:t xml:space="preserve">also had a negative effect on HRQoL reducing the quality of life by 7.004 units. Increasing level of </w:t>
      </w:r>
      <w:r w:rsidR="00DC721E" w:rsidRPr="002F72C4">
        <w:rPr>
          <w:rFonts w:ascii="Times New Roman" w:hAnsi="Times New Roman" w:cs="Times New Roman"/>
          <w:color w:val="000000" w:themeColor="text1"/>
          <w:sz w:val="24"/>
          <w:szCs w:val="24"/>
        </w:rPr>
        <w:t xml:space="preserve">serum </w:t>
      </w:r>
      <w:r w:rsidRPr="002F72C4">
        <w:rPr>
          <w:rFonts w:ascii="Times New Roman" w:hAnsi="Times New Roman" w:cs="Times New Roman"/>
          <w:color w:val="000000" w:themeColor="text1"/>
          <w:sz w:val="24"/>
          <w:szCs w:val="24"/>
        </w:rPr>
        <w:t xml:space="preserve">creatinine by a unit had a minimal reduction </w:t>
      </w:r>
      <w:r w:rsidR="002F72C4">
        <w:rPr>
          <w:rFonts w:ascii="Times New Roman" w:hAnsi="Times New Roman" w:cs="Times New Roman"/>
          <w:color w:val="000000" w:themeColor="text1"/>
          <w:sz w:val="24"/>
          <w:szCs w:val="24"/>
        </w:rPr>
        <w:t>HRQoL</w:t>
      </w:r>
      <w:r w:rsidRPr="002F72C4">
        <w:rPr>
          <w:rFonts w:ascii="Times New Roman" w:hAnsi="Times New Roman" w:cs="Times New Roman"/>
          <w:color w:val="000000" w:themeColor="text1"/>
          <w:sz w:val="24"/>
          <w:szCs w:val="24"/>
        </w:rPr>
        <w:t xml:space="preserve"> </w:t>
      </w:r>
      <w:r w:rsidR="00DC721E" w:rsidRPr="002F72C4">
        <w:rPr>
          <w:rFonts w:ascii="Times New Roman" w:hAnsi="Times New Roman" w:cs="Times New Roman"/>
          <w:color w:val="000000" w:themeColor="text1"/>
          <w:sz w:val="24"/>
          <w:szCs w:val="24"/>
        </w:rPr>
        <w:t>by</w:t>
      </w:r>
      <w:r w:rsidRPr="002F72C4">
        <w:rPr>
          <w:rFonts w:ascii="Times New Roman" w:hAnsi="Times New Roman" w:cs="Times New Roman"/>
          <w:color w:val="000000" w:themeColor="text1"/>
          <w:sz w:val="24"/>
          <w:szCs w:val="24"/>
        </w:rPr>
        <w:t xml:space="preserve"> 0.048, while a unit increase on duration of transplant increased </w:t>
      </w:r>
      <w:r w:rsidR="00DC721E" w:rsidRPr="002F72C4">
        <w:rPr>
          <w:rFonts w:ascii="Times New Roman" w:hAnsi="Times New Roman" w:cs="Times New Roman"/>
          <w:color w:val="000000" w:themeColor="text1"/>
          <w:sz w:val="24"/>
          <w:szCs w:val="24"/>
        </w:rPr>
        <w:t xml:space="preserve">HRQoL </w:t>
      </w:r>
      <w:r w:rsidRPr="002F72C4">
        <w:rPr>
          <w:rFonts w:ascii="Times New Roman" w:hAnsi="Times New Roman" w:cs="Times New Roman"/>
          <w:color w:val="000000" w:themeColor="text1"/>
          <w:sz w:val="24"/>
          <w:szCs w:val="24"/>
        </w:rPr>
        <w:t xml:space="preserve">by a negligible amount of 0.006. </w:t>
      </w:r>
      <w:r w:rsidR="002F72C4">
        <w:rPr>
          <w:rFonts w:ascii="Times New Roman" w:hAnsi="Times New Roman" w:cs="Times New Roman"/>
          <w:color w:val="000000" w:themeColor="text1"/>
          <w:sz w:val="24"/>
          <w:szCs w:val="24"/>
        </w:rPr>
        <w:t>The independent predictor</w:t>
      </w:r>
      <w:r w:rsidRPr="002F72C4">
        <w:rPr>
          <w:rFonts w:ascii="Times New Roman" w:hAnsi="Times New Roman" w:cs="Times New Roman"/>
          <w:color w:val="000000" w:themeColor="text1"/>
          <w:sz w:val="24"/>
          <w:szCs w:val="24"/>
        </w:rPr>
        <w:t xml:space="preserve"> </w:t>
      </w:r>
      <w:r w:rsidR="00763F11" w:rsidRPr="002F72C4">
        <w:rPr>
          <w:rFonts w:ascii="Times New Roman" w:hAnsi="Times New Roman" w:cs="Times New Roman"/>
          <w:color w:val="000000" w:themeColor="text1"/>
          <w:sz w:val="24"/>
          <w:szCs w:val="24"/>
        </w:rPr>
        <w:t xml:space="preserve">that decreased the quality of life was the presence of </w:t>
      </w:r>
      <w:r w:rsidR="002F72C4" w:rsidRPr="002F72C4">
        <w:rPr>
          <w:rFonts w:ascii="Times New Roman" w:hAnsi="Times New Roman" w:cs="Times New Roman"/>
          <w:color w:val="000000" w:themeColor="text1"/>
          <w:sz w:val="24"/>
          <w:szCs w:val="24"/>
        </w:rPr>
        <w:t>diabetes</w:t>
      </w:r>
      <w:r w:rsidR="002F72C4">
        <w:rPr>
          <w:rFonts w:ascii="Times New Roman" w:hAnsi="Times New Roman" w:cs="Times New Roman"/>
          <w:color w:val="000000" w:themeColor="text1"/>
          <w:sz w:val="24"/>
          <w:szCs w:val="24"/>
        </w:rPr>
        <w:t>(p=0.018)</w:t>
      </w:r>
      <w:r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b/>
          <w:color w:val="000000" w:themeColor="text1"/>
          <w:sz w:val="24"/>
          <w:szCs w:val="24"/>
        </w:rPr>
        <w:t>Table 6</w:t>
      </w:r>
      <w:r w:rsidRPr="002F72C4">
        <w:rPr>
          <w:rFonts w:ascii="Times New Roman" w:hAnsi="Times New Roman" w:cs="Times New Roman"/>
          <w:color w:val="000000" w:themeColor="text1"/>
          <w:sz w:val="24"/>
          <w:szCs w:val="24"/>
        </w:rPr>
        <w:t>).</w:t>
      </w:r>
    </w:p>
    <w:p w14:paraId="78F2F097" w14:textId="32E9074C" w:rsidR="003165E5" w:rsidRPr="002F72C4" w:rsidRDefault="00AA0560" w:rsidP="00495046">
      <w:pPr>
        <w:pStyle w:val="Heading1"/>
        <w:rPr>
          <w:rFonts w:cs="Times New Roman"/>
          <w:b/>
          <w:color w:val="000000" w:themeColor="text1"/>
          <w:szCs w:val="24"/>
        </w:rPr>
      </w:pPr>
      <w:r w:rsidRPr="002F72C4">
        <w:rPr>
          <w:rFonts w:cs="Times New Roman"/>
          <w:b/>
          <w:color w:val="000000" w:themeColor="text1"/>
          <w:szCs w:val="24"/>
        </w:rPr>
        <w:t>Discussion</w:t>
      </w:r>
      <w:bookmarkEnd w:id="59"/>
    </w:p>
    <w:p w14:paraId="1B04D8B4" w14:textId="2F47439B" w:rsidR="00CA71A6" w:rsidRPr="002F72C4" w:rsidRDefault="008669DC" w:rsidP="002A24FE">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The present study characterizes the health related quality of life among patients who had undergone renal transplantation in the large</w:t>
      </w:r>
      <w:r w:rsidR="005F15CD">
        <w:rPr>
          <w:rFonts w:ascii="Times New Roman" w:hAnsi="Times New Roman" w:cs="Times New Roman"/>
          <w:color w:val="000000" w:themeColor="text1"/>
          <w:sz w:val="24"/>
          <w:szCs w:val="24"/>
          <w:lang w:val="en-GB"/>
        </w:rPr>
        <w:t>st</w:t>
      </w:r>
      <w:r w:rsidRPr="002F72C4">
        <w:rPr>
          <w:rFonts w:ascii="Times New Roman" w:hAnsi="Times New Roman" w:cs="Times New Roman"/>
          <w:color w:val="000000" w:themeColor="text1"/>
          <w:sz w:val="24"/>
          <w:szCs w:val="24"/>
          <w:lang w:val="en-GB"/>
        </w:rPr>
        <w:t xml:space="preserve"> referral and t</w:t>
      </w:r>
      <w:r w:rsidR="00763F11" w:rsidRPr="002F72C4">
        <w:rPr>
          <w:rFonts w:ascii="Times New Roman" w:hAnsi="Times New Roman" w:cs="Times New Roman"/>
          <w:color w:val="000000" w:themeColor="text1"/>
          <w:sz w:val="24"/>
          <w:szCs w:val="24"/>
          <w:lang w:val="en-GB"/>
        </w:rPr>
        <w:t>eaching</w:t>
      </w:r>
      <w:r w:rsidRPr="002F72C4">
        <w:rPr>
          <w:rFonts w:ascii="Times New Roman" w:hAnsi="Times New Roman" w:cs="Times New Roman"/>
          <w:color w:val="000000" w:themeColor="text1"/>
          <w:sz w:val="24"/>
          <w:szCs w:val="24"/>
          <w:lang w:val="en-GB"/>
        </w:rPr>
        <w:t xml:space="preserve"> hospital in East Africa. The overall mean HRQoL score </w:t>
      </w:r>
      <w:r w:rsidR="00763F11" w:rsidRPr="002F72C4">
        <w:rPr>
          <w:rFonts w:ascii="Times New Roman" w:hAnsi="Times New Roman" w:cs="Times New Roman"/>
          <w:color w:val="000000" w:themeColor="text1"/>
          <w:sz w:val="24"/>
          <w:szCs w:val="24"/>
          <w:lang w:val="en-GB"/>
        </w:rPr>
        <w:t>for the</w:t>
      </w:r>
      <w:r w:rsidRPr="002F72C4">
        <w:rPr>
          <w:rFonts w:ascii="Times New Roman" w:hAnsi="Times New Roman" w:cs="Times New Roman"/>
          <w:color w:val="000000" w:themeColor="text1"/>
          <w:sz w:val="24"/>
          <w:szCs w:val="24"/>
          <w:lang w:val="en-GB"/>
        </w:rPr>
        <w:t xml:space="preserve"> study participants was 5.19(</w:t>
      </w:r>
      <w:r w:rsidR="00ED0205">
        <w:rPr>
          <w:rFonts w:ascii="Times New Roman" w:hAnsi="Times New Roman" w:cs="Times New Roman"/>
          <w:color w:val="000000" w:themeColor="text1"/>
          <w:sz w:val="24"/>
          <w:szCs w:val="24"/>
          <w:lang w:val="en-GB"/>
        </w:rPr>
        <w:t>±</w:t>
      </w:r>
      <w:r w:rsidRPr="002F72C4">
        <w:rPr>
          <w:rFonts w:ascii="Times New Roman" w:hAnsi="Times New Roman" w:cs="Times New Roman"/>
          <w:color w:val="000000" w:themeColor="text1"/>
          <w:sz w:val="24"/>
          <w:szCs w:val="24"/>
          <w:lang w:val="en-GB"/>
        </w:rPr>
        <w:t xml:space="preserve">0.78), which was comparable </w:t>
      </w:r>
      <w:r w:rsidR="003431DC" w:rsidRPr="002F72C4">
        <w:rPr>
          <w:rFonts w:ascii="Times New Roman" w:hAnsi="Times New Roman" w:cs="Times New Roman"/>
          <w:color w:val="000000" w:themeColor="text1"/>
          <w:sz w:val="24"/>
          <w:szCs w:val="24"/>
          <w:lang w:val="en-GB"/>
        </w:rPr>
        <w:t xml:space="preserve">to </w:t>
      </w:r>
      <w:r w:rsidR="002F72C4">
        <w:rPr>
          <w:rFonts w:ascii="Times New Roman" w:hAnsi="Times New Roman" w:cs="Times New Roman"/>
          <w:color w:val="000000" w:themeColor="text1"/>
          <w:sz w:val="24"/>
          <w:szCs w:val="24"/>
          <w:lang w:val="en-GB"/>
        </w:rPr>
        <w:t>studies conducted in</w:t>
      </w:r>
      <w:r w:rsidRPr="002F72C4">
        <w:rPr>
          <w:rFonts w:ascii="Times New Roman" w:hAnsi="Times New Roman" w:cs="Times New Roman"/>
          <w:color w:val="000000" w:themeColor="text1"/>
          <w:sz w:val="24"/>
          <w:szCs w:val="24"/>
          <w:lang w:val="en-GB"/>
        </w:rPr>
        <w:t xml:space="preserve"> Iran, Ethiopia, and Spain</w:t>
      </w:r>
      <w:r w:rsidR="008D692C" w:rsidRPr="002F72C4">
        <w:rPr>
          <w:rFonts w:ascii="Times New Roman" w:hAnsi="Times New Roman" w:cs="Times New Roman"/>
          <w:color w:val="000000" w:themeColor="text1"/>
          <w:sz w:val="24"/>
          <w:szCs w:val="24"/>
          <w:lang w:val="en-GB"/>
        </w:rPr>
        <w:fldChar w:fldCharType="begin" w:fldLock="1"/>
      </w:r>
      <w:r w:rsidR="008D692C" w:rsidRPr="002F72C4">
        <w:rPr>
          <w:rFonts w:ascii="Times New Roman" w:hAnsi="Times New Roman" w:cs="Times New Roman"/>
          <w:color w:val="000000" w:themeColor="text1"/>
          <w:sz w:val="24"/>
          <w:szCs w:val="24"/>
          <w:lang w:val="en-GB"/>
        </w:rPr>
        <w:instrText>ADDIN CSL_CITATION {"citationItems":[{"id":"ITEM-1","itemData":{"ISSN":"2253-1556","author":[{"dropping-particle":"","family":"Ganjali","given":"Raheleh","non-dropping-particle":"","parse-names":false,"suffix":""},{"dropping-particle":"","family":"Ghorban Sabbagh","given":"Mahin","non-dropping-particle":"","parse-names":false,"suffix":""},{"dropping-particle":"","family":"Nazemiyan","given":"Fatemeh","non-dropping-particle":"","parse-names":false,"suffix":""},{"dropping-particle":"","family":"Mamdouhi","given":"Fereshteh","non-dropping-particle":"","parse-names":false,"suffix":""},{"dropping-particle":"","family":"Badiee Aval","given":"Shapour","non-dropping-particle":"","parse-names":false,"suffix":""},{"dropping-particle":"","family":"Taherzadeh","given":"Zhila","non-dropping-particle":"","parse-names":false,"suffix":""},{"dropping-particle":"","family":"Heshmati Nabavi","given":"Fatemeh","non-dropping-particle":"","parse-names":false,"suffix":""},{"dropping-particle":"","family":"Golmakani","given":"Reza","non-dropping-particle":"","parse-names":false,"suffix":""},{"dropping-particle":"","family":"Tohidinezhad","given":"Fariba","non-dropping-particle":"","parse-names":false,"suffix":""},{"dropping-particle":"","family":"Eslami","given":"Saeid","non-dropping-particle":"","parse-names":false,"suffix":""}],"container-title":"ImmunoTargets and Therapy","id":"ITEM-1","issued":{"date-parts":[["2019"]]},"page":"53-62","publisher":"Taylor &amp; Francis","title":"Factors associated with adherence to immunosuppressive therapy and barriers in Asian kidney transplant recipients","type":"article-journal"},"uris":["http://www.mendeley.com/documents/?uuid=95b3e6e0-da22-4809-b99c-056d8c695927"]},{"id":"ITEM-2","itemData":{"author":[{"dropping-particle":"","family":"Tayyebi","given":"Ali","non-dropping-particle":"","parse-names":false,"suffix":""},{"dropping-particle":"","family":"Raiesifar","given":"Afsaneh","non-dropping-particle":"","parse-names":false,"suffix":""},{"dropping-particle":"","family":"Mehri","given":"Soheil Najafi","non-dropping-particle":"","parse-names":false,"suffix":""},{"dropping-particle":"","family":"Ebadi","given":"Abbas","non-dropping-particle":"","parse-names":false,"suffix":""},{"dropping-particle":"","family":"Einolahi","given":"Behzad","non-dropping-particle":"","parse-names":false,"suffix":""},{"dropping-particle":"","family":"Pashandi","given":"Shadi","non-dropping-particle":"","parse-names":false,"suffix":""}],"container-title":"Nephro-urology monthly","id":"ITEM-2","issue":"4","issued":{"date-parts":[["2012"]]},"page":"617","title":"Measuring health related quality of life (hrqol) in renal transplant patients: psychometric properties and cross-cultural adaptation of kidney transplant questionnaire (ktq-25) in persian","type":"article-journal","volume":"4"},"uris":["http://www.mendeley.com/documents/?uuid=a6922c56-27b8-416d-a059-fea23c0c5a70"]},{"id":"ITEM-3","itemData":{"author":[{"dropping-particle":"","family":"Siyoum","given":"Mekdim","non-dropping-particle":"","parse-names":false,"suffix":""},{"dropping-particle":"","family":"Muleta","given":"Mahteme","non-dropping-particle":"","parse-names":false,"suffix":""},{"dropping-particle":"","family":"Gebretsadik","given":"Tekleberhan","non-dropping-particle":"","parse-names":false,"suffix":""},{"dropping-particle":"","family":"Gelan","given":"Engida","non-dropping-particle":"","parse-names":false,"suffix":""},{"dropping-particle":"","family":"Ketema","given":"Tsion","non-dropping-particle":"","parse-names":false,"suffix":""},{"dropping-particle":"","family":"Teshome","given":"Tesfalem","non-dropping-particle":"","parse-names":false,"suffix":""},{"dropping-particle":"","family":"Woodside","given":"Kenneth","non-dropping-particle":"","parse-names":false,"suffix":""},{"dropping-particle":"","family":"Leichtman","given":"Alan","non-dropping-particle":"","parse-names":false,"suffix":""},{"dropping-particle":"","family":"Punch","given":"Jeffery","non-dropping-particle":"","parse-names":false,"suffix":""},{"dropping-particle":"","family":"States","given":"United","non-dropping-particle":"","parse-names":false,"suffix":""},{"dropping-particle":"","family":"States","given":"United","non-dropping-particle":"","parse-names":false,"suffix":""}],"id":"ITEM-3","issue":"September","issued":{"date-parts":[["2020"]]},"page":"2019-2020","title":"QUALITY OF LIFE AND ASSOCIATED FACTORS OF KIDNEY TRANSPLANT PATIENTS IN ETHIOPIA Surgery , Saint Paul Hospital Millennium Medical College , Addis Ababa , Ethiopia ; 2 Public Health , Saint Paul Hospital Millennium Medical College , Addis Ababa , Ethiopia ","type":"article-journal","volume":"104"},"uris":["http://www.mendeley.com/documents/?uuid=82be229b-2286-43c5-9eef-560e1bdf0a76"]}],"mendeley":{"formattedCitation":"(Ganjali et al., 2019; Siyoum et al., 2020; Tayyebi et al., 2012)","plainTextFormattedCitation":"(Ganjali et al., 2019; Siyoum et al., 2020; Tayyebi et al., 2012)","previouslyFormattedCitation":"(Ganjali et al., 2019; Siyoum et al., 2020; Tayyebi et al., 2012)"},"properties":{"noteIndex":0},"schema":"https://github.com/citation-style-language/schema/raw/master/csl-citation.json"}</w:instrText>
      </w:r>
      <w:r w:rsidR="008D692C" w:rsidRPr="002F72C4">
        <w:rPr>
          <w:rFonts w:ascii="Times New Roman" w:hAnsi="Times New Roman" w:cs="Times New Roman"/>
          <w:color w:val="000000" w:themeColor="text1"/>
          <w:sz w:val="24"/>
          <w:szCs w:val="24"/>
          <w:lang w:val="en-GB"/>
        </w:rPr>
        <w:fldChar w:fldCharType="separate"/>
      </w:r>
      <w:r w:rsidR="008D692C" w:rsidRPr="002F72C4">
        <w:rPr>
          <w:rFonts w:ascii="Times New Roman" w:hAnsi="Times New Roman" w:cs="Times New Roman"/>
          <w:noProof/>
          <w:color w:val="000000" w:themeColor="text1"/>
          <w:sz w:val="24"/>
          <w:szCs w:val="24"/>
          <w:lang w:val="en-GB"/>
        </w:rPr>
        <w:t>(Ganjali et al., 2019; Siyoum et al., 2020; Tayyebi et al., 2012)</w:t>
      </w:r>
      <w:r w:rsidR="008D692C" w:rsidRPr="002F72C4">
        <w:rPr>
          <w:rFonts w:ascii="Times New Roman" w:hAnsi="Times New Roman" w:cs="Times New Roman"/>
          <w:color w:val="000000" w:themeColor="text1"/>
          <w:sz w:val="24"/>
          <w:szCs w:val="24"/>
          <w:lang w:val="en-GB"/>
        </w:rPr>
        <w:fldChar w:fldCharType="end"/>
      </w:r>
      <w:r w:rsidRPr="002F72C4">
        <w:rPr>
          <w:rFonts w:ascii="Times New Roman" w:hAnsi="Times New Roman" w:cs="Times New Roman"/>
          <w:color w:val="000000" w:themeColor="text1"/>
          <w:sz w:val="24"/>
          <w:szCs w:val="24"/>
          <w:lang w:val="en-GB"/>
        </w:rPr>
        <w:t xml:space="preserve"> using the same questionnaire that reported means of 4.9(1.27), 6.06(0.79) and 5.9(1.18), respectively. This shows that </w:t>
      </w:r>
      <w:r w:rsidR="00763F11" w:rsidRPr="002F72C4">
        <w:rPr>
          <w:rFonts w:ascii="Times New Roman" w:hAnsi="Times New Roman" w:cs="Times New Roman"/>
          <w:color w:val="000000" w:themeColor="text1"/>
          <w:sz w:val="24"/>
          <w:szCs w:val="24"/>
          <w:lang w:val="en-GB"/>
        </w:rPr>
        <w:t>the study</w:t>
      </w:r>
      <w:r w:rsidRPr="002F72C4">
        <w:rPr>
          <w:rFonts w:ascii="Times New Roman" w:hAnsi="Times New Roman" w:cs="Times New Roman"/>
          <w:color w:val="000000" w:themeColor="text1"/>
          <w:sz w:val="24"/>
          <w:szCs w:val="24"/>
          <w:lang w:val="en-GB"/>
        </w:rPr>
        <w:t xml:space="preserve"> patie</w:t>
      </w:r>
      <w:r w:rsidR="002A24FE" w:rsidRPr="002F72C4">
        <w:rPr>
          <w:rFonts w:ascii="Times New Roman" w:hAnsi="Times New Roman" w:cs="Times New Roman"/>
          <w:color w:val="000000" w:themeColor="text1"/>
          <w:sz w:val="24"/>
          <w:szCs w:val="24"/>
          <w:lang w:val="en-GB"/>
        </w:rPr>
        <w:t>nts had a good quality of life. However, r</w:t>
      </w:r>
      <w:r w:rsidR="002F72C4">
        <w:rPr>
          <w:rFonts w:ascii="Times New Roman" w:hAnsi="Times New Roman" w:cs="Times New Roman"/>
          <w:color w:val="000000" w:themeColor="text1"/>
          <w:sz w:val="24"/>
          <w:szCs w:val="24"/>
          <w:lang w:val="en-GB"/>
        </w:rPr>
        <w:t>enal transplant patients suffering from</w:t>
      </w:r>
      <w:r w:rsidR="00CA71A6" w:rsidRPr="002F72C4">
        <w:rPr>
          <w:rFonts w:ascii="Times New Roman" w:hAnsi="Times New Roman" w:cs="Times New Roman"/>
          <w:color w:val="000000" w:themeColor="text1"/>
          <w:sz w:val="24"/>
          <w:szCs w:val="24"/>
          <w:lang w:val="en-GB"/>
        </w:rPr>
        <w:t xml:space="preserve"> diabetes are likely </w:t>
      </w:r>
      <w:r w:rsidR="00CA71A6" w:rsidRPr="002F72C4">
        <w:rPr>
          <w:rFonts w:ascii="Times New Roman" w:hAnsi="Times New Roman" w:cs="Times New Roman"/>
          <w:color w:val="000000" w:themeColor="text1"/>
          <w:sz w:val="24"/>
          <w:szCs w:val="24"/>
          <w:lang w:val="en-GB"/>
        </w:rPr>
        <w:lastRenderedPageBreak/>
        <w:t>to have low health related quality of life</w:t>
      </w:r>
      <w:r w:rsidR="00134701" w:rsidRPr="002F72C4">
        <w:rPr>
          <w:rFonts w:ascii="Times New Roman" w:hAnsi="Times New Roman" w:cs="Times New Roman"/>
          <w:color w:val="000000" w:themeColor="text1"/>
          <w:sz w:val="24"/>
          <w:szCs w:val="24"/>
          <w:lang w:val="en-GB"/>
        </w:rPr>
        <w:t xml:space="preserve"> as has been demonstrated </w:t>
      </w:r>
      <w:r w:rsidR="002A24FE" w:rsidRPr="002F72C4">
        <w:rPr>
          <w:rFonts w:ascii="Times New Roman" w:hAnsi="Times New Roman" w:cs="Times New Roman"/>
          <w:color w:val="000000" w:themeColor="text1"/>
          <w:sz w:val="24"/>
          <w:szCs w:val="24"/>
          <w:lang w:val="en-GB"/>
        </w:rPr>
        <w:t xml:space="preserve">by a decrease in </w:t>
      </w:r>
      <w:r w:rsidR="00134701" w:rsidRPr="002F72C4">
        <w:rPr>
          <w:rFonts w:ascii="Times New Roman" w:hAnsi="Times New Roman" w:cs="Times New Roman"/>
          <w:color w:val="000000" w:themeColor="text1"/>
          <w:sz w:val="24"/>
          <w:szCs w:val="24"/>
          <w:lang w:val="en-GB"/>
        </w:rPr>
        <w:t>HRQoL score by 11.67 units.</w:t>
      </w:r>
      <w:r w:rsidR="002A24FE" w:rsidRPr="002F72C4">
        <w:rPr>
          <w:rFonts w:ascii="Times New Roman" w:hAnsi="Times New Roman" w:cs="Times New Roman"/>
          <w:color w:val="000000" w:themeColor="text1"/>
          <w:sz w:val="24"/>
          <w:szCs w:val="24"/>
          <w:lang w:val="en-GB"/>
        </w:rPr>
        <w:t xml:space="preserve"> Furthermore, </w:t>
      </w:r>
      <w:r w:rsidR="002F72C4">
        <w:rPr>
          <w:rFonts w:ascii="Times New Roman" w:hAnsi="Times New Roman" w:cs="Times New Roman"/>
          <w:color w:val="000000" w:themeColor="text1"/>
          <w:sz w:val="24"/>
          <w:szCs w:val="24"/>
          <w:lang w:val="en-GB"/>
        </w:rPr>
        <w:t xml:space="preserve">previous </w:t>
      </w:r>
      <w:r w:rsidR="002A24FE" w:rsidRPr="002F72C4">
        <w:rPr>
          <w:rFonts w:ascii="Times New Roman" w:hAnsi="Times New Roman" w:cs="Times New Roman"/>
          <w:color w:val="000000" w:themeColor="text1"/>
          <w:sz w:val="24"/>
          <w:szCs w:val="24"/>
          <w:lang w:val="en-GB"/>
        </w:rPr>
        <w:t>s</w:t>
      </w:r>
      <w:r w:rsidR="00CA71A6" w:rsidRPr="002F72C4">
        <w:rPr>
          <w:rFonts w:ascii="Times New Roman" w:hAnsi="Times New Roman" w:cs="Times New Roman"/>
          <w:color w:val="000000" w:themeColor="text1"/>
          <w:sz w:val="24"/>
          <w:szCs w:val="24"/>
          <w:lang w:val="en-GB"/>
        </w:rPr>
        <w:t xml:space="preserve">tudies focusing on health related quality of life in kidney transplant </w:t>
      </w:r>
      <w:r w:rsidR="002F72C4">
        <w:rPr>
          <w:rFonts w:ascii="Times New Roman" w:hAnsi="Times New Roman" w:cs="Times New Roman"/>
          <w:color w:val="000000" w:themeColor="text1"/>
          <w:sz w:val="24"/>
          <w:szCs w:val="24"/>
          <w:lang w:val="en-GB"/>
        </w:rPr>
        <w:t>recipients</w:t>
      </w:r>
      <w:r w:rsidR="00CA71A6" w:rsidRPr="002F72C4">
        <w:rPr>
          <w:rFonts w:ascii="Times New Roman" w:hAnsi="Times New Roman" w:cs="Times New Roman"/>
          <w:color w:val="000000" w:themeColor="text1"/>
          <w:sz w:val="24"/>
          <w:szCs w:val="24"/>
          <w:lang w:val="en-GB"/>
        </w:rPr>
        <w:t xml:space="preserve"> with diabetes have confirmed low scores in functional performance as well as the quality of </w:t>
      </w:r>
      <w:r w:rsidR="00CA71A6" w:rsidRPr="00AB4EC5">
        <w:rPr>
          <w:rFonts w:ascii="Times New Roman" w:hAnsi="Times New Roman" w:cs="Times New Roman"/>
          <w:color w:val="000000" w:themeColor="text1"/>
          <w:sz w:val="24"/>
          <w:szCs w:val="24"/>
          <w:lang w:val="en-GB"/>
        </w:rPr>
        <w:t>life</w:t>
      </w:r>
      <w:r w:rsidR="00AB4EC5">
        <w:rPr>
          <w:rFonts w:ascii="Times New Roman" w:hAnsi="Times New Roman" w:cs="Times New Roman"/>
          <w:color w:val="000000" w:themeColor="text1"/>
          <w:sz w:val="24"/>
          <w:szCs w:val="24"/>
          <w:lang w:val="en-GB"/>
        </w:rPr>
        <w:t xml:space="preserve"> </w:t>
      </w:r>
      <w:r w:rsidR="00AB4EC5" w:rsidRPr="00AB4EC5">
        <w:rPr>
          <w:rFonts w:ascii="Times New Roman" w:hAnsi="Times New Roman" w:cs="Times New Roman"/>
          <w:color w:val="000000" w:themeColor="text1"/>
          <w:sz w:val="24"/>
          <w:szCs w:val="24"/>
          <w:lang w:val="en-GB"/>
        </w:rPr>
        <w:fldChar w:fldCharType="begin" w:fldLock="1"/>
      </w:r>
      <w:r w:rsidR="00AB4EC5">
        <w:rPr>
          <w:rFonts w:ascii="Times New Roman" w:hAnsi="Times New Roman" w:cs="Times New Roman"/>
          <w:color w:val="000000" w:themeColor="text1"/>
          <w:sz w:val="24"/>
          <w:szCs w:val="24"/>
          <w:lang w:val="en-GB"/>
        </w:rPr>
        <w:instrText>ADDIN CSL_CITATION {"citationItems":[{"id":"ITEM-1","itemData":{"ISSN":"0785-3890","author":[{"dropping-particle":"","family":"Ali","given":"Hatem","non-dropping-particle":"","parse-names":false,"suffix":""},{"dropping-particle":"","family":"Soliman","given":"Karim","non-dropping-particle":"","parse-names":false,"suffix":""},{"dropping-particle":"","family":"Mohamed","given":"Mahmoud M","non-dropping-particle":"","parse-names":false,"suffix":""},{"dropping-particle":"","family":"Rahman","given":"Manzur","non-dropping-particle":"","parse-names":false,"suffix":""},{"dropping-particle":"","family":"Herberth","given":"Johann","non-dropping-particle":"","parse-names":false,"suffix":""},{"dropping-particle":"","family":"Fülöp","given":"Tibor","non-dropping-particle":"","parse-names":false,"suffix":""},{"dropping-particle":"","family":"Elsayed","given":"Ingi","non-dropping-particle":"","parse-names":false,"suffix":""}],"container-title":"Annals of Medicine","id":"ITEM-1","issue":"1","issued":{"date-parts":[["2021"]]},"page":"1303-1309","publisher":"Taylor &amp; Francis","title":"Impact of kidney transplantation on functional status","type":"article-journal","volume":"53"},"uris":["http://www.mendeley.com/documents/?uuid=66a2e1ac-f22d-447a-b818-ddbe930afb1e"]}],"mendeley":{"formattedCitation":"(Ali et al., 2021)","plainTextFormattedCitation":"(Ali et al., 2021)","previouslyFormattedCitation":"(Ali et al., 2021)"},"properties":{"noteIndex":0},"schema":"https://github.com/citation-style-language/schema/raw/master/csl-citation.json"}</w:instrText>
      </w:r>
      <w:r w:rsidR="00AB4EC5" w:rsidRPr="00AB4EC5">
        <w:rPr>
          <w:rFonts w:ascii="Times New Roman" w:hAnsi="Times New Roman" w:cs="Times New Roman"/>
          <w:color w:val="000000" w:themeColor="text1"/>
          <w:sz w:val="24"/>
          <w:szCs w:val="24"/>
          <w:lang w:val="en-GB"/>
        </w:rPr>
        <w:fldChar w:fldCharType="separate"/>
      </w:r>
      <w:r w:rsidR="00AB4EC5" w:rsidRPr="00AB4EC5">
        <w:rPr>
          <w:rFonts w:ascii="Times New Roman" w:hAnsi="Times New Roman" w:cs="Times New Roman"/>
          <w:noProof/>
          <w:color w:val="000000" w:themeColor="text1"/>
          <w:sz w:val="24"/>
          <w:szCs w:val="24"/>
          <w:lang w:val="en-GB"/>
        </w:rPr>
        <w:t>(Ali et al., 2021)</w:t>
      </w:r>
      <w:r w:rsidR="00AB4EC5" w:rsidRPr="00AB4EC5">
        <w:rPr>
          <w:rFonts w:ascii="Times New Roman" w:hAnsi="Times New Roman" w:cs="Times New Roman"/>
          <w:color w:val="000000" w:themeColor="text1"/>
          <w:sz w:val="24"/>
          <w:szCs w:val="24"/>
          <w:lang w:val="en-GB"/>
        </w:rPr>
        <w:fldChar w:fldCharType="end"/>
      </w:r>
      <w:r w:rsidR="00AB4EC5">
        <w:rPr>
          <w:rFonts w:ascii="Times New Roman" w:hAnsi="Times New Roman" w:cs="Times New Roman"/>
          <w:color w:val="000000" w:themeColor="text1"/>
          <w:sz w:val="24"/>
          <w:szCs w:val="24"/>
          <w:lang w:val="en-GB"/>
        </w:rPr>
        <w:t>.</w:t>
      </w:r>
      <w:r w:rsidR="00CA71A6" w:rsidRPr="002F72C4">
        <w:rPr>
          <w:rFonts w:ascii="Times New Roman" w:hAnsi="Times New Roman" w:cs="Times New Roman"/>
          <w:color w:val="000000" w:themeColor="text1"/>
          <w:sz w:val="24"/>
          <w:szCs w:val="24"/>
          <w:lang w:val="en-GB"/>
        </w:rPr>
        <w:t xml:space="preserve"> Literature </w:t>
      </w:r>
      <w:r w:rsidR="002A24FE" w:rsidRPr="002F72C4">
        <w:rPr>
          <w:rFonts w:ascii="Times New Roman" w:hAnsi="Times New Roman" w:cs="Times New Roman"/>
          <w:color w:val="000000" w:themeColor="text1"/>
          <w:sz w:val="24"/>
          <w:szCs w:val="24"/>
          <w:lang w:val="en-GB"/>
        </w:rPr>
        <w:t>suggests</w:t>
      </w:r>
      <w:r w:rsidR="00CA71A6" w:rsidRPr="002F72C4">
        <w:rPr>
          <w:rFonts w:ascii="Times New Roman" w:hAnsi="Times New Roman" w:cs="Times New Roman"/>
          <w:color w:val="000000" w:themeColor="text1"/>
          <w:sz w:val="24"/>
          <w:szCs w:val="24"/>
          <w:lang w:val="en-GB"/>
        </w:rPr>
        <w:t xml:space="preserve"> that microvascular and macrovascular complications of diabetes are a cause of morbidity and low quality of life</w:t>
      </w:r>
      <w:r w:rsidR="00CA71A6" w:rsidRPr="002F72C4">
        <w:rPr>
          <w:rFonts w:ascii="Times New Roman" w:hAnsi="Times New Roman" w:cs="Times New Roman"/>
          <w:color w:val="000000" w:themeColor="text1"/>
          <w:sz w:val="24"/>
          <w:szCs w:val="24"/>
          <w:lang w:val="en-GB"/>
        </w:rPr>
        <w:fldChar w:fldCharType="begin" w:fldLock="1"/>
      </w:r>
      <w:r w:rsidR="008D692C" w:rsidRPr="002F72C4">
        <w:rPr>
          <w:rFonts w:ascii="Times New Roman" w:hAnsi="Times New Roman" w:cs="Times New Roman"/>
          <w:color w:val="000000" w:themeColor="text1"/>
          <w:sz w:val="24"/>
          <w:szCs w:val="24"/>
          <w:lang w:val="en-GB"/>
        </w:rPr>
        <w:instrText>ADDIN CSL_CITATION {"citationItems":[{"id":"ITEM-1","itemData":{"DOI":"10.1136/bmjdrc-2018-000577","ISSN":"20524897","abstract":"Background Health-related quality of life (HRQOL) has become an important measure for evaluating patient treatment with non-curable chronic disease. The aim of the study was to assess HRQOL and its associated factors among patients with type II diabetes. Methods This is an institution-based, cross-sectional study conducted from March 13 to May 9, 2018. A total of 267 patients with type II diabetes who visited the clinic for follow-up for at least 3 months and who were 18 years or older were included in the study. The WHO Quality of Life-BREF was used to assess quality of life. Multivariable linear regression was employed to identify associated factors with HRQOL among patients with type II diabetes. Results The mean score for overall HRQOL was 51.50±15.78. The mean scores for physical health, psychological, environmental and social relationship domains were 49.10±18.14, 53.51±19.82, 49.72±16.09 and 53.68±17.50, respectively. Age, disease duration and fasting blood glucose level were inversely associated with all domains of HRQOL (p&lt;0.001). Body mass index was inversely related with all domains of HRQOL except with the physical health domain. Conclusion The findings from this study indicated that all dimensions of HRQOL of patients with diabetes in this study setting were compromised. The study also identified important predictors such as age, duration of disease and level of fasting blood sugar. This entails the need to intervene in improving the HRQOL of patients with diabetes beyond the provision of standard treatments.","author":[{"dropping-particle":"","family":"Gebremedhin","given":"Tadesse","non-dropping-particle":"","parse-names":false,"suffix":""},{"dropping-particle":"","family":"Workicho","given":"Abdulhalik","non-dropping-particle":"","parse-names":false,"suffix":""},{"dropping-particle":"","family":"Angaw","given":"Dessie Abebaw","non-dropping-particle":"","parse-names":false,"suffix":""}],"container-title":"BMJ Open Diabetes Research and Care","id":"ITEM-1","issue":"1","issued":{"date-parts":[["2019"]]},"page":"1-8","title":"Health-related quality of life and its associated factors among adult patients with type II diabetes attending Mizan Tepi University Teaching Hospital, Southwest Ethiopia","type":"article-journal","volume":"7"},"uris":["http://www.mendeley.com/documents/?uuid=63845423-e665-4651-bf82-56079799ce94"]}],"mendeley":{"formattedCitation":"(Gebremedhin et al., 2019)","plainTextFormattedCitation":"(Gebremedhin et al., 2019)","previouslyFormattedCitation":"(Gebremedhin et al., 2019)"},"properties":{"noteIndex":0},"schema":"https://github.com/citation-style-language/schema/raw/master/csl-citation.json"}</w:instrText>
      </w:r>
      <w:r w:rsidR="00CA71A6" w:rsidRPr="002F72C4">
        <w:rPr>
          <w:rFonts w:ascii="Times New Roman" w:hAnsi="Times New Roman" w:cs="Times New Roman"/>
          <w:color w:val="000000" w:themeColor="text1"/>
          <w:sz w:val="24"/>
          <w:szCs w:val="24"/>
          <w:lang w:val="en-GB"/>
        </w:rPr>
        <w:fldChar w:fldCharType="separate"/>
      </w:r>
      <w:r w:rsidR="002B261F" w:rsidRPr="002F72C4">
        <w:rPr>
          <w:rFonts w:ascii="Times New Roman" w:hAnsi="Times New Roman" w:cs="Times New Roman"/>
          <w:noProof/>
          <w:color w:val="000000" w:themeColor="text1"/>
          <w:sz w:val="24"/>
          <w:szCs w:val="24"/>
          <w:lang w:val="en-GB"/>
        </w:rPr>
        <w:t>(Gebremedhin et al., 2019)</w:t>
      </w:r>
      <w:r w:rsidR="00CA71A6" w:rsidRPr="002F72C4">
        <w:rPr>
          <w:rFonts w:ascii="Times New Roman" w:hAnsi="Times New Roman" w:cs="Times New Roman"/>
          <w:color w:val="000000" w:themeColor="text1"/>
          <w:sz w:val="24"/>
          <w:szCs w:val="24"/>
          <w:lang w:val="en-GB"/>
        </w:rPr>
        <w:fldChar w:fldCharType="end"/>
      </w:r>
      <w:r w:rsidR="00CA71A6" w:rsidRPr="002F72C4">
        <w:rPr>
          <w:rFonts w:ascii="Times New Roman" w:hAnsi="Times New Roman" w:cs="Times New Roman"/>
          <w:color w:val="000000" w:themeColor="text1"/>
          <w:sz w:val="24"/>
          <w:szCs w:val="24"/>
          <w:lang w:val="en-GB"/>
        </w:rPr>
        <w:t>.</w:t>
      </w:r>
      <w:r w:rsidR="005F15CD">
        <w:rPr>
          <w:rFonts w:ascii="Times New Roman" w:hAnsi="Times New Roman" w:cs="Times New Roman"/>
          <w:color w:val="000000" w:themeColor="text1"/>
          <w:sz w:val="24"/>
          <w:szCs w:val="24"/>
          <w:lang w:val="en-GB"/>
        </w:rPr>
        <w:t xml:space="preserve"> This underscores the need to effectively manage diabetes mellitus, to improve the quality of life of renal transplant recipients. </w:t>
      </w:r>
    </w:p>
    <w:p w14:paraId="02F1CEC4" w14:textId="77777777" w:rsidR="00763F11" w:rsidRPr="002F72C4" w:rsidRDefault="00763F11" w:rsidP="002A24FE">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p>
    <w:p w14:paraId="5036D55E" w14:textId="139BBD08" w:rsidR="00756F69" w:rsidRPr="002F72C4" w:rsidRDefault="00756F69" w:rsidP="00756F69">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 xml:space="preserve">The study found a statistically significant association between comorbidity and health related quality of life (p = 0.017), with a low HRQoL score among study participants </w:t>
      </w:r>
      <w:r w:rsidR="00763F11" w:rsidRPr="002F72C4">
        <w:rPr>
          <w:rFonts w:ascii="Times New Roman" w:hAnsi="Times New Roman" w:cs="Times New Roman"/>
          <w:color w:val="000000" w:themeColor="text1"/>
          <w:sz w:val="24"/>
          <w:szCs w:val="24"/>
          <w:lang w:val="en-GB"/>
        </w:rPr>
        <w:t xml:space="preserve">with </w:t>
      </w:r>
      <w:r w:rsidRPr="002F72C4">
        <w:rPr>
          <w:rFonts w:ascii="Times New Roman" w:hAnsi="Times New Roman" w:cs="Times New Roman"/>
          <w:color w:val="000000" w:themeColor="text1"/>
          <w:sz w:val="24"/>
          <w:szCs w:val="24"/>
          <w:lang w:val="en-GB"/>
        </w:rPr>
        <w:t>comorbid diabetes and hypertensive at mean score of 4.79 (</w:t>
      </w:r>
      <w:r w:rsidR="001062C4">
        <w:rPr>
          <w:rFonts w:ascii="Times New Roman" w:hAnsi="Times New Roman" w:cs="Times New Roman"/>
          <w:color w:val="000000" w:themeColor="text1"/>
          <w:sz w:val="24"/>
          <w:szCs w:val="24"/>
          <w:lang w:val="en-GB"/>
        </w:rPr>
        <w:t xml:space="preserve">SD </w:t>
      </w:r>
      <w:r w:rsidRPr="002F72C4">
        <w:rPr>
          <w:rFonts w:ascii="Times New Roman" w:hAnsi="Times New Roman" w:cs="Times New Roman"/>
          <w:color w:val="000000" w:themeColor="text1"/>
          <w:sz w:val="24"/>
          <w:szCs w:val="24"/>
          <w:lang w:val="en-GB"/>
        </w:rPr>
        <w:t xml:space="preserve">0.82). A possible reason would be that comorbidity requires patients to take </w:t>
      </w:r>
      <w:r w:rsidR="00763F11" w:rsidRPr="002F72C4">
        <w:rPr>
          <w:rFonts w:ascii="Times New Roman" w:hAnsi="Times New Roman" w:cs="Times New Roman"/>
          <w:color w:val="000000" w:themeColor="text1"/>
          <w:sz w:val="24"/>
          <w:szCs w:val="24"/>
          <w:lang w:val="en-GB"/>
        </w:rPr>
        <w:t>multiple drugs for management of the illnesses</w:t>
      </w:r>
      <w:r w:rsidR="001062C4">
        <w:rPr>
          <w:rFonts w:ascii="Times New Roman" w:hAnsi="Times New Roman" w:cs="Times New Roman"/>
          <w:color w:val="000000" w:themeColor="text1"/>
          <w:sz w:val="24"/>
          <w:szCs w:val="24"/>
          <w:lang w:val="en-GB"/>
        </w:rPr>
        <w:t xml:space="preserve"> thereby </w:t>
      </w:r>
      <w:r w:rsidRPr="002F72C4">
        <w:rPr>
          <w:rFonts w:ascii="Times New Roman" w:hAnsi="Times New Roman" w:cs="Times New Roman"/>
          <w:color w:val="000000" w:themeColor="text1"/>
          <w:sz w:val="24"/>
          <w:szCs w:val="24"/>
          <w:lang w:val="en-GB"/>
        </w:rPr>
        <w:t xml:space="preserve">causing a pill burden to the already </w:t>
      </w:r>
      <w:r w:rsidR="001062C4" w:rsidRPr="002F72C4">
        <w:rPr>
          <w:rFonts w:ascii="Times New Roman" w:hAnsi="Times New Roman" w:cs="Times New Roman"/>
          <w:color w:val="000000" w:themeColor="text1"/>
          <w:sz w:val="24"/>
          <w:szCs w:val="24"/>
          <w:lang w:val="en-GB"/>
        </w:rPr>
        <w:t>loaded</w:t>
      </w:r>
      <w:r w:rsidRPr="002F72C4">
        <w:rPr>
          <w:rFonts w:ascii="Times New Roman" w:hAnsi="Times New Roman" w:cs="Times New Roman"/>
          <w:color w:val="000000" w:themeColor="text1"/>
          <w:sz w:val="24"/>
          <w:szCs w:val="24"/>
          <w:lang w:val="en-GB"/>
        </w:rPr>
        <w:t xml:space="preserve"> regimen. Studies that have investigated comorbid conditions in renal transplant patients found that comorbidity has a negative effect on the quality of life. This is supported by  </w:t>
      </w:r>
      <w:r w:rsidR="00763F11" w:rsidRPr="002F72C4">
        <w:rPr>
          <w:rFonts w:ascii="Times New Roman" w:hAnsi="Times New Roman" w:cs="Times New Roman"/>
          <w:color w:val="000000" w:themeColor="text1"/>
          <w:sz w:val="24"/>
          <w:szCs w:val="24"/>
          <w:lang w:val="en-GB"/>
        </w:rPr>
        <w:t>previous researchers who</w:t>
      </w:r>
      <w:r w:rsidRPr="002F72C4">
        <w:rPr>
          <w:rFonts w:ascii="Times New Roman" w:hAnsi="Times New Roman" w:cs="Times New Roman"/>
          <w:color w:val="000000" w:themeColor="text1"/>
          <w:sz w:val="24"/>
          <w:szCs w:val="24"/>
          <w:lang w:val="en-GB"/>
        </w:rPr>
        <w:t xml:space="preserve"> demonstrated that comorbidity correlated with poor quality of life</w:t>
      </w:r>
      <w:r w:rsidR="00AB4EC5">
        <w:rPr>
          <w:rFonts w:ascii="Times New Roman" w:hAnsi="Times New Roman" w:cs="Times New Roman"/>
          <w:color w:val="000000" w:themeColor="text1"/>
          <w:sz w:val="24"/>
          <w:szCs w:val="24"/>
          <w:lang w:val="en-GB"/>
        </w:rPr>
        <w:t xml:space="preserve"> </w:t>
      </w:r>
      <w:r w:rsidR="00AB4EC5">
        <w:rPr>
          <w:rFonts w:ascii="Times New Roman" w:hAnsi="Times New Roman" w:cs="Times New Roman"/>
          <w:color w:val="000000" w:themeColor="text1"/>
          <w:sz w:val="24"/>
          <w:szCs w:val="24"/>
          <w:lang w:val="en-GB"/>
        </w:rPr>
        <w:fldChar w:fldCharType="begin" w:fldLock="1"/>
      </w:r>
      <w:r w:rsidR="001E7B68">
        <w:rPr>
          <w:rFonts w:ascii="Times New Roman" w:hAnsi="Times New Roman" w:cs="Times New Roman"/>
          <w:color w:val="000000" w:themeColor="text1"/>
          <w:sz w:val="24"/>
          <w:szCs w:val="24"/>
          <w:lang w:val="en-GB"/>
        </w:rPr>
        <w:instrText>ADDIN CSL_CITATION {"citationItems":[{"id":"ITEM-1","itemData":{"author":[{"dropping-particle":"","family":"Adeeb","given":"Humera","non-dropping-particle":"","parse-names":false,"suffix":""},{"dropping-particle":"","family":"Ullah","given":"Ihsan","non-dropping-particle":"","parse-names":false,"suffix":""},{"dropping-particle":"","family":"Zeb","given":"Mubarak","non-dropping-particle":"","parse-names":false,"suffix":""},{"dropping-particle":"","family":"Haq","given":"Mazharul","non-dropping-particle":"","parse-names":false,"suffix":""}],"container-title":"Porto Biomedical Journal","id":"ITEM-1","issue":"3","issued":{"date-parts":[["2021"]]},"page":"e131","publisher":"LWW","title":"Clinical factors and comorbidities affecting health-related quality of life in postrenal transplant patients","type":"article-journal","volume":"6"},"uris":["http://www.mendeley.com/documents/?uuid=7ec4cbd3-3174-4832-8fd8-79fe8eeef41d"]}],"mendeley":{"formattedCitation":"(Adeeb et al., 2021)","plainTextFormattedCitation":"(Adeeb et al., 2021)","previouslyFormattedCitation":"(Adeeb et al., 2021)"},"properties":{"noteIndex":0},"schema":"https://github.com/citation-style-language/schema/raw/master/csl-citation.json"}</w:instrText>
      </w:r>
      <w:r w:rsidR="00AB4EC5">
        <w:rPr>
          <w:rFonts w:ascii="Times New Roman" w:hAnsi="Times New Roman" w:cs="Times New Roman"/>
          <w:color w:val="000000" w:themeColor="text1"/>
          <w:sz w:val="24"/>
          <w:szCs w:val="24"/>
          <w:lang w:val="en-GB"/>
        </w:rPr>
        <w:fldChar w:fldCharType="separate"/>
      </w:r>
      <w:r w:rsidR="00AB4EC5" w:rsidRPr="00AB4EC5">
        <w:rPr>
          <w:rFonts w:ascii="Times New Roman" w:hAnsi="Times New Roman" w:cs="Times New Roman"/>
          <w:noProof/>
          <w:color w:val="000000" w:themeColor="text1"/>
          <w:sz w:val="24"/>
          <w:szCs w:val="24"/>
          <w:lang w:val="en-GB"/>
        </w:rPr>
        <w:t>(Adeeb et al., 2021)</w:t>
      </w:r>
      <w:r w:rsidR="00AB4EC5">
        <w:rPr>
          <w:rFonts w:ascii="Times New Roman" w:hAnsi="Times New Roman" w:cs="Times New Roman"/>
          <w:color w:val="000000" w:themeColor="text1"/>
          <w:sz w:val="24"/>
          <w:szCs w:val="24"/>
          <w:lang w:val="en-GB"/>
        </w:rPr>
        <w:fldChar w:fldCharType="end"/>
      </w:r>
      <w:r w:rsidRPr="002F72C4">
        <w:rPr>
          <w:rFonts w:ascii="Times New Roman" w:hAnsi="Times New Roman" w:cs="Times New Roman"/>
          <w:color w:val="000000" w:themeColor="text1"/>
          <w:sz w:val="24"/>
          <w:szCs w:val="24"/>
          <w:lang w:val="en-GB"/>
        </w:rPr>
        <w:t xml:space="preserve">. Given this finding on comorbidity and the possibility of the complexity of medication regimen, it is important that medication reconciliation and </w:t>
      </w:r>
      <w:r w:rsidR="00DC58D5" w:rsidRPr="002F72C4">
        <w:rPr>
          <w:rFonts w:ascii="Times New Roman" w:hAnsi="Times New Roman" w:cs="Times New Roman"/>
          <w:color w:val="000000" w:themeColor="text1"/>
          <w:sz w:val="24"/>
          <w:szCs w:val="24"/>
          <w:lang w:val="en-GB"/>
        </w:rPr>
        <w:t>counselling</w:t>
      </w:r>
      <w:r w:rsidRPr="002F72C4">
        <w:rPr>
          <w:rFonts w:ascii="Times New Roman" w:hAnsi="Times New Roman" w:cs="Times New Roman"/>
          <w:color w:val="000000" w:themeColor="text1"/>
          <w:sz w:val="24"/>
          <w:szCs w:val="24"/>
          <w:lang w:val="en-GB"/>
        </w:rPr>
        <w:t xml:space="preserve"> is conducted by </w:t>
      </w:r>
      <w:r w:rsidR="007D3E5B" w:rsidRPr="002F72C4">
        <w:rPr>
          <w:rFonts w:ascii="Times New Roman" w:hAnsi="Times New Roman" w:cs="Times New Roman"/>
          <w:color w:val="000000" w:themeColor="text1"/>
          <w:sz w:val="24"/>
          <w:szCs w:val="24"/>
          <w:lang w:val="en-GB"/>
        </w:rPr>
        <w:t>healthcare</w:t>
      </w:r>
      <w:r w:rsidRPr="002F72C4">
        <w:rPr>
          <w:rFonts w:ascii="Times New Roman" w:hAnsi="Times New Roman" w:cs="Times New Roman"/>
          <w:color w:val="000000" w:themeColor="text1"/>
          <w:sz w:val="24"/>
          <w:szCs w:val="24"/>
          <w:lang w:val="en-GB"/>
        </w:rPr>
        <w:t xml:space="preserve"> providers to enhance </w:t>
      </w:r>
      <w:r w:rsidR="00DC58D5" w:rsidRPr="002F72C4">
        <w:rPr>
          <w:rFonts w:ascii="Times New Roman" w:hAnsi="Times New Roman" w:cs="Times New Roman"/>
          <w:color w:val="000000" w:themeColor="text1"/>
          <w:sz w:val="24"/>
          <w:szCs w:val="24"/>
          <w:lang w:val="en-GB"/>
        </w:rPr>
        <w:t>effectiveness</w:t>
      </w:r>
      <w:r w:rsidRPr="002F72C4">
        <w:rPr>
          <w:rFonts w:ascii="Times New Roman" w:hAnsi="Times New Roman" w:cs="Times New Roman"/>
          <w:color w:val="000000" w:themeColor="text1"/>
          <w:sz w:val="24"/>
          <w:szCs w:val="24"/>
          <w:lang w:val="en-GB"/>
        </w:rPr>
        <w:t xml:space="preserve"> while preventing side effects.</w:t>
      </w:r>
    </w:p>
    <w:p w14:paraId="28C1B343" w14:textId="77777777" w:rsidR="00763F11" w:rsidRPr="002F72C4" w:rsidRDefault="00763F11" w:rsidP="00FC6F4C">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p>
    <w:p w14:paraId="582224C8" w14:textId="1491AC59" w:rsidR="00FC6F4C" w:rsidRPr="002F72C4" w:rsidRDefault="00FC6F4C" w:rsidP="00FC6F4C">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 xml:space="preserve">The </w:t>
      </w:r>
      <w:r w:rsidR="00DC58D5">
        <w:rPr>
          <w:rFonts w:ascii="Times New Roman" w:hAnsi="Times New Roman" w:cs="Times New Roman"/>
          <w:color w:val="000000" w:themeColor="text1"/>
          <w:sz w:val="24"/>
          <w:szCs w:val="24"/>
          <w:lang w:val="en-GB"/>
        </w:rPr>
        <w:t xml:space="preserve">present study demonstrated a high score </w:t>
      </w:r>
      <w:r w:rsidRPr="002F72C4">
        <w:rPr>
          <w:rFonts w:ascii="Times New Roman" w:hAnsi="Times New Roman" w:cs="Times New Roman"/>
          <w:color w:val="000000" w:themeColor="text1"/>
          <w:sz w:val="24"/>
          <w:szCs w:val="24"/>
          <w:lang w:val="en-GB"/>
        </w:rPr>
        <w:t>in appearance domain</w:t>
      </w:r>
      <w:r w:rsidR="00DC58D5">
        <w:rPr>
          <w:rFonts w:ascii="Times New Roman" w:hAnsi="Times New Roman" w:cs="Times New Roman"/>
          <w:color w:val="000000" w:themeColor="text1"/>
          <w:sz w:val="24"/>
          <w:szCs w:val="24"/>
          <w:lang w:val="en-GB"/>
        </w:rPr>
        <w:t>,</w:t>
      </w:r>
      <w:r w:rsidRPr="002F72C4">
        <w:rPr>
          <w:rFonts w:ascii="Times New Roman" w:hAnsi="Times New Roman" w:cs="Times New Roman"/>
          <w:color w:val="000000" w:themeColor="text1"/>
          <w:sz w:val="24"/>
          <w:szCs w:val="24"/>
          <w:lang w:val="en-GB"/>
        </w:rPr>
        <w:t xml:space="preserve"> 6.62(0.60), whi</w:t>
      </w:r>
      <w:r w:rsidR="00DC58D5">
        <w:rPr>
          <w:rFonts w:ascii="Times New Roman" w:hAnsi="Times New Roman" w:cs="Times New Roman"/>
          <w:color w:val="000000" w:themeColor="text1"/>
          <w:sz w:val="24"/>
          <w:szCs w:val="24"/>
          <w:lang w:val="en-GB"/>
        </w:rPr>
        <w:t xml:space="preserve">ch is consistent with the Iran </w:t>
      </w:r>
      <w:r w:rsidR="008D692C" w:rsidRPr="002F72C4">
        <w:rPr>
          <w:rFonts w:ascii="Times New Roman" w:hAnsi="Times New Roman" w:cs="Times New Roman"/>
          <w:color w:val="000000" w:themeColor="text1"/>
          <w:sz w:val="24"/>
          <w:szCs w:val="24"/>
          <w:lang w:val="en-GB"/>
        </w:rPr>
        <w:fldChar w:fldCharType="begin" w:fldLock="1"/>
      </w:r>
      <w:r w:rsidR="004D405C">
        <w:rPr>
          <w:rFonts w:ascii="Times New Roman" w:hAnsi="Times New Roman" w:cs="Times New Roman"/>
          <w:color w:val="000000" w:themeColor="text1"/>
          <w:sz w:val="24"/>
          <w:szCs w:val="24"/>
          <w:lang w:val="en-GB"/>
        </w:rPr>
        <w:instrText>ADDIN CSL_CITATION {"citationItems":[{"id":"ITEM-1","itemData":{"ISSN":"2253-1556","author":[{"dropping-particle":"","family":"Ganjali","given":"Raheleh","non-dropping-particle":"","parse-names":false,"suffix":""},{"dropping-particle":"","family":"Ghorban Sabbagh","given":"Mahin","non-dropping-particle":"","parse-names":false,"suffix":""},{"dropping-particle":"","family":"Nazemiyan","given":"Fatemeh","non-dropping-particle":"","parse-names":false,"suffix":""},{"dropping-particle":"","family":"Mamdouhi","given":"Fereshteh","non-dropping-particle":"","parse-names":false,"suffix":""},{"dropping-particle":"","family":"Badiee Aval","given":"Shapour","non-dropping-particle":"","parse-names":false,"suffix":""},{"dropping-particle":"","family":"Taherzadeh","given":"Zhila","non-dropping-particle":"","parse-names":false,"suffix":""},{"dropping-particle":"","family":"Heshmati Nabavi","given":"Fatemeh","non-dropping-particle":"","parse-names":false,"suffix":""},{"dropping-particle":"","family":"Golmakani","given":"Reza","non-dropping-particle":"","parse-names":false,"suffix":""},{"dropping-particle":"","family":"Tohidinezhad","given":"Fariba","non-dropping-particle":"","parse-names":false,"suffix":""},{"dropping-particle":"","family":"Eslami","given":"Saeid","non-dropping-particle":"","parse-names":false,"suffix":""}],"container-title":"ImmunoTargets and Therapy","id":"ITEM-1","issued":{"date-parts":[["2019"]]},"page":"53-62","publisher":"Taylor &amp; Francis","title":"Factors associated with adherence to immunosuppressive therapy and barriers in Asian kidney transplant recipients","type":"article-journal"},"uris":["http://www.mendeley.com/documents/?uuid=95b3e6e0-da22-4809-b99c-056d8c695927"]}],"mendeley":{"formattedCitation":"(Ganjali et al., 2019)","plainTextFormattedCitation":"(Ganjali et al., 2019)","previouslyFormattedCitation":"(Ganjali et al., 2019)"},"properties":{"noteIndex":0},"schema":"https://github.com/citation-style-language/schema/raw/master/csl-citation.json"}</w:instrText>
      </w:r>
      <w:r w:rsidR="008D692C" w:rsidRPr="002F72C4">
        <w:rPr>
          <w:rFonts w:ascii="Times New Roman" w:hAnsi="Times New Roman" w:cs="Times New Roman"/>
          <w:color w:val="000000" w:themeColor="text1"/>
          <w:sz w:val="24"/>
          <w:szCs w:val="24"/>
          <w:lang w:val="en-GB"/>
        </w:rPr>
        <w:fldChar w:fldCharType="separate"/>
      </w:r>
      <w:r w:rsidR="001E7B68" w:rsidRPr="001E7B68">
        <w:rPr>
          <w:rFonts w:ascii="Times New Roman" w:hAnsi="Times New Roman" w:cs="Times New Roman"/>
          <w:noProof/>
          <w:color w:val="000000" w:themeColor="text1"/>
          <w:sz w:val="24"/>
          <w:szCs w:val="24"/>
          <w:lang w:val="en-GB"/>
        </w:rPr>
        <w:t>(Ganjali et al., 2019)</w:t>
      </w:r>
      <w:r w:rsidR="008D692C" w:rsidRPr="002F72C4">
        <w:rPr>
          <w:rFonts w:ascii="Times New Roman" w:hAnsi="Times New Roman" w:cs="Times New Roman"/>
          <w:color w:val="000000" w:themeColor="text1"/>
          <w:sz w:val="24"/>
          <w:szCs w:val="24"/>
          <w:lang w:val="en-GB"/>
        </w:rPr>
        <w:fldChar w:fldCharType="end"/>
      </w:r>
      <w:r w:rsidRPr="002F72C4">
        <w:rPr>
          <w:rFonts w:ascii="Times New Roman" w:hAnsi="Times New Roman" w:cs="Times New Roman"/>
          <w:color w:val="000000" w:themeColor="text1"/>
          <w:sz w:val="24"/>
          <w:szCs w:val="24"/>
          <w:lang w:val="en-GB"/>
        </w:rPr>
        <w:t xml:space="preserve"> which rep</w:t>
      </w:r>
      <w:r w:rsidR="00DC58D5">
        <w:rPr>
          <w:rFonts w:ascii="Times New Roman" w:hAnsi="Times New Roman" w:cs="Times New Roman"/>
          <w:color w:val="000000" w:themeColor="text1"/>
          <w:sz w:val="24"/>
          <w:szCs w:val="24"/>
          <w:lang w:val="en-GB"/>
        </w:rPr>
        <w:t xml:space="preserve">orted mean scores of 5.75(1.53) </w:t>
      </w:r>
      <w:r w:rsidR="002A24FE" w:rsidRPr="002F72C4">
        <w:rPr>
          <w:rFonts w:ascii="Times New Roman" w:hAnsi="Times New Roman" w:cs="Times New Roman"/>
          <w:color w:val="000000" w:themeColor="text1"/>
          <w:sz w:val="24"/>
          <w:szCs w:val="24"/>
          <w:lang w:val="en-GB"/>
        </w:rPr>
        <w:t>in that domain</w:t>
      </w:r>
      <w:r w:rsidRPr="002F72C4">
        <w:rPr>
          <w:rFonts w:ascii="Times New Roman" w:hAnsi="Times New Roman" w:cs="Times New Roman"/>
          <w:color w:val="000000" w:themeColor="text1"/>
          <w:sz w:val="24"/>
          <w:szCs w:val="24"/>
          <w:lang w:val="en-GB"/>
        </w:rPr>
        <w:t>. The lowest score in this study was rela</w:t>
      </w:r>
      <w:r w:rsidR="00CA3EC5" w:rsidRPr="002F72C4">
        <w:rPr>
          <w:rFonts w:ascii="Times New Roman" w:hAnsi="Times New Roman" w:cs="Times New Roman"/>
          <w:color w:val="000000" w:themeColor="text1"/>
          <w:sz w:val="24"/>
          <w:szCs w:val="24"/>
          <w:lang w:val="en-GB"/>
        </w:rPr>
        <w:t xml:space="preserve">ted to fear /uncertainty domain </w:t>
      </w:r>
      <w:r w:rsidRPr="002F72C4">
        <w:rPr>
          <w:rFonts w:ascii="Times New Roman" w:hAnsi="Times New Roman" w:cs="Times New Roman"/>
          <w:color w:val="000000" w:themeColor="text1"/>
          <w:sz w:val="24"/>
          <w:szCs w:val="24"/>
          <w:lang w:val="en-GB"/>
        </w:rPr>
        <w:t xml:space="preserve">which </w:t>
      </w:r>
      <w:r w:rsidR="00CA3EC5" w:rsidRPr="002F72C4">
        <w:rPr>
          <w:rFonts w:ascii="Times New Roman" w:hAnsi="Times New Roman" w:cs="Times New Roman"/>
          <w:color w:val="000000" w:themeColor="text1"/>
          <w:sz w:val="24"/>
          <w:szCs w:val="24"/>
          <w:lang w:val="en-GB"/>
        </w:rPr>
        <w:t>corroborates</w:t>
      </w:r>
      <w:r w:rsidRPr="002F72C4">
        <w:rPr>
          <w:rFonts w:ascii="Times New Roman" w:hAnsi="Times New Roman" w:cs="Times New Roman"/>
          <w:color w:val="000000" w:themeColor="text1"/>
          <w:sz w:val="24"/>
          <w:szCs w:val="24"/>
          <w:lang w:val="en-GB"/>
        </w:rPr>
        <w:t xml:space="preserve">  findings from studies done in Palestine</w:t>
      </w:r>
      <w:r w:rsidR="001E7B68">
        <w:rPr>
          <w:rFonts w:ascii="Times New Roman" w:hAnsi="Times New Roman" w:cs="Times New Roman"/>
          <w:color w:val="000000" w:themeColor="text1"/>
          <w:sz w:val="24"/>
          <w:szCs w:val="24"/>
          <w:lang w:val="en-GB"/>
        </w:rPr>
        <w:t xml:space="preserve"> </w:t>
      </w:r>
      <w:r w:rsidR="00100DC2">
        <w:rPr>
          <w:rFonts w:ascii="Times New Roman" w:hAnsi="Times New Roman" w:cs="Times New Roman"/>
          <w:color w:val="000000" w:themeColor="text1"/>
          <w:sz w:val="24"/>
          <w:szCs w:val="24"/>
          <w:lang w:val="en-GB"/>
        </w:rPr>
        <w:fldChar w:fldCharType="begin" w:fldLock="1"/>
      </w:r>
      <w:r w:rsidR="00100DC2">
        <w:rPr>
          <w:rFonts w:ascii="Times New Roman" w:hAnsi="Times New Roman" w:cs="Times New Roman"/>
          <w:color w:val="000000" w:themeColor="text1"/>
          <w:sz w:val="24"/>
          <w:szCs w:val="24"/>
          <w:lang w:val="en-GB"/>
        </w:rPr>
        <w:instrText>ADDIN CSL_CITATION {"citationItems":[{"id":"ITEM-1","itemData":{"ISSN":"1319-2442","author":[{"dropping-particle":"","family":"Dweib","given":"Kholoud","non-dropping-particle":"","parse-names":false,"suffix":""},{"dropping-particle":"","family":"Jumaa","given":"Salma","non-dropping-particle":"","parse-names":false,"suffix":""},{"dropping-particle":"","family":"Khdour","given":"Maher","non-dropping-particle":"","parse-names":false,"suffix":""},{"dropping-particle":"","family":"Hallak","given":"Hussein","non-dropping-particle":"","parse-names":false,"suffix":""}],"container-title":"Saudi Journal of Kidney Diseases and Transplantation","id":"ITEM-1","issue":"2","issued":{"date-parts":[["2020"]]},"page":"473-481","publisher":"Medknow","title":"Quality of life for kidney transplant palestinian patients","type":"article-journal","volume":"31"},"uris":["http://www.mendeley.com/documents/?uuid=84745328-7948-44ce-8aab-95f504bc258c"]}],"mendeley":{"formattedCitation":"(Dweib et al., 2020)","plainTextFormattedCitation":"(Dweib et al., 2020)","previouslyFormattedCitation":"(Dweib et al., 2020)"},"properties":{"noteIndex":0},"schema":"https://github.com/citation-style-language/schema/raw/master/csl-citation.json"}</w:instrText>
      </w:r>
      <w:r w:rsidR="00100DC2">
        <w:rPr>
          <w:rFonts w:ascii="Times New Roman" w:hAnsi="Times New Roman" w:cs="Times New Roman"/>
          <w:color w:val="000000" w:themeColor="text1"/>
          <w:sz w:val="24"/>
          <w:szCs w:val="24"/>
          <w:lang w:val="en-GB"/>
        </w:rPr>
        <w:fldChar w:fldCharType="separate"/>
      </w:r>
      <w:r w:rsidR="00100DC2" w:rsidRPr="00100DC2">
        <w:rPr>
          <w:rFonts w:ascii="Times New Roman" w:hAnsi="Times New Roman" w:cs="Times New Roman"/>
          <w:noProof/>
          <w:color w:val="000000" w:themeColor="text1"/>
          <w:sz w:val="24"/>
          <w:szCs w:val="24"/>
          <w:lang w:val="en-GB"/>
        </w:rPr>
        <w:t>(Dweib et al., 2020)</w:t>
      </w:r>
      <w:r w:rsidR="00100DC2">
        <w:rPr>
          <w:rFonts w:ascii="Times New Roman" w:hAnsi="Times New Roman" w:cs="Times New Roman"/>
          <w:color w:val="000000" w:themeColor="text1"/>
          <w:sz w:val="24"/>
          <w:szCs w:val="24"/>
          <w:lang w:val="en-GB"/>
        </w:rPr>
        <w:fldChar w:fldCharType="end"/>
      </w:r>
      <w:r w:rsidR="00CA3EC5" w:rsidRPr="002F72C4">
        <w:rPr>
          <w:rFonts w:ascii="Times New Roman" w:hAnsi="Times New Roman" w:cs="Times New Roman"/>
          <w:color w:val="000000" w:themeColor="text1"/>
          <w:sz w:val="24"/>
          <w:szCs w:val="24"/>
          <w:lang w:val="en-GB"/>
        </w:rPr>
        <w:t>. Our study demonstrated</w:t>
      </w:r>
      <w:r w:rsidRPr="002F72C4">
        <w:rPr>
          <w:rFonts w:ascii="Times New Roman" w:hAnsi="Times New Roman" w:cs="Times New Roman"/>
          <w:color w:val="000000" w:themeColor="text1"/>
          <w:sz w:val="24"/>
          <w:szCs w:val="24"/>
          <w:lang w:val="en-GB"/>
        </w:rPr>
        <w:t xml:space="preserve"> that fear and uncertainty about the future were the main concerns among the study participants. Consequently, there is a need for patient education on graft rejection and coping mechanisms post transplantation.</w:t>
      </w:r>
    </w:p>
    <w:p w14:paraId="09C74D2B" w14:textId="77777777" w:rsidR="00100DC2" w:rsidRDefault="00100DC2" w:rsidP="005037CC">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p>
    <w:p w14:paraId="4C1EE419" w14:textId="69E0D823" w:rsidR="00100DC2" w:rsidRDefault="005037CC" w:rsidP="003165E5">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The mean age(SD) of the participants was 45.4(±14.7) years, which is comparable with a related study done in the same setting</w:t>
      </w:r>
      <w:r w:rsidR="00BC129A">
        <w:rPr>
          <w:rFonts w:ascii="Times New Roman" w:hAnsi="Times New Roman" w:cs="Times New Roman"/>
          <w:color w:val="000000" w:themeColor="text1"/>
          <w:sz w:val="24"/>
          <w:szCs w:val="24"/>
          <w:lang w:val="en-GB"/>
        </w:rPr>
        <w:t xml:space="preserve"> </w:t>
      </w:r>
      <w:r w:rsidR="00BC129A">
        <w:rPr>
          <w:rFonts w:ascii="Times New Roman" w:hAnsi="Times New Roman" w:cs="Times New Roman"/>
          <w:color w:val="000000" w:themeColor="text1"/>
          <w:sz w:val="24"/>
          <w:szCs w:val="24"/>
          <w:lang w:val="en-GB"/>
        </w:rPr>
        <w:fldChar w:fldCharType="begin" w:fldLock="1"/>
      </w:r>
      <w:r w:rsidR="00BC129A">
        <w:rPr>
          <w:rFonts w:ascii="Times New Roman" w:hAnsi="Times New Roman" w:cs="Times New Roman"/>
          <w:color w:val="000000" w:themeColor="text1"/>
          <w:sz w:val="24"/>
          <w:szCs w:val="24"/>
          <w:lang w:val="en-GB"/>
        </w:rPr>
        <w:instrText>ADDIN CSL_CITATION {"citationItems":[{"id":"ITEM-1","itemData":{"ISSN":"0041-1337","author":[{"dropping-particle":"","family":"Bagha","given":"Hussein","non-dropping-particle":"","parse-names":false,"suffix":""},{"dropping-particle":"","family":"Farah","given":"Saidi","non-dropping-particle":"","parse-names":false,"suffix":""},{"dropping-particle":"","family":"Juma","given":"Kismat","non-dropping-particle":"","parse-names":false,"suffix":""},{"dropping-particle":"","family":"Twahir","given":"Ahmed","non-dropping-particle":"","parse-names":false,"suffix":""}],"container-title":"Transplantation","id":"ITEM-1","issue":"9S","issued":{"date-parts":[["2024"]]},"publisher":"LWW","title":"P. 236: Short-term outcomes of a living renal transplant program at a private hospital in Nairobi, Kenya.","type":"article-journal","volume":"108"},"uris":["http://www.mendeley.com/documents/?uuid=370ff756-c1f7-4edb-815e-0fae20338bd1"]}],"mendeley":{"formattedCitation":"(Bagha et al., 2024)","plainTextFormattedCitation":"(Bagha et al., 2024)","previouslyFormattedCitation":"(Bagha et al., 2024)"},"properties":{"noteIndex":0},"schema":"https://github.com/citation-style-language/schema/raw/master/csl-citation.json"}</w:instrText>
      </w:r>
      <w:r w:rsidR="00BC129A">
        <w:rPr>
          <w:rFonts w:ascii="Times New Roman" w:hAnsi="Times New Roman" w:cs="Times New Roman"/>
          <w:color w:val="000000" w:themeColor="text1"/>
          <w:sz w:val="24"/>
          <w:szCs w:val="24"/>
          <w:lang w:val="en-GB"/>
        </w:rPr>
        <w:fldChar w:fldCharType="separate"/>
      </w:r>
      <w:r w:rsidR="00BC129A" w:rsidRPr="00BC129A">
        <w:rPr>
          <w:rFonts w:ascii="Times New Roman" w:hAnsi="Times New Roman" w:cs="Times New Roman"/>
          <w:noProof/>
          <w:color w:val="000000" w:themeColor="text1"/>
          <w:sz w:val="24"/>
          <w:szCs w:val="24"/>
          <w:lang w:val="en-GB"/>
        </w:rPr>
        <w:t>(Bagha et al., 2024)</w:t>
      </w:r>
      <w:r w:rsidR="00BC129A">
        <w:rPr>
          <w:rFonts w:ascii="Times New Roman" w:hAnsi="Times New Roman" w:cs="Times New Roman"/>
          <w:color w:val="000000" w:themeColor="text1"/>
          <w:sz w:val="24"/>
          <w:szCs w:val="24"/>
          <w:lang w:val="en-GB"/>
        </w:rPr>
        <w:fldChar w:fldCharType="end"/>
      </w:r>
      <w:r w:rsidR="00100DC2">
        <w:rPr>
          <w:rFonts w:ascii="Times New Roman" w:hAnsi="Times New Roman" w:cs="Times New Roman"/>
          <w:color w:val="000000" w:themeColor="text1"/>
          <w:sz w:val="24"/>
          <w:szCs w:val="24"/>
          <w:lang w:val="en-GB"/>
        </w:rPr>
        <w:t xml:space="preserve"> </w:t>
      </w:r>
      <w:r w:rsidRPr="002F72C4">
        <w:rPr>
          <w:rFonts w:ascii="Times New Roman" w:hAnsi="Times New Roman" w:cs="Times New Roman"/>
          <w:color w:val="000000" w:themeColor="text1"/>
          <w:sz w:val="24"/>
          <w:szCs w:val="24"/>
          <w:lang w:val="en-GB"/>
        </w:rPr>
        <w:t>that repo</w:t>
      </w:r>
      <w:r w:rsidR="00BC129A">
        <w:rPr>
          <w:rFonts w:ascii="Times New Roman" w:hAnsi="Times New Roman" w:cs="Times New Roman"/>
          <w:color w:val="000000" w:themeColor="text1"/>
          <w:sz w:val="24"/>
          <w:szCs w:val="24"/>
          <w:lang w:val="en-GB"/>
        </w:rPr>
        <w:t>rted a mean of  42</w:t>
      </w:r>
      <w:r w:rsidR="00100DC2">
        <w:rPr>
          <w:rFonts w:ascii="Times New Roman" w:hAnsi="Times New Roman" w:cs="Times New Roman"/>
          <w:color w:val="000000" w:themeColor="text1"/>
          <w:sz w:val="24"/>
          <w:szCs w:val="24"/>
          <w:lang w:val="en-GB"/>
        </w:rPr>
        <w:t>.</w:t>
      </w:r>
      <w:r w:rsidR="00BC129A">
        <w:rPr>
          <w:rFonts w:ascii="Times New Roman" w:hAnsi="Times New Roman" w:cs="Times New Roman"/>
          <w:color w:val="000000" w:themeColor="text1"/>
          <w:sz w:val="24"/>
          <w:szCs w:val="24"/>
          <w:lang w:val="en-GB"/>
        </w:rPr>
        <w:t xml:space="preserve">8 </w:t>
      </w:r>
      <w:r w:rsidR="00954833">
        <w:rPr>
          <w:rFonts w:ascii="Times New Roman" w:hAnsi="Times New Roman" w:cs="Times New Roman"/>
          <w:color w:val="000000" w:themeColor="text1"/>
          <w:sz w:val="24"/>
          <w:szCs w:val="24"/>
          <w:lang w:val="en-GB"/>
        </w:rPr>
        <w:t>years</w:t>
      </w:r>
      <w:r w:rsidR="00954833" w:rsidRPr="002F72C4">
        <w:rPr>
          <w:rFonts w:ascii="Times New Roman" w:hAnsi="Times New Roman" w:cs="Times New Roman"/>
          <w:color w:val="000000" w:themeColor="text1"/>
          <w:sz w:val="24"/>
          <w:szCs w:val="24"/>
          <w:lang w:val="en-GB"/>
        </w:rPr>
        <w:t>. The</w:t>
      </w:r>
      <w:r w:rsidRPr="002F72C4">
        <w:rPr>
          <w:rFonts w:ascii="Times New Roman" w:hAnsi="Times New Roman" w:cs="Times New Roman"/>
          <w:color w:val="000000" w:themeColor="text1"/>
          <w:sz w:val="24"/>
          <w:szCs w:val="24"/>
          <w:lang w:val="en-GB"/>
        </w:rPr>
        <w:t xml:space="preserve"> congruity in mean </w:t>
      </w:r>
      <w:r w:rsidR="00157DA7" w:rsidRPr="002F72C4">
        <w:rPr>
          <w:rFonts w:ascii="Times New Roman" w:hAnsi="Times New Roman" w:cs="Times New Roman"/>
          <w:color w:val="000000" w:themeColor="text1"/>
          <w:sz w:val="24"/>
          <w:szCs w:val="24"/>
          <w:lang w:val="en-GB"/>
        </w:rPr>
        <w:t>age is</w:t>
      </w:r>
      <w:r w:rsidRPr="002F72C4">
        <w:rPr>
          <w:rFonts w:ascii="Times New Roman" w:hAnsi="Times New Roman" w:cs="Times New Roman"/>
          <w:color w:val="000000" w:themeColor="text1"/>
          <w:sz w:val="24"/>
          <w:szCs w:val="24"/>
          <w:lang w:val="en-GB"/>
        </w:rPr>
        <w:t xml:space="preserve"> </w:t>
      </w:r>
      <w:r w:rsidR="00157DA7" w:rsidRPr="002F72C4">
        <w:rPr>
          <w:rFonts w:ascii="Times New Roman" w:hAnsi="Times New Roman" w:cs="Times New Roman"/>
          <w:color w:val="000000" w:themeColor="text1"/>
          <w:sz w:val="24"/>
          <w:szCs w:val="24"/>
          <w:lang w:val="en-GB"/>
        </w:rPr>
        <w:t>explained by</w:t>
      </w:r>
      <w:r w:rsidRPr="002F72C4">
        <w:rPr>
          <w:rFonts w:ascii="Times New Roman" w:hAnsi="Times New Roman" w:cs="Times New Roman"/>
          <w:color w:val="000000" w:themeColor="text1"/>
          <w:sz w:val="24"/>
          <w:szCs w:val="24"/>
          <w:lang w:val="en-GB"/>
        </w:rPr>
        <w:t xml:space="preserve"> the fact that ESRD tends to affect the </w:t>
      </w:r>
      <w:r w:rsidRPr="002F72C4">
        <w:rPr>
          <w:rFonts w:ascii="Times New Roman" w:hAnsi="Times New Roman" w:cs="Times New Roman"/>
          <w:color w:val="000000" w:themeColor="text1"/>
          <w:sz w:val="24"/>
          <w:szCs w:val="24"/>
          <w:lang w:val="en-GB"/>
        </w:rPr>
        <w:lastRenderedPageBreak/>
        <w:t xml:space="preserve">young and the middle aged individuals in sub-Saharan Africa. Conversely, a </w:t>
      </w:r>
      <w:r w:rsidR="00100DC2">
        <w:rPr>
          <w:rFonts w:ascii="Times New Roman" w:hAnsi="Times New Roman" w:cs="Times New Roman"/>
          <w:color w:val="000000" w:themeColor="text1"/>
          <w:sz w:val="24"/>
          <w:szCs w:val="24"/>
          <w:lang w:val="en-GB"/>
        </w:rPr>
        <w:t xml:space="preserve">previous </w:t>
      </w:r>
      <w:r w:rsidRPr="002F72C4">
        <w:rPr>
          <w:rFonts w:ascii="Times New Roman" w:hAnsi="Times New Roman" w:cs="Times New Roman"/>
          <w:color w:val="000000" w:themeColor="text1"/>
          <w:sz w:val="24"/>
          <w:szCs w:val="24"/>
          <w:lang w:val="en-GB"/>
        </w:rPr>
        <w:t xml:space="preserve">study in Germany showed the mean age to be greater than 55 years where the inclusion criteria involved adult participants with functioning kidney graft for more than 15 years </w:t>
      </w:r>
      <w:r w:rsidRPr="002F72C4">
        <w:rPr>
          <w:rFonts w:ascii="Times New Roman" w:hAnsi="Times New Roman" w:cs="Times New Roman"/>
          <w:color w:val="000000" w:themeColor="text1"/>
          <w:sz w:val="24"/>
          <w:szCs w:val="24"/>
          <w:lang w:val="en-GB"/>
        </w:rPr>
        <w:fldChar w:fldCharType="begin" w:fldLock="1"/>
      </w:r>
      <w:r w:rsidR="008D692C" w:rsidRPr="002F72C4">
        <w:rPr>
          <w:rFonts w:ascii="Times New Roman" w:hAnsi="Times New Roman" w:cs="Times New Roman"/>
          <w:color w:val="000000" w:themeColor="text1"/>
          <w:sz w:val="24"/>
          <w:szCs w:val="24"/>
          <w:lang w:val="en-GB"/>
        </w:rPr>
        <w:instrText>ADDIN CSL_CITATION {"citationItems":[{"id":"ITEM-1","itemData":{"DOI":"10.1097/01.tp.0000226070.74443.fb","ISSN":"0041-1337","abstract":"BACKGROUND. With continuously rising survival rates following renal transplantation, health-related quality of life (HQOL) of long-term transplant survivors becomes increasingly important. METHODS. Recipients more than 15 years after successful renal transplantation were studied retrospectively. HQOL in 139 long-term transplant recipients was assessed using the SF-36 and the disease-specific kidney transplant questionnaire (KTQ-25). RESULTS. Long-term transplant recipients revealed satisfactory HQOL that was comparable to the healthy population in four of eight SF-36 categories (role physical, social functioning, role emotional and mental health). Other SF-36 categories such as physical functioning, physical pain, general health, and vitality were reduced. Among the study population, disease-specific HQOL was comparable or even improved to that of patients awaiting transplantation. In contrast to retired or unemployed patients, employed recipients revealed a highly significant improved HQOL in numerous SF-36 categories such as physical functioning (P&lt;0.001), physical pain (P&lt;0.001), general health (P&lt;0.001), vitality (P&lt;0.001), social functioning (P&lt;0.005), and mental health (P&lt;0.001), as well as for the KTQ-dimensions physical symptoms (P&lt;0.001), fatigue (P&gt;0.001), uncertainty/fear (P&lt;0.01), and emotions (P&lt;0.05). Other factors positively correlating with improved HQOL in certain dimensions were living situation, systolic blood pressure, and recipient age. CONCLUSIONS. More than 15 years after renal transplantation, recipients present satisfactory HQOL comparable to the general healthy population or at least to pretransplant patients. Vocational rehabilitation following renal transplantation is of highest importance among long-term survivors and is associated with improved HQOL. Copyright © 2006 by Lippincott Williams &amp; Wilkins.","author":[{"dropping-particle":"","family":"Neipp","given":"Michael","non-dropping-particle":"","parse-names":false,"suffix":""},{"dropping-particle":"","family":"Karavul","given":"Behya","non-dropping-particle":"","parse-names":false,"suffix":""},{"dropping-particle":"","family":"Jackobs","given":"Steffan","non-dropping-particle":"","parse-names":false,"suffix":""},{"dropping-particle":"","family":"zu Vilsendorf","given":"Andreas Meyer","non-dropping-particle":"","parse-names":false,"suffix":""},{"dropping-particle":"","family":"Richter","given":"Nicolas","non-dropping-particle":"","parse-names":false,"suffix":""},{"dropping-particle":"","family":"Becker","given":"Thomas","non-dropping-particle":"","parse-names":false,"suffix":""},{"dropping-particle":"","family":"Schwarz","given":"Anke","non-dropping-particle":"","parse-names":false,"suffix":""},{"dropping-particle":"","family":"Klempnauer","given":"Juergen","non-dropping-particle":"","parse-names":false,"suffix":""}],"container-title":"Transplantation","id":"ITEM-1","issue":"12","issued":{"date-parts":[["2006","6"]]},"page":"1640-1644","title":"Quality of Life in Adult Transplant Recipients More than 15 Years after Kidney Transplantation","type":"article-journal","volume":"81"},"uris":["http://www.mendeley.com/documents/?uuid=ad9057f7-367f-4f19-82e7-3897bd3d0cac"]}],"mendeley":{"formattedCitation":"(Neipp et al., 2006)","plainTextFormattedCitation":"(Neipp et al., 2006)","previouslyFormattedCitation":"(Neipp et al., 2006)"},"properties":{"noteIndex":0},"schema":"https://github.com/citation-style-language/schema/raw/master/csl-citation.json"}</w:instrText>
      </w:r>
      <w:r w:rsidRPr="002F72C4">
        <w:rPr>
          <w:rFonts w:ascii="Times New Roman" w:hAnsi="Times New Roman" w:cs="Times New Roman"/>
          <w:color w:val="000000" w:themeColor="text1"/>
          <w:sz w:val="24"/>
          <w:szCs w:val="24"/>
          <w:lang w:val="en-GB"/>
        </w:rPr>
        <w:fldChar w:fldCharType="separate"/>
      </w:r>
      <w:r w:rsidR="002B261F" w:rsidRPr="002F72C4">
        <w:rPr>
          <w:rFonts w:ascii="Times New Roman" w:hAnsi="Times New Roman" w:cs="Times New Roman"/>
          <w:noProof/>
          <w:color w:val="000000" w:themeColor="text1"/>
          <w:sz w:val="24"/>
          <w:szCs w:val="24"/>
          <w:lang w:val="en-GB"/>
        </w:rPr>
        <w:t>(Neipp et al., 2006)</w:t>
      </w:r>
      <w:r w:rsidRPr="002F72C4">
        <w:rPr>
          <w:rFonts w:ascii="Times New Roman" w:hAnsi="Times New Roman" w:cs="Times New Roman"/>
          <w:color w:val="000000" w:themeColor="text1"/>
          <w:sz w:val="24"/>
          <w:szCs w:val="24"/>
          <w:lang w:val="en-GB"/>
        </w:rPr>
        <w:fldChar w:fldCharType="end"/>
      </w:r>
      <w:r w:rsidRPr="002F72C4">
        <w:rPr>
          <w:rFonts w:ascii="Times New Roman" w:hAnsi="Times New Roman" w:cs="Times New Roman"/>
          <w:color w:val="000000" w:themeColor="text1"/>
          <w:sz w:val="24"/>
          <w:szCs w:val="24"/>
          <w:lang w:val="en-GB"/>
        </w:rPr>
        <w:t xml:space="preserve"> and </w:t>
      </w:r>
      <w:r w:rsidR="00100DC2">
        <w:rPr>
          <w:rFonts w:ascii="Times New Roman" w:hAnsi="Times New Roman" w:cs="Times New Roman"/>
          <w:color w:val="000000" w:themeColor="text1"/>
          <w:sz w:val="24"/>
          <w:szCs w:val="24"/>
          <w:lang w:val="en-GB"/>
        </w:rPr>
        <w:t xml:space="preserve">perhaps the higher mean age. </w:t>
      </w:r>
    </w:p>
    <w:p w14:paraId="4A01D64A" w14:textId="77777777" w:rsidR="00100DC2" w:rsidRDefault="00100DC2" w:rsidP="003165E5">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p>
    <w:p w14:paraId="7BC12328" w14:textId="637055C4" w:rsidR="003165E5" w:rsidRPr="00100DC2" w:rsidRDefault="00100DC2" w:rsidP="003165E5">
      <w:pPr>
        <w:autoSpaceDE w:val="0"/>
        <w:autoSpaceDN w:val="0"/>
        <w:adjustRightInd w:val="0"/>
        <w:spacing w:after="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The s</w:t>
      </w:r>
      <w:r w:rsidR="003165E5" w:rsidRPr="002F72C4">
        <w:rPr>
          <w:rFonts w:ascii="Times New Roman" w:hAnsi="Times New Roman" w:cs="Times New Roman"/>
          <w:color w:val="000000" w:themeColor="text1"/>
          <w:sz w:val="24"/>
          <w:szCs w:val="24"/>
          <w:lang w:val="en-GB"/>
        </w:rPr>
        <w:t>tudy findings revealed that majority of the participants were male (70%)</w:t>
      </w:r>
      <w:r>
        <w:rPr>
          <w:rFonts w:ascii="Times New Roman" w:hAnsi="Times New Roman" w:cs="Times New Roman"/>
          <w:color w:val="000000" w:themeColor="text1"/>
          <w:sz w:val="24"/>
          <w:szCs w:val="24"/>
          <w:lang w:val="en-GB"/>
        </w:rPr>
        <w:t xml:space="preserve"> which corroborates</w:t>
      </w:r>
      <w:r w:rsidR="003165E5" w:rsidRPr="002F72C4">
        <w:rPr>
          <w:rFonts w:ascii="Times New Roman" w:hAnsi="Times New Roman" w:cs="Times New Roman"/>
          <w:color w:val="000000" w:themeColor="text1"/>
          <w:sz w:val="24"/>
          <w:szCs w:val="24"/>
          <w:lang w:val="en-GB"/>
        </w:rPr>
        <w:t xml:space="preserve"> what was reported by studies in Iran and Pal</w:t>
      </w:r>
      <w:r w:rsidR="00316C3E" w:rsidRPr="002F72C4">
        <w:rPr>
          <w:rFonts w:ascii="Times New Roman" w:hAnsi="Times New Roman" w:cs="Times New Roman"/>
          <w:color w:val="000000" w:themeColor="text1"/>
          <w:sz w:val="24"/>
          <w:szCs w:val="24"/>
          <w:lang w:val="en-GB"/>
        </w:rPr>
        <w:t xml:space="preserve">estine </w:t>
      </w:r>
      <w:r>
        <w:rPr>
          <w:rFonts w:ascii="Times New Roman" w:hAnsi="Times New Roman" w:cs="Times New Roman"/>
          <w:color w:val="000000" w:themeColor="text1"/>
          <w:sz w:val="24"/>
          <w:szCs w:val="24"/>
          <w:lang w:val="en-GB"/>
        </w:rPr>
        <w:t>that showed male predominance</w:t>
      </w:r>
      <w:r w:rsidRPr="002F72C4">
        <w:rPr>
          <w:rFonts w:ascii="Times New Roman" w:hAnsi="Times New Roman" w:cs="Times New Roman"/>
          <w:color w:val="000000" w:themeColor="text1"/>
          <w:sz w:val="24"/>
          <w:szCs w:val="24"/>
          <w:lang w:val="en-GB"/>
        </w:rPr>
        <w:t xml:space="preserve"> </w:t>
      </w:r>
      <w:r w:rsidR="003165E5" w:rsidRPr="002F72C4">
        <w:rPr>
          <w:rFonts w:ascii="Times New Roman" w:hAnsi="Times New Roman" w:cs="Times New Roman"/>
          <w:color w:val="000000" w:themeColor="text1"/>
          <w:sz w:val="24"/>
          <w:szCs w:val="24"/>
          <w:lang w:val="en-GB"/>
        </w:rPr>
        <w:t>at 58.7% and 79.8%, respectively</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fldChar w:fldCharType="begin" w:fldLock="1"/>
      </w:r>
      <w:r>
        <w:rPr>
          <w:rFonts w:ascii="Times New Roman" w:hAnsi="Times New Roman" w:cs="Times New Roman"/>
          <w:color w:val="000000" w:themeColor="text1"/>
          <w:sz w:val="24"/>
          <w:szCs w:val="24"/>
          <w:lang w:val="en-GB"/>
        </w:rPr>
        <w:instrText>ADDIN CSL_CITATION {"citationItems":[{"id":"ITEM-1","itemData":{"DOI":"10.5812/NUMONTHLY.79497","ISSN":"2251-7014","abstract":"Background: Renal transplantation is one of the best modalities to lengthen the life expectancy of patients with end-stage renal disease (ESRD). However, no sufficient documents exist regarding the effects of renal transplantation on the health-related quality of life (HRQOL) especially in Iranian population. Objectives: This study aimed to determine the possible influence of renal transplantation in different scales of HRQOL in southern Iran. Methods: This Quasi-experimental study was carried out with 120 patient candidate for renal transplantation (Apr 2012 - Jan 2014). Using the general SF-36 questionnaire, HRQOL of the patients 1 week before and 3 months after the transplantation was evaluated. All data were analyzed statistically using descriptive and analytical tests (α = 0.05). Results: Seventy-eight patients (65%) were male. The mean (SD) of the age was 38.92 (13.259) years. HRQOL and its eight scales were significantly different before and after the transplantation (P &lt; 0.001). There was a significant difference between general perception of health and primary school, as well as diploma (P = 0.008). Other demographical factors such as age, gender, marital status and type of donor had no impact on HRQOL, statistically. There was no correlation between HRQOL and the length of facing the disease, except in the subgroup of role limitation due to physical problems (P = 0.01). Conclusions: The study showed that renal transplantation has sufficient credibility in improvement of HRQOL in patients with ESRD. Moreover, continuous enhancement of education level and public knowledge might be as effective as development of medical serving systems in maintaining and achieving greater improvement in HRQOL.","author":[{"dropping-particle":"","family":"Mousavi-Roknabadi","given":"Razieh Sadat","non-dropping-particle":"","parse-names":false,"suffix":""},{"dropping-particle":"","family":"Ershadi","given":"Faezeh","non-dropping-particle":"","parse-names":false,"suffix":""},{"dropping-particle":"","family":"Hadi","given":"Negin","non-dropping-particle":"","parse-names":false,"suffix":""},{"dropping-particle":"","family":"Shahroodi","given":"Jamshid Roozbeh","non-dropping-particle":"","parse-names":false,"suffix":""},{"dropping-particle":"","family":"Shayan","given":"Zahra","non-dropping-particle":"","parse-names":false,"suffix":""},{"dropping-particle":"","family":"Keshavarz","given":"Soheila","non-dropping-particle":"","parse-names":false,"suffix":""},{"dropping-particle":"","family":"Sarbizhan","given":"Halimeh Raeisi","non-dropping-particle":"","parse-names":false,"suffix":""},{"dropping-particle":"","family":"Roozrokh","given":"Afsaneh","non-dropping-particle":"","parse-names":false,"suffix":""}],"container-title":"Nephro-Urology Monthly 2019 11:2","id":"ITEM-1","issue":"2","issued":{"date-parts":[["2019","5"]]},"publisher":"Kowsar","title":"Effect of Renal Transplantation on Health-Related Quality of Life in Patients with End-Stage Renal Disease; A Quasi-Experimental Study","type":"article-journal","volume":"11"},"uris":["http://www.mendeley.com/documents/?uuid=27ab3264-d486-4093-b0c4-6146de613c56"]},{"id":"ITEM-2","itemData":{"ISSN":"1319-2442","author":[{"dropping-particle":"","family":"Dweib","given":"Kholoud","non-dropping-particle":"","parse-names":false,"suffix":""},{"dropping-particle":"","family":"Jumaa","given":"Salma","non-dropping-particle":"","parse-names":false,"suffix":""},{"dropping-particle":"","family":"Khdour","given":"Maher","non-dropping-particle":"","parse-names":false,"suffix":""},{"dropping-particle":"","family":"Hallak","given":"Hussein","non-dropping-particle":"","parse-names":false,"suffix":""}],"container-title":"Saudi Journal of Kidney Diseases and Transplantation","id":"ITEM-2","issue":"2","issued":{"date-parts":[["2020"]]},"page":"473-481","publisher":"Medknow","title":"Quality of life for kidney transplant palestinian patients","type":"article-journal","volume":"31"},"uris":["http://www.mendeley.com/documents/?uuid=84745328-7948-44ce-8aab-95f504bc258c"]}],"mendeley":{"formattedCitation":"(Dweib et al., 2020; Mousavi-Roknabadi et al., 2019)","plainTextFormattedCitation":"(Dweib et al., 2020; Mousavi-Roknabadi et al., 2019)","previouslyFormattedCitation":"(Dweib et al., 2020; Mousavi-Roknabadi et al., 2019)"},"properties":{"noteIndex":0},"schema":"https://github.com/citation-style-language/schema/raw/master/csl-citation.json"}</w:instrText>
      </w:r>
      <w:r>
        <w:rPr>
          <w:rFonts w:ascii="Times New Roman" w:hAnsi="Times New Roman" w:cs="Times New Roman"/>
          <w:color w:val="000000" w:themeColor="text1"/>
          <w:sz w:val="24"/>
          <w:szCs w:val="24"/>
          <w:lang w:val="en-GB"/>
        </w:rPr>
        <w:fldChar w:fldCharType="separate"/>
      </w:r>
      <w:r w:rsidRPr="00100DC2">
        <w:rPr>
          <w:rFonts w:ascii="Times New Roman" w:hAnsi="Times New Roman" w:cs="Times New Roman"/>
          <w:noProof/>
          <w:color w:val="000000" w:themeColor="text1"/>
          <w:sz w:val="24"/>
          <w:szCs w:val="24"/>
          <w:lang w:val="en-GB"/>
        </w:rPr>
        <w:t>(Dweib et al., 2020; Mousavi-Roknabadi et al., 2019)</w:t>
      </w:r>
      <w:r>
        <w:rPr>
          <w:rFonts w:ascii="Times New Roman" w:hAnsi="Times New Roman" w:cs="Times New Roman"/>
          <w:color w:val="000000" w:themeColor="text1"/>
          <w:sz w:val="24"/>
          <w:szCs w:val="24"/>
          <w:lang w:val="en-GB"/>
        </w:rPr>
        <w:fldChar w:fldCharType="end"/>
      </w:r>
      <w:r w:rsidR="003165E5" w:rsidRPr="002F72C4">
        <w:rPr>
          <w:rFonts w:ascii="Times New Roman" w:hAnsi="Times New Roman" w:cs="Times New Roman"/>
          <w:color w:val="000000" w:themeColor="text1"/>
          <w:sz w:val="24"/>
          <w:szCs w:val="24"/>
          <w:lang w:val="en-GB"/>
        </w:rPr>
        <w:t>. The findings may reflect wh</w:t>
      </w:r>
      <w:r w:rsidR="00321FB7" w:rsidRPr="002F72C4">
        <w:rPr>
          <w:rFonts w:ascii="Times New Roman" w:hAnsi="Times New Roman" w:cs="Times New Roman"/>
          <w:color w:val="000000" w:themeColor="text1"/>
          <w:sz w:val="24"/>
          <w:szCs w:val="24"/>
          <w:lang w:val="en-GB"/>
        </w:rPr>
        <w:t>at related studies have found with</w:t>
      </w:r>
      <w:r w:rsidR="003165E5" w:rsidRPr="002F72C4">
        <w:rPr>
          <w:rFonts w:ascii="Times New Roman" w:hAnsi="Times New Roman" w:cs="Times New Roman"/>
          <w:color w:val="000000" w:themeColor="text1"/>
          <w:sz w:val="24"/>
          <w:szCs w:val="24"/>
          <w:lang w:val="en-GB"/>
        </w:rPr>
        <w:t xml:space="preserve"> regards to gender bias ,lack of social support systems and lower income among women pertaining to access to transplantation service</w:t>
      </w:r>
      <w:r>
        <w:rPr>
          <w:rFonts w:ascii="Times New Roman" w:hAnsi="Times New Roman" w:cs="Times New Roman"/>
          <w:color w:val="000000" w:themeColor="text1"/>
          <w:sz w:val="24"/>
          <w:szCs w:val="24"/>
          <w:lang w:val="en-GB"/>
        </w:rPr>
        <w:t xml:space="preserve">s </w:t>
      </w:r>
      <w:r>
        <w:rPr>
          <w:rFonts w:ascii="Times New Roman" w:hAnsi="Times New Roman" w:cs="Times New Roman"/>
          <w:color w:val="000000" w:themeColor="text1"/>
          <w:sz w:val="24"/>
          <w:szCs w:val="24"/>
          <w:lang w:val="en-GB"/>
        </w:rPr>
        <w:fldChar w:fldCharType="begin" w:fldLock="1"/>
      </w:r>
      <w:r>
        <w:rPr>
          <w:rFonts w:ascii="Times New Roman" w:hAnsi="Times New Roman" w:cs="Times New Roman"/>
          <w:color w:val="000000" w:themeColor="text1"/>
          <w:sz w:val="24"/>
          <w:szCs w:val="24"/>
          <w:lang w:val="en-GB"/>
        </w:rPr>
        <w:instrText>ADDIN CSL_CITATION {"citationItems":[{"id":"ITEM-1","itemData":{"ISBN":"1555-9041","author":[{"dropping-particle":"","family":"Ahmed","given":"Sofia B","non-dropping-particle":"","parse-names":false,"suffix":""},{"dropping-particle":"","family":"Vinson","given":"Amanda J","non-dropping-particle":"","parse-names":false,"suffix":""}],"container-title":"Clinical Journal of the American Society of Nephrology","id":"ITEM-1","issue":"10","issued":{"date-parts":[["2023"]]},"page":"1247-1249","publisher":"LWW","title":"Gender disparities in access to kidney transplantation: perceived barriers along the road to transplantation","type":"article","volume":"18"},"uris":["http://www.mendeley.com/documents/?uuid=82c897fa-f0aa-4cda-8ffc-b64a916babdc"]}],"mendeley":{"formattedCitation":"(Ahmed &amp; Vinson, 2023)","plainTextFormattedCitation":"(Ahmed &amp; Vinson, 2023)","previouslyFormattedCitation":"(Ahmed &amp; Vinson, 2023)"},"properties":{"noteIndex":0},"schema":"https://github.com/citation-style-language/schema/raw/master/csl-citation.json"}</w:instrText>
      </w:r>
      <w:r>
        <w:rPr>
          <w:rFonts w:ascii="Times New Roman" w:hAnsi="Times New Roman" w:cs="Times New Roman"/>
          <w:color w:val="000000" w:themeColor="text1"/>
          <w:sz w:val="24"/>
          <w:szCs w:val="24"/>
          <w:lang w:val="en-GB"/>
        </w:rPr>
        <w:fldChar w:fldCharType="separate"/>
      </w:r>
      <w:r w:rsidRPr="00100DC2">
        <w:rPr>
          <w:rFonts w:ascii="Times New Roman" w:hAnsi="Times New Roman" w:cs="Times New Roman"/>
          <w:noProof/>
          <w:color w:val="000000" w:themeColor="text1"/>
          <w:sz w:val="24"/>
          <w:szCs w:val="24"/>
          <w:lang w:val="en-GB"/>
        </w:rPr>
        <w:t>(Ahmed &amp; Vinson, 2023)</w:t>
      </w:r>
      <w:r>
        <w:rPr>
          <w:rFonts w:ascii="Times New Roman" w:hAnsi="Times New Roman" w:cs="Times New Roman"/>
          <w:color w:val="000000" w:themeColor="text1"/>
          <w:sz w:val="24"/>
          <w:szCs w:val="24"/>
          <w:lang w:val="en-GB"/>
        </w:rPr>
        <w:fldChar w:fldCharType="end"/>
      </w:r>
      <w:r w:rsidR="003165E5" w:rsidRPr="002F72C4">
        <w:rPr>
          <w:rFonts w:ascii="Times New Roman" w:hAnsi="Times New Roman" w:cs="Times New Roman"/>
          <w:color w:val="000000" w:themeColor="text1"/>
          <w:sz w:val="24"/>
          <w:szCs w:val="24"/>
          <w:lang w:val="en-GB"/>
        </w:rPr>
        <w:t xml:space="preserve">. Regarding </w:t>
      </w:r>
      <w:r w:rsidR="00EA198F" w:rsidRPr="002F72C4">
        <w:rPr>
          <w:rFonts w:ascii="Times New Roman" w:hAnsi="Times New Roman" w:cs="Times New Roman"/>
          <w:color w:val="000000" w:themeColor="text1"/>
          <w:sz w:val="24"/>
          <w:szCs w:val="24"/>
          <w:lang w:val="en-GB"/>
        </w:rPr>
        <w:t xml:space="preserve">the </w:t>
      </w:r>
      <w:r w:rsidR="003165E5" w:rsidRPr="002F72C4">
        <w:rPr>
          <w:rFonts w:ascii="Times New Roman" w:hAnsi="Times New Roman" w:cs="Times New Roman"/>
          <w:color w:val="000000" w:themeColor="text1"/>
          <w:sz w:val="24"/>
          <w:szCs w:val="24"/>
          <w:lang w:val="en-GB"/>
        </w:rPr>
        <w:t>type of donor,</w:t>
      </w:r>
      <w:r w:rsidR="003165E5" w:rsidRPr="002F72C4">
        <w:rPr>
          <w:rFonts w:ascii="Times New Roman" w:hAnsi="Times New Roman" w:cs="Times New Roman"/>
          <w:color w:val="000000" w:themeColor="text1"/>
          <w:sz w:val="24"/>
          <w:szCs w:val="24"/>
        </w:rPr>
        <w:t xml:space="preserve"> all the study participants received their kidney</w:t>
      </w:r>
      <w:r w:rsidR="00EA198F" w:rsidRPr="002F72C4">
        <w:rPr>
          <w:rFonts w:ascii="Times New Roman" w:hAnsi="Times New Roman" w:cs="Times New Roman"/>
          <w:color w:val="000000" w:themeColor="text1"/>
          <w:sz w:val="24"/>
          <w:szCs w:val="24"/>
        </w:rPr>
        <w:t>s</w:t>
      </w:r>
      <w:r w:rsidR="003165E5" w:rsidRPr="002F72C4">
        <w:rPr>
          <w:rFonts w:ascii="Times New Roman" w:hAnsi="Times New Roman" w:cs="Times New Roman"/>
          <w:color w:val="000000" w:themeColor="text1"/>
          <w:sz w:val="24"/>
          <w:szCs w:val="24"/>
        </w:rPr>
        <w:t xml:space="preserve"> from living donor relatives. This finding concurs with a study conducted in Palestine that showed living donor relatives as main graft contributors</w:t>
      </w:r>
      <w:r w:rsidR="00D520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1319-2442","author":[{"dropping-particle":"","family":"Dweib","given":"Kholoud","non-dropping-particle":"","parse-names":false,"suffix":""},{"dropping-particle":"","family":"Jumaa","given":"Salma","non-dropping-particle":"","parse-names":false,"suffix":""},{"dropping-particle":"","family":"Khdour","given":"Maher","non-dropping-particle":"","parse-names":false,"suffix":""},{"dropping-particle":"","family":"Hallak","given":"Hussein","non-dropping-particle":"","parse-names":false,"suffix":""}],"container-title":"Saudi Journal of Kidney Diseases and Transplantation","id":"ITEM-1","issue":"2","issued":{"date-parts":[["2020"]]},"page":"473-481","publisher":"Medknow","title":"Quality of life for kidney transplant palestinian patients","type":"article-journal","volume":"31"},"uris":["http://www.mendeley.com/documents/?uuid=84745328-7948-44ce-8aab-95f504bc258c"]}],"mendeley":{"formattedCitation":"(Dweib et al., 2020)","plainTextFormattedCitation":"(Dweib et al., 2020)","previouslyFormattedCitation":"(Dweib et al.,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00DC2">
        <w:rPr>
          <w:rFonts w:ascii="Times New Roman" w:hAnsi="Times New Roman" w:cs="Times New Roman"/>
          <w:noProof/>
          <w:color w:val="000000" w:themeColor="text1"/>
          <w:sz w:val="24"/>
          <w:szCs w:val="24"/>
        </w:rPr>
        <w:t>(Dweib et al., 2020)</w:t>
      </w:r>
      <w:r>
        <w:rPr>
          <w:rFonts w:ascii="Times New Roman" w:hAnsi="Times New Roman" w:cs="Times New Roman"/>
          <w:color w:val="000000" w:themeColor="text1"/>
          <w:sz w:val="24"/>
          <w:szCs w:val="24"/>
        </w:rPr>
        <w:fldChar w:fldCharType="end"/>
      </w:r>
      <w:r w:rsidR="003165E5" w:rsidRPr="002F72C4">
        <w:rPr>
          <w:rFonts w:ascii="Times New Roman" w:hAnsi="Times New Roman" w:cs="Times New Roman"/>
          <w:color w:val="000000" w:themeColor="text1"/>
          <w:sz w:val="24"/>
          <w:szCs w:val="24"/>
        </w:rPr>
        <w:t xml:space="preserve">.In contrast, the study in Iran had </w:t>
      </w:r>
      <w:r w:rsidR="00A8696F" w:rsidRPr="002F72C4">
        <w:rPr>
          <w:rFonts w:ascii="Times New Roman" w:hAnsi="Times New Roman" w:cs="Times New Roman"/>
          <w:color w:val="000000" w:themeColor="text1"/>
          <w:sz w:val="24"/>
          <w:szCs w:val="24"/>
        </w:rPr>
        <w:t xml:space="preserve">the </w:t>
      </w:r>
      <w:r w:rsidR="003165E5" w:rsidRPr="002F72C4">
        <w:rPr>
          <w:rFonts w:ascii="Times New Roman" w:hAnsi="Times New Roman" w:cs="Times New Roman"/>
          <w:color w:val="000000" w:themeColor="text1"/>
          <w:sz w:val="24"/>
          <w:szCs w:val="24"/>
        </w:rPr>
        <w:t>maj</w:t>
      </w:r>
      <w:r w:rsidR="0094450B" w:rsidRPr="002F72C4">
        <w:rPr>
          <w:rFonts w:ascii="Times New Roman" w:hAnsi="Times New Roman" w:cs="Times New Roman"/>
          <w:color w:val="000000" w:themeColor="text1"/>
          <w:sz w:val="24"/>
          <w:szCs w:val="24"/>
        </w:rPr>
        <w:t xml:space="preserve">ority of  participants receiving </w:t>
      </w:r>
      <w:r w:rsidR="003165E5" w:rsidRPr="002F72C4">
        <w:rPr>
          <w:rFonts w:ascii="Times New Roman" w:hAnsi="Times New Roman" w:cs="Times New Roman"/>
          <w:color w:val="000000" w:themeColor="text1"/>
          <w:sz w:val="24"/>
          <w:szCs w:val="24"/>
        </w:rPr>
        <w:t>graft from non-relatives and cadave</w:t>
      </w:r>
      <w:r>
        <w:rPr>
          <w:rFonts w:ascii="Times New Roman" w:hAnsi="Times New Roman" w:cs="Times New Roman"/>
          <w:color w:val="000000" w:themeColor="text1"/>
          <w:sz w:val="24"/>
          <w:szCs w:val="24"/>
        </w:rPr>
        <w:t xml:space="preserve">rs </w:t>
      </w:r>
      <w:r>
        <w:rPr>
          <w:rFonts w:ascii="Times New Roman" w:hAnsi="Times New Roman" w:cs="Times New Roman"/>
          <w:color w:val="000000" w:themeColor="text1"/>
          <w:sz w:val="24"/>
          <w:szCs w:val="24"/>
        </w:rPr>
        <w:fldChar w:fldCharType="begin" w:fldLock="1"/>
      </w:r>
      <w:r w:rsidR="00000DA9">
        <w:rPr>
          <w:rFonts w:ascii="Times New Roman" w:hAnsi="Times New Roman" w:cs="Times New Roman"/>
          <w:color w:val="000000" w:themeColor="text1"/>
          <w:sz w:val="24"/>
          <w:szCs w:val="24"/>
        </w:rPr>
        <w:instrText>ADDIN CSL_CITATION {"citationItems":[{"id":"ITEM-1","itemData":{"DOI":"10.5812/NUMONTHLY.79497","ISSN":"2251-7014","abstract":"Background: Renal transplantation is one of the best modalities to lengthen the life expectancy of patients with end-stage renal disease (ESRD). However, no sufficient documents exist regarding the effects of renal transplantation on the health-related quality of life (HRQOL) especially in Iranian population. Objectives: This study aimed to determine the possible influence of renal transplantation in different scales of HRQOL in southern Iran. Methods: This Quasi-experimental study was carried out with 120 patient candidate for renal transplantation (Apr 2012 - Jan 2014). Using the general SF-36 questionnaire, HRQOL of the patients 1 week before and 3 months after the transplantation was evaluated. All data were analyzed statistically using descriptive and analytical tests (α = 0.05). Results: Seventy-eight patients (65%) were male. The mean (SD) of the age was 38.92 (13.259) years. HRQOL and its eight scales were significantly different before and after the transplantation (P &lt; 0.001). There was a significant difference between general perception of health and primary school, as well as diploma (P = 0.008). Other demographical factors such as age, gender, marital status and type of donor had no impact on HRQOL, statistically. There was no correlation between HRQOL and the length of facing the disease, except in the subgroup of role limitation due to physical problems (P = 0.01). Conclusions: The study showed that renal transplantation has sufficient credibility in improvement of HRQOL in patients with ESRD. Moreover, continuous enhancement of education level and public knowledge might be as effective as development of medical serving systems in maintaining and achieving greater improvement in HRQOL.","author":[{"dropping-particle":"","family":"Mousavi-Roknabadi","given":"Razieh Sadat","non-dropping-particle":"","parse-names":false,"suffix":""},{"dropping-particle":"","family":"Ershadi","given":"Faezeh","non-dropping-particle":"","parse-names":false,"suffix":""},{"dropping-particle":"","family":"Hadi","given":"Negin","non-dropping-particle":"","parse-names":false,"suffix":""},{"dropping-particle":"","family":"Shahroodi","given":"Jamshid Roozbeh","non-dropping-particle":"","parse-names":false,"suffix":""},{"dropping-particle":"","family":"Shayan","given":"Zahra","non-dropping-particle":"","parse-names":false,"suffix":""},{"dropping-particle":"","family":"Keshavarz","given":"Soheila","non-dropping-particle":"","parse-names":false,"suffix":""},{"dropping-particle":"","family":"Sarbizhan","given":"Halimeh Raeisi","non-dropping-particle":"","parse-names":false,"suffix":""},{"dropping-particle":"","family":"Roozrokh","given":"Afsaneh","non-dropping-particle":"","parse-names":false,"suffix":""}],"container-title":"Nephro-Urology Monthly 2019 11:2","id":"ITEM-1","issue":"2","issued":{"date-parts":[["2019","5"]]},"publisher":"Kowsar","title":"Effect of Renal Transplantation on Health-Related Quality of Life in Patients with End-Stage Renal Disease; A Quasi-Experimental Study","type":"article-journal","volume":"11"},"uris":["http://www.mendeley.com/documents/?uuid=27ab3264-d486-4093-b0c4-6146de613c56"]}],"mendeley":{"formattedCitation":"(Mousavi-Roknabadi et al., 2019)","plainTextFormattedCitation":"(Mousavi-Roknabadi et al., 2019)","previouslyFormattedCitation":"(Mousavi-Roknabadi et al., 2019)"},"properties":{"noteIndex":0},"schema":"https://github.com/citation-style-language/schema/raw/master/csl-citation.json"}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100DC2">
        <w:rPr>
          <w:rFonts w:ascii="Times New Roman" w:hAnsi="Times New Roman" w:cs="Times New Roman"/>
          <w:noProof/>
          <w:color w:val="000000" w:themeColor="text1"/>
          <w:sz w:val="24"/>
          <w:szCs w:val="24"/>
        </w:rPr>
        <w:t>(Mousavi-Roknabadi et al., 2019)</w:t>
      </w:r>
      <w:r>
        <w:rPr>
          <w:rFonts w:ascii="Times New Roman" w:hAnsi="Times New Roman" w:cs="Times New Roman"/>
          <w:color w:val="000000" w:themeColor="text1"/>
          <w:sz w:val="24"/>
          <w:szCs w:val="24"/>
        </w:rPr>
        <w:fldChar w:fldCharType="end"/>
      </w:r>
      <w:r w:rsidR="003165E5" w:rsidRPr="002F72C4">
        <w:rPr>
          <w:rFonts w:ascii="Times New Roman" w:hAnsi="Times New Roman" w:cs="Times New Roman"/>
          <w:color w:val="000000" w:themeColor="text1"/>
          <w:sz w:val="24"/>
          <w:szCs w:val="24"/>
        </w:rPr>
        <w:t xml:space="preserve">. This contrast may be due to difference in policies, laws and advocacy regarding organ donation across countries. </w:t>
      </w:r>
    </w:p>
    <w:p w14:paraId="428779D5" w14:textId="77777777" w:rsidR="00100DC2" w:rsidRDefault="00100DC2" w:rsidP="003165E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0478A2B" w14:textId="11F41121" w:rsidR="006E3525" w:rsidRPr="002F72C4" w:rsidRDefault="00000DA9" w:rsidP="003165E5">
      <w:pPr>
        <w:autoSpaceDE w:val="0"/>
        <w:autoSpaceDN w:val="0"/>
        <w:adjustRightInd w:val="0"/>
        <w:spacing w:after="0" w:line="360" w:lineRule="auto"/>
        <w:jc w:val="both"/>
        <w:rPr>
          <w:rFonts w:ascii="Times New Roman" w:hAnsi="Times New Roman" w:cs="Times New Roman"/>
          <w:color w:val="000000" w:themeColor="text1"/>
          <w:sz w:val="24"/>
          <w:szCs w:val="24"/>
        </w:rPr>
      </w:pPr>
      <w:r w:rsidRPr="00000DA9">
        <w:rPr>
          <w:rFonts w:ascii="Times New Roman" w:hAnsi="Times New Roman" w:cs="Times New Roman"/>
          <w:color w:val="000000" w:themeColor="text1"/>
          <w:sz w:val="24"/>
          <w:szCs w:val="24"/>
        </w:rPr>
        <w:t>Participants in the present study</w:t>
      </w:r>
      <w:r w:rsidR="003165E5" w:rsidRPr="00000DA9">
        <w:rPr>
          <w:rFonts w:ascii="Times New Roman" w:hAnsi="Times New Roman" w:cs="Times New Roman"/>
          <w:color w:val="000000" w:themeColor="text1"/>
          <w:sz w:val="24"/>
          <w:szCs w:val="24"/>
        </w:rPr>
        <w:t xml:space="preserve"> reported a number of physical symptoms that may be attributed to </w:t>
      </w:r>
      <w:r w:rsidR="007E4F72" w:rsidRPr="00000DA9">
        <w:rPr>
          <w:rFonts w:ascii="Times New Roman" w:hAnsi="Times New Roman" w:cs="Times New Roman"/>
          <w:color w:val="000000" w:themeColor="text1"/>
          <w:sz w:val="24"/>
          <w:szCs w:val="24"/>
        </w:rPr>
        <w:t xml:space="preserve">the </w:t>
      </w:r>
      <w:r w:rsidR="003165E5" w:rsidRPr="00000DA9">
        <w:rPr>
          <w:rFonts w:ascii="Times New Roman" w:hAnsi="Times New Roman" w:cs="Times New Roman"/>
          <w:color w:val="000000" w:themeColor="text1"/>
          <w:sz w:val="24"/>
          <w:szCs w:val="24"/>
        </w:rPr>
        <w:t>side effects of immunosuppressant medication</w:t>
      </w:r>
      <w:r w:rsidR="00D35899" w:rsidRPr="00000DA9">
        <w:rPr>
          <w:rFonts w:ascii="Times New Roman" w:hAnsi="Times New Roman" w:cs="Times New Roman"/>
          <w:color w:val="000000" w:themeColor="text1"/>
          <w:sz w:val="24"/>
          <w:szCs w:val="24"/>
        </w:rPr>
        <w:t xml:space="preserve"> and transplantation</w:t>
      </w:r>
      <w:r w:rsidR="003165E5" w:rsidRPr="00000DA9">
        <w:rPr>
          <w:rFonts w:ascii="Times New Roman" w:hAnsi="Times New Roman" w:cs="Times New Roman"/>
          <w:color w:val="000000" w:themeColor="text1"/>
          <w:sz w:val="24"/>
          <w:szCs w:val="24"/>
        </w:rPr>
        <w:t>. Forgetfulness (35%) was the most common symptom experienced by participants. Although the cause of forgetfulness is complex, some studies have suggested tacrolimus might be among the possible culprits</w:t>
      </w:r>
      <w:r>
        <w:rPr>
          <w:rFonts w:ascii="Times New Roman" w:hAnsi="Times New Roman" w:cs="Times New Roman"/>
          <w:color w:val="000000" w:themeColor="text1"/>
          <w:sz w:val="24"/>
          <w:szCs w:val="24"/>
        </w:rPr>
        <w:t xml:space="preserve"> </w:t>
      </w:r>
      <w:r w:rsidR="003165E5" w:rsidRPr="00000DA9">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{"citationItems":[{"id":"ITEM-1","itemData":{"DOI":"10.1371/JOURNAL.PONE.0229759","ISSN":"1932-6203","abstract":"Background About 50% of the patients 5–7 years after kidney transplantation show impairment of memory, attention and executive function. Tacrolimus frequently induces neurological complications in the first few weeks after transplantation. Furthermore, tacrolimus treatment is associated with impaired cognitive function in the long-term in patients after liver transplantation. We hypothesize that long-term tacrolimus therapy is associated with cognitive dysfunction and alterations of brain structure and metabolism in patients after kidney transplantation.   Methods Twenty-one patients 10 years after kidney transplantation underwent cognitive testing, magnetic resonance imaging and whole brain 31-phosphor magnetic resonance spectroscopy for the assessment of brain function, structure and energy metabolism. Using a cross-sectional study design the results were compared to those of patients 1 (n = 11) and 5 years (n = 10) after kidney transplantation, and healthy controls (n = 17). To further analyze the share of transplantation, tacrolimus therapy and kidney dysfunction on the results patients after liver transplantation (n = 9) were selected as a patient control group.   Results Patients 1 and 10 years after kidney transplantation (p = 0.02) similar to patients 10 years after liver transplantation (p&lt;0.01) showed significantly worse cognitive function than healthy controls. In contrast to patients after liver transplantation patients after kidney transplantation showed significantly reduced adenosine triphosphate levels in the brain compared to healthy controls (p≤0.01). Patients 1 and 5 years after kidney transplantation had significantly increased periventricular hyperintensities compared to healthy controls (p&lt;0.05).   Conclusions Our data indicate that cognitive impairment in the long-term after liver and kidney transplantation cannot exclusively be explained by CNI neurotoxicity.","author":[{"dropping-particle":"","family":"Pflugrad","given":"Henning","non-dropping-particle":"","parse-names":false,"suffix":""},{"dropping-particle":"","family":"Nösel","given":"Patrick","non-dropping-particle":"","parse-names":false,"suffix":""},{"dropping-particle":"","family":"Ding","given":"Xiaoqi","non-dropping-particle":"","parse-names":false,"suffix":""},{"dropping-particle":"","family":"Schmitz","given":"Birte","non-dropping-particle":"","parse-names":false,"suffix":""},{"dropping-particle":"","family":"Lanfermann","given":"Heinrich","non-dropping-particle":"","parse-names":false,"suffix":""},{"dropping-particle":"","family":"Barg-Hock","given":"Hannelore","non-dropping-particle":"","parse-names":false,"suffix":""},{"dropping-particle":"","family":"Klempnauer","given":"Jürgen","non-dropping-particle":"","parse-names":false,"suffix":""},{"dropping-particle":"","family":"Schiffer","given":"Mario","non-dropping-particle":"","parse-names":false,"suffix":""},{"dropping-particle":"","family":"Weissenborn","given":"Karin","non-dropping-particle":"","parse-names":false,"suffix":""}],"container-title":"PLOS ONE","id":"ITEM-1","issue":"3","issued":{"date-parts":[["2020"]]},"page":"e0229759","publisher":"Public Library of Science","title":"Brain function and metabolism in patients with long-term tacrolimus therapy after kidney transplantation in comparison to patients after liver transplantation","type":"article-journal","volume":"15"},"uris":["http://www.mendeley.com/documents/?uuid=a75037c0-da1d-4076-887c-77dadfa069e7"]},{"id":"ITEM-2","itemData":{"ISBN":"2641-7650","author":[{"dropping-particle":"","family":"Vieira","given":"Miguel Bigotte","non-dropping-particle":"","parse-names":false,"suffix":""}],"container-title":"Kidney360","id":"ITEM-2","issue":"7","issued":{"date-parts":[["2024"]]},"page":"936-937","publisher":"LWW","title":"Reducing Tacrolimus Levels to Improve Cognitive Function in Kidney Transplant Recipients","type":"article","volume":"5"},"uris":["http://www.mendeley.com/documents/?uuid=026f6b8a-365a-43e8-9a60-7a0c4d6ed433"]}],"mendeley":{"formattedCitation":"(Pflugrad et al., 2020; Vieira, 2024)","plainTextFormattedCitation":"(Pflugrad et al., 2020; Vieira, 2024)","previouslyFormattedCitation":"(Pflugrad et al., 2020; Vieira, 2024)"},"properties":{"noteIndex":0},"schema":"https://github.com/citation-style-language/schema/raw/master/csl-citation.json"}</w:instrText>
      </w:r>
      <w:r w:rsidR="003165E5" w:rsidRPr="00000DA9">
        <w:rPr>
          <w:rFonts w:ascii="Times New Roman" w:hAnsi="Times New Roman" w:cs="Times New Roman"/>
          <w:color w:val="000000" w:themeColor="text1"/>
          <w:sz w:val="24"/>
          <w:szCs w:val="24"/>
        </w:rPr>
        <w:fldChar w:fldCharType="separate"/>
      </w:r>
      <w:r w:rsidRPr="00000DA9">
        <w:rPr>
          <w:rFonts w:ascii="Times New Roman" w:hAnsi="Times New Roman" w:cs="Times New Roman"/>
          <w:noProof/>
          <w:color w:val="000000" w:themeColor="text1"/>
          <w:sz w:val="24"/>
          <w:szCs w:val="24"/>
        </w:rPr>
        <w:t>(Pflugrad et al., 2020; Vieira, 2024)</w:t>
      </w:r>
      <w:r w:rsidR="003165E5" w:rsidRPr="00000DA9">
        <w:rPr>
          <w:rFonts w:ascii="Times New Roman" w:hAnsi="Times New Roman" w:cs="Times New Roman"/>
          <w:color w:val="000000" w:themeColor="text1"/>
          <w:sz w:val="24"/>
          <w:szCs w:val="24"/>
        </w:rPr>
        <w:fldChar w:fldCharType="end"/>
      </w:r>
      <w:r w:rsidR="003165E5" w:rsidRPr="00000DA9">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 xml:space="preserve">nother </w:t>
      </w:r>
      <w:r w:rsidR="003165E5" w:rsidRPr="00000DA9">
        <w:rPr>
          <w:rFonts w:ascii="Times New Roman" w:hAnsi="Times New Roman" w:cs="Times New Roman"/>
          <w:color w:val="000000" w:themeColor="text1"/>
          <w:sz w:val="24"/>
          <w:szCs w:val="24"/>
        </w:rPr>
        <w:t xml:space="preserve"> study</w:t>
      </w:r>
      <w:r w:rsidR="007E4F72" w:rsidRPr="00000DA9">
        <w:rPr>
          <w:rFonts w:ascii="Times New Roman" w:hAnsi="Times New Roman" w:cs="Times New Roman"/>
          <w:color w:val="000000" w:themeColor="text1"/>
          <w:sz w:val="24"/>
          <w:szCs w:val="24"/>
        </w:rPr>
        <w:t>,</w:t>
      </w:r>
      <w:r w:rsidR="007E4F72" w:rsidRPr="002F72C4">
        <w:rPr>
          <w:rFonts w:ascii="Times New Roman" w:hAnsi="Times New Roman" w:cs="Times New Roman"/>
          <w:color w:val="000000" w:themeColor="text1"/>
          <w:sz w:val="24"/>
          <w:szCs w:val="24"/>
        </w:rPr>
        <w:t xml:space="preserve"> however,</w:t>
      </w:r>
      <w:r w:rsidR="003165E5" w:rsidRPr="002F72C4">
        <w:rPr>
          <w:rFonts w:ascii="Times New Roman" w:hAnsi="Times New Roman" w:cs="Times New Roman"/>
          <w:color w:val="000000" w:themeColor="text1"/>
          <w:sz w:val="24"/>
          <w:szCs w:val="24"/>
        </w:rPr>
        <w:t xml:space="preserve"> reported aching tired legs as the most reported physical </w:t>
      </w:r>
      <w:r w:rsidR="006E3525" w:rsidRPr="002F72C4">
        <w:rPr>
          <w:rFonts w:ascii="Times New Roman" w:hAnsi="Times New Roman" w:cs="Times New Roman"/>
          <w:color w:val="000000" w:themeColor="text1"/>
          <w:sz w:val="24"/>
          <w:szCs w:val="24"/>
        </w:rPr>
        <w:t>problem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sidR="00684A98">
        <w:rPr>
          <w:rFonts w:ascii="Times New Roman" w:hAnsi="Times New Roman" w:cs="Times New Roman"/>
          <w:color w:val="000000" w:themeColor="text1"/>
          <w:sz w:val="24"/>
          <w:szCs w:val="24"/>
        </w:rPr>
        <w:instrText>ADDIN CSL_CITATION {"citationItems":[{"id":"ITEM-1","itemData":{"DOI":"10.3390/DIAGNOSTICS11050833","PMID":"34063041","abstract":"Fatigue is still present in up to 40–50% of kidney transplant recipients (KTR), the results of studies comparing the prevalence among patients on hemodialysis (HD) and KTR led to conflicting results. Fatigue correlates include inflammation, symptoms of depression, sleep disorders and obesity. Fatigue in KTR leads to significant functional impairment, it is common among KTR poorly adherent to immunosuppressive therapy and is associated with a serious deterioration of quality of life. The following databases were searched for relevant studies up to November 2020: Medline, PubMed, Web of Science and the Cochrane Library. Several studies have compared the prevalence and severity of fatigue between KTR and hemodialysis or healthy patients. They have shown that fatigue determines a significant functional deterioration with less chance of having a paid job and a significant change in quality of life. The aim of the review is to report methods to assess fatigue and its prevalence in KTR patients, compared to HD subjects and define the effects of fatigue on health status and daily life. There is no evidence of studies on the treatment of this symptom in KTR. Efforts to identify and treat fatigue should be a priority to improve the quality of life of KTR.","author":[{"dropping-particle":"","family":"Bossola","given":"Maurizio","non-dropping-particle":"","parse-names":false,"suffix":""},{"dropping-particle":"","family":"Arena","given":"Maria","non-dropping-particle":"","parse-names":false,"suffix":""},{"dropping-particle":"","family":"Urciuolo","given":"Federica","non-dropping-particle":"","parse-names":false,"suffix":""},{"dropping-particle":"","family":"Antocicco","given":"Manuela","non-dropping-particle":"","parse-names":false,"suffix":""},{"dropping-particle":"","family":"Pepe","given":"Gilda","non-dropping-particle":"","parse-names":false,"suffix":""},{"dropping-particle":"","family":"Calabrò","given":"Giovanna Elisa","non-dropping-particle":"","parse-names":false,"suffix":""},{"dropping-particle":"","family":"Cianfrocca","given":"Claudia","non-dropping-particle":"","parse-names":false,"suffix":""},{"dropping-particle":"Di","family":"Stasio","given":"Enrico","non-dropping-particle":"","parse-names":false,"suffix":""}],"container-title":"Diagnostics","id":"ITEM-1","issue":"5","issued":{"date-parts":[["2021"]]},"publisher":"Multidisciplinary Digital Publishing Institute  (MDPI)","title":"Fatigue in Kidney Transplantation: A Systematic Review and Meta-Analysis","type":"article-journal","volume":"11"},"uris":["http://www.mendeley.com/documents/?uuid=fdc0a263-a740-42e5-939a-48cd995a60b5"]}],"mendeley":{"formattedCitation":"(Bossola et al., 2021)","plainTextFormattedCitation":"(Bossola et al., 2021)","previouslyFormattedCitation":"(Bossola et al.,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000DA9">
        <w:rPr>
          <w:rFonts w:ascii="Times New Roman" w:hAnsi="Times New Roman" w:cs="Times New Roman"/>
          <w:noProof/>
          <w:color w:val="000000" w:themeColor="text1"/>
          <w:sz w:val="24"/>
          <w:szCs w:val="24"/>
        </w:rPr>
        <w:t>(Bossola et al., 2021)</w:t>
      </w:r>
      <w:r>
        <w:rPr>
          <w:rFonts w:ascii="Times New Roman" w:hAnsi="Times New Roman" w:cs="Times New Roman"/>
          <w:color w:val="000000" w:themeColor="text1"/>
          <w:sz w:val="24"/>
          <w:szCs w:val="24"/>
        </w:rPr>
        <w:fldChar w:fldCharType="end"/>
      </w:r>
      <w:r w:rsidR="003165E5" w:rsidRPr="002F72C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3165E5" w:rsidRPr="002F72C4">
        <w:rPr>
          <w:rFonts w:ascii="Times New Roman" w:hAnsi="Times New Roman" w:cs="Times New Roman"/>
          <w:color w:val="000000" w:themeColor="text1"/>
          <w:sz w:val="24"/>
          <w:szCs w:val="24"/>
        </w:rPr>
        <w:t>he reason</w:t>
      </w:r>
      <w:r w:rsidR="003E1661" w:rsidRPr="002F72C4">
        <w:rPr>
          <w:rFonts w:ascii="Times New Roman" w:hAnsi="Times New Roman" w:cs="Times New Roman"/>
          <w:color w:val="000000" w:themeColor="text1"/>
          <w:sz w:val="24"/>
          <w:szCs w:val="24"/>
        </w:rPr>
        <w:t>s</w:t>
      </w:r>
      <w:r w:rsidR="003165E5" w:rsidRPr="002F72C4">
        <w:rPr>
          <w:rFonts w:ascii="Times New Roman" w:hAnsi="Times New Roman" w:cs="Times New Roman"/>
          <w:color w:val="000000" w:themeColor="text1"/>
          <w:sz w:val="24"/>
          <w:szCs w:val="24"/>
        </w:rPr>
        <w:t xml:space="preserve"> for the difference were not clear</w:t>
      </w:r>
      <w:r>
        <w:rPr>
          <w:rFonts w:ascii="Times New Roman" w:hAnsi="Times New Roman" w:cs="Times New Roman"/>
          <w:color w:val="000000" w:themeColor="text1"/>
          <w:sz w:val="24"/>
          <w:szCs w:val="24"/>
        </w:rPr>
        <w:t xml:space="preserve"> and the findings may require further investigation</w:t>
      </w:r>
      <w:r w:rsidR="003165E5" w:rsidRPr="002F72C4">
        <w:rPr>
          <w:rFonts w:ascii="Times New Roman" w:hAnsi="Times New Roman" w:cs="Times New Roman"/>
          <w:color w:val="000000" w:themeColor="text1"/>
          <w:sz w:val="24"/>
          <w:szCs w:val="24"/>
        </w:rPr>
        <w:t>. However, forgetfulness may result in poor compliance to antirejection medication leading to graft loss. This finding underscores the need to have reminders as an intervention of enhancing compliance to antirejection medication.</w:t>
      </w:r>
    </w:p>
    <w:p w14:paraId="4B761187" w14:textId="77777777" w:rsidR="00000DA9" w:rsidRDefault="00000DA9" w:rsidP="003165E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9E920B9" w14:textId="68CD44EB" w:rsidR="003165E5" w:rsidRPr="002F72C4" w:rsidRDefault="003165E5" w:rsidP="003165E5">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F72C4">
        <w:rPr>
          <w:rFonts w:ascii="Times New Roman" w:hAnsi="Times New Roman" w:cs="Times New Roman"/>
          <w:color w:val="000000" w:themeColor="text1"/>
          <w:sz w:val="24"/>
          <w:szCs w:val="24"/>
        </w:rPr>
        <w:t xml:space="preserve">Majority of the patients (73.8%) </w:t>
      </w:r>
      <w:r w:rsidR="00684A98">
        <w:rPr>
          <w:rFonts w:ascii="Times New Roman" w:hAnsi="Times New Roman" w:cs="Times New Roman"/>
          <w:color w:val="000000" w:themeColor="text1"/>
          <w:sz w:val="24"/>
          <w:szCs w:val="24"/>
        </w:rPr>
        <w:t>demonstrated</w:t>
      </w:r>
      <w:r w:rsidRPr="002F72C4">
        <w:rPr>
          <w:rFonts w:ascii="Times New Roman" w:hAnsi="Times New Roman" w:cs="Times New Roman"/>
          <w:color w:val="000000" w:themeColor="text1"/>
          <w:sz w:val="24"/>
          <w:szCs w:val="24"/>
        </w:rPr>
        <w:t xml:space="preserve"> that they had no worries about their appearance</w:t>
      </w:r>
      <w:r w:rsidR="00684A98">
        <w:rPr>
          <w:rFonts w:ascii="Times New Roman" w:hAnsi="Times New Roman" w:cs="Times New Roman"/>
          <w:color w:val="000000" w:themeColor="text1"/>
          <w:sz w:val="24"/>
          <w:szCs w:val="24"/>
        </w:rPr>
        <w:t xml:space="preserve"> as portrayed by a finding of score 7</w:t>
      </w:r>
      <w:r w:rsidRPr="002F72C4">
        <w:rPr>
          <w:rFonts w:ascii="Times New Roman" w:hAnsi="Times New Roman" w:cs="Times New Roman"/>
          <w:color w:val="000000" w:themeColor="text1"/>
          <w:sz w:val="24"/>
          <w:szCs w:val="24"/>
        </w:rPr>
        <w:t xml:space="preserve">. It seems that appearance related issues </w:t>
      </w:r>
      <w:r w:rsidRPr="002F72C4">
        <w:rPr>
          <w:rFonts w:ascii="Times New Roman" w:hAnsi="Times New Roman" w:cs="Times New Roman"/>
          <w:color w:val="000000" w:themeColor="text1"/>
          <w:sz w:val="24"/>
          <w:szCs w:val="24"/>
        </w:rPr>
        <w:lastRenderedPageBreak/>
        <w:t>post-transplantation was not as distressing among our study participants. This however contradicts a study by Antje</w:t>
      </w:r>
      <w:r w:rsidRPr="002F72C4">
        <w:rPr>
          <w:rFonts w:ascii="Times New Roman" w:hAnsi="Times New Roman" w:cs="Times New Roman"/>
          <w:i/>
          <w:color w:val="000000" w:themeColor="text1"/>
          <w:sz w:val="24"/>
          <w:szCs w:val="24"/>
        </w:rPr>
        <w:t xml:space="preserve"> et al</w:t>
      </w:r>
      <w:r w:rsidRPr="002F72C4">
        <w:rPr>
          <w:rFonts w:ascii="Times New Roman" w:hAnsi="Times New Roman" w:cs="Times New Roman"/>
          <w:color w:val="000000" w:themeColor="text1"/>
          <w:sz w:val="24"/>
          <w:szCs w:val="24"/>
        </w:rPr>
        <w:t xml:space="preserve"> that revealed that change in appearance was a distressing symptom in women</w:t>
      </w:r>
      <w:r w:rsidR="00684A98">
        <w:rPr>
          <w:rFonts w:ascii="Times New Roman" w:hAnsi="Times New Roman" w:cs="Times New Roman"/>
          <w:color w:val="000000" w:themeColor="text1"/>
          <w:sz w:val="24"/>
          <w:szCs w:val="24"/>
        </w:rPr>
        <w:fldChar w:fldCharType="begin" w:fldLock="1"/>
      </w:r>
      <w:r w:rsidR="00684A98">
        <w:rPr>
          <w:rFonts w:ascii="Times New Roman" w:hAnsi="Times New Roman" w:cs="Times New Roman"/>
          <w:color w:val="000000" w:themeColor="text1"/>
          <w:sz w:val="24"/>
          <w:szCs w:val="24"/>
        </w:rPr>
        <w:instrText>ADDIN CSL_CITATION {"citationItems":[{"id":"ITEM-1","itemData":{"ISSN":"0931-0509","author":[{"dropping-particle":"","family":"Veltkamp","given":"Denise M J","non-dropping-particle":"","parse-names":false,"suffix":""},{"dropping-particle":"","family":"Wang","given":"Yiman","non-dropping-particle":"","parse-names":false,"suffix":""},{"dropping-particle":"","family":"Meuleman","given":"Yvette","non-dropping-particle":"","parse-names":false,"suffix":""},{"dropping-particle":"","family":"Dekker","given":"Friedo W","non-dropping-particle":"","parse-names":false,"suffix":""},{"dropping-particle":"","family":"Michels","given":"Wieneke M","non-dropping-particle":"","parse-names":false,"suffix":""},{"dropping-particle":"","family":"Boog","given":"Paul J M","non-dropping-particle":"van der","parse-names":false,"suffix":""},{"dropping-particle":"","family":"Vries","given":"Aiko P J","non-dropping-particle":"de","parse-names":false,"suffix":""}],"container-title":"Nephrology Dialysis Transplantation","id":"ITEM-1","issue":"7","issued":{"date-parts":[["2023"]]},"page":"1707-1718","publisher":"Oxford University Press","title":"Age and gender differences in symptom experience and health-related quality of life in kidney transplant recipients: a cross-sectional study","type":"article-journal","volume":"38"},"uris":["http://www.mendeley.com/documents/?uuid=639b6bb5-5828-4e44-b7e3-296dba8aec70"]}],"mendeley":{"formattedCitation":"(Veltkamp et al., 2023)","plainTextFormattedCitation":"(Veltkamp et al., 2023)","previouslyFormattedCitation":"(Veltkamp et al., 2023)"},"properties":{"noteIndex":0},"schema":"https://github.com/citation-style-language/schema/raw/master/csl-citation.json"}</w:instrText>
      </w:r>
      <w:r w:rsidR="00684A98">
        <w:rPr>
          <w:rFonts w:ascii="Times New Roman" w:hAnsi="Times New Roman" w:cs="Times New Roman"/>
          <w:color w:val="000000" w:themeColor="text1"/>
          <w:sz w:val="24"/>
          <w:szCs w:val="24"/>
        </w:rPr>
        <w:fldChar w:fldCharType="separate"/>
      </w:r>
      <w:r w:rsidR="00684A98" w:rsidRPr="00684A98">
        <w:rPr>
          <w:rFonts w:ascii="Times New Roman" w:hAnsi="Times New Roman" w:cs="Times New Roman"/>
          <w:noProof/>
          <w:color w:val="000000" w:themeColor="text1"/>
          <w:sz w:val="24"/>
          <w:szCs w:val="24"/>
        </w:rPr>
        <w:t>(Veltkamp et al., 2023)</w:t>
      </w:r>
      <w:r w:rsidR="00684A98">
        <w:rPr>
          <w:rFonts w:ascii="Times New Roman" w:hAnsi="Times New Roman" w:cs="Times New Roman"/>
          <w:color w:val="000000" w:themeColor="text1"/>
          <w:sz w:val="24"/>
          <w:szCs w:val="24"/>
        </w:rPr>
        <w:fldChar w:fldCharType="end"/>
      </w:r>
      <w:r w:rsidR="00F0147F" w:rsidRPr="002F72C4">
        <w:rPr>
          <w:rFonts w:ascii="Times New Roman" w:hAnsi="Times New Roman" w:cs="Times New Roman"/>
          <w:color w:val="000000" w:themeColor="text1"/>
          <w:sz w:val="24"/>
          <w:szCs w:val="24"/>
        </w:rPr>
        <w:t>. Studies have</w:t>
      </w:r>
      <w:r w:rsidRPr="002F72C4">
        <w:rPr>
          <w:rFonts w:ascii="Times New Roman" w:hAnsi="Times New Roman" w:cs="Times New Roman"/>
          <w:color w:val="000000" w:themeColor="text1"/>
          <w:sz w:val="24"/>
          <w:szCs w:val="24"/>
        </w:rPr>
        <w:t xml:space="preserve"> also indicated that distressing symptoms are subjective and are determined by individual and socio-cultural factors</w:t>
      </w:r>
      <w:r w:rsidR="00684A98">
        <w:rPr>
          <w:rFonts w:ascii="Times New Roman" w:hAnsi="Times New Roman" w:cs="Times New Roman"/>
          <w:color w:val="000000" w:themeColor="text1"/>
          <w:sz w:val="24"/>
          <w:szCs w:val="24"/>
        </w:rPr>
        <w:fldChar w:fldCharType="begin" w:fldLock="1"/>
      </w:r>
      <w:r w:rsidR="00D61B64">
        <w:rPr>
          <w:rFonts w:ascii="Times New Roman" w:hAnsi="Times New Roman" w:cs="Times New Roman"/>
          <w:color w:val="000000" w:themeColor="text1"/>
          <w:sz w:val="24"/>
          <w:szCs w:val="24"/>
        </w:rPr>
        <w:instrText>ADDIN CSL_CITATION {"citationItems":[{"id":"ITEM-1","itemData":{"ISSN":"0931-0509","author":[{"dropping-particle":"","family":"Veltkamp","given":"Denise M J","non-dropping-particle":"","parse-names":false,"suffix":""},{"dropping-particle":"","family":"Wang","given":"Yiman","non-dropping-particle":"","parse-names":false,"suffix":""},{"dropping-particle":"","family":"Meuleman","given":"Yvette","non-dropping-particle":"","parse-names":false,"suffix":""},{"dropping-particle":"","family":"Dekker","given":"Friedo W","non-dropping-particle":"","parse-names":false,"suffix":""},{"dropping-particle":"","family":"Michels","given":"Wieneke M","non-dropping-particle":"","parse-names":false,"suffix":""},{"dropping-particle":"","family":"Boog","given":"Paul J M","non-dropping-particle":"van der","parse-names":false,"suffix":""},{"dropping-particle":"","family":"Vries","given":"Aiko P J","non-dropping-particle":"de","parse-names":false,"suffix":""}],"container-title":"Nephrology Dialysis Transplantation","id":"ITEM-1","issue":"7","issued":{"date-parts":[["2023"]]},"page":"1707-1718","publisher":"Oxford University Press","title":"Age and gender differences in symptom experience and health-related quality of life in kidney transplant recipients: a cross-sectional study","type":"article-journal","volume":"38"},"uris":["http://www.mendeley.com/documents/?uuid=639b6bb5-5828-4e44-b7e3-296dba8aec70"]}],"mendeley":{"formattedCitation":"(Veltkamp et al., 2023)","plainTextFormattedCitation":"(Veltkamp et al., 2023)","previouslyFormattedCitation":"(Veltkamp et al., 2023)"},"properties":{"noteIndex":0},"schema":"https://github.com/citation-style-language/schema/raw/master/csl-citation.json"}</w:instrText>
      </w:r>
      <w:r w:rsidR="00684A98">
        <w:rPr>
          <w:rFonts w:ascii="Times New Roman" w:hAnsi="Times New Roman" w:cs="Times New Roman"/>
          <w:color w:val="000000" w:themeColor="text1"/>
          <w:sz w:val="24"/>
          <w:szCs w:val="24"/>
        </w:rPr>
        <w:fldChar w:fldCharType="separate"/>
      </w:r>
      <w:r w:rsidR="00684A98" w:rsidRPr="00684A98">
        <w:rPr>
          <w:rFonts w:ascii="Times New Roman" w:hAnsi="Times New Roman" w:cs="Times New Roman"/>
          <w:noProof/>
          <w:color w:val="000000" w:themeColor="text1"/>
          <w:sz w:val="24"/>
          <w:szCs w:val="24"/>
        </w:rPr>
        <w:t>(Veltkamp et al., 2023)</w:t>
      </w:r>
      <w:r w:rsidR="00684A98">
        <w:rPr>
          <w:rFonts w:ascii="Times New Roman" w:hAnsi="Times New Roman" w:cs="Times New Roman"/>
          <w:color w:val="000000" w:themeColor="text1"/>
          <w:sz w:val="24"/>
          <w:szCs w:val="24"/>
        </w:rPr>
        <w:fldChar w:fldCharType="end"/>
      </w:r>
      <w:r w:rsidRPr="002F72C4">
        <w:rPr>
          <w:rFonts w:ascii="Times New Roman" w:hAnsi="Times New Roman" w:cs="Times New Roman"/>
          <w:color w:val="000000" w:themeColor="text1"/>
          <w:sz w:val="24"/>
          <w:szCs w:val="24"/>
        </w:rPr>
        <w:t xml:space="preserve">. Comparable studies using the kidney transplant questionnaire have yielded similar results where </w:t>
      </w:r>
      <w:r w:rsidR="00B8656C" w:rsidRPr="002F72C4">
        <w:rPr>
          <w:rFonts w:ascii="Times New Roman" w:hAnsi="Times New Roman" w:cs="Times New Roman"/>
          <w:color w:val="000000" w:themeColor="text1"/>
          <w:sz w:val="24"/>
          <w:szCs w:val="24"/>
        </w:rPr>
        <w:t xml:space="preserve">the </w:t>
      </w:r>
      <w:r w:rsidRPr="002F72C4">
        <w:rPr>
          <w:rFonts w:ascii="Times New Roman" w:hAnsi="Times New Roman" w:cs="Times New Roman"/>
          <w:color w:val="000000" w:themeColor="text1"/>
          <w:sz w:val="24"/>
          <w:szCs w:val="24"/>
        </w:rPr>
        <w:t xml:space="preserve">appearance domain had the highest score. For instance, Siyoum </w:t>
      </w:r>
      <w:r w:rsidRPr="002F72C4">
        <w:rPr>
          <w:rFonts w:ascii="Times New Roman" w:hAnsi="Times New Roman" w:cs="Times New Roman"/>
          <w:i/>
          <w:color w:val="000000" w:themeColor="text1"/>
          <w:sz w:val="24"/>
          <w:szCs w:val="24"/>
        </w:rPr>
        <w:t>et al</w:t>
      </w:r>
      <w:r w:rsidRPr="002F72C4">
        <w:rPr>
          <w:rFonts w:ascii="Times New Roman" w:hAnsi="Times New Roman" w:cs="Times New Roman"/>
          <w:color w:val="000000" w:themeColor="text1"/>
          <w:sz w:val="24"/>
          <w:szCs w:val="24"/>
        </w:rPr>
        <w:t xml:space="preserve"> reported a mean(SD) score of  6.50 (0.98) while our study had a mean score of  6.62(0.60) in the appearance domain</w:t>
      </w:r>
      <w:r w:rsidRPr="002F72C4">
        <w:rPr>
          <w:rFonts w:ascii="Times New Roman" w:hAnsi="Times New Roman" w:cs="Times New Roman"/>
          <w:color w:val="000000" w:themeColor="text1"/>
          <w:sz w:val="24"/>
          <w:szCs w:val="24"/>
        </w:rPr>
        <w:fldChar w:fldCharType="begin" w:fldLock="1"/>
      </w:r>
      <w:r w:rsidR="008D692C" w:rsidRPr="002F72C4">
        <w:rPr>
          <w:rFonts w:ascii="Times New Roman" w:hAnsi="Times New Roman" w:cs="Times New Roman"/>
          <w:color w:val="000000" w:themeColor="text1"/>
          <w:sz w:val="24"/>
          <w:szCs w:val="24"/>
        </w:rPr>
        <w:instrText>ADDIN CSL_CITATION {"citationItems":[{"id":"ITEM-1","itemData":{"author":[{"dropping-particle":"","family":"Siyoum","given":"Mekdim","non-dropping-particle":"","parse-names":false,"suffix":""},{"dropping-particle":"","family":"Muleta","given":"Mahteme","non-dropping-particle":"","parse-names":false,"suffix":""},{"dropping-particle":"","family":"Gebretsadik","given":"Tekleberhan","non-dropping-particle":"","parse-names":false,"suffix":""},{"dropping-particle":"","family":"Gelan","given":"Engida","non-dropping-particle":"","parse-names":false,"suffix":""},{"dropping-particle":"","family":"Ketema","given":"Tsion","non-dropping-particle":"","parse-names":false,"suffix":""},{"dropping-particle":"","family":"Teshome","given":"Tesfalem","non-dropping-particle":"","parse-names":false,"suffix":""},{"dropping-particle":"","family":"Woodside","given":"Kenneth","non-dropping-particle":"","parse-names":false,"suffix":""},{"dropping-particle":"","family":"Leichtman","given":"Alan","non-dropping-particle":"","parse-names":false,"suffix":""},{"dropping-particle":"","family":"Punch","given":"Jeffery","non-dropping-particle":"","parse-names":false,"suffix":""},{"dropping-particle":"","family":"States","given":"United","non-dropping-particle":"","parse-names":false,"suffix":""},{"dropping-particle":"","family":"States","given":"United","non-dropping-particle":"","parse-names":false,"suffix":""}],"id":"ITEM-1","issue":"September","issued":{"date-parts":[["2020"]]},"page":"2019-2020","title":"QUALITY OF LIFE AND ASSOCIATED FACTORS OF KIDNEY TRANSPLANT PATIENTS IN ETHIOPIA Surgery , Saint Paul Hospital Millennium Medical College , Addis Ababa , Ethiopia ; 2 Public Health , Saint Paul Hospital Millennium Medical College , Addis Ababa , Ethiopia ","type":"article-journal","volume":"104"},"uris":["http://www.mendeley.com/documents/?uuid=82be229b-2286-43c5-9eef-560e1bdf0a76"]}],"mendeley":{"formattedCitation":"(Siyoum et al., 2020)","plainTextFormattedCitation":"(Siyoum et al., 2020)","previouslyFormattedCitation":"(Siyoum et al., 2020)"},"properties":{"noteIndex":0},"schema":"https://github.com/citation-style-language/schema/raw/master/csl-citation.json"}</w:instrText>
      </w:r>
      <w:r w:rsidRPr="002F72C4">
        <w:rPr>
          <w:rFonts w:ascii="Times New Roman" w:hAnsi="Times New Roman" w:cs="Times New Roman"/>
          <w:color w:val="000000" w:themeColor="text1"/>
          <w:sz w:val="24"/>
          <w:szCs w:val="24"/>
        </w:rPr>
        <w:fldChar w:fldCharType="separate"/>
      </w:r>
      <w:r w:rsidR="002B261F" w:rsidRPr="002F72C4">
        <w:rPr>
          <w:rFonts w:ascii="Times New Roman" w:hAnsi="Times New Roman" w:cs="Times New Roman"/>
          <w:noProof/>
          <w:color w:val="000000" w:themeColor="text1"/>
          <w:sz w:val="24"/>
          <w:szCs w:val="24"/>
        </w:rPr>
        <w:t>(Siyoum et al., 2020)</w:t>
      </w:r>
      <w:r w:rsidRPr="002F72C4">
        <w:rPr>
          <w:rFonts w:ascii="Times New Roman" w:hAnsi="Times New Roman" w:cs="Times New Roman"/>
          <w:color w:val="000000" w:themeColor="text1"/>
          <w:sz w:val="24"/>
          <w:szCs w:val="24"/>
        </w:rPr>
        <w:fldChar w:fldCharType="end"/>
      </w:r>
      <w:r w:rsidRPr="002F72C4">
        <w:rPr>
          <w:rFonts w:ascii="Times New Roman" w:hAnsi="Times New Roman" w:cs="Times New Roman"/>
          <w:color w:val="000000" w:themeColor="text1"/>
          <w:sz w:val="24"/>
          <w:szCs w:val="24"/>
        </w:rPr>
        <w:t>.</w:t>
      </w:r>
    </w:p>
    <w:p w14:paraId="2F9947BA" w14:textId="550C749F" w:rsidR="003165E5" w:rsidRDefault="003165E5" w:rsidP="003165E5">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This study established that</w:t>
      </w:r>
      <w:r w:rsidR="00B8656C" w:rsidRPr="002F72C4">
        <w:rPr>
          <w:rFonts w:ascii="Times New Roman" w:hAnsi="Times New Roman" w:cs="Times New Roman"/>
          <w:color w:val="000000" w:themeColor="text1"/>
          <w:sz w:val="24"/>
          <w:szCs w:val="24"/>
          <w:lang w:val="en-GB"/>
        </w:rPr>
        <w:t xml:space="preserve"> the</w:t>
      </w:r>
      <w:r w:rsidRPr="002F72C4">
        <w:rPr>
          <w:rFonts w:ascii="Times New Roman" w:hAnsi="Times New Roman" w:cs="Times New Roman"/>
          <w:color w:val="000000" w:themeColor="text1"/>
          <w:sz w:val="24"/>
          <w:szCs w:val="24"/>
          <w:lang w:val="en-GB"/>
        </w:rPr>
        <w:t xml:space="preserve"> majority of the patients (30%) had moderate fatigue, with nearly half (47.6%) of the remaining participants experiencing no fatigue at all. Only 22% of patients had severe fatigue. A systematic review and meta-analysis reported </w:t>
      </w:r>
      <w:r w:rsidR="00B8656C" w:rsidRPr="002F72C4">
        <w:rPr>
          <w:rFonts w:ascii="Times New Roman" w:hAnsi="Times New Roman" w:cs="Times New Roman"/>
          <w:color w:val="000000" w:themeColor="text1"/>
          <w:sz w:val="24"/>
          <w:szCs w:val="24"/>
          <w:lang w:val="en-GB"/>
        </w:rPr>
        <w:t xml:space="preserve">the </w:t>
      </w:r>
      <w:r w:rsidRPr="002F72C4">
        <w:rPr>
          <w:rFonts w:ascii="Times New Roman" w:hAnsi="Times New Roman" w:cs="Times New Roman"/>
          <w:color w:val="000000" w:themeColor="text1"/>
          <w:sz w:val="24"/>
          <w:szCs w:val="24"/>
          <w:lang w:val="en-GB"/>
        </w:rPr>
        <w:t>prevalence of fatigue to be 40-50% among kidney transplant recipients</w:t>
      </w:r>
      <w:r w:rsidRPr="002F72C4">
        <w:rPr>
          <w:rFonts w:ascii="Times New Roman" w:hAnsi="Times New Roman" w:cs="Times New Roman"/>
          <w:color w:val="000000" w:themeColor="text1"/>
          <w:sz w:val="24"/>
          <w:szCs w:val="24"/>
          <w:lang w:val="en-GB"/>
        </w:rPr>
        <w:fldChar w:fldCharType="begin" w:fldLock="1"/>
      </w:r>
      <w:r w:rsidR="008D692C" w:rsidRPr="002F72C4">
        <w:rPr>
          <w:rFonts w:ascii="Times New Roman" w:hAnsi="Times New Roman" w:cs="Times New Roman"/>
          <w:color w:val="000000" w:themeColor="text1"/>
          <w:sz w:val="24"/>
          <w:szCs w:val="24"/>
          <w:lang w:val="en-GB"/>
        </w:rPr>
        <w:instrText>ADDIN CSL_CITATION {"citationItems":[{"id":"ITEM-1","itemData":{"DOI":"10.3390/DIAGNOSTICS11050833","PMID":"34063041","abstract":"Fatigue is still present in up to 40–50% of kidney transplant recipients (KTR), the results of studies comparing the prevalence among patients on hemodialysis (HD) and KTR led to conflicting results. Fatigue correlates include inflammation, symptoms of depression, sleep disorders and obesity. Fatigue in KTR leads to significant functional impairment, it is common among KTR poorly adherent to immunosuppressive therapy and is associated with a serious deterioration of quality of life. The following databases were searched for relevant studies up to November 2020: Medline, PubMed, Web of Science and the Cochrane Library. Several studies have compared the prevalence and severity of fatigue between KTR and hemodialysis or healthy patients. They have shown that fatigue determines a significant functional deterioration with less chance of having a paid job and a significant change in quality of life. The aim of the review is to report methods to assess fatigue and its prevalence in KTR patients, compared to HD subjects and define the effects of fatigue on health status and daily life. There is no evidence of studies on the treatment of this symptom in KTR. Efforts to identify and treat fatigue should be a priority to improve the quality of life of KTR.","author":[{"dropping-particle":"","family":"Bossola","given":"Maurizio","non-dropping-particle":"","parse-names":false,"suffix":""},{"dropping-particle":"","family":"Arena","given":"Maria","non-dropping-particle":"","parse-names":false,"suffix":""},{"dropping-particle":"","family":"Urciuolo","given":"Federica","non-dropping-particle":"","parse-names":false,"suffix":""},{"dropping-particle":"","family":"Antocicco","given":"Manuela","non-dropping-particle":"","parse-names":false,"suffix":""},{"dropping-particle":"","family":"Pepe","given":"Gilda","non-dropping-particle":"","parse-names":false,"suffix":""},{"dropping-particle":"","family":"Calabrò","given":"Giovanna Elisa","non-dropping-particle":"","parse-names":false,"suffix":""},{"dropping-particle":"","family":"Cianfrocca","given":"Claudia","non-dropping-particle":"","parse-names":false,"suffix":""},{"dropping-particle":"Di","family":"Stasio","given":"Enrico","non-dropping-particle":"","parse-names":false,"suffix":""}],"container-title":"Diagnostics","id":"ITEM-1","issue":"5","issued":{"date-parts":[["2021"]]},"publisher":"Multidisciplinary Digital Publishing Institute  (MDPI)","title":"Fatigue in Kidney Transplantation: A Systematic Review and Meta-Analysis","type":"article-journal","volume":"11"},"uris":["http://www.mendeley.com/documents/?uuid=fdc0a263-a740-42e5-939a-48cd995a60b5"]}],"mendeley":{"formattedCitation":"(Bossola et al., 2021)","plainTextFormattedCitation":"(Bossola et al., 2021)","previouslyFormattedCitation":"(Bossola et al., 2021)"},"properties":{"noteIndex":0},"schema":"https://github.com/citation-style-language/schema/raw/master/csl-citation.json"}</w:instrText>
      </w:r>
      <w:r w:rsidRPr="002F72C4">
        <w:rPr>
          <w:rFonts w:ascii="Times New Roman" w:hAnsi="Times New Roman" w:cs="Times New Roman"/>
          <w:color w:val="000000" w:themeColor="text1"/>
          <w:sz w:val="24"/>
          <w:szCs w:val="24"/>
          <w:lang w:val="en-GB"/>
        </w:rPr>
        <w:fldChar w:fldCharType="separate"/>
      </w:r>
      <w:r w:rsidR="002B261F" w:rsidRPr="002F72C4">
        <w:rPr>
          <w:rFonts w:ascii="Times New Roman" w:hAnsi="Times New Roman" w:cs="Times New Roman"/>
          <w:noProof/>
          <w:color w:val="000000" w:themeColor="text1"/>
          <w:sz w:val="24"/>
          <w:szCs w:val="24"/>
          <w:lang w:val="en-GB"/>
        </w:rPr>
        <w:t>(Bossola et al., 2021)</w:t>
      </w:r>
      <w:r w:rsidRPr="002F72C4">
        <w:rPr>
          <w:rFonts w:ascii="Times New Roman" w:hAnsi="Times New Roman" w:cs="Times New Roman"/>
          <w:color w:val="000000" w:themeColor="text1"/>
          <w:sz w:val="24"/>
          <w:szCs w:val="24"/>
          <w:lang w:val="en-GB"/>
        </w:rPr>
        <w:fldChar w:fldCharType="end"/>
      </w:r>
      <w:r w:rsidRPr="002F72C4">
        <w:rPr>
          <w:rFonts w:ascii="Times New Roman" w:hAnsi="Times New Roman" w:cs="Times New Roman"/>
          <w:color w:val="000000" w:themeColor="text1"/>
          <w:sz w:val="24"/>
          <w:szCs w:val="24"/>
          <w:lang w:val="en-GB"/>
        </w:rPr>
        <w:t xml:space="preserve">. </w:t>
      </w:r>
      <w:r w:rsidR="00684A98">
        <w:rPr>
          <w:rFonts w:ascii="Times New Roman" w:hAnsi="Times New Roman" w:cs="Times New Roman"/>
          <w:color w:val="000000" w:themeColor="text1"/>
          <w:sz w:val="24"/>
          <w:szCs w:val="24"/>
          <w:lang w:val="en-GB"/>
        </w:rPr>
        <w:t>Although</w:t>
      </w:r>
      <w:r w:rsidRPr="002F72C4">
        <w:rPr>
          <w:rFonts w:ascii="Times New Roman" w:hAnsi="Times New Roman" w:cs="Times New Roman"/>
          <w:color w:val="000000" w:themeColor="text1"/>
          <w:sz w:val="24"/>
          <w:szCs w:val="24"/>
          <w:lang w:val="en-GB"/>
        </w:rPr>
        <w:t xml:space="preserve"> our study </w:t>
      </w:r>
      <w:r w:rsidR="00684A98">
        <w:rPr>
          <w:rFonts w:ascii="Times New Roman" w:hAnsi="Times New Roman" w:cs="Times New Roman"/>
          <w:color w:val="000000" w:themeColor="text1"/>
          <w:sz w:val="24"/>
          <w:szCs w:val="24"/>
          <w:lang w:val="en-GB"/>
        </w:rPr>
        <w:t xml:space="preserve">did </w:t>
      </w:r>
      <w:r w:rsidRPr="002F72C4">
        <w:rPr>
          <w:rFonts w:ascii="Times New Roman" w:hAnsi="Times New Roman" w:cs="Times New Roman"/>
          <w:color w:val="000000" w:themeColor="text1"/>
          <w:sz w:val="24"/>
          <w:szCs w:val="24"/>
          <w:lang w:val="en-GB"/>
        </w:rPr>
        <w:t xml:space="preserve">not </w:t>
      </w:r>
      <w:r w:rsidR="00684A98" w:rsidRPr="002F72C4">
        <w:rPr>
          <w:rFonts w:ascii="Times New Roman" w:hAnsi="Times New Roman" w:cs="Times New Roman"/>
          <w:color w:val="000000" w:themeColor="text1"/>
          <w:sz w:val="24"/>
          <w:szCs w:val="24"/>
          <w:lang w:val="en-GB"/>
        </w:rPr>
        <w:t>differentiate</w:t>
      </w:r>
      <w:r w:rsidRPr="002F72C4">
        <w:rPr>
          <w:rFonts w:ascii="Times New Roman" w:hAnsi="Times New Roman" w:cs="Times New Roman"/>
          <w:color w:val="000000" w:themeColor="text1"/>
          <w:sz w:val="24"/>
          <w:szCs w:val="24"/>
          <w:lang w:val="en-GB"/>
        </w:rPr>
        <w:t xml:space="preserve"> between disease related fatigue from drug associated symptom</w:t>
      </w:r>
      <w:r w:rsidR="00B8656C" w:rsidRPr="002F72C4">
        <w:rPr>
          <w:rFonts w:ascii="Times New Roman" w:hAnsi="Times New Roman" w:cs="Times New Roman"/>
          <w:color w:val="000000" w:themeColor="text1"/>
          <w:sz w:val="24"/>
          <w:szCs w:val="24"/>
          <w:lang w:val="en-GB"/>
        </w:rPr>
        <w:t>s</w:t>
      </w:r>
      <w:r w:rsidR="00684A98">
        <w:rPr>
          <w:rFonts w:ascii="Times New Roman" w:hAnsi="Times New Roman" w:cs="Times New Roman"/>
          <w:color w:val="000000" w:themeColor="text1"/>
          <w:sz w:val="24"/>
          <w:szCs w:val="24"/>
          <w:lang w:val="en-GB"/>
        </w:rPr>
        <w:t xml:space="preserve">, we attribute fatigue </w:t>
      </w:r>
      <w:r w:rsidRPr="002F72C4">
        <w:rPr>
          <w:rFonts w:ascii="Times New Roman" w:hAnsi="Times New Roman" w:cs="Times New Roman"/>
          <w:color w:val="000000" w:themeColor="text1"/>
          <w:sz w:val="24"/>
          <w:szCs w:val="24"/>
          <w:lang w:val="en-GB"/>
        </w:rPr>
        <w:t xml:space="preserve">to immunosuppressant </w:t>
      </w:r>
      <w:r w:rsidR="00684A98">
        <w:rPr>
          <w:rFonts w:ascii="Times New Roman" w:hAnsi="Times New Roman" w:cs="Times New Roman"/>
          <w:color w:val="000000" w:themeColor="text1"/>
          <w:sz w:val="24"/>
          <w:szCs w:val="24"/>
          <w:lang w:val="en-GB"/>
        </w:rPr>
        <w:t>medication such as tacrolimus.</w:t>
      </w:r>
    </w:p>
    <w:p w14:paraId="63B62D20" w14:textId="77777777" w:rsidR="00684A98" w:rsidRPr="002F72C4" w:rsidRDefault="00684A98" w:rsidP="003165E5">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p>
    <w:p w14:paraId="26618157" w14:textId="16B5B295" w:rsidR="003165E5" w:rsidRPr="002F72C4" w:rsidRDefault="003165E5" w:rsidP="003165E5">
      <w:pPr>
        <w:autoSpaceDE w:val="0"/>
        <w:autoSpaceDN w:val="0"/>
        <w:adjustRightInd w:val="0"/>
        <w:spacing w:after="0" w:line="400" w:lineRule="atLeast"/>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We found that majority of the study participants (82.4%) experienced symptoms related to uncertainty /fear, while only, 17.6% of study participants experienced no uncertainty/fear. Uncertainty/fear domain scored the lowest, among the domains assessed by the kidney transplant questionnaire at a score of 4.28(1.12). These findings agree with studies conducted using the KTQ-25 in Iran and Ethiopia where uncertainty /fear scored the lowest at 4.53(1.82) and 4.18(1.80) respectively</w:t>
      </w:r>
      <w:r w:rsidR="008D692C" w:rsidRPr="002F72C4">
        <w:rPr>
          <w:rFonts w:ascii="Times New Roman" w:hAnsi="Times New Roman" w:cs="Times New Roman"/>
          <w:color w:val="000000" w:themeColor="text1"/>
          <w:sz w:val="24"/>
          <w:szCs w:val="24"/>
        </w:rPr>
        <w:fldChar w:fldCharType="begin" w:fldLock="1"/>
      </w:r>
      <w:r w:rsidR="008D692C" w:rsidRPr="002F72C4">
        <w:rPr>
          <w:rFonts w:ascii="Times New Roman" w:hAnsi="Times New Roman" w:cs="Times New Roman"/>
          <w:color w:val="000000" w:themeColor="text1"/>
          <w:sz w:val="24"/>
          <w:szCs w:val="24"/>
        </w:rPr>
        <w:instrText>ADDIN CSL_CITATION {"citationItems":[{"id":"ITEM-1","itemData":{"ISSN":"2253-1556","author":[{"dropping-particle":"","family":"Ganjali","given":"Raheleh","non-dropping-particle":"","parse-names":false,"suffix":""},{"dropping-particle":"","family":"Ghorban Sabbagh","given":"Mahin","non-dropping-particle":"","parse-names":false,"suffix":""},{"dropping-particle":"","family":"Nazemiyan","given":"Fatemeh","non-dropping-particle":"","parse-names":false,"suffix":""},{"dropping-particle":"","family":"Mamdouhi","given":"Fereshteh","non-dropping-particle":"","parse-names":false,"suffix":""},{"dropping-particle":"","family":"Badiee Aval","given":"Shapour","non-dropping-particle":"","parse-names":false,"suffix":""},{"dropping-particle":"","family":"Taherzadeh","given":"Zhila","non-dropping-particle":"","parse-names":false,"suffix":""},{"dropping-particle":"","family":"Heshmati Nabavi","given":"Fatemeh","non-dropping-particle":"","parse-names":false,"suffix":""},{"dropping-particle":"","family":"Golmakani","given":"Reza","non-dropping-particle":"","parse-names":false,"suffix":""},{"dropping-particle":"","family":"Tohidinezhad","given":"Fariba","non-dropping-particle":"","parse-names":false,"suffix":""},{"dropping-particle":"","family":"Eslami","given":"Saeid","non-dropping-particle":"","parse-names":false,"suffix":""}],"container-title":"ImmunoTargets and Therapy","id":"ITEM-1","issued":{"date-parts":[["2019"]]},"page":"53-62","publisher":"Taylor &amp; Francis","title":"Factors associated with adherence to immunosuppressive therapy and barriers in Asian kidney transplant recipients","type":"article-journal"},"uris":["http://www.mendeley.com/documents/?uuid=95b3e6e0-da22-4809-b99c-056d8c695927"]},{"id":"ITEM-2","itemData":{"DOI":"10.1371/JOURNAL.PONE.0229759","ISSN":"1932-6203","abstract":"Background About 50% of the patients 5–7 years after kidney transplantation show impairment of memory, attention and executive function. Tacrolimus frequently induces neurological complications in the first few weeks after transplantation. Furthermore, tacrolimus treatment is associated with impaired cognitive function in the long-term in patients after liver transplantation. We hypothesize that long-term tacrolimus therapy is associated with cognitive dysfunction and alterations of brain structure and metabolism in patients after kidney transplantation.   Methods Twenty-one patients 10 years after kidney transplantation underwent cognitive testing, magnetic resonance imaging and whole brain 31-phosphor magnetic resonance spectroscopy for the assessment of brain function, structure and energy metabolism. Using a cross-sectional study design the results were compared to those of patients 1 (n = 11) and 5 years (n = 10) after kidney transplantation, and healthy controls (n = 17). To further analyze the share of transplantation, tacrolimus therapy and kidney dysfunction on the results patients after liver transplantation (n = 9) were selected as a patient control group.   Results Patients 1 and 10 years after kidney transplantation (p = 0.02) similar to patients 10 years after liver transplantation (p&lt;0.01) showed significantly worse cognitive function than healthy controls. In contrast to patients after liver transplantation patients after kidney transplantation showed significantly reduced adenosine triphosphate levels in the brain compared to healthy controls (p≤0.01). Patients 1 and 5 years after kidney transplantation had significantly increased periventricular hyperintensities compared to healthy controls (p&lt;0.05).   Conclusions Our data indicate that cognitive impairment in the long-term after liver and kidney transplantation cannot exclusively be explained by CNI neurotoxicity.","author":[{"dropping-particle":"","family":"Pflugrad","given":"Henning","non-dropping-particle":"","parse-names":false,"suffix":""},{"dropping-particle":"","family":"Nösel","given":"Patrick","non-dropping-particle":"","parse-names":false,"suffix":""},{"dropping-particle":"","family":"Ding","given":"Xiaoqi","non-dropping-particle":"","parse-names":false,"suffix":""},{"dropping-particle":"","family":"Schmitz","given":"Birte","non-dropping-particle":"","parse-names":false,"suffix":""},{"dropping-particle":"","family":"Lanfermann","given":"Heinrich","non-dropping-particle":"","parse-names":false,"suffix":""},{"dropping-particle":"","family":"Barg-Hock","given":"Hannelore","non-dropping-particle":"","parse-names":false,"suffix":""},{"dropping-particle":"","family":"Klempnauer","given":"Jürgen","non-dropping-particle":"","parse-names":false,"suffix":""},{"dropping-particle":"","family":"Schiffer","given":"Mario","non-dropping-particle":"","parse-names":false,"suffix":""},{"dropping-particle":"","family":"Weissenborn","given":"Karin","non-dropping-particle":"","parse-names":false,"suffix":""}],"container-title":"PLOS ONE","id":"ITEM-2","issue":"3","issued":{"date-parts":[["2020"]]},"page":"e0229759","publisher":"Public Library of Science","title":"Brain function and metabolism in patients with long-term tacrolimus therapy after kidney transplantation in comparison to patients after liver transplantation","type":"article-journal","volume":"15"},"uris":["http://www.mendeley.com/documents/?uuid=a75037c0-da1d-4076-887c-77dadfa069e7"]}],"mendeley":{"formattedCitation":"(Ganjali et al., 2019; Pflugrad et al., 2020)","plainTextFormattedCitation":"(Ganjali et al., 2019; Pflugrad et al., 2020)","previouslyFormattedCitation":"(Ganjali et al., 2019; Pflugrad et al., 2020)"},"properties":{"noteIndex":0},"schema":"https://github.com/citation-style-language/schema/raw/master/csl-citation.json"}</w:instrText>
      </w:r>
      <w:r w:rsidR="008D692C" w:rsidRPr="002F72C4">
        <w:rPr>
          <w:rFonts w:ascii="Times New Roman" w:hAnsi="Times New Roman" w:cs="Times New Roman"/>
          <w:color w:val="000000" w:themeColor="text1"/>
          <w:sz w:val="24"/>
          <w:szCs w:val="24"/>
        </w:rPr>
        <w:fldChar w:fldCharType="separate"/>
      </w:r>
      <w:r w:rsidR="008D692C" w:rsidRPr="002F72C4">
        <w:rPr>
          <w:rFonts w:ascii="Times New Roman" w:hAnsi="Times New Roman" w:cs="Times New Roman"/>
          <w:noProof/>
          <w:color w:val="000000" w:themeColor="text1"/>
          <w:sz w:val="24"/>
          <w:szCs w:val="24"/>
        </w:rPr>
        <w:t>(Ganjali et al., 2019; Pflugrad et al., 2020)</w:t>
      </w:r>
      <w:r w:rsidR="008D692C" w:rsidRPr="002F72C4">
        <w:rPr>
          <w:rFonts w:ascii="Times New Roman" w:hAnsi="Times New Roman" w:cs="Times New Roman"/>
          <w:color w:val="000000" w:themeColor="text1"/>
          <w:sz w:val="24"/>
          <w:szCs w:val="24"/>
        </w:rPr>
        <w:fldChar w:fldCharType="end"/>
      </w:r>
      <w:r w:rsidRPr="002F72C4">
        <w:rPr>
          <w:rFonts w:ascii="Times New Roman" w:hAnsi="Times New Roman" w:cs="Times New Roman"/>
          <w:color w:val="000000" w:themeColor="text1"/>
          <w:sz w:val="24"/>
          <w:szCs w:val="24"/>
        </w:rPr>
        <w:t xml:space="preserve">. </w:t>
      </w:r>
      <w:r w:rsidR="00D61B64" w:rsidRPr="00D61B64">
        <w:rPr>
          <w:rFonts w:ascii="Times New Roman" w:hAnsi="Times New Roman" w:cs="Times New Roman"/>
          <w:color w:val="000000" w:themeColor="text1"/>
          <w:sz w:val="24"/>
          <w:szCs w:val="24"/>
        </w:rPr>
        <w:t>Related studies in Palestine</w:t>
      </w:r>
      <w:r w:rsidRPr="00D61B64">
        <w:rPr>
          <w:rFonts w:ascii="Times New Roman" w:hAnsi="Times New Roman" w:cs="Times New Roman"/>
          <w:i/>
          <w:color w:val="000000" w:themeColor="text1"/>
          <w:sz w:val="24"/>
          <w:szCs w:val="24"/>
        </w:rPr>
        <w:t xml:space="preserve"> </w:t>
      </w:r>
      <w:r w:rsidRPr="00D61B64">
        <w:rPr>
          <w:rFonts w:ascii="Times New Roman" w:hAnsi="Times New Roman" w:cs="Times New Roman"/>
          <w:color w:val="000000" w:themeColor="text1"/>
          <w:sz w:val="24"/>
          <w:szCs w:val="24"/>
        </w:rPr>
        <w:t>also found low score in the fear /uncertainty  dimension</w:t>
      </w:r>
      <w:r w:rsidR="00D61B64" w:rsidRPr="00D61B64">
        <w:rPr>
          <w:rFonts w:ascii="Times New Roman" w:hAnsi="Times New Roman" w:cs="Times New Roman"/>
          <w:color w:val="000000" w:themeColor="text1"/>
          <w:sz w:val="24"/>
          <w:szCs w:val="24"/>
        </w:rPr>
        <w:t xml:space="preserve"> of </w:t>
      </w:r>
      <w:r w:rsidR="00D61B64" w:rsidRPr="00D61B64">
        <w:rPr>
          <w:rFonts w:ascii="Times New Roman" w:hAnsi="Times New Roman" w:cs="Times New Roman"/>
          <w:color w:val="222222"/>
          <w:sz w:val="24"/>
          <w:szCs w:val="24"/>
          <w:shd w:val="clear" w:color="auto" w:fill="FFFFFF"/>
        </w:rPr>
        <w:t>3.36 ± 1.23</w:t>
      </w:r>
      <w:r w:rsidR="00D61B64" w:rsidRPr="00D61B64">
        <w:rPr>
          <w:rFonts w:ascii="Times New Roman" w:hAnsi="Times New Roman" w:cs="Times New Roman"/>
          <w:color w:val="222222"/>
          <w:sz w:val="24"/>
          <w:szCs w:val="24"/>
          <w:shd w:val="clear" w:color="auto" w:fill="FFFFFF"/>
        </w:rPr>
        <w:fldChar w:fldCharType="begin" w:fldLock="1"/>
      </w:r>
      <w:r w:rsidR="00D61B64">
        <w:rPr>
          <w:rFonts w:ascii="Times New Roman" w:hAnsi="Times New Roman" w:cs="Times New Roman"/>
          <w:color w:val="222222"/>
          <w:sz w:val="24"/>
          <w:szCs w:val="24"/>
          <w:shd w:val="clear" w:color="auto" w:fill="FFFFFF"/>
        </w:rPr>
        <w:instrText>ADDIN CSL_CITATION {"citationItems":[{"id":"ITEM-1","itemData":{"ISSN":"1319-2442","author":[{"dropping-particle":"","family":"Dweib","given":"Kholoud","non-dropping-particle":"","parse-names":false,"suffix":""},{"dropping-particle":"","family":"Jumaa","given":"Salma","non-dropping-particle":"","parse-names":false,"suffix":""},{"dropping-particle":"","family":"Khdour","given":"Maher","non-dropping-particle":"","parse-names":false,"suffix":""},{"dropping-particle":"","family":"Hallak","given":"Hussein","non-dropping-particle":"","parse-names":false,"suffix":""}],"container-title":"Saudi Journal of Kidney Diseases and Transplantation","id":"ITEM-1","issue":"2","issued":{"date-parts":[["2020"]]},"page":"473-481","publisher":"Medknow","title":"Quality of life for kidney transplant palestinian patients","type":"article-journal","volume":"31"},"uris":["http://www.mendeley.com/documents/?uuid=84745328-7948-44ce-8aab-95f504bc258c"]}],"mendeley":{"formattedCitation":"(Dweib et al., 2020)","plainTextFormattedCitation":"(Dweib et al., 2020)","previouslyFormattedCitation":"(Dweib et al., 2020)"},"properties":{"noteIndex":0},"schema":"https://github.com/citation-style-language/schema/raw/master/csl-citation.json"}</w:instrText>
      </w:r>
      <w:r w:rsidR="00D61B64" w:rsidRPr="00D61B64">
        <w:rPr>
          <w:rFonts w:ascii="Times New Roman" w:hAnsi="Times New Roman" w:cs="Times New Roman"/>
          <w:color w:val="222222"/>
          <w:sz w:val="24"/>
          <w:szCs w:val="24"/>
          <w:shd w:val="clear" w:color="auto" w:fill="FFFFFF"/>
        </w:rPr>
        <w:fldChar w:fldCharType="separate"/>
      </w:r>
      <w:r w:rsidR="00D61B64" w:rsidRPr="00D61B64">
        <w:rPr>
          <w:rFonts w:ascii="Times New Roman" w:hAnsi="Times New Roman" w:cs="Times New Roman"/>
          <w:noProof/>
          <w:color w:val="222222"/>
          <w:sz w:val="24"/>
          <w:szCs w:val="24"/>
          <w:shd w:val="clear" w:color="auto" w:fill="FFFFFF"/>
        </w:rPr>
        <w:t>(Dweib et al., 2020)</w:t>
      </w:r>
      <w:r w:rsidR="00D61B64" w:rsidRPr="00D61B64">
        <w:rPr>
          <w:rFonts w:ascii="Times New Roman" w:hAnsi="Times New Roman" w:cs="Times New Roman"/>
          <w:color w:val="222222"/>
          <w:sz w:val="24"/>
          <w:szCs w:val="24"/>
          <w:shd w:val="clear" w:color="auto" w:fill="FFFFFF"/>
        </w:rPr>
        <w:fldChar w:fldCharType="end"/>
      </w:r>
      <w:r w:rsidR="00D61B6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w:t>
      </w:r>
      <w:r w:rsidR="00212132"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This finding may be reflective of fear regarding graft rejection and returning to dialysis. Uncertainty and fear of graft rejection may cause emotional distress and anxiety among kidney transplant patient</w:t>
      </w:r>
      <w:r w:rsidR="00BF3BB0" w:rsidRPr="002F72C4">
        <w:rPr>
          <w:rFonts w:ascii="Times New Roman" w:hAnsi="Times New Roman" w:cs="Times New Roman"/>
          <w:color w:val="000000" w:themeColor="text1"/>
          <w:sz w:val="24"/>
          <w:szCs w:val="24"/>
        </w:rPr>
        <w:t>s</w:t>
      </w:r>
      <w:r w:rsidRPr="002F72C4">
        <w:rPr>
          <w:rFonts w:ascii="Times New Roman" w:hAnsi="Times New Roman" w:cs="Times New Roman"/>
          <w:color w:val="000000" w:themeColor="text1"/>
          <w:sz w:val="24"/>
          <w:szCs w:val="24"/>
        </w:rPr>
        <w:t xml:space="preserve">, resulting </w:t>
      </w:r>
      <w:r w:rsidR="00DC2007" w:rsidRPr="002F72C4">
        <w:rPr>
          <w:rFonts w:ascii="Times New Roman" w:hAnsi="Times New Roman" w:cs="Times New Roman"/>
          <w:color w:val="000000" w:themeColor="text1"/>
          <w:sz w:val="24"/>
          <w:szCs w:val="24"/>
        </w:rPr>
        <w:t xml:space="preserve">in </w:t>
      </w:r>
      <w:r w:rsidRPr="002F72C4">
        <w:rPr>
          <w:rFonts w:ascii="Times New Roman" w:hAnsi="Times New Roman" w:cs="Times New Roman"/>
          <w:color w:val="000000" w:themeColor="text1"/>
          <w:sz w:val="24"/>
          <w:szCs w:val="24"/>
        </w:rPr>
        <w:t>non-compliance to immunosuppressant medication.</w:t>
      </w:r>
    </w:p>
    <w:p w14:paraId="3B08E6D8" w14:textId="77777777" w:rsidR="00D61B64" w:rsidRDefault="00D61B64" w:rsidP="003165E5">
      <w:pPr>
        <w:autoSpaceDE w:val="0"/>
        <w:autoSpaceDN w:val="0"/>
        <w:adjustRightInd w:val="0"/>
        <w:spacing w:after="0" w:line="400" w:lineRule="atLeast"/>
        <w:jc w:val="both"/>
        <w:rPr>
          <w:rFonts w:ascii="Times New Roman" w:hAnsi="Times New Roman" w:cs="Times New Roman"/>
          <w:color w:val="000000" w:themeColor="text1"/>
          <w:sz w:val="24"/>
          <w:szCs w:val="24"/>
        </w:rPr>
      </w:pPr>
    </w:p>
    <w:p w14:paraId="05ABA71F" w14:textId="622F7767" w:rsidR="003165E5" w:rsidRPr="002F72C4" w:rsidRDefault="003165E5" w:rsidP="003165E5">
      <w:pPr>
        <w:autoSpaceDE w:val="0"/>
        <w:autoSpaceDN w:val="0"/>
        <w:adjustRightInd w:val="0"/>
        <w:spacing w:after="0" w:line="400" w:lineRule="atLeast"/>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Renal transplantation is considered the best treatment modality for end stage renal as it is cost effective, prolongs life</w:t>
      </w:r>
      <w:r w:rsidR="00CD7808" w:rsidRPr="002F72C4">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 and improves HRQoL. Despite these benefits, literature shows  that transplanted patients may suffer emotionally through depression and anxiety</w:t>
      </w:r>
      <w:r w:rsidR="00084F85" w:rsidRPr="002F72C4">
        <w:rPr>
          <w:rFonts w:ascii="Times New Roman" w:hAnsi="Times New Roman" w:cs="Times New Roman"/>
          <w:color w:val="000000" w:themeColor="text1"/>
          <w:sz w:val="24"/>
          <w:szCs w:val="24"/>
        </w:rPr>
        <w:t xml:space="preserve"> </w:t>
      </w:r>
      <w:r w:rsidR="00084F85" w:rsidRPr="002F72C4">
        <w:rPr>
          <w:rFonts w:ascii="Times New Roman" w:hAnsi="Times New Roman" w:cs="Times New Roman"/>
          <w:color w:val="000000" w:themeColor="text1"/>
          <w:sz w:val="24"/>
          <w:szCs w:val="24"/>
        </w:rPr>
        <w:fldChar w:fldCharType="begin" w:fldLock="1"/>
      </w:r>
      <w:r w:rsidR="008D692C" w:rsidRPr="002F72C4">
        <w:rPr>
          <w:rFonts w:ascii="Times New Roman" w:hAnsi="Times New Roman" w:cs="Times New Roman"/>
          <w:color w:val="000000" w:themeColor="text1"/>
          <w:sz w:val="24"/>
          <w:szCs w:val="24"/>
        </w:rPr>
        <w:instrText>ADDIN CSL_CITATION {"citationItems":[{"id":"ITEM-1","itemData":{"DOI":"10.1136/bmjopen-2019-035627","author":[{"dropping-particle":"","family":"Jones","given":"Janet","non-dropping-particle":"","parse-names":false,"suffix":""},{"dropping-particle":"","family":"Damery","given":"Sarah","non-dropping-particle":"","parse-names":false,"suffix":""},{"dropping-particle":"","family":"Allen","given":"Kerry","non-dropping-particle":"","parse-names":false,"suffix":""},{"dropping-particle":"","family":"Nicholas","given":"Johann","non-dropping-particle":"","parse-names":false,"suffix":""},{"dropping-particle":"","family":"Baharani","given":"Jyoti","non-dropping-particle":"","parse-names":false,"suffix":""},{"dropping-particle":"","family":"Combes","given":"Gill","non-dropping-particle":"","parse-names":false,"suffix":""}],"container-title":"BMJ Open","id":"ITEM-1","issued":{"date-parts":[["2020"]]},"page":"35627","title":"Open access 'You have got a foreign body in there': renal transplantation, unexpected mild-to-moderate distress and patients' support needs: a qualitative study","type":"article-journal","volume":"10"},"uris":["http://www.mendeley.com/documents/?uuid=97d5ed7a-f79e-499d-a695-91b4869e0875"]}],"mendeley":{"formattedCitation":"(Jones et al., 2020)","plainTextFormattedCitation":"(Jones et al., 2020)","previouslyFormattedCitation":"(Jones et al., 2020)"},"properties":{"noteIndex":0},"schema":"https://github.com/citation-style-language/schema/raw/master/csl-citation.json"}</w:instrText>
      </w:r>
      <w:r w:rsidR="00084F85" w:rsidRPr="002F72C4">
        <w:rPr>
          <w:rFonts w:ascii="Times New Roman" w:hAnsi="Times New Roman" w:cs="Times New Roman"/>
          <w:color w:val="000000" w:themeColor="text1"/>
          <w:sz w:val="24"/>
          <w:szCs w:val="24"/>
        </w:rPr>
        <w:fldChar w:fldCharType="separate"/>
      </w:r>
      <w:r w:rsidR="002B261F" w:rsidRPr="002F72C4">
        <w:rPr>
          <w:rFonts w:ascii="Times New Roman" w:hAnsi="Times New Roman" w:cs="Times New Roman"/>
          <w:noProof/>
          <w:color w:val="000000" w:themeColor="text1"/>
          <w:sz w:val="24"/>
          <w:szCs w:val="24"/>
        </w:rPr>
        <w:t>(Jones et al., 2020)</w:t>
      </w:r>
      <w:r w:rsidR="00084F85" w:rsidRPr="002F72C4">
        <w:rPr>
          <w:rFonts w:ascii="Times New Roman" w:hAnsi="Times New Roman" w:cs="Times New Roman"/>
          <w:color w:val="000000" w:themeColor="text1"/>
          <w:sz w:val="24"/>
          <w:szCs w:val="24"/>
        </w:rPr>
        <w:fldChar w:fldCharType="end"/>
      </w:r>
      <w:r w:rsidR="00084F85"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 xml:space="preserve">due to fear of failing graft, </w:t>
      </w:r>
      <w:r w:rsidR="00DC2007" w:rsidRPr="002F72C4">
        <w:rPr>
          <w:rFonts w:ascii="Times New Roman" w:hAnsi="Times New Roman" w:cs="Times New Roman"/>
          <w:color w:val="000000" w:themeColor="text1"/>
          <w:sz w:val="24"/>
          <w:szCs w:val="24"/>
        </w:rPr>
        <w:t xml:space="preserve">the </w:t>
      </w:r>
      <w:r w:rsidRPr="002F72C4">
        <w:rPr>
          <w:rFonts w:ascii="Times New Roman" w:hAnsi="Times New Roman" w:cs="Times New Roman"/>
          <w:color w:val="000000" w:themeColor="text1"/>
          <w:sz w:val="24"/>
          <w:szCs w:val="24"/>
        </w:rPr>
        <w:t xml:space="preserve">anxiety of regular medical checkup, strict </w:t>
      </w:r>
      <w:r w:rsidRPr="002F72C4">
        <w:rPr>
          <w:rFonts w:ascii="Times New Roman" w:hAnsi="Times New Roman" w:cs="Times New Roman"/>
          <w:color w:val="000000" w:themeColor="text1"/>
          <w:sz w:val="24"/>
          <w:szCs w:val="24"/>
        </w:rPr>
        <w:lastRenderedPageBreak/>
        <w:t>immunosuppressive therapy</w:t>
      </w:r>
      <w:r w:rsidR="00F72122" w:rsidRPr="002F72C4">
        <w:rPr>
          <w:rFonts w:ascii="Times New Roman" w:hAnsi="Times New Roman" w:cs="Times New Roman"/>
          <w:color w:val="000000" w:themeColor="text1"/>
          <w:sz w:val="24"/>
          <w:szCs w:val="24"/>
        </w:rPr>
        <w:t xml:space="preserve"> as well as their side effects</w:t>
      </w:r>
      <w:r w:rsidR="008D692C" w:rsidRPr="002F72C4">
        <w:rPr>
          <w:rFonts w:ascii="Times New Roman" w:hAnsi="Times New Roman" w:cs="Times New Roman"/>
          <w:color w:val="000000" w:themeColor="text1"/>
          <w:sz w:val="24"/>
          <w:szCs w:val="24"/>
        </w:rPr>
        <w:fldChar w:fldCharType="begin" w:fldLock="1"/>
      </w:r>
      <w:r w:rsidR="00AB4EC5">
        <w:rPr>
          <w:rFonts w:ascii="Times New Roman" w:hAnsi="Times New Roman" w:cs="Times New Roman"/>
          <w:color w:val="000000" w:themeColor="text1"/>
          <w:sz w:val="24"/>
          <w:szCs w:val="24"/>
        </w:rPr>
        <w:instrText>ADDIN CSL_CITATION {"citationItems":[{"id":"ITEM-1","itemData":{"DOI":"10.1016/B978-0-12-801734-0.00050-3","ISBN":"9780128018361","abstract":"Health-related quality of life (HRQOL) provides a measure of patients' perception of their symptoms, overall health or disability, and treatment. As such, HRQOL is an important patient-centered outcome and transplant-oriented clinical research endpoint. HRQOL alone, or in tandem with other objective clinical outcome measures, is useful in monitoring clinical practice, informing treatment decisions, and guiding the allocation of healthcare resources. It comprises three domains: physical, mental, and psychosocial wellbeing; and can be measured by generalized or targeted instruments depending on the degree of specificity desired by the clinician or researcher. Patients with end stage renal disease requiring dialysis report diminished quality of life compared to the general population, which in turn is associated with an increased risk of hospitalization and death, particularly in those with a high comorbidity burden. Renal transplantation confers a global quality of life benefit. Physical symptoms like pain, poor sleep quality, and fatigue are perceived to be improved after transplantation by renal transplant recipients with a functioning allograft. Depression and anxiety also improve after transplantation as does social participation and integration. However, on average, HRQOL following renal transplant remains lower than in the general population, partly due to transplant related complications like infection and malignancy and the adverse effects of immunosuppression. Other factors that negatively impact HRQOL after transplant include older recipient age, deceased donor transplantation, female gender, lack of social support, and comorbid conditions such as diabetes and depression. Improved HRQOL after kidney transplantation, especially in the physical domain, has been associated with better patient and allograft survival. Hence it is imperative for transplant clinicians to familiarize themselves with the concepts, measurement, and interpretation of HRQOL as they strive to provide comprehensive care to kidney transplant patients.","author":[{"dropping-particle":"","family":"Shetty","given":"Aneesha A.","non-dropping-particle":"","parse-names":false,"suffix":""},{"dropping-particle":"","family":"Wertheim","given":"Jason A.","non-dropping-particle":"","parse-names":false,"suffix":""},{"dropping-particle":"","family":"Butt","given":"Zeeshan","non-dropping-particle":"","parse-names":false,"suffix":""}],"container-title":"Kidney Transplantation, Bioengineering, and Regeneration: Kidney Transplantation in the Regenerative Medicine Era","id":"ITEM-1","issued":{"date-parts":[["2017"]]},"page":"699-708","title":"Health-Related Quality of Life Outcomes After Kidney Transplantation","type":"article-journal","volume":"6"},"uris":["http://www.mendeley.com/documents/?uuid=37183768-f25a-4e8f-af2b-7ebca65329db"]}],"mendeley":{"formattedCitation":"(Shetty et al., 2017)","plainTextFormattedCitation":"(Shetty et al., 2017)","previouslyFormattedCitation":"(Shetty et al., 2017)"},"properties":{"noteIndex":0},"schema":"https://github.com/citation-style-language/schema/raw/master/csl-citation.json"}</w:instrText>
      </w:r>
      <w:r w:rsidR="008D692C" w:rsidRPr="002F72C4">
        <w:rPr>
          <w:rFonts w:ascii="Times New Roman" w:hAnsi="Times New Roman" w:cs="Times New Roman"/>
          <w:color w:val="000000" w:themeColor="text1"/>
          <w:sz w:val="24"/>
          <w:szCs w:val="24"/>
        </w:rPr>
        <w:fldChar w:fldCharType="separate"/>
      </w:r>
      <w:r w:rsidR="00D61B64" w:rsidRPr="00D61B64">
        <w:rPr>
          <w:rFonts w:ascii="Times New Roman" w:hAnsi="Times New Roman" w:cs="Times New Roman"/>
          <w:noProof/>
          <w:color w:val="000000" w:themeColor="text1"/>
          <w:sz w:val="24"/>
          <w:szCs w:val="24"/>
        </w:rPr>
        <w:t>(Shetty et al., 2017)</w:t>
      </w:r>
      <w:r w:rsidR="008D692C" w:rsidRPr="002F72C4">
        <w:rPr>
          <w:rFonts w:ascii="Times New Roman" w:hAnsi="Times New Roman" w:cs="Times New Roman"/>
          <w:color w:val="000000" w:themeColor="text1"/>
          <w:sz w:val="24"/>
          <w:szCs w:val="24"/>
        </w:rPr>
        <w:fldChar w:fldCharType="end"/>
      </w:r>
      <w:r w:rsidRPr="002F72C4">
        <w:rPr>
          <w:rFonts w:ascii="Times New Roman" w:hAnsi="Times New Roman" w:cs="Times New Roman"/>
          <w:color w:val="000000" w:themeColor="text1"/>
          <w:sz w:val="24"/>
          <w:szCs w:val="24"/>
        </w:rPr>
        <w:t>.In our study, approximately half of the study participants (48.7%) ha</w:t>
      </w:r>
      <w:r w:rsidR="00DC2007" w:rsidRPr="002F72C4">
        <w:rPr>
          <w:rFonts w:ascii="Times New Roman" w:hAnsi="Times New Roman" w:cs="Times New Roman"/>
          <w:color w:val="000000" w:themeColor="text1"/>
          <w:sz w:val="24"/>
          <w:szCs w:val="24"/>
        </w:rPr>
        <w:t xml:space="preserve">d severe to moderate trouble with </w:t>
      </w:r>
      <w:r w:rsidRPr="002F72C4">
        <w:rPr>
          <w:rFonts w:ascii="Times New Roman" w:hAnsi="Times New Roman" w:cs="Times New Roman"/>
          <w:color w:val="000000" w:themeColor="text1"/>
          <w:sz w:val="24"/>
          <w:szCs w:val="24"/>
        </w:rPr>
        <w:t>emotions. In contrast, a qualitative study in t</w:t>
      </w:r>
      <w:r w:rsidR="000A14D7" w:rsidRPr="002F72C4">
        <w:rPr>
          <w:rFonts w:ascii="Times New Roman" w:hAnsi="Times New Roman" w:cs="Times New Roman"/>
          <w:color w:val="000000" w:themeColor="text1"/>
          <w:sz w:val="24"/>
          <w:szCs w:val="24"/>
        </w:rPr>
        <w:t xml:space="preserve">he UK reported  that  25% of </w:t>
      </w:r>
      <w:r w:rsidRPr="002F72C4">
        <w:rPr>
          <w:rFonts w:ascii="Times New Roman" w:hAnsi="Times New Roman" w:cs="Times New Roman"/>
          <w:color w:val="000000" w:themeColor="text1"/>
          <w:sz w:val="24"/>
          <w:szCs w:val="24"/>
        </w:rPr>
        <w:t xml:space="preserve"> kidney transplant patients had emotional distress</w:t>
      </w:r>
      <w:r w:rsidRPr="002F72C4">
        <w:rPr>
          <w:rFonts w:ascii="Times New Roman" w:hAnsi="Times New Roman" w:cs="Times New Roman"/>
          <w:color w:val="000000" w:themeColor="text1"/>
          <w:sz w:val="24"/>
          <w:szCs w:val="24"/>
        </w:rPr>
        <w:fldChar w:fldCharType="begin" w:fldLock="1"/>
      </w:r>
      <w:r w:rsidR="008D692C" w:rsidRPr="002F72C4">
        <w:rPr>
          <w:rFonts w:ascii="Times New Roman" w:hAnsi="Times New Roman" w:cs="Times New Roman"/>
          <w:color w:val="000000" w:themeColor="text1"/>
          <w:sz w:val="24"/>
          <w:szCs w:val="24"/>
        </w:rPr>
        <w:instrText>ADDIN CSL_CITATION {"citationItems":[{"id":"ITEM-1","itemData":{"DOI":"10.1136/bmjopen-2019-035627","author":[{"dropping-particle":"","family":"Jones","given":"Janet","non-dropping-particle":"","parse-names":false,"suffix":""},{"dropping-particle":"","family":"Damery","given":"Sarah","non-dropping-particle":"","parse-names":false,"suffix":""},{"dropping-particle":"","family":"Allen","given":"Kerry","non-dropping-particle":"","parse-names":false,"suffix":""},{"dropping-particle":"","family":"Nicholas","given":"Johann","non-dropping-particle":"","parse-names":false,"suffix":""},{"dropping-particle":"","family":"Baharani","given":"Jyoti","non-dropping-particle":"","parse-names":false,"suffix":""},{"dropping-particle":"","family":"Combes","given":"Gill","non-dropping-particle":"","parse-names":false,"suffix":""}],"container-title":"BMJ Open","id":"ITEM-1","issued":{"date-parts":[["2020"]]},"page":"35627","title":"Open access 'You have got a foreign body in there': renal transplantation, unexpected mild-to-moderate distress and patients' support needs: a qualitative study","type":"article-journal","volume":"10"},"uris":["http://www.mendeley.com/documents/?uuid=97d5ed7a-f79e-499d-a695-91b4869e0875"]}],"mendeley":{"formattedCitation":"(Jones et al., 2020)","plainTextFormattedCitation":"(Jones et al., 2020)","previouslyFormattedCitation":"(Jones et al., 2020)"},"properties":{"noteIndex":0},"schema":"https://github.com/citation-style-language/schema/raw/master/csl-citation.json"}</w:instrText>
      </w:r>
      <w:r w:rsidRPr="002F72C4">
        <w:rPr>
          <w:rFonts w:ascii="Times New Roman" w:hAnsi="Times New Roman" w:cs="Times New Roman"/>
          <w:color w:val="000000" w:themeColor="text1"/>
          <w:sz w:val="24"/>
          <w:szCs w:val="24"/>
        </w:rPr>
        <w:fldChar w:fldCharType="separate"/>
      </w:r>
      <w:r w:rsidR="002B261F" w:rsidRPr="002F72C4">
        <w:rPr>
          <w:rFonts w:ascii="Times New Roman" w:hAnsi="Times New Roman" w:cs="Times New Roman"/>
          <w:noProof/>
          <w:color w:val="000000" w:themeColor="text1"/>
          <w:sz w:val="24"/>
          <w:szCs w:val="24"/>
        </w:rPr>
        <w:t>(Jones et al., 2020)</w:t>
      </w:r>
      <w:r w:rsidRPr="002F72C4">
        <w:rPr>
          <w:rFonts w:ascii="Times New Roman" w:hAnsi="Times New Roman" w:cs="Times New Roman"/>
          <w:color w:val="000000" w:themeColor="text1"/>
          <w:sz w:val="24"/>
          <w:szCs w:val="24"/>
        </w:rPr>
        <w:fldChar w:fldCharType="end"/>
      </w:r>
      <w:r w:rsidR="000A14D7" w:rsidRPr="002F72C4">
        <w:rPr>
          <w:rFonts w:ascii="Times New Roman" w:hAnsi="Times New Roman" w:cs="Times New Roman"/>
          <w:color w:val="000000" w:themeColor="text1"/>
          <w:sz w:val="24"/>
          <w:szCs w:val="24"/>
        </w:rPr>
        <w:t xml:space="preserve">.The findings </w:t>
      </w:r>
      <w:r w:rsidR="00D61B64">
        <w:rPr>
          <w:rFonts w:ascii="Times New Roman" w:hAnsi="Times New Roman" w:cs="Times New Roman"/>
          <w:color w:val="000000" w:themeColor="text1"/>
          <w:sz w:val="24"/>
          <w:szCs w:val="24"/>
        </w:rPr>
        <w:t>disagree</w:t>
      </w:r>
      <w:r w:rsidRPr="002F72C4">
        <w:rPr>
          <w:rFonts w:ascii="Times New Roman" w:hAnsi="Times New Roman" w:cs="Times New Roman"/>
          <w:color w:val="000000" w:themeColor="text1"/>
          <w:sz w:val="24"/>
          <w:szCs w:val="24"/>
        </w:rPr>
        <w:t xml:space="preserve"> with our findings because of the difference in study methodology. In the UK study, inclusion criteria required </w:t>
      </w:r>
      <w:r w:rsidR="000A14D7" w:rsidRPr="002F72C4">
        <w:rPr>
          <w:rFonts w:ascii="Times New Roman" w:hAnsi="Times New Roman" w:cs="Times New Roman"/>
          <w:color w:val="000000" w:themeColor="text1"/>
          <w:sz w:val="24"/>
          <w:szCs w:val="24"/>
        </w:rPr>
        <w:t xml:space="preserve">a </w:t>
      </w:r>
      <w:r w:rsidRPr="002F72C4">
        <w:rPr>
          <w:rFonts w:ascii="Times New Roman" w:hAnsi="Times New Roman" w:cs="Times New Roman"/>
          <w:color w:val="000000" w:themeColor="text1"/>
          <w:sz w:val="24"/>
          <w:szCs w:val="24"/>
        </w:rPr>
        <w:t>patient to be categorized as mild to moderate using a distress thermometer. This may have introduced some sort of bia</w:t>
      </w:r>
      <w:r w:rsidR="001004CA" w:rsidRPr="002F72C4">
        <w:rPr>
          <w:rFonts w:ascii="Times New Roman" w:hAnsi="Times New Roman" w:cs="Times New Roman"/>
          <w:color w:val="000000" w:themeColor="text1"/>
          <w:sz w:val="24"/>
          <w:szCs w:val="24"/>
        </w:rPr>
        <w:t>s. Nevertheless, psychological</w:t>
      </w:r>
      <w:r w:rsidRPr="002F72C4">
        <w:rPr>
          <w:rFonts w:ascii="Times New Roman" w:hAnsi="Times New Roman" w:cs="Times New Roman"/>
          <w:color w:val="000000" w:themeColor="text1"/>
          <w:sz w:val="24"/>
          <w:szCs w:val="24"/>
        </w:rPr>
        <w:t xml:space="preserve"> and emotional distress appears to be a problem in kidney transplant patients that should be addressed. This finding underscore</w:t>
      </w:r>
      <w:r w:rsidR="000A14D7" w:rsidRPr="002F72C4">
        <w:rPr>
          <w:rFonts w:ascii="Times New Roman" w:hAnsi="Times New Roman" w:cs="Times New Roman"/>
          <w:color w:val="000000" w:themeColor="text1"/>
          <w:sz w:val="24"/>
          <w:szCs w:val="24"/>
        </w:rPr>
        <w:t>s</w:t>
      </w:r>
      <w:r w:rsidRPr="002F72C4">
        <w:rPr>
          <w:rFonts w:ascii="Times New Roman" w:hAnsi="Times New Roman" w:cs="Times New Roman"/>
          <w:color w:val="000000" w:themeColor="text1"/>
          <w:sz w:val="24"/>
          <w:szCs w:val="24"/>
        </w:rPr>
        <w:t xml:space="preserve"> the need for routine psychological support before and after ki</w:t>
      </w:r>
      <w:r w:rsidR="00B4097D" w:rsidRPr="002F72C4">
        <w:rPr>
          <w:rFonts w:ascii="Times New Roman" w:hAnsi="Times New Roman" w:cs="Times New Roman"/>
          <w:color w:val="000000" w:themeColor="text1"/>
          <w:sz w:val="24"/>
          <w:szCs w:val="24"/>
        </w:rPr>
        <w:t>d</w:t>
      </w:r>
      <w:r w:rsidRPr="002F72C4">
        <w:rPr>
          <w:rFonts w:ascii="Times New Roman" w:hAnsi="Times New Roman" w:cs="Times New Roman"/>
          <w:color w:val="000000" w:themeColor="text1"/>
          <w:sz w:val="24"/>
          <w:szCs w:val="24"/>
        </w:rPr>
        <w:t>ney transplantation</w:t>
      </w:r>
      <w:r w:rsidR="00E36C31" w:rsidRPr="002F72C4">
        <w:rPr>
          <w:rFonts w:ascii="Times New Roman" w:hAnsi="Times New Roman" w:cs="Times New Roman"/>
          <w:color w:val="000000" w:themeColor="text1"/>
          <w:sz w:val="24"/>
          <w:szCs w:val="24"/>
        </w:rPr>
        <w:t>.</w:t>
      </w:r>
    </w:p>
    <w:p w14:paraId="4AEE9EDA" w14:textId="77777777" w:rsidR="00D61B64" w:rsidRDefault="00D61B64" w:rsidP="003165E5">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p>
    <w:p w14:paraId="3C15294B" w14:textId="73D06131" w:rsidR="003165E5" w:rsidRPr="002F72C4" w:rsidRDefault="003165E5" w:rsidP="003165E5">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 xml:space="preserve">Our </w:t>
      </w:r>
      <w:r w:rsidR="00D61B64">
        <w:rPr>
          <w:rFonts w:ascii="Times New Roman" w:hAnsi="Times New Roman" w:cs="Times New Roman"/>
          <w:color w:val="000000" w:themeColor="text1"/>
          <w:sz w:val="24"/>
          <w:szCs w:val="24"/>
          <w:lang w:val="en-GB"/>
        </w:rPr>
        <w:t>research</w:t>
      </w:r>
      <w:r w:rsidRPr="002F72C4">
        <w:rPr>
          <w:rFonts w:ascii="Times New Roman" w:hAnsi="Times New Roman" w:cs="Times New Roman"/>
          <w:color w:val="000000" w:themeColor="text1"/>
          <w:sz w:val="24"/>
          <w:szCs w:val="24"/>
          <w:lang w:val="en-GB"/>
        </w:rPr>
        <w:t xml:space="preserve"> is the first study to assess HRQoL am</w:t>
      </w:r>
      <w:r w:rsidR="00CA71A6" w:rsidRPr="002F72C4">
        <w:rPr>
          <w:rFonts w:ascii="Times New Roman" w:hAnsi="Times New Roman" w:cs="Times New Roman"/>
          <w:color w:val="000000" w:themeColor="text1"/>
          <w:sz w:val="24"/>
          <w:szCs w:val="24"/>
          <w:lang w:val="en-GB"/>
        </w:rPr>
        <w:t>ong kidney transplant patients</w:t>
      </w:r>
      <w:r w:rsidR="00D61B64">
        <w:rPr>
          <w:rFonts w:ascii="Times New Roman" w:hAnsi="Times New Roman" w:cs="Times New Roman"/>
          <w:color w:val="000000" w:themeColor="text1"/>
          <w:sz w:val="24"/>
          <w:szCs w:val="24"/>
          <w:lang w:val="en-GB"/>
        </w:rPr>
        <w:t xml:space="preserve"> in a low resource setting</w:t>
      </w:r>
      <w:r w:rsidR="00CA71A6" w:rsidRPr="002F72C4">
        <w:rPr>
          <w:rFonts w:ascii="Times New Roman" w:hAnsi="Times New Roman" w:cs="Times New Roman"/>
          <w:color w:val="000000" w:themeColor="text1"/>
          <w:sz w:val="24"/>
          <w:szCs w:val="24"/>
          <w:lang w:val="en-GB"/>
        </w:rPr>
        <w:t>. W</w:t>
      </w:r>
      <w:r w:rsidRPr="002F72C4">
        <w:rPr>
          <w:rFonts w:ascii="Times New Roman" w:hAnsi="Times New Roman" w:cs="Times New Roman"/>
          <w:color w:val="000000" w:themeColor="text1"/>
          <w:sz w:val="24"/>
          <w:szCs w:val="24"/>
          <w:lang w:val="en-GB"/>
        </w:rPr>
        <w:t>e have also established that presence of comorbidities is likely to decrease the HRQoL amon</w:t>
      </w:r>
      <w:r w:rsidR="00CA71A6" w:rsidRPr="002F72C4">
        <w:rPr>
          <w:rFonts w:ascii="Times New Roman" w:hAnsi="Times New Roman" w:cs="Times New Roman"/>
          <w:color w:val="000000" w:themeColor="text1"/>
          <w:sz w:val="24"/>
          <w:szCs w:val="24"/>
          <w:lang w:val="en-GB"/>
        </w:rPr>
        <w:t>g renal transplant recipients.</w:t>
      </w:r>
      <w:r w:rsidR="00D61B64">
        <w:rPr>
          <w:rFonts w:ascii="Times New Roman" w:hAnsi="Times New Roman" w:cs="Times New Roman"/>
          <w:color w:val="000000" w:themeColor="text1"/>
          <w:sz w:val="24"/>
          <w:szCs w:val="24"/>
          <w:lang w:val="en-GB"/>
        </w:rPr>
        <w:t xml:space="preserve"> However, r</w:t>
      </w:r>
      <w:r w:rsidRPr="002F72C4">
        <w:rPr>
          <w:rFonts w:ascii="Times New Roman" w:hAnsi="Times New Roman" w:cs="Times New Roman"/>
          <w:color w:val="000000" w:themeColor="text1"/>
          <w:sz w:val="24"/>
          <w:szCs w:val="24"/>
          <w:lang w:val="en-GB"/>
        </w:rPr>
        <w:t>ecall bias ma</w:t>
      </w:r>
      <w:r w:rsidR="00D61B64">
        <w:rPr>
          <w:rFonts w:ascii="Times New Roman" w:hAnsi="Times New Roman" w:cs="Times New Roman"/>
          <w:color w:val="000000" w:themeColor="text1"/>
          <w:sz w:val="24"/>
          <w:szCs w:val="24"/>
          <w:lang w:val="en-GB"/>
        </w:rPr>
        <w:t>y have affected the participant</w:t>
      </w:r>
      <w:r w:rsidRPr="002F72C4">
        <w:rPr>
          <w:rFonts w:ascii="Times New Roman" w:hAnsi="Times New Roman" w:cs="Times New Roman"/>
          <w:color w:val="000000" w:themeColor="text1"/>
          <w:sz w:val="24"/>
          <w:szCs w:val="24"/>
          <w:lang w:val="en-GB"/>
        </w:rPr>
        <w:t>s</w:t>
      </w:r>
      <w:r w:rsidR="00D61B64">
        <w:rPr>
          <w:rFonts w:ascii="Times New Roman" w:hAnsi="Times New Roman" w:cs="Times New Roman"/>
          <w:color w:val="000000" w:themeColor="text1"/>
          <w:sz w:val="24"/>
          <w:szCs w:val="24"/>
          <w:lang w:val="en-GB"/>
        </w:rPr>
        <w:t>’</w:t>
      </w:r>
      <w:r w:rsidRPr="002F72C4">
        <w:rPr>
          <w:rFonts w:ascii="Times New Roman" w:hAnsi="Times New Roman" w:cs="Times New Roman"/>
          <w:color w:val="000000" w:themeColor="text1"/>
          <w:sz w:val="24"/>
          <w:szCs w:val="24"/>
          <w:lang w:val="en-GB"/>
        </w:rPr>
        <w:t xml:space="preserve"> c</w:t>
      </w:r>
      <w:r w:rsidR="00436D40" w:rsidRPr="002F72C4">
        <w:rPr>
          <w:rFonts w:ascii="Times New Roman" w:hAnsi="Times New Roman" w:cs="Times New Roman"/>
          <w:color w:val="000000" w:themeColor="text1"/>
          <w:sz w:val="24"/>
          <w:szCs w:val="24"/>
          <w:lang w:val="en-GB"/>
        </w:rPr>
        <w:t xml:space="preserve">apacity to report physical symptoms </w:t>
      </w:r>
      <w:r w:rsidR="00D61B64">
        <w:rPr>
          <w:rFonts w:ascii="Times New Roman" w:hAnsi="Times New Roman" w:cs="Times New Roman"/>
          <w:color w:val="000000" w:themeColor="text1"/>
          <w:sz w:val="24"/>
          <w:szCs w:val="24"/>
          <w:lang w:val="en-GB"/>
        </w:rPr>
        <w:t xml:space="preserve">that they </w:t>
      </w:r>
      <w:r w:rsidR="00436D40" w:rsidRPr="002F72C4">
        <w:rPr>
          <w:rFonts w:ascii="Times New Roman" w:hAnsi="Times New Roman" w:cs="Times New Roman"/>
          <w:color w:val="000000" w:themeColor="text1"/>
          <w:sz w:val="24"/>
          <w:szCs w:val="24"/>
          <w:lang w:val="en-GB"/>
        </w:rPr>
        <w:t>experienced</w:t>
      </w:r>
      <w:r w:rsidR="00271CFC" w:rsidRPr="002F72C4">
        <w:rPr>
          <w:rFonts w:ascii="Times New Roman" w:hAnsi="Times New Roman" w:cs="Times New Roman"/>
          <w:color w:val="000000" w:themeColor="text1"/>
          <w:sz w:val="24"/>
          <w:szCs w:val="24"/>
          <w:lang w:val="en-GB"/>
        </w:rPr>
        <w:t>.</w:t>
      </w:r>
      <w:r w:rsidR="00436D40" w:rsidRPr="002F72C4">
        <w:rPr>
          <w:rFonts w:ascii="Times New Roman" w:hAnsi="Times New Roman" w:cs="Times New Roman"/>
          <w:color w:val="000000" w:themeColor="text1"/>
          <w:sz w:val="24"/>
          <w:szCs w:val="24"/>
          <w:lang w:val="en-GB"/>
        </w:rPr>
        <w:t xml:space="preserve"> </w:t>
      </w:r>
      <w:r w:rsidR="00D61B64">
        <w:rPr>
          <w:rFonts w:ascii="Times New Roman" w:hAnsi="Times New Roman" w:cs="Times New Roman"/>
          <w:color w:val="000000" w:themeColor="text1"/>
          <w:sz w:val="24"/>
          <w:szCs w:val="24"/>
          <w:lang w:val="en-GB"/>
        </w:rPr>
        <w:t>In addition, other f</w:t>
      </w:r>
      <w:r w:rsidRPr="002F72C4">
        <w:rPr>
          <w:rFonts w:ascii="Times New Roman" w:hAnsi="Times New Roman" w:cs="Times New Roman"/>
          <w:color w:val="000000" w:themeColor="text1"/>
          <w:sz w:val="24"/>
          <w:szCs w:val="24"/>
          <w:lang w:val="en-GB"/>
        </w:rPr>
        <w:t xml:space="preserve">actors </w:t>
      </w:r>
      <w:r w:rsidR="00D61B64">
        <w:rPr>
          <w:rFonts w:ascii="Times New Roman" w:hAnsi="Times New Roman" w:cs="Times New Roman"/>
          <w:color w:val="000000" w:themeColor="text1"/>
          <w:sz w:val="24"/>
          <w:szCs w:val="24"/>
          <w:lang w:val="en-GB"/>
        </w:rPr>
        <w:t>that may cause distress such as COVID</w:t>
      </w:r>
      <w:r w:rsidRPr="002F72C4">
        <w:rPr>
          <w:rFonts w:ascii="Times New Roman" w:hAnsi="Times New Roman" w:cs="Times New Roman"/>
          <w:color w:val="000000" w:themeColor="text1"/>
          <w:sz w:val="24"/>
          <w:szCs w:val="24"/>
          <w:lang w:val="en-GB"/>
        </w:rPr>
        <w:t xml:space="preserve"> -19 pandemic may have influenced </w:t>
      </w:r>
      <w:r w:rsidR="00AB6F9E" w:rsidRPr="002F72C4">
        <w:rPr>
          <w:rFonts w:ascii="Times New Roman" w:hAnsi="Times New Roman" w:cs="Times New Roman"/>
          <w:color w:val="000000" w:themeColor="text1"/>
          <w:sz w:val="24"/>
          <w:szCs w:val="24"/>
          <w:lang w:val="en-GB"/>
        </w:rPr>
        <w:t>patient’s</w:t>
      </w:r>
      <w:r w:rsidRPr="002F72C4">
        <w:rPr>
          <w:rFonts w:ascii="Times New Roman" w:hAnsi="Times New Roman" w:cs="Times New Roman"/>
          <w:color w:val="000000" w:themeColor="text1"/>
          <w:sz w:val="24"/>
          <w:szCs w:val="24"/>
          <w:lang w:val="en-GB"/>
        </w:rPr>
        <w:t xml:space="preserve"> perception of life resulting in low reporting.</w:t>
      </w:r>
      <w:r w:rsidR="00D61B64">
        <w:rPr>
          <w:rFonts w:ascii="Times New Roman" w:hAnsi="Times New Roman" w:cs="Times New Roman"/>
          <w:color w:val="000000" w:themeColor="text1"/>
          <w:sz w:val="24"/>
          <w:szCs w:val="24"/>
          <w:lang w:val="en-GB"/>
        </w:rPr>
        <w:t xml:space="preserve"> The study did not delineate the quality of life influenced by the renal transplantation and the </w:t>
      </w:r>
      <w:r w:rsidR="009D33EA">
        <w:rPr>
          <w:rFonts w:ascii="Times New Roman" w:hAnsi="Times New Roman" w:cs="Times New Roman"/>
          <w:color w:val="000000" w:themeColor="text1"/>
          <w:sz w:val="24"/>
          <w:szCs w:val="24"/>
          <w:lang w:val="en-GB"/>
        </w:rPr>
        <w:t>antirejection</w:t>
      </w:r>
      <w:r w:rsidR="00D61B64">
        <w:rPr>
          <w:rFonts w:ascii="Times New Roman" w:hAnsi="Times New Roman" w:cs="Times New Roman"/>
          <w:color w:val="000000" w:themeColor="text1"/>
          <w:sz w:val="24"/>
          <w:szCs w:val="24"/>
          <w:lang w:val="en-GB"/>
        </w:rPr>
        <w:t xml:space="preserve"> medication.</w:t>
      </w:r>
    </w:p>
    <w:p w14:paraId="12DDEF0D" w14:textId="77777777" w:rsidR="003165E5" w:rsidRPr="002F72C4" w:rsidRDefault="003165E5" w:rsidP="003165E5">
      <w:pPr>
        <w:pStyle w:val="Heading2"/>
        <w:rPr>
          <w:rFonts w:cs="Times New Roman"/>
          <w:b/>
          <w:color w:val="000000" w:themeColor="text1"/>
          <w:szCs w:val="24"/>
          <w:lang w:val="en-GB"/>
        </w:rPr>
      </w:pPr>
      <w:bookmarkStart w:id="60" w:name="_Toc86908080"/>
      <w:r w:rsidRPr="002F72C4">
        <w:rPr>
          <w:rFonts w:cs="Times New Roman"/>
          <w:b/>
          <w:color w:val="000000" w:themeColor="text1"/>
          <w:szCs w:val="24"/>
          <w:lang w:val="en-GB"/>
        </w:rPr>
        <w:t>Conclusions</w:t>
      </w:r>
      <w:bookmarkEnd w:id="60"/>
      <w:r w:rsidRPr="002F72C4">
        <w:rPr>
          <w:rFonts w:cs="Times New Roman"/>
          <w:b/>
          <w:color w:val="000000" w:themeColor="text1"/>
          <w:szCs w:val="24"/>
          <w:lang w:val="en-GB"/>
        </w:rPr>
        <w:t xml:space="preserve"> </w:t>
      </w:r>
    </w:p>
    <w:p w14:paraId="6728802A" w14:textId="2058E360" w:rsidR="003165E5" w:rsidRPr="002F72C4" w:rsidRDefault="003165E5" w:rsidP="003165E5">
      <w:pPr>
        <w:autoSpaceDE w:val="0"/>
        <w:autoSpaceDN w:val="0"/>
        <w:adjustRightInd w:val="0"/>
        <w:spacing w:after="0" w:line="400" w:lineRule="atLeast"/>
        <w:jc w:val="both"/>
        <w:rPr>
          <w:rFonts w:ascii="Times New Roman" w:hAnsi="Times New Roman" w:cs="Times New Roman"/>
          <w:color w:val="000000" w:themeColor="text1"/>
          <w:sz w:val="24"/>
          <w:szCs w:val="24"/>
          <w:lang w:val="en-GB"/>
        </w:rPr>
      </w:pPr>
      <w:r w:rsidRPr="002F72C4">
        <w:rPr>
          <w:rFonts w:ascii="Times New Roman" w:hAnsi="Times New Roman" w:cs="Times New Roman"/>
          <w:color w:val="000000" w:themeColor="text1"/>
          <w:sz w:val="24"/>
          <w:szCs w:val="24"/>
          <w:lang w:val="en-GB"/>
        </w:rPr>
        <w:t>HRQoL of kidne</w:t>
      </w:r>
      <w:r w:rsidR="00E67E2C" w:rsidRPr="002F72C4">
        <w:rPr>
          <w:rFonts w:ascii="Times New Roman" w:hAnsi="Times New Roman" w:cs="Times New Roman"/>
          <w:color w:val="000000" w:themeColor="text1"/>
          <w:sz w:val="24"/>
          <w:szCs w:val="24"/>
          <w:lang w:val="en-GB"/>
        </w:rPr>
        <w:t>y transplant patients was good among renal transplant recipients though f</w:t>
      </w:r>
      <w:r w:rsidRPr="002F72C4">
        <w:rPr>
          <w:rFonts w:ascii="Times New Roman" w:hAnsi="Times New Roman" w:cs="Times New Roman"/>
          <w:color w:val="000000" w:themeColor="text1"/>
          <w:sz w:val="24"/>
          <w:szCs w:val="24"/>
          <w:lang w:val="en-GB"/>
        </w:rPr>
        <w:t>ear and uncertain</w:t>
      </w:r>
      <w:r w:rsidR="00714312" w:rsidRPr="002F72C4">
        <w:rPr>
          <w:rFonts w:ascii="Times New Roman" w:hAnsi="Times New Roman" w:cs="Times New Roman"/>
          <w:color w:val="000000" w:themeColor="text1"/>
          <w:sz w:val="24"/>
          <w:szCs w:val="24"/>
          <w:lang w:val="en-GB"/>
        </w:rPr>
        <w:t>ty regarding graft survival was</w:t>
      </w:r>
      <w:r w:rsidR="00AB6F9E" w:rsidRPr="002F72C4">
        <w:rPr>
          <w:rFonts w:ascii="Times New Roman" w:hAnsi="Times New Roman" w:cs="Times New Roman"/>
          <w:color w:val="000000" w:themeColor="text1"/>
          <w:sz w:val="24"/>
          <w:szCs w:val="24"/>
          <w:lang w:val="en-GB"/>
        </w:rPr>
        <w:t xml:space="preserve"> </w:t>
      </w:r>
      <w:r w:rsidR="00D61B64">
        <w:rPr>
          <w:rFonts w:ascii="Times New Roman" w:hAnsi="Times New Roman" w:cs="Times New Roman"/>
          <w:color w:val="000000" w:themeColor="text1"/>
          <w:sz w:val="24"/>
          <w:szCs w:val="24"/>
          <w:lang w:val="en-GB"/>
        </w:rPr>
        <w:t>reported</w:t>
      </w:r>
      <w:r w:rsidRPr="002F72C4">
        <w:rPr>
          <w:rFonts w:ascii="Times New Roman" w:hAnsi="Times New Roman" w:cs="Times New Roman"/>
          <w:color w:val="000000" w:themeColor="text1"/>
          <w:sz w:val="24"/>
          <w:szCs w:val="24"/>
          <w:lang w:val="en-GB"/>
        </w:rPr>
        <w:t xml:space="preserve">. </w:t>
      </w:r>
      <w:r w:rsidR="00E67E2C" w:rsidRPr="002F72C4">
        <w:rPr>
          <w:rFonts w:ascii="Times New Roman" w:hAnsi="Times New Roman" w:cs="Times New Roman"/>
          <w:color w:val="000000" w:themeColor="text1"/>
          <w:sz w:val="24"/>
          <w:szCs w:val="24"/>
          <w:lang w:val="en-GB"/>
        </w:rPr>
        <w:t>S</w:t>
      </w:r>
      <w:r w:rsidRPr="002F72C4">
        <w:rPr>
          <w:rFonts w:ascii="Times New Roman" w:hAnsi="Times New Roman" w:cs="Times New Roman"/>
          <w:color w:val="000000" w:themeColor="text1"/>
          <w:sz w:val="24"/>
          <w:szCs w:val="24"/>
          <w:lang w:val="en-GB"/>
        </w:rPr>
        <w:t>trategies such as counselling and psychological care</w:t>
      </w:r>
      <w:r w:rsidR="00E67E2C" w:rsidRPr="002F72C4">
        <w:rPr>
          <w:rFonts w:ascii="Times New Roman" w:hAnsi="Times New Roman" w:cs="Times New Roman"/>
          <w:color w:val="000000" w:themeColor="text1"/>
          <w:sz w:val="24"/>
          <w:szCs w:val="24"/>
          <w:lang w:val="en-GB"/>
        </w:rPr>
        <w:t xml:space="preserve"> should be instituted</w:t>
      </w:r>
      <w:r w:rsidRPr="002F72C4">
        <w:rPr>
          <w:rFonts w:ascii="Times New Roman" w:hAnsi="Times New Roman" w:cs="Times New Roman"/>
          <w:color w:val="000000" w:themeColor="text1"/>
          <w:sz w:val="24"/>
          <w:szCs w:val="24"/>
          <w:lang w:val="en-GB"/>
        </w:rPr>
        <w:t xml:space="preserve"> before and after transplantation to help kidney transplant patients cope with life</w:t>
      </w:r>
      <w:r w:rsidR="00580E56" w:rsidRPr="002F72C4">
        <w:rPr>
          <w:rFonts w:ascii="Times New Roman" w:hAnsi="Times New Roman" w:cs="Times New Roman"/>
          <w:color w:val="000000" w:themeColor="text1"/>
          <w:sz w:val="24"/>
          <w:szCs w:val="24"/>
          <w:lang w:val="en-GB"/>
        </w:rPr>
        <w:t xml:space="preserve"> post transplantation</w:t>
      </w:r>
      <w:r w:rsidR="00CA71A6" w:rsidRPr="002F72C4">
        <w:rPr>
          <w:rFonts w:ascii="Times New Roman" w:hAnsi="Times New Roman" w:cs="Times New Roman"/>
          <w:color w:val="000000" w:themeColor="text1"/>
          <w:sz w:val="24"/>
          <w:szCs w:val="24"/>
          <w:lang w:val="en-GB"/>
        </w:rPr>
        <w:t>.</w:t>
      </w:r>
      <w:r w:rsidR="00E67E2C" w:rsidRPr="002F72C4">
        <w:rPr>
          <w:rFonts w:ascii="Times New Roman" w:hAnsi="Times New Roman" w:cs="Times New Roman"/>
          <w:color w:val="000000" w:themeColor="text1"/>
          <w:sz w:val="24"/>
          <w:szCs w:val="24"/>
          <w:lang w:val="en-GB"/>
        </w:rPr>
        <w:t xml:space="preserve"> </w:t>
      </w:r>
      <w:r w:rsidR="00442938">
        <w:rPr>
          <w:rFonts w:ascii="Times New Roman" w:hAnsi="Times New Roman" w:cs="Times New Roman"/>
          <w:color w:val="000000" w:themeColor="text1"/>
          <w:sz w:val="24"/>
          <w:szCs w:val="24"/>
          <w:lang w:val="en-GB"/>
        </w:rPr>
        <w:t xml:space="preserve">This would </w:t>
      </w:r>
      <w:r w:rsidR="004D405C">
        <w:rPr>
          <w:rFonts w:ascii="Times New Roman" w:hAnsi="Times New Roman" w:cs="Times New Roman"/>
          <w:color w:val="000000" w:themeColor="text1"/>
          <w:sz w:val="24"/>
          <w:szCs w:val="24"/>
          <w:lang w:val="en-GB"/>
        </w:rPr>
        <w:t xml:space="preserve">also </w:t>
      </w:r>
      <w:r w:rsidR="004D405C" w:rsidRPr="002F72C4">
        <w:rPr>
          <w:rFonts w:ascii="Times New Roman" w:hAnsi="Times New Roman" w:cs="Times New Roman"/>
          <w:color w:val="000000" w:themeColor="text1"/>
          <w:sz w:val="24"/>
          <w:szCs w:val="24"/>
          <w:lang w:val="en-GB"/>
        </w:rPr>
        <w:t>improve</w:t>
      </w:r>
      <w:r w:rsidR="00442938" w:rsidRPr="002F72C4">
        <w:rPr>
          <w:rFonts w:ascii="Times New Roman" w:hAnsi="Times New Roman" w:cs="Times New Roman"/>
          <w:color w:val="000000" w:themeColor="text1"/>
          <w:sz w:val="24"/>
          <w:szCs w:val="24"/>
          <w:lang w:val="en-GB"/>
        </w:rPr>
        <w:t xml:space="preserve"> the practice of management </w:t>
      </w:r>
      <w:r w:rsidR="00442938">
        <w:rPr>
          <w:rFonts w:ascii="Times New Roman" w:hAnsi="Times New Roman" w:cs="Times New Roman"/>
          <w:color w:val="000000" w:themeColor="text1"/>
          <w:sz w:val="24"/>
          <w:szCs w:val="24"/>
          <w:lang w:val="en-GB"/>
        </w:rPr>
        <w:t xml:space="preserve">of renal transplant </w:t>
      </w:r>
      <w:r w:rsidR="009D33EA">
        <w:rPr>
          <w:rFonts w:ascii="Times New Roman" w:hAnsi="Times New Roman" w:cs="Times New Roman"/>
          <w:color w:val="000000" w:themeColor="text1"/>
          <w:sz w:val="24"/>
          <w:szCs w:val="24"/>
          <w:lang w:val="en-GB"/>
        </w:rPr>
        <w:t>recipients. Future</w:t>
      </w:r>
      <w:r w:rsidR="00D61B64">
        <w:rPr>
          <w:rFonts w:ascii="Times New Roman" w:hAnsi="Times New Roman" w:cs="Times New Roman"/>
          <w:color w:val="000000" w:themeColor="text1"/>
          <w:sz w:val="24"/>
          <w:szCs w:val="24"/>
          <w:lang w:val="en-GB"/>
        </w:rPr>
        <w:t xml:space="preserve"> studies should focus </w:t>
      </w:r>
      <w:r w:rsidR="009D33EA">
        <w:rPr>
          <w:rFonts w:ascii="Times New Roman" w:hAnsi="Times New Roman" w:cs="Times New Roman"/>
          <w:color w:val="000000" w:themeColor="text1"/>
          <w:sz w:val="24"/>
          <w:szCs w:val="24"/>
          <w:lang w:val="en-GB"/>
        </w:rPr>
        <w:t xml:space="preserve">on </w:t>
      </w:r>
      <w:r w:rsidR="009D33EA" w:rsidRPr="002F72C4">
        <w:rPr>
          <w:rFonts w:ascii="Times New Roman" w:hAnsi="Times New Roman" w:cs="Times New Roman"/>
          <w:color w:val="000000" w:themeColor="text1"/>
          <w:sz w:val="24"/>
          <w:szCs w:val="24"/>
          <w:lang w:val="en-GB"/>
        </w:rPr>
        <w:t>pre</w:t>
      </w:r>
      <w:r w:rsidR="007E11CC" w:rsidRPr="002F72C4">
        <w:rPr>
          <w:rFonts w:ascii="Times New Roman" w:hAnsi="Times New Roman" w:cs="Times New Roman"/>
          <w:color w:val="000000" w:themeColor="text1"/>
          <w:sz w:val="24"/>
          <w:szCs w:val="24"/>
          <w:lang w:val="en-GB"/>
        </w:rPr>
        <w:t>-post</w:t>
      </w:r>
      <w:r w:rsidRPr="002F72C4">
        <w:rPr>
          <w:rFonts w:ascii="Times New Roman" w:hAnsi="Times New Roman" w:cs="Times New Roman"/>
          <w:color w:val="000000" w:themeColor="text1"/>
          <w:sz w:val="24"/>
          <w:szCs w:val="24"/>
          <w:lang w:val="en-GB"/>
        </w:rPr>
        <w:t xml:space="preserve"> </w:t>
      </w:r>
      <w:r w:rsidR="00D61B64">
        <w:rPr>
          <w:rFonts w:ascii="Times New Roman" w:hAnsi="Times New Roman" w:cs="Times New Roman"/>
          <w:color w:val="000000" w:themeColor="text1"/>
          <w:sz w:val="24"/>
          <w:szCs w:val="24"/>
          <w:lang w:val="en-GB"/>
        </w:rPr>
        <w:t>analysis</w:t>
      </w:r>
      <w:r w:rsidRPr="002F72C4">
        <w:rPr>
          <w:rFonts w:ascii="Times New Roman" w:hAnsi="Times New Roman" w:cs="Times New Roman"/>
          <w:color w:val="000000" w:themeColor="text1"/>
          <w:sz w:val="24"/>
          <w:szCs w:val="24"/>
          <w:lang w:val="en-GB"/>
        </w:rPr>
        <w:t xml:space="preserve"> comparing </w:t>
      </w:r>
      <w:r w:rsidR="00A10CB0" w:rsidRPr="002F72C4">
        <w:rPr>
          <w:rFonts w:ascii="Times New Roman" w:hAnsi="Times New Roman" w:cs="Times New Roman"/>
          <w:color w:val="000000" w:themeColor="text1"/>
          <w:sz w:val="24"/>
          <w:szCs w:val="24"/>
          <w:lang w:val="en-GB"/>
        </w:rPr>
        <w:t xml:space="preserve">the </w:t>
      </w:r>
      <w:r w:rsidRPr="002F72C4">
        <w:rPr>
          <w:rFonts w:ascii="Times New Roman" w:hAnsi="Times New Roman" w:cs="Times New Roman"/>
          <w:color w:val="000000" w:themeColor="text1"/>
          <w:sz w:val="24"/>
          <w:szCs w:val="24"/>
          <w:lang w:val="en-GB"/>
        </w:rPr>
        <w:t>mean score</w:t>
      </w:r>
      <w:r w:rsidR="00D61B64">
        <w:rPr>
          <w:rFonts w:ascii="Times New Roman" w:hAnsi="Times New Roman" w:cs="Times New Roman"/>
          <w:color w:val="000000" w:themeColor="text1"/>
          <w:sz w:val="24"/>
          <w:szCs w:val="24"/>
          <w:lang w:val="en-GB"/>
        </w:rPr>
        <w:t>s</w:t>
      </w:r>
      <w:r w:rsidRPr="002F72C4">
        <w:rPr>
          <w:rFonts w:ascii="Times New Roman" w:hAnsi="Times New Roman" w:cs="Times New Roman"/>
          <w:color w:val="000000" w:themeColor="text1"/>
          <w:sz w:val="24"/>
          <w:szCs w:val="24"/>
          <w:lang w:val="en-GB"/>
        </w:rPr>
        <w:t xml:space="preserve"> of quality of life domains before and after renal transplantation to </w:t>
      </w:r>
      <w:r w:rsidR="00D61B64" w:rsidRPr="002F72C4">
        <w:rPr>
          <w:rFonts w:ascii="Times New Roman" w:hAnsi="Times New Roman" w:cs="Times New Roman"/>
          <w:color w:val="000000" w:themeColor="text1"/>
          <w:sz w:val="24"/>
          <w:szCs w:val="24"/>
          <w:lang w:val="en-GB"/>
        </w:rPr>
        <w:t>establish</w:t>
      </w:r>
      <w:r w:rsidRPr="002F72C4">
        <w:rPr>
          <w:rFonts w:ascii="Times New Roman" w:hAnsi="Times New Roman" w:cs="Times New Roman"/>
          <w:color w:val="000000" w:themeColor="text1"/>
          <w:sz w:val="24"/>
          <w:szCs w:val="24"/>
          <w:lang w:val="en-GB"/>
        </w:rPr>
        <w:t xml:space="preserve"> the impact of transplantation on HRQoL sco</w:t>
      </w:r>
      <w:r w:rsidR="00765DC7" w:rsidRPr="002F72C4">
        <w:rPr>
          <w:rFonts w:ascii="Times New Roman" w:hAnsi="Times New Roman" w:cs="Times New Roman"/>
          <w:color w:val="000000" w:themeColor="text1"/>
          <w:sz w:val="24"/>
          <w:szCs w:val="24"/>
          <w:lang w:val="en-GB"/>
        </w:rPr>
        <w:t>res</w:t>
      </w:r>
      <w:r w:rsidR="00442938">
        <w:rPr>
          <w:rFonts w:ascii="Times New Roman" w:hAnsi="Times New Roman" w:cs="Times New Roman"/>
          <w:color w:val="000000" w:themeColor="text1"/>
          <w:sz w:val="24"/>
          <w:szCs w:val="24"/>
          <w:lang w:val="en-GB"/>
        </w:rPr>
        <w:t>.</w:t>
      </w:r>
      <w:r w:rsidR="00765DC7" w:rsidRPr="002F72C4">
        <w:rPr>
          <w:rFonts w:ascii="Times New Roman" w:hAnsi="Times New Roman" w:cs="Times New Roman"/>
          <w:color w:val="000000" w:themeColor="text1"/>
          <w:sz w:val="24"/>
          <w:szCs w:val="24"/>
          <w:lang w:val="en-GB"/>
        </w:rPr>
        <w:t xml:space="preserve"> </w:t>
      </w:r>
    </w:p>
    <w:p w14:paraId="31B7D4C0" w14:textId="0758E983" w:rsidR="0059366F" w:rsidRPr="002F72C4" w:rsidRDefault="0059366F" w:rsidP="0059366F">
      <w:pPr>
        <w:pStyle w:val="Heading2"/>
        <w:rPr>
          <w:rFonts w:cs="Times New Roman"/>
          <w:b/>
          <w:color w:val="000000" w:themeColor="text1"/>
          <w:szCs w:val="24"/>
        </w:rPr>
      </w:pPr>
      <w:r w:rsidRPr="002F72C4">
        <w:rPr>
          <w:rFonts w:cs="Times New Roman"/>
          <w:b/>
          <w:color w:val="000000" w:themeColor="text1"/>
          <w:szCs w:val="24"/>
        </w:rPr>
        <w:t>Abbreviations</w:t>
      </w:r>
    </w:p>
    <w:p w14:paraId="74699473" w14:textId="77777777" w:rsidR="0059366F" w:rsidRPr="002F72C4" w:rsidRDefault="00E23A79" w:rsidP="0008200B">
      <w:pPr>
        <w:spacing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CKD:</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Chronic kidney disease</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0008200B" w:rsidRPr="002F72C4">
        <w:rPr>
          <w:rFonts w:ascii="Times New Roman" w:hAnsi="Times New Roman" w:cs="Times New Roman"/>
          <w:color w:val="000000" w:themeColor="text1"/>
          <w:sz w:val="24"/>
          <w:szCs w:val="24"/>
        </w:rPr>
        <w:t>ESRD;</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End stage renal disease</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bCs/>
          <w:color w:val="000000" w:themeColor="text1"/>
          <w:sz w:val="24"/>
          <w:szCs w:val="24"/>
        </w:rPr>
        <w:t>ESRD-SCL</w:t>
      </w:r>
      <w:r w:rsidR="0008200B" w:rsidRPr="002F72C4">
        <w:rPr>
          <w:rFonts w:ascii="Times New Roman" w:hAnsi="Times New Roman" w:cs="Times New Roman"/>
          <w:bCs/>
          <w:color w:val="000000" w:themeColor="text1"/>
          <w:sz w:val="24"/>
          <w:szCs w:val="24"/>
        </w:rPr>
        <w:t>:</w:t>
      </w:r>
      <w:r w:rsidR="0048402E" w:rsidRPr="002F72C4">
        <w:rPr>
          <w:rFonts w:ascii="Times New Roman" w:hAnsi="Times New Roman" w:cs="Times New Roman"/>
          <w:bCs/>
          <w:color w:val="000000" w:themeColor="text1"/>
          <w:sz w:val="24"/>
          <w:szCs w:val="24"/>
        </w:rPr>
        <w:t xml:space="preserve"> </w:t>
      </w:r>
      <w:r w:rsidRPr="002F72C4">
        <w:rPr>
          <w:rFonts w:ascii="Times New Roman" w:hAnsi="Times New Roman" w:cs="Times New Roman"/>
          <w:color w:val="000000" w:themeColor="text1"/>
          <w:sz w:val="24"/>
          <w:szCs w:val="24"/>
          <w:shd w:val="clear" w:color="auto" w:fill="FFFFFF"/>
        </w:rPr>
        <w:t>End-Stage Renal Disease Symptom Checklist</w:t>
      </w:r>
      <w:r w:rsidR="0008200B" w:rsidRPr="002F72C4">
        <w:rPr>
          <w:rFonts w:ascii="Times New Roman" w:hAnsi="Times New Roman" w:cs="Times New Roman"/>
          <w:color w:val="000000" w:themeColor="text1"/>
          <w:sz w:val="24"/>
          <w:szCs w:val="24"/>
          <w:shd w:val="clear" w:color="auto" w:fill="FFFFFF"/>
        </w:rPr>
        <w:t>;</w:t>
      </w:r>
      <w:r w:rsidR="0048402E" w:rsidRPr="002F72C4">
        <w:rPr>
          <w:rFonts w:ascii="Times New Roman" w:hAnsi="Times New Roman" w:cs="Times New Roman"/>
          <w:color w:val="000000" w:themeColor="text1"/>
          <w:sz w:val="24"/>
          <w:szCs w:val="24"/>
          <w:shd w:val="clear" w:color="auto" w:fill="FFFFFF"/>
        </w:rPr>
        <w:t xml:space="preserve"> </w:t>
      </w:r>
      <w:r w:rsidRPr="002F72C4">
        <w:rPr>
          <w:rFonts w:ascii="Times New Roman" w:hAnsi="Times New Roman" w:cs="Times New Roman"/>
          <w:bCs/>
          <w:color w:val="000000" w:themeColor="text1"/>
          <w:sz w:val="24"/>
          <w:szCs w:val="24"/>
        </w:rPr>
        <w:t xml:space="preserve">GI </w:t>
      </w:r>
      <w:r w:rsidR="0008200B" w:rsidRPr="002F72C4">
        <w:rPr>
          <w:rFonts w:ascii="Times New Roman" w:hAnsi="Times New Roman" w:cs="Times New Roman"/>
          <w:bCs/>
          <w:color w:val="000000" w:themeColor="text1"/>
          <w:sz w:val="24"/>
          <w:szCs w:val="24"/>
        </w:rPr>
        <w:t>:</w:t>
      </w:r>
      <w:r w:rsidRPr="002F72C4">
        <w:rPr>
          <w:rFonts w:ascii="Times New Roman" w:hAnsi="Times New Roman" w:cs="Times New Roman"/>
          <w:bCs/>
          <w:color w:val="000000" w:themeColor="text1"/>
          <w:sz w:val="24"/>
          <w:szCs w:val="24"/>
        </w:rPr>
        <w:t>Gastrointestinal</w:t>
      </w:r>
      <w:r w:rsidR="0008200B" w:rsidRPr="002F72C4">
        <w:rPr>
          <w:rFonts w:ascii="Times New Roman" w:hAnsi="Times New Roman" w:cs="Times New Roman"/>
          <w:bCs/>
          <w:color w:val="000000" w:themeColor="text1"/>
          <w:sz w:val="24"/>
          <w:szCs w:val="24"/>
        </w:rPr>
        <w:t>;</w:t>
      </w:r>
      <w:r w:rsidR="0048402E" w:rsidRPr="002F72C4">
        <w:rPr>
          <w:rFonts w:ascii="Times New Roman" w:hAnsi="Times New Roman" w:cs="Times New Roman"/>
          <w:bCs/>
          <w:color w:val="000000" w:themeColor="text1"/>
          <w:sz w:val="24"/>
          <w:szCs w:val="24"/>
        </w:rPr>
        <w:t xml:space="preserve"> </w:t>
      </w:r>
      <w:r w:rsidRPr="002F72C4">
        <w:rPr>
          <w:rFonts w:ascii="Times New Roman" w:hAnsi="Times New Roman" w:cs="Times New Roman"/>
          <w:color w:val="000000" w:themeColor="text1"/>
          <w:sz w:val="24"/>
          <w:szCs w:val="24"/>
        </w:rPr>
        <w:t xml:space="preserve">GODT </w:t>
      </w:r>
      <w:r w:rsidR="0008200B" w:rsidRPr="002F72C4">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Global Observatory on Donation and Transplantation</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 xml:space="preserve">HRQoL </w:t>
      </w:r>
      <w:r w:rsidR="0008200B" w:rsidRPr="002F72C4">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Health related quality of life </w:t>
      </w:r>
      <w:r w:rsidR="0008200B" w:rsidRPr="002F72C4">
        <w:rPr>
          <w:rFonts w:ascii="Times New Roman" w:hAnsi="Times New Roman" w:cs="Times New Roman"/>
          <w:color w:val="000000" w:themeColor="text1"/>
          <w:sz w:val="24"/>
          <w:szCs w:val="24"/>
        </w:rPr>
        <w:t>;</w:t>
      </w:r>
      <w:r w:rsidRPr="002F72C4">
        <w:rPr>
          <w:rStyle w:val="normaltextrun"/>
          <w:rFonts w:ascii="Times New Roman" w:hAnsi="Times New Roman" w:cs="Times New Roman"/>
          <w:bCs/>
          <w:color w:val="000000" w:themeColor="text1"/>
          <w:sz w:val="24"/>
          <w:szCs w:val="24"/>
        </w:rPr>
        <w:t>KDQOL</w:t>
      </w:r>
      <w:r w:rsidR="0008200B" w:rsidRPr="002F72C4">
        <w:rPr>
          <w:rStyle w:val="normaltextrun"/>
          <w:rFonts w:ascii="Times New Roman" w:hAnsi="Times New Roman" w:cs="Times New Roman"/>
          <w:bCs/>
          <w:color w:val="000000" w:themeColor="text1"/>
          <w:sz w:val="24"/>
          <w:szCs w:val="24"/>
        </w:rPr>
        <w:t xml:space="preserve">: </w:t>
      </w:r>
      <w:r w:rsidRPr="002F72C4">
        <w:rPr>
          <w:rStyle w:val="normaltextrun"/>
          <w:rFonts w:ascii="Times New Roman" w:hAnsi="Times New Roman" w:cs="Times New Roman"/>
          <w:bCs/>
          <w:color w:val="000000" w:themeColor="text1"/>
          <w:sz w:val="24"/>
          <w:szCs w:val="24"/>
        </w:rPr>
        <w:t>Kidney Disease-Quality of Life</w:t>
      </w:r>
      <w:r w:rsidR="0008200B" w:rsidRPr="002F72C4">
        <w:rPr>
          <w:rStyle w:val="normaltextrun"/>
          <w:rFonts w:ascii="Times New Roman" w:hAnsi="Times New Roman" w:cs="Times New Roman"/>
          <w:bCs/>
          <w:color w:val="000000" w:themeColor="text1"/>
          <w:sz w:val="24"/>
          <w:szCs w:val="24"/>
        </w:rPr>
        <w:t>;</w:t>
      </w:r>
      <w:r w:rsidRPr="002F72C4">
        <w:rPr>
          <w:rFonts w:ascii="Times New Roman" w:hAnsi="Times New Roman" w:cs="Times New Roman"/>
          <w:color w:val="000000" w:themeColor="text1"/>
          <w:sz w:val="24"/>
          <w:szCs w:val="24"/>
        </w:rPr>
        <w:t>KTQ-25</w:t>
      </w:r>
      <w:r w:rsidR="0008200B"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Kidney transplant questionnaire-25</w:t>
      </w:r>
      <w:r w:rsidR="0008200B" w:rsidRPr="002F72C4">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KNH </w:t>
      </w:r>
      <w:r w:rsidR="0008200B" w:rsidRPr="002F72C4">
        <w:rPr>
          <w:rFonts w:ascii="Times New Roman" w:hAnsi="Times New Roman" w:cs="Times New Roman"/>
          <w:color w:val="000000" w:themeColor="text1"/>
          <w:sz w:val="24"/>
          <w:szCs w:val="24"/>
        </w:rPr>
        <w:t>:</w:t>
      </w:r>
      <w:r w:rsidRPr="002F72C4">
        <w:rPr>
          <w:rFonts w:ascii="Times New Roman" w:hAnsi="Times New Roman" w:cs="Times New Roman"/>
          <w:color w:val="000000" w:themeColor="text1"/>
          <w:sz w:val="24"/>
          <w:szCs w:val="24"/>
        </w:rPr>
        <w:t xml:space="preserve">Kenyatta </w:t>
      </w:r>
      <w:r w:rsidRPr="002F72C4">
        <w:rPr>
          <w:rFonts w:ascii="Times New Roman" w:hAnsi="Times New Roman" w:cs="Times New Roman"/>
          <w:color w:val="000000" w:themeColor="text1"/>
          <w:sz w:val="24"/>
          <w:szCs w:val="24"/>
        </w:rPr>
        <w:lastRenderedPageBreak/>
        <w:t>National Hospital</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KNH UON-ERC</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Kenyatta National Hospital -Univers</w:t>
      </w:r>
      <w:r w:rsidR="0008200B" w:rsidRPr="002F72C4">
        <w:rPr>
          <w:rFonts w:ascii="Times New Roman" w:hAnsi="Times New Roman" w:cs="Times New Roman"/>
          <w:color w:val="000000" w:themeColor="text1"/>
          <w:sz w:val="24"/>
          <w:szCs w:val="24"/>
        </w:rPr>
        <w:t xml:space="preserve">ity of Nairobi, Ethics Research </w:t>
      </w:r>
      <w:r w:rsidRPr="002F72C4">
        <w:rPr>
          <w:rFonts w:ascii="Times New Roman" w:hAnsi="Times New Roman" w:cs="Times New Roman"/>
          <w:color w:val="000000" w:themeColor="text1"/>
          <w:sz w:val="24"/>
          <w:szCs w:val="24"/>
        </w:rPr>
        <w:t>Commission</w:t>
      </w:r>
      <w:r w:rsidR="0008200B" w:rsidRPr="002F72C4">
        <w:rPr>
          <w:rFonts w:ascii="Times New Roman" w:hAnsi="Times New Roman" w:cs="Times New Roman"/>
          <w:color w:val="000000" w:themeColor="text1"/>
          <w:sz w:val="24"/>
          <w:szCs w:val="24"/>
        </w:rPr>
        <w:t>;</w:t>
      </w:r>
      <w:r w:rsidR="00F3023A" w:rsidRPr="002F72C4">
        <w:rPr>
          <w:rFonts w:ascii="Times New Roman" w:hAnsi="Times New Roman" w:cs="Times New Roman"/>
          <w:color w:val="000000" w:themeColor="text1"/>
          <w:sz w:val="24"/>
          <w:szCs w:val="24"/>
        </w:rPr>
        <w:t xml:space="preserve"> </w:t>
      </w:r>
      <w:r w:rsidR="0048402E" w:rsidRPr="002F72C4">
        <w:rPr>
          <w:rFonts w:ascii="Times New Roman" w:hAnsi="Times New Roman" w:cs="Times New Roman"/>
          <w:color w:val="000000" w:themeColor="text1"/>
          <w:sz w:val="24"/>
          <w:szCs w:val="24"/>
        </w:rPr>
        <w:t>IS: Immunosuppressant</w:t>
      </w:r>
      <w:r w:rsidR="0008200B" w:rsidRPr="002F72C4">
        <w:rPr>
          <w:rFonts w:ascii="Times New Roman" w:hAnsi="Times New Roman" w:cs="Times New Roman"/>
          <w:color w:val="000000" w:themeColor="text1"/>
          <w:sz w:val="24"/>
          <w:szCs w:val="24"/>
        </w:rPr>
        <w:t>;</w:t>
      </w:r>
      <w:r w:rsidR="00F3023A"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MPA</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0008200B" w:rsidRPr="002F72C4">
        <w:rPr>
          <w:rFonts w:ascii="Times New Roman" w:hAnsi="Times New Roman" w:cs="Times New Roman"/>
          <w:color w:val="000000" w:themeColor="text1"/>
          <w:sz w:val="24"/>
          <w:szCs w:val="24"/>
        </w:rPr>
        <w:t xml:space="preserve">Mycophenolic </w:t>
      </w:r>
      <w:r w:rsidRPr="002F72C4">
        <w:rPr>
          <w:rFonts w:ascii="Times New Roman" w:hAnsi="Times New Roman" w:cs="Times New Roman"/>
          <w:color w:val="000000" w:themeColor="text1"/>
          <w:sz w:val="24"/>
          <w:szCs w:val="24"/>
        </w:rPr>
        <w:t>Acid</w:t>
      </w:r>
      <w:r w:rsidR="0008200B" w:rsidRPr="002F72C4">
        <w:rPr>
          <w:rFonts w:ascii="Times New Roman" w:hAnsi="Times New Roman" w:cs="Times New Roman"/>
          <w:color w:val="000000" w:themeColor="text1"/>
          <w:sz w:val="24"/>
          <w:szCs w:val="24"/>
        </w:rPr>
        <w:t>;</w:t>
      </w:r>
      <w:r w:rsidR="00F3023A"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bCs/>
          <w:color w:val="000000" w:themeColor="text1"/>
          <w:sz w:val="24"/>
          <w:szCs w:val="24"/>
        </w:rPr>
        <w:t>NHP</w:t>
      </w:r>
      <w:r w:rsidR="0008200B" w:rsidRPr="002F72C4">
        <w:rPr>
          <w:rFonts w:ascii="Times New Roman" w:hAnsi="Times New Roman" w:cs="Times New Roman"/>
          <w:bCs/>
          <w:color w:val="000000" w:themeColor="text1"/>
          <w:sz w:val="24"/>
          <w:szCs w:val="24"/>
        </w:rPr>
        <w:t xml:space="preserve">: </w:t>
      </w:r>
      <w:r w:rsidR="00F3023A" w:rsidRPr="002F72C4">
        <w:rPr>
          <w:rFonts w:ascii="Times New Roman" w:hAnsi="Times New Roman" w:cs="Times New Roman"/>
          <w:bCs/>
          <w:color w:val="000000" w:themeColor="text1"/>
          <w:sz w:val="24"/>
          <w:szCs w:val="24"/>
        </w:rPr>
        <w:t>Nottingham Health Profile</w:t>
      </w:r>
      <w:r w:rsidR="0008200B" w:rsidRPr="002F72C4">
        <w:rPr>
          <w:rFonts w:ascii="Times New Roman" w:hAnsi="Times New Roman" w:cs="Times New Roman"/>
          <w:bCs/>
          <w:color w:val="000000" w:themeColor="text1"/>
          <w:sz w:val="24"/>
          <w:szCs w:val="24"/>
        </w:rPr>
        <w:t>;</w:t>
      </w:r>
      <w:r w:rsidR="0008200B" w:rsidRPr="002F72C4">
        <w:rPr>
          <w:rFonts w:ascii="Times New Roman" w:hAnsi="Times New Roman" w:cs="Times New Roman"/>
          <w:color w:val="000000" w:themeColor="text1"/>
          <w:sz w:val="24"/>
          <w:szCs w:val="24"/>
        </w:rPr>
        <w:t>SF-36:</w:t>
      </w:r>
      <w:r w:rsidRPr="002F72C4">
        <w:rPr>
          <w:rFonts w:ascii="Times New Roman" w:hAnsi="Times New Roman" w:cs="Times New Roman"/>
          <w:color w:val="000000" w:themeColor="text1"/>
          <w:sz w:val="24"/>
          <w:szCs w:val="24"/>
        </w:rPr>
        <w:t>36-</w:t>
      </w:r>
      <w:r w:rsidRPr="002F72C4">
        <w:rPr>
          <w:rFonts w:ascii="Times New Roman" w:hAnsi="Times New Roman" w:cs="Times New Roman"/>
          <w:color w:val="000000" w:themeColor="text1"/>
          <w:sz w:val="24"/>
          <w:szCs w:val="24"/>
          <w:shd w:val="clear" w:color="auto" w:fill="FFFFFF"/>
        </w:rPr>
        <w:t>Item Short Form Health Survey</w:t>
      </w:r>
      <w:r w:rsidR="0008200B" w:rsidRPr="002F72C4">
        <w:rPr>
          <w:rFonts w:ascii="Times New Roman" w:hAnsi="Times New Roman" w:cs="Times New Roman"/>
          <w:color w:val="000000" w:themeColor="text1"/>
          <w:sz w:val="24"/>
          <w:szCs w:val="24"/>
          <w:shd w:val="clear" w:color="auto" w:fill="FFFFFF"/>
        </w:rPr>
        <w:t>;</w:t>
      </w:r>
      <w:r w:rsidR="0048402E" w:rsidRPr="002F72C4">
        <w:rPr>
          <w:rFonts w:ascii="Times New Roman" w:hAnsi="Times New Roman" w:cs="Times New Roman"/>
          <w:color w:val="000000" w:themeColor="text1"/>
          <w:sz w:val="24"/>
          <w:szCs w:val="24"/>
          <w:shd w:val="clear" w:color="auto" w:fill="FFFFFF"/>
        </w:rPr>
        <w:t xml:space="preserve"> </w:t>
      </w:r>
      <w:r w:rsidRPr="002F72C4">
        <w:rPr>
          <w:rFonts w:ascii="Times New Roman" w:hAnsi="Times New Roman" w:cs="Times New Roman"/>
          <w:color w:val="000000" w:themeColor="text1"/>
          <w:sz w:val="24"/>
          <w:szCs w:val="24"/>
        </w:rPr>
        <w:t>RT</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Renal transplantation</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RTR</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Renal transplant recipients</w:t>
      </w:r>
      <w:r w:rsidR="0008200B" w:rsidRPr="002F72C4">
        <w:rPr>
          <w:rFonts w:ascii="Times New Roman" w:hAnsi="Times New Roman" w:cs="Times New Roman"/>
          <w:color w:val="000000" w:themeColor="text1"/>
          <w:sz w:val="24"/>
          <w:szCs w:val="24"/>
        </w:rPr>
        <w:t>;</w:t>
      </w:r>
      <w:r w:rsidR="0048402E" w:rsidRPr="002F72C4">
        <w:rPr>
          <w:rFonts w:ascii="Times New Roman" w:hAnsi="Times New Roman" w:cs="Times New Roman"/>
          <w:color w:val="000000" w:themeColor="text1"/>
          <w:sz w:val="24"/>
          <w:szCs w:val="24"/>
        </w:rPr>
        <w:t xml:space="preserve"> </w:t>
      </w:r>
      <w:r w:rsidR="00A40428" w:rsidRPr="002F72C4">
        <w:rPr>
          <w:rFonts w:ascii="Times New Roman" w:hAnsi="Times New Roman" w:cs="Times New Roman"/>
          <w:bCs/>
          <w:color w:val="000000" w:themeColor="text1"/>
          <w:sz w:val="24"/>
          <w:szCs w:val="24"/>
        </w:rPr>
        <w:t>PGWB</w:t>
      </w:r>
      <w:r w:rsidR="0008200B" w:rsidRPr="002F72C4">
        <w:rPr>
          <w:rFonts w:ascii="Times New Roman" w:hAnsi="Times New Roman" w:cs="Times New Roman"/>
          <w:bCs/>
          <w:color w:val="000000" w:themeColor="text1"/>
          <w:sz w:val="24"/>
          <w:szCs w:val="24"/>
        </w:rPr>
        <w:t>:</w:t>
      </w:r>
      <w:r w:rsidR="00D30D73" w:rsidRPr="002F72C4">
        <w:rPr>
          <w:rFonts w:ascii="Times New Roman" w:hAnsi="Times New Roman" w:cs="Times New Roman"/>
          <w:bCs/>
          <w:color w:val="000000" w:themeColor="text1"/>
          <w:sz w:val="24"/>
          <w:szCs w:val="24"/>
        </w:rPr>
        <w:t xml:space="preserve"> </w:t>
      </w:r>
      <w:r w:rsidRPr="002F72C4">
        <w:rPr>
          <w:rFonts w:ascii="Times New Roman" w:hAnsi="Times New Roman" w:cs="Times New Roman"/>
          <w:bCs/>
          <w:color w:val="000000" w:themeColor="text1"/>
          <w:sz w:val="24"/>
          <w:szCs w:val="24"/>
        </w:rPr>
        <w:t xml:space="preserve">Psychological General Well-Being Index </w:t>
      </w:r>
      <w:r w:rsidR="00D30D73" w:rsidRPr="002F72C4">
        <w:rPr>
          <w:rFonts w:ascii="Times New Roman" w:hAnsi="Times New Roman" w:cs="Times New Roman"/>
          <w:bCs/>
          <w:color w:val="000000" w:themeColor="text1"/>
          <w:sz w:val="24"/>
          <w:szCs w:val="24"/>
        </w:rPr>
        <w:t>.</w:t>
      </w:r>
    </w:p>
    <w:p w14:paraId="1E3C80C6" w14:textId="77777777" w:rsidR="0059366F" w:rsidRPr="002F72C4" w:rsidRDefault="0059366F" w:rsidP="0059366F">
      <w:pPr>
        <w:pStyle w:val="Heading2"/>
        <w:rPr>
          <w:rFonts w:cs="Times New Roman"/>
          <w:b/>
          <w:color w:val="000000" w:themeColor="text1"/>
          <w:szCs w:val="24"/>
        </w:rPr>
      </w:pPr>
      <w:r w:rsidRPr="002F72C4">
        <w:rPr>
          <w:rFonts w:cs="Times New Roman"/>
          <w:b/>
          <w:color w:val="000000" w:themeColor="text1"/>
          <w:szCs w:val="24"/>
        </w:rPr>
        <w:t>Availability of materials and data</w:t>
      </w:r>
    </w:p>
    <w:p w14:paraId="1224F2AA" w14:textId="77777777" w:rsidR="0059366F" w:rsidRPr="002F72C4" w:rsidRDefault="0059366F" w:rsidP="00333251">
      <w:pPr>
        <w:spacing w:line="360" w:lineRule="auto"/>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The datasets used and/or analyzed during the current study are available from the corresponding author on reasonable request.</w:t>
      </w:r>
    </w:p>
    <w:p w14:paraId="51C35CBE" w14:textId="77777777" w:rsidR="0059366F" w:rsidRPr="002F72C4" w:rsidRDefault="0059366F" w:rsidP="0059366F">
      <w:pPr>
        <w:pStyle w:val="Heading2"/>
        <w:rPr>
          <w:rFonts w:cs="Times New Roman"/>
          <w:b/>
          <w:color w:val="000000" w:themeColor="text1"/>
          <w:szCs w:val="24"/>
        </w:rPr>
      </w:pPr>
      <w:r w:rsidRPr="002F72C4">
        <w:rPr>
          <w:rFonts w:cs="Times New Roman"/>
          <w:b/>
          <w:color w:val="000000" w:themeColor="text1"/>
          <w:szCs w:val="24"/>
        </w:rPr>
        <w:t>Ethics approval and consent to participate</w:t>
      </w:r>
    </w:p>
    <w:p w14:paraId="4EC9C06F" w14:textId="4B61DBEF" w:rsidR="0059366F" w:rsidRPr="002F72C4" w:rsidRDefault="0059366F" w:rsidP="0059366F">
      <w:pPr>
        <w:spacing w:line="360" w:lineRule="auto"/>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Permission to carry out this study was granted by</w:t>
      </w:r>
      <w:r w:rsidR="005D51AB" w:rsidRPr="002F72C4">
        <w:rPr>
          <w:rFonts w:ascii="Times New Roman" w:hAnsi="Times New Roman" w:cs="Times New Roman"/>
          <w:color w:val="000000" w:themeColor="text1"/>
          <w:sz w:val="24"/>
          <w:szCs w:val="24"/>
        </w:rPr>
        <w:t xml:space="preserve"> </w:t>
      </w:r>
      <w:r w:rsidRPr="002F72C4">
        <w:rPr>
          <w:rFonts w:ascii="Times New Roman" w:hAnsi="Times New Roman" w:cs="Times New Roman"/>
          <w:color w:val="000000" w:themeColor="text1"/>
          <w:sz w:val="24"/>
          <w:szCs w:val="24"/>
        </w:rPr>
        <w:t>the KNH/UON Ethics and research committee (KNH/UON-ERC</w:t>
      </w:r>
      <w:r w:rsidR="005D51AB" w:rsidRPr="002F72C4">
        <w:rPr>
          <w:rFonts w:ascii="Times New Roman" w:hAnsi="Times New Roman" w:cs="Times New Roman"/>
          <w:color w:val="000000" w:themeColor="text1"/>
          <w:sz w:val="24"/>
          <w:szCs w:val="24"/>
        </w:rPr>
        <w:t>)</w:t>
      </w:r>
      <w:r w:rsidR="008D692C" w:rsidRPr="002F72C4">
        <w:rPr>
          <w:rFonts w:ascii="Times New Roman" w:hAnsi="Times New Roman" w:cs="Times New Roman"/>
          <w:color w:val="000000" w:themeColor="text1"/>
          <w:sz w:val="24"/>
          <w:szCs w:val="24"/>
        </w:rPr>
        <w:t xml:space="preserve"> vide </w:t>
      </w:r>
      <w:r w:rsidR="00442938">
        <w:rPr>
          <w:rFonts w:ascii="Times New Roman" w:hAnsi="Times New Roman" w:cs="Times New Roman"/>
          <w:color w:val="000000" w:themeColor="text1"/>
          <w:sz w:val="24"/>
          <w:szCs w:val="24"/>
        </w:rPr>
        <w:t>a</w:t>
      </w:r>
      <w:r w:rsidRPr="002F72C4">
        <w:rPr>
          <w:rFonts w:ascii="Times New Roman" w:hAnsi="Times New Roman" w:cs="Times New Roman"/>
          <w:color w:val="000000" w:themeColor="text1"/>
          <w:sz w:val="24"/>
          <w:szCs w:val="24"/>
        </w:rPr>
        <w:t>ppr</w:t>
      </w:r>
      <w:r w:rsidR="00442938">
        <w:rPr>
          <w:rFonts w:ascii="Times New Roman" w:hAnsi="Times New Roman" w:cs="Times New Roman"/>
          <w:color w:val="000000" w:themeColor="text1"/>
          <w:sz w:val="24"/>
          <w:szCs w:val="24"/>
        </w:rPr>
        <w:t xml:space="preserve">oval reference number P70/02/2021. Oral, </w:t>
      </w:r>
      <w:r w:rsidR="00442938" w:rsidRPr="002F72C4">
        <w:rPr>
          <w:rFonts w:ascii="Times New Roman" w:hAnsi="Times New Roman" w:cs="Times New Roman"/>
          <w:color w:val="000000" w:themeColor="text1"/>
          <w:sz w:val="24"/>
          <w:szCs w:val="24"/>
        </w:rPr>
        <w:t>written</w:t>
      </w:r>
      <w:r w:rsidR="005D51AB" w:rsidRPr="002F72C4">
        <w:rPr>
          <w:rFonts w:ascii="Times New Roman" w:hAnsi="Times New Roman" w:cs="Times New Roman"/>
          <w:color w:val="000000" w:themeColor="text1"/>
          <w:sz w:val="24"/>
          <w:szCs w:val="24"/>
        </w:rPr>
        <w:t xml:space="preserve"> </w:t>
      </w:r>
      <w:r w:rsidR="00442938">
        <w:rPr>
          <w:rFonts w:ascii="Times New Roman" w:hAnsi="Times New Roman" w:cs="Times New Roman"/>
          <w:color w:val="000000" w:themeColor="text1"/>
          <w:sz w:val="24"/>
          <w:szCs w:val="24"/>
        </w:rPr>
        <w:t xml:space="preserve">and signed </w:t>
      </w:r>
      <w:r w:rsidR="005D51AB" w:rsidRPr="002F72C4">
        <w:rPr>
          <w:rFonts w:ascii="Times New Roman" w:hAnsi="Times New Roman" w:cs="Times New Roman"/>
          <w:color w:val="000000" w:themeColor="text1"/>
          <w:sz w:val="24"/>
          <w:szCs w:val="24"/>
        </w:rPr>
        <w:t>consent was sought from eligible participants.</w:t>
      </w:r>
      <w:r w:rsidR="00805FAD" w:rsidRPr="002F72C4">
        <w:rPr>
          <w:rFonts w:ascii="Times New Roman" w:hAnsi="Times New Roman" w:cs="Times New Roman"/>
          <w:color w:val="000000" w:themeColor="text1"/>
          <w:sz w:val="24"/>
          <w:szCs w:val="24"/>
        </w:rPr>
        <w:t xml:space="preserve"> Participant information was safeguarded using unique identifier codes</w:t>
      </w:r>
      <w:r w:rsidR="00442938">
        <w:rPr>
          <w:rFonts w:ascii="Times New Roman" w:hAnsi="Times New Roman" w:cs="Times New Roman"/>
          <w:color w:val="000000" w:themeColor="text1"/>
          <w:sz w:val="24"/>
          <w:szCs w:val="24"/>
        </w:rPr>
        <w:t xml:space="preserve"> throughout the study</w:t>
      </w:r>
      <w:r w:rsidR="00805FAD" w:rsidRPr="002F72C4">
        <w:rPr>
          <w:rFonts w:ascii="Times New Roman" w:hAnsi="Times New Roman" w:cs="Times New Roman"/>
          <w:color w:val="000000" w:themeColor="text1"/>
          <w:sz w:val="24"/>
          <w:szCs w:val="24"/>
        </w:rPr>
        <w:t>.</w:t>
      </w:r>
      <w:r w:rsidR="00956F1E" w:rsidRPr="002F72C4">
        <w:rPr>
          <w:rFonts w:ascii="Times New Roman" w:hAnsi="Times New Roman" w:cs="Times New Roman"/>
          <w:color w:val="000000" w:themeColor="text1"/>
          <w:sz w:val="24"/>
          <w:szCs w:val="24"/>
        </w:rPr>
        <w:t xml:space="preserve"> </w:t>
      </w:r>
    </w:p>
    <w:p w14:paraId="2CE8533E" w14:textId="77777777" w:rsidR="0059366F" w:rsidRPr="002F72C4" w:rsidRDefault="0059366F" w:rsidP="0059366F">
      <w:pPr>
        <w:pStyle w:val="Heading2"/>
        <w:rPr>
          <w:rFonts w:cs="Times New Roman"/>
          <w:b/>
          <w:color w:val="000000" w:themeColor="text1"/>
          <w:szCs w:val="24"/>
        </w:rPr>
      </w:pPr>
      <w:r w:rsidRPr="002F72C4">
        <w:rPr>
          <w:rFonts w:cs="Times New Roman"/>
          <w:b/>
          <w:color w:val="000000" w:themeColor="text1"/>
          <w:szCs w:val="24"/>
        </w:rPr>
        <w:t>Consent for publication</w:t>
      </w:r>
    </w:p>
    <w:p w14:paraId="67CE4118" w14:textId="7B51EDA2" w:rsidR="0059366F" w:rsidRPr="002F72C4" w:rsidRDefault="00442938" w:rsidP="005936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is n</w:t>
      </w:r>
      <w:r w:rsidR="0059366F" w:rsidRPr="002F72C4">
        <w:rPr>
          <w:rFonts w:ascii="Times New Roman" w:hAnsi="Times New Roman" w:cs="Times New Roman"/>
          <w:color w:val="000000" w:themeColor="text1"/>
          <w:sz w:val="24"/>
          <w:szCs w:val="24"/>
        </w:rPr>
        <w:t>ot applicable</w:t>
      </w:r>
    </w:p>
    <w:p w14:paraId="23A71BF6" w14:textId="77777777" w:rsidR="00A342B3" w:rsidRPr="002F72C4" w:rsidRDefault="00A342B3" w:rsidP="00A342B3">
      <w:pPr>
        <w:rPr>
          <w:rFonts w:ascii="Times New Roman" w:hAnsi="Times New Roman" w:cs="Times New Roman"/>
          <w:color w:val="000000" w:themeColor="text1"/>
          <w:sz w:val="24"/>
          <w:szCs w:val="24"/>
        </w:rPr>
      </w:pPr>
    </w:p>
    <w:p w14:paraId="3DE570A3" w14:textId="77777777" w:rsidR="0059366F" w:rsidRPr="002F72C4" w:rsidRDefault="0059366F" w:rsidP="0059366F">
      <w:pPr>
        <w:pStyle w:val="Heading2"/>
        <w:rPr>
          <w:rFonts w:cs="Times New Roman"/>
          <w:b/>
          <w:color w:val="000000" w:themeColor="text1"/>
          <w:szCs w:val="24"/>
        </w:rPr>
      </w:pPr>
      <w:r w:rsidRPr="002F72C4">
        <w:rPr>
          <w:rFonts w:cs="Times New Roman"/>
          <w:b/>
          <w:color w:val="000000" w:themeColor="text1"/>
          <w:szCs w:val="24"/>
        </w:rPr>
        <w:t>Conflict of interest declaration</w:t>
      </w:r>
    </w:p>
    <w:p w14:paraId="261EFF13" w14:textId="6A6FEA8C" w:rsidR="0059366F" w:rsidRDefault="0059366F" w:rsidP="0059366F">
      <w:pPr>
        <w:spacing w:line="360" w:lineRule="auto"/>
        <w:contextualSpacing/>
        <w:jc w:val="both"/>
        <w:rPr>
          <w:rFonts w:ascii="Times New Roman" w:hAnsi="Times New Roman" w:cs="Times New Roman"/>
          <w:color w:val="000000" w:themeColor="text1"/>
          <w:sz w:val="24"/>
          <w:szCs w:val="24"/>
        </w:rPr>
      </w:pPr>
      <w:r w:rsidRPr="002F72C4">
        <w:rPr>
          <w:rFonts w:ascii="Times New Roman" w:hAnsi="Times New Roman" w:cs="Times New Roman"/>
          <w:color w:val="000000" w:themeColor="text1"/>
          <w:sz w:val="24"/>
          <w:szCs w:val="24"/>
        </w:rPr>
        <w:t>The authors declare no conflict of interest.</w:t>
      </w:r>
    </w:p>
    <w:p w14:paraId="6285EBAD" w14:textId="46AF3E7D" w:rsidR="004252EB" w:rsidRDefault="004252EB" w:rsidP="0059366F">
      <w:pPr>
        <w:spacing w:line="360" w:lineRule="auto"/>
        <w:contextualSpacing/>
        <w:jc w:val="both"/>
        <w:rPr>
          <w:rFonts w:ascii="Times New Roman" w:hAnsi="Times New Roman" w:cs="Times New Roman"/>
          <w:color w:val="000000" w:themeColor="text1"/>
          <w:sz w:val="24"/>
          <w:szCs w:val="24"/>
        </w:rPr>
      </w:pPr>
    </w:p>
    <w:p w14:paraId="57079AF9" w14:textId="77777777" w:rsidR="004252EB" w:rsidRPr="007D6757" w:rsidRDefault="004252EB" w:rsidP="004252EB">
      <w:pPr>
        <w:rPr>
          <w:rFonts w:ascii="Times New Roman" w:eastAsia="Calibri" w:hAnsi="Times New Roman" w:cs="Times New Roman"/>
          <w:b/>
          <w:kern w:val="2"/>
          <w:highlight w:val="yellow"/>
        </w:rPr>
      </w:pPr>
      <w:bookmarkStart w:id="61" w:name="_Hlk197682619"/>
      <w:bookmarkStart w:id="62" w:name="_Hlk180402183"/>
      <w:bookmarkStart w:id="63" w:name="_Hlk183680988"/>
      <w:r w:rsidRPr="007D6757">
        <w:rPr>
          <w:rFonts w:ascii="Times New Roman" w:eastAsia="Calibri" w:hAnsi="Times New Roman" w:cs="Times New Roman"/>
          <w:b/>
          <w:kern w:val="2"/>
          <w:highlight w:val="yellow"/>
        </w:rPr>
        <w:t>Disclaimer (Artificial intelligence)</w:t>
      </w:r>
    </w:p>
    <w:p w14:paraId="48370A43" w14:textId="31A3863B" w:rsidR="004252EB" w:rsidRPr="00D271E8" w:rsidRDefault="007D6757" w:rsidP="00D271E8">
      <w:pPr>
        <w:spacing w:line="360" w:lineRule="auto"/>
        <w:rPr>
          <w:rFonts w:ascii="Times New Roman" w:eastAsia="Calibri" w:hAnsi="Times New Roman" w:cs="Times New Roman"/>
          <w:kern w:val="2"/>
          <w:sz w:val="24"/>
          <w:szCs w:val="24"/>
          <w:highlight w:val="yellow"/>
        </w:rPr>
      </w:pPr>
      <w:r w:rsidRPr="00D271E8">
        <w:rPr>
          <w:rFonts w:ascii="Times New Roman" w:eastAsia="Calibri" w:hAnsi="Times New Roman" w:cs="Times New Roman"/>
          <w:kern w:val="2"/>
          <w:sz w:val="24"/>
          <w:szCs w:val="24"/>
          <w:highlight w:val="yellow"/>
        </w:rPr>
        <w:t>All author</w:t>
      </w:r>
      <w:r w:rsidR="004252EB" w:rsidRPr="00D271E8">
        <w:rPr>
          <w:rFonts w:ascii="Times New Roman" w:eastAsia="Calibri" w:hAnsi="Times New Roman" w:cs="Times New Roman"/>
          <w:kern w:val="2"/>
          <w:sz w:val="24"/>
          <w:szCs w:val="24"/>
          <w:highlight w:val="yellow"/>
        </w:rPr>
        <w:t xml:space="preserve">s hereby declare that NO generative AI technologies such as Large Language Models (ChatGPT, COPILOT, etc.) and text-to-image generators have been used during the writing or editing of this manuscript. </w:t>
      </w:r>
    </w:p>
    <w:bookmarkEnd w:id="61"/>
    <w:bookmarkEnd w:id="62"/>
    <w:bookmarkEnd w:id="63"/>
    <w:p w14:paraId="4BFD17CD" w14:textId="77777777" w:rsidR="004252EB" w:rsidRPr="002F72C4" w:rsidRDefault="004252EB" w:rsidP="0059366F">
      <w:pPr>
        <w:spacing w:line="360" w:lineRule="auto"/>
        <w:contextualSpacing/>
        <w:jc w:val="both"/>
        <w:rPr>
          <w:rFonts w:ascii="Times New Roman" w:hAnsi="Times New Roman" w:cs="Times New Roman"/>
          <w:color w:val="000000" w:themeColor="text1"/>
          <w:sz w:val="24"/>
          <w:szCs w:val="24"/>
        </w:rPr>
      </w:pPr>
    </w:p>
    <w:p w14:paraId="21C33B03" w14:textId="60107AE8" w:rsidR="0009130A" w:rsidRPr="0009130A" w:rsidRDefault="00DF2632" w:rsidP="0009130A">
      <w:pPr>
        <w:pStyle w:val="Heading2"/>
        <w:rPr>
          <w:rFonts w:cs="Times New Roman"/>
          <w:b/>
          <w:color w:val="000000" w:themeColor="text1"/>
          <w:szCs w:val="24"/>
        </w:rPr>
      </w:pPr>
      <w:bookmarkStart w:id="64" w:name="_Toc86908083"/>
      <w:r w:rsidRPr="002F72C4">
        <w:rPr>
          <w:rFonts w:cs="Times New Roman"/>
          <w:b/>
          <w:color w:val="000000" w:themeColor="text1"/>
          <w:szCs w:val="24"/>
        </w:rPr>
        <w:t>References</w:t>
      </w:r>
      <w:bookmarkEnd w:id="64"/>
    </w:p>
    <w:p w14:paraId="3FE73A89" w14:textId="733AEF12" w:rsidR="00D271E8" w:rsidRDefault="00D271E8" w:rsidP="0009130A">
      <w:pPr>
        <w:widowControl w:val="0"/>
        <w:autoSpaceDE w:val="0"/>
        <w:autoSpaceDN w:val="0"/>
        <w:adjustRightInd w:val="0"/>
        <w:spacing w:line="360" w:lineRule="auto"/>
        <w:jc w:val="both"/>
        <w:rPr>
          <w:rFonts w:ascii="Times New Roman" w:hAnsi="Times New Roman"/>
          <w:sz w:val="24"/>
          <w:szCs w:val="24"/>
        </w:rPr>
      </w:pPr>
      <w:r>
        <w:rPr>
          <w:rFonts w:ascii="Times New Roman" w:eastAsia="Calibri" w:hAnsi="Times New Roman" w:cs="Times New Roman"/>
          <w:color w:val="000000" w:themeColor="text1"/>
          <w:sz w:val="24"/>
          <w:szCs w:val="24"/>
        </w:rPr>
        <w:fldChar w:fldCharType="begin" w:fldLock="1"/>
      </w:r>
      <w:r>
        <w:rPr>
          <w:rFonts w:ascii="Times New Roman" w:eastAsia="Calibri" w:hAnsi="Times New Roman" w:cs="Times New Roman"/>
          <w:color w:val="000000" w:themeColor="text1"/>
          <w:sz w:val="24"/>
          <w:szCs w:val="24"/>
        </w:rPr>
        <w:instrText xml:space="preserve">ADDIN Mendeley Bibliography CSL_BIBLIOGRAPHY </w:instrText>
      </w:r>
      <w:r>
        <w:rPr>
          <w:rFonts w:ascii="Times New Roman" w:eastAsia="Calibri" w:hAnsi="Times New Roman" w:cs="Times New Roman"/>
          <w:color w:val="000000" w:themeColor="text1"/>
          <w:sz w:val="24"/>
          <w:szCs w:val="24"/>
        </w:rPr>
        <w:fldChar w:fldCharType="separate"/>
      </w:r>
      <w:r>
        <w:rPr>
          <w:rFonts w:ascii="Times New Roman" w:hAnsi="Times New Roman" w:cs="Times New Roman"/>
          <w:sz w:val="24"/>
          <w:szCs w:val="24"/>
        </w:rPr>
        <w:t xml:space="preserve">Adeeb, H., Ullah, I., Zeb, M., &amp; Haq, M. (2021). Clinical factors and comorbidities affecting health-related quality of life in postrenal transplant patients. </w:t>
      </w:r>
      <w:r>
        <w:rPr>
          <w:rFonts w:ascii="Times New Roman" w:hAnsi="Times New Roman" w:cs="Times New Roman"/>
          <w:i/>
          <w:iCs/>
          <w:sz w:val="24"/>
          <w:szCs w:val="24"/>
        </w:rPr>
        <w:t>Porto Biomedical Journal</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 xml:space="preserve">(3), e131. </w:t>
      </w:r>
      <w:r>
        <w:rPr>
          <w:rFonts w:ascii="Times New Roman" w:hAnsi="Times New Roman"/>
          <w:sz w:val="24"/>
          <w:szCs w:val="24"/>
        </w:rPr>
        <w:t>doi: 10.1097/j.pbj.0000000000000131.</w:t>
      </w:r>
    </w:p>
    <w:p w14:paraId="152B20C6" w14:textId="663D02E1" w:rsidR="00D271E8" w:rsidRPr="00D271E8" w:rsidRDefault="00D271E8" w:rsidP="0009130A">
      <w:pPr>
        <w:spacing w:line="360" w:lineRule="auto"/>
        <w:jc w:val="both"/>
      </w:pPr>
      <w:r>
        <w:rPr>
          <w:rFonts w:ascii="Times New Roman" w:hAnsi="Times New Roman" w:cs="Times New Roman"/>
          <w:sz w:val="24"/>
          <w:szCs w:val="24"/>
        </w:rPr>
        <w:lastRenderedPageBreak/>
        <w:t xml:space="preserve">Ahmed, S. B., &amp; Vinson, A. J. (2023). Gender disparities in access to kidney transplantation: perceived barriers along the road to transplantation. In </w:t>
      </w:r>
      <w:r>
        <w:rPr>
          <w:rFonts w:ascii="Times New Roman" w:hAnsi="Times New Roman" w:cs="Times New Roman"/>
          <w:i/>
          <w:iCs/>
          <w:sz w:val="24"/>
          <w:szCs w:val="24"/>
        </w:rPr>
        <w:t>Clinical Journal of the American Society of Nephrology</w:t>
      </w:r>
      <w:r>
        <w:rPr>
          <w:rFonts w:ascii="Times New Roman" w:hAnsi="Times New Roman" w:cs="Times New Roman"/>
          <w:sz w:val="24"/>
          <w:szCs w:val="24"/>
        </w:rPr>
        <w:t xml:space="preserve"> (Vol. 18, Issue 10, pp. 1247–1249). </w:t>
      </w:r>
      <w:r>
        <w:rPr>
          <w:rFonts w:ascii="Times New Roman" w:hAnsi="Times New Roman"/>
          <w:sz w:val="24"/>
          <w:szCs w:val="24"/>
        </w:rPr>
        <w:t>https://doi.org/10.2215/CJN.0000000000000283</w:t>
      </w:r>
    </w:p>
    <w:p w14:paraId="1C69E42D" w14:textId="2B1F265C" w:rsidR="00D271E8" w:rsidRDefault="00D271E8" w:rsidP="0009130A">
      <w:pPr>
        <w:spacing w:line="360" w:lineRule="auto"/>
        <w:jc w:val="both"/>
        <w:rPr>
          <w:rFonts w:ascii="Times New Roman" w:hAnsi="Times New Roman"/>
          <w:sz w:val="24"/>
          <w:szCs w:val="24"/>
        </w:rPr>
      </w:pPr>
      <w:r>
        <w:rPr>
          <w:rFonts w:ascii="Times New Roman" w:hAnsi="Times New Roman" w:cs="Times New Roman"/>
          <w:sz w:val="24"/>
          <w:szCs w:val="24"/>
        </w:rPr>
        <w:t xml:space="preserve">Ali, H., Soliman, K., Mohamed, M. M., Rahman, M., Herberth, J., Fülöp, T., &amp; Elsayed, I. (2021). Impact of kidney transplantation on functional status. </w:t>
      </w:r>
      <w:r>
        <w:rPr>
          <w:rFonts w:ascii="Times New Roman" w:hAnsi="Times New Roman" w:cs="Times New Roman"/>
          <w:i/>
          <w:iCs/>
          <w:sz w:val="24"/>
          <w:szCs w:val="24"/>
        </w:rPr>
        <w:t>Annals of Medicine</w:t>
      </w:r>
      <w:r>
        <w:rPr>
          <w:rFonts w:ascii="Times New Roman" w:hAnsi="Times New Roman" w:cs="Times New Roman"/>
          <w:sz w:val="24"/>
          <w:szCs w:val="24"/>
        </w:rPr>
        <w:t xml:space="preserve">, </w:t>
      </w:r>
      <w:r>
        <w:rPr>
          <w:rFonts w:ascii="Times New Roman" w:hAnsi="Times New Roman" w:cs="Times New Roman"/>
          <w:i/>
          <w:iCs/>
          <w:sz w:val="24"/>
          <w:szCs w:val="24"/>
        </w:rPr>
        <w:t>53</w:t>
      </w:r>
      <w:r>
        <w:rPr>
          <w:rFonts w:ascii="Times New Roman" w:hAnsi="Times New Roman" w:cs="Times New Roman"/>
          <w:sz w:val="24"/>
          <w:szCs w:val="24"/>
        </w:rPr>
        <w:t xml:space="preserve">(1), 1303–1309.  </w:t>
      </w:r>
      <w:r>
        <w:rPr>
          <w:rFonts w:ascii="Times New Roman" w:hAnsi="Times New Roman" w:cs="Times New Roman"/>
          <w:noProof/>
          <w:sz w:val="24"/>
          <w:szCs w:val="24"/>
        </w:rPr>
        <mc:AlternateContent>
          <mc:Choice Requires="wps">
            <w:drawing>
              <wp:inline distT="0" distB="0" distL="0" distR="0" wp14:anchorId="216BAFAF" wp14:editId="0B2BDA87">
                <wp:extent cx="7620" cy="762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2A469" id="Rectangle 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rmrwIAALM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" filled="f" stroked="f">
                <o:lock v:ext="edit" aspectratio="t"/>
                <w10:anchorlock/>
              </v:rect>
            </w:pict>
          </mc:Fallback>
        </mc:AlternateContent>
      </w:r>
      <w:r>
        <w:rPr>
          <w:rFonts w:ascii="Times New Roman" w:hAnsi="Times New Roman"/>
          <w:sz w:val="24"/>
          <w:szCs w:val="24"/>
        </w:rPr>
        <w:t>doi: 10.1080/07853890.2021.1962963.</w:t>
      </w:r>
    </w:p>
    <w:p w14:paraId="69B4AFD3" w14:textId="49020037" w:rsidR="00D271E8" w:rsidRDefault="00D271E8" w:rsidP="0009130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BC129A">
        <w:rPr>
          <w:rFonts w:ascii="Times New Roman" w:hAnsi="Times New Roman" w:cs="Times New Roman"/>
          <w:noProof/>
          <w:sz w:val="24"/>
          <w:szCs w:val="24"/>
        </w:rPr>
        <w:t xml:space="preserve">Bagha, H., Farah, S., Juma, K., &amp; Twahir, A. (2024). P. 236: Short-term outcomes of a living renal transplant program at a private hospital in Nairobi, Kenya. </w:t>
      </w:r>
      <w:r w:rsidRPr="00BC129A">
        <w:rPr>
          <w:rFonts w:ascii="Times New Roman" w:hAnsi="Times New Roman" w:cs="Times New Roman"/>
          <w:i/>
          <w:iCs/>
          <w:noProof/>
          <w:sz w:val="24"/>
          <w:szCs w:val="24"/>
        </w:rPr>
        <w:t>Transplantation</w:t>
      </w:r>
      <w:r w:rsidRPr="00BC129A">
        <w:rPr>
          <w:rFonts w:ascii="Times New Roman" w:hAnsi="Times New Roman" w:cs="Times New Roman"/>
          <w:noProof/>
          <w:sz w:val="24"/>
          <w:szCs w:val="24"/>
        </w:rPr>
        <w:t xml:space="preserve">, </w:t>
      </w:r>
      <w:r w:rsidRPr="00BC129A">
        <w:rPr>
          <w:rFonts w:ascii="Times New Roman" w:hAnsi="Times New Roman" w:cs="Times New Roman"/>
          <w:i/>
          <w:iCs/>
          <w:noProof/>
          <w:sz w:val="24"/>
          <w:szCs w:val="24"/>
        </w:rPr>
        <w:t>108</w:t>
      </w:r>
      <w:r w:rsidRPr="00BC129A">
        <w:rPr>
          <w:rFonts w:ascii="Times New Roman" w:hAnsi="Times New Roman" w:cs="Times New Roman"/>
          <w:noProof/>
          <w:sz w:val="24"/>
          <w:szCs w:val="24"/>
        </w:rPr>
        <w:t>(9S).</w:t>
      </w:r>
      <w:r w:rsidRPr="001D4EA2">
        <w:rPr>
          <w:rStyle w:val="Hyperlink"/>
          <w:rFonts w:ascii="Arial" w:hAnsi="Arial" w:cs="Arial"/>
          <w:i/>
          <w:iCs/>
          <w:color w:val="3B3030"/>
          <w:sz w:val="21"/>
          <w:szCs w:val="21"/>
          <w:shd w:val="clear" w:color="auto" w:fill="FFFFFF"/>
        </w:rPr>
        <w:t xml:space="preserve"> </w:t>
      </w:r>
      <w:r>
        <w:rPr>
          <w:rStyle w:val="ej-journal-doi"/>
          <w:rFonts w:ascii="Arial" w:hAnsi="Arial" w:cs="Arial"/>
          <w:i/>
          <w:iCs/>
          <w:color w:val="3B3030"/>
          <w:sz w:val="21"/>
          <w:szCs w:val="21"/>
          <w:shd w:val="clear" w:color="auto" w:fill="FFFFFF"/>
        </w:rPr>
        <w:t>DOI: </w:t>
      </w:r>
      <w:r>
        <w:rPr>
          <w:rFonts w:ascii="Arial" w:hAnsi="Arial" w:cs="Arial"/>
          <w:color w:val="3B3030"/>
          <w:sz w:val="21"/>
          <w:szCs w:val="21"/>
          <w:shd w:val="clear" w:color="auto" w:fill="FFFFFF"/>
        </w:rPr>
        <w:t>10.1097/01.tp.0001067760.97093.0f</w:t>
      </w:r>
    </w:p>
    <w:p w14:paraId="0F609412" w14:textId="4415D3AE" w:rsidR="00D271E8" w:rsidRPr="00D271E8" w:rsidRDefault="00D271E8" w:rsidP="0009130A">
      <w:pPr>
        <w:spacing w:line="360" w:lineRule="auto"/>
        <w:jc w:val="both"/>
      </w:pPr>
      <w:r>
        <w:rPr>
          <w:rFonts w:ascii="Times New Roman" w:hAnsi="Times New Roman" w:cs="Times New Roman"/>
          <w:sz w:val="24"/>
          <w:szCs w:val="24"/>
        </w:rPr>
        <w:t xml:space="preserve">Bossola, M., Arena, M., Urciuolo, F., Antocicco, M., Pepe, G., Calabrò, G. E., Cianfrocca, C., &amp; Stasio, E. Di. (2021). Fatigue in Kidney Transplantation: A Systematic Review and Meta-Analysis. </w:t>
      </w:r>
      <w:r>
        <w:rPr>
          <w:rFonts w:ascii="Times New Roman" w:hAnsi="Times New Roman" w:cs="Times New Roman"/>
          <w:i/>
          <w:iCs/>
          <w:sz w:val="24"/>
          <w:szCs w:val="24"/>
        </w:rPr>
        <w:t>Diagnostics</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(5).</w:t>
      </w:r>
      <w:r>
        <w:rPr>
          <w:rFonts w:ascii="Times New Roman" w:hAnsi="Times New Roman"/>
          <w:sz w:val="24"/>
          <w:szCs w:val="24"/>
        </w:rPr>
        <w:t>doi: 10.3390/diagnostics11050833.</w:t>
      </w:r>
    </w:p>
    <w:p w14:paraId="04C20E8D" w14:textId="1C77C68A" w:rsidR="00D271E8" w:rsidRDefault="00D271E8" w:rsidP="000913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Dweib, K., Jumaa, S., Khdour, M., &amp; Hallak, H. (2020). Quality of life for kidney transplant palestinian patients. </w:t>
      </w:r>
      <w:r>
        <w:rPr>
          <w:rFonts w:ascii="Times New Roman" w:hAnsi="Times New Roman" w:cs="Times New Roman"/>
          <w:i/>
          <w:iCs/>
          <w:sz w:val="24"/>
          <w:szCs w:val="24"/>
        </w:rPr>
        <w:t>Saudi Journal of Kidney Diseases and Transplantation</w:t>
      </w:r>
      <w:r>
        <w:rPr>
          <w:rFonts w:ascii="Times New Roman" w:hAnsi="Times New Roman" w:cs="Times New Roman"/>
          <w:sz w:val="24"/>
          <w:szCs w:val="24"/>
        </w:rPr>
        <w:t xml:space="preserve">, </w:t>
      </w:r>
      <w:r>
        <w:rPr>
          <w:rFonts w:ascii="Times New Roman" w:hAnsi="Times New Roman" w:cs="Times New Roman"/>
          <w:i/>
          <w:iCs/>
          <w:sz w:val="24"/>
          <w:szCs w:val="24"/>
        </w:rPr>
        <w:t>31</w:t>
      </w:r>
      <w:r>
        <w:rPr>
          <w:rFonts w:ascii="Times New Roman" w:hAnsi="Times New Roman" w:cs="Times New Roman"/>
          <w:sz w:val="24"/>
          <w:szCs w:val="24"/>
        </w:rPr>
        <w:t>(2), 473–481.</w:t>
      </w:r>
      <w:r>
        <w:rPr>
          <w:rFonts w:ascii="Times New Roman" w:hAnsi="Times New Roman"/>
          <w:sz w:val="24"/>
          <w:szCs w:val="24"/>
        </w:rPr>
        <w:t>doi: 10.4103/1319-2442.284023.</w:t>
      </w:r>
    </w:p>
    <w:p w14:paraId="23B4F138" w14:textId="77777777" w:rsidR="00D271E8" w:rsidRDefault="00D271E8" w:rsidP="0009130A">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4978C7">
        <w:rPr>
          <w:rFonts w:ascii="Times New Roman" w:hAnsi="Times New Roman" w:cs="Times New Roman"/>
          <w:noProof/>
          <w:sz w:val="24"/>
          <w:szCs w:val="24"/>
        </w:rPr>
        <w:t xml:space="preserve">El Rasheed, A. H., Khedr, E., Naguib, R., Eid, M., Elkholy, H., &amp; Rabie, S. (2020). Quality of life in a sample of Egyptian renal transplant recipients. </w:t>
      </w:r>
      <w:r w:rsidRPr="004978C7">
        <w:rPr>
          <w:rFonts w:ascii="Times New Roman" w:hAnsi="Times New Roman" w:cs="Times New Roman"/>
          <w:i/>
          <w:iCs/>
          <w:noProof/>
          <w:sz w:val="24"/>
          <w:szCs w:val="24"/>
        </w:rPr>
        <w:t>Middle East Current Psychiatry</w:t>
      </w:r>
      <w:r w:rsidRPr="004978C7">
        <w:rPr>
          <w:rFonts w:ascii="Times New Roman" w:hAnsi="Times New Roman" w:cs="Times New Roman"/>
          <w:noProof/>
          <w:sz w:val="24"/>
          <w:szCs w:val="24"/>
        </w:rPr>
        <w:t xml:space="preserve">, </w:t>
      </w:r>
      <w:r w:rsidRPr="004978C7">
        <w:rPr>
          <w:rFonts w:ascii="Times New Roman" w:hAnsi="Times New Roman" w:cs="Times New Roman"/>
          <w:i/>
          <w:iCs/>
          <w:noProof/>
          <w:sz w:val="24"/>
          <w:szCs w:val="24"/>
        </w:rPr>
        <w:t>27</w:t>
      </w:r>
      <w:r>
        <w:rPr>
          <w:rFonts w:ascii="Times New Roman" w:hAnsi="Times New Roman" w:cs="Times New Roman"/>
          <w:noProof/>
          <w:sz w:val="24"/>
          <w:szCs w:val="24"/>
        </w:rPr>
        <w:t>(1), 31.</w:t>
      </w:r>
    </w:p>
    <w:p w14:paraId="6F96BB72" w14:textId="77777777" w:rsidR="00D271E8" w:rsidRDefault="00D271E8" w:rsidP="0009130A">
      <w:pPr>
        <w:widowControl w:val="0"/>
        <w:autoSpaceDE w:val="0"/>
        <w:autoSpaceDN w:val="0"/>
        <w:adjustRightInd w:val="0"/>
        <w:spacing w:line="360" w:lineRule="auto"/>
        <w:ind w:left="480" w:hanging="480"/>
        <w:jc w:val="both"/>
        <w:rPr>
          <w:rFonts w:ascii="Times New Roman" w:hAnsi="Times New Roman" w:cs="Times New Roman"/>
          <w:sz w:val="24"/>
          <w:szCs w:val="24"/>
        </w:rPr>
      </w:pPr>
    </w:p>
    <w:p w14:paraId="5489EABC" w14:textId="7F4D0D00" w:rsidR="00D271E8" w:rsidRPr="00D271E8" w:rsidRDefault="00D271E8" w:rsidP="0009130A">
      <w:pPr>
        <w:spacing w:line="360" w:lineRule="auto"/>
        <w:jc w:val="both"/>
      </w:pPr>
      <w:r>
        <w:rPr>
          <w:rFonts w:ascii="Times New Roman" w:hAnsi="Times New Roman" w:cs="Times New Roman"/>
          <w:sz w:val="24"/>
          <w:szCs w:val="24"/>
        </w:rPr>
        <w:t xml:space="preserve">Ganjali, R., Ghorban Sabbagh, M., Nazemiyan, F., Mamdouhi, F., Badiee Aval, S., Taherzadeh, Z., Heshmati Nabavi, F., Golmakani, R., Tohidinezhad, F., &amp; Eslami, S. (2019). Factors associated with adherence to immunosuppressive therapy and barriers in Asian kidney transplant recipients. </w:t>
      </w:r>
      <w:r>
        <w:rPr>
          <w:rFonts w:ascii="Times New Roman" w:hAnsi="Times New Roman" w:cs="Times New Roman"/>
          <w:i/>
          <w:iCs/>
          <w:sz w:val="24"/>
          <w:szCs w:val="24"/>
        </w:rPr>
        <w:t>ImmunoTargets and Therapy</w:t>
      </w:r>
      <w:r>
        <w:rPr>
          <w:rFonts w:ascii="Times New Roman" w:hAnsi="Times New Roman" w:cs="Times New Roman"/>
          <w:sz w:val="24"/>
          <w:szCs w:val="24"/>
        </w:rPr>
        <w:t xml:space="preserve">, 53–62./ </w:t>
      </w:r>
      <w:r>
        <w:rPr>
          <w:rFonts w:ascii="Times New Roman" w:hAnsi="Times New Roman" w:cs="Times New Roman"/>
          <w:noProof/>
          <w:sz w:val="24"/>
          <w:szCs w:val="24"/>
        </w:rPr>
        <mc:AlternateContent>
          <mc:Choice Requires="wps">
            <w:drawing>
              <wp:inline distT="0" distB="0" distL="0" distR="0" wp14:anchorId="3B3F8538" wp14:editId="1F2B7D7E">
                <wp:extent cx="7620" cy="762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1E97C" id="Rectangle 1"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" filled="f" stroked="f">
                <o:lock v:ext="edit" aspectratio="t"/>
                <w10:anchorlock/>
              </v:rect>
            </w:pict>
          </mc:Fallback>
        </mc:AlternateContent>
      </w:r>
      <w:r>
        <w:rPr>
          <w:rFonts w:ascii="Times New Roman" w:hAnsi="Times New Roman" w:cs="Times New Roman"/>
          <w:sz w:val="24"/>
          <w:szCs w:val="24"/>
        </w:rPr>
        <w:t xml:space="preserve">  </w:t>
      </w:r>
      <w:r>
        <w:rPr>
          <w:rFonts w:ascii="Times New Roman" w:hAnsi="Times New Roman"/>
          <w:sz w:val="24"/>
          <w:szCs w:val="24"/>
        </w:rPr>
        <w:t>doi: 10.2147/ITT.S212760.</w:t>
      </w:r>
      <w:r>
        <w:rPr>
          <w:rFonts w:ascii="Times New Roman" w:hAnsi="Times New Roman" w:cs="Times New Roman"/>
          <w:sz w:val="24"/>
          <w:szCs w:val="24"/>
        </w:rPr>
        <w:t xml:space="preserve"> </w:t>
      </w:r>
    </w:p>
    <w:p w14:paraId="0E3BB12B" w14:textId="08532145" w:rsidR="00D271E8" w:rsidRPr="00D271E8" w:rsidRDefault="00D271E8" w:rsidP="0009130A">
      <w:pPr>
        <w:spacing w:line="360" w:lineRule="auto"/>
        <w:jc w:val="both"/>
        <w:rPr>
          <w:rFonts w:ascii="Helvetica Neue" w:eastAsia="Helvetica Neue" w:hAnsi="Helvetica Neue" w:cs="Helvetica Neue"/>
          <w:color w:val="5B616B"/>
          <w:sz w:val="32"/>
          <w:szCs w:val="32"/>
          <w:shd w:val="clear" w:color="auto" w:fill="FFFFFF"/>
          <w:lang w:bidi="ar"/>
        </w:rPr>
      </w:pPr>
      <w:r>
        <w:rPr>
          <w:rFonts w:ascii="Times New Roman" w:hAnsi="Times New Roman" w:cs="Times New Roman"/>
          <w:sz w:val="24"/>
          <w:szCs w:val="24"/>
        </w:rPr>
        <w:t xml:space="preserve">Gebremedhin, T., Workicho, A., &amp; Angaw, D. A. (2019). Health-related quality of life and its associated factors among adult patients with type II diabetes attending Mizan Tepi University Teaching Hospital, Southwest Ethiopia. </w:t>
      </w:r>
      <w:r>
        <w:rPr>
          <w:rFonts w:ascii="Times New Roman" w:hAnsi="Times New Roman" w:cs="Times New Roman"/>
          <w:i/>
          <w:iCs/>
          <w:sz w:val="24"/>
          <w:szCs w:val="24"/>
        </w:rPr>
        <w:t xml:space="preserve">BMJ Open Diabetes Research and </w:t>
      </w:r>
      <w:r>
        <w:rPr>
          <w:rFonts w:ascii="Times New Roman" w:hAnsi="Times New Roman" w:cs="Times New Roman"/>
          <w:i/>
          <w:iCs/>
          <w:sz w:val="24"/>
          <w:szCs w:val="24"/>
        </w:rPr>
        <w:lastRenderedPageBreak/>
        <w:t>Care</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 xml:space="preserve">(1), 1–8. https://doi.org/10.1136/bmjdrc-2018-000577  </w:t>
      </w:r>
      <w:r>
        <w:rPr>
          <w:rFonts w:ascii="Times New Roman" w:hAnsi="Times New Roman"/>
          <w:sz w:val="24"/>
          <w:szCs w:val="24"/>
        </w:rPr>
        <w:t xml:space="preserve">doi: 10.1136/bmjdrc-2018-000577.  </w:t>
      </w:r>
    </w:p>
    <w:p w14:paraId="15A67F6A" w14:textId="5CE2C1E9" w:rsidR="00D271E8" w:rsidRPr="00D271E8" w:rsidRDefault="00D271E8" w:rsidP="0009130A">
      <w:pPr>
        <w:spacing w:line="360" w:lineRule="auto"/>
        <w:jc w:val="both"/>
      </w:pPr>
      <w:r>
        <w:rPr>
          <w:rFonts w:ascii="Times New Roman" w:hAnsi="Times New Roman" w:cs="Times New Roman"/>
          <w:sz w:val="24"/>
          <w:szCs w:val="24"/>
        </w:rPr>
        <w:t xml:space="preserve">Hernández-Segura, N., Marcos-Delgado, A., Pinto-Carral, A., Fernández-Villa, T., &amp; Molina, A. J. (2022). Health-related quality of life (HRQOL) instruments and mobility: a systematic review. </w:t>
      </w:r>
      <w:r>
        <w:rPr>
          <w:rFonts w:ascii="Times New Roman" w:hAnsi="Times New Roman" w:cs="Times New Roman"/>
          <w:i/>
          <w:iCs/>
          <w:sz w:val="24"/>
          <w:szCs w:val="24"/>
        </w:rPr>
        <w:t>International Journal of Environmental Research and Public Health</w:t>
      </w:r>
      <w:r>
        <w:rPr>
          <w:rFonts w:ascii="Times New Roman" w:hAnsi="Times New Roman" w:cs="Times New Roman"/>
          <w:sz w:val="24"/>
          <w:szCs w:val="24"/>
        </w:rPr>
        <w:t xml:space="preserve">, </w:t>
      </w:r>
      <w:r>
        <w:rPr>
          <w:rFonts w:ascii="Times New Roman" w:hAnsi="Times New Roman" w:cs="Times New Roman"/>
          <w:i/>
          <w:iCs/>
          <w:sz w:val="24"/>
          <w:szCs w:val="24"/>
        </w:rPr>
        <w:t>19</w:t>
      </w:r>
      <w:r>
        <w:rPr>
          <w:rFonts w:ascii="Times New Roman" w:hAnsi="Times New Roman" w:cs="Times New Roman"/>
          <w:sz w:val="24"/>
          <w:szCs w:val="24"/>
        </w:rPr>
        <w:t>(24), 16493.</w:t>
      </w:r>
      <w:r>
        <w:rPr>
          <w:rFonts w:ascii="Times New Roman" w:hAnsi="Times New Roman"/>
          <w:sz w:val="24"/>
          <w:szCs w:val="24"/>
        </w:rPr>
        <w:t>doi: 10.3390/ijerph192416493.</w:t>
      </w:r>
    </w:p>
    <w:p w14:paraId="2F72B371" w14:textId="77777777" w:rsidR="00D271E8" w:rsidRDefault="00D271E8" w:rsidP="0009130A">
      <w:pPr>
        <w:spacing w:line="360" w:lineRule="auto"/>
        <w:jc w:val="both"/>
        <w:rPr>
          <w:rFonts w:ascii="Times New Roman" w:hAnsi="Times New Roman"/>
          <w:sz w:val="24"/>
          <w:szCs w:val="24"/>
        </w:rPr>
      </w:pPr>
      <w:r>
        <w:rPr>
          <w:rFonts w:ascii="Times New Roman" w:hAnsi="Times New Roman" w:cs="Times New Roman"/>
          <w:sz w:val="24"/>
          <w:szCs w:val="24"/>
        </w:rPr>
        <w:t xml:space="preserve">Jones, J., Damery, S., Allen, K., Nicholas, J., Baharani, J., &amp; Combes, G. (2020). Open access “You have got a foreign body in there”: renal transplantation, unexpected mild-to-moderate distress and patients’ support needs: a qualitative study. </w:t>
      </w:r>
      <w:r>
        <w:rPr>
          <w:rFonts w:ascii="Times New Roman" w:hAnsi="Times New Roman" w:cs="Times New Roman"/>
          <w:i/>
          <w:iCs/>
          <w:sz w:val="24"/>
          <w:szCs w:val="24"/>
        </w:rPr>
        <w:t>BMJ Open</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 35627.</w:t>
      </w:r>
      <w:r>
        <w:rPr>
          <w:rFonts w:ascii="Times New Roman" w:hAnsi="Times New Roman"/>
          <w:sz w:val="24"/>
          <w:szCs w:val="24"/>
        </w:rPr>
        <w:t>doi: 10.1136/bmjopen-2019-035627.</w:t>
      </w:r>
    </w:p>
    <w:p w14:paraId="5E5AB6CA" w14:textId="77777777" w:rsidR="00D271E8" w:rsidRDefault="00D271E8" w:rsidP="0009130A">
      <w:pPr>
        <w:widowControl w:val="0"/>
        <w:autoSpaceDE w:val="0"/>
        <w:autoSpaceDN w:val="0"/>
        <w:adjustRightInd w:val="0"/>
        <w:spacing w:line="360" w:lineRule="auto"/>
        <w:ind w:left="480" w:hanging="480"/>
        <w:jc w:val="both"/>
        <w:rPr>
          <w:rFonts w:ascii="Times New Roman" w:hAnsi="Times New Roman"/>
          <w:sz w:val="24"/>
          <w:szCs w:val="24"/>
        </w:rPr>
      </w:pPr>
      <w:r>
        <w:rPr>
          <w:rFonts w:ascii="Times New Roman" w:hAnsi="Times New Roman" w:cs="Times New Roman"/>
          <w:sz w:val="24"/>
          <w:szCs w:val="24"/>
        </w:rPr>
        <w:t xml:space="preserve">Kaplan, R. M., &amp; Hays, R. D. (2022). Health-related quality of life measurement in public health. </w:t>
      </w:r>
      <w:r>
        <w:rPr>
          <w:rFonts w:ascii="Times New Roman" w:hAnsi="Times New Roman" w:cs="Times New Roman"/>
          <w:i/>
          <w:iCs/>
          <w:sz w:val="24"/>
          <w:szCs w:val="24"/>
        </w:rPr>
        <w:t>Annual Review of Public Health</w:t>
      </w:r>
      <w:r>
        <w:rPr>
          <w:rFonts w:ascii="Times New Roman" w:hAnsi="Times New Roman" w:cs="Times New Roman"/>
          <w:sz w:val="24"/>
          <w:szCs w:val="24"/>
        </w:rPr>
        <w:t xml:space="preserve">, </w:t>
      </w:r>
      <w:r>
        <w:rPr>
          <w:rFonts w:ascii="Times New Roman" w:hAnsi="Times New Roman" w:cs="Times New Roman"/>
          <w:i/>
          <w:iCs/>
          <w:sz w:val="24"/>
          <w:szCs w:val="24"/>
        </w:rPr>
        <w:t>43</w:t>
      </w:r>
      <w:r>
        <w:rPr>
          <w:rFonts w:ascii="Times New Roman" w:hAnsi="Times New Roman" w:cs="Times New Roman"/>
          <w:sz w:val="24"/>
          <w:szCs w:val="24"/>
        </w:rPr>
        <w:t>(1), 355–373.</w:t>
      </w:r>
      <w:r>
        <w:rPr>
          <w:rFonts w:ascii="Times New Roman" w:hAnsi="Times New Roman"/>
          <w:sz w:val="24"/>
          <w:szCs w:val="24"/>
        </w:rPr>
        <w:t>doi: 10.1146/annurev-publhealth-052120-012811.</w:t>
      </w:r>
    </w:p>
    <w:p w14:paraId="37948985" w14:textId="235D32A9" w:rsidR="00D271E8" w:rsidRPr="001D4EA2" w:rsidRDefault="00D271E8" w:rsidP="0009130A">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Mousavi-Roknabadi, R. S., Ershadi, F., Hadi, N., Shahroodi, J. R., Shayan, Z., Keshavarz, S., Sarbizhan, H. R., &amp; Roozrokh, A. (2019). Effect of Renal Transplantation on Health-Related Quality of Life in Patients with End-Stage Renal Disease; A Quasi-Experimental Study. </w:t>
      </w:r>
      <w:r>
        <w:rPr>
          <w:rFonts w:ascii="Times New Roman" w:hAnsi="Times New Roman" w:cs="Times New Roman"/>
          <w:i/>
          <w:iCs/>
          <w:sz w:val="24"/>
          <w:szCs w:val="24"/>
        </w:rPr>
        <w:t>Nephro-Urology Monthly 2019 11:2</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(2). https://doi.org/10.5812/NUMONTHLY.79497</w:t>
      </w:r>
    </w:p>
    <w:p w14:paraId="586C7720" w14:textId="77777777" w:rsidR="00D271E8" w:rsidRPr="001D4EA2" w:rsidRDefault="00D271E8" w:rsidP="0009130A">
      <w:pPr>
        <w:widowControl w:val="0"/>
        <w:autoSpaceDE w:val="0"/>
        <w:autoSpaceDN w:val="0"/>
        <w:adjustRightInd w:val="0"/>
        <w:spacing w:line="240" w:lineRule="auto"/>
        <w:ind w:left="480" w:hanging="480"/>
        <w:jc w:val="both"/>
        <w:rPr>
          <w:rFonts w:ascii="Times New Roman" w:hAnsi="Times New Roman" w:cs="Times New Roman"/>
          <w:color w:val="282828"/>
          <w:sz w:val="24"/>
          <w:szCs w:val="24"/>
          <w:shd w:val="clear" w:color="auto" w:fill="F7F7F7"/>
        </w:rPr>
      </w:pPr>
      <w:r w:rsidRPr="001D4EA2">
        <w:rPr>
          <w:rFonts w:ascii="Times New Roman" w:hAnsi="Times New Roman" w:cs="Times New Roman"/>
          <w:noProof/>
          <w:sz w:val="24"/>
          <w:szCs w:val="24"/>
        </w:rPr>
        <w:t xml:space="preserve">Naing, L., Winn, T., &amp; Rusli, B. N. (2006). Practical issues in calculating the sample size for prevalence studies. </w:t>
      </w:r>
      <w:r w:rsidRPr="001D4EA2">
        <w:rPr>
          <w:rFonts w:ascii="Times New Roman" w:hAnsi="Times New Roman" w:cs="Times New Roman"/>
          <w:i/>
          <w:iCs/>
          <w:noProof/>
          <w:sz w:val="24"/>
          <w:szCs w:val="24"/>
        </w:rPr>
        <w:t>Archives of Orofacial Sciences</w:t>
      </w:r>
      <w:r w:rsidRPr="001D4EA2">
        <w:rPr>
          <w:rFonts w:ascii="Times New Roman" w:hAnsi="Times New Roman" w:cs="Times New Roman"/>
          <w:noProof/>
          <w:sz w:val="24"/>
          <w:szCs w:val="24"/>
        </w:rPr>
        <w:t xml:space="preserve">, </w:t>
      </w:r>
      <w:r w:rsidRPr="001D4EA2">
        <w:rPr>
          <w:rFonts w:ascii="Times New Roman" w:hAnsi="Times New Roman" w:cs="Times New Roman"/>
          <w:i/>
          <w:iCs/>
          <w:noProof/>
          <w:sz w:val="24"/>
          <w:szCs w:val="24"/>
        </w:rPr>
        <w:t>1</w:t>
      </w:r>
      <w:r w:rsidRPr="001D4EA2">
        <w:rPr>
          <w:rFonts w:ascii="Times New Roman" w:hAnsi="Times New Roman" w:cs="Times New Roman"/>
          <w:noProof/>
          <w:sz w:val="24"/>
          <w:szCs w:val="24"/>
        </w:rPr>
        <w:t>, 9–14.</w:t>
      </w:r>
      <w:r w:rsidRPr="001D4EA2">
        <w:rPr>
          <w:rFonts w:ascii="Times New Roman" w:hAnsi="Times New Roman" w:cs="Times New Roman"/>
          <w:color w:val="282828"/>
          <w:sz w:val="24"/>
          <w:szCs w:val="24"/>
          <w:shd w:val="clear" w:color="auto" w:fill="F7F7F7"/>
        </w:rPr>
        <w:t xml:space="preserve">  </w:t>
      </w:r>
    </w:p>
    <w:p w14:paraId="5422EF39" w14:textId="77777777" w:rsidR="00D271E8" w:rsidRDefault="00D271E8" w:rsidP="0009130A">
      <w:pPr>
        <w:widowControl w:val="0"/>
        <w:autoSpaceDE w:val="0"/>
        <w:autoSpaceDN w:val="0"/>
        <w:adjustRightInd w:val="0"/>
        <w:spacing w:line="360" w:lineRule="auto"/>
        <w:ind w:left="480" w:hanging="480"/>
        <w:jc w:val="both"/>
        <w:rPr>
          <w:rFonts w:ascii="Times New Roman" w:hAnsi="Times New Roman" w:cs="Times New Roman"/>
          <w:sz w:val="24"/>
          <w:szCs w:val="24"/>
        </w:rPr>
      </w:pPr>
    </w:p>
    <w:p w14:paraId="5B404D6C" w14:textId="77777777" w:rsidR="00D271E8" w:rsidRDefault="00D271E8" w:rsidP="0009130A">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Neipp, M., Karavul, B., Jackobs, S., zu Vilsendorf, A. M., Richter, N., Becker, T., Schwarz, A., &amp; Klempnauer, J. (2006). Quality of Life in Adult Transplant Recipients More than 15 Years after Kidney Transplantation. </w:t>
      </w:r>
      <w:r>
        <w:rPr>
          <w:rFonts w:ascii="Times New Roman" w:hAnsi="Times New Roman" w:cs="Times New Roman"/>
          <w:i/>
          <w:iCs/>
          <w:sz w:val="24"/>
          <w:szCs w:val="24"/>
        </w:rPr>
        <w:t>Transplantation</w:t>
      </w:r>
      <w:r>
        <w:rPr>
          <w:rFonts w:ascii="Times New Roman" w:hAnsi="Times New Roman" w:cs="Times New Roman"/>
          <w:sz w:val="24"/>
          <w:szCs w:val="24"/>
        </w:rPr>
        <w:t xml:space="preserve">, </w:t>
      </w:r>
      <w:r>
        <w:rPr>
          <w:rFonts w:ascii="Times New Roman" w:hAnsi="Times New Roman" w:cs="Times New Roman"/>
          <w:i/>
          <w:iCs/>
          <w:sz w:val="24"/>
          <w:szCs w:val="24"/>
        </w:rPr>
        <w:t>81</w:t>
      </w:r>
      <w:r>
        <w:rPr>
          <w:rFonts w:ascii="Times New Roman" w:hAnsi="Times New Roman" w:cs="Times New Roman"/>
          <w:sz w:val="24"/>
          <w:szCs w:val="24"/>
        </w:rPr>
        <w:t>(12), 1640–1644. https://doi.org/10.1097/01.tp.0000226070.74443.fb</w:t>
      </w:r>
    </w:p>
    <w:p w14:paraId="4CE721C5" w14:textId="77777777" w:rsidR="00D271E8" w:rsidRDefault="00D271E8" w:rsidP="0009130A">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Papalois, Z.-A., &amp; Papalois, V. (2023). Health-Related Quality of Life and Patient Reported Outcome Measures Following Transplantation Surgery. In </w:t>
      </w:r>
      <w:r>
        <w:rPr>
          <w:rFonts w:ascii="Times New Roman" w:hAnsi="Times New Roman" w:cs="Times New Roman"/>
          <w:i/>
          <w:iCs/>
          <w:sz w:val="24"/>
          <w:szCs w:val="24"/>
        </w:rPr>
        <w:t>Patient Reported Outcomes and Quality of Life in Surgery</w:t>
      </w:r>
      <w:r>
        <w:rPr>
          <w:rFonts w:ascii="Times New Roman" w:hAnsi="Times New Roman" w:cs="Times New Roman"/>
          <w:sz w:val="24"/>
          <w:szCs w:val="24"/>
        </w:rPr>
        <w:t xml:space="preserve"> (pp. 215–240). Springer.</w:t>
      </w:r>
      <w:r>
        <w:rPr>
          <w:rFonts w:ascii="Times New Roman" w:hAnsi="Times New Roman"/>
          <w:sz w:val="24"/>
          <w:szCs w:val="24"/>
        </w:rPr>
        <w:t>http://dx.doi.org/10.1007/978-3-031-27597-5_14</w:t>
      </w:r>
    </w:p>
    <w:p w14:paraId="5A074DDE" w14:textId="77777777" w:rsidR="00D271E8" w:rsidRDefault="00D271E8" w:rsidP="0009130A">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lastRenderedPageBreak/>
        <w:t xml:space="preserve">Pflugrad, H., Nösel, P., Ding, X., Schmitz, B., Lanfermann, H., Barg-Hock, H., Klempnauer, J., Schiffer, M., &amp; Weissenborn, K. (2020). Brain function and metabolism in patients with long-term tacrolimus therapy after kidney transplantation in comparison to patients after liver transplantation. </w:t>
      </w:r>
      <w:r>
        <w:rPr>
          <w:rFonts w:ascii="Times New Roman" w:hAnsi="Times New Roman" w:cs="Times New Roman"/>
          <w:i/>
          <w:iCs/>
          <w:sz w:val="24"/>
          <w:szCs w:val="24"/>
        </w:rPr>
        <w:t>PLOS ONE</w:t>
      </w:r>
      <w:r>
        <w:rPr>
          <w:rFonts w:ascii="Times New Roman" w:hAnsi="Times New Roman" w:cs="Times New Roman"/>
          <w:sz w:val="24"/>
          <w:szCs w:val="24"/>
        </w:rPr>
        <w:t xml:space="preserve">, </w:t>
      </w:r>
      <w:r>
        <w:rPr>
          <w:rFonts w:ascii="Times New Roman" w:hAnsi="Times New Roman" w:cs="Times New Roman"/>
          <w:i/>
          <w:iCs/>
          <w:sz w:val="24"/>
          <w:szCs w:val="24"/>
        </w:rPr>
        <w:t>15</w:t>
      </w:r>
      <w:r>
        <w:rPr>
          <w:rFonts w:ascii="Times New Roman" w:hAnsi="Times New Roman" w:cs="Times New Roman"/>
          <w:sz w:val="24"/>
          <w:szCs w:val="24"/>
        </w:rPr>
        <w:t>(3), e0229759. https://doi.org/10.1371/JOURNAL.PONE.0229759</w:t>
      </w:r>
    </w:p>
    <w:p w14:paraId="5D10A3BD" w14:textId="0D9ED0CF" w:rsidR="00D271E8" w:rsidRDefault="00D271E8" w:rsidP="0009130A">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Shetty, A. A., Wertheim, J. A., &amp; Butt, Z. (2017). Health-Related Quality of Life Outcomes After Kidney Transplantation. </w:t>
      </w:r>
      <w:r>
        <w:rPr>
          <w:rFonts w:ascii="Times New Roman" w:hAnsi="Times New Roman" w:cs="Times New Roman"/>
          <w:i/>
          <w:iCs/>
          <w:sz w:val="24"/>
          <w:szCs w:val="24"/>
        </w:rPr>
        <w:t>Kidney Transplantation, Bioengineering, and Regeneration: Kidney Transplantation in the Regenerative Medicine Era</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 699–708. https://doi.org/10.1016/B978-0-12-801734-0.00050-3</w:t>
      </w:r>
    </w:p>
    <w:p w14:paraId="11A16206" w14:textId="222CBF00" w:rsidR="00D271E8" w:rsidRPr="00D271E8" w:rsidRDefault="00D271E8" w:rsidP="0009130A">
      <w:pPr>
        <w:spacing w:line="360" w:lineRule="auto"/>
        <w:jc w:val="both"/>
      </w:pPr>
      <w:r>
        <w:rPr>
          <w:rFonts w:ascii="Times New Roman" w:hAnsi="Times New Roman" w:cs="Times New Roman"/>
          <w:sz w:val="24"/>
          <w:szCs w:val="24"/>
        </w:rPr>
        <w:t xml:space="preserve">Siyoum, M., Muleta, M., Gebretsadik, T., Gelan, E., Ketema, T., Teshome, T., Woodside, K., Leichtman, A., Punch, J., States, U., &amp; States, U. (2020). </w:t>
      </w:r>
      <w:r>
        <w:rPr>
          <w:rFonts w:ascii="Times New Roman" w:hAnsi="Times New Roman" w:cs="Times New Roman"/>
          <w:i/>
          <w:iCs/>
          <w:sz w:val="24"/>
          <w:szCs w:val="24"/>
        </w:rPr>
        <w:t xml:space="preserve">QUALITY OF LIFE AND ASSOCIATED FACTORS OF KIDNEY TRANSPLANT PATIENTS IN ETHIOPIA Surgery , Saint Paul Hospital Millennium Medical College , Addis Ababa , Ethiopia ; 2 Public Health , Saint Paul Hospital Millennium Medical College , Addis Ababa , Ethiopia </w:t>
      </w:r>
      <w:r>
        <w:rPr>
          <w:rFonts w:ascii="Times New Roman" w:hAnsi="Times New Roman" w:cs="Times New Roman"/>
          <w:sz w:val="24"/>
          <w:szCs w:val="24"/>
        </w:rPr>
        <w:t xml:space="preserve">. </w:t>
      </w:r>
      <w:r>
        <w:rPr>
          <w:rFonts w:ascii="Times New Roman" w:hAnsi="Times New Roman" w:cs="Times New Roman"/>
          <w:i/>
          <w:iCs/>
          <w:sz w:val="24"/>
          <w:szCs w:val="24"/>
        </w:rPr>
        <w:t>104</w:t>
      </w:r>
      <w:r>
        <w:rPr>
          <w:rFonts w:ascii="Times New Roman" w:hAnsi="Times New Roman" w:cs="Times New Roman"/>
          <w:sz w:val="24"/>
          <w:szCs w:val="24"/>
        </w:rPr>
        <w:t>(September), 2019–2020.</w:t>
      </w:r>
      <w:r>
        <w:rPr>
          <w:rFonts w:ascii="Times New Roman" w:hAnsi="Times New Roman"/>
          <w:sz w:val="24"/>
          <w:szCs w:val="24"/>
        </w:rPr>
        <w:t>http://dx.doi.org/10.1097/01.tp.0000700804.48875.90</w:t>
      </w:r>
    </w:p>
    <w:p w14:paraId="773A2D6F" w14:textId="77777777" w:rsidR="00D271E8" w:rsidRDefault="00D271E8" w:rsidP="0009130A">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Tayyebi, A., Raiesifar, A., Mehri, S. N., Ebadi, A., Einolahi, B., &amp; Pashandi, S. (2012). Measuring health related quality of life (hrqol) in renal transplant patients: psychometric properties and cross-cultural adaptation of kidney transplant questionnaire (ktq-25) in persian. </w:t>
      </w:r>
      <w:r>
        <w:rPr>
          <w:rFonts w:ascii="Times New Roman" w:hAnsi="Times New Roman" w:cs="Times New Roman"/>
          <w:i/>
          <w:iCs/>
          <w:sz w:val="24"/>
          <w:szCs w:val="24"/>
        </w:rPr>
        <w:t>Nephro-Urology Monthly</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 xml:space="preserve">(4), 617.  </w:t>
      </w:r>
      <w:r>
        <w:rPr>
          <w:rFonts w:ascii="Times New Roman" w:hAnsi="Times New Roman"/>
          <w:sz w:val="24"/>
          <w:szCs w:val="24"/>
        </w:rPr>
        <w:t>https://doi.org/10.5812/numonthly.1382</w:t>
      </w:r>
    </w:p>
    <w:p w14:paraId="0DEDF071" w14:textId="77777777" w:rsidR="00D271E8" w:rsidRDefault="00D271E8" w:rsidP="0009130A">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Veltkamp, D. M. J., Wang, Y., Meuleman, Y., Dekker, F. W., Michels, W. M., van der Boog, P. J. M., &amp; de Vries, A. P. J. (2023). Age and gender differences in symptom experience and health-related quality of life in kidney transplant recipients: a cross-sectional study. </w:t>
      </w:r>
      <w:r>
        <w:rPr>
          <w:rFonts w:ascii="Times New Roman" w:hAnsi="Times New Roman" w:cs="Times New Roman"/>
          <w:i/>
          <w:iCs/>
          <w:sz w:val="24"/>
          <w:szCs w:val="24"/>
        </w:rPr>
        <w:t>Nephrology Dialysis Transplantation</w:t>
      </w:r>
      <w:r>
        <w:rPr>
          <w:rFonts w:ascii="Times New Roman" w:hAnsi="Times New Roman" w:cs="Times New Roman"/>
          <w:sz w:val="24"/>
          <w:szCs w:val="24"/>
        </w:rPr>
        <w:t xml:space="preserve">, </w:t>
      </w:r>
      <w:r>
        <w:rPr>
          <w:rFonts w:ascii="Times New Roman" w:hAnsi="Times New Roman" w:cs="Times New Roman"/>
          <w:i/>
          <w:iCs/>
          <w:sz w:val="24"/>
          <w:szCs w:val="24"/>
        </w:rPr>
        <w:t>38</w:t>
      </w:r>
      <w:r>
        <w:rPr>
          <w:rFonts w:ascii="Times New Roman" w:hAnsi="Times New Roman" w:cs="Times New Roman"/>
          <w:sz w:val="24"/>
          <w:szCs w:val="24"/>
        </w:rPr>
        <w:t>(7), 1707–1718.</w:t>
      </w:r>
      <w:r>
        <w:rPr>
          <w:rFonts w:ascii="Times New Roman" w:hAnsi="Times New Roman"/>
          <w:sz w:val="24"/>
          <w:szCs w:val="24"/>
        </w:rPr>
        <w:t>doi: 10.1093/ndt/gfad023.</w:t>
      </w:r>
    </w:p>
    <w:p w14:paraId="7C2DCEED" w14:textId="77777777" w:rsidR="00D271E8" w:rsidRDefault="00D271E8" w:rsidP="0009130A">
      <w:pPr>
        <w:widowControl w:val="0"/>
        <w:autoSpaceDE w:val="0"/>
        <w:autoSpaceDN w:val="0"/>
        <w:adjustRightInd w:val="0"/>
        <w:spacing w:line="360" w:lineRule="auto"/>
        <w:ind w:left="480" w:hanging="480"/>
        <w:jc w:val="both"/>
        <w:rPr>
          <w:rFonts w:ascii="Times New Roman" w:hAnsi="Times New Roman"/>
          <w:sz w:val="24"/>
          <w:szCs w:val="24"/>
        </w:rPr>
      </w:pPr>
      <w:r>
        <w:rPr>
          <w:rFonts w:ascii="Times New Roman" w:hAnsi="Times New Roman" w:cs="Times New Roman"/>
          <w:sz w:val="24"/>
          <w:szCs w:val="24"/>
        </w:rPr>
        <w:t xml:space="preserve">Vieira, M. B. (2024). Reducing Tacrolimus Levels to Improve Cognitive Function in Kidney Transplant Recipients. In </w:t>
      </w:r>
      <w:r>
        <w:rPr>
          <w:rFonts w:ascii="Times New Roman" w:hAnsi="Times New Roman" w:cs="Times New Roman"/>
          <w:i/>
          <w:iCs/>
          <w:sz w:val="24"/>
          <w:szCs w:val="24"/>
        </w:rPr>
        <w:t>Kidney360</w:t>
      </w:r>
      <w:r>
        <w:rPr>
          <w:rFonts w:ascii="Times New Roman" w:hAnsi="Times New Roman" w:cs="Times New Roman"/>
          <w:sz w:val="24"/>
          <w:szCs w:val="24"/>
        </w:rPr>
        <w:t xml:space="preserve"> (Vol. 5, Issue 7, pp. 936–937). LWW. </w:t>
      </w:r>
      <w:r>
        <w:rPr>
          <w:rFonts w:ascii="Times New Roman" w:hAnsi="Times New Roman"/>
          <w:sz w:val="24"/>
          <w:szCs w:val="24"/>
        </w:rPr>
        <w:t>doi: 10.34067/KID.0000000000000454</w:t>
      </w:r>
    </w:p>
    <w:p w14:paraId="04685CED" w14:textId="77777777" w:rsidR="00D271E8" w:rsidRDefault="00D271E8" w:rsidP="0009130A">
      <w:pPr>
        <w:widowControl w:val="0"/>
        <w:autoSpaceDE w:val="0"/>
        <w:autoSpaceDN w:val="0"/>
        <w:adjustRightInd w:val="0"/>
        <w:spacing w:after="200" w:line="240" w:lineRule="auto"/>
        <w:ind w:left="480" w:hanging="480"/>
        <w:jc w:val="both"/>
        <w:rPr>
          <w:rFonts w:ascii="Times New Roman" w:hAnsi="Times New Roman" w:cs="Times New Roman"/>
          <w:noProof/>
          <w:sz w:val="24"/>
          <w:szCs w:val="24"/>
        </w:rPr>
      </w:pPr>
      <w:r w:rsidRPr="00621413">
        <w:rPr>
          <w:rFonts w:ascii="Times New Roman" w:hAnsi="Times New Roman" w:cs="Times New Roman"/>
          <w:noProof/>
          <w:sz w:val="24"/>
          <w:szCs w:val="24"/>
        </w:rPr>
        <w:t xml:space="preserve">Vu, L. N., Nghia, N. Q., Tuan, T. M., Phuong, T. H., Vo, H.-L., Viet, K. N., &amp; Giang, T. </w:t>
      </w:r>
      <w:r w:rsidRPr="00621413">
        <w:rPr>
          <w:rFonts w:ascii="Times New Roman" w:hAnsi="Times New Roman" w:cs="Times New Roman"/>
          <w:noProof/>
          <w:sz w:val="24"/>
          <w:szCs w:val="24"/>
        </w:rPr>
        <w:lastRenderedPageBreak/>
        <w:t xml:space="preserve">B. (2021). Measuring health-related quality of life in Vietnamese patients after kidney transplantation. </w:t>
      </w:r>
      <w:r w:rsidRPr="00621413">
        <w:rPr>
          <w:rFonts w:ascii="Times New Roman" w:hAnsi="Times New Roman" w:cs="Times New Roman"/>
          <w:i/>
          <w:iCs/>
          <w:noProof/>
          <w:sz w:val="24"/>
          <w:szCs w:val="24"/>
        </w:rPr>
        <w:t>Frontiers in Surgery</w:t>
      </w:r>
      <w:r w:rsidRPr="00621413">
        <w:rPr>
          <w:rFonts w:ascii="Times New Roman" w:hAnsi="Times New Roman" w:cs="Times New Roman"/>
          <w:noProof/>
          <w:sz w:val="24"/>
          <w:szCs w:val="24"/>
        </w:rPr>
        <w:t xml:space="preserve">, </w:t>
      </w:r>
      <w:r w:rsidRPr="00621413">
        <w:rPr>
          <w:rFonts w:ascii="Times New Roman" w:hAnsi="Times New Roman" w:cs="Times New Roman"/>
          <w:i/>
          <w:iCs/>
          <w:noProof/>
          <w:sz w:val="24"/>
          <w:szCs w:val="24"/>
        </w:rPr>
        <w:t>8</w:t>
      </w:r>
      <w:r w:rsidRPr="00621413">
        <w:rPr>
          <w:rFonts w:ascii="Times New Roman" w:hAnsi="Times New Roman" w:cs="Times New Roman"/>
          <w:noProof/>
          <w:sz w:val="24"/>
          <w:szCs w:val="24"/>
        </w:rPr>
        <w:t>, 646629.</w:t>
      </w:r>
      <w:r w:rsidRPr="00621413">
        <w:rPr>
          <w:rFonts w:ascii="Times New Roman" w:hAnsi="Times New Roman" w:cs="Times New Roman"/>
          <w:sz w:val="24"/>
          <w:szCs w:val="24"/>
        </w:rPr>
        <w:t xml:space="preserve"> </w:t>
      </w:r>
      <w:hyperlink r:id="rId13" w:history="1">
        <w:r w:rsidRPr="00621413">
          <w:rPr>
            <w:rStyle w:val="Hyperlink"/>
            <w:rFonts w:ascii="Times New Roman" w:hAnsi="Times New Roman" w:cs="Times New Roman"/>
            <w:sz w:val="24"/>
            <w:szCs w:val="24"/>
            <w:shd w:val="clear" w:color="auto" w:fill="F7F7F7"/>
          </w:rPr>
          <w:t>https://doi.org/10.3389/fsurg.2021.646629</w:t>
        </w:r>
      </w:hyperlink>
    </w:p>
    <w:p w14:paraId="32C1A945" w14:textId="77777777" w:rsidR="00D271E8" w:rsidRDefault="00D271E8" w:rsidP="0009130A">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Wang, Y., Hemmelder, M. H., Bos, W. J. W., Snoep, J. D., de Vries, A. P. J., Dekker, F. W., &amp; Meuleman, Y. (2021). Mapping health-related quality of life after kidney transplantation by group comparisons: a systematic review. </w:t>
      </w:r>
      <w:r>
        <w:rPr>
          <w:rFonts w:ascii="Times New Roman" w:hAnsi="Times New Roman" w:cs="Times New Roman"/>
          <w:i/>
          <w:iCs/>
          <w:sz w:val="24"/>
          <w:szCs w:val="24"/>
        </w:rPr>
        <w:t>Nephrology Dialysis Transplantation</w:t>
      </w:r>
      <w:r>
        <w:rPr>
          <w:rFonts w:ascii="Times New Roman" w:hAnsi="Times New Roman" w:cs="Times New Roman"/>
          <w:sz w:val="24"/>
          <w:szCs w:val="24"/>
        </w:rPr>
        <w:t xml:space="preserve">, </w:t>
      </w:r>
      <w:r>
        <w:rPr>
          <w:rFonts w:ascii="Times New Roman" w:hAnsi="Times New Roman" w:cs="Times New Roman"/>
          <w:i/>
          <w:iCs/>
          <w:sz w:val="24"/>
          <w:szCs w:val="24"/>
        </w:rPr>
        <w:t>36</w:t>
      </w:r>
      <w:r>
        <w:rPr>
          <w:rFonts w:ascii="Times New Roman" w:hAnsi="Times New Roman" w:cs="Times New Roman"/>
          <w:sz w:val="24"/>
          <w:szCs w:val="24"/>
        </w:rPr>
        <w:t>(12), 2327–2339.</w:t>
      </w:r>
      <w:r>
        <w:rPr>
          <w:rFonts w:ascii="Times New Roman" w:hAnsi="Times New Roman"/>
          <w:sz w:val="24"/>
          <w:szCs w:val="24"/>
        </w:rPr>
        <w:t>doi: 10.1093/ndt/gfab232.</w:t>
      </w:r>
    </w:p>
    <w:p w14:paraId="4A87863F" w14:textId="77777777" w:rsidR="00D271E8" w:rsidRDefault="00D271E8" w:rsidP="0009130A">
      <w:pPr>
        <w:widowControl w:val="0"/>
        <w:autoSpaceDE w:val="0"/>
        <w:autoSpaceDN w:val="0"/>
        <w:adjustRightInd w:val="0"/>
        <w:spacing w:line="360" w:lineRule="auto"/>
        <w:ind w:left="480" w:hanging="480"/>
        <w:jc w:val="both"/>
        <w:rPr>
          <w:rFonts w:ascii="Times New Roman" w:hAnsi="Times New Roman" w:cs="Times New Roman"/>
          <w:sz w:val="24"/>
        </w:rPr>
      </w:pPr>
      <w:r>
        <w:rPr>
          <w:rFonts w:ascii="Times New Roman" w:hAnsi="Times New Roman" w:cs="Times New Roman"/>
          <w:sz w:val="24"/>
          <w:szCs w:val="24"/>
        </w:rPr>
        <w:t xml:space="preserve">Zaragoza-Fernández, G. M., De La Flor, J. C., Fernández Abreu, V., Castellano, E. I., Rodríguez-Barbero Requena, L., &amp; Fernández Castillo, R. (2025). Comparison of Depression in Hemodialysis, Peritoneal Dialysis, and Kidney Transplant Patients: A Systematic Review with Meta-Analysis. </w:t>
      </w:r>
      <w:r>
        <w:rPr>
          <w:rFonts w:ascii="Times New Roman" w:hAnsi="Times New Roman" w:cs="Times New Roman"/>
          <w:i/>
          <w:iCs/>
          <w:sz w:val="24"/>
          <w:szCs w:val="24"/>
        </w:rPr>
        <w:t>Journal of Personalized Medicine</w:t>
      </w:r>
      <w:r>
        <w:rPr>
          <w:rFonts w:ascii="Times New Roman" w:hAnsi="Times New Roman" w:cs="Times New Roman"/>
          <w:sz w:val="24"/>
          <w:szCs w:val="24"/>
        </w:rPr>
        <w:t xml:space="preserve">, </w:t>
      </w:r>
      <w:r>
        <w:rPr>
          <w:rFonts w:ascii="Times New Roman" w:hAnsi="Times New Roman" w:cs="Times New Roman"/>
          <w:i/>
          <w:iCs/>
          <w:sz w:val="24"/>
          <w:szCs w:val="24"/>
        </w:rPr>
        <w:t>15</w:t>
      </w:r>
      <w:r>
        <w:rPr>
          <w:rFonts w:ascii="Times New Roman" w:hAnsi="Times New Roman" w:cs="Times New Roman"/>
          <w:sz w:val="24"/>
          <w:szCs w:val="24"/>
        </w:rPr>
        <w:t>(5), 179.</w:t>
      </w:r>
      <w:r>
        <w:rPr>
          <w:rFonts w:ascii="Times New Roman" w:hAnsi="Times New Roman"/>
          <w:sz w:val="24"/>
          <w:szCs w:val="24"/>
        </w:rPr>
        <w:t>doi: 10.3390/jpm15050179.</w:t>
      </w:r>
    </w:p>
    <w:p w14:paraId="5931645A" w14:textId="4C35F1FB" w:rsidR="003165E5" w:rsidRPr="002F72C4" w:rsidRDefault="00D271E8" w:rsidP="0009130A">
      <w:pPr>
        <w:pStyle w:val="NormalWeb"/>
        <w:spacing w:before="0" w:beforeAutospacing="0" w:after="200" w:afterAutospacing="0" w:line="360" w:lineRule="auto"/>
        <w:jc w:val="both"/>
        <w:rPr>
          <w:b/>
          <w:color w:val="000000" w:themeColor="text1"/>
          <w:shd w:val="clear" w:color="auto" w:fill="FFFFFF"/>
        </w:rPr>
      </w:pPr>
      <w:r>
        <w:rPr>
          <w:rFonts w:eastAsia="Calibri"/>
          <w:color w:val="000000" w:themeColor="text1"/>
        </w:rPr>
        <w:fldChar w:fldCharType="end"/>
      </w:r>
    </w:p>
    <w:bookmarkEnd w:id="1"/>
    <w:p w14:paraId="56E3B71F" w14:textId="77777777" w:rsidR="00076043" w:rsidRPr="002F72C4" w:rsidRDefault="00076043">
      <w:pPr>
        <w:rPr>
          <w:rFonts w:ascii="Times New Roman" w:hAnsi="Times New Roman" w:cs="Times New Roman"/>
          <w:color w:val="000000" w:themeColor="text1"/>
          <w:sz w:val="24"/>
          <w:szCs w:val="24"/>
        </w:rPr>
      </w:pPr>
    </w:p>
    <w:sectPr w:rsidR="00076043" w:rsidRPr="002F72C4" w:rsidSect="005200BE">
      <w:headerReference w:type="even" r:id="rId14"/>
      <w:headerReference w:type="default" r:id="rId15"/>
      <w:footerReference w:type="default" r:id="rId16"/>
      <w:headerReference w:type="first" r:id="rId1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5DBE7" w14:textId="77777777" w:rsidR="00601230" w:rsidRDefault="00601230" w:rsidP="009B6BBD">
      <w:pPr>
        <w:spacing w:after="0" w:line="240" w:lineRule="auto"/>
      </w:pPr>
      <w:r>
        <w:separator/>
      </w:r>
    </w:p>
  </w:endnote>
  <w:endnote w:type="continuationSeparator" w:id="0">
    <w:p w14:paraId="677329E3" w14:textId="77777777" w:rsidR="00601230" w:rsidRDefault="00601230" w:rsidP="009B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296889"/>
      <w:docPartObj>
        <w:docPartGallery w:val="Page Numbers (Bottom of Page)"/>
        <w:docPartUnique/>
      </w:docPartObj>
    </w:sdtPr>
    <w:sdtEndPr>
      <w:rPr>
        <w:noProof/>
      </w:rPr>
    </w:sdtEndPr>
    <w:sdtContent>
      <w:p w14:paraId="33AAC0E3" w14:textId="0CA93069" w:rsidR="005C5961" w:rsidRDefault="005C5961">
        <w:pPr>
          <w:pStyle w:val="Footer"/>
          <w:jc w:val="center"/>
        </w:pPr>
        <w:r>
          <w:fldChar w:fldCharType="begin"/>
        </w:r>
        <w:r>
          <w:instrText xml:space="preserve"> PAGE   \* MERGEFORMAT </w:instrText>
        </w:r>
        <w:r>
          <w:fldChar w:fldCharType="separate"/>
        </w:r>
        <w:r w:rsidR="00E15CB5">
          <w:rPr>
            <w:noProof/>
          </w:rPr>
          <w:t>4</w:t>
        </w:r>
        <w:r>
          <w:rPr>
            <w:noProof/>
          </w:rPr>
          <w:fldChar w:fldCharType="end"/>
        </w:r>
      </w:p>
    </w:sdtContent>
  </w:sdt>
  <w:p w14:paraId="38B6A101" w14:textId="77777777" w:rsidR="005C5961" w:rsidRDefault="005C59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8E2F1" w14:textId="77777777" w:rsidR="00601230" w:rsidRDefault="00601230" w:rsidP="009B6BBD">
      <w:pPr>
        <w:spacing w:after="0" w:line="240" w:lineRule="auto"/>
      </w:pPr>
      <w:r>
        <w:separator/>
      </w:r>
    </w:p>
  </w:footnote>
  <w:footnote w:type="continuationSeparator" w:id="0">
    <w:p w14:paraId="587A4AD5" w14:textId="77777777" w:rsidR="00601230" w:rsidRDefault="00601230" w:rsidP="009B6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8DE8" w14:textId="7370A0E7" w:rsidR="005C5961" w:rsidRDefault="005C5961">
    <w:pPr>
      <w:pStyle w:val="Header"/>
    </w:pPr>
    <w:r>
      <w:rPr>
        <w:noProof/>
      </w:rPr>
      <w:pict w14:anchorId="49E1B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647688"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A4764" w14:textId="088A3790" w:rsidR="005C5961" w:rsidRDefault="005C5961">
    <w:pPr>
      <w:pStyle w:val="Header"/>
    </w:pPr>
    <w:r>
      <w:rPr>
        <w:noProof/>
      </w:rPr>
      <w:pict w14:anchorId="7E366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647689"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DBCCB" w14:textId="57EB9115" w:rsidR="005C5961" w:rsidRDefault="005C5961">
    <w:pPr>
      <w:pStyle w:val="Header"/>
    </w:pPr>
    <w:r>
      <w:rPr>
        <w:noProof/>
      </w:rPr>
      <w:pict w14:anchorId="5C5F8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647687"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AE6"/>
    <w:multiLevelType w:val="hybridMultilevel"/>
    <w:tmpl w:val="49B0701E"/>
    <w:lvl w:ilvl="0" w:tplc="CE8ED236">
      <w:start w:val="1"/>
      <w:numFmt w:val="bullet"/>
      <w:lvlText w:val="•"/>
      <w:lvlJc w:val="left"/>
      <w:pPr>
        <w:tabs>
          <w:tab w:val="num" w:pos="720"/>
        </w:tabs>
        <w:ind w:left="720" w:hanging="360"/>
      </w:pPr>
      <w:rPr>
        <w:rFonts w:ascii="Arial" w:hAnsi="Arial" w:hint="default"/>
      </w:rPr>
    </w:lvl>
    <w:lvl w:ilvl="1" w:tplc="E20A51E6" w:tentative="1">
      <w:start w:val="1"/>
      <w:numFmt w:val="bullet"/>
      <w:lvlText w:val="•"/>
      <w:lvlJc w:val="left"/>
      <w:pPr>
        <w:tabs>
          <w:tab w:val="num" w:pos="1440"/>
        </w:tabs>
        <w:ind w:left="1440" w:hanging="360"/>
      </w:pPr>
      <w:rPr>
        <w:rFonts w:ascii="Arial" w:hAnsi="Arial" w:hint="default"/>
      </w:rPr>
    </w:lvl>
    <w:lvl w:ilvl="2" w:tplc="74206286" w:tentative="1">
      <w:start w:val="1"/>
      <w:numFmt w:val="bullet"/>
      <w:lvlText w:val="•"/>
      <w:lvlJc w:val="left"/>
      <w:pPr>
        <w:tabs>
          <w:tab w:val="num" w:pos="2160"/>
        </w:tabs>
        <w:ind w:left="2160" w:hanging="360"/>
      </w:pPr>
      <w:rPr>
        <w:rFonts w:ascii="Arial" w:hAnsi="Arial" w:hint="default"/>
      </w:rPr>
    </w:lvl>
    <w:lvl w:ilvl="3" w:tplc="1666C432" w:tentative="1">
      <w:start w:val="1"/>
      <w:numFmt w:val="bullet"/>
      <w:lvlText w:val="•"/>
      <w:lvlJc w:val="left"/>
      <w:pPr>
        <w:tabs>
          <w:tab w:val="num" w:pos="2880"/>
        </w:tabs>
        <w:ind w:left="2880" w:hanging="360"/>
      </w:pPr>
      <w:rPr>
        <w:rFonts w:ascii="Arial" w:hAnsi="Arial" w:hint="default"/>
      </w:rPr>
    </w:lvl>
    <w:lvl w:ilvl="4" w:tplc="58ECB084" w:tentative="1">
      <w:start w:val="1"/>
      <w:numFmt w:val="bullet"/>
      <w:lvlText w:val="•"/>
      <w:lvlJc w:val="left"/>
      <w:pPr>
        <w:tabs>
          <w:tab w:val="num" w:pos="3600"/>
        </w:tabs>
        <w:ind w:left="3600" w:hanging="360"/>
      </w:pPr>
      <w:rPr>
        <w:rFonts w:ascii="Arial" w:hAnsi="Arial" w:hint="default"/>
      </w:rPr>
    </w:lvl>
    <w:lvl w:ilvl="5" w:tplc="35CC5BC0" w:tentative="1">
      <w:start w:val="1"/>
      <w:numFmt w:val="bullet"/>
      <w:lvlText w:val="•"/>
      <w:lvlJc w:val="left"/>
      <w:pPr>
        <w:tabs>
          <w:tab w:val="num" w:pos="4320"/>
        </w:tabs>
        <w:ind w:left="4320" w:hanging="360"/>
      </w:pPr>
      <w:rPr>
        <w:rFonts w:ascii="Arial" w:hAnsi="Arial" w:hint="default"/>
      </w:rPr>
    </w:lvl>
    <w:lvl w:ilvl="6" w:tplc="3FDE8FF8" w:tentative="1">
      <w:start w:val="1"/>
      <w:numFmt w:val="bullet"/>
      <w:lvlText w:val="•"/>
      <w:lvlJc w:val="left"/>
      <w:pPr>
        <w:tabs>
          <w:tab w:val="num" w:pos="5040"/>
        </w:tabs>
        <w:ind w:left="5040" w:hanging="360"/>
      </w:pPr>
      <w:rPr>
        <w:rFonts w:ascii="Arial" w:hAnsi="Arial" w:hint="default"/>
      </w:rPr>
    </w:lvl>
    <w:lvl w:ilvl="7" w:tplc="BCF82B94" w:tentative="1">
      <w:start w:val="1"/>
      <w:numFmt w:val="bullet"/>
      <w:lvlText w:val="•"/>
      <w:lvlJc w:val="left"/>
      <w:pPr>
        <w:tabs>
          <w:tab w:val="num" w:pos="5760"/>
        </w:tabs>
        <w:ind w:left="5760" w:hanging="360"/>
      </w:pPr>
      <w:rPr>
        <w:rFonts w:ascii="Arial" w:hAnsi="Arial" w:hint="default"/>
      </w:rPr>
    </w:lvl>
    <w:lvl w:ilvl="8" w:tplc="3C26F4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E9561D"/>
    <w:multiLevelType w:val="hybridMultilevel"/>
    <w:tmpl w:val="B886A5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A26D56"/>
    <w:multiLevelType w:val="multilevel"/>
    <w:tmpl w:val="850E0CA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1E3FB4"/>
    <w:multiLevelType w:val="hybridMultilevel"/>
    <w:tmpl w:val="AA1C9B4A"/>
    <w:lvl w:ilvl="0" w:tplc="0ED8B7B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EF622D7"/>
    <w:multiLevelType w:val="hybridMultilevel"/>
    <w:tmpl w:val="B400D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D440B"/>
    <w:multiLevelType w:val="hybridMultilevel"/>
    <w:tmpl w:val="7E506B0C"/>
    <w:lvl w:ilvl="0" w:tplc="36E0783E">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3EE4744"/>
    <w:multiLevelType w:val="hybridMultilevel"/>
    <w:tmpl w:val="634848A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1B50E2"/>
    <w:multiLevelType w:val="hybridMultilevel"/>
    <w:tmpl w:val="465487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ABB7B9D"/>
    <w:multiLevelType w:val="hybridMultilevel"/>
    <w:tmpl w:val="65F84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D855C3"/>
    <w:multiLevelType w:val="hybridMultilevel"/>
    <w:tmpl w:val="B244526E"/>
    <w:lvl w:ilvl="0" w:tplc="04090011">
      <w:start w:val="1"/>
      <w:numFmt w:val="decimal"/>
      <w:lvlText w:val="%1)"/>
      <w:lvlJc w:val="left"/>
      <w:pPr>
        <w:ind w:left="1159" w:hanging="360"/>
      </w:pPr>
    </w:lvl>
    <w:lvl w:ilvl="1" w:tplc="04090019">
      <w:start w:val="1"/>
      <w:numFmt w:val="lowerLetter"/>
      <w:lvlText w:val="%2."/>
      <w:lvlJc w:val="left"/>
      <w:pPr>
        <w:ind w:left="1879" w:hanging="360"/>
      </w:pPr>
    </w:lvl>
    <w:lvl w:ilvl="2" w:tplc="0409001B">
      <w:start w:val="1"/>
      <w:numFmt w:val="lowerRoman"/>
      <w:lvlText w:val="%3."/>
      <w:lvlJc w:val="right"/>
      <w:pPr>
        <w:ind w:left="2599" w:hanging="180"/>
      </w:pPr>
    </w:lvl>
    <w:lvl w:ilvl="3" w:tplc="0409000F">
      <w:start w:val="1"/>
      <w:numFmt w:val="decimal"/>
      <w:lvlText w:val="%4."/>
      <w:lvlJc w:val="left"/>
      <w:pPr>
        <w:ind w:left="3319" w:hanging="360"/>
      </w:pPr>
    </w:lvl>
    <w:lvl w:ilvl="4" w:tplc="04090019">
      <w:start w:val="1"/>
      <w:numFmt w:val="lowerLetter"/>
      <w:lvlText w:val="%5."/>
      <w:lvlJc w:val="left"/>
      <w:pPr>
        <w:ind w:left="4039" w:hanging="360"/>
      </w:pPr>
    </w:lvl>
    <w:lvl w:ilvl="5" w:tplc="0409001B">
      <w:start w:val="1"/>
      <w:numFmt w:val="lowerRoman"/>
      <w:lvlText w:val="%6."/>
      <w:lvlJc w:val="right"/>
      <w:pPr>
        <w:ind w:left="4759" w:hanging="180"/>
      </w:pPr>
    </w:lvl>
    <w:lvl w:ilvl="6" w:tplc="0409000F">
      <w:start w:val="1"/>
      <w:numFmt w:val="decimal"/>
      <w:lvlText w:val="%7."/>
      <w:lvlJc w:val="left"/>
      <w:pPr>
        <w:ind w:left="5479" w:hanging="360"/>
      </w:pPr>
    </w:lvl>
    <w:lvl w:ilvl="7" w:tplc="04090019">
      <w:start w:val="1"/>
      <w:numFmt w:val="lowerLetter"/>
      <w:lvlText w:val="%8."/>
      <w:lvlJc w:val="left"/>
      <w:pPr>
        <w:ind w:left="6199" w:hanging="360"/>
      </w:pPr>
    </w:lvl>
    <w:lvl w:ilvl="8" w:tplc="0409001B">
      <w:start w:val="1"/>
      <w:numFmt w:val="lowerRoman"/>
      <w:lvlText w:val="%9."/>
      <w:lvlJc w:val="right"/>
      <w:pPr>
        <w:ind w:left="6919" w:hanging="180"/>
      </w:pPr>
    </w:lvl>
  </w:abstractNum>
  <w:abstractNum w:abstractNumId="10" w15:restartNumberingAfterBreak="0">
    <w:nsid w:val="37B312AB"/>
    <w:multiLevelType w:val="hybridMultilevel"/>
    <w:tmpl w:val="962A597A"/>
    <w:lvl w:ilvl="0" w:tplc="35985536">
      <w:start w:val="1"/>
      <w:numFmt w:val="bullet"/>
      <w:lvlText w:val="•"/>
      <w:lvlJc w:val="left"/>
      <w:pPr>
        <w:tabs>
          <w:tab w:val="num" w:pos="720"/>
        </w:tabs>
        <w:ind w:left="720" w:hanging="360"/>
      </w:pPr>
      <w:rPr>
        <w:rFonts w:ascii="Arial" w:hAnsi="Arial" w:hint="default"/>
      </w:rPr>
    </w:lvl>
    <w:lvl w:ilvl="1" w:tplc="84504F24" w:tentative="1">
      <w:start w:val="1"/>
      <w:numFmt w:val="bullet"/>
      <w:lvlText w:val="•"/>
      <w:lvlJc w:val="left"/>
      <w:pPr>
        <w:tabs>
          <w:tab w:val="num" w:pos="1440"/>
        </w:tabs>
        <w:ind w:left="1440" w:hanging="360"/>
      </w:pPr>
      <w:rPr>
        <w:rFonts w:ascii="Arial" w:hAnsi="Arial" w:hint="default"/>
      </w:rPr>
    </w:lvl>
    <w:lvl w:ilvl="2" w:tplc="67CA2920" w:tentative="1">
      <w:start w:val="1"/>
      <w:numFmt w:val="bullet"/>
      <w:lvlText w:val="•"/>
      <w:lvlJc w:val="left"/>
      <w:pPr>
        <w:tabs>
          <w:tab w:val="num" w:pos="2160"/>
        </w:tabs>
        <w:ind w:left="2160" w:hanging="360"/>
      </w:pPr>
      <w:rPr>
        <w:rFonts w:ascii="Arial" w:hAnsi="Arial" w:hint="default"/>
      </w:rPr>
    </w:lvl>
    <w:lvl w:ilvl="3" w:tplc="1A987F20" w:tentative="1">
      <w:start w:val="1"/>
      <w:numFmt w:val="bullet"/>
      <w:lvlText w:val="•"/>
      <w:lvlJc w:val="left"/>
      <w:pPr>
        <w:tabs>
          <w:tab w:val="num" w:pos="2880"/>
        </w:tabs>
        <w:ind w:left="2880" w:hanging="360"/>
      </w:pPr>
      <w:rPr>
        <w:rFonts w:ascii="Arial" w:hAnsi="Arial" w:hint="default"/>
      </w:rPr>
    </w:lvl>
    <w:lvl w:ilvl="4" w:tplc="4B0A0CB4" w:tentative="1">
      <w:start w:val="1"/>
      <w:numFmt w:val="bullet"/>
      <w:lvlText w:val="•"/>
      <w:lvlJc w:val="left"/>
      <w:pPr>
        <w:tabs>
          <w:tab w:val="num" w:pos="3600"/>
        </w:tabs>
        <w:ind w:left="3600" w:hanging="360"/>
      </w:pPr>
      <w:rPr>
        <w:rFonts w:ascii="Arial" w:hAnsi="Arial" w:hint="default"/>
      </w:rPr>
    </w:lvl>
    <w:lvl w:ilvl="5" w:tplc="BEB48A6C" w:tentative="1">
      <w:start w:val="1"/>
      <w:numFmt w:val="bullet"/>
      <w:lvlText w:val="•"/>
      <w:lvlJc w:val="left"/>
      <w:pPr>
        <w:tabs>
          <w:tab w:val="num" w:pos="4320"/>
        </w:tabs>
        <w:ind w:left="4320" w:hanging="360"/>
      </w:pPr>
      <w:rPr>
        <w:rFonts w:ascii="Arial" w:hAnsi="Arial" w:hint="default"/>
      </w:rPr>
    </w:lvl>
    <w:lvl w:ilvl="6" w:tplc="F4E0E67E" w:tentative="1">
      <w:start w:val="1"/>
      <w:numFmt w:val="bullet"/>
      <w:lvlText w:val="•"/>
      <w:lvlJc w:val="left"/>
      <w:pPr>
        <w:tabs>
          <w:tab w:val="num" w:pos="5040"/>
        </w:tabs>
        <w:ind w:left="5040" w:hanging="360"/>
      </w:pPr>
      <w:rPr>
        <w:rFonts w:ascii="Arial" w:hAnsi="Arial" w:hint="default"/>
      </w:rPr>
    </w:lvl>
    <w:lvl w:ilvl="7" w:tplc="F5AA3AA2" w:tentative="1">
      <w:start w:val="1"/>
      <w:numFmt w:val="bullet"/>
      <w:lvlText w:val="•"/>
      <w:lvlJc w:val="left"/>
      <w:pPr>
        <w:tabs>
          <w:tab w:val="num" w:pos="5760"/>
        </w:tabs>
        <w:ind w:left="5760" w:hanging="360"/>
      </w:pPr>
      <w:rPr>
        <w:rFonts w:ascii="Arial" w:hAnsi="Arial" w:hint="default"/>
      </w:rPr>
    </w:lvl>
    <w:lvl w:ilvl="8" w:tplc="D5CEF0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C367AC"/>
    <w:multiLevelType w:val="hybridMultilevel"/>
    <w:tmpl w:val="9AA8AFB0"/>
    <w:lvl w:ilvl="0" w:tplc="13561B4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2F7387"/>
    <w:multiLevelType w:val="hybridMultilevel"/>
    <w:tmpl w:val="F182C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43DF3"/>
    <w:multiLevelType w:val="hybridMultilevel"/>
    <w:tmpl w:val="A4221B84"/>
    <w:lvl w:ilvl="0" w:tplc="E5D4A998">
      <w:start w:val="20"/>
      <w:numFmt w:val="decimal"/>
      <w:lvlText w:val="%1."/>
      <w:lvlJc w:val="left"/>
      <w:pPr>
        <w:ind w:left="1268" w:hanging="360"/>
      </w:pPr>
      <w:rPr>
        <w:rFonts w:ascii="Times New Roman" w:eastAsia="Times New Roman" w:hAnsi="Times New Roman" w:cs="Times New Roman" w:hint="default"/>
        <w:spacing w:val="0"/>
        <w:w w:val="99"/>
        <w:sz w:val="20"/>
        <w:szCs w:val="20"/>
        <w:lang w:val="en-US" w:eastAsia="en-US" w:bidi="ar-SA"/>
      </w:rPr>
    </w:lvl>
    <w:lvl w:ilvl="1" w:tplc="D7FEE806">
      <w:start w:val="1"/>
      <w:numFmt w:val="decimal"/>
      <w:lvlText w:val="%2)"/>
      <w:lvlJc w:val="left"/>
      <w:pPr>
        <w:ind w:left="1700" w:hanging="541"/>
      </w:pPr>
      <w:rPr>
        <w:rFonts w:ascii="Times New Roman" w:eastAsia="Times New Roman" w:hAnsi="Times New Roman" w:cs="Times New Roman" w:hint="default"/>
        <w:spacing w:val="0"/>
        <w:w w:val="99"/>
        <w:sz w:val="20"/>
        <w:szCs w:val="20"/>
        <w:lang w:val="en-US" w:eastAsia="en-US" w:bidi="ar-SA"/>
      </w:rPr>
    </w:lvl>
    <w:lvl w:ilvl="2" w:tplc="BBEA9510">
      <w:numFmt w:val="bullet"/>
      <w:lvlText w:val="•"/>
      <w:lvlJc w:val="left"/>
      <w:pPr>
        <w:ind w:left="2357" w:hanging="541"/>
      </w:pPr>
      <w:rPr>
        <w:lang w:val="en-US" w:eastAsia="en-US" w:bidi="ar-SA"/>
      </w:rPr>
    </w:lvl>
    <w:lvl w:ilvl="3" w:tplc="08AE640C">
      <w:numFmt w:val="bullet"/>
      <w:lvlText w:val="•"/>
      <w:lvlJc w:val="left"/>
      <w:pPr>
        <w:ind w:left="3015" w:hanging="541"/>
      </w:pPr>
      <w:rPr>
        <w:lang w:val="en-US" w:eastAsia="en-US" w:bidi="ar-SA"/>
      </w:rPr>
    </w:lvl>
    <w:lvl w:ilvl="4" w:tplc="9B0A3AF0">
      <w:numFmt w:val="bullet"/>
      <w:lvlText w:val="•"/>
      <w:lvlJc w:val="left"/>
      <w:pPr>
        <w:ind w:left="3673" w:hanging="541"/>
      </w:pPr>
      <w:rPr>
        <w:lang w:val="en-US" w:eastAsia="en-US" w:bidi="ar-SA"/>
      </w:rPr>
    </w:lvl>
    <w:lvl w:ilvl="5" w:tplc="643CC746">
      <w:numFmt w:val="bullet"/>
      <w:lvlText w:val="•"/>
      <w:lvlJc w:val="left"/>
      <w:pPr>
        <w:ind w:left="4331" w:hanging="541"/>
      </w:pPr>
      <w:rPr>
        <w:lang w:val="en-US" w:eastAsia="en-US" w:bidi="ar-SA"/>
      </w:rPr>
    </w:lvl>
    <w:lvl w:ilvl="6" w:tplc="77C2EC0A">
      <w:numFmt w:val="bullet"/>
      <w:lvlText w:val="•"/>
      <w:lvlJc w:val="left"/>
      <w:pPr>
        <w:ind w:left="4988" w:hanging="541"/>
      </w:pPr>
      <w:rPr>
        <w:lang w:val="en-US" w:eastAsia="en-US" w:bidi="ar-SA"/>
      </w:rPr>
    </w:lvl>
    <w:lvl w:ilvl="7" w:tplc="DAB86B8A">
      <w:numFmt w:val="bullet"/>
      <w:lvlText w:val="•"/>
      <w:lvlJc w:val="left"/>
      <w:pPr>
        <w:ind w:left="5646" w:hanging="541"/>
      </w:pPr>
      <w:rPr>
        <w:lang w:val="en-US" w:eastAsia="en-US" w:bidi="ar-SA"/>
      </w:rPr>
    </w:lvl>
    <w:lvl w:ilvl="8" w:tplc="2578BE38">
      <w:numFmt w:val="bullet"/>
      <w:lvlText w:val="•"/>
      <w:lvlJc w:val="left"/>
      <w:pPr>
        <w:ind w:left="6304" w:hanging="541"/>
      </w:pPr>
      <w:rPr>
        <w:lang w:val="en-US" w:eastAsia="en-US" w:bidi="ar-SA"/>
      </w:rPr>
    </w:lvl>
  </w:abstractNum>
  <w:abstractNum w:abstractNumId="14" w15:restartNumberingAfterBreak="0">
    <w:nsid w:val="50CB4E08"/>
    <w:multiLevelType w:val="multilevel"/>
    <w:tmpl w:val="D7E4D1EA"/>
    <w:lvl w:ilvl="0">
      <w:start w:val="1"/>
      <w:numFmt w:val="decimal"/>
      <w:lvlText w:val="%1."/>
      <w:lvlJc w:val="left"/>
      <w:pPr>
        <w:ind w:left="630" w:hanging="360"/>
      </w:pPr>
    </w:lvl>
    <w:lvl w:ilvl="1">
      <w:start w:val="2"/>
      <w:numFmt w:val="decimal"/>
      <w:isLgl/>
      <w:lvlText w:val="%1.%2"/>
      <w:lvlJc w:val="left"/>
      <w:pPr>
        <w:ind w:left="420" w:hanging="420"/>
      </w:pPr>
    </w:lvl>
    <w:lvl w:ilvl="2">
      <w:start w:val="1"/>
      <w:numFmt w:val="decimal"/>
      <w:isLgl/>
      <w:lvlText w:val="%1.%2.%3"/>
      <w:lvlJc w:val="left"/>
      <w:pPr>
        <w:ind w:left="990" w:hanging="720"/>
      </w:pPr>
    </w:lvl>
    <w:lvl w:ilvl="3">
      <w:start w:val="1"/>
      <w:numFmt w:val="decimal"/>
      <w:isLgl/>
      <w:lvlText w:val="%1.%2.%3.%4"/>
      <w:lvlJc w:val="left"/>
      <w:pPr>
        <w:ind w:left="990" w:hanging="720"/>
      </w:pPr>
    </w:lvl>
    <w:lvl w:ilvl="4">
      <w:start w:val="1"/>
      <w:numFmt w:val="decimal"/>
      <w:isLgl/>
      <w:lvlText w:val="%1.%2.%3.%4.%5"/>
      <w:lvlJc w:val="left"/>
      <w:pPr>
        <w:ind w:left="1350" w:hanging="1080"/>
      </w:pPr>
    </w:lvl>
    <w:lvl w:ilvl="5">
      <w:start w:val="1"/>
      <w:numFmt w:val="decimal"/>
      <w:isLgl/>
      <w:lvlText w:val="%1.%2.%3.%4.%5.%6"/>
      <w:lvlJc w:val="left"/>
      <w:pPr>
        <w:ind w:left="1350" w:hanging="1080"/>
      </w:pPr>
    </w:lvl>
    <w:lvl w:ilvl="6">
      <w:start w:val="1"/>
      <w:numFmt w:val="decimal"/>
      <w:isLgl/>
      <w:lvlText w:val="%1.%2.%3.%4.%5.%6.%7"/>
      <w:lvlJc w:val="left"/>
      <w:pPr>
        <w:ind w:left="1710" w:hanging="1440"/>
      </w:pPr>
    </w:lvl>
    <w:lvl w:ilvl="7">
      <w:start w:val="1"/>
      <w:numFmt w:val="decimal"/>
      <w:isLgl/>
      <w:lvlText w:val="%1.%2.%3.%4.%5.%6.%7.%8"/>
      <w:lvlJc w:val="left"/>
      <w:pPr>
        <w:ind w:left="1710" w:hanging="1440"/>
      </w:pPr>
    </w:lvl>
    <w:lvl w:ilvl="8">
      <w:start w:val="1"/>
      <w:numFmt w:val="decimal"/>
      <w:isLgl/>
      <w:lvlText w:val="%1.%2.%3.%4.%5.%6.%7.%8.%9"/>
      <w:lvlJc w:val="left"/>
      <w:pPr>
        <w:ind w:left="1710" w:hanging="1440"/>
      </w:pPr>
    </w:lvl>
  </w:abstractNum>
  <w:abstractNum w:abstractNumId="15" w15:restartNumberingAfterBreak="0">
    <w:nsid w:val="522F15A5"/>
    <w:multiLevelType w:val="multilevel"/>
    <w:tmpl w:val="E1309ECC"/>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2873B8A"/>
    <w:multiLevelType w:val="hybridMultilevel"/>
    <w:tmpl w:val="6B02BB82"/>
    <w:lvl w:ilvl="0" w:tplc="A2A4EC8C">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6793535"/>
    <w:multiLevelType w:val="hybridMultilevel"/>
    <w:tmpl w:val="987E8182"/>
    <w:lvl w:ilvl="0" w:tplc="65422778">
      <w:numFmt w:val="bullet"/>
      <w:lvlText w:val="-"/>
      <w:lvlJc w:val="left"/>
      <w:pPr>
        <w:ind w:left="2055" w:hanging="360"/>
      </w:pPr>
      <w:rPr>
        <w:rFonts w:ascii="Calibri" w:eastAsiaTheme="minorHAnsi" w:hAnsi="Calibri" w:cs="Calibri"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8" w15:restartNumberingAfterBreak="0">
    <w:nsid w:val="5AA077A5"/>
    <w:multiLevelType w:val="hybridMultilevel"/>
    <w:tmpl w:val="236A1C1A"/>
    <w:lvl w:ilvl="0" w:tplc="56F20F66">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9" w15:restartNumberingAfterBreak="0">
    <w:nsid w:val="5B192467"/>
    <w:multiLevelType w:val="hybridMultilevel"/>
    <w:tmpl w:val="68FCE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9D4915"/>
    <w:multiLevelType w:val="hybridMultilevel"/>
    <w:tmpl w:val="C406A70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3CE1B55"/>
    <w:multiLevelType w:val="hybridMultilevel"/>
    <w:tmpl w:val="9880D504"/>
    <w:lvl w:ilvl="0" w:tplc="8DDE0842">
      <w:start w:val="1"/>
      <w:numFmt w:val="decimal"/>
      <w:lvlText w:val="%1."/>
      <w:lvlJc w:val="left"/>
      <w:pPr>
        <w:ind w:left="799" w:hanging="360"/>
      </w:pPr>
      <w:rPr>
        <w:rFonts w:ascii="Times New Roman" w:eastAsiaTheme="minorHAnsi" w:hAnsi="Times New Roman" w:cstheme="minorBidi"/>
        <w:spacing w:val="0"/>
        <w:w w:val="99"/>
        <w:sz w:val="20"/>
        <w:szCs w:val="20"/>
        <w:lang w:val="en-US" w:eastAsia="en-US" w:bidi="ar-SA"/>
      </w:rPr>
    </w:lvl>
    <w:lvl w:ilvl="1" w:tplc="9B12863E">
      <w:start w:val="1"/>
      <w:numFmt w:val="decimal"/>
      <w:lvlText w:val="%2)"/>
      <w:lvlJc w:val="left"/>
      <w:pPr>
        <w:ind w:left="1339" w:hanging="541"/>
      </w:pPr>
      <w:rPr>
        <w:rFonts w:ascii="Times New Roman" w:eastAsia="Times New Roman" w:hAnsi="Times New Roman" w:cs="Times New Roman" w:hint="default"/>
        <w:spacing w:val="0"/>
        <w:w w:val="99"/>
        <w:sz w:val="20"/>
        <w:szCs w:val="20"/>
        <w:lang w:val="en-US" w:eastAsia="en-US" w:bidi="ar-SA"/>
      </w:rPr>
    </w:lvl>
    <w:lvl w:ilvl="2" w:tplc="86086FD2">
      <w:numFmt w:val="bullet"/>
      <w:lvlText w:val="•"/>
      <w:lvlJc w:val="left"/>
      <w:pPr>
        <w:ind w:left="2206" w:hanging="541"/>
      </w:pPr>
      <w:rPr>
        <w:lang w:val="en-US" w:eastAsia="en-US" w:bidi="ar-SA"/>
      </w:rPr>
    </w:lvl>
    <w:lvl w:ilvl="3" w:tplc="2BEA3602">
      <w:numFmt w:val="bullet"/>
      <w:lvlText w:val="•"/>
      <w:lvlJc w:val="left"/>
      <w:pPr>
        <w:ind w:left="3073" w:hanging="541"/>
      </w:pPr>
      <w:rPr>
        <w:lang w:val="en-US" w:eastAsia="en-US" w:bidi="ar-SA"/>
      </w:rPr>
    </w:lvl>
    <w:lvl w:ilvl="4" w:tplc="3B86E0C4">
      <w:numFmt w:val="bullet"/>
      <w:lvlText w:val="•"/>
      <w:lvlJc w:val="left"/>
      <w:pPr>
        <w:ind w:left="3940" w:hanging="541"/>
      </w:pPr>
      <w:rPr>
        <w:lang w:val="en-US" w:eastAsia="en-US" w:bidi="ar-SA"/>
      </w:rPr>
    </w:lvl>
    <w:lvl w:ilvl="5" w:tplc="393038DC">
      <w:numFmt w:val="bullet"/>
      <w:lvlText w:val="•"/>
      <w:lvlJc w:val="left"/>
      <w:pPr>
        <w:ind w:left="4806" w:hanging="541"/>
      </w:pPr>
      <w:rPr>
        <w:lang w:val="en-US" w:eastAsia="en-US" w:bidi="ar-SA"/>
      </w:rPr>
    </w:lvl>
    <w:lvl w:ilvl="6" w:tplc="A6DAAD34">
      <w:numFmt w:val="bullet"/>
      <w:lvlText w:val="•"/>
      <w:lvlJc w:val="left"/>
      <w:pPr>
        <w:ind w:left="5673" w:hanging="541"/>
      </w:pPr>
      <w:rPr>
        <w:lang w:val="en-US" w:eastAsia="en-US" w:bidi="ar-SA"/>
      </w:rPr>
    </w:lvl>
    <w:lvl w:ilvl="7" w:tplc="3BAA4724">
      <w:numFmt w:val="bullet"/>
      <w:lvlText w:val="•"/>
      <w:lvlJc w:val="left"/>
      <w:pPr>
        <w:ind w:left="6540" w:hanging="541"/>
      </w:pPr>
      <w:rPr>
        <w:lang w:val="en-US" w:eastAsia="en-US" w:bidi="ar-SA"/>
      </w:rPr>
    </w:lvl>
    <w:lvl w:ilvl="8" w:tplc="C1544FB0">
      <w:numFmt w:val="bullet"/>
      <w:lvlText w:val="•"/>
      <w:lvlJc w:val="left"/>
      <w:pPr>
        <w:ind w:left="7406" w:hanging="541"/>
      </w:pPr>
      <w:rPr>
        <w:lang w:val="en-US" w:eastAsia="en-US" w:bidi="ar-SA"/>
      </w:rPr>
    </w:lvl>
  </w:abstractNum>
  <w:abstractNum w:abstractNumId="22" w15:restartNumberingAfterBreak="0">
    <w:nsid w:val="64C521D4"/>
    <w:multiLevelType w:val="hybridMultilevel"/>
    <w:tmpl w:val="75F0F388"/>
    <w:lvl w:ilvl="0" w:tplc="63B0D70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A6D213A"/>
    <w:multiLevelType w:val="hybridMultilevel"/>
    <w:tmpl w:val="8AA44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CDA28A0"/>
    <w:multiLevelType w:val="hybridMultilevel"/>
    <w:tmpl w:val="F2D4638C"/>
    <w:lvl w:ilvl="0" w:tplc="BBD8E82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7584C96"/>
    <w:multiLevelType w:val="hybridMultilevel"/>
    <w:tmpl w:val="CD385FC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5A0A98"/>
    <w:multiLevelType w:val="hybridMultilevel"/>
    <w:tmpl w:val="063C9DDC"/>
    <w:lvl w:ilvl="0" w:tplc="400A2E00">
      <w:numFmt w:val="bullet"/>
      <w:lvlText w:val="-"/>
      <w:lvlJc w:val="left"/>
      <w:pPr>
        <w:ind w:left="2100" w:hanging="360"/>
      </w:pPr>
      <w:rPr>
        <w:rFonts w:ascii="Calibri" w:eastAsiaTheme="minorHAnsi" w:hAnsi="Calibri" w:cs="Calibri"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7" w15:restartNumberingAfterBreak="0">
    <w:nsid w:val="78215F07"/>
    <w:multiLevelType w:val="hybridMultilevel"/>
    <w:tmpl w:val="465487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78411D3D"/>
    <w:multiLevelType w:val="multilevel"/>
    <w:tmpl w:val="D7E4D1EA"/>
    <w:lvl w:ilvl="0">
      <w:start w:val="1"/>
      <w:numFmt w:val="decimal"/>
      <w:lvlText w:val="%1."/>
      <w:lvlJc w:val="left"/>
      <w:pPr>
        <w:ind w:left="630" w:hanging="360"/>
      </w:pPr>
    </w:lvl>
    <w:lvl w:ilvl="1">
      <w:start w:val="2"/>
      <w:numFmt w:val="decimal"/>
      <w:isLgl/>
      <w:lvlText w:val="%1.%2"/>
      <w:lvlJc w:val="left"/>
      <w:pPr>
        <w:ind w:left="420" w:hanging="420"/>
      </w:pPr>
    </w:lvl>
    <w:lvl w:ilvl="2">
      <w:start w:val="1"/>
      <w:numFmt w:val="decimal"/>
      <w:isLgl/>
      <w:lvlText w:val="%1.%2.%3"/>
      <w:lvlJc w:val="left"/>
      <w:pPr>
        <w:ind w:left="990" w:hanging="720"/>
      </w:pPr>
    </w:lvl>
    <w:lvl w:ilvl="3">
      <w:start w:val="1"/>
      <w:numFmt w:val="decimal"/>
      <w:isLgl/>
      <w:lvlText w:val="%1.%2.%3.%4"/>
      <w:lvlJc w:val="left"/>
      <w:pPr>
        <w:ind w:left="990" w:hanging="720"/>
      </w:pPr>
    </w:lvl>
    <w:lvl w:ilvl="4">
      <w:start w:val="1"/>
      <w:numFmt w:val="decimal"/>
      <w:isLgl/>
      <w:lvlText w:val="%1.%2.%3.%4.%5"/>
      <w:lvlJc w:val="left"/>
      <w:pPr>
        <w:ind w:left="1350" w:hanging="1080"/>
      </w:pPr>
    </w:lvl>
    <w:lvl w:ilvl="5">
      <w:start w:val="1"/>
      <w:numFmt w:val="decimal"/>
      <w:isLgl/>
      <w:lvlText w:val="%1.%2.%3.%4.%5.%6"/>
      <w:lvlJc w:val="left"/>
      <w:pPr>
        <w:ind w:left="1350" w:hanging="1080"/>
      </w:pPr>
    </w:lvl>
    <w:lvl w:ilvl="6">
      <w:start w:val="1"/>
      <w:numFmt w:val="decimal"/>
      <w:isLgl/>
      <w:lvlText w:val="%1.%2.%3.%4.%5.%6.%7"/>
      <w:lvlJc w:val="left"/>
      <w:pPr>
        <w:ind w:left="1710" w:hanging="1440"/>
      </w:pPr>
    </w:lvl>
    <w:lvl w:ilvl="7">
      <w:start w:val="1"/>
      <w:numFmt w:val="decimal"/>
      <w:isLgl/>
      <w:lvlText w:val="%1.%2.%3.%4.%5.%6.%7.%8"/>
      <w:lvlJc w:val="left"/>
      <w:pPr>
        <w:ind w:left="1710" w:hanging="1440"/>
      </w:pPr>
    </w:lvl>
    <w:lvl w:ilvl="8">
      <w:start w:val="1"/>
      <w:numFmt w:val="decimal"/>
      <w:isLgl/>
      <w:lvlText w:val="%1.%2.%3.%4.%5.%6.%7.%8.%9"/>
      <w:lvlJc w:val="left"/>
      <w:pPr>
        <w:ind w:left="1710" w:hanging="1440"/>
      </w:pPr>
    </w:lvl>
  </w:abstractNum>
  <w:abstractNum w:abstractNumId="29" w15:restartNumberingAfterBreak="0">
    <w:nsid w:val="78EE1B5E"/>
    <w:multiLevelType w:val="hybridMultilevel"/>
    <w:tmpl w:val="32CAE6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0"/>
    </w:lvlOverride>
    <w:lvlOverride w:ilvl="1">
      <w:startOverride w:val="1"/>
    </w:lvlOverride>
    <w:lvlOverride w:ilvl="2"/>
    <w:lvlOverride w:ilvl="3"/>
    <w:lvlOverride w:ilvl="4"/>
    <w:lvlOverride w:ilvl="5"/>
    <w:lvlOverride w:ilvl="6"/>
    <w:lvlOverride w:ilvl="7"/>
    <w:lvlOverride w:ilvl="8"/>
  </w:num>
  <w:num w:numId="22">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9"/>
  </w:num>
  <w:num w:numId="28">
    <w:abstractNumId w:val="0"/>
  </w:num>
  <w:num w:numId="29">
    <w:abstractNumId w:val="26"/>
  </w:num>
  <w:num w:numId="30">
    <w:abstractNumId w:val="17"/>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E5"/>
    <w:rsid w:val="000001F0"/>
    <w:rsid w:val="00000DA9"/>
    <w:rsid w:val="00002A05"/>
    <w:rsid w:val="00004823"/>
    <w:rsid w:val="00005592"/>
    <w:rsid w:val="00011BC8"/>
    <w:rsid w:val="00012EEE"/>
    <w:rsid w:val="0001723F"/>
    <w:rsid w:val="00024D8C"/>
    <w:rsid w:val="00025C91"/>
    <w:rsid w:val="000356D0"/>
    <w:rsid w:val="00036831"/>
    <w:rsid w:val="000374AA"/>
    <w:rsid w:val="00037FBA"/>
    <w:rsid w:val="00051971"/>
    <w:rsid w:val="00051EDB"/>
    <w:rsid w:val="00052B8F"/>
    <w:rsid w:val="00055C36"/>
    <w:rsid w:val="000561BC"/>
    <w:rsid w:val="00057494"/>
    <w:rsid w:val="00057E88"/>
    <w:rsid w:val="00060012"/>
    <w:rsid w:val="000600FE"/>
    <w:rsid w:val="0006149C"/>
    <w:rsid w:val="00076043"/>
    <w:rsid w:val="0008200B"/>
    <w:rsid w:val="00083DD3"/>
    <w:rsid w:val="0008404C"/>
    <w:rsid w:val="000846E7"/>
    <w:rsid w:val="00084F85"/>
    <w:rsid w:val="00085938"/>
    <w:rsid w:val="00085C78"/>
    <w:rsid w:val="000903A2"/>
    <w:rsid w:val="00090B29"/>
    <w:rsid w:val="0009130A"/>
    <w:rsid w:val="000A0188"/>
    <w:rsid w:val="000A14D7"/>
    <w:rsid w:val="000A1DFE"/>
    <w:rsid w:val="000A24BF"/>
    <w:rsid w:val="000B1160"/>
    <w:rsid w:val="000B1E5F"/>
    <w:rsid w:val="000C324A"/>
    <w:rsid w:val="000C3642"/>
    <w:rsid w:val="000C37A3"/>
    <w:rsid w:val="000C60B5"/>
    <w:rsid w:val="000D04F5"/>
    <w:rsid w:val="000D45DD"/>
    <w:rsid w:val="000D6C83"/>
    <w:rsid w:val="000D6F5F"/>
    <w:rsid w:val="000D74DF"/>
    <w:rsid w:val="000E0874"/>
    <w:rsid w:val="000E1C6A"/>
    <w:rsid w:val="000E288E"/>
    <w:rsid w:val="000E6425"/>
    <w:rsid w:val="000E66B2"/>
    <w:rsid w:val="000F05F6"/>
    <w:rsid w:val="000F129D"/>
    <w:rsid w:val="000F33A1"/>
    <w:rsid w:val="001004CA"/>
    <w:rsid w:val="00100DC2"/>
    <w:rsid w:val="001027CD"/>
    <w:rsid w:val="00104D5C"/>
    <w:rsid w:val="001062C4"/>
    <w:rsid w:val="00106512"/>
    <w:rsid w:val="00107DB8"/>
    <w:rsid w:val="00113DDD"/>
    <w:rsid w:val="00117D6E"/>
    <w:rsid w:val="0012303B"/>
    <w:rsid w:val="00125912"/>
    <w:rsid w:val="00125C97"/>
    <w:rsid w:val="00126AEE"/>
    <w:rsid w:val="00127295"/>
    <w:rsid w:val="00130C9C"/>
    <w:rsid w:val="001329A7"/>
    <w:rsid w:val="00134701"/>
    <w:rsid w:val="00134D8A"/>
    <w:rsid w:val="00135631"/>
    <w:rsid w:val="00136E0D"/>
    <w:rsid w:val="00136FB2"/>
    <w:rsid w:val="001406B1"/>
    <w:rsid w:val="001442E2"/>
    <w:rsid w:val="00146FB1"/>
    <w:rsid w:val="00147ABD"/>
    <w:rsid w:val="0015307F"/>
    <w:rsid w:val="0015466B"/>
    <w:rsid w:val="001550D5"/>
    <w:rsid w:val="00155D8F"/>
    <w:rsid w:val="00157AA0"/>
    <w:rsid w:val="00157DA7"/>
    <w:rsid w:val="00171D3D"/>
    <w:rsid w:val="001774E3"/>
    <w:rsid w:val="00182E54"/>
    <w:rsid w:val="001831D9"/>
    <w:rsid w:val="00183DF8"/>
    <w:rsid w:val="001874CC"/>
    <w:rsid w:val="00194742"/>
    <w:rsid w:val="00195D69"/>
    <w:rsid w:val="001A07CA"/>
    <w:rsid w:val="001A26B9"/>
    <w:rsid w:val="001A2B5A"/>
    <w:rsid w:val="001A5CE8"/>
    <w:rsid w:val="001A7673"/>
    <w:rsid w:val="001B3E88"/>
    <w:rsid w:val="001C4DE4"/>
    <w:rsid w:val="001C51EE"/>
    <w:rsid w:val="001C68DB"/>
    <w:rsid w:val="001D16CB"/>
    <w:rsid w:val="001D2080"/>
    <w:rsid w:val="001D33BE"/>
    <w:rsid w:val="001D3E63"/>
    <w:rsid w:val="001D46F6"/>
    <w:rsid w:val="001D51FB"/>
    <w:rsid w:val="001D5EF5"/>
    <w:rsid w:val="001D7523"/>
    <w:rsid w:val="001E06DF"/>
    <w:rsid w:val="001E30E0"/>
    <w:rsid w:val="001E3334"/>
    <w:rsid w:val="001E5A62"/>
    <w:rsid w:val="001E7B68"/>
    <w:rsid w:val="001F0E43"/>
    <w:rsid w:val="001F154E"/>
    <w:rsid w:val="001F1580"/>
    <w:rsid w:val="001F29E7"/>
    <w:rsid w:val="001F3F40"/>
    <w:rsid w:val="001F4CE8"/>
    <w:rsid w:val="001F6CD1"/>
    <w:rsid w:val="002016D0"/>
    <w:rsid w:val="00201A5C"/>
    <w:rsid w:val="00212132"/>
    <w:rsid w:val="00216214"/>
    <w:rsid w:val="00221EF1"/>
    <w:rsid w:val="00222258"/>
    <w:rsid w:val="0022290B"/>
    <w:rsid w:val="00223FA8"/>
    <w:rsid w:val="00224EF0"/>
    <w:rsid w:val="0023093B"/>
    <w:rsid w:val="00232689"/>
    <w:rsid w:val="002348D3"/>
    <w:rsid w:val="00244F36"/>
    <w:rsid w:val="002504BF"/>
    <w:rsid w:val="00262C6D"/>
    <w:rsid w:val="00263C57"/>
    <w:rsid w:val="00264468"/>
    <w:rsid w:val="00270406"/>
    <w:rsid w:val="00271473"/>
    <w:rsid w:val="00271CFC"/>
    <w:rsid w:val="002739BB"/>
    <w:rsid w:val="00274129"/>
    <w:rsid w:val="0027457A"/>
    <w:rsid w:val="002746B3"/>
    <w:rsid w:val="00274AEA"/>
    <w:rsid w:val="00282F96"/>
    <w:rsid w:val="00284032"/>
    <w:rsid w:val="00286AF2"/>
    <w:rsid w:val="0028748B"/>
    <w:rsid w:val="002877B2"/>
    <w:rsid w:val="00287EFC"/>
    <w:rsid w:val="00291007"/>
    <w:rsid w:val="00292C19"/>
    <w:rsid w:val="0029350E"/>
    <w:rsid w:val="002951EE"/>
    <w:rsid w:val="002A17C0"/>
    <w:rsid w:val="002A24FE"/>
    <w:rsid w:val="002A2CA5"/>
    <w:rsid w:val="002B1E47"/>
    <w:rsid w:val="002B261F"/>
    <w:rsid w:val="002B4E04"/>
    <w:rsid w:val="002B6EC1"/>
    <w:rsid w:val="002C2E82"/>
    <w:rsid w:val="002C6B0E"/>
    <w:rsid w:val="002D02B3"/>
    <w:rsid w:val="002D131D"/>
    <w:rsid w:val="002D5173"/>
    <w:rsid w:val="002D5BDF"/>
    <w:rsid w:val="002D5C1B"/>
    <w:rsid w:val="002D5C42"/>
    <w:rsid w:val="002D667B"/>
    <w:rsid w:val="002E0018"/>
    <w:rsid w:val="002E0A7A"/>
    <w:rsid w:val="002E48B4"/>
    <w:rsid w:val="002E7059"/>
    <w:rsid w:val="002F03B2"/>
    <w:rsid w:val="002F419A"/>
    <w:rsid w:val="002F4F11"/>
    <w:rsid w:val="002F6EC4"/>
    <w:rsid w:val="002F72C4"/>
    <w:rsid w:val="003018F6"/>
    <w:rsid w:val="0030275B"/>
    <w:rsid w:val="00302764"/>
    <w:rsid w:val="003039CB"/>
    <w:rsid w:val="0030576A"/>
    <w:rsid w:val="00306AE5"/>
    <w:rsid w:val="003165E5"/>
    <w:rsid w:val="00316C3E"/>
    <w:rsid w:val="00320E56"/>
    <w:rsid w:val="003219E4"/>
    <w:rsid w:val="00321FB7"/>
    <w:rsid w:val="00325403"/>
    <w:rsid w:val="00330DFB"/>
    <w:rsid w:val="00331E8F"/>
    <w:rsid w:val="00332DFB"/>
    <w:rsid w:val="00333251"/>
    <w:rsid w:val="00334F53"/>
    <w:rsid w:val="00340507"/>
    <w:rsid w:val="0034054D"/>
    <w:rsid w:val="00341AAA"/>
    <w:rsid w:val="003431DC"/>
    <w:rsid w:val="00346ACD"/>
    <w:rsid w:val="00352046"/>
    <w:rsid w:val="00361BB6"/>
    <w:rsid w:val="003624CE"/>
    <w:rsid w:val="00366AA8"/>
    <w:rsid w:val="00373F9D"/>
    <w:rsid w:val="003744D4"/>
    <w:rsid w:val="0037614B"/>
    <w:rsid w:val="00376C39"/>
    <w:rsid w:val="00377A42"/>
    <w:rsid w:val="003802DD"/>
    <w:rsid w:val="0038155B"/>
    <w:rsid w:val="00382F86"/>
    <w:rsid w:val="00385B64"/>
    <w:rsid w:val="003863C1"/>
    <w:rsid w:val="00386821"/>
    <w:rsid w:val="0039044A"/>
    <w:rsid w:val="00391C3C"/>
    <w:rsid w:val="00393643"/>
    <w:rsid w:val="00393A5F"/>
    <w:rsid w:val="0039780C"/>
    <w:rsid w:val="0039785C"/>
    <w:rsid w:val="003A0F4C"/>
    <w:rsid w:val="003A186F"/>
    <w:rsid w:val="003A3724"/>
    <w:rsid w:val="003B001C"/>
    <w:rsid w:val="003B2B69"/>
    <w:rsid w:val="003B5A68"/>
    <w:rsid w:val="003B65D9"/>
    <w:rsid w:val="003C2F2A"/>
    <w:rsid w:val="003C391A"/>
    <w:rsid w:val="003C4347"/>
    <w:rsid w:val="003C616D"/>
    <w:rsid w:val="003D5662"/>
    <w:rsid w:val="003D7726"/>
    <w:rsid w:val="003D79A0"/>
    <w:rsid w:val="003E0208"/>
    <w:rsid w:val="003E1661"/>
    <w:rsid w:val="003E1A8C"/>
    <w:rsid w:val="003E67EA"/>
    <w:rsid w:val="003E6AC1"/>
    <w:rsid w:val="003E6BE9"/>
    <w:rsid w:val="003F1007"/>
    <w:rsid w:val="003F223E"/>
    <w:rsid w:val="003F4014"/>
    <w:rsid w:val="003F6F17"/>
    <w:rsid w:val="00400966"/>
    <w:rsid w:val="00405835"/>
    <w:rsid w:val="00407529"/>
    <w:rsid w:val="00413D37"/>
    <w:rsid w:val="00415279"/>
    <w:rsid w:val="00415FB0"/>
    <w:rsid w:val="004169D4"/>
    <w:rsid w:val="0041780A"/>
    <w:rsid w:val="004238E9"/>
    <w:rsid w:val="004252EB"/>
    <w:rsid w:val="00432D53"/>
    <w:rsid w:val="00432D68"/>
    <w:rsid w:val="00433523"/>
    <w:rsid w:val="00435DFB"/>
    <w:rsid w:val="00436D40"/>
    <w:rsid w:val="00437559"/>
    <w:rsid w:val="004400EA"/>
    <w:rsid w:val="0044028F"/>
    <w:rsid w:val="00442938"/>
    <w:rsid w:val="00442D9B"/>
    <w:rsid w:val="0044698D"/>
    <w:rsid w:val="00446EA2"/>
    <w:rsid w:val="00446F68"/>
    <w:rsid w:val="004518FA"/>
    <w:rsid w:val="00452358"/>
    <w:rsid w:val="00456E7E"/>
    <w:rsid w:val="004573B9"/>
    <w:rsid w:val="00457815"/>
    <w:rsid w:val="00460681"/>
    <w:rsid w:val="00461367"/>
    <w:rsid w:val="004619B2"/>
    <w:rsid w:val="00462B6E"/>
    <w:rsid w:val="00465AD0"/>
    <w:rsid w:val="0046617B"/>
    <w:rsid w:val="00474D31"/>
    <w:rsid w:val="0048043C"/>
    <w:rsid w:val="00482890"/>
    <w:rsid w:val="0048402E"/>
    <w:rsid w:val="00485753"/>
    <w:rsid w:val="00485807"/>
    <w:rsid w:val="00487F62"/>
    <w:rsid w:val="00492ACF"/>
    <w:rsid w:val="00495046"/>
    <w:rsid w:val="00495AA9"/>
    <w:rsid w:val="004978C7"/>
    <w:rsid w:val="004A0BE0"/>
    <w:rsid w:val="004A0F84"/>
    <w:rsid w:val="004A19D9"/>
    <w:rsid w:val="004A4117"/>
    <w:rsid w:val="004A7392"/>
    <w:rsid w:val="004B3141"/>
    <w:rsid w:val="004B5AD0"/>
    <w:rsid w:val="004B5F11"/>
    <w:rsid w:val="004B67BF"/>
    <w:rsid w:val="004B6A45"/>
    <w:rsid w:val="004B7A98"/>
    <w:rsid w:val="004C0425"/>
    <w:rsid w:val="004C60B6"/>
    <w:rsid w:val="004C67F6"/>
    <w:rsid w:val="004D1298"/>
    <w:rsid w:val="004D1736"/>
    <w:rsid w:val="004D405C"/>
    <w:rsid w:val="004E0E71"/>
    <w:rsid w:val="004E25D2"/>
    <w:rsid w:val="004F1512"/>
    <w:rsid w:val="004F16E8"/>
    <w:rsid w:val="004F7343"/>
    <w:rsid w:val="00502114"/>
    <w:rsid w:val="005037CC"/>
    <w:rsid w:val="005073C8"/>
    <w:rsid w:val="005118DD"/>
    <w:rsid w:val="00514961"/>
    <w:rsid w:val="00516D72"/>
    <w:rsid w:val="005200BE"/>
    <w:rsid w:val="00532578"/>
    <w:rsid w:val="00532DCE"/>
    <w:rsid w:val="00536AD6"/>
    <w:rsid w:val="00537CC3"/>
    <w:rsid w:val="00537D02"/>
    <w:rsid w:val="00543FD0"/>
    <w:rsid w:val="00545487"/>
    <w:rsid w:val="0055380A"/>
    <w:rsid w:val="00555DDA"/>
    <w:rsid w:val="00556608"/>
    <w:rsid w:val="00566104"/>
    <w:rsid w:val="00580E56"/>
    <w:rsid w:val="0058265B"/>
    <w:rsid w:val="00584A33"/>
    <w:rsid w:val="00587394"/>
    <w:rsid w:val="0059366F"/>
    <w:rsid w:val="005973A2"/>
    <w:rsid w:val="005A5AAA"/>
    <w:rsid w:val="005B1DB8"/>
    <w:rsid w:val="005B3F24"/>
    <w:rsid w:val="005B4828"/>
    <w:rsid w:val="005B4BAB"/>
    <w:rsid w:val="005C026B"/>
    <w:rsid w:val="005C1EF2"/>
    <w:rsid w:val="005C1F42"/>
    <w:rsid w:val="005C2337"/>
    <w:rsid w:val="005C5418"/>
    <w:rsid w:val="005C5961"/>
    <w:rsid w:val="005D0758"/>
    <w:rsid w:val="005D14C1"/>
    <w:rsid w:val="005D473C"/>
    <w:rsid w:val="005D51AB"/>
    <w:rsid w:val="005D5853"/>
    <w:rsid w:val="005E42F3"/>
    <w:rsid w:val="005E4C9F"/>
    <w:rsid w:val="005E5900"/>
    <w:rsid w:val="005E6DA0"/>
    <w:rsid w:val="005F15CD"/>
    <w:rsid w:val="005F177E"/>
    <w:rsid w:val="005F6E72"/>
    <w:rsid w:val="00601230"/>
    <w:rsid w:val="0060742B"/>
    <w:rsid w:val="0061051F"/>
    <w:rsid w:val="0061376A"/>
    <w:rsid w:val="006200BB"/>
    <w:rsid w:val="00626ED4"/>
    <w:rsid w:val="00634056"/>
    <w:rsid w:val="0063746E"/>
    <w:rsid w:val="0064060C"/>
    <w:rsid w:val="00642197"/>
    <w:rsid w:val="006461B4"/>
    <w:rsid w:val="006462BF"/>
    <w:rsid w:val="00651E34"/>
    <w:rsid w:val="00652B42"/>
    <w:rsid w:val="00653DD0"/>
    <w:rsid w:val="00654E9D"/>
    <w:rsid w:val="00657567"/>
    <w:rsid w:val="006662A2"/>
    <w:rsid w:val="0066641F"/>
    <w:rsid w:val="0067175A"/>
    <w:rsid w:val="00672407"/>
    <w:rsid w:val="006749F3"/>
    <w:rsid w:val="00680D91"/>
    <w:rsid w:val="00684A98"/>
    <w:rsid w:val="00684DBA"/>
    <w:rsid w:val="0068647D"/>
    <w:rsid w:val="00686514"/>
    <w:rsid w:val="00686E93"/>
    <w:rsid w:val="006919CE"/>
    <w:rsid w:val="00691ABC"/>
    <w:rsid w:val="00692746"/>
    <w:rsid w:val="00693C07"/>
    <w:rsid w:val="0069763C"/>
    <w:rsid w:val="006A0B75"/>
    <w:rsid w:val="006A2A11"/>
    <w:rsid w:val="006A30F9"/>
    <w:rsid w:val="006A4DA3"/>
    <w:rsid w:val="006A4F96"/>
    <w:rsid w:val="006A670C"/>
    <w:rsid w:val="006A72BA"/>
    <w:rsid w:val="006B0648"/>
    <w:rsid w:val="006B137B"/>
    <w:rsid w:val="006B4EB8"/>
    <w:rsid w:val="006C0B6D"/>
    <w:rsid w:val="006D6529"/>
    <w:rsid w:val="006D68EA"/>
    <w:rsid w:val="006E17F2"/>
    <w:rsid w:val="006E3525"/>
    <w:rsid w:val="006E43B0"/>
    <w:rsid w:val="006E5278"/>
    <w:rsid w:val="006E5791"/>
    <w:rsid w:val="006E7A08"/>
    <w:rsid w:val="006F4974"/>
    <w:rsid w:val="006F5F68"/>
    <w:rsid w:val="007005AE"/>
    <w:rsid w:val="00700CA4"/>
    <w:rsid w:val="007040BC"/>
    <w:rsid w:val="0070642A"/>
    <w:rsid w:val="007067B2"/>
    <w:rsid w:val="00707947"/>
    <w:rsid w:val="00711C70"/>
    <w:rsid w:val="00714312"/>
    <w:rsid w:val="007166DE"/>
    <w:rsid w:val="007208C4"/>
    <w:rsid w:val="0072287C"/>
    <w:rsid w:val="0073375C"/>
    <w:rsid w:val="007359E8"/>
    <w:rsid w:val="007364D9"/>
    <w:rsid w:val="00737364"/>
    <w:rsid w:val="0073743F"/>
    <w:rsid w:val="00751392"/>
    <w:rsid w:val="0075333B"/>
    <w:rsid w:val="00756F69"/>
    <w:rsid w:val="00760854"/>
    <w:rsid w:val="00761DB2"/>
    <w:rsid w:val="00763F11"/>
    <w:rsid w:val="00765DC7"/>
    <w:rsid w:val="00767546"/>
    <w:rsid w:val="00772E57"/>
    <w:rsid w:val="00773CD5"/>
    <w:rsid w:val="00773F98"/>
    <w:rsid w:val="00775863"/>
    <w:rsid w:val="007901CD"/>
    <w:rsid w:val="00792426"/>
    <w:rsid w:val="00792920"/>
    <w:rsid w:val="00793177"/>
    <w:rsid w:val="007956E1"/>
    <w:rsid w:val="007A3526"/>
    <w:rsid w:val="007A5C9E"/>
    <w:rsid w:val="007B29A1"/>
    <w:rsid w:val="007B30CB"/>
    <w:rsid w:val="007B3313"/>
    <w:rsid w:val="007B3C07"/>
    <w:rsid w:val="007B4809"/>
    <w:rsid w:val="007B492A"/>
    <w:rsid w:val="007C3F42"/>
    <w:rsid w:val="007C7733"/>
    <w:rsid w:val="007D1EBB"/>
    <w:rsid w:val="007D3E5B"/>
    <w:rsid w:val="007D6757"/>
    <w:rsid w:val="007E0FC3"/>
    <w:rsid w:val="007E11CC"/>
    <w:rsid w:val="007E3575"/>
    <w:rsid w:val="007E3729"/>
    <w:rsid w:val="007E42A9"/>
    <w:rsid w:val="007E459C"/>
    <w:rsid w:val="007E4F72"/>
    <w:rsid w:val="007E5E47"/>
    <w:rsid w:val="007F228E"/>
    <w:rsid w:val="007F4628"/>
    <w:rsid w:val="0080223D"/>
    <w:rsid w:val="00804C4E"/>
    <w:rsid w:val="00805FAD"/>
    <w:rsid w:val="008128A6"/>
    <w:rsid w:val="00820D4C"/>
    <w:rsid w:val="00822406"/>
    <w:rsid w:val="00823C12"/>
    <w:rsid w:val="00826423"/>
    <w:rsid w:val="00826AD4"/>
    <w:rsid w:val="00831932"/>
    <w:rsid w:val="00831A08"/>
    <w:rsid w:val="00832B5B"/>
    <w:rsid w:val="00836CDD"/>
    <w:rsid w:val="00837E5F"/>
    <w:rsid w:val="008477F4"/>
    <w:rsid w:val="00850B20"/>
    <w:rsid w:val="00852F79"/>
    <w:rsid w:val="00853121"/>
    <w:rsid w:val="00862C0D"/>
    <w:rsid w:val="0086397F"/>
    <w:rsid w:val="00865A96"/>
    <w:rsid w:val="008669DC"/>
    <w:rsid w:val="0087255E"/>
    <w:rsid w:val="0087416C"/>
    <w:rsid w:val="0087435C"/>
    <w:rsid w:val="008762E2"/>
    <w:rsid w:val="0087734F"/>
    <w:rsid w:val="008927CD"/>
    <w:rsid w:val="00892FC6"/>
    <w:rsid w:val="00893F24"/>
    <w:rsid w:val="00896B41"/>
    <w:rsid w:val="008979D2"/>
    <w:rsid w:val="008A28F3"/>
    <w:rsid w:val="008A2DF2"/>
    <w:rsid w:val="008A494A"/>
    <w:rsid w:val="008A5295"/>
    <w:rsid w:val="008A6745"/>
    <w:rsid w:val="008B0CA9"/>
    <w:rsid w:val="008B4A7A"/>
    <w:rsid w:val="008B7CBC"/>
    <w:rsid w:val="008C0E8D"/>
    <w:rsid w:val="008C3226"/>
    <w:rsid w:val="008D0EDC"/>
    <w:rsid w:val="008D102D"/>
    <w:rsid w:val="008D11FA"/>
    <w:rsid w:val="008D45ED"/>
    <w:rsid w:val="008D692C"/>
    <w:rsid w:val="008D69E1"/>
    <w:rsid w:val="008E2B5D"/>
    <w:rsid w:val="008E5FA4"/>
    <w:rsid w:val="008E64AA"/>
    <w:rsid w:val="008F0BB5"/>
    <w:rsid w:val="008F2DDD"/>
    <w:rsid w:val="008F5E85"/>
    <w:rsid w:val="008F61BA"/>
    <w:rsid w:val="008F795E"/>
    <w:rsid w:val="00903798"/>
    <w:rsid w:val="00904A46"/>
    <w:rsid w:val="00904F4F"/>
    <w:rsid w:val="00917093"/>
    <w:rsid w:val="0092260F"/>
    <w:rsid w:val="00922E7A"/>
    <w:rsid w:val="00923C7F"/>
    <w:rsid w:val="00925079"/>
    <w:rsid w:val="00927380"/>
    <w:rsid w:val="00927479"/>
    <w:rsid w:val="00930BFF"/>
    <w:rsid w:val="009325D3"/>
    <w:rsid w:val="00933643"/>
    <w:rsid w:val="00933F39"/>
    <w:rsid w:val="00942AF4"/>
    <w:rsid w:val="009430B9"/>
    <w:rsid w:val="0094450B"/>
    <w:rsid w:val="009445A4"/>
    <w:rsid w:val="00950AF9"/>
    <w:rsid w:val="00954833"/>
    <w:rsid w:val="00955112"/>
    <w:rsid w:val="009551D3"/>
    <w:rsid w:val="00956092"/>
    <w:rsid w:val="00956F1E"/>
    <w:rsid w:val="0096140D"/>
    <w:rsid w:val="00962749"/>
    <w:rsid w:val="0096565D"/>
    <w:rsid w:val="00965D03"/>
    <w:rsid w:val="00970897"/>
    <w:rsid w:val="00972BCE"/>
    <w:rsid w:val="00972C60"/>
    <w:rsid w:val="00973162"/>
    <w:rsid w:val="00976640"/>
    <w:rsid w:val="009827FB"/>
    <w:rsid w:val="0098782D"/>
    <w:rsid w:val="00990383"/>
    <w:rsid w:val="00992276"/>
    <w:rsid w:val="00996CCC"/>
    <w:rsid w:val="009A2CA9"/>
    <w:rsid w:val="009A3426"/>
    <w:rsid w:val="009A432B"/>
    <w:rsid w:val="009A43CA"/>
    <w:rsid w:val="009A4FB6"/>
    <w:rsid w:val="009B227A"/>
    <w:rsid w:val="009B38BA"/>
    <w:rsid w:val="009B3D1E"/>
    <w:rsid w:val="009B6BBD"/>
    <w:rsid w:val="009C3F22"/>
    <w:rsid w:val="009C646A"/>
    <w:rsid w:val="009C6621"/>
    <w:rsid w:val="009D0F83"/>
    <w:rsid w:val="009D33EA"/>
    <w:rsid w:val="009D4130"/>
    <w:rsid w:val="009D47C2"/>
    <w:rsid w:val="009D5547"/>
    <w:rsid w:val="009E15CF"/>
    <w:rsid w:val="009E1878"/>
    <w:rsid w:val="009F093F"/>
    <w:rsid w:val="009F2AD2"/>
    <w:rsid w:val="009F2D02"/>
    <w:rsid w:val="009F3E40"/>
    <w:rsid w:val="00A018A1"/>
    <w:rsid w:val="00A04C24"/>
    <w:rsid w:val="00A05830"/>
    <w:rsid w:val="00A064F7"/>
    <w:rsid w:val="00A10766"/>
    <w:rsid w:val="00A10CB0"/>
    <w:rsid w:val="00A118A8"/>
    <w:rsid w:val="00A148D5"/>
    <w:rsid w:val="00A14BE5"/>
    <w:rsid w:val="00A14F82"/>
    <w:rsid w:val="00A16FD1"/>
    <w:rsid w:val="00A21FE6"/>
    <w:rsid w:val="00A22854"/>
    <w:rsid w:val="00A22919"/>
    <w:rsid w:val="00A23E05"/>
    <w:rsid w:val="00A25E7C"/>
    <w:rsid w:val="00A3387F"/>
    <w:rsid w:val="00A342B3"/>
    <w:rsid w:val="00A36F17"/>
    <w:rsid w:val="00A40428"/>
    <w:rsid w:val="00A4225C"/>
    <w:rsid w:val="00A43A4B"/>
    <w:rsid w:val="00A44A04"/>
    <w:rsid w:val="00A450CC"/>
    <w:rsid w:val="00A45DBA"/>
    <w:rsid w:val="00A57593"/>
    <w:rsid w:val="00A5770B"/>
    <w:rsid w:val="00A57923"/>
    <w:rsid w:val="00A57F18"/>
    <w:rsid w:val="00A65809"/>
    <w:rsid w:val="00A668D8"/>
    <w:rsid w:val="00A74C1B"/>
    <w:rsid w:val="00A77B6F"/>
    <w:rsid w:val="00A85033"/>
    <w:rsid w:val="00A85709"/>
    <w:rsid w:val="00A868F3"/>
    <w:rsid w:val="00A8696F"/>
    <w:rsid w:val="00A97D3E"/>
    <w:rsid w:val="00AA0560"/>
    <w:rsid w:val="00AA069F"/>
    <w:rsid w:val="00AA093E"/>
    <w:rsid w:val="00AA10E9"/>
    <w:rsid w:val="00AA4D71"/>
    <w:rsid w:val="00AB1E59"/>
    <w:rsid w:val="00AB3D82"/>
    <w:rsid w:val="00AB4EC5"/>
    <w:rsid w:val="00AB5F31"/>
    <w:rsid w:val="00AB62DA"/>
    <w:rsid w:val="00AB6F9E"/>
    <w:rsid w:val="00AB7E78"/>
    <w:rsid w:val="00AC1B39"/>
    <w:rsid w:val="00AC1EC8"/>
    <w:rsid w:val="00AC2B42"/>
    <w:rsid w:val="00AC53BF"/>
    <w:rsid w:val="00AC645F"/>
    <w:rsid w:val="00AC7948"/>
    <w:rsid w:val="00AC7FA2"/>
    <w:rsid w:val="00AD1B34"/>
    <w:rsid w:val="00AD2153"/>
    <w:rsid w:val="00AD5979"/>
    <w:rsid w:val="00AD7613"/>
    <w:rsid w:val="00AE013A"/>
    <w:rsid w:val="00AE0238"/>
    <w:rsid w:val="00AE244B"/>
    <w:rsid w:val="00AE26AB"/>
    <w:rsid w:val="00AE3F76"/>
    <w:rsid w:val="00AE5234"/>
    <w:rsid w:val="00AF1284"/>
    <w:rsid w:val="00AF18F0"/>
    <w:rsid w:val="00AF246C"/>
    <w:rsid w:val="00AF30FB"/>
    <w:rsid w:val="00AF53E8"/>
    <w:rsid w:val="00AF55A8"/>
    <w:rsid w:val="00AF5FF9"/>
    <w:rsid w:val="00B01CC6"/>
    <w:rsid w:val="00B024EE"/>
    <w:rsid w:val="00B02BFF"/>
    <w:rsid w:val="00B02EF9"/>
    <w:rsid w:val="00B06215"/>
    <w:rsid w:val="00B114D5"/>
    <w:rsid w:val="00B1228F"/>
    <w:rsid w:val="00B12AED"/>
    <w:rsid w:val="00B12B56"/>
    <w:rsid w:val="00B14D1F"/>
    <w:rsid w:val="00B156A4"/>
    <w:rsid w:val="00B15798"/>
    <w:rsid w:val="00B20B13"/>
    <w:rsid w:val="00B21191"/>
    <w:rsid w:val="00B30744"/>
    <w:rsid w:val="00B313F1"/>
    <w:rsid w:val="00B33229"/>
    <w:rsid w:val="00B33EC9"/>
    <w:rsid w:val="00B341E2"/>
    <w:rsid w:val="00B4097D"/>
    <w:rsid w:val="00B46B17"/>
    <w:rsid w:val="00B535D6"/>
    <w:rsid w:val="00B546E5"/>
    <w:rsid w:val="00B55EB2"/>
    <w:rsid w:val="00B56D3D"/>
    <w:rsid w:val="00B64ACA"/>
    <w:rsid w:val="00B64CE2"/>
    <w:rsid w:val="00B662AD"/>
    <w:rsid w:val="00B66BFA"/>
    <w:rsid w:val="00B67B85"/>
    <w:rsid w:val="00B70C2E"/>
    <w:rsid w:val="00B71220"/>
    <w:rsid w:val="00B73023"/>
    <w:rsid w:val="00B73380"/>
    <w:rsid w:val="00B764F1"/>
    <w:rsid w:val="00B81F42"/>
    <w:rsid w:val="00B831F6"/>
    <w:rsid w:val="00B8656C"/>
    <w:rsid w:val="00B86C82"/>
    <w:rsid w:val="00B86CE6"/>
    <w:rsid w:val="00B934CA"/>
    <w:rsid w:val="00B9390C"/>
    <w:rsid w:val="00B94639"/>
    <w:rsid w:val="00B95399"/>
    <w:rsid w:val="00BA2FA8"/>
    <w:rsid w:val="00BA3142"/>
    <w:rsid w:val="00BA4F78"/>
    <w:rsid w:val="00BA655F"/>
    <w:rsid w:val="00BA66AB"/>
    <w:rsid w:val="00BB320E"/>
    <w:rsid w:val="00BB5491"/>
    <w:rsid w:val="00BB561C"/>
    <w:rsid w:val="00BB5C47"/>
    <w:rsid w:val="00BB7729"/>
    <w:rsid w:val="00BC129A"/>
    <w:rsid w:val="00BC1606"/>
    <w:rsid w:val="00BC4B4C"/>
    <w:rsid w:val="00BD0493"/>
    <w:rsid w:val="00BD2764"/>
    <w:rsid w:val="00BD38E8"/>
    <w:rsid w:val="00BD745C"/>
    <w:rsid w:val="00BE2856"/>
    <w:rsid w:val="00BE33FB"/>
    <w:rsid w:val="00BE417D"/>
    <w:rsid w:val="00BE5F7F"/>
    <w:rsid w:val="00BE7307"/>
    <w:rsid w:val="00BE7343"/>
    <w:rsid w:val="00BF1479"/>
    <w:rsid w:val="00BF3A00"/>
    <w:rsid w:val="00BF3BB0"/>
    <w:rsid w:val="00BF3D08"/>
    <w:rsid w:val="00BF3E1B"/>
    <w:rsid w:val="00BF4074"/>
    <w:rsid w:val="00C00FC4"/>
    <w:rsid w:val="00C063AB"/>
    <w:rsid w:val="00C06847"/>
    <w:rsid w:val="00C10702"/>
    <w:rsid w:val="00C1117E"/>
    <w:rsid w:val="00C1337B"/>
    <w:rsid w:val="00C151E5"/>
    <w:rsid w:val="00C21697"/>
    <w:rsid w:val="00C24E78"/>
    <w:rsid w:val="00C27AD0"/>
    <w:rsid w:val="00C3000E"/>
    <w:rsid w:val="00C32E33"/>
    <w:rsid w:val="00C32FA2"/>
    <w:rsid w:val="00C338C5"/>
    <w:rsid w:val="00C34ABD"/>
    <w:rsid w:val="00C4042F"/>
    <w:rsid w:val="00C4381E"/>
    <w:rsid w:val="00C43971"/>
    <w:rsid w:val="00C44F5A"/>
    <w:rsid w:val="00C47AF9"/>
    <w:rsid w:val="00C47BF3"/>
    <w:rsid w:val="00C52498"/>
    <w:rsid w:val="00C524A6"/>
    <w:rsid w:val="00C53C83"/>
    <w:rsid w:val="00C642B6"/>
    <w:rsid w:val="00C727B9"/>
    <w:rsid w:val="00C72872"/>
    <w:rsid w:val="00C76EAB"/>
    <w:rsid w:val="00C77FE2"/>
    <w:rsid w:val="00C8052B"/>
    <w:rsid w:val="00C833F8"/>
    <w:rsid w:val="00C9165F"/>
    <w:rsid w:val="00C93E5B"/>
    <w:rsid w:val="00CA3EC5"/>
    <w:rsid w:val="00CA592F"/>
    <w:rsid w:val="00CA71A6"/>
    <w:rsid w:val="00CB0441"/>
    <w:rsid w:val="00CB24D3"/>
    <w:rsid w:val="00CB3679"/>
    <w:rsid w:val="00CB492D"/>
    <w:rsid w:val="00CB5665"/>
    <w:rsid w:val="00CC1075"/>
    <w:rsid w:val="00CC3048"/>
    <w:rsid w:val="00CC407D"/>
    <w:rsid w:val="00CC5146"/>
    <w:rsid w:val="00CD2ED9"/>
    <w:rsid w:val="00CD7808"/>
    <w:rsid w:val="00CD7CC7"/>
    <w:rsid w:val="00CE10B6"/>
    <w:rsid w:val="00CF0A92"/>
    <w:rsid w:val="00CF4393"/>
    <w:rsid w:val="00D00391"/>
    <w:rsid w:val="00D00635"/>
    <w:rsid w:val="00D038CD"/>
    <w:rsid w:val="00D05AEF"/>
    <w:rsid w:val="00D077AC"/>
    <w:rsid w:val="00D12E09"/>
    <w:rsid w:val="00D14B4C"/>
    <w:rsid w:val="00D22608"/>
    <w:rsid w:val="00D2610D"/>
    <w:rsid w:val="00D271E8"/>
    <w:rsid w:val="00D30D54"/>
    <w:rsid w:val="00D30D73"/>
    <w:rsid w:val="00D33DDB"/>
    <w:rsid w:val="00D342F2"/>
    <w:rsid w:val="00D35398"/>
    <w:rsid w:val="00D35899"/>
    <w:rsid w:val="00D36CE8"/>
    <w:rsid w:val="00D40084"/>
    <w:rsid w:val="00D408DC"/>
    <w:rsid w:val="00D40981"/>
    <w:rsid w:val="00D40FC7"/>
    <w:rsid w:val="00D448A4"/>
    <w:rsid w:val="00D449C2"/>
    <w:rsid w:val="00D500C4"/>
    <w:rsid w:val="00D50114"/>
    <w:rsid w:val="00D51930"/>
    <w:rsid w:val="00D520DF"/>
    <w:rsid w:val="00D527CD"/>
    <w:rsid w:val="00D54596"/>
    <w:rsid w:val="00D56AFD"/>
    <w:rsid w:val="00D61B64"/>
    <w:rsid w:val="00D62F51"/>
    <w:rsid w:val="00D641A7"/>
    <w:rsid w:val="00D64B1C"/>
    <w:rsid w:val="00D64E68"/>
    <w:rsid w:val="00D66E9C"/>
    <w:rsid w:val="00D67ACF"/>
    <w:rsid w:val="00D7126D"/>
    <w:rsid w:val="00D74ADE"/>
    <w:rsid w:val="00D8224C"/>
    <w:rsid w:val="00D875CB"/>
    <w:rsid w:val="00D9070C"/>
    <w:rsid w:val="00D919CC"/>
    <w:rsid w:val="00D939C8"/>
    <w:rsid w:val="00D93C7A"/>
    <w:rsid w:val="00D94AEA"/>
    <w:rsid w:val="00D97BFB"/>
    <w:rsid w:val="00DA0D67"/>
    <w:rsid w:val="00DA11C1"/>
    <w:rsid w:val="00DA3576"/>
    <w:rsid w:val="00DA47A1"/>
    <w:rsid w:val="00DA5294"/>
    <w:rsid w:val="00DA71AB"/>
    <w:rsid w:val="00DB358C"/>
    <w:rsid w:val="00DB5127"/>
    <w:rsid w:val="00DB5C8C"/>
    <w:rsid w:val="00DB64BF"/>
    <w:rsid w:val="00DB78DF"/>
    <w:rsid w:val="00DC0C29"/>
    <w:rsid w:val="00DC14FE"/>
    <w:rsid w:val="00DC2007"/>
    <w:rsid w:val="00DC58D5"/>
    <w:rsid w:val="00DC721E"/>
    <w:rsid w:val="00DD0001"/>
    <w:rsid w:val="00DD08F5"/>
    <w:rsid w:val="00DD553B"/>
    <w:rsid w:val="00DD6899"/>
    <w:rsid w:val="00DD7BDB"/>
    <w:rsid w:val="00DE3840"/>
    <w:rsid w:val="00DF2632"/>
    <w:rsid w:val="00DF6077"/>
    <w:rsid w:val="00DF60E5"/>
    <w:rsid w:val="00E00C92"/>
    <w:rsid w:val="00E0252C"/>
    <w:rsid w:val="00E02608"/>
    <w:rsid w:val="00E050E5"/>
    <w:rsid w:val="00E05581"/>
    <w:rsid w:val="00E103AF"/>
    <w:rsid w:val="00E14AA1"/>
    <w:rsid w:val="00E14F68"/>
    <w:rsid w:val="00E15CB5"/>
    <w:rsid w:val="00E23A79"/>
    <w:rsid w:val="00E2402B"/>
    <w:rsid w:val="00E2655D"/>
    <w:rsid w:val="00E26E48"/>
    <w:rsid w:val="00E34E96"/>
    <w:rsid w:val="00E36C31"/>
    <w:rsid w:val="00E37AFF"/>
    <w:rsid w:val="00E402A9"/>
    <w:rsid w:val="00E43B67"/>
    <w:rsid w:val="00E44CDA"/>
    <w:rsid w:val="00E50215"/>
    <w:rsid w:val="00E5773E"/>
    <w:rsid w:val="00E64FF7"/>
    <w:rsid w:val="00E66BAD"/>
    <w:rsid w:val="00E67E2C"/>
    <w:rsid w:val="00E72BE9"/>
    <w:rsid w:val="00E72C1B"/>
    <w:rsid w:val="00E73767"/>
    <w:rsid w:val="00E73ADE"/>
    <w:rsid w:val="00E77237"/>
    <w:rsid w:val="00E775F8"/>
    <w:rsid w:val="00E822A8"/>
    <w:rsid w:val="00E84BEA"/>
    <w:rsid w:val="00E8777A"/>
    <w:rsid w:val="00E91C33"/>
    <w:rsid w:val="00E93C17"/>
    <w:rsid w:val="00EA1844"/>
    <w:rsid w:val="00EA198F"/>
    <w:rsid w:val="00EA3AE4"/>
    <w:rsid w:val="00EA7301"/>
    <w:rsid w:val="00EB1675"/>
    <w:rsid w:val="00EB68BA"/>
    <w:rsid w:val="00EC032A"/>
    <w:rsid w:val="00EC1F05"/>
    <w:rsid w:val="00EC272D"/>
    <w:rsid w:val="00EC4BDC"/>
    <w:rsid w:val="00EC7A36"/>
    <w:rsid w:val="00ED0205"/>
    <w:rsid w:val="00ED30C1"/>
    <w:rsid w:val="00ED374D"/>
    <w:rsid w:val="00ED4691"/>
    <w:rsid w:val="00EE296B"/>
    <w:rsid w:val="00EE343B"/>
    <w:rsid w:val="00EE382C"/>
    <w:rsid w:val="00EE3AAE"/>
    <w:rsid w:val="00EE5ACD"/>
    <w:rsid w:val="00EE60C4"/>
    <w:rsid w:val="00F0147F"/>
    <w:rsid w:val="00F06112"/>
    <w:rsid w:val="00F079A6"/>
    <w:rsid w:val="00F128D3"/>
    <w:rsid w:val="00F1293C"/>
    <w:rsid w:val="00F17424"/>
    <w:rsid w:val="00F2142E"/>
    <w:rsid w:val="00F26FED"/>
    <w:rsid w:val="00F27103"/>
    <w:rsid w:val="00F3023A"/>
    <w:rsid w:val="00F322BB"/>
    <w:rsid w:val="00F33F59"/>
    <w:rsid w:val="00F35327"/>
    <w:rsid w:val="00F43C62"/>
    <w:rsid w:val="00F4727C"/>
    <w:rsid w:val="00F47D84"/>
    <w:rsid w:val="00F56200"/>
    <w:rsid w:val="00F61294"/>
    <w:rsid w:val="00F72122"/>
    <w:rsid w:val="00F74F46"/>
    <w:rsid w:val="00F754B7"/>
    <w:rsid w:val="00F773B0"/>
    <w:rsid w:val="00F77700"/>
    <w:rsid w:val="00F85856"/>
    <w:rsid w:val="00F87A23"/>
    <w:rsid w:val="00F91214"/>
    <w:rsid w:val="00F93D71"/>
    <w:rsid w:val="00FA423A"/>
    <w:rsid w:val="00FB178A"/>
    <w:rsid w:val="00FB2C11"/>
    <w:rsid w:val="00FB31B2"/>
    <w:rsid w:val="00FB70C0"/>
    <w:rsid w:val="00FB74BC"/>
    <w:rsid w:val="00FC2014"/>
    <w:rsid w:val="00FC6CC9"/>
    <w:rsid w:val="00FC6F4C"/>
    <w:rsid w:val="00FD02F0"/>
    <w:rsid w:val="00FD1718"/>
    <w:rsid w:val="00FD1812"/>
    <w:rsid w:val="00FD41D0"/>
    <w:rsid w:val="00FD4B67"/>
    <w:rsid w:val="00FD787E"/>
    <w:rsid w:val="00FE0666"/>
    <w:rsid w:val="00FE21C6"/>
    <w:rsid w:val="00FF0CD6"/>
    <w:rsid w:val="00FF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05D81E"/>
  <w15:docId w15:val="{BED6EC35-FA92-4D8E-8B07-26D39BEB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5E5"/>
    <w:pPr>
      <w:spacing w:line="256" w:lineRule="auto"/>
    </w:pPr>
  </w:style>
  <w:style w:type="paragraph" w:styleId="Heading1">
    <w:name w:val="heading 1"/>
    <w:basedOn w:val="Normal"/>
    <w:next w:val="Normal"/>
    <w:link w:val="Heading1Char"/>
    <w:qFormat/>
    <w:rsid w:val="006200BB"/>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9B6BBD"/>
    <w:pPr>
      <w:keepNext/>
      <w:keepLines/>
      <w:spacing w:before="200" w:after="0" w:line="276" w:lineRule="auto"/>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3165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165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165E5"/>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0BB"/>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9B6BBD"/>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3165E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165E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165E5"/>
    <w:rPr>
      <w:rFonts w:ascii="Calibri" w:eastAsia="Times New Roman" w:hAnsi="Calibri" w:cs="Times New Roman"/>
      <w:b/>
      <w:bCs/>
      <w:i/>
      <w:iCs/>
      <w:sz w:val="26"/>
      <w:szCs w:val="26"/>
    </w:rPr>
  </w:style>
  <w:style w:type="character" w:styleId="Hyperlink">
    <w:name w:val="Hyperlink"/>
    <w:unhideWhenUsed/>
    <w:qFormat/>
    <w:rsid w:val="003165E5"/>
    <w:rPr>
      <w:color w:val="0000FF"/>
      <w:u w:val="single"/>
    </w:rPr>
  </w:style>
  <w:style w:type="character" w:styleId="FollowedHyperlink">
    <w:name w:val="FollowedHyperlink"/>
    <w:basedOn w:val="DefaultParagraphFont"/>
    <w:uiPriority w:val="99"/>
    <w:semiHidden/>
    <w:unhideWhenUsed/>
    <w:rsid w:val="003165E5"/>
    <w:rPr>
      <w:color w:val="800080"/>
      <w:u w:val="single"/>
    </w:rPr>
  </w:style>
  <w:style w:type="character" w:styleId="HTMLCite">
    <w:name w:val="HTML Cite"/>
    <w:basedOn w:val="DefaultParagraphFont"/>
    <w:uiPriority w:val="99"/>
    <w:semiHidden/>
    <w:unhideWhenUsed/>
    <w:rsid w:val="003165E5"/>
    <w:rPr>
      <w:rFonts w:ascii="Times New Roman" w:hAnsi="Times New Roman" w:cs="Times New Roman" w:hint="default"/>
      <w:i/>
      <w:iCs/>
    </w:rPr>
  </w:style>
  <w:style w:type="character" w:styleId="Emphasis">
    <w:name w:val="Emphasis"/>
    <w:basedOn w:val="DefaultParagraphFont"/>
    <w:uiPriority w:val="20"/>
    <w:qFormat/>
    <w:rsid w:val="003165E5"/>
    <w:rPr>
      <w:rFonts w:ascii="Times New Roman" w:hAnsi="Times New Roman" w:cs="Times New Roman" w:hint="default"/>
      <w:i/>
      <w:iCs/>
    </w:rPr>
  </w:style>
  <w:style w:type="paragraph" w:customStyle="1" w:styleId="msonormal0">
    <w:name w:val="msonormal"/>
    <w:basedOn w:val="Normal"/>
    <w:uiPriority w:val="99"/>
    <w:rsid w:val="003165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65E5"/>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3165E5"/>
    <w:pPr>
      <w:tabs>
        <w:tab w:val="right" w:leader="dot" w:pos="9350"/>
      </w:tabs>
      <w:spacing w:after="0" w:line="240" w:lineRule="auto"/>
    </w:pPr>
    <w:rPr>
      <w:rFonts w:eastAsiaTheme="minorEastAsia" w:cs="Times New Roman"/>
    </w:rPr>
  </w:style>
  <w:style w:type="paragraph" w:styleId="TOC2">
    <w:name w:val="toc 2"/>
    <w:basedOn w:val="Normal"/>
    <w:next w:val="Normal"/>
    <w:autoRedefine/>
    <w:uiPriority w:val="39"/>
    <w:unhideWhenUsed/>
    <w:qFormat/>
    <w:rsid w:val="003165E5"/>
    <w:pPr>
      <w:tabs>
        <w:tab w:val="right" w:leader="dot" w:pos="9350"/>
      </w:tabs>
      <w:spacing w:after="100" w:line="360" w:lineRule="auto"/>
      <w:ind w:left="220"/>
    </w:pPr>
    <w:rPr>
      <w:rFonts w:eastAsiaTheme="minorEastAsia" w:cs="Times New Roman"/>
    </w:rPr>
  </w:style>
  <w:style w:type="paragraph" w:styleId="TOC3">
    <w:name w:val="toc 3"/>
    <w:basedOn w:val="Normal"/>
    <w:next w:val="Normal"/>
    <w:autoRedefine/>
    <w:uiPriority w:val="39"/>
    <w:unhideWhenUsed/>
    <w:qFormat/>
    <w:rsid w:val="003165E5"/>
    <w:pPr>
      <w:tabs>
        <w:tab w:val="right" w:leader="dot" w:pos="9350"/>
      </w:tabs>
      <w:spacing w:after="100" w:line="360" w:lineRule="auto"/>
      <w:ind w:left="440"/>
    </w:pPr>
    <w:rPr>
      <w:rFonts w:ascii="Times New Roman" w:eastAsiaTheme="minorEastAsia" w:hAnsi="Times New Roman" w:cs="Times New Roman"/>
      <w:noProof/>
      <w:sz w:val="24"/>
      <w:szCs w:val="24"/>
    </w:rPr>
  </w:style>
  <w:style w:type="paragraph" w:styleId="TOC4">
    <w:name w:val="toc 4"/>
    <w:basedOn w:val="Normal"/>
    <w:next w:val="Normal"/>
    <w:autoRedefine/>
    <w:uiPriority w:val="39"/>
    <w:unhideWhenUsed/>
    <w:rsid w:val="003165E5"/>
    <w:pPr>
      <w:spacing w:after="100" w:line="276" w:lineRule="auto"/>
      <w:ind w:left="660"/>
    </w:pPr>
    <w:rPr>
      <w:rFonts w:eastAsiaTheme="minorEastAsia"/>
    </w:rPr>
  </w:style>
  <w:style w:type="paragraph" w:styleId="TOC5">
    <w:name w:val="toc 5"/>
    <w:basedOn w:val="Normal"/>
    <w:next w:val="Normal"/>
    <w:autoRedefine/>
    <w:uiPriority w:val="39"/>
    <w:unhideWhenUsed/>
    <w:rsid w:val="003165E5"/>
    <w:pPr>
      <w:spacing w:after="100" w:line="276" w:lineRule="auto"/>
      <w:ind w:left="880"/>
    </w:pPr>
    <w:rPr>
      <w:rFonts w:eastAsiaTheme="minorEastAsia"/>
    </w:rPr>
  </w:style>
  <w:style w:type="paragraph" w:styleId="TOC6">
    <w:name w:val="toc 6"/>
    <w:basedOn w:val="Normal"/>
    <w:next w:val="Normal"/>
    <w:autoRedefine/>
    <w:uiPriority w:val="39"/>
    <w:unhideWhenUsed/>
    <w:rsid w:val="003165E5"/>
    <w:pPr>
      <w:spacing w:after="100" w:line="276" w:lineRule="auto"/>
      <w:ind w:left="1100"/>
    </w:pPr>
    <w:rPr>
      <w:rFonts w:eastAsiaTheme="minorEastAsia"/>
    </w:rPr>
  </w:style>
  <w:style w:type="paragraph" w:styleId="TOC7">
    <w:name w:val="toc 7"/>
    <w:basedOn w:val="Normal"/>
    <w:next w:val="Normal"/>
    <w:autoRedefine/>
    <w:uiPriority w:val="39"/>
    <w:unhideWhenUsed/>
    <w:rsid w:val="003165E5"/>
    <w:pPr>
      <w:spacing w:after="100" w:line="276" w:lineRule="auto"/>
      <w:ind w:left="1320"/>
    </w:pPr>
    <w:rPr>
      <w:rFonts w:eastAsiaTheme="minorEastAsia"/>
    </w:rPr>
  </w:style>
  <w:style w:type="paragraph" w:styleId="TOC8">
    <w:name w:val="toc 8"/>
    <w:basedOn w:val="Normal"/>
    <w:next w:val="Normal"/>
    <w:autoRedefine/>
    <w:uiPriority w:val="39"/>
    <w:unhideWhenUsed/>
    <w:rsid w:val="003165E5"/>
    <w:pPr>
      <w:spacing w:after="100" w:line="276" w:lineRule="auto"/>
      <w:ind w:left="1540"/>
    </w:pPr>
    <w:rPr>
      <w:rFonts w:eastAsiaTheme="minorEastAsia"/>
    </w:rPr>
  </w:style>
  <w:style w:type="paragraph" w:styleId="TOC9">
    <w:name w:val="toc 9"/>
    <w:basedOn w:val="Normal"/>
    <w:next w:val="Normal"/>
    <w:autoRedefine/>
    <w:uiPriority w:val="39"/>
    <w:unhideWhenUsed/>
    <w:rsid w:val="003165E5"/>
    <w:pPr>
      <w:spacing w:after="100" w:line="276" w:lineRule="auto"/>
      <w:ind w:left="1760"/>
    </w:pPr>
    <w:rPr>
      <w:rFonts w:eastAsiaTheme="minorEastAsia"/>
    </w:rPr>
  </w:style>
  <w:style w:type="paragraph" w:styleId="CommentText">
    <w:name w:val="annotation text"/>
    <w:basedOn w:val="Normal"/>
    <w:link w:val="CommentTextChar"/>
    <w:uiPriority w:val="99"/>
    <w:semiHidden/>
    <w:unhideWhenUsed/>
    <w:rsid w:val="003165E5"/>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3165E5"/>
    <w:rPr>
      <w:rFonts w:eastAsia="Calibri" w:cs="Times New Roman"/>
      <w:sz w:val="20"/>
      <w:szCs w:val="20"/>
    </w:rPr>
  </w:style>
  <w:style w:type="paragraph" w:styleId="Header">
    <w:name w:val="header"/>
    <w:basedOn w:val="Normal"/>
    <w:link w:val="HeaderChar"/>
    <w:uiPriority w:val="99"/>
    <w:unhideWhenUsed/>
    <w:rsid w:val="003165E5"/>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3165E5"/>
    <w:rPr>
      <w:rFonts w:eastAsia="Times New Roman" w:cs="Times New Roman"/>
    </w:rPr>
  </w:style>
  <w:style w:type="paragraph" w:styleId="Footer">
    <w:name w:val="footer"/>
    <w:basedOn w:val="Normal"/>
    <w:link w:val="FooterChar"/>
    <w:uiPriority w:val="99"/>
    <w:unhideWhenUsed/>
    <w:rsid w:val="003165E5"/>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3165E5"/>
    <w:rPr>
      <w:rFonts w:eastAsia="Times New Roman" w:cs="Times New Roman"/>
    </w:rPr>
  </w:style>
  <w:style w:type="paragraph" w:styleId="Caption">
    <w:name w:val="caption"/>
    <w:basedOn w:val="Normal"/>
    <w:next w:val="Normal"/>
    <w:uiPriority w:val="35"/>
    <w:unhideWhenUsed/>
    <w:qFormat/>
    <w:rsid w:val="003165E5"/>
    <w:pPr>
      <w:spacing w:after="200" w:line="240" w:lineRule="auto"/>
    </w:pPr>
    <w:rPr>
      <w:rFonts w:eastAsia="Times New Roman" w:cs="Times New Roman"/>
      <w:b/>
      <w:bCs/>
      <w:color w:val="5B9BD5" w:themeColor="accent1"/>
      <w:sz w:val="18"/>
      <w:szCs w:val="18"/>
    </w:rPr>
  </w:style>
  <w:style w:type="paragraph" w:styleId="TableofFigures">
    <w:name w:val="table of figures"/>
    <w:basedOn w:val="Normal"/>
    <w:next w:val="Normal"/>
    <w:uiPriority w:val="99"/>
    <w:semiHidden/>
    <w:unhideWhenUsed/>
    <w:rsid w:val="003165E5"/>
    <w:pPr>
      <w:spacing w:after="0"/>
    </w:pPr>
    <w:rPr>
      <w:rFonts w:eastAsia="Calibri" w:cs="Times New Roman"/>
    </w:rPr>
  </w:style>
  <w:style w:type="paragraph" w:styleId="BodyText">
    <w:name w:val="Body Text"/>
    <w:basedOn w:val="Normal"/>
    <w:link w:val="BodyTextChar"/>
    <w:uiPriority w:val="99"/>
    <w:semiHidden/>
    <w:unhideWhenUsed/>
    <w:rsid w:val="003165E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165E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165E5"/>
    <w:rPr>
      <w:b/>
      <w:bCs/>
    </w:rPr>
  </w:style>
  <w:style w:type="character" w:customStyle="1" w:styleId="CommentSubjectChar">
    <w:name w:val="Comment Subject Char"/>
    <w:basedOn w:val="CommentTextChar"/>
    <w:link w:val="CommentSubject"/>
    <w:uiPriority w:val="99"/>
    <w:semiHidden/>
    <w:rsid w:val="003165E5"/>
    <w:rPr>
      <w:rFonts w:eastAsia="Calibri" w:cs="Times New Roman"/>
      <w:b/>
      <w:bCs/>
      <w:sz w:val="20"/>
      <w:szCs w:val="20"/>
    </w:rPr>
  </w:style>
  <w:style w:type="paragraph" w:styleId="BalloonText">
    <w:name w:val="Balloon Text"/>
    <w:basedOn w:val="Normal"/>
    <w:link w:val="BalloonTextChar"/>
    <w:uiPriority w:val="99"/>
    <w:semiHidden/>
    <w:unhideWhenUsed/>
    <w:rsid w:val="003165E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165E5"/>
    <w:rPr>
      <w:rFonts w:ascii="Tahoma" w:eastAsia="Times New Roman" w:hAnsi="Tahoma" w:cs="Tahoma"/>
      <w:sz w:val="16"/>
      <w:szCs w:val="16"/>
    </w:rPr>
  </w:style>
  <w:style w:type="paragraph" w:styleId="NoSpacing">
    <w:name w:val="No Spacing"/>
    <w:uiPriority w:val="1"/>
    <w:qFormat/>
    <w:rsid w:val="003165E5"/>
    <w:pPr>
      <w:spacing w:after="0" w:line="240" w:lineRule="auto"/>
    </w:pPr>
    <w:rPr>
      <w:rFonts w:eastAsia="Calibri" w:cs="Times New Roman"/>
    </w:rPr>
  </w:style>
  <w:style w:type="paragraph" w:styleId="Revision">
    <w:name w:val="Revision"/>
    <w:uiPriority w:val="99"/>
    <w:semiHidden/>
    <w:rsid w:val="003165E5"/>
    <w:pPr>
      <w:spacing w:after="0" w:line="240" w:lineRule="auto"/>
    </w:pPr>
  </w:style>
  <w:style w:type="paragraph" w:styleId="ListParagraph">
    <w:name w:val="List Paragraph"/>
    <w:basedOn w:val="Normal"/>
    <w:uiPriority w:val="34"/>
    <w:qFormat/>
    <w:rsid w:val="003165E5"/>
    <w:pPr>
      <w:spacing w:after="200" w:line="276" w:lineRule="auto"/>
      <w:ind w:left="720"/>
      <w:contextualSpacing/>
    </w:pPr>
  </w:style>
  <w:style w:type="paragraph" w:styleId="Bibliography">
    <w:name w:val="Bibliography"/>
    <w:basedOn w:val="Normal"/>
    <w:next w:val="Normal"/>
    <w:uiPriority w:val="37"/>
    <w:semiHidden/>
    <w:unhideWhenUsed/>
    <w:rsid w:val="003165E5"/>
    <w:pPr>
      <w:spacing w:after="0" w:line="240" w:lineRule="auto"/>
      <w:ind w:left="720" w:hanging="720"/>
    </w:pPr>
    <w:rPr>
      <w:rFonts w:eastAsia="Times New Roman" w:cs="Times New Roman"/>
    </w:rPr>
  </w:style>
  <w:style w:type="paragraph" w:styleId="TOCHeading">
    <w:name w:val="TOC Heading"/>
    <w:basedOn w:val="Heading1"/>
    <w:next w:val="Normal"/>
    <w:uiPriority w:val="39"/>
    <w:semiHidden/>
    <w:unhideWhenUsed/>
    <w:qFormat/>
    <w:rsid w:val="003165E5"/>
    <w:pPr>
      <w:outlineLvl w:val="9"/>
    </w:pPr>
  </w:style>
  <w:style w:type="paragraph" w:customStyle="1" w:styleId="paragraph">
    <w:name w:val="paragraph"/>
    <w:basedOn w:val="Normal"/>
    <w:uiPriority w:val="99"/>
    <w:rsid w:val="003165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3165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63">
    <w:name w:val="xl63"/>
    <w:basedOn w:val="Normal"/>
    <w:uiPriority w:val="99"/>
    <w:rsid w:val="003165E5"/>
    <w:pPr>
      <w:pBdr>
        <w:top w:val="single" w:sz="4" w:space="0" w:color="auto"/>
        <w:left w:val="single" w:sz="4" w:space="0" w:color="auto"/>
        <w:bottom w:val="single" w:sz="4" w:space="0" w:color="auto"/>
        <w:right w:val="single" w:sz="4" w:space="0" w:color="auto"/>
      </w:pBdr>
      <w:shd w:val="clear" w:color="auto" w:fill="DCDCFF"/>
      <w:spacing w:before="100" w:beforeAutospacing="1" w:after="100" w:afterAutospacing="1" w:line="240" w:lineRule="auto"/>
    </w:pPr>
    <w:rPr>
      <w:rFonts w:ascii="Arial" w:eastAsia="Times New Roman" w:hAnsi="Arial" w:cs="Arial"/>
      <w:b/>
      <w:bCs/>
      <w:sz w:val="16"/>
      <w:szCs w:val="16"/>
    </w:rPr>
  </w:style>
  <w:style w:type="paragraph" w:customStyle="1" w:styleId="xl64">
    <w:name w:val="xl64"/>
    <w:basedOn w:val="Normal"/>
    <w:uiPriority w:val="99"/>
    <w:rsid w:val="003165E5"/>
    <w:pPr>
      <w:spacing w:before="100" w:beforeAutospacing="1" w:after="100" w:afterAutospacing="1" w:line="240" w:lineRule="auto"/>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3165E5"/>
    <w:rPr>
      <w:sz w:val="16"/>
      <w:szCs w:val="16"/>
    </w:rPr>
  </w:style>
  <w:style w:type="character" w:customStyle="1" w:styleId="normaltextrun">
    <w:name w:val="normaltextrun"/>
    <w:basedOn w:val="DefaultParagraphFont"/>
    <w:rsid w:val="003165E5"/>
  </w:style>
  <w:style w:type="character" w:customStyle="1" w:styleId="eop">
    <w:name w:val="eop"/>
    <w:basedOn w:val="DefaultParagraphFont"/>
    <w:rsid w:val="003165E5"/>
  </w:style>
  <w:style w:type="character" w:customStyle="1" w:styleId="ej-keyword">
    <w:name w:val="ej-keyword"/>
    <w:basedOn w:val="DefaultParagraphFont"/>
    <w:rsid w:val="003165E5"/>
  </w:style>
  <w:style w:type="character" w:customStyle="1" w:styleId="citationbook">
    <w:name w:val="citation book"/>
    <w:basedOn w:val="DefaultParagraphFont"/>
    <w:rsid w:val="003165E5"/>
  </w:style>
  <w:style w:type="character" w:customStyle="1" w:styleId="mw-headline">
    <w:name w:val="mw-headline"/>
    <w:basedOn w:val="DefaultParagraphFont"/>
    <w:rsid w:val="003165E5"/>
  </w:style>
  <w:style w:type="character" w:customStyle="1" w:styleId="highlight">
    <w:name w:val="highlight"/>
    <w:basedOn w:val="DefaultParagraphFont"/>
    <w:rsid w:val="003165E5"/>
  </w:style>
  <w:style w:type="character" w:customStyle="1" w:styleId="hvr">
    <w:name w:val="hvr"/>
    <w:basedOn w:val="DefaultParagraphFont"/>
    <w:rsid w:val="003165E5"/>
  </w:style>
  <w:style w:type="character" w:customStyle="1" w:styleId="meta-citation-journal-name">
    <w:name w:val="meta-citation-journal-name"/>
    <w:basedOn w:val="DefaultParagraphFont"/>
    <w:rsid w:val="003165E5"/>
    <w:rPr>
      <w:rFonts w:ascii="Times New Roman" w:hAnsi="Times New Roman" w:cs="Times New Roman" w:hint="default"/>
    </w:rPr>
  </w:style>
  <w:style w:type="character" w:customStyle="1" w:styleId="meta-citation">
    <w:name w:val="meta-citation"/>
    <w:basedOn w:val="DefaultParagraphFont"/>
    <w:rsid w:val="003165E5"/>
    <w:rPr>
      <w:rFonts w:ascii="Times New Roman" w:hAnsi="Times New Roman" w:cs="Times New Roman" w:hint="default"/>
    </w:rPr>
  </w:style>
  <w:style w:type="character" w:customStyle="1" w:styleId="visually-hidden">
    <w:name w:val="visually-hidden"/>
    <w:basedOn w:val="DefaultParagraphFont"/>
    <w:rsid w:val="003165E5"/>
    <w:rPr>
      <w:rFonts w:ascii="Times New Roman" w:hAnsi="Times New Roman" w:cs="Times New Roman" w:hint="default"/>
    </w:rPr>
  </w:style>
  <w:style w:type="character" w:customStyle="1" w:styleId="cit">
    <w:name w:val="cit"/>
    <w:basedOn w:val="DefaultParagraphFont"/>
    <w:rsid w:val="003165E5"/>
    <w:rPr>
      <w:rFonts w:ascii="Times New Roman" w:hAnsi="Times New Roman" w:cs="Times New Roman" w:hint="default"/>
    </w:rPr>
  </w:style>
  <w:style w:type="character" w:customStyle="1" w:styleId="hlfld-contribauthor">
    <w:name w:val="hlfld-contribauthor"/>
    <w:basedOn w:val="DefaultParagraphFont"/>
    <w:rsid w:val="003165E5"/>
    <w:rPr>
      <w:rFonts w:ascii="Times New Roman" w:hAnsi="Times New Roman" w:cs="Times New Roman" w:hint="default"/>
    </w:rPr>
  </w:style>
  <w:style w:type="character" w:customStyle="1" w:styleId="nlmgiven-names">
    <w:name w:val="nlm_given-names"/>
    <w:basedOn w:val="DefaultParagraphFont"/>
    <w:rsid w:val="003165E5"/>
    <w:rPr>
      <w:rFonts w:ascii="Times New Roman" w:hAnsi="Times New Roman" w:cs="Times New Roman" w:hint="default"/>
    </w:rPr>
  </w:style>
  <w:style w:type="character" w:customStyle="1" w:styleId="nlmpublisher-name">
    <w:name w:val="nlm_publisher-name"/>
    <w:basedOn w:val="DefaultParagraphFont"/>
    <w:rsid w:val="003165E5"/>
    <w:rPr>
      <w:rFonts w:ascii="Times New Roman" w:hAnsi="Times New Roman" w:cs="Times New Roman" w:hint="default"/>
    </w:rPr>
  </w:style>
  <w:style w:type="character" w:customStyle="1" w:styleId="nlmpublisher-loc">
    <w:name w:val="nlm_publisher-loc"/>
    <w:basedOn w:val="DefaultParagraphFont"/>
    <w:rsid w:val="003165E5"/>
    <w:rPr>
      <w:rFonts w:ascii="Times New Roman" w:hAnsi="Times New Roman" w:cs="Times New Roman" w:hint="default"/>
    </w:rPr>
  </w:style>
  <w:style w:type="character" w:customStyle="1" w:styleId="nlmyear">
    <w:name w:val="nlm_year"/>
    <w:basedOn w:val="DefaultParagraphFont"/>
    <w:rsid w:val="003165E5"/>
    <w:rPr>
      <w:rFonts w:ascii="Times New Roman" w:hAnsi="Times New Roman" w:cs="Times New Roman" w:hint="default"/>
    </w:rPr>
  </w:style>
  <w:style w:type="character" w:customStyle="1" w:styleId="citationsource-journal">
    <w:name w:val="citation_source-journal"/>
    <w:basedOn w:val="DefaultParagraphFont"/>
    <w:rsid w:val="003165E5"/>
    <w:rPr>
      <w:rFonts w:ascii="Times New Roman" w:hAnsi="Times New Roman" w:cs="Times New Roman" w:hint="default"/>
    </w:rPr>
  </w:style>
  <w:style w:type="character" w:customStyle="1" w:styleId="nlmfpage">
    <w:name w:val="nlm_fpage"/>
    <w:basedOn w:val="DefaultParagraphFont"/>
    <w:rsid w:val="003165E5"/>
    <w:rPr>
      <w:rFonts w:ascii="Times New Roman" w:hAnsi="Times New Roman" w:cs="Times New Roman" w:hint="default"/>
    </w:rPr>
  </w:style>
  <w:style w:type="character" w:customStyle="1" w:styleId="nlmlpage">
    <w:name w:val="nlm_lpage"/>
    <w:basedOn w:val="DefaultParagraphFont"/>
    <w:rsid w:val="003165E5"/>
    <w:rPr>
      <w:rFonts w:ascii="Times New Roman" w:hAnsi="Times New Roman" w:cs="Times New Roman" w:hint="default"/>
    </w:rPr>
  </w:style>
  <w:style w:type="table" w:styleId="TableGrid">
    <w:name w:val="Table Grid"/>
    <w:basedOn w:val="TableNormal"/>
    <w:uiPriority w:val="39"/>
    <w:rsid w:val="00316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3165E5"/>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16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316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316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3165E5"/>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4F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F85"/>
    <w:rPr>
      <w:sz w:val="20"/>
      <w:szCs w:val="20"/>
    </w:rPr>
  </w:style>
  <w:style w:type="character" w:styleId="FootnoteReference">
    <w:name w:val="footnote reference"/>
    <w:basedOn w:val="DefaultParagraphFont"/>
    <w:uiPriority w:val="99"/>
    <w:semiHidden/>
    <w:unhideWhenUsed/>
    <w:rsid w:val="00084F85"/>
    <w:rPr>
      <w:vertAlign w:val="superscript"/>
    </w:rPr>
  </w:style>
  <w:style w:type="character" w:customStyle="1" w:styleId="fontstyle01">
    <w:name w:val="fontstyle01"/>
    <w:basedOn w:val="DefaultParagraphFont"/>
    <w:rsid w:val="00A342B3"/>
    <w:rPr>
      <w:rFonts w:ascii="Times New Roman" w:hAnsi="Times New Roman" w:cs="Times New Roman" w:hint="default"/>
      <w:b/>
      <w:bCs/>
      <w:i w:val="0"/>
      <w:iCs w:val="0"/>
      <w:color w:val="000000"/>
      <w:sz w:val="24"/>
      <w:szCs w:val="24"/>
    </w:rPr>
  </w:style>
  <w:style w:type="character" w:customStyle="1" w:styleId="UnresolvedMention">
    <w:name w:val="Unresolved Mention"/>
    <w:basedOn w:val="DefaultParagraphFont"/>
    <w:uiPriority w:val="99"/>
    <w:semiHidden/>
    <w:unhideWhenUsed/>
    <w:rsid w:val="00F2142E"/>
    <w:rPr>
      <w:color w:val="605E5C"/>
      <w:shd w:val="clear" w:color="auto" w:fill="E1DFDD"/>
    </w:rPr>
  </w:style>
  <w:style w:type="character" w:customStyle="1" w:styleId="ej-journal-doi">
    <w:name w:val="ej-journal-doi"/>
    <w:basedOn w:val="DefaultParagraphFont"/>
    <w:rsid w:val="00D27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666">
      <w:bodyDiv w:val="1"/>
      <w:marLeft w:val="0"/>
      <w:marRight w:val="0"/>
      <w:marTop w:val="0"/>
      <w:marBottom w:val="0"/>
      <w:divBdr>
        <w:top w:val="none" w:sz="0" w:space="0" w:color="auto"/>
        <w:left w:val="none" w:sz="0" w:space="0" w:color="auto"/>
        <w:bottom w:val="none" w:sz="0" w:space="0" w:color="auto"/>
        <w:right w:val="none" w:sz="0" w:space="0" w:color="auto"/>
      </w:divBdr>
      <w:divsChild>
        <w:div w:id="1729957796">
          <w:marLeft w:val="360"/>
          <w:marRight w:val="0"/>
          <w:marTop w:val="200"/>
          <w:marBottom w:val="0"/>
          <w:divBdr>
            <w:top w:val="none" w:sz="0" w:space="0" w:color="auto"/>
            <w:left w:val="none" w:sz="0" w:space="0" w:color="auto"/>
            <w:bottom w:val="none" w:sz="0" w:space="0" w:color="auto"/>
            <w:right w:val="none" w:sz="0" w:space="0" w:color="auto"/>
          </w:divBdr>
        </w:div>
      </w:divsChild>
    </w:div>
    <w:div w:id="982925792">
      <w:bodyDiv w:val="1"/>
      <w:marLeft w:val="0"/>
      <w:marRight w:val="0"/>
      <w:marTop w:val="0"/>
      <w:marBottom w:val="0"/>
      <w:divBdr>
        <w:top w:val="none" w:sz="0" w:space="0" w:color="auto"/>
        <w:left w:val="none" w:sz="0" w:space="0" w:color="auto"/>
        <w:bottom w:val="none" w:sz="0" w:space="0" w:color="auto"/>
        <w:right w:val="none" w:sz="0" w:space="0" w:color="auto"/>
      </w:divBdr>
    </w:div>
    <w:div w:id="2005090281">
      <w:bodyDiv w:val="1"/>
      <w:marLeft w:val="0"/>
      <w:marRight w:val="0"/>
      <w:marTop w:val="0"/>
      <w:marBottom w:val="0"/>
      <w:divBdr>
        <w:top w:val="none" w:sz="0" w:space="0" w:color="auto"/>
        <w:left w:val="none" w:sz="0" w:space="0" w:color="auto"/>
        <w:bottom w:val="none" w:sz="0" w:space="0" w:color="auto"/>
        <w:right w:val="none" w:sz="0" w:space="0" w:color="auto"/>
      </w:divBdr>
      <w:divsChild>
        <w:div w:id="70899480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89/fsurg.2021.6466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KTQ Appearance</a:t>
            </a:r>
            <a:r>
              <a:rPr lang="en-US" baseline="0"/>
              <a:t> score </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037-4B1A-94B6-C77E0578181F}"/>
                </c:ext>
              </c:extLst>
            </c:dLbl>
            <c:dLbl>
              <c:idx val="1"/>
              <c:delete val="1"/>
              <c:extLst>
                <c:ext xmlns:c15="http://schemas.microsoft.com/office/drawing/2012/chart" uri="{CE6537A1-D6FC-4f65-9D91-7224C49458BB}"/>
                <c:ext xmlns:c16="http://schemas.microsoft.com/office/drawing/2014/chart" uri="{C3380CC4-5D6E-409C-BE32-E72D297353CC}">
                  <c16:uniqueId val="{00000001-8037-4B1A-94B6-C77E0578181F}"/>
                </c:ext>
              </c:extLst>
            </c:dLbl>
            <c:dLbl>
              <c:idx val="2"/>
              <c:delete val="1"/>
              <c:extLst>
                <c:ext xmlns:c15="http://schemas.microsoft.com/office/drawing/2012/chart" uri="{CE6537A1-D6FC-4f65-9D91-7224C49458BB}"/>
                <c:ext xmlns:c16="http://schemas.microsoft.com/office/drawing/2014/chart" uri="{C3380CC4-5D6E-409C-BE32-E72D297353CC}">
                  <c16:uniqueId val="{00000002-8037-4B1A-94B6-C77E0578181F}"/>
                </c:ext>
              </c:extLst>
            </c:dLbl>
            <c:dLbl>
              <c:idx val="3"/>
              <c:tx>
                <c:rich>
                  <a:bodyPr/>
                  <a:lstStyle/>
                  <a:p>
                    <a:fld id="{39BD0540-6D9C-429C-8326-F7C0A743D4B4}" type="VALUE">
                      <a:rPr lang="en-US"/>
                      <a:pPr/>
                      <a:t>[VALUE]</a:t>
                    </a:fld>
                    <a:r>
                      <a:rPr lang="en-US"/>
                      <a:t>% ,1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037-4B1A-94B6-C77E0578181F}"/>
                </c:ext>
              </c:extLst>
            </c:dLbl>
            <c:dLbl>
              <c:idx val="4"/>
              <c:layout>
                <c:manualLayout>
                  <c:x val="-8.3333333333333332E-3"/>
                  <c:y val="4.6296296296296294E-3"/>
                </c:manualLayout>
              </c:layout>
              <c:tx>
                <c:rich>
                  <a:bodyPr/>
                  <a:lstStyle/>
                  <a:p>
                    <a:r>
                      <a:rPr lang="en-US"/>
                      <a:t>3.8%,3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37-4B1A-94B6-C77E0578181F}"/>
                </c:ext>
              </c:extLst>
            </c:dLbl>
            <c:dLbl>
              <c:idx val="5"/>
              <c:tx>
                <c:rich>
                  <a:bodyPr/>
                  <a:lstStyle/>
                  <a:p>
                    <a:r>
                      <a:rPr lang="en-US"/>
                      <a:t>21.3%,17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37-4B1A-94B6-C77E0578181F}"/>
                </c:ext>
              </c:extLst>
            </c:dLbl>
            <c:dLbl>
              <c:idx val="6"/>
              <c:tx>
                <c:rich>
                  <a:bodyPr/>
                  <a:lstStyle/>
                  <a:p>
                    <a:r>
                      <a:rPr lang="en-US"/>
                      <a:t>73.8%,59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037-4B1A-94B6-C77E057818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0</c:v>
                </c:pt>
                <c:pt idx="1">
                  <c:v>0</c:v>
                </c:pt>
                <c:pt idx="2">
                  <c:v>0</c:v>
                </c:pt>
                <c:pt idx="3">
                  <c:v>1.3</c:v>
                </c:pt>
                <c:pt idx="4">
                  <c:v>3.8</c:v>
                </c:pt>
                <c:pt idx="5">
                  <c:v>21.3</c:v>
                </c:pt>
                <c:pt idx="6">
                  <c:v>73.8</c:v>
                </c:pt>
              </c:numCache>
            </c:numRef>
          </c:val>
          <c:extLst>
            <c:ext xmlns:c16="http://schemas.microsoft.com/office/drawing/2014/chart" uri="{C3380CC4-5D6E-409C-BE32-E72D297353CC}">
              <c16:uniqueId val="{00000007-8037-4B1A-94B6-C77E0578181F}"/>
            </c:ext>
          </c:extLst>
        </c:ser>
        <c:dLbls>
          <c:dLblPos val="outEnd"/>
          <c:showLegendKey val="0"/>
          <c:showVal val="1"/>
          <c:showCatName val="0"/>
          <c:showSerName val="0"/>
          <c:showPercent val="0"/>
          <c:showBubbleSize val="0"/>
        </c:dLbls>
        <c:gapWidth val="219"/>
        <c:overlap val="-27"/>
        <c:axId val="150045440"/>
        <c:axId val="150052864"/>
      </c:barChart>
      <c:catAx>
        <c:axId val="150045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Apperance</a:t>
                </a:r>
                <a:r>
                  <a:rPr lang="en-US" baseline="0"/>
                  <a:t>  domain score</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52864"/>
        <c:crosses val="autoZero"/>
        <c:auto val="1"/>
        <c:lblAlgn val="ctr"/>
        <c:lblOffset val="100"/>
        <c:noMultiLvlLbl val="0"/>
      </c:catAx>
      <c:valAx>
        <c:axId val="150052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a:t>
                </a:r>
                <a:r>
                  <a:rPr lang="en-US"/>
                  <a:t>patient in </a:t>
                </a:r>
                <a:r>
                  <a:rPr lang="en-US" baseline="0"/>
                  <a:t>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45440"/>
        <c:crosses val="autoZero"/>
        <c:crossBetween val="between"/>
      </c:valAx>
      <c:spPr>
        <a:noFill/>
        <a:ln>
          <a:noFill/>
        </a:ln>
        <a:effectLst/>
      </c:spPr>
    </c:plotArea>
    <c:plotVisOnly val="1"/>
    <c:dispBlanksAs val="gap"/>
    <c:showDLblsOverMax val="0"/>
  </c:chart>
  <c:spPr>
    <a:solidFill>
      <a:schemeClr val="bg1"/>
    </a:solidFill>
    <a:ln w="635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KTQ Fatigue score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fld id="{A173844D-75CD-4EC7-A120-17CE32885637}" type="VALUE">
                      <a:rPr lang="en-US"/>
                      <a:pPr/>
                      <a:t>[VALUE]</a:t>
                    </a:fld>
                    <a:r>
                      <a:rPr lang="en-US"/>
                      <a:t>%,1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666-4A0F-B223-46B664725567}"/>
                </c:ext>
              </c:extLst>
            </c:dLbl>
            <c:dLbl>
              <c:idx val="1"/>
              <c:tx>
                <c:rich>
                  <a:bodyPr/>
                  <a:lstStyle/>
                  <a:p>
                    <a:fld id="{B3BACE25-93A0-4215-A195-4B33FB0C5C5F}" type="VALUE">
                      <a:rPr lang="en-US"/>
                      <a:pPr/>
                      <a:t>[VALUE]</a:t>
                    </a:fld>
                    <a:r>
                      <a:rPr lang="en-US"/>
                      <a:t>%,4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666-4A0F-B223-46B664725567}"/>
                </c:ext>
              </c:extLst>
            </c:dLbl>
            <c:dLbl>
              <c:idx val="2"/>
              <c:tx>
                <c:rich>
                  <a:bodyPr/>
                  <a:lstStyle/>
                  <a:p>
                    <a:fld id="{D3F6FB1B-82CB-42A2-92BF-DF41C06D0A94}" type="VALUE">
                      <a:rPr lang="en-US"/>
                      <a:pPr/>
                      <a:t>[VALUE]</a:t>
                    </a:fld>
                    <a:r>
                      <a:rPr lang="en-US"/>
                      <a:t>%,3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666-4A0F-B223-46B664725567}"/>
                </c:ext>
              </c:extLst>
            </c:dLbl>
            <c:dLbl>
              <c:idx val="3"/>
              <c:tx>
                <c:rich>
                  <a:bodyPr/>
                  <a:lstStyle/>
                  <a:p>
                    <a:fld id="{72B9DD1F-7318-48F1-8231-710682EEDDFC}" type="VALUE">
                      <a:rPr lang="en-US"/>
                      <a:pPr/>
                      <a:t>[VALUE]</a:t>
                    </a:fld>
                    <a:r>
                      <a:rPr lang="en-US"/>
                      <a:t>%,10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666-4A0F-B223-46B664725567}"/>
                </c:ext>
              </c:extLst>
            </c:dLbl>
            <c:dLbl>
              <c:idx val="4"/>
              <c:tx>
                <c:rich>
                  <a:bodyPr/>
                  <a:lstStyle/>
                  <a:p>
                    <a:fld id="{60454E17-DA7A-4A01-A1D3-4D49C24562B2}" type="VALUE">
                      <a:rPr lang="en-US"/>
                      <a:pPr/>
                      <a:t>[VALUE]</a:t>
                    </a:fld>
                    <a:r>
                      <a:rPr lang="en-US"/>
                      <a:t>%,24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666-4A0F-B223-46B664725567}"/>
                </c:ext>
              </c:extLst>
            </c:dLbl>
            <c:dLbl>
              <c:idx val="5"/>
              <c:tx>
                <c:rich>
                  <a:bodyPr/>
                  <a:lstStyle/>
                  <a:p>
                    <a:fld id="{0DACB4A3-6C60-40F2-8D4A-F7D481B1931E}" type="VALUE">
                      <a:rPr lang="en-US"/>
                      <a:pPr/>
                      <a:t>[VALUE]</a:t>
                    </a:fld>
                    <a:r>
                      <a:rPr lang="en-US"/>
                      <a:t>%,19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666-4A0F-B223-46B664725567}"/>
                </c:ext>
              </c:extLst>
            </c:dLbl>
            <c:dLbl>
              <c:idx val="6"/>
              <c:tx>
                <c:rich>
                  <a:bodyPr/>
                  <a:lstStyle/>
                  <a:p>
                    <a:fld id="{A9ECAAB6-56AE-41F4-A35D-4E3606F3878E}" type="VALUE">
                      <a:rPr lang="en-US"/>
                      <a:pPr/>
                      <a:t>[VALUE]</a:t>
                    </a:fld>
                    <a:r>
                      <a:rPr lang="en-US"/>
                      <a:t> %,19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666-4A0F-B223-46B6647255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Sheet1!$A$20:$A$26</c:f>
              <c:numCache>
                <c:formatCode>General</c:formatCode>
                <c:ptCount val="7"/>
                <c:pt idx="0">
                  <c:v>1</c:v>
                </c:pt>
                <c:pt idx="1">
                  <c:v>2</c:v>
                </c:pt>
                <c:pt idx="2">
                  <c:v>3</c:v>
                </c:pt>
                <c:pt idx="3">
                  <c:v>4</c:v>
                </c:pt>
                <c:pt idx="4">
                  <c:v>5</c:v>
                </c:pt>
                <c:pt idx="5">
                  <c:v>6</c:v>
                </c:pt>
                <c:pt idx="6">
                  <c:v>7</c:v>
                </c:pt>
              </c:numCache>
            </c:numRef>
          </c:cat>
          <c:val>
            <c:numRef>
              <c:f>Sheet1!$B$20:$B$26</c:f>
              <c:numCache>
                <c:formatCode>General</c:formatCode>
                <c:ptCount val="7"/>
                <c:pt idx="0">
                  <c:v>1.3</c:v>
                </c:pt>
                <c:pt idx="1">
                  <c:v>5</c:v>
                </c:pt>
                <c:pt idx="2">
                  <c:v>3.8</c:v>
                </c:pt>
                <c:pt idx="3">
                  <c:v>12.5</c:v>
                </c:pt>
                <c:pt idx="4">
                  <c:v>30</c:v>
                </c:pt>
                <c:pt idx="5">
                  <c:v>23.8</c:v>
                </c:pt>
                <c:pt idx="6">
                  <c:v>23.8</c:v>
                </c:pt>
              </c:numCache>
            </c:numRef>
          </c:val>
          <c:extLst>
            <c:ext xmlns:c16="http://schemas.microsoft.com/office/drawing/2014/chart" uri="{C3380CC4-5D6E-409C-BE32-E72D297353CC}">
              <c16:uniqueId val="{00000007-0666-4A0F-B223-46B664725567}"/>
            </c:ext>
          </c:extLst>
        </c:ser>
        <c:dLbls>
          <c:dLblPos val="outEnd"/>
          <c:showLegendKey val="0"/>
          <c:showVal val="1"/>
          <c:showCatName val="0"/>
          <c:showSerName val="0"/>
          <c:showPercent val="0"/>
          <c:showBubbleSize val="0"/>
        </c:dLbls>
        <c:gapWidth val="219"/>
        <c:overlap val="-27"/>
        <c:axId val="149271680"/>
        <c:axId val="150020480"/>
      </c:barChart>
      <c:catAx>
        <c:axId val="149271680"/>
        <c:scaling>
          <c:orientation val="minMax"/>
        </c:scaling>
        <c:delete val="0"/>
        <c:axPos val="b"/>
        <c:title>
          <c:tx>
            <c:rich>
              <a:bodyPr/>
              <a:lstStyle/>
              <a:p>
                <a:pPr>
                  <a:defRPr/>
                </a:pPr>
                <a:r>
                  <a:rPr lang="en-US"/>
                  <a:t>Fatigue</a:t>
                </a:r>
                <a:r>
                  <a:rPr lang="en-US" baseline="0"/>
                  <a:t> domain score</a:t>
                </a:r>
                <a:endParaRPr lang="en-US"/>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20480"/>
        <c:crosses val="autoZero"/>
        <c:auto val="1"/>
        <c:lblAlgn val="ctr"/>
        <c:lblOffset val="100"/>
        <c:noMultiLvlLbl val="0"/>
      </c:catAx>
      <c:valAx>
        <c:axId val="150020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Number</a:t>
                </a:r>
                <a:r>
                  <a:rPr lang="en-US" baseline="0"/>
                  <a:t> of patient in %</a:t>
                </a:r>
                <a:endParaRPr lang="en-US"/>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27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KTQ</a:t>
            </a:r>
            <a:r>
              <a:rPr lang="en-US" baseline="0"/>
              <a:t> </a:t>
            </a:r>
            <a:r>
              <a:rPr lang="en-US"/>
              <a:t>Uncertainty/Fear</a:t>
            </a:r>
            <a:r>
              <a:rPr lang="en-US" baseline="0"/>
              <a:t> score</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1.3%,1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CF-4D0E-A236-73986FEE9597}"/>
                </c:ext>
              </c:extLst>
            </c:dLbl>
            <c:dLbl>
              <c:idx val="1"/>
              <c:tx>
                <c:rich>
                  <a:bodyPr/>
                  <a:lstStyle/>
                  <a:p>
                    <a:r>
                      <a:rPr lang="en-US"/>
                      <a:t>3.8%,2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CF-4D0E-A236-73986FEE9597}"/>
                </c:ext>
              </c:extLst>
            </c:dLbl>
            <c:dLbl>
              <c:idx val="2"/>
              <c:tx>
                <c:rich>
                  <a:bodyPr/>
                  <a:lstStyle/>
                  <a:p>
                    <a:r>
                      <a:rPr lang="en-US"/>
                      <a:t>16.3%,13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CF-4D0E-A236-73986FEE9597}"/>
                </c:ext>
              </c:extLst>
            </c:dLbl>
            <c:dLbl>
              <c:idx val="3"/>
              <c:tx>
                <c:rich>
                  <a:bodyPr/>
                  <a:lstStyle/>
                  <a:p>
                    <a:r>
                      <a:rPr lang="en-US"/>
                      <a:t>27.5%,22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CF-4D0E-A236-73986FEE9597}"/>
                </c:ext>
              </c:extLst>
            </c:dLbl>
            <c:dLbl>
              <c:idx val="4"/>
              <c:tx>
                <c:rich>
                  <a:bodyPr/>
                  <a:lstStyle/>
                  <a:p>
                    <a:r>
                      <a:rPr lang="en-US"/>
                      <a:t>33.5%,27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CF-4D0E-A236-73986FEE9597}"/>
                </c:ext>
              </c:extLst>
            </c:dLbl>
            <c:dLbl>
              <c:idx val="5"/>
              <c:tx>
                <c:rich>
                  <a:bodyPr/>
                  <a:lstStyle/>
                  <a:p>
                    <a:r>
                      <a:rPr lang="en-US"/>
                      <a:t>15.1%,12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CF-4D0E-A236-73986FEE9597}"/>
                </c:ext>
              </c:extLst>
            </c:dLbl>
            <c:dLbl>
              <c:idx val="6"/>
              <c:tx>
                <c:rich>
                  <a:bodyPr/>
                  <a:lstStyle/>
                  <a:p>
                    <a:r>
                      <a:rPr lang="en-US"/>
                      <a:t>2.5%,2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BCF-4D0E-A236-73986FEE959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Sheet1!$A$63:$A$69</c:f>
              <c:numCache>
                <c:formatCode>General</c:formatCode>
                <c:ptCount val="7"/>
                <c:pt idx="0">
                  <c:v>1</c:v>
                </c:pt>
                <c:pt idx="1">
                  <c:v>2</c:v>
                </c:pt>
                <c:pt idx="2">
                  <c:v>3</c:v>
                </c:pt>
                <c:pt idx="3">
                  <c:v>4</c:v>
                </c:pt>
                <c:pt idx="4">
                  <c:v>5</c:v>
                </c:pt>
                <c:pt idx="5">
                  <c:v>6</c:v>
                </c:pt>
                <c:pt idx="6">
                  <c:v>7</c:v>
                </c:pt>
              </c:numCache>
            </c:numRef>
          </c:cat>
          <c:val>
            <c:numRef>
              <c:f>Sheet1!$B$63:$B$69</c:f>
              <c:numCache>
                <c:formatCode>General</c:formatCode>
                <c:ptCount val="7"/>
                <c:pt idx="0">
                  <c:v>1.3</c:v>
                </c:pt>
                <c:pt idx="1">
                  <c:v>3.8</c:v>
                </c:pt>
                <c:pt idx="2">
                  <c:v>16.3</c:v>
                </c:pt>
                <c:pt idx="3">
                  <c:v>27.5</c:v>
                </c:pt>
                <c:pt idx="4">
                  <c:v>33.5</c:v>
                </c:pt>
                <c:pt idx="5">
                  <c:v>15.1</c:v>
                </c:pt>
                <c:pt idx="6">
                  <c:v>2.5</c:v>
                </c:pt>
              </c:numCache>
            </c:numRef>
          </c:val>
          <c:extLst>
            <c:ext xmlns:c16="http://schemas.microsoft.com/office/drawing/2014/chart" uri="{C3380CC4-5D6E-409C-BE32-E72D297353CC}">
              <c16:uniqueId val="{00000007-EBCF-4D0E-A236-73986FEE9597}"/>
            </c:ext>
          </c:extLst>
        </c:ser>
        <c:dLbls>
          <c:dLblPos val="outEnd"/>
          <c:showLegendKey val="0"/>
          <c:showVal val="1"/>
          <c:showCatName val="0"/>
          <c:showSerName val="0"/>
          <c:showPercent val="0"/>
          <c:showBubbleSize val="0"/>
        </c:dLbls>
        <c:gapWidth val="219"/>
        <c:overlap val="-27"/>
        <c:axId val="150014592"/>
        <c:axId val="150837120"/>
      </c:barChart>
      <c:catAx>
        <c:axId val="150014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Uncertainty/fear domaim</a:t>
                </a:r>
                <a:r>
                  <a:rPr lang="en-US" baseline="0"/>
                  <a:t> score</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37120"/>
        <c:crosses val="autoZero"/>
        <c:auto val="1"/>
        <c:lblAlgn val="ctr"/>
        <c:lblOffset val="100"/>
        <c:noMultiLvlLbl val="0"/>
      </c:catAx>
      <c:valAx>
        <c:axId val="150837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a:t>
                </a:r>
                <a:r>
                  <a:rPr lang="en-US" baseline="0"/>
                  <a:t> </a:t>
                </a:r>
                <a:r>
                  <a:rPr lang="en-US"/>
                  <a:t>Patient in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14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KTQ Emotions score</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57-49DB-A6BC-D0A7EAA6F4F1}"/>
                </c:ext>
              </c:extLst>
            </c:dLbl>
            <c:dLbl>
              <c:idx val="1"/>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57-49DB-A6BC-D0A7EAA6F4F1}"/>
                </c:ext>
              </c:extLst>
            </c:dLbl>
            <c:dLbl>
              <c:idx val="2"/>
              <c:tx>
                <c:rich>
                  <a:bodyPr/>
                  <a:lstStyle/>
                  <a:p>
                    <a:r>
                      <a:rPr lang="en-US"/>
                      <a:t>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57-49DB-A6BC-D0A7EAA6F4F1}"/>
                </c:ext>
              </c:extLst>
            </c:dLbl>
            <c:dLbl>
              <c:idx val="3"/>
              <c:tx>
                <c:rich>
                  <a:bodyPr/>
                  <a:lstStyle/>
                  <a:p>
                    <a:r>
                      <a:rPr lang="en-US"/>
                      <a:t>16.3%,13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57-49DB-A6BC-D0A7EAA6F4F1}"/>
                </c:ext>
              </c:extLst>
            </c:dLbl>
            <c:dLbl>
              <c:idx val="4"/>
              <c:tx>
                <c:rich>
                  <a:bodyPr/>
                  <a:lstStyle/>
                  <a:p>
                    <a:r>
                      <a:rPr lang="en-US"/>
                      <a:t>27.5%,22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57-49DB-A6BC-D0A7EAA6F4F1}"/>
                </c:ext>
              </c:extLst>
            </c:dLbl>
            <c:dLbl>
              <c:idx val="5"/>
              <c:tx>
                <c:rich>
                  <a:bodyPr/>
                  <a:lstStyle/>
                  <a:p>
                    <a:r>
                      <a:rPr lang="en-US"/>
                      <a:t>32.5%,26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157-49DB-A6BC-D0A7EAA6F4F1}"/>
                </c:ext>
              </c:extLst>
            </c:dLbl>
            <c:dLbl>
              <c:idx val="6"/>
              <c:tx>
                <c:rich>
                  <a:bodyPr/>
                  <a:lstStyle/>
                  <a:p>
                    <a:r>
                      <a:rPr lang="en-US"/>
                      <a:t>18.8%,15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57-49DB-A6BC-D0A7EAA6F4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Sheet1!$A$63:$A$69</c:f>
              <c:numCache>
                <c:formatCode>General</c:formatCode>
                <c:ptCount val="7"/>
                <c:pt idx="0">
                  <c:v>1</c:v>
                </c:pt>
                <c:pt idx="1">
                  <c:v>2</c:v>
                </c:pt>
                <c:pt idx="2">
                  <c:v>3</c:v>
                </c:pt>
                <c:pt idx="3">
                  <c:v>4</c:v>
                </c:pt>
                <c:pt idx="4">
                  <c:v>5</c:v>
                </c:pt>
                <c:pt idx="5">
                  <c:v>6</c:v>
                </c:pt>
                <c:pt idx="6">
                  <c:v>7</c:v>
                </c:pt>
              </c:numCache>
            </c:numRef>
          </c:cat>
          <c:val>
            <c:numRef>
              <c:f>Sheet1!$B$63:$B$69</c:f>
              <c:numCache>
                <c:formatCode>General</c:formatCode>
                <c:ptCount val="7"/>
                <c:pt idx="0">
                  <c:v>0</c:v>
                </c:pt>
                <c:pt idx="1">
                  <c:v>0</c:v>
                </c:pt>
                <c:pt idx="2">
                  <c:v>5</c:v>
                </c:pt>
                <c:pt idx="3">
                  <c:v>16.3</c:v>
                </c:pt>
                <c:pt idx="4">
                  <c:v>27.5</c:v>
                </c:pt>
                <c:pt idx="5">
                  <c:v>32.5</c:v>
                </c:pt>
                <c:pt idx="6">
                  <c:v>18.8</c:v>
                </c:pt>
              </c:numCache>
            </c:numRef>
          </c:val>
          <c:extLst>
            <c:ext xmlns:c16="http://schemas.microsoft.com/office/drawing/2014/chart" uri="{C3380CC4-5D6E-409C-BE32-E72D297353CC}">
              <c16:uniqueId val="{00000007-D157-49DB-A6BC-D0A7EAA6F4F1}"/>
            </c:ext>
          </c:extLst>
        </c:ser>
        <c:dLbls>
          <c:dLblPos val="outEnd"/>
          <c:showLegendKey val="0"/>
          <c:showVal val="1"/>
          <c:showCatName val="0"/>
          <c:showSerName val="0"/>
          <c:showPercent val="0"/>
          <c:showBubbleSize val="0"/>
        </c:dLbls>
        <c:gapWidth val="219"/>
        <c:overlap val="-27"/>
        <c:axId val="150860160"/>
        <c:axId val="150863232"/>
      </c:barChart>
      <c:catAx>
        <c:axId val="150860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Emotion domain</a:t>
                </a:r>
                <a:r>
                  <a:rPr lang="en-US" baseline="0"/>
                  <a:t> score</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63232"/>
        <c:crosses val="autoZero"/>
        <c:auto val="1"/>
        <c:lblAlgn val="ctr"/>
        <c:lblOffset val="100"/>
        <c:noMultiLvlLbl val="0"/>
      </c:catAx>
      <c:valAx>
        <c:axId val="15086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 in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6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D52E-4745-4C0E-A9D5-9E4CCCF4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17152</Words>
  <Characters>97773</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DN</cp:lastModifiedBy>
  <cp:revision>33</cp:revision>
  <cp:lastPrinted>2021-11-04T09:31:00Z</cp:lastPrinted>
  <dcterms:created xsi:type="dcterms:W3CDTF">2025-07-16T20:32:00Z</dcterms:created>
  <dcterms:modified xsi:type="dcterms:W3CDTF">2025-07-23T06:42:00Z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f4165bfa-a962-33e7-80f6-59070b7446d8</vt:lpwstr>
  </property>
  <property fmtid="{D5CDD505-2E9C-101B-9397-08002B2CF9AE}" pid="25" name="GrammarlyDocumentId">
    <vt:lpwstr>1d8d22502da467c14737a22ebf5184032f473643163db42f1dadc97e7c6d33b9</vt:lpwstr>
  </property>
</Properties>
</file>