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ECD63" w14:textId="7744A439" w:rsidR="00754C9A" w:rsidRDefault="00E85BEB" w:rsidP="00441B6F">
      <w:pPr>
        <w:pStyle w:val="Title"/>
        <w:spacing w:after="0"/>
        <w:jc w:val="both"/>
        <w:rPr>
          <w:rFonts w:ascii="Arial" w:hAnsi="Arial" w:cs="Arial"/>
        </w:rPr>
      </w:pPr>
      <w:r w:rsidRPr="00E85BEB">
        <w:rPr>
          <w:rFonts w:ascii="Arial" w:hAnsi="Arial" w:cs="Arial"/>
        </w:rPr>
        <w:t>Original Research Article</w:t>
      </w:r>
    </w:p>
    <w:p w14:paraId="5A84EF7E" w14:textId="77777777" w:rsidR="00E85BEB" w:rsidRDefault="00E85BEB" w:rsidP="00441B6F">
      <w:pPr>
        <w:pStyle w:val="Title"/>
        <w:spacing w:after="0"/>
        <w:jc w:val="both"/>
        <w:rPr>
          <w:rFonts w:ascii="Arial" w:hAnsi="Arial" w:cs="Arial"/>
        </w:rPr>
      </w:pPr>
    </w:p>
    <w:p w14:paraId="0E6424B5" w14:textId="77777777" w:rsidR="00E85BEB" w:rsidRDefault="00E85BEB" w:rsidP="00441B6F">
      <w:pPr>
        <w:pStyle w:val="Title"/>
        <w:spacing w:after="0"/>
        <w:jc w:val="both"/>
        <w:rPr>
          <w:rFonts w:ascii="Arial" w:hAnsi="Arial" w:cs="Arial"/>
        </w:rPr>
      </w:pPr>
    </w:p>
    <w:p w14:paraId="1B6C3B5F" w14:textId="361AA5ED" w:rsidR="00D90665" w:rsidRPr="00D90665" w:rsidRDefault="00D90665" w:rsidP="00D90665">
      <w:pPr>
        <w:pStyle w:val="Author"/>
        <w:spacing w:line="240" w:lineRule="auto"/>
        <w:rPr>
          <w:rFonts w:ascii="Arial" w:hAnsi="Arial" w:cs="Arial"/>
          <w:bCs/>
          <w:iCs/>
          <w:kern w:val="28"/>
          <w:sz w:val="36"/>
        </w:rPr>
      </w:pPr>
      <w:bookmarkStart w:id="0" w:name="_Hlk194222714"/>
      <w:bookmarkStart w:id="1" w:name="_Hlk136170526"/>
      <w:bookmarkStart w:id="2" w:name="_Hlk202855749"/>
      <w:r w:rsidRPr="00250AAE">
        <w:rPr>
          <w:rFonts w:ascii="Arial" w:hAnsi="Arial" w:cs="Arial"/>
          <w:bCs/>
          <w:iCs/>
          <w:kern w:val="28"/>
          <w:sz w:val="36"/>
          <w:highlight w:val="yellow"/>
        </w:rPr>
        <w:t xml:space="preserve">Relationship </w:t>
      </w:r>
      <w:r w:rsidR="00250AAE" w:rsidRPr="00250AAE">
        <w:rPr>
          <w:rFonts w:ascii="Arial" w:hAnsi="Arial" w:cs="Arial"/>
          <w:bCs/>
          <w:iCs/>
          <w:kern w:val="28"/>
          <w:sz w:val="36"/>
          <w:highlight w:val="yellow"/>
        </w:rPr>
        <w:t>between</w:t>
      </w:r>
      <w:r w:rsidRPr="00250AAE">
        <w:rPr>
          <w:rFonts w:ascii="Arial" w:hAnsi="Arial" w:cs="Arial"/>
          <w:bCs/>
          <w:iCs/>
          <w:kern w:val="28"/>
          <w:sz w:val="36"/>
          <w:highlight w:val="yellow"/>
        </w:rPr>
        <w:t xml:space="preserve"> peri</w:t>
      </w:r>
      <w:r w:rsidRPr="00D90665">
        <w:rPr>
          <w:rFonts w:ascii="Arial" w:hAnsi="Arial" w:cs="Arial"/>
          <w:bCs/>
          <w:iCs/>
          <w:kern w:val="28"/>
          <w:sz w:val="36"/>
        </w:rPr>
        <w:t>-implant clinical parameters and increased probing</w:t>
      </w:r>
      <w:bookmarkStart w:id="3" w:name="_GoBack"/>
      <w:bookmarkEnd w:id="3"/>
      <w:r w:rsidRPr="00D90665">
        <w:rPr>
          <w:rFonts w:ascii="Arial" w:hAnsi="Arial" w:cs="Arial"/>
          <w:bCs/>
          <w:iCs/>
          <w:kern w:val="28"/>
          <w:sz w:val="36"/>
        </w:rPr>
        <w:t xml:space="preserve"> depth in dental implants: a cohort study</w:t>
      </w:r>
      <w:bookmarkEnd w:id="0"/>
      <w:bookmarkEnd w:id="1"/>
    </w:p>
    <w:bookmarkEnd w:id="2"/>
    <w:p w14:paraId="30A85394" w14:textId="77777777" w:rsidR="00A258C3" w:rsidRPr="00790ADA" w:rsidRDefault="00A258C3" w:rsidP="00441B6F">
      <w:pPr>
        <w:pStyle w:val="Author"/>
        <w:spacing w:line="240" w:lineRule="auto"/>
        <w:jc w:val="both"/>
        <w:rPr>
          <w:rFonts w:ascii="Arial" w:hAnsi="Arial" w:cs="Arial"/>
          <w:sz w:val="36"/>
        </w:rPr>
      </w:pPr>
    </w:p>
    <w:p w14:paraId="5144B039" w14:textId="77777777" w:rsidR="002C57D2" w:rsidRPr="00FB3A86" w:rsidRDefault="002C57D2" w:rsidP="00441B6F">
      <w:pPr>
        <w:pStyle w:val="Affiliation"/>
        <w:spacing w:after="0" w:line="240" w:lineRule="auto"/>
        <w:jc w:val="both"/>
        <w:rPr>
          <w:rFonts w:ascii="Arial" w:hAnsi="Arial" w:cs="Arial"/>
        </w:rPr>
      </w:pPr>
    </w:p>
    <w:p w14:paraId="53294AA8" w14:textId="7FF559DF" w:rsidR="00B01FCD" w:rsidRPr="00FB3A86" w:rsidRDefault="00725CD2" w:rsidP="00441B6F">
      <w:pPr>
        <w:pStyle w:val="Copyright"/>
        <w:spacing w:after="0" w:line="240" w:lineRule="auto"/>
        <w:jc w:val="both"/>
        <w:rPr>
          <w:rFonts w:ascii="Arial" w:hAnsi="Arial" w:cs="Arial"/>
        </w:rPr>
        <w:sectPr w:rsidR="00B01FCD" w:rsidRPr="00FB3A86" w:rsidSect="0019783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4C1A43" wp14:editId="29821F3E">
                <wp:extent cx="5303520" cy="635"/>
                <wp:effectExtent l="11430" t="13335" r="9525" b="15240"/>
                <wp:docPr id="20484080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9E4FB1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221E199" w14:textId="238B7930" w:rsidR="00B01FCD" w:rsidRDefault="00B01FCD" w:rsidP="00441B6F">
      <w:pPr>
        <w:pStyle w:val="AbstHead"/>
        <w:spacing w:after="0"/>
        <w:jc w:val="both"/>
        <w:rPr>
          <w:rFonts w:ascii="Arial" w:hAnsi="Arial" w:cs="Arial"/>
        </w:rPr>
      </w:pPr>
      <w:r w:rsidRPr="00FB3A86">
        <w:rPr>
          <w:rFonts w:ascii="Arial" w:hAnsi="Arial" w:cs="Arial"/>
        </w:rPr>
        <w:t>ABSTRACT</w:t>
      </w:r>
    </w:p>
    <w:p w14:paraId="18D8B13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660A026" w14:textId="77777777" w:rsidTr="001E44FE">
        <w:tc>
          <w:tcPr>
            <w:tcW w:w="9576" w:type="dxa"/>
            <w:shd w:val="clear" w:color="auto" w:fill="F2F2F2"/>
          </w:tcPr>
          <w:p w14:paraId="71F6FE68" w14:textId="77777777" w:rsidR="00E3114E" w:rsidRDefault="00E3114E" w:rsidP="00441B6F">
            <w:pPr>
              <w:pStyle w:val="Body"/>
              <w:spacing w:after="0"/>
              <w:rPr>
                <w:rFonts w:ascii="Arial" w:eastAsia="Calibri" w:hAnsi="Arial" w:cs="Arial"/>
                <w:b/>
                <w:szCs w:val="22"/>
              </w:rPr>
            </w:pPr>
          </w:p>
          <w:p w14:paraId="6B6F9D4E" w14:textId="40877245" w:rsidR="00250AAE" w:rsidRDefault="00250AAE" w:rsidP="00D90665">
            <w:pPr>
              <w:pStyle w:val="Body"/>
              <w:spacing w:after="0"/>
              <w:rPr>
                <w:rFonts w:ascii="Arial" w:eastAsia="Calibri" w:hAnsi="Arial" w:cs="Arial"/>
                <w:b/>
                <w:szCs w:val="22"/>
              </w:rPr>
            </w:pPr>
            <w:r w:rsidRPr="00250AAE">
              <w:rPr>
                <w:rFonts w:ascii="Arial" w:eastAsia="Calibri" w:hAnsi="Arial" w:cs="Arial"/>
                <w:b/>
                <w:szCs w:val="22"/>
                <w:highlight w:val="yellow"/>
              </w:rPr>
              <w:t xml:space="preserve">Background: </w:t>
            </w:r>
            <w:r w:rsidRPr="00250AAE">
              <w:rPr>
                <w:rFonts w:ascii="Arial" w:eastAsia="Calibri" w:hAnsi="Arial" w:cs="Arial"/>
                <w:szCs w:val="22"/>
                <w:highlight w:val="yellow"/>
              </w:rPr>
              <w:t>Peri-implantitis has been defined as an inflammatory lesion of the mucosa surrounding an endosseous implant and with progressive loss of supporting peri-implant bone. The peri-implant health consists of the absence of visual signs of inflammation and the absence of bleeding and/or suppuration after gentle probing, with no increase in the probing depth in comparison to prior exams.</w:t>
            </w:r>
          </w:p>
          <w:p w14:paraId="2259B666" w14:textId="375C4FD6" w:rsidR="00D90665" w:rsidRPr="00D90665" w:rsidRDefault="00BA1B01" w:rsidP="00D90665">
            <w:pPr>
              <w:pStyle w:val="Body"/>
              <w:spacing w:after="0"/>
              <w:rPr>
                <w:rFonts w:ascii="Arial" w:eastAsia="Calibri" w:hAnsi="Arial" w:cs="Arial"/>
                <w:bCs/>
                <w:szCs w:val="22"/>
              </w:rPr>
            </w:pPr>
            <w:r w:rsidRPr="00BA1B01">
              <w:rPr>
                <w:rFonts w:ascii="Arial" w:eastAsia="Calibri" w:hAnsi="Arial" w:cs="Arial"/>
                <w:b/>
                <w:szCs w:val="22"/>
              </w:rPr>
              <w:t xml:space="preserve">Aims: </w:t>
            </w:r>
            <w:r w:rsidR="00D90665" w:rsidRPr="00D90665">
              <w:rPr>
                <w:rFonts w:ascii="Arial" w:eastAsia="Calibri" w:hAnsi="Arial" w:cs="Arial"/>
                <w:bCs/>
                <w:szCs w:val="22"/>
                <w:lang w:val="en"/>
              </w:rPr>
              <w:t xml:space="preserve">The gradual increase in probing depth makes it more difficult to keep the subgingival region healthy, patients should be instructed on how to clean the areas rehabilitated with dental implants, and most professionals still have doubts about the diagnosis and treatment of peri-implantitis. </w:t>
            </w:r>
          </w:p>
          <w:p w14:paraId="5C22EC43" w14:textId="69AC4D4A" w:rsidR="00D90665" w:rsidRDefault="00BA1B01" w:rsidP="00D90665">
            <w:pPr>
              <w:pStyle w:val="Body"/>
              <w:spacing w:after="0"/>
              <w:rPr>
                <w:rFonts w:ascii="Arial" w:eastAsia="Calibri" w:hAnsi="Arial" w:cs="Arial"/>
                <w:szCs w:val="22"/>
                <w:lang w:val="en"/>
              </w:rPr>
            </w:pPr>
            <w:r w:rsidRPr="00BA1B01">
              <w:rPr>
                <w:rFonts w:ascii="Arial" w:eastAsia="Calibri" w:hAnsi="Arial" w:cs="Arial"/>
                <w:b/>
                <w:bCs/>
                <w:szCs w:val="22"/>
              </w:rPr>
              <w:t>Methodology:</w:t>
            </w:r>
            <w:r w:rsidR="00250AAE" w:rsidRPr="00250AAE">
              <w:t xml:space="preserve"> </w:t>
            </w:r>
            <w:r w:rsidR="00250AAE" w:rsidRPr="00250AAE">
              <w:rPr>
                <w:rFonts w:ascii="Arial" w:eastAsia="Calibri" w:hAnsi="Arial" w:cs="Arial"/>
                <w:bCs/>
                <w:szCs w:val="22"/>
                <w:highlight w:val="yellow"/>
              </w:rPr>
              <w:t>This Cohort study carried out at Department of Dentistry University Santo Amaro, São paulo, Brazil, between June 2019 and July 2021</w:t>
            </w:r>
            <w:r w:rsidR="00250AAE" w:rsidRPr="00250AAE">
              <w:rPr>
                <w:rFonts w:ascii="Arial" w:eastAsia="Calibri" w:hAnsi="Arial" w:cs="Arial"/>
                <w:bCs/>
                <w:szCs w:val="22"/>
              </w:rPr>
              <w:t>.</w:t>
            </w:r>
            <w:r w:rsidRPr="00250AAE">
              <w:rPr>
                <w:rFonts w:ascii="Arial" w:eastAsia="Calibri" w:hAnsi="Arial" w:cs="Arial"/>
                <w:szCs w:val="22"/>
              </w:rPr>
              <w:t xml:space="preserve"> </w:t>
            </w:r>
            <w:r w:rsidR="00D90665" w:rsidRPr="00D90665">
              <w:rPr>
                <w:rFonts w:ascii="Arial" w:eastAsia="Calibri" w:hAnsi="Arial" w:cs="Arial"/>
                <w:szCs w:val="22"/>
              </w:rPr>
              <w:t>Initially, 208 patients who underwent oral rehabilitation with implants between 2011 and 2012. After defining the eligibility criteria, 73 patients with one unitary external hexagon implant in function for 10 years were included in the study.  Participants underwent complete peri-implant examination and were evaluated: probing depth, plaque index, bleeding index and suppuration.</w:t>
            </w:r>
            <w:r w:rsidR="00D90665" w:rsidRPr="00D90665">
              <w:rPr>
                <w:rFonts w:ascii="Arial" w:eastAsia="Calibri" w:hAnsi="Arial" w:cs="Arial"/>
                <w:szCs w:val="22"/>
                <w:lang w:val="en"/>
              </w:rPr>
              <w:t xml:space="preserve"> Periapical radiographs were taken to verify the current bone level. </w:t>
            </w:r>
          </w:p>
          <w:p w14:paraId="274C315E" w14:textId="0AC00D22" w:rsidR="00D90665" w:rsidRPr="00D90665" w:rsidRDefault="00BA1B01" w:rsidP="00D90665">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90665" w:rsidRPr="00D90665">
              <w:rPr>
                <w:rFonts w:ascii="Arial" w:eastAsia="Calibri" w:hAnsi="Arial" w:cs="Arial"/>
                <w:szCs w:val="22"/>
              </w:rPr>
              <w:t xml:space="preserve">Peri-implantitis was diagnosed in 37 implants (50.7%) and 36 (49.3%) were healthy.  </w:t>
            </w:r>
            <w:r w:rsidR="00D90665" w:rsidRPr="00D90665">
              <w:rPr>
                <w:rFonts w:ascii="Arial" w:eastAsia="Calibri" w:hAnsi="Arial" w:cs="Arial"/>
                <w:szCs w:val="22"/>
                <w:lang w:val="en"/>
              </w:rPr>
              <w:t xml:space="preserve">The 37 implants diagnosed with peri-implantitis were influenced by the plaque index and the interaction between probing depth and suppuration (P &lt; .001). The bone loss </w:t>
            </w:r>
            <w:r w:rsidR="00D90665" w:rsidRPr="00D90665">
              <w:rPr>
                <w:rFonts w:ascii="Arial" w:eastAsia="Calibri" w:hAnsi="Arial" w:cs="Arial"/>
                <w:szCs w:val="22"/>
              </w:rPr>
              <w:t xml:space="preserve">for implants diagnosed with peri-implantitis, </w:t>
            </w:r>
            <w:r w:rsidR="00D90665" w:rsidRPr="00640E12">
              <w:rPr>
                <w:rFonts w:ascii="Arial" w:eastAsia="Calibri" w:hAnsi="Arial" w:cs="Arial"/>
                <w:szCs w:val="22"/>
                <w:highlight w:val="yellow"/>
              </w:rPr>
              <w:t xml:space="preserve">the average was 4.0 mm </w:t>
            </w:r>
            <w:r w:rsidR="00D90665" w:rsidRPr="00640E12">
              <w:rPr>
                <w:rFonts w:ascii="Arial" w:eastAsia="Calibri" w:hAnsi="Arial" w:cs="Arial"/>
                <w:szCs w:val="22"/>
                <w:highlight w:val="yellow"/>
                <w:lang w:val="en"/>
              </w:rPr>
              <w:t>(P &lt; .001)</w:t>
            </w:r>
            <w:r w:rsidR="00D90665" w:rsidRPr="00640E12">
              <w:rPr>
                <w:rFonts w:ascii="Arial" w:eastAsia="Calibri" w:hAnsi="Arial" w:cs="Arial"/>
                <w:szCs w:val="22"/>
                <w:highlight w:val="yellow"/>
              </w:rPr>
              <w:t>. For plaque index</w:t>
            </w:r>
            <w:r w:rsidR="00A555D5">
              <w:rPr>
                <w:rFonts w:ascii="Arial" w:eastAsia="Calibri" w:hAnsi="Arial" w:cs="Arial"/>
                <w:szCs w:val="22"/>
                <w:highlight w:val="yellow"/>
              </w:rPr>
              <w:t>,</w:t>
            </w:r>
            <w:r w:rsidR="00D90665" w:rsidRPr="00640E12">
              <w:rPr>
                <w:rFonts w:ascii="Arial" w:eastAsia="Calibri" w:hAnsi="Arial" w:cs="Arial"/>
                <w:szCs w:val="22"/>
                <w:highlight w:val="yellow"/>
              </w:rPr>
              <w:t xml:space="preserve"> the average was 3.6 mm </w:t>
            </w:r>
            <w:r w:rsidR="00D90665" w:rsidRPr="00640E12">
              <w:rPr>
                <w:rFonts w:ascii="Arial" w:eastAsia="Calibri" w:hAnsi="Arial" w:cs="Arial"/>
                <w:szCs w:val="22"/>
                <w:highlight w:val="yellow"/>
                <w:lang w:val="en"/>
              </w:rPr>
              <w:t>(P &lt; .001)</w:t>
            </w:r>
            <w:r w:rsidR="00D90665" w:rsidRPr="00640E12">
              <w:rPr>
                <w:rFonts w:ascii="Arial" w:eastAsia="Calibri" w:hAnsi="Arial" w:cs="Arial"/>
                <w:szCs w:val="22"/>
                <w:highlight w:val="yellow"/>
              </w:rPr>
              <w:t xml:space="preserve"> and </w:t>
            </w:r>
            <w:r w:rsidR="00A555D5" w:rsidRPr="00640E12">
              <w:rPr>
                <w:rFonts w:ascii="Arial" w:eastAsia="Calibri" w:hAnsi="Arial" w:cs="Arial"/>
                <w:szCs w:val="22"/>
                <w:highlight w:val="yellow"/>
              </w:rPr>
              <w:t xml:space="preserve">the </w:t>
            </w:r>
            <w:r w:rsidR="00D90665" w:rsidRPr="00640E12">
              <w:rPr>
                <w:rFonts w:ascii="Arial" w:eastAsia="Calibri" w:hAnsi="Arial" w:cs="Arial"/>
                <w:szCs w:val="22"/>
                <w:highlight w:val="yellow"/>
              </w:rPr>
              <w:t xml:space="preserve">average for suppuration as 4.0 mm. The implant </w:t>
            </w:r>
            <w:r w:rsidR="00A555D5">
              <w:rPr>
                <w:rFonts w:ascii="Arial" w:eastAsia="Calibri" w:hAnsi="Arial" w:cs="Arial"/>
                <w:szCs w:val="22"/>
                <w:highlight w:val="yellow"/>
              </w:rPr>
              <w:t xml:space="preserve">was </w:t>
            </w:r>
            <w:r w:rsidR="00D90665" w:rsidRPr="00640E12">
              <w:rPr>
                <w:rFonts w:ascii="Arial" w:eastAsia="Calibri" w:hAnsi="Arial" w:cs="Arial"/>
                <w:szCs w:val="22"/>
                <w:highlight w:val="yellow"/>
              </w:rPr>
              <w:t xml:space="preserve">diagnosed with peri-implantitis, and </w:t>
            </w:r>
            <w:r w:rsidR="00A555D5" w:rsidRPr="00640E12">
              <w:rPr>
                <w:rFonts w:ascii="Arial" w:eastAsia="Calibri" w:hAnsi="Arial" w:cs="Arial"/>
                <w:szCs w:val="22"/>
                <w:highlight w:val="yellow"/>
              </w:rPr>
              <w:t xml:space="preserve">the </w:t>
            </w:r>
            <w:r w:rsidR="00D90665" w:rsidRPr="00640E12">
              <w:rPr>
                <w:rFonts w:ascii="Arial" w:eastAsia="Calibri" w:hAnsi="Arial" w:cs="Arial"/>
                <w:szCs w:val="22"/>
                <w:highlight w:val="yellow"/>
              </w:rPr>
              <w:t>presence</w:t>
            </w:r>
            <w:r w:rsidR="00D90665" w:rsidRPr="00D90665">
              <w:rPr>
                <w:rFonts w:ascii="Arial" w:eastAsia="Calibri" w:hAnsi="Arial" w:cs="Arial"/>
                <w:szCs w:val="22"/>
              </w:rPr>
              <w:t xml:space="preserve"> of biofilm </w:t>
            </w:r>
            <w:r w:rsidR="00A555D5" w:rsidRPr="00D90665">
              <w:rPr>
                <w:rFonts w:ascii="Arial" w:eastAsia="Calibri" w:hAnsi="Arial" w:cs="Arial"/>
                <w:szCs w:val="22"/>
              </w:rPr>
              <w:t>ha</w:t>
            </w:r>
            <w:r w:rsidR="00A555D5">
              <w:rPr>
                <w:rFonts w:ascii="Arial" w:eastAsia="Calibri" w:hAnsi="Arial" w:cs="Arial"/>
                <w:szCs w:val="22"/>
              </w:rPr>
              <w:t>s</w:t>
            </w:r>
            <w:r w:rsidR="00A555D5" w:rsidRPr="00D90665">
              <w:rPr>
                <w:rFonts w:ascii="Arial" w:eastAsia="Calibri" w:hAnsi="Arial" w:cs="Arial"/>
                <w:szCs w:val="22"/>
              </w:rPr>
              <w:t xml:space="preserve"> </w:t>
            </w:r>
            <w:r w:rsidR="00D90665" w:rsidRPr="00D90665">
              <w:rPr>
                <w:rFonts w:ascii="Arial" w:eastAsia="Calibri" w:hAnsi="Arial" w:cs="Arial"/>
                <w:szCs w:val="22"/>
              </w:rPr>
              <w:t xml:space="preserve">affected the PD. </w:t>
            </w:r>
          </w:p>
          <w:p w14:paraId="503007B1" w14:textId="5B210B8F" w:rsidR="00D90665" w:rsidRPr="00BA1B01" w:rsidRDefault="00BA1B01" w:rsidP="00D9066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90665" w:rsidRPr="00D90665">
              <w:rPr>
                <w:rFonts w:ascii="Arial" w:eastAsia="Calibri" w:hAnsi="Arial" w:cs="Arial"/>
                <w:szCs w:val="22"/>
              </w:rPr>
              <w:t>Within the limitations of this cohort study, increased plaque index and suppuration were significantly associated with peri-implantitis. Prospective studies with baseline measurements should be performed to elucidate the role of biofilm in peri-implantitis.</w:t>
            </w:r>
            <w:r w:rsidR="00D90665">
              <w:rPr>
                <w:rFonts w:ascii="Arial" w:eastAsia="Calibri" w:hAnsi="Arial" w:cs="Arial"/>
                <w:szCs w:val="22"/>
              </w:rPr>
              <w:t xml:space="preserve">  </w:t>
            </w:r>
            <w:r w:rsidR="00250AAE" w:rsidRPr="00250AAE">
              <w:rPr>
                <w:rFonts w:ascii="Arial" w:eastAsia="Calibri" w:hAnsi="Arial" w:cs="Arial"/>
                <w:szCs w:val="22"/>
                <w:highlight w:val="yellow"/>
              </w:rPr>
              <w:t>Biofilm control is essential for the preservation of peri-implant tissues and, depending on the microorganisms involved, host response and other factors such as smoking, diabetes, and inadequate hygiene, we may have the development of disease.</w:t>
            </w:r>
          </w:p>
          <w:p w14:paraId="5DA3F7A7" w14:textId="255631D2" w:rsidR="00505F06" w:rsidRPr="00BA1B01" w:rsidRDefault="00505F06" w:rsidP="00441B6F">
            <w:pPr>
              <w:pStyle w:val="Body"/>
              <w:spacing w:after="0"/>
              <w:rPr>
                <w:rFonts w:ascii="Arial" w:eastAsia="Calibri" w:hAnsi="Arial" w:cs="Arial"/>
                <w:szCs w:val="22"/>
              </w:rPr>
            </w:pPr>
          </w:p>
        </w:tc>
      </w:tr>
    </w:tbl>
    <w:p w14:paraId="73ECD3E1" w14:textId="77777777" w:rsidR="00636EB2" w:rsidRDefault="00636EB2" w:rsidP="00441B6F">
      <w:pPr>
        <w:pStyle w:val="Body"/>
        <w:spacing w:after="0"/>
        <w:rPr>
          <w:rFonts w:ascii="Arial" w:hAnsi="Arial" w:cs="Arial"/>
          <w:i/>
        </w:rPr>
      </w:pPr>
    </w:p>
    <w:p w14:paraId="40C943EC" w14:textId="16EB5C74" w:rsidR="00D90665" w:rsidRPr="00D90665" w:rsidRDefault="00A24E7E" w:rsidP="00D90665">
      <w:pPr>
        <w:pStyle w:val="Body"/>
        <w:rPr>
          <w:rFonts w:ascii="Arial" w:hAnsi="Arial" w:cs="Arial"/>
          <w:i/>
        </w:rPr>
      </w:pPr>
      <w:r>
        <w:rPr>
          <w:rFonts w:ascii="Arial" w:hAnsi="Arial" w:cs="Arial"/>
          <w:i/>
        </w:rPr>
        <w:t>Keywords:</w:t>
      </w:r>
      <w:r w:rsidR="00D90665" w:rsidRPr="00D90665">
        <w:rPr>
          <w:rFonts w:ascii="Arial" w:eastAsia="Calibri" w:hAnsi="Arial" w:cs="Arial"/>
          <w:sz w:val="22"/>
          <w:szCs w:val="22"/>
        </w:rPr>
        <w:t xml:space="preserve"> </w:t>
      </w:r>
      <w:r w:rsidR="00D90665" w:rsidRPr="00D90665">
        <w:rPr>
          <w:rFonts w:ascii="Arial" w:hAnsi="Arial" w:cs="Arial"/>
          <w:i/>
        </w:rPr>
        <w:t>Dental Implants, Single-Tooth, Peri-implantitis, Risk factors, Periodontal index</w:t>
      </w:r>
    </w:p>
    <w:p w14:paraId="2746C5AC" w14:textId="77777777" w:rsidR="0024282C" w:rsidRDefault="0024282C" w:rsidP="00441B6F">
      <w:pPr>
        <w:pStyle w:val="Body"/>
        <w:spacing w:after="0"/>
        <w:rPr>
          <w:rFonts w:ascii="Arial" w:hAnsi="Arial" w:cs="Arial"/>
          <w:i/>
          <w:sz w:val="18"/>
        </w:rPr>
      </w:pPr>
    </w:p>
    <w:p w14:paraId="611A2BA1" w14:textId="77777777" w:rsidR="00505F06" w:rsidRPr="00A24E7E" w:rsidRDefault="00505F06" w:rsidP="00441B6F">
      <w:pPr>
        <w:pStyle w:val="Body"/>
        <w:spacing w:after="0"/>
        <w:rPr>
          <w:rFonts w:ascii="Arial" w:hAnsi="Arial" w:cs="Arial"/>
          <w:i/>
        </w:rPr>
      </w:pPr>
    </w:p>
    <w:p w14:paraId="440898A7" w14:textId="4CCDBE6C"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8D51E5B" w14:textId="77777777" w:rsidR="00790ADA" w:rsidRPr="00FB3A86" w:rsidRDefault="00790ADA" w:rsidP="00441B6F">
      <w:pPr>
        <w:pStyle w:val="AbstHead"/>
        <w:spacing w:after="0"/>
        <w:jc w:val="both"/>
        <w:rPr>
          <w:rFonts w:ascii="Arial" w:hAnsi="Arial" w:cs="Arial"/>
        </w:rPr>
      </w:pPr>
    </w:p>
    <w:p w14:paraId="1E8E4486" w14:textId="77777777" w:rsidR="00135004" w:rsidRPr="00135004" w:rsidRDefault="00135004" w:rsidP="00135004">
      <w:pPr>
        <w:pStyle w:val="Body"/>
        <w:spacing w:after="0"/>
        <w:rPr>
          <w:rFonts w:ascii="Arial" w:hAnsi="Arial" w:cs="Arial"/>
        </w:rPr>
      </w:pPr>
      <w:bookmarkStart w:id="4" w:name="_Hlk202857673"/>
    </w:p>
    <w:p w14:paraId="52E79209" w14:textId="04C48BE0" w:rsidR="00135004" w:rsidRPr="00135004" w:rsidRDefault="009728DB" w:rsidP="00135004">
      <w:pPr>
        <w:pStyle w:val="Body"/>
        <w:spacing w:after="0"/>
        <w:rPr>
          <w:rFonts w:ascii="Arial" w:hAnsi="Arial" w:cs="Arial"/>
        </w:rPr>
      </w:pPr>
      <w:r w:rsidRPr="00640E12">
        <w:rPr>
          <w:rFonts w:ascii="Arial" w:hAnsi="Arial" w:cs="Arial"/>
          <w:highlight w:val="yellow"/>
        </w:rPr>
        <w:t>The high predictability and acceptance of implant therapy have led to a significant increase in the use of dental implants for prosthetic oral rehabilitation (Ríos-Osorio et al., 2024).</w:t>
      </w:r>
      <w:r w:rsidR="00F861D8">
        <w:rPr>
          <w:rFonts w:ascii="Arial" w:hAnsi="Arial" w:cs="Arial"/>
          <w:highlight w:val="yellow"/>
        </w:rPr>
        <w:t xml:space="preserve"> </w:t>
      </w:r>
      <w:r w:rsidR="00135004" w:rsidRPr="00135004">
        <w:rPr>
          <w:rFonts w:ascii="Arial" w:hAnsi="Arial" w:cs="Arial"/>
        </w:rPr>
        <w:t>The number of rehabilitations carried out with dental implants grows exponentially</w:t>
      </w:r>
      <w:r w:rsidR="00A555D5">
        <w:rPr>
          <w:rFonts w:ascii="Arial" w:hAnsi="Arial" w:cs="Arial"/>
        </w:rPr>
        <w:t>;</w:t>
      </w:r>
      <w:r w:rsidR="00A555D5" w:rsidRPr="00135004">
        <w:rPr>
          <w:rFonts w:ascii="Arial" w:hAnsi="Arial" w:cs="Arial"/>
        </w:rPr>
        <w:t xml:space="preserve"> </w:t>
      </w:r>
      <w:r w:rsidR="00135004" w:rsidRPr="00135004">
        <w:rPr>
          <w:rFonts w:ascii="Arial" w:hAnsi="Arial" w:cs="Arial"/>
        </w:rPr>
        <w:t>thousands of implants were installed. Simultaneously, it is expected an increase in the biological complications resulting from the growing number of dental implants and their rehabilitations [1]</w:t>
      </w:r>
      <w:bookmarkStart w:id="5" w:name="_Hlk105020334"/>
      <w:r w:rsidR="00135004" w:rsidRPr="00135004">
        <w:rPr>
          <w:rFonts w:ascii="Arial" w:hAnsi="Arial" w:cs="Arial"/>
        </w:rPr>
        <w:t>.</w:t>
      </w:r>
      <w:bookmarkEnd w:id="5"/>
      <w:r w:rsidR="00135004" w:rsidRPr="00135004">
        <w:rPr>
          <w:rFonts w:ascii="Arial" w:hAnsi="Arial" w:cs="Arial"/>
        </w:rPr>
        <w:t xml:space="preserve"> There are several studies discussing the prevalence of peri-implant diseases, with various types of methodological definitions, and literature has reported an average prevalence of peri-implantitis of 22%, varying from 1% to 47% [2].</w:t>
      </w:r>
    </w:p>
    <w:p w14:paraId="18DA3671" w14:textId="66383D0C" w:rsidR="00135004" w:rsidRPr="00135004" w:rsidRDefault="00135004" w:rsidP="00135004">
      <w:pPr>
        <w:pStyle w:val="Body"/>
        <w:spacing w:after="0"/>
        <w:rPr>
          <w:rFonts w:ascii="Arial" w:hAnsi="Arial" w:cs="Arial"/>
        </w:rPr>
      </w:pPr>
      <w:r w:rsidRPr="00135004">
        <w:rPr>
          <w:rFonts w:ascii="Arial" w:hAnsi="Arial" w:cs="Arial"/>
        </w:rPr>
        <w:t xml:space="preserve">Peri-implantitis has been defined as an inflammatory lesion of the mucosa surrounding an endosseous implant and with progressive loss of supporting peri-implant bone. The peri-implant health consists of the absence of visual signs of inflammation and the absence of bleeding and/or suppuration after gentle probing, with no increase in the probing depth in comparison to prior exams [3, 4, 5]. </w:t>
      </w:r>
      <w:r w:rsidR="00250AAE" w:rsidRPr="00640E12">
        <w:rPr>
          <w:rFonts w:ascii="Arial" w:hAnsi="Arial" w:cs="Arial"/>
          <w:highlight w:val="yellow"/>
        </w:rPr>
        <w:t>Peri-implantitis displays progressive bone loss and may compromise the longevity of dental implants while increasing the susceptibility to systemic disorders. Despite shared features related to the etiology and risk factors associated with these disorders, there are notable differences concerning the pathogenesis and pattern of progression, among others. Peri-implant mucositis is diagnosed when the inflammation is confined within the soft tissues</w:t>
      </w:r>
      <w:r w:rsidR="00250AAE">
        <w:rPr>
          <w:rFonts w:ascii="Arial" w:hAnsi="Arial" w:cs="Arial"/>
          <w:highlight w:val="yellow"/>
        </w:rPr>
        <w:t xml:space="preserve"> (</w:t>
      </w:r>
      <w:r w:rsidR="00250AAE" w:rsidRPr="00640E12">
        <w:rPr>
          <w:rFonts w:ascii="Arial" w:hAnsi="Arial" w:cs="Arial"/>
          <w:highlight w:val="yellow"/>
        </w:rPr>
        <w:t>Monje &amp; Salvi, 2024</w:t>
      </w:r>
      <w:r w:rsidR="00250AAE">
        <w:rPr>
          <w:rFonts w:ascii="Arial" w:hAnsi="Arial" w:cs="Arial"/>
          <w:highlight w:val="yellow"/>
        </w:rPr>
        <w:t>)</w:t>
      </w:r>
      <w:r w:rsidR="00250AAE" w:rsidRPr="00640E12">
        <w:rPr>
          <w:rFonts w:ascii="Arial" w:hAnsi="Arial" w:cs="Arial"/>
          <w:highlight w:val="yellow"/>
        </w:rPr>
        <w:t>.</w:t>
      </w:r>
      <w:r w:rsidR="00250AAE" w:rsidRPr="00250AAE">
        <w:rPr>
          <w:rFonts w:ascii="Arial" w:hAnsi="Arial" w:cs="Arial"/>
        </w:rPr>
        <w:t xml:space="preserve"> </w:t>
      </w:r>
      <w:r w:rsidRPr="00135004">
        <w:rPr>
          <w:rFonts w:ascii="Arial" w:hAnsi="Arial" w:cs="Arial"/>
        </w:rPr>
        <w:t xml:space="preserve">The correct diagnostic is </w:t>
      </w:r>
      <w:r w:rsidRPr="00640E12">
        <w:rPr>
          <w:rFonts w:ascii="Arial" w:hAnsi="Arial" w:cs="Arial"/>
          <w:highlight w:val="yellow"/>
        </w:rPr>
        <w:t xml:space="preserve">key to </w:t>
      </w:r>
      <w:r w:rsidR="008C6D7A" w:rsidRPr="00640E12">
        <w:rPr>
          <w:rFonts w:ascii="Arial" w:hAnsi="Arial" w:cs="Arial"/>
          <w:highlight w:val="yellow"/>
        </w:rPr>
        <w:t>defin</w:t>
      </w:r>
      <w:r w:rsidR="008C6D7A" w:rsidRPr="00640E12">
        <w:rPr>
          <w:rFonts w:ascii="Arial" w:hAnsi="Arial" w:cs="Arial"/>
          <w:highlight w:val="yellow"/>
        </w:rPr>
        <w:t>ing</w:t>
      </w:r>
      <w:r w:rsidR="008C6D7A" w:rsidRPr="00640E12">
        <w:rPr>
          <w:rFonts w:ascii="Arial" w:hAnsi="Arial" w:cs="Arial"/>
          <w:highlight w:val="yellow"/>
        </w:rPr>
        <w:t xml:space="preserve"> </w:t>
      </w:r>
      <w:r w:rsidRPr="00640E12">
        <w:rPr>
          <w:rFonts w:ascii="Arial" w:hAnsi="Arial" w:cs="Arial"/>
          <w:highlight w:val="yellow"/>
        </w:rPr>
        <w:t>the measures to control the peri-implant disease. In the absence of prior exams, the</w:t>
      </w:r>
      <w:r w:rsidRPr="00135004">
        <w:rPr>
          <w:rFonts w:ascii="Arial" w:hAnsi="Arial" w:cs="Arial"/>
        </w:rPr>
        <w:t xml:space="preserve"> following criteria can be used: presence of bleeding and/or suppuration after gentle probing, probing depth equal to or higher than 6 mm, bone level of 3 mm or more, apical to the most </w:t>
      </w:r>
      <w:r w:rsidR="00A555D5" w:rsidRPr="00135004">
        <w:rPr>
          <w:rFonts w:ascii="Arial" w:hAnsi="Arial" w:cs="Arial"/>
        </w:rPr>
        <w:t>corona</w:t>
      </w:r>
      <w:r w:rsidR="00A555D5">
        <w:rPr>
          <w:rFonts w:ascii="Arial" w:hAnsi="Arial" w:cs="Arial"/>
        </w:rPr>
        <w:t>l</w:t>
      </w:r>
      <w:r w:rsidR="00A555D5" w:rsidRPr="00135004">
        <w:rPr>
          <w:rFonts w:ascii="Arial" w:hAnsi="Arial" w:cs="Arial"/>
        </w:rPr>
        <w:t xml:space="preserve"> </w:t>
      </w:r>
      <w:r w:rsidRPr="00135004">
        <w:rPr>
          <w:rFonts w:ascii="Arial" w:hAnsi="Arial" w:cs="Arial"/>
        </w:rPr>
        <w:t>part of the intraosseous portion of the implant. Thus, the development of peri-implantitis is related to an inefficient plaque control, due to the difficult access to the site for hygiene and maintenance, the position of the implant and the presence of keratinized tissue. The plaque index has a dominant role in the prevalence of peri-implantitis, as well as bleeding on probing [6, 7].</w:t>
      </w:r>
    </w:p>
    <w:p w14:paraId="0667585C" w14:textId="168AE6CE" w:rsidR="00135004" w:rsidRPr="00135004" w:rsidRDefault="00135004" w:rsidP="00135004">
      <w:pPr>
        <w:pStyle w:val="Body"/>
        <w:spacing w:after="0"/>
        <w:rPr>
          <w:rFonts w:ascii="Arial" w:hAnsi="Arial" w:cs="Arial"/>
        </w:rPr>
      </w:pPr>
      <w:r w:rsidRPr="00135004">
        <w:rPr>
          <w:rFonts w:ascii="Arial" w:hAnsi="Arial" w:cs="Arial"/>
        </w:rPr>
        <w:t xml:space="preserve">Patients must be </w:t>
      </w:r>
      <w:r w:rsidRPr="00640E12">
        <w:rPr>
          <w:rFonts w:ascii="Arial" w:hAnsi="Arial" w:cs="Arial"/>
          <w:highlight w:val="yellow"/>
        </w:rPr>
        <w:t xml:space="preserve">assessed </w:t>
      </w:r>
      <w:r w:rsidR="008C6D7A" w:rsidRPr="00640E12">
        <w:rPr>
          <w:rFonts w:ascii="Arial" w:hAnsi="Arial" w:cs="Arial"/>
          <w:highlight w:val="yellow"/>
        </w:rPr>
        <w:t>at</w:t>
      </w:r>
      <w:r w:rsidR="008C6D7A" w:rsidRPr="00640E12">
        <w:rPr>
          <w:rFonts w:ascii="Arial" w:hAnsi="Arial" w:cs="Arial"/>
          <w:highlight w:val="yellow"/>
        </w:rPr>
        <w:t xml:space="preserve"> </w:t>
      </w:r>
      <w:r w:rsidRPr="00640E12">
        <w:rPr>
          <w:rFonts w:ascii="Arial" w:hAnsi="Arial" w:cs="Arial"/>
          <w:highlight w:val="yellow"/>
        </w:rPr>
        <w:t>regular</w:t>
      </w:r>
      <w:r w:rsidRPr="00135004">
        <w:rPr>
          <w:rFonts w:ascii="Arial" w:hAnsi="Arial" w:cs="Arial"/>
        </w:rPr>
        <w:t xml:space="preserve"> intervals to monitor their peri-implantitis status, as well as the condition of the prostheses supported by the implant and the control of biofilm. The principles of maintenance must include the regular assessment of the implants and their surrounding prostheses and tissues; occlusal exam; review and reinforcement of the oral hygiene; removal of plaque; treatment or diseases or repair in the prostheses, as needed; and definition of personalized preventive measures [8]. Regular routine and frequent maintenance appointments to motivate patients to professionally control the biofilm may prevent the start or increase of a gingival inflammation in dental implants with mucous membrane-supported prosthesis [9]. </w:t>
      </w:r>
    </w:p>
    <w:p w14:paraId="45B56397" w14:textId="4053446E" w:rsidR="00135004" w:rsidRPr="00135004" w:rsidRDefault="00135004" w:rsidP="00135004">
      <w:pPr>
        <w:pStyle w:val="Body"/>
        <w:spacing w:after="0"/>
        <w:rPr>
          <w:rFonts w:ascii="Arial" w:hAnsi="Arial" w:cs="Arial"/>
        </w:rPr>
      </w:pPr>
      <w:bookmarkStart w:id="6" w:name="_Hlk135210266"/>
      <w:r w:rsidRPr="00135004">
        <w:rPr>
          <w:rFonts w:ascii="Arial" w:hAnsi="Arial" w:cs="Arial"/>
          <w:lang w:val="en"/>
        </w:rPr>
        <w:t>The gradual increase in probing depth makes it more difficult to keep the subgingival region healthy, patients are not properly instructed about cleaning sites rehabilitated with dental implants</w:t>
      </w:r>
      <w:bookmarkEnd w:id="6"/>
      <w:r w:rsidRPr="00135004">
        <w:rPr>
          <w:rFonts w:ascii="Arial" w:hAnsi="Arial" w:cs="Arial"/>
          <w:lang w:val="en"/>
        </w:rPr>
        <w:t xml:space="preserve">, and most professionals still have doubts about the diagnosis and treatment of peri-implantitis. </w:t>
      </w:r>
      <w:r w:rsidRPr="00135004">
        <w:rPr>
          <w:rFonts w:ascii="Arial" w:hAnsi="Arial" w:cs="Arial"/>
        </w:rPr>
        <w:br/>
        <w:t xml:space="preserve">Monitoring the status of dental implants over long periods is important. Relating conditions, habits, and characteristics after years of use can help elucidate some </w:t>
      </w:r>
      <w:r w:rsidRPr="00640E12">
        <w:rPr>
          <w:rFonts w:ascii="Arial" w:hAnsi="Arial" w:cs="Arial"/>
          <w:highlight w:val="yellow"/>
        </w:rPr>
        <w:t>situations</w:t>
      </w:r>
      <w:r w:rsidR="008C6D7A" w:rsidRPr="00640E12">
        <w:rPr>
          <w:rFonts w:ascii="Arial" w:hAnsi="Arial" w:cs="Arial"/>
          <w:highlight w:val="yellow"/>
        </w:rPr>
        <w:t>,</w:t>
      </w:r>
      <w:r w:rsidRPr="00640E12">
        <w:rPr>
          <w:rFonts w:ascii="Arial" w:hAnsi="Arial" w:cs="Arial"/>
          <w:highlight w:val="yellow"/>
        </w:rPr>
        <w:t xml:space="preserve"> such as the</w:t>
      </w:r>
      <w:r w:rsidRPr="00135004">
        <w:rPr>
          <w:rFonts w:ascii="Arial" w:hAnsi="Arial" w:cs="Arial"/>
        </w:rPr>
        <w:t xml:space="preserve"> appearance of peri-implant disease, marginal bone loss, and constant local inflammation.</w:t>
      </w:r>
      <w:r w:rsidRPr="00135004">
        <w:rPr>
          <w:rFonts w:ascii="Arial" w:hAnsi="Arial" w:cs="Arial"/>
          <w:lang w:val="en"/>
        </w:rPr>
        <w:t xml:space="preserve"> The objective of the present study was to evaluate the peri-implant clinical condition of implants installed 10 years ago, associating the probing depth found with the clinical status, the presence or absence of disease and the performance of maintenance consultations over these years.</w:t>
      </w:r>
    </w:p>
    <w:bookmarkEnd w:id="4"/>
    <w:p w14:paraId="296B3D9D" w14:textId="77777777" w:rsidR="00790ADA" w:rsidRPr="00FB3A86" w:rsidRDefault="00790ADA" w:rsidP="00441B6F">
      <w:pPr>
        <w:pStyle w:val="Body"/>
        <w:spacing w:after="0"/>
        <w:rPr>
          <w:rFonts w:ascii="Arial" w:hAnsi="Arial" w:cs="Arial"/>
        </w:rPr>
      </w:pPr>
    </w:p>
    <w:p w14:paraId="12278010" w14:textId="3624F55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06898FE" w14:textId="77777777" w:rsidR="00790ADA" w:rsidRPr="00FB3A86" w:rsidRDefault="00790ADA" w:rsidP="00441B6F">
      <w:pPr>
        <w:pStyle w:val="AbstHead"/>
        <w:spacing w:after="0"/>
        <w:jc w:val="both"/>
        <w:rPr>
          <w:rFonts w:ascii="Arial" w:hAnsi="Arial" w:cs="Arial"/>
        </w:rPr>
      </w:pPr>
    </w:p>
    <w:p w14:paraId="776DA251" w14:textId="77777777" w:rsidR="00135004" w:rsidRPr="00135004" w:rsidRDefault="00135004" w:rsidP="00135004">
      <w:pPr>
        <w:pStyle w:val="Body"/>
        <w:spacing w:after="0"/>
        <w:rPr>
          <w:rFonts w:ascii="Arial" w:hAnsi="Arial" w:cs="Arial"/>
          <w:b/>
          <w:bCs/>
        </w:rPr>
      </w:pPr>
      <w:r w:rsidRPr="00135004">
        <w:rPr>
          <w:rFonts w:ascii="Arial" w:hAnsi="Arial" w:cs="Arial"/>
          <w:b/>
          <w:bCs/>
        </w:rPr>
        <w:t>2.1 Study design</w:t>
      </w:r>
    </w:p>
    <w:p w14:paraId="43F8FBE8" w14:textId="45522BD1" w:rsidR="00135004" w:rsidRPr="00135004" w:rsidRDefault="00135004" w:rsidP="00135004">
      <w:pPr>
        <w:pStyle w:val="Body"/>
        <w:spacing w:after="0"/>
        <w:rPr>
          <w:rFonts w:ascii="Arial" w:hAnsi="Arial" w:cs="Arial"/>
        </w:rPr>
      </w:pPr>
      <w:r w:rsidRPr="00135004">
        <w:rPr>
          <w:rFonts w:ascii="Arial" w:hAnsi="Arial" w:cs="Arial"/>
        </w:rPr>
        <w:lastRenderedPageBreak/>
        <w:t>This study is in accordance with Resolution no. 196, of October 16th, 1996, by the National Health Council of Brazil, and the Odontology Professional Ethics Code (Resolution CFO No. 042/2003). All recruited individuals received a verbal and a written explanation of the objectives, methodology, benefits and eventual risks related to the participation in the project. Therefore, the individuals who accepted to participate in the study have signed the Free and Informed Consent Term, previously assessed and approved by the Research Ethics Committee for research with humans of the Universidade Santo Amaro no. 7611/2012.</w:t>
      </w:r>
      <w:r w:rsidRPr="00135004">
        <w:rPr>
          <w:rFonts w:ascii="Arial" w:hAnsi="Arial" w:cs="Arial"/>
          <w:b/>
          <w:bCs/>
        </w:rPr>
        <w:t xml:space="preserve"> </w:t>
      </w:r>
      <w:r w:rsidRPr="00135004">
        <w:rPr>
          <w:rFonts w:ascii="Arial" w:hAnsi="Arial" w:cs="Arial"/>
        </w:rPr>
        <w:t xml:space="preserve">This is a </w:t>
      </w:r>
      <w:r w:rsidRPr="00640E12">
        <w:rPr>
          <w:rFonts w:ascii="Arial" w:hAnsi="Arial" w:cs="Arial"/>
          <w:highlight w:val="yellow"/>
        </w:rPr>
        <w:t>longitudinal</w:t>
      </w:r>
      <w:r w:rsidR="008C6D7A" w:rsidRPr="00640E12">
        <w:rPr>
          <w:rFonts w:ascii="Arial" w:hAnsi="Arial" w:cs="Arial"/>
          <w:highlight w:val="yellow"/>
        </w:rPr>
        <w:t>,</w:t>
      </w:r>
      <w:r w:rsidRPr="00640E12">
        <w:rPr>
          <w:rFonts w:ascii="Arial" w:hAnsi="Arial" w:cs="Arial"/>
          <w:highlight w:val="yellow"/>
        </w:rPr>
        <w:t xml:space="preserve"> prospective cohort study which has the main objective of clinically and radiographically analyzing dental implants installed 10 years ago. Its secondary objective is </w:t>
      </w:r>
      <w:r w:rsidR="008C6D7A" w:rsidRPr="00640E12">
        <w:rPr>
          <w:rFonts w:ascii="Arial" w:hAnsi="Arial" w:cs="Arial"/>
          <w:highlight w:val="yellow"/>
        </w:rPr>
        <w:t>to relate</w:t>
      </w:r>
      <w:r w:rsidR="008C6D7A" w:rsidRPr="00640E12">
        <w:rPr>
          <w:rFonts w:ascii="Arial" w:hAnsi="Arial" w:cs="Arial"/>
          <w:highlight w:val="yellow"/>
        </w:rPr>
        <w:t xml:space="preserve"> </w:t>
      </w:r>
      <w:r w:rsidRPr="00640E12">
        <w:rPr>
          <w:rFonts w:ascii="Arial" w:hAnsi="Arial" w:cs="Arial"/>
          <w:highlight w:val="yellow"/>
        </w:rPr>
        <w:t>the</w:t>
      </w:r>
      <w:r w:rsidRPr="00135004">
        <w:rPr>
          <w:rFonts w:ascii="Arial" w:hAnsi="Arial" w:cs="Arial"/>
        </w:rPr>
        <w:t xml:space="preserve"> plaque index, bleeding on probing, probing depth, bone loss and annual maintenance with the health/disease status of the implants.</w:t>
      </w:r>
      <w:bookmarkStart w:id="7" w:name="_Hlk94383546"/>
    </w:p>
    <w:p w14:paraId="41E4BE23" w14:textId="77777777" w:rsidR="00135004" w:rsidRPr="00135004" w:rsidRDefault="00135004" w:rsidP="00135004">
      <w:pPr>
        <w:pStyle w:val="Body"/>
        <w:spacing w:after="0"/>
        <w:rPr>
          <w:rFonts w:ascii="Arial" w:hAnsi="Arial" w:cs="Arial"/>
          <w:b/>
          <w:bCs/>
        </w:rPr>
      </w:pPr>
      <w:r w:rsidRPr="00135004">
        <w:rPr>
          <w:rFonts w:ascii="Arial" w:hAnsi="Arial" w:cs="Arial"/>
          <w:b/>
          <w:bCs/>
        </w:rPr>
        <w:t>2.3 Definition of disease</w:t>
      </w:r>
    </w:p>
    <w:bookmarkEnd w:id="7"/>
    <w:p w14:paraId="7F5F09CC" w14:textId="43F01FDC" w:rsidR="00135004" w:rsidRPr="00135004" w:rsidRDefault="00135004" w:rsidP="00135004">
      <w:pPr>
        <w:pStyle w:val="Body"/>
        <w:spacing w:after="0"/>
        <w:rPr>
          <w:rFonts w:ascii="Arial" w:hAnsi="Arial" w:cs="Arial"/>
          <w:lang w:val="en"/>
        </w:rPr>
      </w:pPr>
      <w:r w:rsidRPr="00135004">
        <w:rPr>
          <w:rFonts w:ascii="Arial" w:hAnsi="Arial" w:cs="Arial"/>
        </w:rPr>
        <w:t xml:space="preserve"> For this study, the incidence of peri-implant disease has been calculated using the consensus of the 2017 World Workshop for Classifying Periodontal and Peri-Implant Diseases and Conditions. Peri-implantitis is defined </w:t>
      </w:r>
      <w:r w:rsidR="008C6D7A" w:rsidRPr="00640E12">
        <w:rPr>
          <w:rFonts w:ascii="Arial" w:hAnsi="Arial" w:cs="Arial"/>
          <w:highlight w:val="yellow"/>
        </w:rPr>
        <w:t>in</w:t>
      </w:r>
      <w:r w:rsidRPr="00640E12">
        <w:rPr>
          <w:rFonts w:ascii="Arial" w:hAnsi="Arial" w:cs="Arial"/>
          <w:highlight w:val="yellow"/>
        </w:rPr>
        <w:t xml:space="preserve"> 2017 </w:t>
      </w:r>
      <w:r w:rsidRPr="00135004">
        <w:rPr>
          <w:rFonts w:ascii="Arial" w:hAnsi="Arial" w:cs="Arial"/>
        </w:rPr>
        <w:t xml:space="preserve">as a pathological condition associated with plaque which occurs on the tissues around dental implants; it is </w:t>
      </w:r>
      <w:r w:rsidR="008C6D7A" w:rsidRPr="00640E12">
        <w:rPr>
          <w:rFonts w:ascii="Arial" w:hAnsi="Arial" w:cs="Arial"/>
          <w:highlight w:val="yellow"/>
        </w:rPr>
        <w:t>characteri</w:t>
      </w:r>
      <w:r w:rsidR="008C6D7A" w:rsidRPr="00640E12">
        <w:rPr>
          <w:rFonts w:ascii="Arial" w:hAnsi="Arial" w:cs="Arial"/>
          <w:highlight w:val="yellow"/>
        </w:rPr>
        <w:t>s</w:t>
      </w:r>
      <w:r w:rsidR="008C6D7A" w:rsidRPr="00640E12">
        <w:rPr>
          <w:rFonts w:ascii="Arial" w:hAnsi="Arial" w:cs="Arial"/>
          <w:highlight w:val="yellow"/>
        </w:rPr>
        <w:t xml:space="preserve">ed </w:t>
      </w:r>
      <w:r w:rsidRPr="00640E12">
        <w:rPr>
          <w:rFonts w:ascii="Arial" w:hAnsi="Arial" w:cs="Arial"/>
          <w:highlight w:val="yellow"/>
        </w:rPr>
        <w:t>by an inflammation in the peri-implant mucous membrane and subsequent progressive loss</w:t>
      </w:r>
      <w:r w:rsidRPr="00135004">
        <w:rPr>
          <w:rFonts w:ascii="Arial" w:hAnsi="Arial" w:cs="Arial"/>
        </w:rPr>
        <w:t xml:space="preserve"> of the supporting bone. Areas with peri-implantitis </w:t>
      </w:r>
      <w:r w:rsidRPr="00640E12">
        <w:rPr>
          <w:rFonts w:ascii="Arial" w:hAnsi="Arial" w:cs="Arial"/>
          <w:highlight w:val="yellow"/>
        </w:rPr>
        <w:t xml:space="preserve">present clinical signs </w:t>
      </w:r>
      <w:r w:rsidRPr="00135004">
        <w:rPr>
          <w:rFonts w:ascii="Arial" w:hAnsi="Arial" w:cs="Arial"/>
        </w:rPr>
        <w:t xml:space="preserve">of inflammation, bleeding on probing and/or suppuration, increase in probing depth and/or recession in the mucous membrane margin, as well as radiographical bone loss. </w:t>
      </w:r>
      <w:r w:rsidRPr="00135004">
        <w:rPr>
          <w:rFonts w:ascii="Arial" w:hAnsi="Arial" w:cs="Arial"/>
          <w:lang w:val="en"/>
        </w:rPr>
        <w:t>Data from previous exams were not available, therefore the diagnosis of peri-implantitis was based on the combination of: bleeding and/or suppuration on gentle probing; probing depths ≥ 6 mm; bone levels ≥ 3 mm apical of the most coronal portion of the intraosseous part of the implant</w:t>
      </w:r>
      <w:bookmarkStart w:id="8" w:name="_Hlk121645572"/>
      <w:r w:rsidRPr="00135004">
        <w:rPr>
          <w:rFonts w:ascii="Arial" w:hAnsi="Arial" w:cs="Arial"/>
          <w:lang w:val="en"/>
        </w:rPr>
        <w:t xml:space="preserve"> [10, 11]</w:t>
      </w:r>
      <w:bookmarkEnd w:id="8"/>
      <w:r w:rsidRPr="00135004">
        <w:rPr>
          <w:rFonts w:ascii="Arial" w:hAnsi="Arial" w:cs="Arial"/>
          <w:lang w:val="en"/>
        </w:rPr>
        <w:t>.</w:t>
      </w:r>
    </w:p>
    <w:p w14:paraId="7C07C314" w14:textId="77777777" w:rsidR="00135004" w:rsidRPr="00135004" w:rsidRDefault="00135004" w:rsidP="00135004">
      <w:pPr>
        <w:pStyle w:val="Body"/>
        <w:spacing w:after="0"/>
        <w:rPr>
          <w:rFonts w:ascii="Arial" w:hAnsi="Arial" w:cs="Arial"/>
          <w:lang w:val="en"/>
        </w:rPr>
      </w:pPr>
    </w:p>
    <w:p w14:paraId="50D3CCBA" w14:textId="77777777" w:rsidR="00135004" w:rsidRPr="00135004" w:rsidRDefault="00135004" w:rsidP="00135004">
      <w:pPr>
        <w:pStyle w:val="Body"/>
        <w:spacing w:after="0"/>
        <w:rPr>
          <w:rFonts w:ascii="Arial" w:hAnsi="Arial" w:cs="Arial"/>
          <w:b/>
          <w:bCs/>
        </w:rPr>
      </w:pPr>
      <w:r w:rsidRPr="00135004">
        <w:rPr>
          <w:rFonts w:ascii="Arial" w:hAnsi="Arial" w:cs="Arial"/>
          <w:b/>
          <w:bCs/>
        </w:rPr>
        <w:t>2.4 Eligibility criteria</w:t>
      </w:r>
    </w:p>
    <w:p w14:paraId="6861DC27" w14:textId="67885CEA" w:rsidR="00135004" w:rsidRPr="00135004" w:rsidRDefault="00135004" w:rsidP="00135004">
      <w:pPr>
        <w:pStyle w:val="Body"/>
        <w:spacing w:after="0"/>
        <w:rPr>
          <w:rFonts w:ascii="Arial" w:hAnsi="Arial" w:cs="Arial"/>
        </w:rPr>
      </w:pPr>
      <w:r w:rsidRPr="00135004">
        <w:rPr>
          <w:rFonts w:ascii="Arial" w:hAnsi="Arial" w:cs="Arial"/>
        </w:rPr>
        <w:t xml:space="preserve">This study included individuals of both genders, from 40 to 60 years </w:t>
      </w:r>
      <w:r w:rsidRPr="00640E12">
        <w:rPr>
          <w:rFonts w:ascii="Arial" w:hAnsi="Arial" w:cs="Arial"/>
          <w:highlight w:val="yellow"/>
        </w:rPr>
        <w:t xml:space="preserve">old, with </w:t>
      </w:r>
      <w:r w:rsidR="000800E8" w:rsidRPr="00640E12">
        <w:rPr>
          <w:rFonts w:ascii="Arial" w:hAnsi="Arial" w:cs="Arial"/>
          <w:highlight w:val="yellow"/>
        </w:rPr>
        <w:t xml:space="preserve">a </w:t>
      </w:r>
      <w:r w:rsidRPr="00640E12">
        <w:rPr>
          <w:rFonts w:ascii="Arial" w:hAnsi="Arial" w:cs="Arial"/>
          <w:highlight w:val="yellow"/>
        </w:rPr>
        <w:t>unitary external hexagon implant, and surface treated with acid, with screw-retained</w:t>
      </w:r>
      <w:r w:rsidR="00D50C0C" w:rsidRPr="00640E12">
        <w:rPr>
          <w:rFonts w:ascii="Arial" w:hAnsi="Arial" w:cs="Arial"/>
          <w:highlight w:val="yellow"/>
        </w:rPr>
        <w:t xml:space="preserve"> and</w:t>
      </w:r>
      <w:r w:rsidRPr="00640E12">
        <w:rPr>
          <w:rFonts w:ascii="Arial" w:hAnsi="Arial" w:cs="Arial"/>
          <w:highlight w:val="yellow"/>
        </w:rPr>
        <w:t xml:space="preserve"> </w:t>
      </w:r>
      <w:r w:rsidRPr="00640E12">
        <w:rPr>
          <w:rFonts w:ascii="Arial" w:hAnsi="Arial" w:cs="Arial"/>
          <w:highlight w:val="yellow"/>
          <w:lang w:val="en"/>
        </w:rPr>
        <w:t>the presence of teet</w:t>
      </w:r>
      <w:r w:rsidRPr="00135004">
        <w:rPr>
          <w:rFonts w:ascii="Arial" w:hAnsi="Arial" w:cs="Arial"/>
          <w:lang w:val="en"/>
        </w:rPr>
        <w:t>h adjacent to the implant</w:t>
      </w:r>
      <w:r w:rsidRPr="00135004">
        <w:rPr>
          <w:rFonts w:ascii="Arial" w:hAnsi="Arial" w:cs="Arial"/>
        </w:rPr>
        <w:t>.</w:t>
      </w:r>
    </w:p>
    <w:p w14:paraId="0D47A32E" w14:textId="77777777" w:rsidR="00135004" w:rsidRPr="00135004" w:rsidRDefault="00135004" w:rsidP="00135004">
      <w:pPr>
        <w:pStyle w:val="Body"/>
        <w:spacing w:after="0"/>
        <w:rPr>
          <w:rFonts w:ascii="Arial" w:hAnsi="Arial" w:cs="Arial"/>
        </w:rPr>
      </w:pPr>
      <w:r w:rsidRPr="00135004">
        <w:rPr>
          <w:rFonts w:ascii="Arial" w:hAnsi="Arial" w:cs="Arial"/>
        </w:rPr>
        <w:t>Individuals who had implants diagnosed with peri-implant mucositis, had more than one implant or smokers were excluded from the study, as well as those individuals who, for any reason, had to suspend the use of systemic medication for clinical evaluation, and individuals in need of antibiotic prophylaxis for carrying out the clinical examinations.</w:t>
      </w:r>
    </w:p>
    <w:p w14:paraId="104BDB7A" w14:textId="77777777" w:rsidR="00135004" w:rsidRPr="00135004" w:rsidRDefault="00135004" w:rsidP="00135004">
      <w:pPr>
        <w:pStyle w:val="Body"/>
        <w:spacing w:after="0"/>
        <w:rPr>
          <w:rFonts w:ascii="Arial" w:hAnsi="Arial" w:cs="Arial"/>
        </w:rPr>
      </w:pPr>
      <w:r w:rsidRPr="00135004">
        <w:rPr>
          <w:rFonts w:ascii="Arial" w:hAnsi="Arial" w:cs="Arial"/>
        </w:rPr>
        <w:t xml:space="preserve">Patients were assessed for annual maintenance and its relationship with peri-implant disease. A regular annual visit to each patient's personal dentist was accepted as maintenance. The patients included in the study had implants installed at the same time and returned after 10 years for this evaluation. Patients who reported not going to the dentist every year were assessed as not having annual maintenance.  </w:t>
      </w:r>
    </w:p>
    <w:p w14:paraId="492FA0E6" w14:textId="77777777" w:rsidR="00135004" w:rsidRPr="00135004" w:rsidRDefault="00135004" w:rsidP="00135004">
      <w:pPr>
        <w:pStyle w:val="Body"/>
        <w:spacing w:after="0"/>
        <w:rPr>
          <w:rFonts w:ascii="Arial" w:hAnsi="Arial" w:cs="Arial"/>
        </w:rPr>
      </w:pPr>
    </w:p>
    <w:p w14:paraId="433C7FA1" w14:textId="77777777" w:rsidR="00135004" w:rsidRPr="00135004" w:rsidRDefault="00135004" w:rsidP="00135004">
      <w:pPr>
        <w:pStyle w:val="Body"/>
        <w:spacing w:after="0"/>
        <w:rPr>
          <w:rFonts w:ascii="Arial" w:hAnsi="Arial" w:cs="Arial"/>
          <w:b/>
          <w:bCs/>
        </w:rPr>
      </w:pPr>
      <w:r w:rsidRPr="00135004">
        <w:rPr>
          <w:rFonts w:ascii="Arial" w:hAnsi="Arial" w:cs="Arial"/>
          <w:b/>
          <w:bCs/>
        </w:rPr>
        <w:t xml:space="preserve">2.5 Clinical data </w:t>
      </w:r>
    </w:p>
    <w:p w14:paraId="02F928CC" w14:textId="6E031D13" w:rsidR="00135004" w:rsidRPr="00D50C0C" w:rsidRDefault="00135004" w:rsidP="00D50C0C">
      <w:pPr>
        <w:pStyle w:val="Body"/>
        <w:rPr>
          <w:rFonts w:ascii="Arial" w:hAnsi="Arial" w:cs="Arial"/>
          <w:lang w:val="pt-BR"/>
        </w:rPr>
      </w:pPr>
      <w:r w:rsidRPr="00135004">
        <w:rPr>
          <w:rFonts w:ascii="Arial" w:hAnsi="Arial" w:cs="Arial"/>
        </w:rPr>
        <w:t xml:space="preserve">Participants underwent complete peri-implant examination and all implants were evaluated: probing depth, plaque index, bleeding index and suppuration presence. </w:t>
      </w:r>
      <w:r w:rsidR="00D50C0C" w:rsidRPr="00D50C0C">
        <w:rPr>
          <w:rFonts w:ascii="Arial" w:hAnsi="Arial" w:cs="Arial"/>
          <w:lang w:val="en"/>
        </w:rPr>
        <w:t>All crowns were unscrewed and peri-implant probing was performed</w:t>
      </w:r>
      <w:r w:rsidR="00D50C0C" w:rsidRPr="00D50C0C">
        <w:rPr>
          <w:rFonts w:ascii="Arial" w:hAnsi="Arial" w:cs="Arial"/>
        </w:rPr>
        <w:t>.</w:t>
      </w:r>
      <w:r w:rsidR="00D50C0C">
        <w:rPr>
          <w:rFonts w:ascii="Arial" w:hAnsi="Arial" w:cs="Arial"/>
        </w:rPr>
        <w:t xml:space="preserve"> </w:t>
      </w:r>
      <w:r w:rsidRPr="00135004">
        <w:rPr>
          <w:rFonts w:ascii="Arial" w:hAnsi="Arial" w:cs="Arial"/>
        </w:rPr>
        <w:t xml:space="preserve">Probing depth (PD) was measured in millimeters with the help of a periodontal probe (Millenium/Golgram, São Paulo, Brazil) from the edge of the mucosa to the bottom of the sulcus, and measurements were taken manually at four different points in all presented implants (buccal, mesial, lingual and distal). Plaque index and bleeding on probing index measurements were performed on 4 sides same as PD and the presence or absence of biofilm and bleeding on probing were evaluated based on a </w:t>
      </w:r>
      <w:r w:rsidRPr="00640E12">
        <w:rPr>
          <w:rFonts w:ascii="Arial" w:hAnsi="Arial" w:cs="Arial"/>
          <w:highlight w:val="yellow"/>
        </w:rPr>
        <w:t>binomial standard</w:t>
      </w:r>
      <w:r w:rsidRPr="00135004">
        <w:rPr>
          <w:rFonts w:ascii="Arial" w:hAnsi="Arial" w:cs="Arial"/>
        </w:rPr>
        <w:t xml:space="preserve">, being 0 = absence of plaque and 1 = presence of visible plaque. The clinical exam comprised: probing depth (PD) - 6 points per implant; plaque and bleeding index - 4 dichotomous points [12]. </w:t>
      </w:r>
    </w:p>
    <w:p w14:paraId="2B9EBD67" w14:textId="77777777" w:rsidR="00135004" w:rsidRPr="00135004" w:rsidRDefault="00135004" w:rsidP="00135004">
      <w:pPr>
        <w:pStyle w:val="Body"/>
        <w:spacing w:after="0"/>
        <w:rPr>
          <w:rFonts w:ascii="Arial" w:hAnsi="Arial" w:cs="Arial"/>
        </w:rPr>
      </w:pPr>
      <w:r w:rsidRPr="00135004">
        <w:rPr>
          <w:rFonts w:ascii="Arial" w:hAnsi="Arial" w:cs="Arial"/>
        </w:rPr>
        <w:t xml:space="preserve">Each clinical parameter has been obtained by two blinded examiner previously calibrated. </w:t>
      </w:r>
      <w:r w:rsidRPr="00135004">
        <w:rPr>
          <w:rFonts w:ascii="Arial" w:hAnsi="Arial" w:cs="Arial"/>
          <w:lang w:val="en"/>
        </w:rPr>
        <w:t xml:space="preserve">As a means of assessing inter- and intra-examiner agreement, PD  measurements were </w:t>
      </w:r>
      <w:r w:rsidRPr="00135004">
        <w:rPr>
          <w:rFonts w:ascii="Arial" w:hAnsi="Arial" w:cs="Arial"/>
          <w:lang w:val="en"/>
        </w:rPr>
        <w:lastRenderedPageBreak/>
        <w:t>performed and repeated at one-week intervals in 12 randomly selected individuals from the initial sample group. The data were submitted to the non-parametric Kappa test for intra-examiner agreement of the measurements. A dichotomous criterion at the cutoff point of PS ≥ 4 mm was used to establish the presence or absence of periodontal alteration. The results showed satisfactory weighted Kappa values ​​for PS and NCI of 0.83 and 0.82, respectively (α = .05).</w:t>
      </w:r>
    </w:p>
    <w:p w14:paraId="03D4E11B" w14:textId="77777777" w:rsidR="00135004" w:rsidRPr="00135004" w:rsidRDefault="00135004" w:rsidP="00135004">
      <w:pPr>
        <w:pStyle w:val="Body"/>
        <w:spacing w:after="0"/>
        <w:rPr>
          <w:rFonts w:ascii="Arial" w:hAnsi="Arial" w:cs="Arial"/>
        </w:rPr>
      </w:pPr>
    </w:p>
    <w:p w14:paraId="18CC7445" w14:textId="77777777" w:rsidR="00135004" w:rsidRPr="00135004" w:rsidRDefault="00135004" w:rsidP="00135004">
      <w:pPr>
        <w:pStyle w:val="Body"/>
        <w:spacing w:after="0"/>
        <w:rPr>
          <w:rFonts w:ascii="Arial" w:hAnsi="Arial" w:cs="Arial"/>
          <w:b/>
          <w:bCs/>
        </w:rPr>
      </w:pPr>
      <w:r w:rsidRPr="00135004">
        <w:rPr>
          <w:rFonts w:ascii="Arial" w:hAnsi="Arial" w:cs="Arial"/>
          <w:b/>
          <w:bCs/>
        </w:rPr>
        <w:t>2.6 Radiographic data</w:t>
      </w:r>
    </w:p>
    <w:p w14:paraId="76953C07" w14:textId="087F6029" w:rsidR="00135004" w:rsidRPr="00135004" w:rsidRDefault="00135004" w:rsidP="00135004">
      <w:pPr>
        <w:pStyle w:val="Body"/>
        <w:spacing w:after="0"/>
        <w:rPr>
          <w:rFonts w:ascii="Arial" w:hAnsi="Arial" w:cs="Arial"/>
        </w:rPr>
      </w:pPr>
      <w:r w:rsidRPr="00135004">
        <w:rPr>
          <w:rFonts w:ascii="Arial" w:hAnsi="Arial" w:cs="Arial"/>
        </w:rPr>
        <w:t xml:space="preserve">For all participants, full periapical radiographic exams were carried out, with 14 x-rays in order to verify the height of the bone </w:t>
      </w:r>
      <w:r w:rsidR="000800E8" w:rsidRPr="00640E12">
        <w:rPr>
          <w:rFonts w:ascii="Arial" w:hAnsi="Arial" w:cs="Arial"/>
          <w:highlight w:val="yellow"/>
        </w:rPr>
        <w:t>cort</w:t>
      </w:r>
      <w:r w:rsidR="000800E8" w:rsidRPr="00640E12">
        <w:rPr>
          <w:rFonts w:ascii="Arial" w:hAnsi="Arial" w:cs="Arial"/>
          <w:highlight w:val="yellow"/>
        </w:rPr>
        <w:t>ex</w:t>
      </w:r>
      <w:r w:rsidR="000800E8" w:rsidRPr="00640E12">
        <w:rPr>
          <w:rFonts w:ascii="Arial" w:hAnsi="Arial" w:cs="Arial"/>
          <w:highlight w:val="yellow"/>
        </w:rPr>
        <w:t xml:space="preserve"> </w:t>
      </w:r>
      <w:r w:rsidRPr="00640E12">
        <w:rPr>
          <w:rFonts w:ascii="Arial" w:hAnsi="Arial" w:cs="Arial"/>
          <w:highlight w:val="yellow"/>
        </w:rPr>
        <w:t>and</w:t>
      </w:r>
      <w:r w:rsidRPr="00135004">
        <w:rPr>
          <w:rFonts w:ascii="Arial" w:hAnsi="Arial" w:cs="Arial"/>
        </w:rPr>
        <w:t xml:space="preserve"> support the periodontal diagnosis. The periapical technique applied was the parallelism with the use of a holder to obtain the most isometric image possible. After digitalizing all x-rays, the bone loss was measured on both sides of the implant (mesial and distal sides) by a previously calibrated probe with the support of an image analysis software (version 3.7.0 Digimizer, Medical Software Brolkstraat, Belgium). To correct dimensional distortions in the x-ray, the software was calibrated with the real diameter and length of the implant. </w:t>
      </w:r>
      <w:r w:rsidRPr="00135004">
        <w:rPr>
          <w:rFonts w:ascii="Arial" w:hAnsi="Arial" w:cs="Arial"/>
          <w:lang w:val="en"/>
        </w:rPr>
        <w:t>Due to the absence of previous exams, the periapical exam served to aid in the diagnosis and was carried out with this objective.</w:t>
      </w:r>
    </w:p>
    <w:p w14:paraId="562CC4E3" w14:textId="77777777" w:rsidR="00135004" w:rsidRPr="00135004" w:rsidRDefault="00135004" w:rsidP="00135004">
      <w:pPr>
        <w:pStyle w:val="Body"/>
        <w:spacing w:after="0"/>
        <w:rPr>
          <w:rFonts w:ascii="Arial" w:hAnsi="Arial" w:cs="Arial"/>
        </w:rPr>
      </w:pPr>
    </w:p>
    <w:p w14:paraId="0E8A2B7C" w14:textId="77777777" w:rsidR="00135004" w:rsidRPr="00135004" w:rsidRDefault="00135004" w:rsidP="00135004">
      <w:pPr>
        <w:pStyle w:val="Body"/>
        <w:spacing w:after="0"/>
        <w:rPr>
          <w:rFonts w:ascii="Arial" w:hAnsi="Arial" w:cs="Arial"/>
          <w:b/>
          <w:bCs/>
        </w:rPr>
      </w:pPr>
      <w:r w:rsidRPr="00135004">
        <w:rPr>
          <w:rFonts w:ascii="Arial" w:hAnsi="Arial" w:cs="Arial"/>
          <w:b/>
          <w:bCs/>
        </w:rPr>
        <w:t xml:space="preserve">2.7 Statistical analysis </w:t>
      </w:r>
    </w:p>
    <w:p w14:paraId="65B2E08D" w14:textId="6BAF9F4B" w:rsidR="00135004" w:rsidRPr="00135004" w:rsidRDefault="00135004" w:rsidP="00135004">
      <w:pPr>
        <w:pStyle w:val="Body"/>
        <w:spacing w:after="0"/>
        <w:rPr>
          <w:rFonts w:ascii="Arial" w:hAnsi="Arial" w:cs="Arial"/>
        </w:rPr>
      </w:pPr>
      <w:r w:rsidRPr="00135004">
        <w:rPr>
          <w:rFonts w:ascii="Arial" w:hAnsi="Arial" w:cs="Arial"/>
        </w:rPr>
        <w:t xml:space="preserve">The R software was used for analysis.  </w:t>
      </w:r>
      <w:r w:rsidRPr="00135004">
        <w:rPr>
          <w:rFonts w:ascii="Arial" w:hAnsi="Arial" w:cs="Arial"/>
          <w:lang w:val="en"/>
        </w:rPr>
        <w:t xml:space="preserve">The observed means were compared using Student's t-test. To assess the relationship between the study variables and the disease variable, we used the Wilcoxon test because the variables presented data without normal distribution.  </w:t>
      </w:r>
      <w:r w:rsidRPr="00135004">
        <w:rPr>
          <w:rFonts w:ascii="Arial" w:hAnsi="Arial" w:cs="Arial"/>
        </w:rPr>
        <w:t xml:space="preserve">In order to compare patients with different characteristics regarding the odds of having </w:t>
      </w:r>
      <w:r w:rsidR="000800E8">
        <w:rPr>
          <w:rFonts w:ascii="Arial" w:hAnsi="Arial" w:cs="Arial"/>
        </w:rPr>
        <w:t xml:space="preserve">the </w:t>
      </w:r>
      <w:r w:rsidRPr="00135004">
        <w:rPr>
          <w:rFonts w:ascii="Arial" w:hAnsi="Arial" w:cs="Arial"/>
        </w:rPr>
        <w:t>disease, we calculated the Odd Ratio, which is the result of dividing the odds of a patience in a certain category of a categorical variable to have the disease by the odds of a patience in the reference category. Besides Odd Ratio, we showed the Trust Interval of 95% and the p-value of Fisher’s Exact Test, which tests if the Odd Ratio is statistically different from one.</w:t>
      </w:r>
    </w:p>
    <w:p w14:paraId="1A5D7D62" w14:textId="77777777" w:rsidR="00135004" w:rsidRPr="00135004" w:rsidRDefault="00135004" w:rsidP="00135004">
      <w:pPr>
        <w:pStyle w:val="Body"/>
        <w:spacing w:after="0"/>
        <w:rPr>
          <w:rFonts w:ascii="Arial" w:hAnsi="Arial" w:cs="Arial"/>
          <w:b/>
          <w:bCs/>
        </w:rPr>
      </w:pPr>
    </w:p>
    <w:p w14:paraId="2073B240" w14:textId="1F58990F"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1189F75A" w14:textId="77777777" w:rsidR="00790ADA" w:rsidRPr="00FB3A86" w:rsidRDefault="00790ADA" w:rsidP="00441B6F">
      <w:pPr>
        <w:pStyle w:val="Head1"/>
        <w:spacing w:after="0"/>
        <w:jc w:val="both"/>
        <w:rPr>
          <w:rFonts w:ascii="Arial" w:hAnsi="Arial" w:cs="Arial"/>
        </w:rPr>
      </w:pPr>
    </w:p>
    <w:p w14:paraId="34568BAF" w14:textId="3E1682BF" w:rsidR="00135004" w:rsidRPr="00135004" w:rsidRDefault="00135004" w:rsidP="00135004">
      <w:pPr>
        <w:pStyle w:val="Body"/>
        <w:spacing w:after="0"/>
        <w:rPr>
          <w:rFonts w:ascii="Arial" w:hAnsi="Arial" w:cs="Arial"/>
        </w:rPr>
      </w:pPr>
      <w:r w:rsidRPr="00135004">
        <w:rPr>
          <w:rFonts w:ascii="Arial" w:hAnsi="Arial" w:cs="Arial"/>
        </w:rPr>
        <w:t xml:space="preserve">Initially, 208 patients were selected. Out of them, 62 patients were excluded from the study because they were diagnosed with peri-implant mucositis, 32 patients were excluded with rehabilitation of fixed prosthodontics, 10 patients did not show up to the scheduled exams, 7 patients </w:t>
      </w:r>
      <w:r w:rsidR="000800E8" w:rsidRPr="00640E12">
        <w:rPr>
          <w:rFonts w:ascii="Arial" w:hAnsi="Arial" w:cs="Arial"/>
          <w:highlight w:val="yellow"/>
        </w:rPr>
        <w:t>needed</w:t>
      </w:r>
      <w:r w:rsidRPr="00640E12">
        <w:rPr>
          <w:rFonts w:ascii="Arial" w:hAnsi="Arial" w:cs="Arial"/>
          <w:highlight w:val="yellow"/>
        </w:rPr>
        <w:t xml:space="preserve"> pre-m</w:t>
      </w:r>
      <w:r w:rsidRPr="00135004">
        <w:rPr>
          <w:rFonts w:ascii="Arial" w:hAnsi="Arial" w:cs="Arial"/>
        </w:rPr>
        <w:t xml:space="preserve">edication for the clinical exams and 24 </w:t>
      </w:r>
      <w:r w:rsidRPr="00640E12">
        <w:rPr>
          <w:rFonts w:ascii="Arial" w:hAnsi="Arial" w:cs="Arial"/>
          <w:highlight w:val="yellow"/>
        </w:rPr>
        <w:t xml:space="preserve">patients </w:t>
      </w:r>
      <w:r w:rsidR="000800E8" w:rsidRPr="00640E12">
        <w:rPr>
          <w:rFonts w:ascii="Arial" w:hAnsi="Arial" w:cs="Arial"/>
          <w:highlight w:val="yellow"/>
        </w:rPr>
        <w:t>were</w:t>
      </w:r>
      <w:r w:rsidRPr="00135004">
        <w:rPr>
          <w:rFonts w:ascii="Arial" w:hAnsi="Arial" w:cs="Arial"/>
        </w:rPr>
        <w:t xml:space="preserve"> smokers. The samples were analyzed to assess the behavior of the implants related to the peri-implant disease, more specifically, peri-implantitis, bone loss and probing depth. </w:t>
      </w:r>
    </w:p>
    <w:p w14:paraId="77397F27" w14:textId="00A2B45B" w:rsidR="00135004" w:rsidRPr="00135004" w:rsidRDefault="00135004" w:rsidP="00135004">
      <w:pPr>
        <w:pStyle w:val="Body"/>
        <w:spacing w:after="0"/>
        <w:rPr>
          <w:rFonts w:ascii="Arial" w:hAnsi="Arial" w:cs="Arial"/>
        </w:rPr>
      </w:pPr>
      <w:r w:rsidRPr="00135004">
        <w:rPr>
          <w:rFonts w:ascii="Arial" w:hAnsi="Arial" w:cs="Arial"/>
        </w:rPr>
        <w:t xml:space="preserve">A total of 73 </w:t>
      </w:r>
      <w:r w:rsidR="000800E8" w:rsidRPr="00640E12">
        <w:rPr>
          <w:rFonts w:ascii="Arial" w:hAnsi="Arial" w:cs="Arial"/>
          <w:highlight w:val="yellow"/>
        </w:rPr>
        <w:t>single</w:t>
      </w:r>
      <w:r w:rsidR="000800E8" w:rsidRPr="00640E12">
        <w:rPr>
          <w:rFonts w:ascii="Arial" w:hAnsi="Arial" w:cs="Arial"/>
          <w:highlight w:val="yellow"/>
        </w:rPr>
        <w:t>-</w:t>
      </w:r>
      <w:r w:rsidRPr="00640E12">
        <w:rPr>
          <w:rFonts w:ascii="Arial" w:hAnsi="Arial" w:cs="Arial"/>
          <w:highlight w:val="yellow"/>
        </w:rPr>
        <w:t xml:space="preserve">implant and screw-retained or cemented crowns were assessed. The average age of the patients was 36.1, with the minimum being 29 and </w:t>
      </w:r>
      <w:r w:rsidR="000800E8" w:rsidRPr="00640E12">
        <w:rPr>
          <w:rFonts w:ascii="Arial" w:hAnsi="Arial" w:cs="Arial"/>
          <w:highlight w:val="yellow"/>
        </w:rPr>
        <w:t xml:space="preserve">the </w:t>
      </w:r>
      <w:r w:rsidRPr="00640E12">
        <w:rPr>
          <w:rFonts w:ascii="Arial" w:hAnsi="Arial" w:cs="Arial"/>
          <w:highlight w:val="yellow"/>
        </w:rPr>
        <w:t>maximum</w:t>
      </w:r>
      <w:r w:rsidRPr="00135004">
        <w:rPr>
          <w:rFonts w:ascii="Arial" w:hAnsi="Arial" w:cs="Arial"/>
        </w:rPr>
        <w:t xml:space="preserve"> being 56. The frequency of the variable gender in the sample was 45 (61.6%) men and 28 (38.4%) women. Peri-implantitis was diagnosed in 37 implants (50.7%) and 36 (49.3%) of the implants were healthy. </w:t>
      </w:r>
    </w:p>
    <w:p w14:paraId="73CFFF6A" w14:textId="444B4BC6" w:rsidR="00135004" w:rsidRDefault="00135004" w:rsidP="00135004">
      <w:pPr>
        <w:pStyle w:val="Body"/>
        <w:spacing w:after="0"/>
        <w:rPr>
          <w:rFonts w:ascii="Arial" w:hAnsi="Arial" w:cs="Arial"/>
          <w:lang w:val="en"/>
        </w:rPr>
      </w:pPr>
      <w:r w:rsidRPr="00135004">
        <w:rPr>
          <w:rFonts w:ascii="Arial" w:hAnsi="Arial" w:cs="Arial"/>
          <w:lang w:val="en"/>
        </w:rPr>
        <w:t xml:space="preserve">Initially, the main effects of the independent variables, as well as the interactions between them, were evaluated. and thus it was verified that gender, position of the implant and bleeding on probing did not influence </w:t>
      </w:r>
      <w:r w:rsidR="000800E8" w:rsidRPr="00640E12">
        <w:rPr>
          <w:rFonts w:ascii="Arial" w:hAnsi="Arial" w:cs="Arial"/>
          <w:highlight w:val="yellow"/>
          <w:lang w:val="en"/>
        </w:rPr>
        <w:t xml:space="preserve">whether </w:t>
      </w:r>
      <w:r w:rsidRPr="00640E12">
        <w:rPr>
          <w:rFonts w:ascii="Arial" w:hAnsi="Arial" w:cs="Arial"/>
          <w:highlight w:val="yellow"/>
          <w:lang w:val="en"/>
        </w:rPr>
        <w:t xml:space="preserve">the implant </w:t>
      </w:r>
      <w:r w:rsidR="000800E8" w:rsidRPr="00640E12">
        <w:rPr>
          <w:rFonts w:ascii="Arial" w:hAnsi="Arial" w:cs="Arial"/>
          <w:highlight w:val="yellow"/>
          <w:lang w:val="en"/>
        </w:rPr>
        <w:t>presented</w:t>
      </w:r>
      <w:r w:rsidRPr="00135004">
        <w:rPr>
          <w:rFonts w:ascii="Arial" w:hAnsi="Arial" w:cs="Arial"/>
          <w:lang w:val="en"/>
        </w:rPr>
        <w:t xml:space="preserve"> or not the disease. The 37 implants diagnosed with peri-implantitis were influenced by the plaque index and the interaction between probing depth and suppuration (P &lt; .001). Going to the dentist for maintenance appointments or </w:t>
      </w:r>
      <w:r w:rsidRPr="00640E12">
        <w:rPr>
          <w:rFonts w:ascii="Arial" w:hAnsi="Arial" w:cs="Arial"/>
          <w:highlight w:val="yellow"/>
          <w:lang w:val="en"/>
        </w:rPr>
        <w:t>not attending showed no statistical</w:t>
      </w:r>
      <w:r w:rsidRPr="00135004">
        <w:rPr>
          <w:rFonts w:ascii="Arial" w:hAnsi="Arial" w:cs="Arial"/>
          <w:lang w:val="en"/>
        </w:rPr>
        <w:t xml:space="preserve"> difference in terms of having peri-implantitis (Table 1).</w:t>
      </w:r>
    </w:p>
    <w:p w14:paraId="5D0C28C0" w14:textId="77777777" w:rsidR="00725CD2" w:rsidRDefault="00725CD2" w:rsidP="00135004">
      <w:pPr>
        <w:pStyle w:val="Body"/>
        <w:spacing w:after="0"/>
        <w:rPr>
          <w:rFonts w:ascii="Arial" w:hAnsi="Arial" w:cs="Arial"/>
          <w:lang w:val="en"/>
        </w:rPr>
      </w:pPr>
    </w:p>
    <w:p w14:paraId="4AB19CD6" w14:textId="77777777" w:rsidR="00725CD2" w:rsidRPr="00725CD2" w:rsidRDefault="00725CD2" w:rsidP="00725CD2">
      <w:pPr>
        <w:pStyle w:val="Body"/>
        <w:spacing w:after="0"/>
        <w:rPr>
          <w:rFonts w:ascii="Arial" w:hAnsi="Arial" w:cs="Arial"/>
        </w:rPr>
      </w:pPr>
    </w:p>
    <w:p w14:paraId="1ADA9868" w14:textId="77777777" w:rsidR="00725CD2" w:rsidRPr="00725CD2" w:rsidRDefault="00725CD2" w:rsidP="00725CD2">
      <w:pPr>
        <w:pStyle w:val="Body"/>
        <w:spacing w:after="0"/>
        <w:rPr>
          <w:rFonts w:ascii="Arial" w:hAnsi="Arial" w:cs="Arial"/>
        </w:rPr>
      </w:pPr>
      <w:r w:rsidRPr="00725CD2">
        <w:rPr>
          <w:rFonts w:ascii="Arial" w:hAnsi="Arial" w:cs="Arial"/>
        </w:rPr>
        <w:t>Table 1: Variables analyzed according to health status and peri-implantitis (p≤0,05)</w:t>
      </w:r>
    </w:p>
    <w:tbl>
      <w:tblPr>
        <w:tblW w:w="9640" w:type="dxa"/>
        <w:tblCellMar>
          <w:left w:w="70" w:type="dxa"/>
          <w:right w:w="70" w:type="dxa"/>
        </w:tblCellMar>
        <w:tblLook w:val="04A0" w:firstRow="1" w:lastRow="0" w:firstColumn="1" w:lastColumn="0" w:noHBand="0" w:noVBand="1"/>
      </w:tblPr>
      <w:tblGrid>
        <w:gridCol w:w="2127"/>
        <w:gridCol w:w="1417"/>
        <w:gridCol w:w="2126"/>
        <w:gridCol w:w="1418"/>
        <w:gridCol w:w="2552"/>
      </w:tblGrid>
      <w:tr w:rsidR="00725CD2" w:rsidRPr="00725CD2" w14:paraId="2CA22792" w14:textId="77777777" w:rsidTr="00B048BC">
        <w:trPr>
          <w:trHeight w:val="300"/>
        </w:trPr>
        <w:tc>
          <w:tcPr>
            <w:tcW w:w="2127" w:type="dxa"/>
            <w:shd w:val="clear" w:color="auto" w:fill="auto"/>
            <w:noWrap/>
            <w:vAlign w:val="bottom"/>
            <w:hideMark/>
          </w:tcPr>
          <w:p w14:paraId="4F159F61" w14:textId="77777777" w:rsidR="00725CD2" w:rsidRPr="00725CD2" w:rsidRDefault="00725CD2" w:rsidP="00725CD2">
            <w:pPr>
              <w:pStyle w:val="Body"/>
              <w:rPr>
                <w:rFonts w:ascii="Arial" w:hAnsi="Arial" w:cs="Arial"/>
              </w:rPr>
            </w:pPr>
          </w:p>
        </w:tc>
        <w:tc>
          <w:tcPr>
            <w:tcW w:w="1417" w:type="dxa"/>
            <w:shd w:val="clear" w:color="auto" w:fill="auto"/>
            <w:noWrap/>
            <w:vAlign w:val="bottom"/>
            <w:hideMark/>
          </w:tcPr>
          <w:p w14:paraId="0B901EAA" w14:textId="77777777" w:rsidR="00725CD2" w:rsidRPr="00725CD2" w:rsidRDefault="00725CD2" w:rsidP="00725CD2">
            <w:pPr>
              <w:pStyle w:val="Body"/>
              <w:rPr>
                <w:rFonts w:ascii="Arial" w:hAnsi="Arial" w:cs="Arial"/>
                <w:lang w:val="pt-BR"/>
              </w:rPr>
            </w:pPr>
            <w:r w:rsidRPr="00725CD2">
              <w:rPr>
                <w:rFonts w:ascii="Arial" w:hAnsi="Arial" w:cs="Arial"/>
              </w:rPr>
              <w:t>Healthy (%)</w:t>
            </w:r>
          </w:p>
        </w:tc>
        <w:tc>
          <w:tcPr>
            <w:tcW w:w="2126" w:type="dxa"/>
            <w:shd w:val="clear" w:color="auto" w:fill="auto"/>
            <w:noWrap/>
            <w:vAlign w:val="bottom"/>
            <w:hideMark/>
          </w:tcPr>
          <w:p w14:paraId="32F50BBE" w14:textId="77777777" w:rsidR="00725CD2" w:rsidRPr="00725CD2" w:rsidRDefault="00725CD2" w:rsidP="00725CD2">
            <w:pPr>
              <w:pStyle w:val="Body"/>
              <w:rPr>
                <w:rFonts w:ascii="Arial" w:hAnsi="Arial" w:cs="Arial"/>
                <w:lang w:val="pt-BR"/>
              </w:rPr>
            </w:pPr>
            <w:r w:rsidRPr="00725CD2">
              <w:rPr>
                <w:rFonts w:ascii="Arial" w:hAnsi="Arial" w:cs="Arial"/>
              </w:rPr>
              <w:t>Peri-implantitis (%)</w:t>
            </w:r>
          </w:p>
        </w:tc>
        <w:tc>
          <w:tcPr>
            <w:tcW w:w="1418" w:type="dxa"/>
            <w:shd w:val="clear" w:color="auto" w:fill="auto"/>
            <w:noWrap/>
            <w:vAlign w:val="bottom"/>
            <w:hideMark/>
          </w:tcPr>
          <w:p w14:paraId="7DD04366" w14:textId="77777777" w:rsidR="00725CD2" w:rsidRPr="00725CD2" w:rsidRDefault="00725CD2" w:rsidP="00725CD2">
            <w:pPr>
              <w:pStyle w:val="Body"/>
              <w:rPr>
                <w:rFonts w:ascii="Arial" w:hAnsi="Arial" w:cs="Arial"/>
                <w:lang w:val="pt-BR"/>
              </w:rPr>
            </w:pPr>
            <w:r w:rsidRPr="00725CD2">
              <w:rPr>
                <w:rFonts w:ascii="Arial" w:hAnsi="Arial" w:cs="Arial"/>
              </w:rPr>
              <w:t>Total</w:t>
            </w:r>
          </w:p>
        </w:tc>
        <w:tc>
          <w:tcPr>
            <w:tcW w:w="2552" w:type="dxa"/>
            <w:shd w:val="clear" w:color="auto" w:fill="auto"/>
            <w:noWrap/>
            <w:vAlign w:val="bottom"/>
            <w:hideMark/>
          </w:tcPr>
          <w:p w14:paraId="39B695EB" w14:textId="77777777" w:rsidR="00725CD2" w:rsidRPr="00725CD2" w:rsidRDefault="00725CD2" w:rsidP="00725CD2">
            <w:pPr>
              <w:pStyle w:val="Body"/>
              <w:rPr>
                <w:rFonts w:ascii="Arial" w:hAnsi="Arial" w:cs="Arial"/>
                <w:lang w:val="pt-BR"/>
              </w:rPr>
            </w:pPr>
            <w:r w:rsidRPr="00725CD2">
              <w:rPr>
                <w:rFonts w:ascii="Arial" w:hAnsi="Arial" w:cs="Arial"/>
              </w:rPr>
              <w:t xml:space="preserve">p value </w:t>
            </w:r>
          </w:p>
        </w:tc>
      </w:tr>
      <w:tr w:rsidR="00725CD2" w:rsidRPr="00725CD2" w14:paraId="058E2460" w14:textId="77777777" w:rsidTr="00B048BC">
        <w:trPr>
          <w:trHeight w:val="300"/>
        </w:trPr>
        <w:tc>
          <w:tcPr>
            <w:tcW w:w="2127" w:type="dxa"/>
            <w:shd w:val="clear" w:color="auto" w:fill="auto"/>
            <w:noWrap/>
            <w:vAlign w:val="bottom"/>
            <w:hideMark/>
          </w:tcPr>
          <w:p w14:paraId="63D4E5A7" w14:textId="77777777" w:rsidR="00725CD2" w:rsidRPr="00725CD2" w:rsidRDefault="00725CD2" w:rsidP="00725CD2">
            <w:pPr>
              <w:pStyle w:val="Body"/>
              <w:rPr>
                <w:rFonts w:ascii="Arial" w:hAnsi="Arial" w:cs="Arial"/>
                <w:lang w:val="pt-BR"/>
              </w:rPr>
            </w:pPr>
            <w:r w:rsidRPr="00725CD2">
              <w:rPr>
                <w:rFonts w:ascii="Arial" w:hAnsi="Arial" w:cs="Arial"/>
              </w:rPr>
              <w:t>Male</w:t>
            </w:r>
          </w:p>
        </w:tc>
        <w:tc>
          <w:tcPr>
            <w:tcW w:w="1417" w:type="dxa"/>
            <w:shd w:val="clear" w:color="auto" w:fill="auto"/>
            <w:noWrap/>
            <w:vAlign w:val="bottom"/>
            <w:hideMark/>
          </w:tcPr>
          <w:p w14:paraId="797B1ACB" w14:textId="77777777" w:rsidR="00725CD2" w:rsidRPr="00725CD2" w:rsidRDefault="00725CD2" w:rsidP="00725CD2">
            <w:pPr>
              <w:pStyle w:val="Body"/>
              <w:rPr>
                <w:rFonts w:ascii="Arial" w:hAnsi="Arial" w:cs="Arial"/>
                <w:lang w:val="pt-BR"/>
              </w:rPr>
            </w:pPr>
            <w:r w:rsidRPr="00725CD2">
              <w:rPr>
                <w:rFonts w:ascii="Arial" w:hAnsi="Arial" w:cs="Arial"/>
              </w:rPr>
              <w:t>24 (66.7%)</w:t>
            </w:r>
          </w:p>
        </w:tc>
        <w:tc>
          <w:tcPr>
            <w:tcW w:w="2126" w:type="dxa"/>
            <w:shd w:val="clear" w:color="auto" w:fill="auto"/>
            <w:noWrap/>
            <w:vAlign w:val="bottom"/>
            <w:hideMark/>
          </w:tcPr>
          <w:p w14:paraId="02BFE9DE" w14:textId="77777777" w:rsidR="00725CD2" w:rsidRPr="00725CD2" w:rsidRDefault="00725CD2" w:rsidP="00725CD2">
            <w:pPr>
              <w:pStyle w:val="Body"/>
              <w:rPr>
                <w:rFonts w:ascii="Arial" w:hAnsi="Arial" w:cs="Arial"/>
                <w:lang w:val="pt-BR"/>
              </w:rPr>
            </w:pPr>
            <w:r w:rsidRPr="00725CD2">
              <w:rPr>
                <w:rFonts w:ascii="Arial" w:hAnsi="Arial" w:cs="Arial"/>
              </w:rPr>
              <w:t>21 (56.8%)</w:t>
            </w:r>
          </w:p>
        </w:tc>
        <w:tc>
          <w:tcPr>
            <w:tcW w:w="1418" w:type="dxa"/>
            <w:shd w:val="clear" w:color="auto" w:fill="auto"/>
            <w:noWrap/>
            <w:vAlign w:val="bottom"/>
            <w:hideMark/>
          </w:tcPr>
          <w:p w14:paraId="177B908A" w14:textId="77777777" w:rsidR="00725CD2" w:rsidRPr="00725CD2" w:rsidRDefault="00725CD2" w:rsidP="00725CD2">
            <w:pPr>
              <w:pStyle w:val="Body"/>
              <w:rPr>
                <w:rFonts w:ascii="Arial" w:hAnsi="Arial" w:cs="Arial"/>
                <w:lang w:val="pt-BR"/>
              </w:rPr>
            </w:pPr>
            <w:r w:rsidRPr="00725CD2">
              <w:rPr>
                <w:rFonts w:ascii="Arial" w:hAnsi="Arial" w:cs="Arial"/>
              </w:rPr>
              <w:t>45 (61.6%)</w:t>
            </w:r>
          </w:p>
        </w:tc>
        <w:tc>
          <w:tcPr>
            <w:tcW w:w="2552" w:type="dxa"/>
            <w:shd w:val="clear" w:color="auto" w:fill="auto"/>
            <w:noWrap/>
            <w:vAlign w:val="bottom"/>
            <w:hideMark/>
          </w:tcPr>
          <w:p w14:paraId="7A64BC06" w14:textId="77777777" w:rsidR="00725CD2" w:rsidRPr="00725CD2" w:rsidRDefault="00725CD2" w:rsidP="00725CD2">
            <w:pPr>
              <w:pStyle w:val="Body"/>
              <w:rPr>
                <w:rFonts w:ascii="Arial" w:hAnsi="Arial" w:cs="Arial"/>
                <w:lang w:val="pt-BR"/>
              </w:rPr>
            </w:pPr>
            <w:r w:rsidRPr="00725CD2">
              <w:rPr>
                <w:rFonts w:ascii="Arial" w:hAnsi="Arial" w:cs="Arial"/>
                <w:lang w:val="en"/>
              </w:rPr>
              <w:t>(P = .47)</w:t>
            </w:r>
          </w:p>
        </w:tc>
      </w:tr>
      <w:tr w:rsidR="00725CD2" w:rsidRPr="00725CD2" w14:paraId="1C6736EF" w14:textId="77777777" w:rsidTr="00B048BC">
        <w:trPr>
          <w:trHeight w:val="300"/>
        </w:trPr>
        <w:tc>
          <w:tcPr>
            <w:tcW w:w="2127" w:type="dxa"/>
            <w:shd w:val="clear" w:color="auto" w:fill="auto"/>
            <w:noWrap/>
            <w:vAlign w:val="bottom"/>
            <w:hideMark/>
          </w:tcPr>
          <w:p w14:paraId="39162375" w14:textId="77777777" w:rsidR="00725CD2" w:rsidRPr="00725CD2" w:rsidRDefault="00725CD2" w:rsidP="00725CD2">
            <w:pPr>
              <w:pStyle w:val="Body"/>
              <w:rPr>
                <w:rFonts w:ascii="Arial" w:hAnsi="Arial" w:cs="Arial"/>
                <w:lang w:val="pt-BR"/>
              </w:rPr>
            </w:pPr>
            <w:r w:rsidRPr="00725CD2">
              <w:rPr>
                <w:rFonts w:ascii="Arial" w:hAnsi="Arial" w:cs="Arial"/>
              </w:rPr>
              <w:t>Female</w:t>
            </w:r>
          </w:p>
        </w:tc>
        <w:tc>
          <w:tcPr>
            <w:tcW w:w="1417" w:type="dxa"/>
            <w:shd w:val="clear" w:color="auto" w:fill="auto"/>
            <w:noWrap/>
            <w:vAlign w:val="bottom"/>
            <w:hideMark/>
          </w:tcPr>
          <w:p w14:paraId="215B1C44" w14:textId="77777777" w:rsidR="00725CD2" w:rsidRPr="00725CD2" w:rsidRDefault="00725CD2" w:rsidP="00725CD2">
            <w:pPr>
              <w:pStyle w:val="Body"/>
              <w:rPr>
                <w:rFonts w:ascii="Arial" w:hAnsi="Arial" w:cs="Arial"/>
                <w:lang w:val="pt-BR"/>
              </w:rPr>
            </w:pPr>
            <w:r w:rsidRPr="00725CD2">
              <w:rPr>
                <w:rFonts w:ascii="Arial" w:hAnsi="Arial" w:cs="Arial"/>
              </w:rPr>
              <w:t>12 (33.3%)</w:t>
            </w:r>
          </w:p>
        </w:tc>
        <w:tc>
          <w:tcPr>
            <w:tcW w:w="2126" w:type="dxa"/>
            <w:shd w:val="clear" w:color="auto" w:fill="auto"/>
            <w:noWrap/>
            <w:vAlign w:val="bottom"/>
            <w:hideMark/>
          </w:tcPr>
          <w:p w14:paraId="3F583199" w14:textId="77777777" w:rsidR="00725CD2" w:rsidRPr="00725CD2" w:rsidRDefault="00725CD2" w:rsidP="00725CD2">
            <w:pPr>
              <w:pStyle w:val="Body"/>
              <w:rPr>
                <w:rFonts w:ascii="Arial" w:hAnsi="Arial" w:cs="Arial"/>
                <w:lang w:val="pt-BR"/>
              </w:rPr>
            </w:pPr>
            <w:r w:rsidRPr="00725CD2">
              <w:rPr>
                <w:rFonts w:ascii="Arial" w:hAnsi="Arial" w:cs="Arial"/>
              </w:rPr>
              <w:t>16 (43.2%)</w:t>
            </w:r>
          </w:p>
        </w:tc>
        <w:tc>
          <w:tcPr>
            <w:tcW w:w="1418" w:type="dxa"/>
            <w:shd w:val="clear" w:color="auto" w:fill="auto"/>
            <w:noWrap/>
            <w:vAlign w:val="bottom"/>
            <w:hideMark/>
          </w:tcPr>
          <w:p w14:paraId="35738CB4" w14:textId="77777777" w:rsidR="00725CD2" w:rsidRPr="00725CD2" w:rsidRDefault="00725CD2" w:rsidP="00725CD2">
            <w:pPr>
              <w:pStyle w:val="Body"/>
              <w:rPr>
                <w:rFonts w:ascii="Arial" w:hAnsi="Arial" w:cs="Arial"/>
                <w:lang w:val="pt-BR"/>
              </w:rPr>
            </w:pPr>
            <w:r w:rsidRPr="00725CD2">
              <w:rPr>
                <w:rFonts w:ascii="Arial" w:hAnsi="Arial" w:cs="Arial"/>
              </w:rPr>
              <w:t>28 (38.4%)</w:t>
            </w:r>
          </w:p>
        </w:tc>
        <w:tc>
          <w:tcPr>
            <w:tcW w:w="2552" w:type="dxa"/>
            <w:shd w:val="clear" w:color="auto" w:fill="auto"/>
            <w:noWrap/>
            <w:vAlign w:val="bottom"/>
            <w:hideMark/>
          </w:tcPr>
          <w:p w14:paraId="2CE9B23A"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5F683135" w14:textId="77777777" w:rsidTr="00B048BC">
        <w:trPr>
          <w:trHeight w:val="300"/>
        </w:trPr>
        <w:tc>
          <w:tcPr>
            <w:tcW w:w="2127" w:type="dxa"/>
            <w:shd w:val="clear" w:color="auto" w:fill="auto"/>
            <w:noWrap/>
            <w:vAlign w:val="bottom"/>
            <w:hideMark/>
          </w:tcPr>
          <w:p w14:paraId="3EB33CD3" w14:textId="77777777" w:rsidR="00725CD2" w:rsidRPr="00725CD2" w:rsidRDefault="00725CD2" w:rsidP="00725CD2">
            <w:pPr>
              <w:pStyle w:val="Body"/>
              <w:rPr>
                <w:rFonts w:ascii="Arial" w:hAnsi="Arial" w:cs="Arial"/>
                <w:lang w:val="pt-BR"/>
              </w:rPr>
            </w:pPr>
            <w:r w:rsidRPr="00725CD2">
              <w:rPr>
                <w:rFonts w:ascii="Arial" w:hAnsi="Arial" w:cs="Arial"/>
              </w:rPr>
              <w:t xml:space="preserve">Age </w:t>
            </w:r>
          </w:p>
        </w:tc>
        <w:tc>
          <w:tcPr>
            <w:tcW w:w="1417" w:type="dxa"/>
            <w:shd w:val="clear" w:color="auto" w:fill="auto"/>
            <w:noWrap/>
            <w:vAlign w:val="bottom"/>
            <w:hideMark/>
          </w:tcPr>
          <w:p w14:paraId="7D3147DC" w14:textId="77777777" w:rsidR="00725CD2" w:rsidRPr="00725CD2" w:rsidRDefault="00725CD2" w:rsidP="00725CD2">
            <w:pPr>
              <w:pStyle w:val="Body"/>
              <w:rPr>
                <w:rFonts w:ascii="Arial" w:hAnsi="Arial" w:cs="Arial"/>
                <w:lang w:val="pt-BR"/>
              </w:rPr>
            </w:pPr>
            <w:r w:rsidRPr="00725CD2">
              <w:rPr>
                <w:rFonts w:ascii="Arial" w:hAnsi="Arial" w:cs="Arial"/>
              </w:rPr>
              <w:t>35.9</w:t>
            </w:r>
          </w:p>
        </w:tc>
        <w:tc>
          <w:tcPr>
            <w:tcW w:w="2126" w:type="dxa"/>
            <w:shd w:val="clear" w:color="auto" w:fill="auto"/>
            <w:noWrap/>
            <w:vAlign w:val="bottom"/>
            <w:hideMark/>
          </w:tcPr>
          <w:p w14:paraId="669EC1A0" w14:textId="77777777" w:rsidR="00725CD2" w:rsidRPr="00725CD2" w:rsidRDefault="00725CD2" w:rsidP="00725CD2">
            <w:pPr>
              <w:pStyle w:val="Body"/>
              <w:rPr>
                <w:rFonts w:ascii="Arial" w:hAnsi="Arial" w:cs="Arial"/>
                <w:lang w:val="pt-BR"/>
              </w:rPr>
            </w:pPr>
            <w:r w:rsidRPr="00725CD2">
              <w:rPr>
                <w:rFonts w:ascii="Arial" w:hAnsi="Arial" w:cs="Arial"/>
              </w:rPr>
              <w:t>36.2</w:t>
            </w:r>
          </w:p>
        </w:tc>
        <w:tc>
          <w:tcPr>
            <w:tcW w:w="1418" w:type="dxa"/>
            <w:shd w:val="clear" w:color="auto" w:fill="auto"/>
            <w:noWrap/>
            <w:vAlign w:val="bottom"/>
            <w:hideMark/>
          </w:tcPr>
          <w:p w14:paraId="7376F6F5"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35ECFB0F" w14:textId="77777777" w:rsidR="00725CD2" w:rsidRPr="00725CD2" w:rsidRDefault="00725CD2" w:rsidP="00725CD2">
            <w:pPr>
              <w:pStyle w:val="Body"/>
              <w:rPr>
                <w:rFonts w:ascii="Arial" w:hAnsi="Arial" w:cs="Arial"/>
                <w:lang w:val="pt-BR"/>
              </w:rPr>
            </w:pPr>
            <w:r w:rsidRPr="00725CD2">
              <w:rPr>
                <w:rFonts w:ascii="Arial" w:hAnsi="Arial" w:cs="Arial"/>
                <w:lang w:val="en"/>
              </w:rPr>
              <w:t>(P = .71)</w:t>
            </w:r>
          </w:p>
        </w:tc>
      </w:tr>
      <w:tr w:rsidR="00725CD2" w:rsidRPr="00725CD2" w14:paraId="293907E7" w14:textId="77777777" w:rsidTr="00B048BC">
        <w:trPr>
          <w:trHeight w:val="300"/>
        </w:trPr>
        <w:tc>
          <w:tcPr>
            <w:tcW w:w="2127" w:type="dxa"/>
            <w:shd w:val="clear" w:color="auto" w:fill="auto"/>
            <w:noWrap/>
            <w:vAlign w:val="bottom"/>
            <w:hideMark/>
          </w:tcPr>
          <w:p w14:paraId="3B34B863" w14:textId="77777777" w:rsidR="00725CD2" w:rsidRPr="00725CD2" w:rsidRDefault="00725CD2" w:rsidP="00725CD2">
            <w:pPr>
              <w:pStyle w:val="Body"/>
              <w:rPr>
                <w:rFonts w:ascii="Arial" w:hAnsi="Arial" w:cs="Arial"/>
                <w:lang w:val="pt-BR"/>
              </w:rPr>
            </w:pPr>
            <w:bookmarkStart w:id="9" w:name="_Hlk135376675"/>
            <w:r w:rsidRPr="00725CD2">
              <w:rPr>
                <w:rFonts w:ascii="Arial" w:hAnsi="Arial" w:cs="Arial"/>
              </w:rPr>
              <w:t xml:space="preserve">Position </w:t>
            </w:r>
          </w:p>
        </w:tc>
        <w:tc>
          <w:tcPr>
            <w:tcW w:w="1417" w:type="dxa"/>
            <w:shd w:val="clear" w:color="auto" w:fill="auto"/>
            <w:noWrap/>
            <w:vAlign w:val="bottom"/>
            <w:hideMark/>
          </w:tcPr>
          <w:p w14:paraId="70928AA6" w14:textId="77777777" w:rsidR="00725CD2" w:rsidRPr="00725CD2" w:rsidRDefault="00725CD2" w:rsidP="00725CD2">
            <w:pPr>
              <w:pStyle w:val="Body"/>
              <w:rPr>
                <w:rFonts w:ascii="Arial" w:hAnsi="Arial" w:cs="Arial"/>
                <w:lang w:val="pt-BR"/>
              </w:rPr>
            </w:pPr>
          </w:p>
        </w:tc>
        <w:tc>
          <w:tcPr>
            <w:tcW w:w="2126" w:type="dxa"/>
            <w:shd w:val="clear" w:color="auto" w:fill="auto"/>
            <w:noWrap/>
            <w:vAlign w:val="bottom"/>
            <w:hideMark/>
          </w:tcPr>
          <w:p w14:paraId="40DDF698" w14:textId="77777777" w:rsidR="00725CD2" w:rsidRPr="00725CD2" w:rsidRDefault="00725CD2" w:rsidP="00725CD2">
            <w:pPr>
              <w:pStyle w:val="Body"/>
              <w:rPr>
                <w:rFonts w:ascii="Arial" w:hAnsi="Arial" w:cs="Arial"/>
                <w:lang w:val="pt-BR"/>
              </w:rPr>
            </w:pPr>
          </w:p>
        </w:tc>
        <w:tc>
          <w:tcPr>
            <w:tcW w:w="1418" w:type="dxa"/>
            <w:shd w:val="clear" w:color="auto" w:fill="auto"/>
            <w:noWrap/>
            <w:vAlign w:val="bottom"/>
            <w:hideMark/>
          </w:tcPr>
          <w:p w14:paraId="1E49FB77"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1740BA55"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5594BE90" w14:textId="77777777" w:rsidTr="00B048BC">
        <w:trPr>
          <w:trHeight w:val="300"/>
        </w:trPr>
        <w:tc>
          <w:tcPr>
            <w:tcW w:w="2127" w:type="dxa"/>
            <w:shd w:val="clear" w:color="auto" w:fill="auto"/>
            <w:noWrap/>
            <w:vAlign w:val="bottom"/>
            <w:hideMark/>
          </w:tcPr>
          <w:p w14:paraId="0BF0E52A" w14:textId="77777777" w:rsidR="00725CD2" w:rsidRPr="00725CD2" w:rsidRDefault="00725CD2" w:rsidP="00725CD2">
            <w:pPr>
              <w:pStyle w:val="Body"/>
              <w:rPr>
                <w:rFonts w:ascii="Arial" w:hAnsi="Arial" w:cs="Arial"/>
                <w:lang w:val="pt-BR"/>
              </w:rPr>
            </w:pPr>
            <w:r w:rsidRPr="00725CD2">
              <w:rPr>
                <w:rFonts w:ascii="Arial" w:hAnsi="Arial" w:cs="Arial"/>
              </w:rPr>
              <w:t>Superior</w:t>
            </w:r>
          </w:p>
        </w:tc>
        <w:tc>
          <w:tcPr>
            <w:tcW w:w="1417" w:type="dxa"/>
            <w:shd w:val="clear" w:color="auto" w:fill="auto"/>
            <w:noWrap/>
            <w:vAlign w:val="bottom"/>
            <w:hideMark/>
          </w:tcPr>
          <w:p w14:paraId="3394313C" w14:textId="77777777" w:rsidR="00725CD2" w:rsidRPr="00725CD2" w:rsidRDefault="00725CD2" w:rsidP="00725CD2">
            <w:pPr>
              <w:pStyle w:val="Body"/>
              <w:rPr>
                <w:rFonts w:ascii="Arial" w:hAnsi="Arial" w:cs="Arial"/>
                <w:lang w:val="pt-BR"/>
              </w:rPr>
            </w:pPr>
            <w:r w:rsidRPr="00725CD2">
              <w:rPr>
                <w:rFonts w:ascii="Arial" w:hAnsi="Arial" w:cs="Arial"/>
              </w:rPr>
              <w:t>14 (38.9%)</w:t>
            </w:r>
          </w:p>
        </w:tc>
        <w:tc>
          <w:tcPr>
            <w:tcW w:w="2126" w:type="dxa"/>
            <w:shd w:val="clear" w:color="auto" w:fill="auto"/>
            <w:noWrap/>
            <w:vAlign w:val="bottom"/>
            <w:hideMark/>
          </w:tcPr>
          <w:p w14:paraId="57318E62" w14:textId="77777777" w:rsidR="00725CD2" w:rsidRPr="00725CD2" w:rsidRDefault="00725CD2" w:rsidP="00725CD2">
            <w:pPr>
              <w:pStyle w:val="Body"/>
              <w:rPr>
                <w:rFonts w:ascii="Arial" w:hAnsi="Arial" w:cs="Arial"/>
                <w:lang w:val="pt-BR"/>
              </w:rPr>
            </w:pPr>
            <w:r w:rsidRPr="00725CD2">
              <w:rPr>
                <w:rFonts w:ascii="Arial" w:hAnsi="Arial" w:cs="Arial"/>
              </w:rPr>
              <w:t>14 (37.8%)</w:t>
            </w:r>
          </w:p>
        </w:tc>
        <w:tc>
          <w:tcPr>
            <w:tcW w:w="1418" w:type="dxa"/>
            <w:shd w:val="clear" w:color="auto" w:fill="auto"/>
            <w:noWrap/>
            <w:vAlign w:val="bottom"/>
            <w:hideMark/>
          </w:tcPr>
          <w:p w14:paraId="2330194C" w14:textId="77777777" w:rsidR="00725CD2" w:rsidRPr="00725CD2" w:rsidRDefault="00725CD2" w:rsidP="00725CD2">
            <w:pPr>
              <w:pStyle w:val="Body"/>
              <w:rPr>
                <w:rFonts w:ascii="Arial" w:hAnsi="Arial" w:cs="Arial"/>
                <w:lang w:val="pt-BR"/>
              </w:rPr>
            </w:pPr>
            <w:r w:rsidRPr="00725CD2">
              <w:rPr>
                <w:rFonts w:ascii="Arial" w:hAnsi="Arial" w:cs="Arial"/>
              </w:rPr>
              <w:t>28 (38.4%)</w:t>
            </w:r>
          </w:p>
        </w:tc>
        <w:tc>
          <w:tcPr>
            <w:tcW w:w="2552" w:type="dxa"/>
            <w:shd w:val="clear" w:color="auto" w:fill="auto"/>
            <w:noWrap/>
            <w:vAlign w:val="bottom"/>
            <w:hideMark/>
          </w:tcPr>
          <w:p w14:paraId="07474E55" w14:textId="77777777" w:rsidR="00725CD2" w:rsidRPr="00725CD2" w:rsidRDefault="00725CD2" w:rsidP="00725CD2">
            <w:pPr>
              <w:pStyle w:val="Body"/>
              <w:rPr>
                <w:rFonts w:ascii="Arial" w:hAnsi="Arial" w:cs="Arial"/>
                <w:lang w:val="pt-BR"/>
              </w:rPr>
            </w:pPr>
            <w:r w:rsidRPr="00725CD2">
              <w:rPr>
                <w:rFonts w:ascii="Arial" w:hAnsi="Arial" w:cs="Arial"/>
                <w:lang w:val="en"/>
              </w:rPr>
              <w:t>(P = 1)</w:t>
            </w:r>
          </w:p>
        </w:tc>
      </w:tr>
      <w:tr w:rsidR="00725CD2" w:rsidRPr="00725CD2" w14:paraId="795D4711" w14:textId="77777777" w:rsidTr="00B048BC">
        <w:trPr>
          <w:trHeight w:val="300"/>
        </w:trPr>
        <w:tc>
          <w:tcPr>
            <w:tcW w:w="2127" w:type="dxa"/>
            <w:shd w:val="clear" w:color="auto" w:fill="auto"/>
            <w:noWrap/>
            <w:vAlign w:val="bottom"/>
            <w:hideMark/>
          </w:tcPr>
          <w:p w14:paraId="465F702E" w14:textId="77777777" w:rsidR="00725CD2" w:rsidRPr="00725CD2" w:rsidRDefault="00725CD2" w:rsidP="00725CD2">
            <w:pPr>
              <w:pStyle w:val="Body"/>
              <w:rPr>
                <w:rFonts w:ascii="Arial" w:hAnsi="Arial" w:cs="Arial"/>
                <w:lang w:val="pt-BR"/>
              </w:rPr>
            </w:pPr>
            <w:r w:rsidRPr="00725CD2">
              <w:rPr>
                <w:rFonts w:ascii="Arial" w:hAnsi="Arial" w:cs="Arial"/>
              </w:rPr>
              <w:t>Inferior</w:t>
            </w:r>
          </w:p>
        </w:tc>
        <w:tc>
          <w:tcPr>
            <w:tcW w:w="1417" w:type="dxa"/>
            <w:shd w:val="clear" w:color="auto" w:fill="auto"/>
            <w:noWrap/>
            <w:vAlign w:val="bottom"/>
            <w:hideMark/>
          </w:tcPr>
          <w:p w14:paraId="565F74B1" w14:textId="77777777" w:rsidR="00725CD2" w:rsidRPr="00725CD2" w:rsidRDefault="00725CD2" w:rsidP="00725CD2">
            <w:pPr>
              <w:pStyle w:val="Body"/>
              <w:rPr>
                <w:rFonts w:ascii="Arial" w:hAnsi="Arial" w:cs="Arial"/>
                <w:lang w:val="pt-BR"/>
              </w:rPr>
            </w:pPr>
            <w:r w:rsidRPr="00725CD2">
              <w:rPr>
                <w:rFonts w:ascii="Arial" w:hAnsi="Arial" w:cs="Arial"/>
              </w:rPr>
              <w:t>22 (61.1%)</w:t>
            </w:r>
          </w:p>
        </w:tc>
        <w:tc>
          <w:tcPr>
            <w:tcW w:w="2126" w:type="dxa"/>
            <w:shd w:val="clear" w:color="auto" w:fill="auto"/>
            <w:noWrap/>
            <w:vAlign w:val="bottom"/>
            <w:hideMark/>
          </w:tcPr>
          <w:p w14:paraId="270C9E4B" w14:textId="77777777" w:rsidR="00725CD2" w:rsidRPr="00725CD2" w:rsidRDefault="00725CD2" w:rsidP="00725CD2">
            <w:pPr>
              <w:pStyle w:val="Body"/>
              <w:rPr>
                <w:rFonts w:ascii="Arial" w:hAnsi="Arial" w:cs="Arial"/>
                <w:lang w:val="pt-BR"/>
              </w:rPr>
            </w:pPr>
            <w:r w:rsidRPr="00725CD2">
              <w:rPr>
                <w:rFonts w:ascii="Arial" w:hAnsi="Arial" w:cs="Arial"/>
              </w:rPr>
              <w:t>23 (62.2%)</w:t>
            </w:r>
          </w:p>
        </w:tc>
        <w:tc>
          <w:tcPr>
            <w:tcW w:w="1418" w:type="dxa"/>
            <w:shd w:val="clear" w:color="auto" w:fill="auto"/>
            <w:noWrap/>
            <w:vAlign w:val="bottom"/>
            <w:hideMark/>
          </w:tcPr>
          <w:p w14:paraId="2A215D9E" w14:textId="77777777" w:rsidR="00725CD2" w:rsidRPr="00725CD2" w:rsidRDefault="00725CD2" w:rsidP="00725CD2">
            <w:pPr>
              <w:pStyle w:val="Body"/>
              <w:rPr>
                <w:rFonts w:ascii="Arial" w:hAnsi="Arial" w:cs="Arial"/>
                <w:lang w:val="pt-BR"/>
              </w:rPr>
            </w:pPr>
            <w:r w:rsidRPr="00725CD2">
              <w:rPr>
                <w:rFonts w:ascii="Arial" w:hAnsi="Arial" w:cs="Arial"/>
              </w:rPr>
              <w:t>45 (61.6%)</w:t>
            </w:r>
          </w:p>
        </w:tc>
        <w:tc>
          <w:tcPr>
            <w:tcW w:w="2552" w:type="dxa"/>
            <w:shd w:val="clear" w:color="auto" w:fill="auto"/>
            <w:noWrap/>
            <w:vAlign w:val="bottom"/>
            <w:hideMark/>
          </w:tcPr>
          <w:p w14:paraId="5D113CFB"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5CE1FC2C" w14:textId="77777777" w:rsidTr="00B048BC">
        <w:trPr>
          <w:trHeight w:val="300"/>
        </w:trPr>
        <w:tc>
          <w:tcPr>
            <w:tcW w:w="2127" w:type="dxa"/>
            <w:shd w:val="clear" w:color="auto" w:fill="auto"/>
            <w:noWrap/>
            <w:vAlign w:val="bottom"/>
            <w:hideMark/>
          </w:tcPr>
          <w:p w14:paraId="0A7C47DF" w14:textId="77777777" w:rsidR="00725CD2" w:rsidRPr="00725CD2" w:rsidRDefault="00725CD2" w:rsidP="00725CD2">
            <w:pPr>
              <w:pStyle w:val="Body"/>
              <w:rPr>
                <w:rFonts w:ascii="Arial" w:hAnsi="Arial" w:cs="Arial"/>
                <w:lang w:val="pt-BR"/>
              </w:rPr>
            </w:pPr>
            <w:r w:rsidRPr="00725CD2">
              <w:rPr>
                <w:rFonts w:ascii="Arial" w:hAnsi="Arial" w:cs="Arial"/>
              </w:rPr>
              <w:t>Anterior</w:t>
            </w:r>
          </w:p>
        </w:tc>
        <w:tc>
          <w:tcPr>
            <w:tcW w:w="1417" w:type="dxa"/>
            <w:shd w:val="clear" w:color="auto" w:fill="auto"/>
            <w:noWrap/>
            <w:vAlign w:val="bottom"/>
            <w:hideMark/>
          </w:tcPr>
          <w:p w14:paraId="5CDDF0AE" w14:textId="77777777" w:rsidR="00725CD2" w:rsidRPr="00725CD2" w:rsidRDefault="00725CD2" w:rsidP="00725CD2">
            <w:pPr>
              <w:pStyle w:val="Body"/>
              <w:rPr>
                <w:rFonts w:ascii="Arial" w:hAnsi="Arial" w:cs="Arial"/>
                <w:lang w:val="pt-BR"/>
              </w:rPr>
            </w:pPr>
            <w:r w:rsidRPr="00725CD2">
              <w:rPr>
                <w:rFonts w:ascii="Arial" w:hAnsi="Arial" w:cs="Arial"/>
              </w:rPr>
              <w:t>15 (41.7%)</w:t>
            </w:r>
          </w:p>
        </w:tc>
        <w:tc>
          <w:tcPr>
            <w:tcW w:w="2126" w:type="dxa"/>
            <w:shd w:val="clear" w:color="auto" w:fill="auto"/>
            <w:noWrap/>
            <w:vAlign w:val="bottom"/>
            <w:hideMark/>
          </w:tcPr>
          <w:p w14:paraId="496725AB" w14:textId="77777777" w:rsidR="00725CD2" w:rsidRPr="00725CD2" w:rsidRDefault="00725CD2" w:rsidP="00725CD2">
            <w:pPr>
              <w:pStyle w:val="Body"/>
              <w:rPr>
                <w:rFonts w:ascii="Arial" w:hAnsi="Arial" w:cs="Arial"/>
                <w:lang w:val="pt-BR"/>
              </w:rPr>
            </w:pPr>
            <w:r w:rsidRPr="00725CD2">
              <w:rPr>
                <w:rFonts w:ascii="Arial" w:hAnsi="Arial" w:cs="Arial"/>
              </w:rPr>
              <w:t>8 (21.6%)</w:t>
            </w:r>
          </w:p>
        </w:tc>
        <w:tc>
          <w:tcPr>
            <w:tcW w:w="1418" w:type="dxa"/>
            <w:shd w:val="clear" w:color="auto" w:fill="auto"/>
            <w:noWrap/>
            <w:vAlign w:val="bottom"/>
            <w:hideMark/>
          </w:tcPr>
          <w:p w14:paraId="151CDE86" w14:textId="77777777" w:rsidR="00725CD2" w:rsidRPr="00725CD2" w:rsidRDefault="00725CD2" w:rsidP="00725CD2">
            <w:pPr>
              <w:pStyle w:val="Body"/>
              <w:rPr>
                <w:rFonts w:ascii="Arial" w:hAnsi="Arial" w:cs="Arial"/>
                <w:lang w:val="pt-BR"/>
              </w:rPr>
            </w:pPr>
            <w:r w:rsidRPr="00725CD2">
              <w:rPr>
                <w:rFonts w:ascii="Arial" w:hAnsi="Arial" w:cs="Arial"/>
              </w:rPr>
              <w:t>23 (31.5%)</w:t>
            </w:r>
          </w:p>
        </w:tc>
        <w:tc>
          <w:tcPr>
            <w:tcW w:w="2552" w:type="dxa"/>
            <w:shd w:val="clear" w:color="auto" w:fill="auto"/>
            <w:noWrap/>
            <w:vAlign w:val="bottom"/>
            <w:hideMark/>
          </w:tcPr>
          <w:p w14:paraId="0F918683" w14:textId="77777777" w:rsidR="00725CD2" w:rsidRPr="00725CD2" w:rsidRDefault="00725CD2" w:rsidP="00725CD2">
            <w:pPr>
              <w:pStyle w:val="Body"/>
              <w:rPr>
                <w:rFonts w:ascii="Arial" w:hAnsi="Arial" w:cs="Arial"/>
                <w:lang w:val="pt-BR"/>
              </w:rPr>
            </w:pPr>
            <w:r w:rsidRPr="00725CD2">
              <w:rPr>
                <w:rFonts w:ascii="Arial" w:hAnsi="Arial" w:cs="Arial"/>
                <w:lang w:val="en"/>
              </w:rPr>
              <w:t>(P = .08)</w:t>
            </w:r>
          </w:p>
        </w:tc>
      </w:tr>
      <w:tr w:rsidR="00725CD2" w:rsidRPr="00725CD2" w14:paraId="48C316B2" w14:textId="77777777" w:rsidTr="00B048BC">
        <w:trPr>
          <w:trHeight w:val="300"/>
        </w:trPr>
        <w:tc>
          <w:tcPr>
            <w:tcW w:w="2127" w:type="dxa"/>
            <w:shd w:val="clear" w:color="auto" w:fill="auto"/>
            <w:noWrap/>
            <w:vAlign w:val="bottom"/>
            <w:hideMark/>
          </w:tcPr>
          <w:p w14:paraId="649400BE" w14:textId="77777777" w:rsidR="00725CD2" w:rsidRPr="00725CD2" w:rsidRDefault="00725CD2" w:rsidP="00725CD2">
            <w:pPr>
              <w:pStyle w:val="Body"/>
              <w:rPr>
                <w:rFonts w:ascii="Arial" w:hAnsi="Arial" w:cs="Arial"/>
                <w:lang w:val="pt-BR"/>
              </w:rPr>
            </w:pPr>
            <w:r w:rsidRPr="00725CD2">
              <w:rPr>
                <w:rFonts w:ascii="Arial" w:hAnsi="Arial" w:cs="Arial"/>
              </w:rPr>
              <w:t>Posterior</w:t>
            </w:r>
          </w:p>
        </w:tc>
        <w:tc>
          <w:tcPr>
            <w:tcW w:w="1417" w:type="dxa"/>
            <w:shd w:val="clear" w:color="auto" w:fill="auto"/>
            <w:noWrap/>
            <w:vAlign w:val="bottom"/>
            <w:hideMark/>
          </w:tcPr>
          <w:p w14:paraId="1CED7448" w14:textId="77777777" w:rsidR="00725CD2" w:rsidRPr="00725CD2" w:rsidRDefault="00725CD2" w:rsidP="00725CD2">
            <w:pPr>
              <w:pStyle w:val="Body"/>
              <w:rPr>
                <w:rFonts w:ascii="Arial" w:hAnsi="Arial" w:cs="Arial"/>
                <w:lang w:val="pt-BR"/>
              </w:rPr>
            </w:pPr>
            <w:r w:rsidRPr="00725CD2">
              <w:rPr>
                <w:rFonts w:ascii="Arial" w:hAnsi="Arial" w:cs="Arial"/>
              </w:rPr>
              <w:t>21 (58.3%)</w:t>
            </w:r>
          </w:p>
        </w:tc>
        <w:tc>
          <w:tcPr>
            <w:tcW w:w="2126" w:type="dxa"/>
            <w:shd w:val="clear" w:color="auto" w:fill="auto"/>
            <w:noWrap/>
            <w:vAlign w:val="bottom"/>
            <w:hideMark/>
          </w:tcPr>
          <w:p w14:paraId="5C92C047" w14:textId="77777777" w:rsidR="00725CD2" w:rsidRPr="00725CD2" w:rsidRDefault="00725CD2" w:rsidP="00725CD2">
            <w:pPr>
              <w:pStyle w:val="Body"/>
              <w:rPr>
                <w:rFonts w:ascii="Arial" w:hAnsi="Arial" w:cs="Arial"/>
                <w:lang w:val="pt-BR"/>
              </w:rPr>
            </w:pPr>
            <w:r w:rsidRPr="00725CD2">
              <w:rPr>
                <w:rFonts w:ascii="Arial" w:hAnsi="Arial" w:cs="Arial"/>
              </w:rPr>
              <w:t>29 (78.4%)</w:t>
            </w:r>
          </w:p>
        </w:tc>
        <w:tc>
          <w:tcPr>
            <w:tcW w:w="1418" w:type="dxa"/>
            <w:shd w:val="clear" w:color="auto" w:fill="auto"/>
            <w:noWrap/>
            <w:vAlign w:val="bottom"/>
            <w:hideMark/>
          </w:tcPr>
          <w:p w14:paraId="04E740A2" w14:textId="77777777" w:rsidR="00725CD2" w:rsidRPr="00725CD2" w:rsidRDefault="00725CD2" w:rsidP="00725CD2">
            <w:pPr>
              <w:pStyle w:val="Body"/>
              <w:rPr>
                <w:rFonts w:ascii="Arial" w:hAnsi="Arial" w:cs="Arial"/>
                <w:lang w:val="pt-BR"/>
              </w:rPr>
            </w:pPr>
            <w:r w:rsidRPr="00725CD2">
              <w:rPr>
                <w:rFonts w:ascii="Arial" w:hAnsi="Arial" w:cs="Arial"/>
              </w:rPr>
              <w:t>50 (68.5%)</w:t>
            </w:r>
          </w:p>
        </w:tc>
        <w:tc>
          <w:tcPr>
            <w:tcW w:w="2552" w:type="dxa"/>
            <w:shd w:val="clear" w:color="auto" w:fill="auto"/>
            <w:noWrap/>
            <w:vAlign w:val="bottom"/>
            <w:hideMark/>
          </w:tcPr>
          <w:p w14:paraId="36A73C5A"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7C9B6F6B" w14:textId="77777777" w:rsidTr="00B048BC">
        <w:trPr>
          <w:trHeight w:val="300"/>
        </w:trPr>
        <w:tc>
          <w:tcPr>
            <w:tcW w:w="2127" w:type="dxa"/>
            <w:shd w:val="clear" w:color="auto" w:fill="auto"/>
            <w:noWrap/>
            <w:vAlign w:val="bottom"/>
            <w:hideMark/>
          </w:tcPr>
          <w:p w14:paraId="7F4A87DF" w14:textId="77777777" w:rsidR="00725CD2" w:rsidRPr="00725CD2" w:rsidRDefault="00725CD2" w:rsidP="00725CD2">
            <w:pPr>
              <w:pStyle w:val="Body"/>
              <w:rPr>
                <w:rFonts w:ascii="Arial" w:hAnsi="Arial" w:cs="Arial"/>
                <w:lang w:val="pt-BR"/>
              </w:rPr>
            </w:pPr>
            <w:r w:rsidRPr="00725CD2">
              <w:rPr>
                <w:rFonts w:ascii="Arial" w:hAnsi="Arial" w:cs="Arial"/>
              </w:rPr>
              <w:t xml:space="preserve">Plaque index </w:t>
            </w:r>
          </w:p>
        </w:tc>
        <w:tc>
          <w:tcPr>
            <w:tcW w:w="1417" w:type="dxa"/>
            <w:shd w:val="clear" w:color="auto" w:fill="auto"/>
            <w:noWrap/>
            <w:vAlign w:val="bottom"/>
            <w:hideMark/>
          </w:tcPr>
          <w:p w14:paraId="694B74B7" w14:textId="77777777" w:rsidR="00725CD2" w:rsidRPr="00725CD2" w:rsidRDefault="00725CD2" w:rsidP="00725CD2">
            <w:pPr>
              <w:pStyle w:val="Body"/>
              <w:rPr>
                <w:rFonts w:ascii="Arial" w:hAnsi="Arial" w:cs="Arial"/>
                <w:lang w:val="pt-BR"/>
              </w:rPr>
            </w:pPr>
          </w:p>
        </w:tc>
        <w:tc>
          <w:tcPr>
            <w:tcW w:w="2126" w:type="dxa"/>
            <w:shd w:val="clear" w:color="auto" w:fill="auto"/>
            <w:noWrap/>
            <w:vAlign w:val="bottom"/>
            <w:hideMark/>
          </w:tcPr>
          <w:p w14:paraId="0EC97051" w14:textId="77777777" w:rsidR="00725CD2" w:rsidRPr="00725CD2" w:rsidRDefault="00725CD2" w:rsidP="00725CD2">
            <w:pPr>
              <w:pStyle w:val="Body"/>
              <w:rPr>
                <w:rFonts w:ascii="Arial" w:hAnsi="Arial" w:cs="Arial"/>
                <w:lang w:val="pt-BR"/>
              </w:rPr>
            </w:pPr>
          </w:p>
        </w:tc>
        <w:tc>
          <w:tcPr>
            <w:tcW w:w="1418" w:type="dxa"/>
            <w:shd w:val="clear" w:color="auto" w:fill="auto"/>
            <w:noWrap/>
            <w:vAlign w:val="bottom"/>
            <w:hideMark/>
          </w:tcPr>
          <w:p w14:paraId="60E6931D"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08A6A883"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4D3AFC52" w14:textId="77777777" w:rsidTr="00B048BC">
        <w:trPr>
          <w:trHeight w:val="300"/>
        </w:trPr>
        <w:tc>
          <w:tcPr>
            <w:tcW w:w="2127" w:type="dxa"/>
            <w:shd w:val="clear" w:color="auto" w:fill="auto"/>
            <w:noWrap/>
            <w:vAlign w:val="bottom"/>
            <w:hideMark/>
          </w:tcPr>
          <w:p w14:paraId="720E6729" w14:textId="77777777" w:rsidR="00725CD2" w:rsidRPr="00725CD2" w:rsidRDefault="00725CD2" w:rsidP="00725CD2">
            <w:pPr>
              <w:pStyle w:val="Body"/>
              <w:rPr>
                <w:rFonts w:ascii="Arial" w:hAnsi="Arial" w:cs="Arial"/>
                <w:lang w:val="pt-BR"/>
              </w:rPr>
            </w:pPr>
            <w:r w:rsidRPr="00725CD2">
              <w:rPr>
                <w:rFonts w:ascii="Arial" w:hAnsi="Arial" w:cs="Arial"/>
              </w:rPr>
              <w:t>No</w:t>
            </w:r>
          </w:p>
        </w:tc>
        <w:tc>
          <w:tcPr>
            <w:tcW w:w="1417" w:type="dxa"/>
            <w:shd w:val="clear" w:color="auto" w:fill="auto"/>
            <w:noWrap/>
            <w:vAlign w:val="bottom"/>
            <w:hideMark/>
          </w:tcPr>
          <w:p w14:paraId="2D988383" w14:textId="77777777" w:rsidR="00725CD2" w:rsidRPr="00725CD2" w:rsidRDefault="00725CD2" w:rsidP="00725CD2">
            <w:pPr>
              <w:pStyle w:val="Body"/>
              <w:rPr>
                <w:rFonts w:ascii="Arial" w:hAnsi="Arial" w:cs="Arial"/>
                <w:lang w:val="pt-BR"/>
              </w:rPr>
            </w:pPr>
            <w:r w:rsidRPr="00725CD2">
              <w:rPr>
                <w:rFonts w:ascii="Arial" w:hAnsi="Arial" w:cs="Arial"/>
              </w:rPr>
              <w:t>25 (69.4%)</w:t>
            </w:r>
          </w:p>
        </w:tc>
        <w:tc>
          <w:tcPr>
            <w:tcW w:w="2126" w:type="dxa"/>
            <w:shd w:val="clear" w:color="auto" w:fill="auto"/>
            <w:noWrap/>
            <w:vAlign w:val="bottom"/>
            <w:hideMark/>
          </w:tcPr>
          <w:p w14:paraId="4EF9F68E" w14:textId="77777777" w:rsidR="00725CD2" w:rsidRPr="00725CD2" w:rsidRDefault="00725CD2" w:rsidP="00725CD2">
            <w:pPr>
              <w:pStyle w:val="Body"/>
              <w:rPr>
                <w:rFonts w:ascii="Arial" w:hAnsi="Arial" w:cs="Arial"/>
                <w:lang w:val="pt-BR"/>
              </w:rPr>
            </w:pPr>
            <w:r w:rsidRPr="00725CD2">
              <w:rPr>
                <w:rFonts w:ascii="Arial" w:hAnsi="Arial" w:cs="Arial"/>
              </w:rPr>
              <w:t>5 (13.5%)</w:t>
            </w:r>
          </w:p>
        </w:tc>
        <w:tc>
          <w:tcPr>
            <w:tcW w:w="1418" w:type="dxa"/>
            <w:shd w:val="clear" w:color="auto" w:fill="auto"/>
            <w:noWrap/>
            <w:vAlign w:val="bottom"/>
            <w:hideMark/>
          </w:tcPr>
          <w:p w14:paraId="667487BD" w14:textId="77777777" w:rsidR="00725CD2" w:rsidRPr="00725CD2" w:rsidRDefault="00725CD2" w:rsidP="00725CD2">
            <w:pPr>
              <w:pStyle w:val="Body"/>
              <w:rPr>
                <w:rFonts w:ascii="Arial" w:hAnsi="Arial" w:cs="Arial"/>
                <w:lang w:val="pt-BR"/>
              </w:rPr>
            </w:pPr>
            <w:r w:rsidRPr="00725CD2">
              <w:rPr>
                <w:rFonts w:ascii="Arial" w:hAnsi="Arial" w:cs="Arial"/>
              </w:rPr>
              <w:t>30 (41.1%)</w:t>
            </w:r>
          </w:p>
        </w:tc>
        <w:tc>
          <w:tcPr>
            <w:tcW w:w="2552" w:type="dxa"/>
            <w:shd w:val="clear" w:color="auto" w:fill="auto"/>
            <w:noWrap/>
            <w:vAlign w:val="bottom"/>
            <w:hideMark/>
          </w:tcPr>
          <w:p w14:paraId="1F885BEB" w14:textId="77777777" w:rsidR="00725CD2" w:rsidRPr="00725CD2" w:rsidRDefault="00725CD2" w:rsidP="00725CD2">
            <w:pPr>
              <w:pStyle w:val="Body"/>
              <w:rPr>
                <w:rFonts w:ascii="Arial" w:hAnsi="Arial" w:cs="Arial"/>
                <w:b/>
                <w:bCs/>
                <w:lang w:val="pt-BR"/>
              </w:rPr>
            </w:pPr>
            <w:r w:rsidRPr="00725CD2">
              <w:rPr>
                <w:rFonts w:ascii="Arial" w:hAnsi="Arial" w:cs="Arial"/>
                <w:b/>
                <w:lang w:val="en"/>
              </w:rPr>
              <w:t>(P &lt; .001)</w:t>
            </w:r>
          </w:p>
        </w:tc>
      </w:tr>
      <w:tr w:rsidR="00725CD2" w:rsidRPr="00725CD2" w14:paraId="3F9DE3AE" w14:textId="77777777" w:rsidTr="00B048BC">
        <w:trPr>
          <w:trHeight w:val="300"/>
        </w:trPr>
        <w:tc>
          <w:tcPr>
            <w:tcW w:w="2127" w:type="dxa"/>
            <w:shd w:val="clear" w:color="auto" w:fill="auto"/>
            <w:noWrap/>
            <w:vAlign w:val="bottom"/>
            <w:hideMark/>
          </w:tcPr>
          <w:p w14:paraId="6AEEA73C" w14:textId="77777777" w:rsidR="00725CD2" w:rsidRPr="00725CD2" w:rsidRDefault="00725CD2" w:rsidP="00725CD2">
            <w:pPr>
              <w:pStyle w:val="Body"/>
              <w:rPr>
                <w:rFonts w:ascii="Arial" w:hAnsi="Arial" w:cs="Arial"/>
                <w:lang w:val="pt-BR"/>
              </w:rPr>
            </w:pPr>
            <w:r w:rsidRPr="00725CD2">
              <w:rPr>
                <w:rFonts w:ascii="Arial" w:hAnsi="Arial" w:cs="Arial"/>
              </w:rPr>
              <w:t>Yes</w:t>
            </w:r>
          </w:p>
        </w:tc>
        <w:tc>
          <w:tcPr>
            <w:tcW w:w="1417" w:type="dxa"/>
            <w:shd w:val="clear" w:color="auto" w:fill="auto"/>
            <w:noWrap/>
            <w:vAlign w:val="bottom"/>
            <w:hideMark/>
          </w:tcPr>
          <w:p w14:paraId="609293A5" w14:textId="77777777" w:rsidR="00725CD2" w:rsidRPr="00725CD2" w:rsidRDefault="00725CD2" w:rsidP="00725CD2">
            <w:pPr>
              <w:pStyle w:val="Body"/>
              <w:rPr>
                <w:rFonts w:ascii="Arial" w:hAnsi="Arial" w:cs="Arial"/>
                <w:lang w:val="pt-BR"/>
              </w:rPr>
            </w:pPr>
            <w:r w:rsidRPr="00725CD2">
              <w:rPr>
                <w:rFonts w:ascii="Arial" w:hAnsi="Arial" w:cs="Arial"/>
              </w:rPr>
              <w:t>11 (30.6%)</w:t>
            </w:r>
          </w:p>
        </w:tc>
        <w:tc>
          <w:tcPr>
            <w:tcW w:w="2126" w:type="dxa"/>
            <w:shd w:val="clear" w:color="auto" w:fill="auto"/>
            <w:noWrap/>
            <w:vAlign w:val="bottom"/>
            <w:hideMark/>
          </w:tcPr>
          <w:p w14:paraId="7236FBAD" w14:textId="77777777" w:rsidR="00725CD2" w:rsidRPr="00725CD2" w:rsidRDefault="00725CD2" w:rsidP="00725CD2">
            <w:pPr>
              <w:pStyle w:val="Body"/>
              <w:rPr>
                <w:rFonts w:ascii="Arial" w:hAnsi="Arial" w:cs="Arial"/>
                <w:lang w:val="pt-BR"/>
              </w:rPr>
            </w:pPr>
            <w:r w:rsidRPr="00725CD2">
              <w:rPr>
                <w:rFonts w:ascii="Arial" w:hAnsi="Arial" w:cs="Arial"/>
              </w:rPr>
              <w:t>32 (86.5%)</w:t>
            </w:r>
          </w:p>
        </w:tc>
        <w:tc>
          <w:tcPr>
            <w:tcW w:w="1418" w:type="dxa"/>
            <w:shd w:val="clear" w:color="auto" w:fill="auto"/>
            <w:noWrap/>
            <w:vAlign w:val="bottom"/>
            <w:hideMark/>
          </w:tcPr>
          <w:p w14:paraId="42621AC7" w14:textId="77777777" w:rsidR="00725CD2" w:rsidRPr="00725CD2" w:rsidRDefault="00725CD2" w:rsidP="00725CD2">
            <w:pPr>
              <w:pStyle w:val="Body"/>
              <w:rPr>
                <w:rFonts w:ascii="Arial" w:hAnsi="Arial" w:cs="Arial"/>
                <w:lang w:val="pt-BR"/>
              </w:rPr>
            </w:pPr>
            <w:r w:rsidRPr="00725CD2">
              <w:rPr>
                <w:rFonts w:ascii="Arial" w:hAnsi="Arial" w:cs="Arial"/>
              </w:rPr>
              <w:t>43 (58.9%)</w:t>
            </w:r>
          </w:p>
        </w:tc>
        <w:tc>
          <w:tcPr>
            <w:tcW w:w="2552" w:type="dxa"/>
            <w:shd w:val="clear" w:color="auto" w:fill="auto"/>
            <w:noWrap/>
            <w:vAlign w:val="bottom"/>
            <w:hideMark/>
          </w:tcPr>
          <w:p w14:paraId="48AA12BE"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40E837A0" w14:textId="77777777" w:rsidTr="00B048BC">
        <w:trPr>
          <w:trHeight w:val="300"/>
        </w:trPr>
        <w:tc>
          <w:tcPr>
            <w:tcW w:w="2127" w:type="dxa"/>
            <w:shd w:val="clear" w:color="auto" w:fill="auto"/>
            <w:noWrap/>
            <w:vAlign w:val="bottom"/>
            <w:hideMark/>
          </w:tcPr>
          <w:p w14:paraId="27347031" w14:textId="77777777" w:rsidR="00725CD2" w:rsidRPr="00725CD2" w:rsidRDefault="00725CD2" w:rsidP="00725CD2">
            <w:pPr>
              <w:pStyle w:val="Body"/>
              <w:rPr>
                <w:rFonts w:ascii="Arial" w:hAnsi="Arial" w:cs="Arial"/>
                <w:lang w:val="pt-BR"/>
              </w:rPr>
            </w:pPr>
            <w:r w:rsidRPr="00725CD2">
              <w:rPr>
                <w:rFonts w:ascii="Arial" w:hAnsi="Arial" w:cs="Arial"/>
              </w:rPr>
              <w:t>Bleeding on probing</w:t>
            </w:r>
          </w:p>
        </w:tc>
        <w:tc>
          <w:tcPr>
            <w:tcW w:w="1417" w:type="dxa"/>
            <w:shd w:val="clear" w:color="auto" w:fill="auto"/>
            <w:noWrap/>
            <w:vAlign w:val="bottom"/>
            <w:hideMark/>
          </w:tcPr>
          <w:p w14:paraId="21C0C372" w14:textId="77777777" w:rsidR="00725CD2" w:rsidRPr="00725CD2" w:rsidRDefault="00725CD2" w:rsidP="00725CD2">
            <w:pPr>
              <w:pStyle w:val="Body"/>
              <w:rPr>
                <w:rFonts w:ascii="Arial" w:hAnsi="Arial" w:cs="Arial"/>
                <w:lang w:val="pt-BR"/>
              </w:rPr>
            </w:pPr>
          </w:p>
        </w:tc>
        <w:tc>
          <w:tcPr>
            <w:tcW w:w="2126" w:type="dxa"/>
            <w:shd w:val="clear" w:color="auto" w:fill="auto"/>
            <w:noWrap/>
            <w:vAlign w:val="bottom"/>
            <w:hideMark/>
          </w:tcPr>
          <w:p w14:paraId="7B16B65D" w14:textId="77777777" w:rsidR="00725CD2" w:rsidRPr="00725CD2" w:rsidRDefault="00725CD2" w:rsidP="00725CD2">
            <w:pPr>
              <w:pStyle w:val="Body"/>
              <w:rPr>
                <w:rFonts w:ascii="Arial" w:hAnsi="Arial" w:cs="Arial"/>
                <w:lang w:val="pt-BR"/>
              </w:rPr>
            </w:pPr>
          </w:p>
        </w:tc>
        <w:tc>
          <w:tcPr>
            <w:tcW w:w="1418" w:type="dxa"/>
            <w:shd w:val="clear" w:color="auto" w:fill="auto"/>
            <w:noWrap/>
            <w:vAlign w:val="bottom"/>
            <w:hideMark/>
          </w:tcPr>
          <w:p w14:paraId="315F18B4"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2843823D"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6098BF8C" w14:textId="77777777" w:rsidTr="00B048BC">
        <w:trPr>
          <w:trHeight w:val="300"/>
        </w:trPr>
        <w:tc>
          <w:tcPr>
            <w:tcW w:w="2127" w:type="dxa"/>
            <w:shd w:val="clear" w:color="auto" w:fill="auto"/>
            <w:noWrap/>
            <w:vAlign w:val="bottom"/>
            <w:hideMark/>
          </w:tcPr>
          <w:p w14:paraId="27AACA52" w14:textId="77777777" w:rsidR="00725CD2" w:rsidRPr="00725CD2" w:rsidRDefault="00725CD2" w:rsidP="00725CD2">
            <w:pPr>
              <w:pStyle w:val="Body"/>
              <w:rPr>
                <w:rFonts w:ascii="Arial" w:hAnsi="Arial" w:cs="Arial"/>
                <w:lang w:val="pt-BR"/>
              </w:rPr>
            </w:pPr>
            <w:r w:rsidRPr="00725CD2">
              <w:rPr>
                <w:rFonts w:ascii="Arial" w:hAnsi="Arial" w:cs="Arial"/>
              </w:rPr>
              <w:t>No</w:t>
            </w:r>
          </w:p>
        </w:tc>
        <w:tc>
          <w:tcPr>
            <w:tcW w:w="1417" w:type="dxa"/>
            <w:shd w:val="clear" w:color="auto" w:fill="auto"/>
            <w:noWrap/>
            <w:vAlign w:val="bottom"/>
            <w:hideMark/>
          </w:tcPr>
          <w:p w14:paraId="5E20736B" w14:textId="77777777" w:rsidR="00725CD2" w:rsidRPr="00725CD2" w:rsidRDefault="00725CD2" w:rsidP="00725CD2">
            <w:pPr>
              <w:pStyle w:val="Body"/>
              <w:rPr>
                <w:rFonts w:ascii="Arial" w:hAnsi="Arial" w:cs="Arial"/>
                <w:lang w:val="pt-BR"/>
              </w:rPr>
            </w:pPr>
            <w:r w:rsidRPr="00725CD2">
              <w:rPr>
                <w:rFonts w:ascii="Arial" w:hAnsi="Arial" w:cs="Arial"/>
              </w:rPr>
              <w:t>22 (61.1%)</w:t>
            </w:r>
          </w:p>
        </w:tc>
        <w:tc>
          <w:tcPr>
            <w:tcW w:w="2126" w:type="dxa"/>
            <w:shd w:val="clear" w:color="auto" w:fill="auto"/>
            <w:noWrap/>
            <w:vAlign w:val="bottom"/>
            <w:hideMark/>
          </w:tcPr>
          <w:p w14:paraId="1DF8C297" w14:textId="77777777" w:rsidR="00725CD2" w:rsidRPr="00725CD2" w:rsidRDefault="00725CD2" w:rsidP="00725CD2">
            <w:pPr>
              <w:pStyle w:val="Body"/>
              <w:rPr>
                <w:rFonts w:ascii="Arial" w:hAnsi="Arial" w:cs="Arial"/>
                <w:lang w:val="pt-BR"/>
              </w:rPr>
            </w:pPr>
            <w:r w:rsidRPr="00725CD2">
              <w:rPr>
                <w:rFonts w:ascii="Arial" w:hAnsi="Arial" w:cs="Arial"/>
              </w:rPr>
              <w:t>22 (59.5%)</w:t>
            </w:r>
          </w:p>
        </w:tc>
        <w:tc>
          <w:tcPr>
            <w:tcW w:w="1418" w:type="dxa"/>
            <w:shd w:val="clear" w:color="auto" w:fill="auto"/>
            <w:noWrap/>
            <w:vAlign w:val="bottom"/>
            <w:hideMark/>
          </w:tcPr>
          <w:p w14:paraId="6B4DD1DA" w14:textId="77777777" w:rsidR="00725CD2" w:rsidRPr="00725CD2" w:rsidRDefault="00725CD2" w:rsidP="00725CD2">
            <w:pPr>
              <w:pStyle w:val="Body"/>
              <w:rPr>
                <w:rFonts w:ascii="Arial" w:hAnsi="Arial" w:cs="Arial"/>
                <w:lang w:val="pt-BR"/>
              </w:rPr>
            </w:pPr>
            <w:r w:rsidRPr="00725CD2">
              <w:rPr>
                <w:rFonts w:ascii="Arial" w:hAnsi="Arial" w:cs="Arial"/>
              </w:rPr>
              <w:t>44 (60.3%)</w:t>
            </w:r>
          </w:p>
        </w:tc>
        <w:tc>
          <w:tcPr>
            <w:tcW w:w="2552" w:type="dxa"/>
            <w:shd w:val="clear" w:color="auto" w:fill="auto"/>
            <w:noWrap/>
            <w:vAlign w:val="bottom"/>
            <w:hideMark/>
          </w:tcPr>
          <w:p w14:paraId="23787E79" w14:textId="77777777" w:rsidR="00725CD2" w:rsidRPr="00725CD2" w:rsidRDefault="00725CD2" w:rsidP="00725CD2">
            <w:pPr>
              <w:pStyle w:val="Body"/>
              <w:rPr>
                <w:rFonts w:ascii="Arial" w:hAnsi="Arial" w:cs="Arial"/>
                <w:lang w:val="pt-BR"/>
              </w:rPr>
            </w:pPr>
            <w:r w:rsidRPr="00725CD2">
              <w:rPr>
                <w:rFonts w:ascii="Arial" w:hAnsi="Arial" w:cs="Arial"/>
                <w:lang w:val="en"/>
              </w:rPr>
              <w:t>(P = 1)</w:t>
            </w:r>
          </w:p>
        </w:tc>
      </w:tr>
      <w:tr w:rsidR="00725CD2" w:rsidRPr="00725CD2" w14:paraId="0AC4107C" w14:textId="77777777" w:rsidTr="00B048BC">
        <w:trPr>
          <w:trHeight w:val="300"/>
        </w:trPr>
        <w:tc>
          <w:tcPr>
            <w:tcW w:w="2127" w:type="dxa"/>
            <w:shd w:val="clear" w:color="auto" w:fill="auto"/>
            <w:noWrap/>
            <w:vAlign w:val="bottom"/>
            <w:hideMark/>
          </w:tcPr>
          <w:p w14:paraId="5EF944A9" w14:textId="77777777" w:rsidR="00725CD2" w:rsidRPr="00725CD2" w:rsidRDefault="00725CD2" w:rsidP="00725CD2">
            <w:pPr>
              <w:pStyle w:val="Body"/>
              <w:rPr>
                <w:rFonts w:ascii="Arial" w:hAnsi="Arial" w:cs="Arial"/>
                <w:lang w:val="pt-BR"/>
              </w:rPr>
            </w:pPr>
            <w:r w:rsidRPr="00725CD2">
              <w:rPr>
                <w:rFonts w:ascii="Arial" w:hAnsi="Arial" w:cs="Arial"/>
              </w:rPr>
              <w:t>Yes</w:t>
            </w:r>
          </w:p>
        </w:tc>
        <w:tc>
          <w:tcPr>
            <w:tcW w:w="1417" w:type="dxa"/>
            <w:shd w:val="clear" w:color="auto" w:fill="auto"/>
            <w:noWrap/>
            <w:vAlign w:val="bottom"/>
            <w:hideMark/>
          </w:tcPr>
          <w:p w14:paraId="1BCBE954" w14:textId="77777777" w:rsidR="00725CD2" w:rsidRPr="00725CD2" w:rsidRDefault="00725CD2" w:rsidP="00725CD2">
            <w:pPr>
              <w:pStyle w:val="Body"/>
              <w:rPr>
                <w:rFonts w:ascii="Arial" w:hAnsi="Arial" w:cs="Arial"/>
                <w:lang w:val="pt-BR"/>
              </w:rPr>
            </w:pPr>
            <w:r w:rsidRPr="00725CD2">
              <w:rPr>
                <w:rFonts w:ascii="Arial" w:hAnsi="Arial" w:cs="Arial"/>
              </w:rPr>
              <w:t>14 (38.9%)</w:t>
            </w:r>
          </w:p>
        </w:tc>
        <w:tc>
          <w:tcPr>
            <w:tcW w:w="2126" w:type="dxa"/>
            <w:shd w:val="clear" w:color="auto" w:fill="auto"/>
            <w:noWrap/>
            <w:vAlign w:val="bottom"/>
            <w:hideMark/>
          </w:tcPr>
          <w:p w14:paraId="78C2FE80" w14:textId="77777777" w:rsidR="00725CD2" w:rsidRPr="00725CD2" w:rsidRDefault="00725CD2" w:rsidP="00725CD2">
            <w:pPr>
              <w:pStyle w:val="Body"/>
              <w:rPr>
                <w:rFonts w:ascii="Arial" w:hAnsi="Arial" w:cs="Arial"/>
                <w:lang w:val="pt-BR"/>
              </w:rPr>
            </w:pPr>
            <w:r w:rsidRPr="00725CD2">
              <w:rPr>
                <w:rFonts w:ascii="Arial" w:hAnsi="Arial" w:cs="Arial"/>
              </w:rPr>
              <w:t>15 (40.5%)</w:t>
            </w:r>
          </w:p>
        </w:tc>
        <w:tc>
          <w:tcPr>
            <w:tcW w:w="1418" w:type="dxa"/>
            <w:shd w:val="clear" w:color="auto" w:fill="auto"/>
            <w:noWrap/>
            <w:vAlign w:val="bottom"/>
            <w:hideMark/>
          </w:tcPr>
          <w:p w14:paraId="6BAA5D2C" w14:textId="77777777" w:rsidR="00725CD2" w:rsidRPr="00725CD2" w:rsidRDefault="00725CD2" w:rsidP="00725CD2">
            <w:pPr>
              <w:pStyle w:val="Body"/>
              <w:rPr>
                <w:rFonts w:ascii="Arial" w:hAnsi="Arial" w:cs="Arial"/>
                <w:lang w:val="pt-BR"/>
              </w:rPr>
            </w:pPr>
            <w:r w:rsidRPr="00725CD2">
              <w:rPr>
                <w:rFonts w:ascii="Arial" w:hAnsi="Arial" w:cs="Arial"/>
              </w:rPr>
              <w:t>29 (39.7%)</w:t>
            </w:r>
          </w:p>
        </w:tc>
        <w:tc>
          <w:tcPr>
            <w:tcW w:w="2552" w:type="dxa"/>
            <w:shd w:val="clear" w:color="auto" w:fill="auto"/>
            <w:noWrap/>
            <w:vAlign w:val="bottom"/>
            <w:hideMark/>
          </w:tcPr>
          <w:p w14:paraId="01C557C0"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64D6DA5E" w14:textId="77777777" w:rsidTr="00B048BC">
        <w:trPr>
          <w:trHeight w:val="300"/>
        </w:trPr>
        <w:tc>
          <w:tcPr>
            <w:tcW w:w="2127" w:type="dxa"/>
            <w:shd w:val="clear" w:color="auto" w:fill="auto"/>
            <w:noWrap/>
            <w:vAlign w:val="bottom"/>
            <w:hideMark/>
          </w:tcPr>
          <w:p w14:paraId="1EB90D37" w14:textId="77777777" w:rsidR="00725CD2" w:rsidRPr="00725CD2" w:rsidRDefault="00725CD2" w:rsidP="00725CD2">
            <w:pPr>
              <w:pStyle w:val="Body"/>
              <w:rPr>
                <w:rFonts w:ascii="Arial" w:hAnsi="Arial" w:cs="Arial"/>
                <w:lang w:val="pt-BR"/>
              </w:rPr>
            </w:pPr>
            <w:r w:rsidRPr="00725CD2">
              <w:rPr>
                <w:rFonts w:ascii="Arial" w:hAnsi="Arial" w:cs="Arial"/>
              </w:rPr>
              <w:t xml:space="preserve">Suppuration </w:t>
            </w:r>
          </w:p>
        </w:tc>
        <w:tc>
          <w:tcPr>
            <w:tcW w:w="1417" w:type="dxa"/>
            <w:shd w:val="clear" w:color="auto" w:fill="auto"/>
            <w:noWrap/>
            <w:vAlign w:val="bottom"/>
            <w:hideMark/>
          </w:tcPr>
          <w:p w14:paraId="3C3CA8E0" w14:textId="77777777" w:rsidR="00725CD2" w:rsidRPr="00725CD2" w:rsidRDefault="00725CD2" w:rsidP="00725CD2">
            <w:pPr>
              <w:pStyle w:val="Body"/>
              <w:rPr>
                <w:rFonts w:ascii="Arial" w:hAnsi="Arial" w:cs="Arial"/>
                <w:lang w:val="pt-BR"/>
              </w:rPr>
            </w:pPr>
          </w:p>
        </w:tc>
        <w:tc>
          <w:tcPr>
            <w:tcW w:w="2126" w:type="dxa"/>
            <w:shd w:val="clear" w:color="auto" w:fill="auto"/>
            <w:noWrap/>
            <w:vAlign w:val="bottom"/>
            <w:hideMark/>
          </w:tcPr>
          <w:p w14:paraId="7E2762EA" w14:textId="77777777" w:rsidR="00725CD2" w:rsidRPr="00725CD2" w:rsidRDefault="00725CD2" w:rsidP="00725CD2">
            <w:pPr>
              <w:pStyle w:val="Body"/>
              <w:rPr>
                <w:rFonts w:ascii="Arial" w:hAnsi="Arial" w:cs="Arial"/>
                <w:lang w:val="pt-BR"/>
              </w:rPr>
            </w:pPr>
          </w:p>
        </w:tc>
        <w:tc>
          <w:tcPr>
            <w:tcW w:w="1418" w:type="dxa"/>
            <w:shd w:val="clear" w:color="auto" w:fill="auto"/>
            <w:noWrap/>
            <w:vAlign w:val="bottom"/>
            <w:hideMark/>
          </w:tcPr>
          <w:p w14:paraId="480AA2BE"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5B12370D"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2219EC14" w14:textId="77777777" w:rsidTr="00B048BC">
        <w:trPr>
          <w:trHeight w:val="300"/>
        </w:trPr>
        <w:tc>
          <w:tcPr>
            <w:tcW w:w="2127" w:type="dxa"/>
            <w:shd w:val="clear" w:color="auto" w:fill="auto"/>
            <w:noWrap/>
            <w:vAlign w:val="bottom"/>
            <w:hideMark/>
          </w:tcPr>
          <w:p w14:paraId="21843087" w14:textId="77777777" w:rsidR="00725CD2" w:rsidRPr="00725CD2" w:rsidRDefault="00725CD2" w:rsidP="00725CD2">
            <w:pPr>
              <w:pStyle w:val="Body"/>
              <w:rPr>
                <w:rFonts w:ascii="Arial" w:hAnsi="Arial" w:cs="Arial"/>
                <w:lang w:val="pt-BR"/>
              </w:rPr>
            </w:pPr>
            <w:r w:rsidRPr="00725CD2">
              <w:rPr>
                <w:rFonts w:ascii="Arial" w:hAnsi="Arial" w:cs="Arial"/>
              </w:rPr>
              <w:t>No</w:t>
            </w:r>
          </w:p>
        </w:tc>
        <w:tc>
          <w:tcPr>
            <w:tcW w:w="1417" w:type="dxa"/>
            <w:shd w:val="clear" w:color="auto" w:fill="auto"/>
            <w:noWrap/>
            <w:vAlign w:val="bottom"/>
            <w:hideMark/>
          </w:tcPr>
          <w:p w14:paraId="67465F7E" w14:textId="77777777" w:rsidR="00725CD2" w:rsidRPr="00725CD2" w:rsidRDefault="00725CD2" w:rsidP="00725CD2">
            <w:pPr>
              <w:pStyle w:val="Body"/>
              <w:rPr>
                <w:rFonts w:ascii="Arial" w:hAnsi="Arial" w:cs="Arial"/>
                <w:lang w:val="pt-BR"/>
              </w:rPr>
            </w:pPr>
            <w:r w:rsidRPr="00725CD2">
              <w:rPr>
                <w:rFonts w:ascii="Arial" w:hAnsi="Arial" w:cs="Arial"/>
              </w:rPr>
              <w:t>36 (100%)</w:t>
            </w:r>
          </w:p>
        </w:tc>
        <w:tc>
          <w:tcPr>
            <w:tcW w:w="2126" w:type="dxa"/>
            <w:shd w:val="clear" w:color="auto" w:fill="auto"/>
            <w:noWrap/>
            <w:vAlign w:val="bottom"/>
            <w:hideMark/>
          </w:tcPr>
          <w:p w14:paraId="11CA444F" w14:textId="77777777" w:rsidR="00725CD2" w:rsidRPr="00725CD2" w:rsidRDefault="00725CD2" w:rsidP="00725CD2">
            <w:pPr>
              <w:pStyle w:val="Body"/>
              <w:rPr>
                <w:rFonts w:ascii="Arial" w:hAnsi="Arial" w:cs="Arial"/>
                <w:lang w:val="pt-BR"/>
              </w:rPr>
            </w:pPr>
            <w:r w:rsidRPr="00725CD2">
              <w:rPr>
                <w:rFonts w:ascii="Arial" w:hAnsi="Arial" w:cs="Arial"/>
              </w:rPr>
              <w:t>23 (62.2%)</w:t>
            </w:r>
          </w:p>
        </w:tc>
        <w:tc>
          <w:tcPr>
            <w:tcW w:w="1418" w:type="dxa"/>
            <w:shd w:val="clear" w:color="auto" w:fill="auto"/>
            <w:noWrap/>
            <w:vAlign w:val="bottom"/>
            <w:hideMark/>
          </w:tcPr>
          <w:p w14:paraId="17AB54E2" w14:textId="77777777" w:rsidR="00725CD2" w:rsidRPr="00725CD2" w:rsidRDefault="00725CD2" w:rsidP="00725CD2">
            <w:pPr>
              <w:pStyle w:val="Body"/>
              <w:rPr>
                <w:rFonts w:ascii="Arial" w:hAnsi="Arial" w:cs="Arial"/>
                <w:lang w:val="pt-BR"/>
              </w:rPr>
            </w:pPr>
            <w:r w:rsidRPr="00725CD2">
              <w:rPr>
                <w:rFonts w:ascii="Arial" w:hAnsi="Arial" w:cs="Arial"/>
              </w:rPr>
              <w:t>59 (80.8%)</w:t>
            </w:r>
          </w:p>
        </w:tc>
        <w:tc>
          <w:tcPr>
            <w:tcW w:w="2552" w:type="dxa"/>
            <w:shd w:val="clear" w:color="auto" w:fill="auto"/>
            <w:noWrap/>
            <w:vAlign w:val="bottom"/>
            <w:hideMark/>
          </w:tcPr>
          <w:p w14:paraId="22E40ED6" w14:textId="77777777" w:rsidR="00725CD2" w:rsidRPr="00725CD2" w:rsidRDefault="00725CD2" w:rsidP="00725CD2">
            <w:pPr>
              <w:pStyle w:val="Body"/>
              <w:rPr>
                <w:rFonts w:ascii="Arial" w:hAnsi="Arial" w:cs="Arial"/>
                <w:b/>
                <w:bCs/>
                <w:lang w:val="pt-BR"/>
              </w:rPr>
            </w:pPr>
            <w:r w:rsidRPr="00725CD2">
              <w:rPr>
                <w:rFonts w:ascii="Arial" w:hAnsi="Arial" w:cs="Arial"/>
                <w:b/>
                <w:lang w:val="en"/>
              </w:rPr>
              <w:t>(P &lt; .001)</w:t>
            </w:r>
          </w:p>
        </w:tc>
      </w:tr>
      <w:tr w:rsidR="00725CD2" w:rsidRPr="00725CD2" w14:paraId="33CBD38B" w14:textId="77777777" w:rsidTr="00B048BC">
        <w:trPr>
          <w:trHeight w:val="300"/>
        </w:trPr>
        <w:tc>
          <w:tcPr>
            <w:tcW w:w="2127" w:type="dxa"/>
            <w:shd w:val="clear" w:color="auto" w:fill="auto"/>
            <w:noWrap/>
            <w:vAlign w:val="bottom"/>
            <w:hideMark/>
          </w:tcPr>
          <w:p w14:paraId="578287EB" w14:textId="77777777" w:rsidR="00725CD2" w:rsidRPr="00725CD2" w:rsidRDefault="00725CD2" w:rsidP="00725CD2">
            <w:pPr>
              <w:pStyle w:val="Body"/>
              <w:rPr>
                <w:rFonts w:ascii="Arial" w:hAnsi="Arial" w:cs="Arial"/>
                <w:lang w:val="pt-BR"/>
              </w:rPr>
            </w:pPr>
            <w:r w:rsidRPr="00725CD2">
              <w:rPr>
                <w:rFonts w:ascii="Arial" w:hAnsi="Arial" w:cs="Arial"/>
              </w:rPr>
              <w:t>Yes</w:t>
            </w:r>
          </w:p>
        </w:tc>
        <w:tc>
          <w:tcPr>
            <w:tcW w:w="1417" w:type="dxa"/>
            <w:shd w:val="clear" w:color="auto" w:fill="auto"/>
            <w:noWrap/>
            <w:vAlign w:val="bottom"/>
            <w:hideMark/>
          </w:tcPr>
          <w:p w14:paraId="45A5153E" w14:textId="77777777" w:rsidR="00725CD2" w:rsidRPr="00725CD2" w:rsidRDefault="00725CD2" w:rsidP="00725CD2">
            <w:pPr>
              <w:pStyle w:val="Body"/>
              <w:rPr>
                <w:rFonts w:ascii="Arial" w:hAnsi="Arial" w:cs="Arial"/>
                <w:lang w:val="pt-BR"/>
              </w:rPr>
            </w:pPr>
            <w:r w:rsidRPr="00725CD2">
              <w:rPr>
                <w:rFonts w:ascii="Arial" w:hAnsi="Arial" w:cs="Arial"/>
              </w:rPr>
              <w:t>0 (0%)</w:t>
            </w:r>
          </w:p>
        </w:tc>
        <w:tc>
          <w:tcPr>
            <w:tcW w:w="2126" w:type="dxa"/>
            <w:shd w:val="clear" w:color="auto" w:fill="auto"/>
            <w:noWrap/>
            <w:vAlign w:val="bottom"/>
            <w:hideMark/>
          </w:tcPr>
          <w:p w14:paraId="692CC150" w14:textId="77777777" w:rsidR="00725CD2" w:rsidRPr="00725CD2" w:rsidRDefault="00725CD2" w:rsidP="00725CD2">
            <w:pPr>
              <w:pStyle w:val="Body"/>
              <w:rPr>
                <w:rFonts w:ascii="Arial" w:hAnsi="Arial" w:cs="Arial"/>
                <w:lang w:val="pt-BR"/>
              </w:rPr>
            </w:pPr>
            <w:r w:rsidRPr="00725CD2">
              <w:rPr>
                <w:rFonts w:ascii="Arial" w:hAnsi="Arial" w:cs="Arial"/>
              </w:rPr>
              <w:t>14 (37.8%)</w:t>
            </w:r>
          </w:p>
        </w:tc>
        <w:tc>
          <w:tcPr>
            <w:tcW w:w="1418" w:type="dxa"/>
            <w:shd w:val="clear" w:color="auto" w:fill="auto"/>
            <w:noWrap/>
            <w:vAlign w:val="bottom"/>
            <w:hideMark/>
          </w:tcPr>
          <w:p w14:paraId="75011970" w14:textId="77777777" w:rsidR="00725CD2" w:rsidRPr="00725CD2" w:rsidRDefault="00725CD2" w:rsidP="00725CD2">
            <w:pPr>
              <w:pStyle w:val="Body"/>
              <w:rPr>
                <w:rFonts w:ascii="Arial" w:hAnsi="Arial" w:cs="Arial"/>
                <w:lang w:val="pt-BR"/>
              </w:rPr>
            </w:pPr>
            <w:r w:rsidRPr="00725CD2">
              <w:rPr>
                <w:rFonts w:ascii="Arial" w:hAnsi="Arial" w:cs="Arial"/>
              </w:rPr>
              <w:t>14 (19.2%)</w:t>
            </w:r>
          </w:p>
        </w:tc>
        <w:tc>
          <w:tcPr>
            <w:tcW w:w="2552" w:type="dxa"/>
            <w:shd w:val="clear" w:color="auto" w:fill="auto"/>
            <w:noWrap/>
            <w:vAlign w:val="bottom"/>
            <w:hideMark/>
          </w:tcPr>
          <w:p w14:paraId="4639D5CC"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3EA08992" w14:textId="77777777" w:rsidTr="00B048BC">
        <w:trPr>
          <w:trHeight w:val="300"/>
        </w:trPr>
        <w:tc>
          <w:tcPr>
            <w:tcW w:w="2127" w:type="dxa"/>
            <w:shd w:val="clear" w:color="auto" w:fill="auto"/>
            <w:noWrap/>
            <w:vAlign w:val="bottom"/>
            <w:hideMark/>
          </w:tcPr>
          <w:p w14:paraId="2D7F4C92" w14:textId="77777777" w:rsidR="00725CD2" w:rsidRPr="00725CD2" w:rsidRDefault="00725CD2" w:rsidP="00725CD2">
            <w:pPr>
              <w:pStyle w:val="Body"/>
              <w:rPr>
                <w:rFonts w:ascii="Arial" w:hAnsi="Arial" w:cs="Arial"/>
                <w:lang w:val="pt-BR"/>
              </w:rPr>
            </w:pPr>
            <w:r w:rsidRPr="00725CD2">
              <w:rPr>
                <w:rFonts w:ascii="Arial" w:hAnsi="Arial" w:cs="Arial"/>
              </w:rPr>
              <w:t>Maintenance</w:t>
            </w:r>
          </w:p>
        </w:tc>
        <w:tc>
          <w:tcPr>
            <w:tcW w:w="1417" w:type="dxa"/>
            <w:shd w:val="clear" w:color="auto" w:fill="auto"/>
            <w:noWrap/>
            <w:vAlign w:val="bottom"/>
            <w:hideMark/>
          </w:tcPr>
          <w:p w14:paraId="07A9450D" w14:textId="77777777" w:rsidR="00725CD2" w:rsidRPr="00725CD2" w:rsidRDefault="00725CD2" w:rsidP="00725CD2">
            <w:pPr>
              <w:pStyle w:val="Body"/>
              <w:rPr>
                <w:rFonts w:ascii="Arial" w:hAnsi="Arial" w:cs="Arial"/>
                <w:lang w:val="pt-BR"/>
              </w:rPr>
            </w:pPr>
          </w:p>
        </w:tc>
        <w:tc>
          <w:tcPr>
            <w:tcW w:w="2126" w:type="dxa"/>
            <w:shd w:val="clear" w:color="auto" w:fill="auto"/>
            <w:noWrap/>
            <w:vAlign w:val="bottom"/>
            <w:hideMark/>
          </w:tcPr>
          <w:p w14:paraId="03CAA632" w14:textId="77777777" w:rsidR="00725CD2" w:rsidRPr="00725CD2" w:rsidRDefault="00725CD2" w:rsidP="00725CD2">
            <w:pPr>
              <w:pStyle w:val="Body"/>
              <w:rPr>
                <w:rFonts w:ascii="Arial" w:hAnsi="Arial" w:cs="Arial"/>
                <w:lang w:val="pt-BR"/>
              </w:rPr>
            </w:pPr>
          </w:p>
        </w:tc>
        <w:tc>
          <w:tcPr>
            <w:tcW w:w="1418" w:type="dxa"/>
            <w:shd w:val="clear" w:color="auto" w:fill="auto"/>
            <w:noWrap/>
            <w:vAlign w:val="bottom"/>
            <w:hideMark/>
          </w:tcPr>
          <w:p w14:paraId="10566E8F"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5EDC25BC"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396DA09B" w14:textId="77777777" w:rsidTr="00B048BC">
        <w:trPr>
          <w:trHeight w:val="300"/>
        </w:trPr>
        <w:tc>
          <w:tcPr>
            <w:tcW w:w="2127" w:type="dxa"/>
            <w:shd w:val="clear" w:color="auto" w:fill="auto"/>
            <w:noWrap/>
            <w:vAlign w:val="bottom"/>
            <w:hideMark/>
          </w:tcPr>
          <w:p w14:paraId="2FCA6B93" w14:textId="77777777" w:rsidR="00725CD2" w:rsidRPr="00725CD2" w:rsidRDefault="00725CD2" w:rsidP="00725CD2">
            <w:pPr>
              <w:pStyle w:val="Body"/>
              <w:rPr>
                <w:rFonts w:ascii="Arial" w:hAnsi="Arial" w:cs="Arial"/>
                <w:lang w:val="pt-BR"/>
              </w:rPr>
            </w:pPr>
            <w:r w:rsidRPr="00725CD2">
              <w:rPr>
                <w:rFonts w:ascii="Arial" w:hAnsi="Arial" w:cs="Arial"/>
              </w:rPr>
              <w:t>No</w:t>
            </w:r>
          </w:p>
        </w:tc>
        <w:tc>
          <w:tcPr>
            <w:tcW w:w="1417" w:type="dxa"/>
            <w:shd w:val="clear" w:color="auto" w:fill="auto"/>
            <w:noWrap/>
            <w:vAlign w:val="bottom"/>
            <w:hideMark/>
          </w:tcPr>
          <w:p w14:paraId="038DAF76" w14:textId="77777777" w:rsidR="00725CD2" w:rsidRPr="00725CD2" w:rsidRDefault="00725CD2" w:rsidP="00725CD2">
            <w:pPr>
              <w:pStyle w:val="Body"/>
              <w:rPr>
                <w:rFonts w:ascii="Arial" w:hAnsi="Arial" w:cs="Arial"/>
                <w:lang w:val="pt-BR"/>
              </w:rPr>
            </w:pPr>
            <w:r w:rsidRPr="00725CD2">
              <w:rPr>
                <w:rFonts w:ascii="Arial" w:hAnsi="Arial" w:cs="Arial"/>
              </w:rPr>
              <w:t>17 (47.2%)</w:t>
            </w:r>
          </w:p>
        </w:tc>
        <w:tc>
          <w:tcPr>
            <w:tcW w:w="2126" w:type="dxa"/>
            <w:shd w:val="clear" w:color="auto" w:fill="auto"/>
            <w:noWrap/>
            <w:vAlign w:val="bottom"/>
            <w:hideMark/>
          </w:tcPr>
          <w:p w14:paraId="6D90F929" w14:textId="77777777" w:rsidR="00725CD2" w:rsidRPr="00725CD2" w:rsidRDefault="00725CD2" w:rsidP="00725CD2">
            <w:pPr>
              <w:pStyle w:val="Body"/>
              <w:rPr>
                <w:rFonts w:ascii="Arial" w:hAnsi="Arial" w:cs="Arial"/>
                <w:lang w:val="pt-BR"/>
              </w:rPr>
            </w:pPr>
            <w:r w:rsidRPr="00725CD2">
              <w:rPr>
                <w:rFonts w:ascii="Arial" w:hAnsi="Arial" w:cs="Arial"/>
              </w:rPr>
              <w:t>25 (67.6%)</w:t>
            </w:r>
          </w:p>
        </w:tc>
        <w:tc>
          <w:tcPr>
            <w:tcW w:w="1418" w:type="dxa"/>
            <w:shd w:val="clear" w:color="auto" w:fill="auto"/>
            <w:noWrap/>
            <w:vAlign w:val="bottom"/>
            <w:hideMark/>
          </w:tcPr>
          <w:p w14:paraId="6DB39C0B" w14:textId="77777777" w:rsidR="00725CD2" w:rsidRPr="00725CD2" w:rsidRDefault="00725CD2" w:rsidP="00725CD2">
            <w:pPr>
              <w:pStyle w:val="Body"/>
              <w:rPr>
                <w:rFonts w:ascii="Arial" w:hAnsi="Arial" w:cs="Arial"/>
                <w:lang w:val="pt-BR"/>
              </w:rPr>
            </w:pPr>
            <w:r w:rsidRPr="00725CD2">
              <w:rPr>
                <w:rFonts w:ascii="Arial" w:hAnsi="Arial" w:cs="Arial"/>
              </w:rPr>
              <w:t>42 (57.5%)</w:t>
            </w:r>
          </w:p>
        </w:tc>
        <w:tc>
          <w:tcPr>
            <w:tcW w:w="2552" w:type="dxa"/>
            <w:shd w:val="clear" w:color="auto" w:fill="auto"/>
            <w:noWrap/>
            <w:vAlign w:val="bottom"/>
            <w:hideMark/>
          </w:tcPr>
          <w:p w14:paraId="1E763F78" w14:textId="77777777" w:rsidR="00725CD2" w:rsidRPr="00725CD2" w:rsidRDefault="00725CD2" w:rsidP="00725CD2">
            <w:pPr>
              <w:pStyle w:val="Body"/>
              <w:rPr>
                <w:rFonts w:ascii="Arial" w:hAnsi="Arial" w:cs="Arial"/>
                <w:lang w:val="pt-BR"/>
              </w:rPr>
            </w:pPr>
            <w:r w:rsidRPr="00725CD2">
              <w:rPr>
                <w:rFonts w:ascii="Arial" w:hAnsi="Arial" w:cs="Arial"/>
                <w:lang w:val="en"/>
              </w:rPr>
              <w:t>(P = .1)</w:t>
            </w:r>
          </w:p>
        </w:tc>
      </w:tr>
      <w:tr w:rsidR="00725CD2" w:rsidRPr="00725CD2" w14:paraId="4F4889F8" w14:textId="77777777" w:rsidTr="00B048BC">
        <w:trPr>
          <w:trHeight w:val="300"/>
        </w:trPr>
        <w:tc>
          <w:tcPr>
            <w:tcW w:w="2127" w:type="dxa"/>
            <w:shd w:val="clear" w:color="auto" w:fill="auto"/>
            <w:noWrap/>
            <w:vAlign w:val="bottom"/>
            <w:hideMark/>
          </w:tcPr>
          <w:p w14:paraId="3DB7351F" w14:textId="77777777" w:rsidR="00725CD2" w:rsidRPr="00725CD2" w:rsidRDefault="00725CD2" w:rsidP="00725CD2">
            <w:pPr>
              <w:pStyle w:val="Body"/>
              <w:rPr>
                <w:rFonts w:ascii="Arial" w:hAnsi="Arial" w:cs="Arial"/>
                <w:lang w:val="pt-BR"/>
              </w:rPr>
            </w:pPr>
            <w:r w:rsidRPr="00725CD2">
              <w:rPr>
                <w:rFonts w:ascii="Arial" w:hAnsi="Arial" w:cs="Arial"/>
              </w:rPr>
              <w:t>Yes</w:t>
            </w:r>
          </w:p>
        </w:tc>
        <w:tc>
          <w:tcPr>
            <w:tcW w:w="1417" w:type="dxa"/>
            <w:shd w:val="clear" w:color="auto" w:fill="auto"/>
            <w:noWrap/>
            <w:vAlign w:val="bottom"/>
            <w:hideMark/>
          </w:tcPr>
          <w:p w14:paraId="387DC5CC" w14:textId="77777777" w:rsidR="00725CD2" w:rsidRPr="00725CD2" w:rsidRDefault="00725CD2" w:rsidP="00725CD2">
            <w:pPr>
              <w:pStyle w:val="Body"/>
              <w:rPr>
                <w:rFonts w:ascii="Arial" w:hAnsi="Arial" w:cs="Arial"/>
                <w:lang w:val="pt-BR"/>
              </w:rPr>
            </w:pPr>
            <w:r w:rsidRPr="00725CD2">
              <w:rPr>
                <w:rFonts w:ascii="Arial" w:hAnsi="Arial" w:cs="Arial"/>
              </w:rPr>
              <w:t>19 (52.8%)</w:t>
            </w:r>
          </w:p>
        </w:tc>
        <w:tc>
          <w:tcPr>
            <w:tcW w:w="2126" w:type="dxa"/>
            <w:shd w:val="clear" w:color="auto" w:fill="auto"/>
            <w:noWrap/>
            <w:vAlign w:val="bottom"/>
            <w:hideMark/>
          </w:tcPr>
          <w:p w14:paraId="4C19ED4A" w14:textId="77777777" w:rsidR="00725CD2" w:rsidRPr="00725CD2" w:rsidRDefault="00725CD2" w:rsidP="00725CD2">
            <w:pPr>
              <w:pStyle w:val="Body"/>
              <w:rPr>
                <w:rFonts w:ascii="Arial" w:hAnsi="Arial" w:cs="Arial"/>
                <w:lang w:val="pt-BR"/>
              </w:rPr>
            </w:pPr>
            <w:r w:rsidRPr="00725CD2">
              <w:rPr>
                <w:rFonts w:ascii="Arial" w:hAnsi="Arial" w:cs="Arial"/>
              </w:rPr>
              <w:t>12 (32.4%)</w:t>
            </w:r>
          </w:p>
        </w:tc>
        <w:tc>
          <w:tcPr>
            <w:tcW w:w="1418" w:type="dxa"/>
            <w:shd w:val="clear" w:color="auto" w:fill="auto"/>
            <w:noWrap/>
            <w:vAlign w:val="bottom"/>
            <w:hideMark/>
          </w:tcPr>
          <w:p w14:paraId="19B102FB" w14:textId="77777777" w:rsidR="00725CD2" w:rsidRPr="00725CD2" w:rsidRDefault="00725CD2" w:rsidP="00725CD2">
            <w:pPr>
              <w:pStyle w:val="Body"/>
              <w:rPr>
                <w:rFonts w:ascii="Arial" w:hAnsi="Arial" w:cs="Arial"/>
                <w:lang w:val="pt-BR"/>
              </w:rPr>
            </w:pPr>
            <w:r w:rsidRPr="00725CD2">
              <w:rPr>
                <w:rFonts w:ascii="Arial" w:hAnsi="Arial" w:cs="Arial"/>
              </w:rPr>
              <w:t>31 (42.5%)</w:t>
            </w:r>
          </w:p>
        </w:tc>
        <w:tc>
          <w:tcPr>
            <w:tcW w:w="2552" w:type="dxa"/>
            <w:shd w:val="clear" w:color="auto" w:fill="auto"/>
            <w:noWrap/>
            <w:vAlign w:val="bottom"/>
            <w:hideMark/>
          </w:tcPr>
          <w:p w14:paraId="36CC1B85" w14:textId="77777777" w:rsidR="00725CD2" w:rsidRPr="00725CD2" w:rsidRDefault="00725CD2" w:rsidP="00725CD2">
            <w:pPr>
              <w:pStyle w:val="Body"/>
              <w:rPr>
                <w:rFonts w:ascii="Arial" w:hAnsi="Arial" w:cs="Arial"/>
                <w:lang w:val="pt-BR"/>
              </w:rPr>
            </w:pPr>
            <w:r w:rsidRPr="00725CD2">
              <w:rPr>
                <w:rFonts w:ascii="Arial" w:hAnsi="Arial" w:cs="Arial"/>
              </w:rPr>
              <w:t> </w:t>
            </w:r>
          </w:p>
        </w:tc>
      </w:tr>
      <w:tr w:rsidR="00725CD2" w:rsidRPr="00725CD2" w14:paraId="2E3E2FF8" w14:textId="77777777" w:rsidTr="00B048BC">
        <w:trPr>
          <w:trHeight w:val="300"/>
        </w:trPr>
        <w:tc>
          <w:tcPr>
            <w:tcW w:w="2127" w:type="dxa"/>
            <w:shd w:val="clear" w:color="auto" w:fill="auto"/>
            <w:noWrap/>
            <w:vAlign w:val="bottom"/>
            <w:hideMark/>
          </w:tcPr>
          <w:p w14:paraId="2CE1C1F7" w14:textId="77777777" w:rsidR="00725CD2" w:rsidRPr="00725CD2" w:rsidRDefault="00725CD2" w:rsidP="00725CD2">
            <w:pPr>
              <w:pStyle w:val="Body"/>
              <w:rPr>
                <w:rFonts w:ascii="Arial" w:hAnsi="Arial" w:cs="Arial"/>
                <w:lang w:val="pt-BR"/>
              </w:rPr>
            </w:pPr>
            <w:r w:rsidRPr="00725CD2">
              <w:rPr>
                <w:rFonts w:ascii="Arial" w:hAnsi="Arial" w:cs="Arial"/>
              </w:rPr>
              <w:t xml:space="preserve">bone loss </w:t>
            </w:r>
          </w:p>
        </w:tc>
        <w:tc>
          <w:tcPr>
            <w:tcW w:w="1417" w:type="dxa"/>
            <w:shd w:val="clear" w:color="auto" w:fill="auto"/>
            <w:noWrap/>
            <w:vAlign w:val="bottom"/>
            <w:hideMark/>
          </w:tcPr>
          <w:p w14:paraId="6BDAF685" w14:textId="77777777" w:rsidR="00725CD2" w:rsidRPr="00725CD2" w:rsidRDefault="00725CD2" w:rsidP="00725CD2">
            <w:pPr>
              <w:pStyle w:val="Body"/>
              <w:rPr>
                <w:rFonts w:ascii="Arial" w:hAnsi="Arial" w:cs="Arial"/>
                <w:lang w:val="pt-BR"/>
              </w:rPr>
            </w:pPr>
            <w:r w:rsidRPr="00725CD2">
              <w:rPr>
                <w:rFonts w:ascii="Arial" w:hAnsi="Arial" w:cs="Arial"/>
              </w:rPr>
              <w:t>2.3 ± 0.5 mm</w:t>
            </w:r>
          </w:p>
        </w:tc>
        <w:tc>
          <w:tcPr>
            <w:tcW w:w="2126" w:type="dxa"/>
            <w:shd w:val="clear" w:color="auto" w:fill="auto"/>
            <w:noWrap/>
            <w:vAlign w:val="bottom"/>
            <w:hideMark/>
          </w:tcPr>
          <w:p w14:paraId="4A304BB2" w14:textId="77777777" w:rsidR="00725CD2" w:rsidRPr="00725CD2" w:rsidRDefault="00725CD2" w:rsidP="00725CD2">
            <w:pPr>
              <w:pStyle w:val="Body"/>
              <w:rPr>
                <w:rFonts w:ascii="Arial" w:hAnsi="Arial" w:cs="Arial"/>
                <w:lang w:val="pt-BR"/>
              </w:rPr>
            </w:pPr>
            <w:r w:rsidRPr="00725CD2">
              <w:rPr>
                <w:rFonts w:ascii="Arial" w:hAnsi="Arial" w:cs="Arial"/>
              </w:rPr>
              <w:t xml:space="preserve">4 ± 0.5 mm </w:t>
            </w:r>
          </w:p>
        </w:tc>
        <w:tc>
          <w:tcPr>
            <w:tcW w:w="1418" w:type="dxa"/>
            <w:shd w:val="clear" w:color="auto" w:fill="auto"/>
            <w:noWrap/>
            <w:vAlign w:val="bottom"/>
            <w:hideMark/>
          </w:tcPr>
          <w:p w14:paraId="39D4BD69" w14:textId="77777777" w:rsidR="00725CD2" w:rsidRPr="00725CD2" w:rsidRDefault="00725CD2" w:rsidP="00725CD2">
            <w:pPr>
              <w:pStyle w:val="Body"/>
              <w:rPr>
                <w:rFonts w:ascii="Arial" w:hAnsi="Arial" w:cs="Arial"/>
                <w:lang w:val="pt-BR"/>
              </w:rPr>
            </w:pPr>
          </w:p>
        </w:tc>
        <w:tc>
          <w:tcPr>
            <w:tcW w:w="2552" w:type="dxa"/>
            <w:shd w:val="clear" w:color="auto" w:fill="auto"/>
            <w:noWrap/>
            <w:vAlign w:val="bottom"/>
            <w:hideMark/>
          </w:tcPr>
          <w:p w14:paraId="31734581" w14:textId="77777777" w:rsidR="00725CD2" w:rsidRPr="00725CD2" w:rsidRDefault="00725CD2" w:rsidP="00725CD2">
            <w:pPr>
              <w:pStyle w:val="Body"/>
              <w:rPr>
                <w:rFonts w:ascii="Arial" w:hAnsi="Arial" w:cs="Arial"/>
                <w:b/>
                <w:bCs/>
                <w:lang w:val="pt-BR"/>
              </w:rPr>
            </w:pPr>
            <w:r w:rsidRPr="00725CD2">
              <w:rPr>
                <w:rFonts w:ascii="Arial" w:hAnsi="Arial" w:cs="Arial"/>
                <w:b/>
                <w:lang w:val="en"/>
              </w:rPr>
              <w:t>(P &lt; .001)</w:t>
            </w:r>
          </w:p>
        </w:tc>
      </w:tr>
      <w:tr w:rsidR="00725CD2" w:rsidRPr="00725CD2" w14:paraId="5527E063" w14:textId="77777777" w:rsidTr="00B048BC">
        <w:trPr>
          <w:trHeight w:val="315"/>
        </w:trPr>
        <w:tc>
          <w:tcPr>
            <w:tcW w:w="2127" w:type="dxa"/>
            <w:shd w:val="clear" w:color="auto" w:fill="auto"/>
            <w:noWrap/>
            <w:vAlign w:val="bottom"/>
            <w:hideMark/>
          </w:tcPr>
          <w:p w14:paraId="22C30939" w14:textId="77777777" w:rsidR="00725CD2" w:rsidRPr="00725CD2" w:rsidRDefault="00725CD2" w:rsidP="00725CD2">
            <w:pPr>
              <w:pStyle w:val="Body"/>
              <w:rPr>
                <w:rFonts w:ascii="Arial" w:hAnsi="Arial" w:cs="Arial"/>
                <w:lang w:val="pt-BR"/>
              </w:rPr>
            </w:pPr>
            <w:r w:rsidRPr="00725CD2">
              <w:rPr>
                <w:rFonts w:ascii="Arial" w:hAnsi="Arial" w:cs="Arial"/>
              </w:rPr>
              <w:t xml:space="preserve">probing depth </w:t>
            </w:r>
          </w:p>
        </w:tc>
        <w:tc>
          <w:tcPr>
            <w:tcW w:w="1417" w:type="dxa"/>
            <w:shd w:val="clear" w:color="auto" w:fill="auto"/>
            <w:noWrap/>
            <w:vAlign w:val="bottom"/>
            <w:hideMark/>
          </w:tcPr>
          <w:p w14:paraId="2F45982A" w14:textId="77777777" w:rsidR="00725CD2" w:rsidRPr="00725CD2" w:rsidRDefault="00725CD2" w:rsidP="00725CD2">
            <w:pPr>
              <w:pStyle w:val="Body"/>
              <w:rPr>
                <w:rFonts w:ascii="Arial" w:hAnsi="Arial" w:cs="Arial"/>
                <w:lang w:val="pt-BR"/>
              </w:rPr>
            </w:pPr>
            <w:r w:rsidRPr="00725CD2">
              <w:rPr>
                <w:rFonts w:ascii="Arial" w:hAnsi="Arial" w:cs="Arial"/>
              </w:rPr>
              <w:t>4.1 ± 0.5 mm</w:t>
            </w:r>
          </w:p>
        </w:tc>
        <w:tc>
          <w:tcPr>
            <w:tcW w:w="2126" w:type="dxa"/>
            <w:shd w:val="clear" w:color="auto" w:fill="auto"/>
            <w:noWrap/>
            <w:vAlign w:val="bottom"/>
            <w:hideMark/>
          </w:tcPr>
          <w:p w14:paraId="1BEB4F8A" w14:textId="77777777" w:rsidR="00725CD2" w:rsidRPr="00725CD2" w:rsidRDefault="00725CD2" w:rsidP="00725CD2">
            <w:pPr>
              <w:pStyle w:val="Body"/>
              <w:rPr>
                <w:rFonts w:ascii="Arial" w:hAnsi="Arial" w:cs="Arial"/>
                <w:lang w:val="pt-BR"/>
              </w:rPr>
            </w:pPr>
            <w:r w:rsidRPr="00725CD2">
              <w:rPr>
                <w:rFonts w:ascii="Arial" w:hAnsi="Arial" w:cs="Arial"/>
              </w:rPr>
              <w:t xml:space="preserve">5.7 ± 0.8 mm </w:t>
            </w:r>
          </w:p>
        </w:tc>
        <w:tc>
          <w:tcPr>
            <w:tcW w:w="1418" w:type="dxa"/>
            <w:shd w:val="clear" w:color="auto" w:fill="auto"/>
            <w:noWrap/>
            <w:vAlign w:val="bottom"/>
            <w:hideMark/>
          </w:tcPr>
          <w:p w14:paraId="2D57112A" w14:textId="77777777" w:rsidR="00725CD2" w:rsidRPr="00725CD2" w:rsidRDefault="00725CD2" w:rsidP="00725CD2">
            <w:pPr>
              <w:pStyle w:val="Body"/>
              <w:rPr>
                <w:rFonts w:ascii="Arial" w:hAnsi="Arial" w:cs="Arial"/>
                <w:lang w:val="pt-BR"/>
              </w:rPr>
            </w:pPr>
            <w:r w:rsidRPr="00725CD2">
              <w:rPr>
                <w:rFonts w:ascii="Arial" w:hAnsi="Arial" w:cs="Arial"/>
              </w:rPr>
              <w:t> </w:t>
            </w:r>
          </w:p>
        </w:tc>
        <w:tc>
          <w:tcPr>
            <w:tcW w:w="2552" w:type="dxa"/>
            <w:shd w:val="clear" w:color="auto" w:fill="auto"/>
            <w:noWrap/>
            <w:vAlign w:val="bottom"/>
            <w:hideMark/>
          </w:tcPr>
          <w:p w14:paraId="003A3C4C" w14:textId="77777777" w:rsidR="00725CD2" w:rsidRPr="00725CD2" w:rsidRDefault="00725CD2" w:rsidP="00725CD2">
            <w:pPr>
              <w:pStyle w:val="Body"/>
              <w:rPr>
                <w:rFonts w:ascii="Arial" w:hAnsi="Arial" w:cs="Arial"/>
                <w:b/>
                <w:bCs/>
                <w:lang w:val="pt-BR"/>
              </w:rPr>
            </w:pPr>
            <w:r w:rsidRPr="00725CD2">
              <w:rPr>
                <w:rFonts w:ascii="Arial" w:hAnsi="Arial" w:cs="Arial"/>
                <w:b/>
                <w:lang w:val="en"/>
              </w:rPr>
              <w:t>(P &lt; .001)</w:t>
            </w:r>
          </w:p>
        </w:tc>
      </w:tr>
      <w:bookmarkEnd w:id="9"/>
    </w:tbl>
    <w:p w14:paraId="75D81951" w14:textId="77777777" w:rsidR="00725CD2" w:rsidRPr="00725CD2" w:rsidRDefault="00725CD2" w:rsidP="00725CD2">
      <w:pPr>
        <w:pStyle w:val="Body"/>
        <w:spacing w:after="0"/>
        <w:rPr>
          <w:rFonts w:ascii="Arial" w:hAnsi="Arial" w:cs="Arial"/>
        </w:rPr>
      </w:pPr>
    </w:p>
    <w:p w14:paraId="31F39B62" w14:textId="77777777" w:rsidR="00725CD2" w:rsidRPr="00135004" w:rsidRDefault="00725CD2" w:rsidP="00135004">
      <w:pPr>
        <w:pStyle w:val="Body"/>
        <w:spacing w:after="0"/>
        <w:rPr>
          <w:rFonts w:ascii="Arial" w:hAnsi="Arial" w:cs="Arial"/>
        </w:rPr>
      </w:pPr>
    </w:p>
    <w:p w14:paraId="0D867647" w14:textId="77777777" w:rsidR="00135004" w:rsidRPr="00135004" w:rsidRDefault="00135004" w:rsidP="00135004">
      <w:pPr>
        <w:pStyle w:val="Body"/>
        <w:spacing w:after="0"/>
        <w:rPr>
          <w:rFonts w:ascii="Arial" w:hAnsi="Arial" w:cs="Arial"/>
        </w:rPr>
      </w:pPr>
    </w:p>
    <w:p w14:paraId="7A744380" w14:textId="77777777" w:rsidR="00135004" w:rsidRPr="00135004" w:rsidRDefault="00135004" w:rsidP="00135004">
      <w:pPr>
        <w:pStyle w:val="Body"/>
        <w:spacing w:after="0"/>
        <w:rPr>
          <w:rFonts w:ascii="Arial" w:hAnsi="Arial" w:cs="Arial"/>
          <w:b/>
          <w:bCs/>
        </w:rPr>
      </w:pPr>
      <w:r w:rsidRPr="00135004">
        <w:rPr>
          <w:rFonts w:ascii="Arial" w:hAnsi="Arial" w:cs="Arial"/>
          <w:b/>
          <w:bCs/>
        </w:rPr>
        <w:t xml:space="preserve">3.1 Bone Loss </w:t>
      </w:r>
    </w:p>
    <w:p w14:paraId="594E912A" w14:textId="04DCB694" w:rsidR="00135004" w:rsidRPr="00135004" w:rsidRDefault="00135004" w:rsidP="00135004">
      <w:pPr>
        <w:pStyle w:val="Body"/>
        <w:spacing w:after="0"/>
        <w:rPr>
          <w:rFonts w:ascii="Arial" w:hAnsi="Arial" w:cs="Arial"/>
        </w:rPr>
      </w:pPr>
      <w:r w:rsidRPr="00135004">
        <w:rPr>
          <w:rFonts w:ascii="Arial" w:hAnsi="Arial" w:cs="Arial"/>
        </w:rPr>
        <w:t xml:space="preserve"> The bone loss was higher in posterior implants, with an average of 3.3 mm, minimum 1.7 mm and maximum 5.0 mm </w:t>
      </w:r>
      <w:r w:rsidRPr="00135004">
        <w:rPr>
          <w:rFonts w:ascii="Arial" w:hAnsi="Arial" w:cs="Arial"/>
          <w:lang w:val="en"/>
        </w:rPr>
        <w:t>(P = .03)</w:t>
      </w:r>
      <w:r w:rsidRPr="00135004">
        <w:rPr>
          <w:rFonts w:ascii="Arial" w:hAnsi="Arial" w:cs="Arial"/>
        </w:rPr>
        <w:t xml:space="preserve">. For implants diagnosed with peri-implantitis, the average was </w:t>
      </w:r>
      <w:r w:rsidRPr="00135004">
        <w:rPr>
          <w:rFonts w:ascii="Arial" w:hAnsi="Arial" w:cs="Arial"/>
        </w:rPr>
        <w:lastRenderedPageBreak/>
        <w:t xml:space="preserve">4.0 mm, minimum 3.2 mm and maximum of 5.0 mm </w:t>
      </w:r>
      <w:r w:rsidRPr="00135004">
        <w:rPr>
          <w:rFonts w:ascii="Arial" w:hAnsi="Arial" w:cs="Arial"/>
          <w:lang w:val="en"/>
        </w:rPr>
        <w:t>(P &lt; .001)</w:t>
      </w:r>
      <w:r w:rsidRPr="00135004">
        <w:rPr>
          <w:rFonts w:ascii="Arial" w:hAnsi="Arial" w:cs="Arial"/>
        </w:rPr>
        <w:t xml:space="preserve">. For </w:t>
      </w:r>
      <w:r w:rsidR="00A50FF6">
        <w:rPr>
          <w:rFonts w:ascii="Arial" w:hAnsi="Arial" w:cs="Arial"/>
        </w:rPr>
        <w:t xml:space="preserve">the </w:t>
      </w:r>
      <w:r w:rsidRPr="00135004">
        <w:rPr>
          <w:rFonts w:ascii="Arial" w:hAnsi="Arial" w:cs="Arial"/>
        </w:rPr>
        <w:t xml:space="preserve">presence of biofilm, the average was 3.6 mm </w:t>
      </w:r>
      <w:r w:rsidRPr="00135004">
        <w:rPr>
          <w:rFonts w:ascii="Arial" w:hAnsi="Arial" w:cs="Arial"/>
          <w:lang w:val="en"/>
        </w:rPr>
        <w:t>(P &lt; .001)</w:t>
      </w:r>
      <w:r w:rsidRPr="00135004">
        <w:rPr>
          <w:rFonts w:ascii="Arial" w:hAnsi="Arial" w:cs="Arial"/>
        </w:rPr>
        <w:t xml:space="preserve"> and average for suppuration as 4.0 mm. </w:t>
      </w:r>
    </w:p>
    <w:p w14:paraId="3623E847" w14:textId="17A6CA51" w:rsidR="00135004" w:rsidRDefault="00135004" w:rsidP="00135004">
      <w:pPr>
        <w:pStyle w:val="Body"/>
        <w:spacing w:after="0"/>
        <w:rPr>
          <w:rFonts w:ascii="Arial" w:hAnsi="Arial" w:cs="Arial"/>
        </w:rPr>
      </w:pPr>
      <w:r w:rsidRPr="00135004">
        <w:rPr>
          <w:rFonts w:ascii="Arial" w:hAnsi="Arial" w:cs="Arial"/>
        </w:rPr>
        <w:t xml:space="preserve">The plaque index was </w:t>
      </w:r>
      <w:r w:rsidRPr="00640E12">
        <w:rPr>
          <w:rFonts w:ascii="Arial" w:hAnsi="Arial" w:cs="Arial"/>
          <w:highlight w:val="yellow"/>
        </w:rPr>
        <w:t xml:space="preserve">positive for 43 out of the 73 implants. The average bone loss for 43 implants, with </w:t>
      </w:r>
      <w:r w:rsidR="00A50FF6" w:rsidRPr="00640E12">
        <w:rPr>
          <w:rFonts w:ascii="Arial" w:hAnsi="Arial" w:cs="Arial"/>
          <w:highlight w:val="yellow"/>
        </w:rPr>
        <w:t xml:space="preserve">the </w:t>
      </w:r>
      <w:r w:rsidRPr="00640E12">
        <w:rPr>
          <w:rFonts w:ascii="Arial" w:hAnsi="Arial" w:cs="Arial"/>
          <w:highlight w:val="yellow"/>
        </w:rPr>
        <w:t xml:space="preserve">presence of plaque, was 3.6 mm, minimum of 1.6 mm and </w:t>
      </w:r>
      <w:r w:rsidR="00A50FF6" w:rsidRPr="00640E12">
        <w:rPr>
          <w:rFonts w:ascii="Arial" w:hAnsi="Arial" w:cs="Arial"/>
          <w:highlight w:val="yellow"/>
        </w:rPr>
        <w:t xml:space="preserve">a </w:t>
      </w:r>
      <w:r w:rsidRPr="00640E12">
        <w:rPr>
          <w:rFonts w:ascii="Arial" w:hAnsi="Arial" w:cs="Arial"/>
          <w:highlight w:val="yellow"/>
        </w:rPr>
        <w:t xml:space="preserve">maximum of 5.5 mm </w:t>
      </w:r>
      <w:r w:rsidRPr="00640E12">
        <w:rPr>
          <w:rFonts w:ascii="Arial" w:hAnsi="Arial" w:cs="Arial"/>
          <w:highlight w:val="yellow"/>
          <w:lang w:val="en"/>
        </w:rPr>
        <w:t>(P &lt; .001)</w:t>
      </w:r>
      <w:r w:rsidRPr="00640E12">
        <w:rPr>
          <w:rFonts w:ascii="Arial" w:hAnsi="Arial" w:cs="Arial"/>
          <w:highlight w:val="yellow"/>
        </w:rPr>
        <w:t>. From the implants</w:t>
      </w:r>
      <w:r w:rsidRPr="00135004">
        <w:rPr>
          <w:rFonts w:ascii="Arial" w:hAnsi="Arial" w:cs="Arial"/>
        </w:rPr>
        <w:t xml:space="preserve"> that presented suppuration, a total of 14, the average of bone loss was 4.0 mm </w:t>
      </w:r>
      <w:r w:rsidRPr="00135004">
        <w:rPr>
          <w:rFonts w:ascii="Arial" w:hAnsi="Arial" w:cs="Arial"/>
          <w:lang w:val="en"/>
        </w:rPr>
        <w:t>(P &lt; .001)</w:t>
      </w:r>
      <w:r w:rsidRPr="00135004">
        <w:rPr>
          <w:rFonts w:ascii="Arial" w:hAnsi="Arial" w:cs="Arial"/>
        </w:rPr>
        <w:t xml:space="preserve">. It is possible to observe on table 2 that bleeding on probing and maintenance did not present statistical differences regarding bone loss. However, bone loss was associated with position, posterior implants, and the presence of biofilm and suppuration, </w:t>
      </w:r>
      <w:r w:rsidRPr="00640E12">
        <w:rPr>
          <w:rFonts w:ascii="Arial" w:hAnsi="Arial" w:cs="Arial"/>
          <w:highlight w:val="yellow"/>
        </w:rPr>
        <w:t xml:space="preserve">presenting </w:t>
      </w:r>
      <w:r w:rsidR="00A50FF6" w:rsidRPr="00640E12">
        <w:rPr>
          <w:rFonts w:ascii="Arial" w:hAnsi="Arial" w:cs="Arial"/>
          <w:highlight w:val="yellow"/>
        </w:rPr>
        <w:t xml:space="preserve">a </w:t>
      </w:r>
      <w:r w:rsidRPr="00640E12">
        <w:rPr>
          <w:rFonts w:ascii="Arial" w:hAnsi="Arial" w:cs="Arial"/>
          <w:highlight w:val="yellow"/>
        </w:rPr>
        <w:t>statistical significance level of 5%, which show</w:t>
      </w:r>
      <w:r w:rsidR="00A50FF6" w:rsidRPr="00640E12">
        <w:rPr>
          <w:rFonts w:ascii="Arial" w:hAnsi="Arial" w:cs="Arial"/>
          <w:highlight w:val="yellow"/>
        </w:rPr>
        <w:t>s</w:t>
      </w:r>
      <w:r w:rsidRPr="00135004">
        <w:rPr>
          <w:rFonts w:ascii="Arial" w:hAnsi="Arial" w:cs="Arial"/>
        </w:rPr>
        <w:t xml:space="preserve"> a correlation between bone loss and the respective previously mentioned variables. </w:t>
      </w:r>
    </w:p>
    <w:p w14:paraId="01240CA4" w14:textId="77777777" w:rsidR="00725CD2" w:rsidRDefault="00725CD2" w:rsidP="00135004">
      <w:pPr>
        <w:pStyle w:val="Body"/>
        <w:spacing w:after="0"/>
        <w:rPr>
          <w:rFonts w:ascii="Arial" w:hAnsi="Arial" w:cs="Arial"/>
        </w:rPr>
      </w:pPr>
    </w:p>
    <w:p w14:paraId="170C4D5C" w14:textId="09A2B0E8" w:rsidR="00725CD2" w:rsidRPr="00135004" w:rsidRDefault="00725CD2" w:rsidP="00135004">
      <w:pPr>
        <w:pStyle w:val="Body"/>
        <w:spacing w:after="0"/>
        <w:rPr>
          <w:rFonts w:ascii="Arial" w:hAnsi="Arial" w:cs="Arial"/>
        </w:rPr>
      </w:pPr>
    </w:p>
    <w:p w14:paraId="6B94E779" w14:textId="77777777" w:rsidR="00D124DA" w:rsidRPr="00257C6F" w:rsidRDefault="00135004" w:rsidP="00D124DA">
      <w:pPr>
        <w:spacing w:line="480" w:lineRule="auto"/>
        <w:jc w:val="both"/>
        <w:rPr>
          <w:rFonts w:ascii="Arial" w:eastAsia="Calibri" w:hAnsi="Arial" w:cs="Arial"/>
        </w:rPr>
      </w:pPr>
      <w:r w:rsidRPr="00135004">
        <w:rPr>
          <w:rFonts w:ascii="Arial" w:hAnsi="Arial" w:cs="Arial"/>
        </w:rPr>
        <w:t xml:space="preserve"> </w:t>
      </w:r>
      <w:bookmarkStart w:id="10" w:name="_Hlk135376787"/>
    </w:p>
    <w:tbl>
      <w:tblPr>
        <w:tblpPr w:leftFromText="141" w:rightFromText="141" w:vertAnchor="text" w:horzAnchor="page" w:tblpX="1009" w:tblpY="-24"/>
        <w:tblW w:w="11391" w:type="dxa"/>
        <w:tblCellMar>
          <w:left w:w="70" w:type="dxa"/>
          <w:right w:w="70" w:type="dxa"/>
        </w:tblCellMar>
        <w:tblLook w:val="04A0" w:firstRow="1" w:lastRow="0" w:firstColumn="1" w:lastColumn="0" w:noHBand="0" w:noVBand="1"/>
      </w:tblPr>
      <w:tblGrid>
        <w:gridCol w:w="1701"/>
        <w:gridCol w:w="567"/>
        <w:gridCol w:w="885"/>
        <w:gridCol w:w="675"/>
        <w:gridCol w:w="708"/>
        <w:gridCol w:w="709"/>
        <w:gridCol w:w="952"/>
        <w:gridCol w:w="796"/>
        <w:gridCol w:w="1087"/>
        <w:gridCol w:w="709"/>
        <w:gridCol w:w="2602"/>
      </w:tblGrid>
      <w:tr w:rsidR="00D124DA" w:rsidRPr="00605B40" w14:paraId="301D20E2" w14:textId="77777777" w:rsidTr="001F3376">
        <w:trPr>
          <w:trHeight w:val="300"/>
        </w:trPr>
        <w:tc>
          <w:tcPr>
            <w:tcW w:w="1701" w:type="dxa"/>
            <w:tcBorders>
              <w:top w:val="single" w:sz="4" w:space="0" w:color="auto"/>
              <w:left w:val="nil"/>
              <w:bottom w:val="nil"/>
              <w:right w:val="nil"/>
            </w:tcBorders>
            <w:shd w:val="clear" w:color="auto" w:fill="auto"/>
            <w:noWrap/>
            <w:vAlign w:val="bottom"/>
            <w:hideMark/>
          </w:tcPr>
          <w:p w14:paraId="4A810D7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lastRenderedPageBreak/>
              <w:t> </w:t>
            </w:r>
          </w:p>
        </w:tc>
        <w:tc>
          <w:tcPr>
            <w:tcW w:w="567" w:type="dxa"/>
            <w:tcBorders>
              <w:top w:val="single" w:sz="4" w:space="0" w:color="auto"/>
              <w:left w:val="nil"/>
              <w:bottom w:val="nil"/>
              <w:right w:val="nil"/>
            </w:tcBorders>
            <w:shd w:val="clear" w:color="auto" w:fill="auto"/>
            <w:noWrap/>
            <w:vAlign w:val="bottom"/>
            <w:hideMark/>
          </w:tcPr>
          <w:p w14:paraId="53EE2F20"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w:t>
            </w:r>
          </w:p>
        </w:tc>
        <w:tc>
          <w:tcPr>
            <w:tcW w:w="885" w:type="dxa"/>
            <w:tcBorders>
              <w:top w:val="single" w:sz="4" w:space="0" w:color="auto"/>
              <w:left w:val="nil"/>
              <w:bottom w:val="nil"/>
              <w:right w:val="nil"/>
            </w:tcBorders>
            <w:shd w:val="clear" w:color="auto" w:fill="auto"/>
            <w:noWrap/>
            <w:vAlign w:val="bottom"/>
            <w:hideMark/>
          </w:tcPr>
          <w:p w14:paraId="7392AE7F"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w:t>
            </w:r>
          </w:p>
        </w:tc>
        <w:tc>
          <w:tcPr>
            <w:tcW w:w="675" w:type="dxa"/>
            <w:tcBorders>
              <w:top w:val="single" w:sz="4" w:space="0" w:color="auto"/>
              <w:left w:val="nil"/>
              <w:bottom w:val="nil"/>
              <w:right w:val="nil"/>
            </w:tcBorders>
            <w:shd w:val="clear" w:color="auto" w:fill="auto"/>
            <w:noWrap/>
            <w:vAlign w:val="bottom"/>
            <w:hideMark/>
          </w:tcPr>
          <w:p w14:paraId="5D3D301A"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w:t>
            </w:r>
          </w:p>
        </w:tc>
        <w:tc>
          <w:tcPr>
            <w:tcW w:w="708" w:type="dxa"/>
            <w:tcBorders>
              <w:top w:val="single" w:sz="4" w:space="0" w:color="auto"/>
              <w:left w:val="nil"/>
              <w:bottom w:val="nil"/>
              <w:right w:val="nil"/>
            </w:tcBorders>
            <w:shd w:val="clear" w:color="auto" w:fill="auto"/>
            <w:noWrap/>
            <w:vAlign w:val="bottom"/>
            <w:hideMark/>
          </w:tcPr>
          <w:p w14:paraId="0F6B39ED" w14:textId="77777777" w:rsidR="00D124DA" w:rsidRPr="00257C6F" w:rsidRDefault="00D124DA" w:rsidP="001F3376">
            <w:pPr>
              <w:spacing w:line="480" w:lineRule="auto"/>
              <w:rPr>
                <w:rFonts w:ascii="Arial" w:hAnsi="Arial" w:cs="Arial"/>
                <w:color w:val="000000"/>
                <w:lang w:eastAsia="pt-BR"/>
              </w:rPr>
            </w:pPr>
          </w:p>
        </w:tc>
        <w:tc>
          <w:tcPr>
            <w:tcW w:w="709" w:type="dxa"/>
            <w:tcBorders>
              <w:top w:val="single" w:sz="4" w:space="0" w:color="auto"/>
              <w:left w:val="nil"/>
              <w:bottom w:val="nil"/>
              <w:right w:val="nil"/>
            </w:tcBorders>
            <w:shd w:val="clear" w:color="auto" w:fill="auto"/>
            <w:noWrap/>
            <w:vAlign w:val="bottom"/>
            <w:hideMark/>
          </w:tcPr>
          <w:p w14:paraId="1F9A02D4"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w:t>
            </w:r>
          </w:p>
        </w:tc>
        <w:tc>
          <w:tcPr>
            <w:tcW w:w="952" w:type="dxa"/>
            <w:tcBorders>
              <w:top w:val="single" w:sz="4" w:space="0" w:color="auto"/>
              <w:left w:val="nil"/>
              <w:bottom w:val="nil"/>
              <w:right w:val="nil"/>
            </w:tcBorders>
            <w:shd w:val="clear" w:color="auto" w:fill="auto"/>
            <w:noWrap/>
            <w:vAlign w:val="bottom"/>
            <w:hideMark/>
          </w:tcPr>
          <w:p w14:paraId="726B4EA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w:t>
            </w:r>
          </w:p>
        </w:tc>
        <w:tc>
          <w:tcPr>
            <w:tcW w:w="796" w:type="dxa"/>
            <w:tcBorders>
              <w:top w:val="single" w:sz="4" w:space="0" w:color="auto"/>
              <w:left w:val="nil"/>
              <w:bottom w:val="nil"/>
              <w:right w:val="nil"/>
            </w:tcBorders>
            <w:shd w:val="clear" w:color="auto" w:fill="auto"/>
            <w:noWrap/>
            <w:vAlign w:val="bottom"/>
            <w:hideMark/>
          </w:tcPr>
          <w:p w14:paraId="19B5ACD2"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w:t>
            </w:r>
          </w:p>
        </w:tc>
        <w:tc>
          <w:tcPr>
            <w:tcW w:w="1087" w:type="dxa"/>
            <w:tcBorders>
              <w:top w:val="single" w:sz="4" w:space="0" w:color="auto"/>
              <w:left w:val="nil"/>
              <w:bottom w:val="nil"/>
              <w:right w:val="nil"/>
            </w:tcBorders>
            <w:shd w:val="clear" w:color="auto" w:fill="auto"/>
            <w:noWrap/>
            <w:vAlign w:val="bottom"/>
            <w:hideMark/>
          </w:tcPr>
          <w:p w14:paraId="69B3BED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w:t>
            </w:r>
          </w:p>
        </w:tc>
        <w:tc>
          <w:tcPr>
            <w:tcW w:w="709" w:type="dxa"/>
            <w:tcBorders>
              <w:top w:val="single" w:sz="4" w:space="0" w:color="auto"/>
              <w:left w:val="nil"/>
              <w:bottom w:val="nil"/>
              <w:right w:val="nil"/>
            </w:tcBorders>
            <w:shd w:val="clear" w:color="auto" w:fill="auto"/>
            <w:noWrap/>
            <w:vAlign w:val="bottom"/>
            <w:hideMark/>
          </w:tcPr>
          <w:p w14:paraId="2FAD340B"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w:t>
            </w:r>
          </w:p>
        </w:tc>
        <w:tc>
          <w:tcPr>
            <w:tcW w:w="2602" w:type="dxa"/>
            <w:tcBorders>
              <w:top w:val="single" w:sz="4" w:space="0" w:color="auto"/>
              <w:left w:val="nil"/>
              <w:bottom w:val="nil"/>
              <w:right w:val="nil"/>
            </w:tcBorders>
            <w:shd w:val="clear" w:color="auto" w:fill="auto"/>
            <w:noWrap/>
            <w:vAlign w:val="bottom"/>
            <w:hideMark/>
          </w:tcPr>
          <w:p w14:paraId="22B2601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w:t>
            </w:r>
          </w:p>
        </w:tc>
      </w:tr>
      <w:tr w:rsidR="00D124DA" w:rsidRPr="00257C6F" w14:paraId="542E2C1E" w14:textId="77777777" w:rsidTr="001F3376">
        <w:trPr>
          <w:trHeight w:val="300"/>
        </w:trPr>
        <w:tc>
          <w:tcPr>
            <w:tcW w:w="1701" w:type="dxa"/>
            <w:tcBorders>
              <w:top w:val="nil"/>
              <w:left w:val="nil"/>
              <w:bottom w:val="nil"/>
              <w:right w:val="nil"/>
            </w:tcBorders>
            <w:shd w:val="clear" w:color="auto" w:fill="auto"/>
            <w:noWrap/>
            <w:vAlign w:val="bottom"/>
            <w:hideMark/>
          </w:tcPr>
          <w:p w14:paraId="68833F5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xml:space="preserve">Variable </w:t>
            </w:r>
          </w:p>
        </w:tc>
        <w:tc>
          <w:tcPr>
            <w:tcW w:w="567" w:type="dxa"/>
            <w:tcBorders>
              <w:top w:val="nil"/>
              <w:left w:val="nil"/>
              <w:bottom w:val="nil"/>
              <w:right w:val="nil"/>
            </w:tcBorders>
            <w:shd w:val="clear" w:color="auto" w:fill="auto"/>
            <w:noWrap/>
            <w:vAlign w:val="bottom"/>
            <w:hideMark/>
          </w:tcPr>
          <w:p w14:paraId="0E22B4A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N</w:t>
            </w:r>
          </w:p>
        </w:tc>
        <w:tc>
          <w:tcPr>
            <w:tcW w:w="885" w:type="dxa"/>
            <w:tcBorders>
              <w:top w:val="nil"/>
              <w:left w:val="nil"/>
              <w:bottom w:val="nil"/>
              <w:right w:val="nil"/>
            </w:tcBorders>
            <w:shd w:val="clear" w:color="auto" w:fill="auto"/>
            <w:noWrap/>
            <w:vAlign w:val="bottom"/>
            <w:hideMark/>
          </w:tcPr>
          <w:p w14:paraId="6478D9F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Average</w:t>
            </w:r>
          </w:p>
        </w:tc>
        <w:tc>
          <w:tcPr>
            <w:tcW w:w="675" w:type="dxa"/>
            <w:tcBorders>
              <w:top w:val="nil"/>
              <w:left w:val="nil"/>
              <w:bottom w:val="nil"/>
              <w:right w:val="nil"/>
            </w:tcBorders>
            <w:shd w:val="clear" w:color="auto" w:fill="auto"/>
            <w:noWrap/>
            <w:vAlign w:val="bottom"/>
            <w:hideMark/>
          </w:tcPr>
          <w:p w14:paraId="0B4E78CE"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SD</w:t>
            </w:r>
          </w:p>
        </w:tc>
        <w:tc>
          <w:tcPr>
            <w:tcW w:w="708" w:type="dxa"/>
            <w:tcBorders>
              <w:top w:val="nil"/>
              <w:left w:val="nil"/>
              <w:bottom w:val="nil"/>
              <w:right w:val="nil"/>
            </w:tcBorders>
            <w:shd w:val="clear" w:color="auto" w:fill="auto"/>
            <w:noWrap/>
            <w:vAlign w:val="bottom"/>
            <w:hideMark/>
          </w:tcPr>
          <w:p w14:paraId="5C7D206B"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CI</w:t>
            </w:r>
          </w:p>
        </w:tc>
        <w:tc>
          <w:tcPr>
            <w:tcW w:w="709" w:type="dxa"/>
            <w:tcBorders>
              <w:top w:val="nil"/>
              <w:left w:val="nil"/>
              <w:bottom w:val="nil"/>
              <w:right w:val="nil"/>
            </w:tcBorders>
            <w:shd w:val="clear" w:color="auto" w:fill="auto"/>
            <w:noWrap/>
            <w:vAlign w:val="bottom"/>
            <w:hideMark/>
          </w:tcPr>
          <w:p w14:paraId="4751A1CE"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Min</w:t>
            </w:r>
          </w:p>
        </w:tc>
        <w:tc>
          <w:tcPr>
            <w:tcW w:w="952" w:type="dxa"/>
            <w:tcBorders>
              <w:top w:val="nil"/>
              <w:left w:val="nil"/>
              <w:bottom w:val="nil"/>
              <w:right w:val="nil"/>
            </w:tcBorders>
            <w:shd w:val="clear" w:color="auto" w:fill="auto"/>
            <w:noWrap/>
            <w:vAlign w:val="bottom"/>
            <w:hideMark/>
          </w:tcPr>
          <w:p w14:paraId="21B93C1F"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1Quartile</w:t>
            </w:r>
          </w:p>
        </w:tc>
        <w:tc>
          <w:tcPr>
            <w:tcW w:w="796" w:type="dxa"/>
            <w:tcBorders>
              <w:top w:val="nil"/>
              <w:left w:val="nil"/>
              <w:bottom w:val="nil"/>
              <w:right w:val="nil"/>
            </w:tcBorders>
            <w:shd w:val="clear" w:color="auto" w:fill="auto"/>
            <w:noWrap/>
            <w:vAlign w:val="bottom"/>
            <w:hideMark/>
          </w:tcPr>
          <w:p w14:paraId="5A44346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Median</w:t>
            </w:r>
          </w:p>
        </w:tc>
        <w:tc>
          <w:tcPr>
            <w:tcW w:w="1087" w:type="dxa"/>
            <w:tcBorders>
              <w:top w:val="nil"/>
              <w:left w:val="nil"/>
              <w:bottom w:val="nil"/>
              <w:right w:val="nil"/>
            </w:tcBorders>
            <w:shd w:val="clear" w:color="auto" w:fill="auto"/>
            <w:noWrap/>
            <w:vAlign w:val="bottom"/>
            <w:hideMark/>
          </w:tcPr>
          <w:p w14:paraId="059AFD4F"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3Quartile</w:t>
            </w:r>
          </w:p>
        </w:tc>
        <w:tc>
          <w:tcPr>
            <w:tcW w:w="709" w:type="dxa"/>
            <w:tcBorders>
              <w:top w:val="nil"/>
              <w:left w:val="nil"/>
              <w:bottom w:val="nil"/>
              <w:right w:val="nil"/>
            </w:tcBorders>
            <w:shd w:val="clear" w:color="auto" w:fill="auto"/>
            <w:noWrap/>
            <w:vAlign w:val="bottom"/>
            <w:hideMark/>
          </w:tcPr>
          <w:p w14:paraId="25F4616B"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Max</w:t>
            </w:r>
          </w:p>
        </w:tc>
        <w:tc>
          <w:tcPr>
            <w:tcW w:w="2602" w:type="dxa"/>
            <w:tcBorders>
              <w:top w:val="nil"/>
              <w:left w:val="nil"/>
              <w:bottom w:val="nil"/>
              <w:right w:val="nil"/>
            </w:tcBorders>
            <w:shd w:val="clear" w:color="auto" w:fill="auto"/>
            <w:noWrap/>
            <w:vAlign w:val="bottom"/>
            <w:hideMark/>
          </w:tcPr>
          <w:p w14:paraId="2B4A15AC"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xml:space="preserve">p </w:t>
            </w:r>
          </w:p>
        </w:tc>
      </w:tr>
      <w:tr w:rsidR="00D124DA" w:rsidRPr="00257C6F" w14:paraId="355F5FA8" w14:textId="77777777" w:rsidTr="001F3376">
        <w:trPr>
          <w:trHeight w:val="300"/>
        </w:trPr>
        <w:tc>
          <w:tcPr>
            <w:tcW w:w="1701" w:type="dxa"/>
            <w:tcBorders>
              <w:top w:val="nil"/>
              <w:left w:val="nil"/>
              <w:bottom w:val="nil"/>
              <w:right w:val="nil"/>
            </w:tcBorders>
            <w:shd w:val="clear" w:color="auto" w:fill="auto"/>
            <w:noWrap/>
            <w:vAlign w:val="bottom"/>
            <w:hideMark/>
          </w:tcPr>
          <w:p w14:paraId="0A5F636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Peri-implantitis</w:t>
            </w:r>
          </w:p>
        </w:tc>
        <w:tc>
          <w:tcPr>
            <w:tcW w:w="567" w:type="dxa"/>
            <w:tcBorders>
              <w:top w:val="nil"/>
              <w:left w:val="nil"/>
              <w:bottom w:val="nil"/>
              <w:right w:val="nil"/>
            </w:tcBorders>
            <w:shd w:val="clear" w:color="auto" w:fill="auto"/>
            <w:noWrap/>
            <w:vAlign w:val="bottom"/>
            <w:hideMark/>
          </w:tcPr>
          <w:p w14:paraId="08760EF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37</w:t>
            </w:r>
          </w:p>
        </w:tc>
        <w:tc>
          <w:tcPr>
            <w:tcW w:w="885" w:type="dxa"/>
            <w:tcBorders>
              <w:top w:val="nil"/>
              <w:left w:val="nil"/>
              <w:bottom w:val="nil"/>
              <w:right w:val="nil"/>
            </w:tcBorders>
            <w:shd w:val="clear" w:color="auto" w:fill="auto"/>
            <w:noWrap/>
            <w:vAlign w:val="bottom"/>
            <w:hideMark/>
          </w:tcPr>
          <w:p w14:paraId="3429B0D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3.99</w:t>
            </w:r>
          </w:p>
        </w:tc>
        <w:tc>
          <w:tcPr>
            <w:tcW w:w="675" w:type="dxa"/>
            <w:tcBorders>
              <w:top w:val="nil"/>
              <w:left w:val="nil"/>
              <w:bottom w:val="nil"/>
              <w:right w:val="nil"/>
            </w:tcBorders>
            <w:shd w:val="clear" w:color="auto" w:fill="auto"/>
            <w:noWrap/>
            <w:vAlign w:val="bottom"/>
            <w:hideMark/>
          </w:tcPr>
          <w:p w14:paraId="3E71F30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0.53</w:t>
            </w:r>
          </w:p>
        </w:tc>
        <w:tc>
          <w:tcPr>
            <w:tcW w:w="708" w:type="dxa"/>
            <w:tcBorders>
              <w:top w:val="nil"/>
              <w:left w:val="nil"/>
              <w:bottom w:val="nil"/>
              <w:right w:val="nil"/>
            </w:tcBorders>
            <w:shd w:val="clear" w:color="auto" w:fill="auto"/>
            <w:noWrap/>
            <w:vAlign w:val="bottom"/>
            <w:hideMark/>
          </w:tcPr>
          <w:p w14:paraId="34856C5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w:t>
            </w:r>
          </w:p>
        </w:tc>
        <w:tc>
          <w:tcPr>
            <w:tcW w:w="709" w:type="dxa"/>
            <w:tcBorders>
              <w:top w:val="nil"/>
              <w:left w:val="nil"/>
              <w:bottom w:val="nil"/>
              <w:right w:val="nil"/>
            </w:tcBorders>
            <w:shd w:val="clear" w:color="auto" w:fill="auto"/>
            <w:noWrap/>
            <w:vAlign w:val="bottom"/>
            <w:hideMark/>
          </w:tcPr>
          <w:p w14:paraId="7D996DA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3.2</w:t>
            </w:r>
          </w:p>
        </w:tc>
        <w:tc>
          <w:tcPr>
            <w:tcW w:w="952" w:type="dxa"/>
            <w:tcBorders>
              <w:top w:val="nil"/>
              <w:left w:val="nil"/>
              <w:bottom w:val="nil"/>
              <w:right w:val="nil"/>
            </w:tcBorders>
            <w:shd w:val="clear" w:color="auto" w:fill="auto"/>
            <w:noWrap/>
            <w:vAlign w:val="bottom"/>
            <w:hideMark/>
          </w:tcPr>
          <w:p w14:paraId="020FFCFB"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3.5</w:t>
            </w:r>
          </w:p>
        </w:tc>
        <w:tc>
          <w:tcPr>
            <w:tcW w:w="796" w:type="dxa"/>
            <w:tcBorders>
              <w:top w:val="nil"/>
              <w:left w:val="nil"/>
              <w:bottom w:val="nil"/>
              <w:right w:val="nil"/>
            </w:tcBorders>
            <w:shd w:val="clear" w:color="auto" w:fill="auto"/>
            <w:noWrap/>
            <w:vAlign w:val="bottom"/>
            <w:hideMark/>
          </w:tcPr>
          <w:p w14:paraId="3A68D8EA"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3.9</w:t>
            </w:r>
          </w:p>
        </w:tc>
        <w:tc>
          <w:tcPr>
            <w:tcW w:w="1087" w:type="dxa"/>
            <w:tcBorders>
              <w:top w:val="nil"/>
              <w:left w:val="nil"/>
              <w:bottom w:val="nil"/>
              <w:right w:val="nil"/>
            </w:tcBorders>
            <w:shd w:val="clear" w:color="auto" w:fill="auto"/>
            <w:noWrap/>
            <w:vAlign w:val="bottom"/>
            <w:hideMark/>
          </w:tcPr>
          <w:p w14:paraId="63565788"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4.5</w:t>
            </w:r>
          </w:p>
        </w:tc>
        <w:tc>
          <w:tcPr>
            <w:tcW w:w="709" w:type="dxa"/>
            <w:tcBorders>
              <w:top w:val="nil"/>
              <w:left w:val="nil"/>
              <w:bottom w:val="nil"/>
              <w:right w:val="nil"/>
            </w:tcBorders>
            <w:shd w:val="clear" w:color="auto" w:fill="auto"/>
            <w:noWrap/>
            <w:vAlign w:val="bottom"/>
            <w:hideMark/>
          </w:tcPr>
          <w:p w14:paraId="0268FB0A"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5</w:t>
            </w:r>
          </w:p>
        </w:tc>
        <w:tc>
          <w:tcPr>
            <w:tcW w:w="2602" w:type="dxa"/>
            <w:tcBorders>
              <w:top w:val="nil"/>
              <w:left w:val="nil"/>
              <w:bottom w:val="nil"/>
              <w:right w:val="nil"/>
            </w:tcBorders>
            <w:shd w:val="clear" w:color="auto" w:fill="auto"/>
            <w:noWrap/>
            <w:vAlign w:val="bottom"/>
            <w:hideMark/>
          </w:tcPr>
          <w:p w14:paraId="10736110" w14:textId="77777777" w:rsidR="00D124DA" w:rsidRPr="00257C6F" w:rsidRDefault="00D124DA" w:rsidP="001F3376">
            <w:pPr>
              <w:spacing w:line="480" w:lineRule="auto"/>
              <w:rPr>
                <w:rFonts w:ascii="Arial" w:hAnsi="Arial" w:cs="Arial"/>
                <w:b/>
                <w:bCs/>
                <w:color w:val="000000"/>
                <w:lang w:eastAsia="pt-BR"/>
              </w:rPr>
            </w:pPr>
            <w:r w:rsidRPr="00257C6F">
              <w:rPr>
                <w:rFonts w:ascii="Arial" w:hAnsi="Arial" w:cs="Arial"/>
                <w:b/>
                <w:bCs/>
                <w:color w:val="000000"/>
                <w:lang w:eastAsia="pt-BR"/>
              </w:rPr>
              <w:t>p &lt; 0.001</w:t>
            </w:r>
          </w:p>
        </w:tc>
      </w:tr>
      <w:tr w:rsidR="00D124DA" w:rsidRPr="00257C6F" w14:paraId="1303EB5E" w14:textId="77777777" w:rsidTr="001F3376">
        <w:trPr>
          <w:trHeight w:val="300"/>
        </w:trPr>
        <w:tc>
          <w:tcPr>
            <w:tcW w:w="1701" w:type="dxa"/>
            <w:tcBorders>
              <w:top w:val="nil"/>
              <w:left w:val="nil"/>
              <w:bottom w:val="nil"/>
              <w:right w:val="nil"/>
            </w:tcBorders>
            <w:shd w:val="clear" w:color="auto" w:fill="auto"/>
            <w:noWrap/>
            <w:vAlign w:val="bottom"/>
            <w:hideMark/>
          </w:tcPr>
          <w:p w14:paraId="26E58D6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Health</w:t>
            </w:r>
          </w:p>
        </w:tc>
        <w:tc>
          <w:tcPr>
            <w:tcW w:w="567" w:type="dxa"/>
            <w:tcBorders>
              <w:top w:val="nil"/>
              <w:left w:val="nil"/>
              <w:bottom w:val="nil"/>
              <w:right w:val="nil"/>
            </w:tcBorders>
            <w:shd w:val="clear" w:color="auto" w:fill="auto"/>
            <w:noWrap/>
            <w:vAlign w:val="bottom"/>
            <w:hideMark/>
          </w:tcPr>
          <w:p w14:paraId="4F6E1B9B"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36</w:t>
            </w:r>
          </w:p>
        </w:tc>
        <w:tc>
          <w:tcPr>
            <w:tcW w:w="885" w:type="dxa"/>
            <w:tcBorders>
              <w:top w:val="nil"/>
              <w:left w:val="nil"/>
              <w:bottom w:val="nil"/>
              <w:right w:val="nil"/>
            </w:tcBorders>
            <w:shd w:val="clear" w:color="auto" w:fill="auto"/>
            <w:noWrap/>
            <w:vAlign w:val="bottom"/>
            <w:hideMark/>
          </w:tcPr>
          <w:p w14:paraId="4E25E0D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2.33</w:t>
            </w:r>
          </w:p>
        </w:tc>
        <w:tc>
          <w:tcPr>
            <w:tcW w:w="675" w:type="dxa"/>
            <w:tcBorders>
              <w:top w:val="nil"/>
              <w:left w:val="nil"/>
              <w:bottom w:val="nil"/>
              <w:right w:val="nil"/>
            </w:tcBorders>
            <w:shd w:val="clear" w:color="auto" w:fill="auto"/>
            <w:noWrap/>
            <w:vAlign w:val="bottom"/>
            <w:hideMark/>
          </w:tcPr>
          <w:p w14:paraId="1E2EDE7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0.46</w:t>
            </w:r>
          </w:p>
        </w:tc>
        <w:tc>
          <w:tcPr>
            <w:tcW w:w="708" w:type="dxa"/>
            <w:tcBorders>
              <w:top w:val="nil"/>
              <w:left w:val="nil"/>
              <w:bottom w:val="nil"/>
              <w:right w:val="nil"/>
            </w:tcBorders>
            <w:shd w:val="clear" w:color="auto" w:fill="auto"/>
            <w:noWrap/>
            <w:vAlign w:val="bottom"/>
            <w:hideMark/>
          </w:tcPr>
          <w:p w14:paraId="071A211A"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0.525</w:t>
            </w:r>
          </w:p>
        </w:tc>
        <w:tc>
          <w:tcPr>
            <w:tcW w:w="709" w:type="dxa"/>
            <w:tcBorders>
              <w:top w:val="nil"/>
              <w:left w:val="nil"/>
              <w:bottom w:val="nil"/>
              <w:right w:val="nil"/>
            </w:tcBorders>
            <w:shd w:val="clear" w:color="auto" w:fill="auto"/>
            <w:noWrap/>
            <w:vAlign w:val="bottom"/>
            <w:hideMark/>
          </w:tcPr>
          <w:p w14:paraId="1074A50F"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w:t>
            </w:r>
          </w:p>
        </w:tc>
        <w:tc>
          <w:tcPr>
            <w:tcW w:w="952" w:type="dxa"/>
            <w:tcBorders>
              <w:top w:val="nil"/>
              <w:left w:val="nil"/>
              <w:bottom w:val="nil"/>
              <w:right w:val="nil"/>
            </w:tcBorders>
            <w:shd w:val="clear" w:color="auto" w:fill="auto"/>
            <w:noWrap/>
            <w:vAlign w:val="bottom"/>
            <w:hideMark/>
          </w:tcPr>
          <w:p w14:paraId="65ECF648"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2.1</w:t>
            </w:r>
          </w:p>
        </w:tc>
        <w:tc>
          <w:tcPr>
            <w:tcW w:w="796" w:type="dxa"/>
            <w:tcBorders>
              <w:top w:val="nil"/>
              <w:left w:val="nil"/>
              <w:bottom w:val="nil"/>
              <w:right w:val="nil"/>
            </w:tcBorders>
            <w:shd w:val="clear" w:color="auto" w:fill="auto"/>
            <w:noWrap/>
            <w:vAlign w:val="bottom"/>
            <w:hideMark/>
          </w:tcPr>
          <w:p w14:paraId="4EB10D1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2.2</w:t>
            </w:r>
          </w:p>
        </w:tc>
        <w:tc>
          <w:tcPr>
            <w:tcW w:w="1087" w:type="dxa"/>
            <w:tcBorders>
              <w:top w:val="nil"/>
              <w:left w:val="nil"/>
              <w:bottom w:val="nil"/>
              <w:right w:val="nil"/>
            </w:tcBorders>
            <w:shd w:val="clear" w:color="auto" w:fill="auto"/>
            <w:noWrap/>
            <w:vAlign w:val="bottom"/>
            <w:hideMark/>
          </w:tcPr>
          <w:p w14:paraId="794FD22A"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2.625</w:t>
            </w:r>
          </w:p>
        </w:tc>
        <w:tc>
          <w:tcPr>
            <w:tcW w:w="709" w:type="dxa"/>
            <w:tcBorders>
              <w:top w:val="nil"/>
              <w:left w:val="nil"/>
              <w:bottom w:val="nil"/>
              <w:right w:val="nil"/>
            </w:tcBorders>
            <w:shd w:val="clear" w:color="auto" w:fill="auto"/>
            <w:noWrap/>
            <w:vAlign w:val="bottom"/>
            <w:hideMark/>
          </w:tcPr>
          <w:p w14:paraId="063E98E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3.8</w:t>
            </w:r>
          </w:p>
        </w:tc>
        <w:tc>
          <w:tcPr>
            <w:tcW w:w="2602" w:type="dxa"/>
            <w:tcBorders>
              <w:top w:val="nil"/>
              <w:left w:val="nil"/>
              <w:bottom w:val="nil"/>
              <w:right w:val="nil"/>
            </w:tcBorders>
            <w:shd w:val="clear" w:color="auto" w:fill="auto"/>
            <w:noWrap/>
            <w:vAlign w:val="bottom"/>
            <w:hideMark/>
          </w:tcPr>
          <w:p w14:paraId="2A7CDBAB" w14:textId="77777777" w:rsidR="00D124DA" w:rsidRPr="00257C6F" w:rsidRDefault="00D124DA" w:rsidP="001F3376">
            <w:pPr>
              <w:spacing w:line="480" w:lineRule="auto"/>
              <w:rPr>
                <w:rFonts w:ascii="Arial" w:hAnsi="Arial" w:cs="Arial"/>
                <w:color w:val="000000"/>
                <w:lang w:eastAsia="pt-BR"/>
              </w:rPr>
            </w:pPr>
          </w:p>
        </w:tc>
      </w:tr>
      <w:tr w:rsidR="00D124DA" w:rsidRPr="00257C6F" w14:paraId="02B6ECD3" w14:textId="77777777" w:rsidTr="001F3376">
        <w:trPr>
          <w:trHeight w:val="300"/>
        </w:trPr>
        <w:tc>
          <w:tcPr>
            <w:tcW w:w="1701" w:type="dxa"/>
            <w:tcBorders>
              <w:top w:val="nil"/>
              <w:left w:val="nil"/>
              <w:bottom w:val="nil"/>
              <w:right w:val="nil"/>
            </w:tcBorders>
            <w:shd w:val="clear" w:color="auto" w:fill="auto"/>
            <w:noWrap/>
            <w:vAlign w:val="bottom"/>
            <w:hideMark/>
          </w:tcPr>
          <w:p w14:paraId="18692A20"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Upper</w:t>
            </w:r>
          </w:p>
        </w:tc>
        <w:tc>
          <w:tcPr>
            <w:tcW w:w="567" w:type="dxa"/>
            <w:tcBorders>
              <w:top w:val="nil"/>
              <w:left w:val="nil"/>
              <w:bottom w:val="nil"/>
              <w:right w:val="nil"/>
            </w:tcBorders>
            <w:shd w:val="clear" w:color="auto" w:fill="auto"/>
            <w:noWrap/>
            <w:vAlign w:val="bottom"/>
            <w:hideMark/>
          </w:tcPr>
          <w:p w14:paraId="1581D13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28</w:t>
            </w:r>
          </w:p>
        </w:tc>
        <w:tc>
          <w:tcPr>
            <w:tcW w:w="885" w:type="dxa"/>
            <w:tcBorders>
              <w:top w:val="nil"/>
              <w:left w:val="nil"/>
              <w:bottom w:val="nil"/>
              <w:right w:val="nil"/>
            </w:tcBorders>
            <w:shd w:val="clear" w:color="auto" w:fill="auto"/>
            <w:noWrap/>
            <w:vAlign w:val="bottom"/>
            <w:hideMark/>
          </w:tcPr>
          <w:p w14:paraId="3043D850"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3.20</w:t>
            </w:r>
          </w:p>
        </w:tc>
        <w:tc>
          <w:tcPr>
            <w:tcW w:w="675" w:type="dxa"/>
            <w:tcBorders>
              <w:top w:val="nil"/>
              <w:left w:val="nil"/>
              <w:bottom w:val="nil"/>
              <w:right w:val="nil"/>
            </w:tcBorders>
            <w:shd w:val="clear" w:color="auto" w:fill="auto"/>
            <w:noWrap/>
            <w:vAlign w:val="bottom"/>
            <w:hideMark/>
          </w:tcPr>
          <w:p w14:paraId="35CE4AC8"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0.96</w:t>
            </w:r>
          </w:p>
        </w:tc>
        <w:tc>
          <w:tcPr>
            <w:tcW w:w="708" w:type="dxa"/>
            <w:tcBorders>
              <w:top w:val="nil"/>
              <w:left w:val="nil"/>
              <w:bottom w:val="nil"/>
              <w:right w:val="nil"/>
            </w:tcBorders>
            <w:shd w:val="clear" w:color="auto" w:fill="auto"/>
            <w:noWrap/>
            <w:vAlign w:val="bottom"/>
            <w:hideMark/>
          </w:tcPr>
          <w:p w14:paraId="4617ACB4"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1.3</w:t>
            </w:r>
          </w:p>
        </w:tc>
        <w:tc>
          <w:tcPr>
            <w:tcW w:w="709" w:type="dxa"/>
            <w:tcBorders>
              <w:top w:val="nil"/>
              <w:left w:val="nil"/>
              <w:bottom w:val="nil"/>
              <w:right w:val="nil"/>
            </w:tcBorders>
            <w:shd w:val="clear" w:color="auto" w:fill="auto"/>
            <w:noWrap/>
            <w:vAlign w:val="bottom"/>
            <w:hideMark/>
          </w:tcPr>
          <w:p w14:paraId="15494B4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w:t>
            </w:r>
          </w:p>
        </w:tc>
        <w:tc>
          <w:tcPr>
            <w:tcW w:w="952" w:type="dxa"/>
            <w:tcBorders>
              <w:top w:val="nil"/>
              <w:left w:val="nil"/>
              <w:bottom w:val="nil"/>
              <w:right w:val="nil"/>
            </w:tcBorders>
            <w:shd w:val="clear" w:color="auto" w:fill="auto"/>
            <w:noWrap/>
            <w:vAlign w:val="bottom"/>
            <w:hideMark/>
          </w:tcPr>
          <w:p w14:paraId="37D902F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2.525</w:t>
            </w:r>
          </w:p>
        </w:tc>
        <w:tc>
          <w:tcPr>
            <w:tcW w:w="796" w:type="dxa"/>
            <w:tcBorders>
              <w:top w:val="nil"/>
              <w:left w:val="nil"/>
              <w:bottom w:val="nil"/>
              <w:right w:val="nil"/>
            </w:tcBorders>
            <w:shd w:val="clear" w:color="auto" w:fill="auto"/>
            <w:noWrap/>
            <w:vAlign w:val="bottom"/>
            <w:hideMark/>
          </w:tcPr>
          <w:p w14:paraId="1B5364FF"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3.05</w:t>
            </w:r>
          </w:p>
        </w:tc>
        <w:tc>
          <w:tcPr>
            <w:tcW w:w="1087" w:type="dxa"/>
            <w:tcBorders>
              <w:top w:val="nil"/>
              <w:left w:val="nil"/>
              <w:bottom w:val="nil"/>
              <w:right w:val="nil"/>
            </w:tcBorders>
            <w:shd w:val="clear" w:color="auto" w:fill="auto"/>
            <w:noWrap/>
            <w:vAlign w:val="bottom"/>
            <w:hideMark/>
          </w:tcPr>
          <w:p w14:paraId="69564501"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3.825</w:t>
            </w:r>
          </w:p>
        </w:tc>
        <w:tc>
          <w:tcPr>
            <w:tcW w:w="709" w:type="dxa"/>
            <w:tcBorders>
              <w:top w:val="nil"/>
              <w:left w:val="nil"/>
              <w:bottom w:val="nil"/>
              <w:right w:val="nil"/>
            </w:tcBorders>
            <w:shd w:val="clear" w:color="auto" w:fill="auto"/>
            <w:noWrap/>
            <w:vAlign w:val="bottom"/>
            <w:hideMark/>
          </w:tcPr>
          <w:p w14:paraId="2DA2244F"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4.8</w:t>
            </w:r>
          </w:p>
        </w:tc>
        <w:tc>
          <w:tcPr>
            <w:tcW w:w="2602" w:type="dxa"/>
            <w:tcBorders>
              <w:top w:val="nil"/>
              <w:left w:val="nil"/>
              <w:bottom w:val="nil"/>
              <w:right w:val="nil"/>
            </w:tcBorders>
            <w:shd w:val="clear" w:color="auto" w:fill="auto"/>
            <w:noWrap/>
            <w:vAlign w:val="bottom"/>
            <w:hideMark/>
          </w:tcPr>
          <w:p w14:paraId="4057C896" w14:textId="77777777" w:rsidR="00D124DA" w:rsidRPr="00257C6F" w:rsidRDefault="00D124DA" w:rsidP="001F3376">
            <w:pPr>
              <w:spacing w:line="480" w:lineRule="auto"/>
              <w:rPr>
                <w:rFonts w:ascii="Arial" w:hAnsi="Arial" w:cs="Arial"/>
                <w:color w:val="000000"/>
                <w:lang w:eastAsia="pt-BR"/>
              </w:rPr>
            </w:pPr>
          </w:p>
        </w:tc>
      </w:tr>
      <w:tr w:rsidR="00D124DA" w:rsidRPr="00257C6F" w14:paraId="528DF587" w14:textId="77777777" w:rsidTr="001F3376">
        <w:trPr>
          <w:trHeight w:val="300"/>
        </w:trPr>
        <w:tc>
          <w:tcPr>
            <w:tcW w:w="1701" w:type="dxa"/>
            <w:tcBorders>
              <w:top w:val="nil"/>
              <w:left w:val="nil"/>
              <w:bottom w:val="nil"/>
              <w:right w:val="nil"/>
            </w:tcBorders>
            <w:shd w:val="clear" w:color="auto" w:fill="auto"/>
            <w:noWrap/>
            <w:vAlign w:val="bottom"/>
            <w:hideMark/>
          </w:tcPr>
          <w:p w14:paraId="3EA81552"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Lower</w:t>
            </w:r>
          </w:p>
        </w:tc>
        <w:tc>
          <w:tcPr>
            <w:tcW w:w="567" w:type="dxa"/>
            <w:tcBorders>
              <w:top w:val="nil"/>
              <w:left w:val="nil"/>
              <w:bottom w:val="nil"/>
              <w:right w:val="nil"/>
            </w:tcBorders>
            <w:shd w:val="clear" w:color="auto" w:fill="auto"/>
            <w:noWrap/>
            <w:vAlign w:val="bottom"/>
            <w:hideMark/>
          </w:tcPr>
          <w:p w14:paraId="5146CD3F"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45</w:t>
            </w:r>
          </w:p>
        </w:tc>
        <w:tc>
          <w:tcPr>
            <w:tcW w:w="885" w:type="dxa"/>
            <w:tcBorders>
              <w:top w:val="nil"/>
              <w:left w:val="nil"/>
              <w:bottom w:val="nil"/>
              <w:right w:val="nil"/>
            </w:tcBorders>
            <w:shd w:val="clear" w:color="auto" w:fill="auto"/>
            <w:noWrap/>
            <w:vAlign w:val="bottom"/>
            <w:hideMark/>
          </w:tcPr>
          <w:p w14:paraId="243CCE4B"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3.15</w:t>
            </w:r>
          </w:p>
        </w:tc>
        <w:tc>
          <w:tcPr>
            <w:tcW w:w="675" w:type="dxa"/>
            <w:tcBorders>
              <w:top w:val="nil"/>
              <w:left w:val="nil"/>
              <w:bottom w:val="nil"/>
              <w:right w:val="nil"/>
            </w:tcBorders>
            <w:shd w:val="clear" w:color="auto" w:fill="auto"/>
            <w:noWrap/>
            <w:vAlign w:val="bottom"/>
            <w:hideMark/>
          </w:tcPr>
          <w:p w14:paraId="4BC2D602"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0.99</w:t>
            </w:r>
          </w:p>
        </w:tc>
        <w:tc>
          <w:tcPr>
            <w:tcW w:w="708" w:type="dxa"/>
            <w:tcBorders>
              <w:top w:val="nil"/>
              <w:left w:val="nil"/>
              <w:bottom w:val="nil"/>
              <w:right w:val="nil"/>
            </w:tcBorders>
            <w:shd w:val="clear" w:color="auto" w:fill="auto"/>
            <w:noWrap/>
            <w:vAlign w:val="bottom"/>
            <w:hideMark/>
          </w:tcPr>
          <w:p w14:paraId="0C98DE80"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1.9</w:t>
            </w:r>
          </w:p>
        </w:tc>
        <w:tc>
          <w:tcPr>
            <w:tcW w:w="709" w:type="dxa"/>
            <w:tcBorders>
              <w:top w:val="nil"/>
              <w:left w:val="nil"/>
              <w:bottom w:val="nil"/>
              <w:right w:val="nil"/>
            </w:tcBorders>
            <w:shd w:val="clear" w:color="auto" w:fill="auto"/>
            <w:noWrap/>
            <w:vAlign w:val="bottom"/>
            <w:hideMark/>
          </w:tcPr>
          <w:p w14:paraId="5F9C8AD2"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w:t>
            </w:r>
          </w:p>
        </w:tc>
        <w:tc>
          <w:tcPr>
            <w:tcW w:w="952" w:type="dxa"/>
            <w:tcBorders>
              <w:top w:val="nil"/>
              <w:left w:val="nil"/>
              <w:bottom w:val="nil"/>
              <w:right w:val="nil"/>
            </w:tcBorders>
            <w:shd w:val="clear" w:color="auto" w:fill="auto"/>
            <w:noWrap/>
            <w:vAlign w:val="bottom"/>
            <w:hideMark/>
          </w:tcPr>
          <w:p w14:paraId="13868E9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2.1</w:t>
            </w:r>
          </w:p>
        </w:tc>
        <w:tc>
          <w:tcPr>
            <w:tcW w:w="796" w:type="dxa"/>
            <w:tcBorders>
              <w:top w:val="nil"/>
              <w:left w:val="nil"/>
              <w:bottom w:val="nil"/>
              <w:right w:val="nil"/>
            </w:tcBorders>
            <w:shd w:val="clear" w:color="auto" w:fill="auto"/>
            <w:noWrap/>
            <w:vAlign w:val="bottom"/>
            <w:hideMark/>
          </w:tcPr>
          <w:p w14:paraId="2C189A02"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3.3</w:t>
            </w:r>
          </w:p>
        </w:tc>
        <w:tc>
          <w:tcPr>
            <w:tcW w:w="1087" w:type="dxa"/>
            <w:tcBorders>
              <w:top w:val="nil"/>
              <w:left w:val="nil"/>
              <w:bottom w:val="nil"/>
              <w:right w:val="nil"/>
            </w:tcBorders>
            <w:shd w:val="clear" w:color="auto" w:fill="auto"/>
            <w:noWrap/>
            <w:vAlign w:val="bottom"/>
            <w:hideMark/>
          </w:tcPr>
          <w:p w14:paraId="46D91B30"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w:t>
            </w:r>
          </w:p>
        </w:tc>
        <w:tc>
          <w:tcPr>
            <w:tcW w:w="709" w:type="dxa"/>
            <w:tcBorders>
              <w:top w:val="nil"/>
              <w:left w:val="nil"/>
              <w:bottom w:val="nil"/>
              <w:right w:val="nil"/>
            </w:tcBorders>
            <w:shd w:val="clear" w:color="auto" w:fill="auto"/>
            <w:noWrap/>
            <w:vAlign w:val="bottom"/>
            <w:hideMark/>
          </w:tcPr>
          <w:p w14:paraId="11F4DFD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5</w:t>
            </w:r>
          </w:p>
        </w:tc>
        <w:tc>
          <w:tcPr>
            <w:tcW w:w="2602" w:type="dxa"/>
            <w:tcBorders>
              <w:top w:val="nil"/>
              <w:left w:val="nil"/>
              <w:bottom w:val="nil"/>
              <w:right w:val="nil"/>
            </w:tcBorders>
            <w:shd w:val="clear" w:color="auto" w:fill="auto"/>
            <w:noWrap/>
            <w:vAlign w:val="bottom"/>
            <w:hideMark/>
          </w:tcPr>
          <w:p w14:paraId="7A3B5DE4"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p = 0.802</w:t>
            </w:r>
          </w:p>
        </w:tc>
      </w:tr>
      <w:tr w:rsidR="00D124DA" w:rsidRPr="00257C6F" w14:paraId="0562DF93" w14:textId="77777777" w:rsidTr="001F3376">
        <w:trPr>
          <w:trHeight w:val="300"/>
        </w:trPr>
        <w:tc>
          <w:tcPr>
            <w:tcW w:w="1701" w:type="dxa"/>
            <w:tcBorders>
              <w:top w:val="nil"/>
              <w:left w:val="nil"/>
              <w:bottom w:val="nil"/>
              <w:right w:val="nil"/>
            </w:tcBorders>
            <w:shd w:val="clear" w:color="auto" w:fill="auto"/>
            <w:noWrap/>
            <w:vAlign w:val="bottom"/>
          </w:tcPr>
          <w:p w14:paraId="2B112611"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Anterior</w:t>
            </w:r>
          </w:p>
        </w:tc>
        <w:tc>
          <w:tcPr>
            <w:tcW w:w="567" w:type="dxa"/>
            <w:tcBorders>
              <w:top w:val="nil"/>
              <w:left w:val="nil"/>
              <w:bottom w:val="nil"/>
              <w:right w:val="nil"/>
            </w:tcBorders>
            <w:shd w:val="clear" w:color="auto" w:fill="auto"/>
            <w:noWrap/>
            <w:vAlign w:val="bottom"/>
          </w:tcPr>
          <w:p w14:paraId="4BEE34D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23</w:t>
            </w:r>
          </w:p>
        </w:tc>
        <w:tc>
          <w:tcPr>
            <w:tcW w:w="885" w:type="dxa"/>
            <w:tcBorders>
              <w:top w:val="nil"/>
              <w:left w:val="nil"/>
              <w:bottom w:val="nil"/>
              <w:right w:val="nil"/>
            </w:tcBorders>
            <w:shd w:val="clear" w:color="auto" w:fill="auto"/>
            <w:noWrap/>
            <w:vAlign w:val="bottom"/>
          </w:tcPr>
          <w:p w14:paraId="0C6DEDB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2.83</w:t>
            </w:r>
          </w:p>
        </w:tc>
        <w:tc>
          <w:tcPr>
            <w:tcW w:w="675" w:type="dxa"/>
            <w:tcBorders>
              <w:top w:val="nil"/>
              <w:left w:val="nil"/>
              <w:bottom w:val="nil"/>
              <w:right w:val="nil"/>
            </w:tcBorders>
            <w:shd w:val="clear" w:color="auto" w:fill="auto"/>
            <w:noWrap/>
            <w:vAlign w:val="bottom"/>
          </w:tcPr>
          <w:p w14:paraId="7044E4CF"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1.06</w:t>
            </w:r>
          </w:p>
        </w:tc>
        <w:tc>
          <w:tcPr>
            <w:tcW w:w="708" w:type="dxa"/>
            <w:tcBorders>
              <w:top w:val="nil"/>
              <w:left w:val="nil"/>
              <w:bottom w:val="nil"/>
              <w:right w:val="nil"/>
            </w:tcBorders>
            <w:shd w:val="clear" w:color="auto" w:fill="auto"/>
            <w:noWrap/>
            <w:vAlign w:val="bottom"/>
          </w:tcPr>
          <w:p w14:paraId="1E0AD1E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1.45</w:t>
            </w:r>
          </w:p>
        </w:tc>
        <w:tc>
          <w:tcPr>
            <w:tcW w:w="709" w:type="dxa"/>
            <w:tcBorders>
              <w:top w:val="nil"/>
              <w:left w:val="nil"/>
              <w:bottom w:val="nil"/>
              <w:right w:val="nil"/>
            </w:tcBorders>
            <w:shd w:val="clear" w:color="auto" w:fill="auto"/>
            <w:noWrap/>
            <w:vAlign w:val="bottom"/>
          </w:tcPr>
          <w:p w14:paraId="2023A31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w:t>
            </w:r>
          </w:p>
        </w:tc>
        <w:tc>
          <w:tcPr>
            <w:tcW w:w="952" w:type="dxa"/>
            <w:tcBorders>
              <w:top w:val="nil"/>
              <w:left w:val="nil"/>
              <w:bottom w:val="nil"/>
              <w:right w:val="nil"/>
            </w:tcBorders>
            <w:shd w:val="clear" w:color="auto" w:fill="auto"/>
            <w:noWrap/>
            <w:vAlign w:val="bottom"/>
          </w:tcPr>
          <w:p w14:paraId="1234CC8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2.1</w:t>
            </w:r>
          </w:p>
        </w:tc>
        <w:tc>
          <w:tcPr>
            <w:tcW w:w="796" w:type="dxa"/>
            <w:tcBorders>
              <w:top w:val="nil"/>
              <w:left w:val="nil"/>
              <w:bottom w:val="nil"/>
              <w:right w:val="nil"/>
            </w:tcBorders>
            <w:shd w:val="clear" w:color="auto" w:fill="auto"/>
            <w:noWrap/>
            <w:vAlign w:val="bottom"/>
          </w:tcPr>
          <w:p w14:paraId="0E98083B"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2.6</w:t>
            </w:r>
          </w:p>
        </w:tc>
        <w:tc>
          <w:tcPr>
            <w:tcW w:w="1087" w:type="dxa"/>
            <w:tcBorders>
              <w:top w:val="nil"/>
              <w:left w:val="nil"/>
              <w:bottom w:val="nil"/>
              <w:right w:val="nil"/>
            </w:tcBorders>
            <w:shd w:val="clear" w:color="auto" w:fill="auto"/>
            <w:noWrap/>
            <w:vAlign w:val="bottom"/>
          </w:tcPr>
          <w:p w14:paraId="79806C1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3.55</w:t>
            </w:r>
          </w:p>
        </w:tc>
        <w:tc>
          <w:tcPr>
            <w:tcW w:w="709" w:type="dxa"/>
            <w:tcBorders>
              <w:top w:val="nil"/>
              <w:left w:val="nil"/>
              <w:bottom w:val="nil"/>
              <w:right w:val="nil"/>
            </w:tcBorders>
            <w:shd w:val="clear" w:color="auto" w:fill="auto"/>
            <w:noWrap/>
            <w:vAlign w:val="bottom"/>
          </w:tcPr>
          <w:p w14:paraId="4EBF921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4.8</w:t>
            </w:r>
          </w:p>
        </w:tc>
        <w:tc>
          <w:tcPr>
            <w:tcW w:w="2602" w:type="dxa"/>
            <w:tcBorders>
              <w:top w:val="nil"/>
              <w:left w:val="nil"/>
              <w:bottom w:val="nil"/>
              <w:right w:val="nil"/>
            </w:tcBorders>
            <w:shd w:val="clear" w:color="auto" w:fill="auto"/>
            <w:noWrap/>
            <w:vAlign w:val="bottom"/>
          </w:tcPr>
          <w:p w14:paraId="265426D7" w14:textId="77777777" w:rsidR="00D124DA" w:rsidRPr="00257C6F" w:rsidRDefault="00D124DA" w:rsidP="001F3376">
            <w:pPr>
              <w:spacing w:line="480" w:lineRule="auto"/>
              <w:rPr>
                <w:rFonts w:ascii="Arial" w:hAnsi="Arial" w:cs="Arial"/>
                <w:b/>
                <w:bCs/>
                <w:color w:val="000000"/>
                <w:lang w:eastAsia="pt-BR"/>
              </w:rPr>
            </w:pPr>
            <w:r w:rsidRPr="00257C6F">
              <w:rPr>
                <w:rFonts w:ascii="Arial" w:hAnsi="Arial" w:cs="Arial"/>
                <w:b/>
                <w:bCs/>
                <w:color w:val="000000"/>
                <w:lang w:eastAsia="pt-BR"/>
              </w:rPr>
              <w:t>p = 0.03</w:t>
            </w:r>
          </w:p>
        </w:tc>
      </w:tr>
      <w:tr w:rsidR="00D124DA" w:rsidRPr="00257C6F" w14:paraId="6A822017" w14:textId="77777777" w:rsidTr="001F3376">
        <w:trPr>
          <w:trHeight w:val="300"/>
        </w:trPr>
        <w:tc>
          <w:tcPr>
            <w:tcW w:w="1701" w:type="dxa"/>
            <w:tcBorders>
              <w:top w:val="nil"/>
              <w:left w:val="nil"/>
              <w:bottom w:val="nil"/>
              <w:right w:val="nil"/>
            </w:tcBorders>
            <w:shd w:val="clear" w:color="auto" w:fill="auto"/>
            <w:noWrap/>
            <w:vAlign w:val="bottom"/>
          </w:tcPr>
          <w:p w14:paraId="3D27B93C"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Posterior</w:t>
            </w:r>
          </w:p>
        </w:tc>
        <w:tc>
          <w:tcPr>
            <w:tcW w:w="567" w:type="dxa"/>
            <w:tcBorders>
              <w:top w:val="nil"/>
              <w:left w:val="nil"/>
              <w:bottom w:val="nil"/>
              <w:right w:val="nil"/>
            </w:tcBorders>
            <w:shd w:val="clear" w:color="auto" w:fill="auto"/>
            <w:noWrap/>
            <w:vAlign w:val="bottom"/>
          </w:tcPr>
          <w:p w14:paraId="37F9FA6E"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50</w:t>
            </w:r>
          </w:p>
        </w:tc>
        <w:tc>
          <w:tcPr>
            <w:tcW w:w="885" w:type="dxa"/>
            <w:tcBorders>
              <w:top w:val="nil"/>
              <w:left w:val="nil"/>
              <w:bottom w:val="nil"/>
              <w:right w:val="nil"/>
            </w:tcBorders>
            <w:shd w:val="clear" w:color="auto" w:fill="auto"/>
            <w:noWrap/>
            <w:vAlign w:val="bottom"/>
          </w:tcPr>
          <w:p w14:paraId="0C091A51"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3.33</w:t>
            </w:r>
          </w:p>
        </w:tc>
        <w:tc>
          <w:tcPr>
            <w:tcW w:w="675" w:type="dxa"/>
            <w:tcBorders>
              <w:top w:val="nil"/>
              <w:left w:val="nil"/>
              <w:bottom w:val="nil"/>
              <w:right w:val="nil"/>
            </w:tcBorders>
            <w:shd w:val="clear" w:color="auto" w:fill="auto"/>
            <w:noWrap/>
            <w:vAlign w:val="bottom"/>
          </w:tcPr>
          <w:p w14:paraId="54434C6C"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0.89</w:t>
            </w:r>
          </w:p>
        </w:tc>
        <w:tc>
          <w:tcPr>
            <w:tcW w:w="708" w:type="dxa"/>
            <w:tcBorders>
              <w:top w:val="nil"/>
              <w:left w:val="nil"/>
              <w:bottom w:val="nil"/>
              <w:right w:val="nil"/>
            </w:tcBorders>
            <w:shd w:val="clear" w:color="auto" w:fill="auto"/>
            <w:noWrap/>
            <w:vAlign w:val="bottom"/>
          </w:tcPr>
          <w:p w14:paraId="34D7B18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1.4</w:t>
            </w:r>
          </w:p>
        </w:tc>
        <w:tc>
          <w:tcPr>
            <w:tcW w:w="709" w:type="dxa"/>
            <w:tcBorders>
              <w:top w:val="nil"/>
              <w:left w:val="nil"/>
              <w:bottom w:val="nil"/>
              <w:right w:val="nil"/>
            </w:tcBorders>
            <w:shd w:val="clear" w:color="auto" w:fill="auto"/>
            <w:noWrap/>
            <w:vAlign w:val="bottom"/>
          </w:tcPr>
          <w:p w14:paraId="51C1C61B"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1.7</w:t>
            </w:r>
          </w:p>
        </w:tc>
        <w:tc>
          <w:tcPr>
            <w:tcW w:w="952" w:type="dxa"/>
            <w:tcBorders>
              <w:top w:val="nil"/>
              <w:left w:val="nil"/>
              <w:bottom w:val="nil"/>
              <w:right w:val="nil"/>
            </w:tcBorders>
            <w:shd w:val="clear" w:color="auto" w:fill="auto"/>
            <w:noWrap/>
            <w:vAlign w:val="bottom"/>
          </w:tcPr>
          <w:p w14:paraId="11D9D9A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2.6</w:t>
            </w:r>
          </w:p>
        </w:tc>
        <w:tc>
          <w:tcPr>
            <w:tcW w:w="796" w:type="dxa"/>
            <w:tcBorders>
              <w:top w:val="nil"/>
              <w:left w:val="nil"/>
              <w:bottom w:val="nil"/>
              <w:right w:val="nil"/>
            </w:tcBorders>
            <w:shd w:val="clear" w:color="auto" w:fill="auto"/>
            <w:noWrap/>
            <w:vAlign w:val="bottom"/>
          </w:tcPr>
          <w:p w14:paraId="6D7F4EA1"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3.45</w:t>
            </w:r>
          </w:p>
        </w:tc>
        <w:tc>
          <w:tcPr>
            <w:tcW w:w="1087" w:type="dxa"/>
            <w:tcBorders>
              <w:top w:val="nil"/>
              <w:left w:val="nil"/>
              <w:bottom w:val="nil"/>
              <w:right w:val="nil"/>
            </w:tcBorders>
            <w:shd w:val="clear" w:color="auto" w:fill="auto"/>
            <w:noWrap/>
            <w:vAlign w:val="bottom"/>
          </w:tcPr>
          <w:p w14:paraId="47F85F7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w:t>
            </w:r>
          </w:p>
        </w:tc>
        <w:tc>
          <w:tcPr>
            <w:tcW w:w="709" w:type="dxa"/>
            <w:tcBorders>
              <w:top w:val="nil"/>
              <w:left w:val="nil"/>
              <w:bottom w:val="nil"/>
              <w:right w:val="nil"/>
            </w:tcBorders>
            <w:shd w:val="clear" w:color="auto" w:fill="auto"/>
            <w:noWrap/>
            <w:vAlign w:val="bottom"/>
          </w:tcPr>
          <w:p w14:paraId="1E731E24"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5</w:t>
            </w:r>
          </w:p>
        </w:tc>
        <w:tc>
          <w:tcPr>
            <w:tcW w:w="2602" w:type="dxa"/>
            <w:tcBorders>
              <w:top w:val="nil"/>
              <w:left w:val="nil"/>
              <w:bottom w:val="nil"/>
              <w:right w:val="nil"/>
            </w:tcBorders>
            <w:shd w:val="clear" w:color="auto" w:fill="auto"/>
            <w:noWrap/>
            <w:vAlign w:val="bottom"/>
          </w:tcPr>
          <w:p w14:paraId="4158109D" w14:textId="77777777" w:rsidR="00D124DA" w:rsidRPr="00257C6F" w:rsidRDefault="00D124DA" w:rsidP="001F3376">
            <w:pPr>
              <w:spacing w:line="480" w:lineRule="auto"/>
              <w:rPr>
                <w:rFonts w:ascii="Arial" w:hAnsi="Arial" w:cs="Arial"/>
                <w:color w:val="000000"/>
                <w:lang w:eastAsia="pt-BR"/>
              </w:rPr>
            </w:pPr>
          </w:p>
        </w:tc>
      </w:tr>
      <w:tr w:rsidR="00D124DA" w:rsidRPr="00257C6F" w14:paraId="23FC1071" w14:textId="77777777" w:rsidTr="001F3376">
        <w:trPr>
          <w:trHeight w:val="300"/>
        </w:trPr>
        <w:tc>
          <w:tcPr>
            <w:tcW w:w="1701" w:type="dxa"/>
            <w:tcBorders>
              <w:top w:val="nil"/>
              <w:left w:val="nil"/>
              <w:bottom w:val="nil"/>
              <w:right w:val="nil"/>
            </w:tcBorders>
            <w:shd w:val="clear" w:color="auto" w:fill="auto"/>
            <w:noWrap/>
            <w:vAlign w:val="bottom"/>
            <w:hideMark/>
          </w:tcPr>
          <w:p w14:paraId="1D15F00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xml:space="preserve">Plaque index   </w:t>
            </w:r>
          </w:p>
          <w:p w14:paraId="6DA5A53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No</w:t>
            </w:r>
          </w:p>
        </w:tc>
        <w:tc>
          <w:tcPr>
            <w:tcW w:w="567" w:type="dxa"/>
            <w:tcBorders>
              <w:top w:val="nil"/>
              <w:left w:val="nil"/>
              <w:bottom w:val="nil"/>
              <w:right w:val="nil"/>
            </w:tcBorders>
            <w:shd w:val="clear" w:color="auto" w:fill="auto"/>
            <w:noWrap/>
            <w:vAlign w:val="bottom"/>
            <w:hideMark/>
          </w:tcPr>
          <w:p w14:paraId="06C1028F"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30</w:t>
            </w:r>
          </w:p>
        </w:tc>
        <w:tc>
          <w:tcPr>
            <w:tcW w:w="885" w:type="dxa"/>
            <w:tcBorders>
              <w:top w:val="nil"/>
              <w:left w:val="nil"/>
              <w:bottom w:val="nil"/>
              <w:right w:val="nil"/>
            </w:tcBorders>
            <w:shd w:val="clear" w:color="auto" w:fill="auto"/>
            <w:noWrap/>
            <w:vAlign w:val="bottom"/>
            <w:hideMark/>
          </w:tcPr>
          <w:p w14:paraId="358BE2EB"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2.58</w:t>
            </w:r>
          </w:p>
        </w:tc>
        <w:tc>
          <w:tcPr>
            <w:tcW w:w="675" w:type="dxa"/>
            <w:tcBorders>
              <w:top w:val="nil"/>
              <w:left w:val="nil"/>
              <w:bottom w:val="nil"/>
              <w:right w:val="nil"/>
            </w:tcBorders>
            <w:shd w:val="clear" w:color="auto" w:fill="auto"/>
            <w:noWrap/>
            <w:vAlign w:val="bottom"/>
            <w:hideMark/>
          </w:tcPr>
          <w:p w14:paraId="528D295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0.76</w:t>
            </w:r>
          </w:p>
        </w:tc>
        <w:tc>
          <w:tcPr>
            <w:tcW w:w="708" w:type="dxa"/>
            <w:tcBorders>
              <w:top w:val="nil"/>
              <w:left w:val="nil"/>
              <w:bottom w:val="nil"/>
              <w:right w:val="nil"/>
            </w:tcBorders>
            <w:shd w:val="clear" w:color="auto" w:fill="auto"/>
            <w:noWrap/>
            <w:vAlign w:val="bottom"/>
            <w:hideMark/>
          </w:tcPr>
          <w:p w14:paraId="0C77AB8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0.675</w:t>
            </w:r>
          </w:p>
        </w:tc>
        <w:tc>
          <w:tcPr>
            <w:tcW w:w="709" w:type="dxa"/>
            <w:tcBorders>
              <w:top w:val="nil"/>
              <w:left w:val="nil"/>
              <w:bottom w:val="nil"/>
              <w:right w:val="nil"/>
            </w:tcBorders>
            <w:shd w:val="clear" w:color="auto" w:fill="auto"/>
            <w:noWrap/>
            <w:vAlign w:val="bottom"/>
            <w:hideMark/>
          </w:tcPr>
          <w:p w14:paraId="65FC0101"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w:t>
            </w:r>
          </w:p>
        </w:tc>
        <w:tc>
          <w:tcPr>
            <w:tcW w:w="952" w:type="dxa"/>
            <w:tcBorders>
              <w:top w:val="nil"/>
              <w:left w:val="nil"/>
              <w:bottom w:val="nil"/>
              <w:right w:val="nil"/>
            </w:tcBorders>
            <w:shd w:val="clear" w:color="auto" w:fill="auto"/>
            <w:noWrap/>
            <w:vAlign w:val="bottom"/>
            <w:hideMark/>
          </w:tcPr>
          <w:p w14:paraId="0FBF6E9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2.1</w:t>
            </w:r>
          </w:p>
        </w:tc>
        <w:tc>
          <w:tcPr>
            <w:tcW w:w="796" w:type="dxa"/>
            <w:tcBorders>
              <w:top w:val="nil"/>
              <w:left w:val="nil"/>
              <w:bottom w:val="nil"/>
              <w:right w:val="nil"/>
            </w:tcBorders>
            <w:shd w:val="clear" w:color="auto" w:fill="auto"/>
            <w:noWrap/>
            <w:vAlign w:val="bottom"/>
            <w:hideMark/>
          </w:tcPr>
          <w:p w14:paraId="3E02478F"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2.4</w:t>
            </w:r>
          </w:p>
        </w:tc>
        <w:tc>
          <w:tcPr>
            <w:tcW w:w="1087" w:type="dxa"/>
            <w:tcBorders>
              <w:top w:val="nil"/>
              <w:left w:val="nil"/>
              <w:bottom w:val="nil"/>
              <w:right w:val="nil"/>
            </w:tcBorders>
            <w:shd w:val="clear" w:color="auto" w:fill="auto"/>
            <w:noWrap/>
            <w:vAlign w:val="bottom"/>
            <w:hideMark/>
          </w:tcPr>
          <w:p w14:paraId="7880155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2.775</w:t>
            </w:r>
          </w:p>
        </w:tc>
        <w:tc>
          <w:tcPr>
            <w:tcW w:w="709" w:type="dxa"/>
            <w:tcBorders>
              <w:top w:val="nil"/>
              <w:left w:val="nil"/>
              <w:bottom w:val="nil"/>
              <w:right w:val="nil"/>
            </w:tcBorders>
            <w:shd w:val="clear" w:color="auto" w:fill="auto"/>
            <w:noWrap/>
            <w:vAlign w:val="bottom"/>
            <w:hideMark/>
          </w:tcPr>
          <w:p w14:paraId="64BF5CA8"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4.5</w:t>
            </w:r>
          </w:p>
        </w:tc>
        <w:tc>
          <w:tcPr>
            <w:tcW w:w="2602" w:type="dxa"/>
            <w:tcBorders>
              <w:top w:val="nil"/>
              <w:left w:val="nil"/>
              <w:bottom w:val="nil"/>
              <w:right w:val="nil"/>
            </w:tcBorders>
            <w:shd w:val="clear" w:color="auto" w:fill="auto"/>
            <w:noWrap/>
            <w:vAlign w:val="bottom"/>
            <w:hideMark/>
          </w:tcPr>
          <w:p w14:paraId="1C527FC3" w14:textId="77777777" w:rsidR="00D124DA" w:rsidRPr="00257C6F" w:rsidRDefault="00D124DA" w:rsidP="001F3376">
            <w:pPr>
              <w:spacing w:line="480" w:lineRule="auto"/>
              <w:rPr>
                <w:rFonts w:ascii="Arial" w:hAnsi="Arial" w:cs="Arial"/>
                <w:b/>
                <w:bCs/>
                <w:color w:val="000000"/>
                <w:lang w:eastAsia="pt-BR"/>
              </w:rPr>
            </w:pPr>
            <w:r w:rsidRPr="00257C6F">
              <w:rPr>
                <w:rFonts w:ascii="Arial" w:hAnsi="Arial" w:cs="Arial"/>
                <w:b/>
                <w:bCs/>
                <w:color w:val="000000"/>
                <w:lang w:eastAsia="pt-BR"/>
              </w:rPr>
              <w:t>p &lt; 0.001</w:t>
            </w:r>
          </w:p>
        </w:tc>
      </w:tr>
      <w:tr w:rsidR="00D124DA" w:rsidRPr="00257C6F" w14:paraId="5C115D56" w14:textId="77777777" w:rsidTr="001F3376">
        <w:trPr>
          <w:trHeight w:val="300"/>
        </w:trPr>
        <w:tc>
          <w:tcPr>
            <w:tcW w:w="1701" w:type="dxa"/>
            <w:tcBorders>
              <w:top w:val="nil"/>
              <w:left w:val="nil"/>
              <w:bottom w:val="nil"/>
              <w:right w:val="nil"/>
            </w:tcBorders>
            <w:shd w:val="clear" w:color="auto" w:fill="auto"/>
            <w:noWrap/>
            <w:vAlign w:val="bottom"/>
            <w:hideMark/>
          </w:tcPr>
          <w:p w14:paraId="180F862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Yes</w:t>
            </w:r>
          </w:p>
        </w:tc>
        <w:tc>
          <w:tcPr>
            <w:tcW w:w="567" w:type="dxa"/>
            <w:tcBorders>
              <w:top w:val="nil"/>
              <w:left w:val="nil"/>
              <w:bottom w:val="nil"/>
              <w:right w:val="nil"/>
            </w:tcBorders>
            <w:shd w:val="clear" w:color="auto" w:fill="auto"/>
            <w:noWrap/>
            <w:vAlign w:val="bottom"/>
            <w:hideMark/>
          </w:tcPr>
          <w:p w14:paraId="269A94D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43</w:t>
            </w:r>
          </w:p>
        </w:tc>
        <w:tc>
          <w:tcPr>
            <w:tcW w:w="885" w:type="dxa"/>
            <w:tcBorders>
              <w:top w:val="nil"/>
              <w:left w:val="nil"/>
              <w:bottom w:val="nil"/>
              <w:right w:val="nil"/>
            </w:tcBorders>
            <w:shd w:val="clear" w:color="auto" w:fill="auto"/>
            <w:noWrap/>
            <w:vAlign w:val="bottom"/>
            <w:hideMark/>
          </w:tcPr>
          <w:p w14:paraId="134C833A"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3.59</w:t>
            </w:r>
          </w:p>
        </w:tc>
        <w:tc>
          <w:tcPr>
            <w:tcW w:w="675" w:type="dxa"/>
            <w:tcBorders>
              <w:top w:val="nil"/>
              <w:left w:val="nil"/>
              <w:bottom w:val="nil"/>
              <w:right w:val="nil"/>
            </w:tcBorders>
            <w:shd w:val="clear" w:color="auto" w:fill="auto"/>
            <w:noWrap/>
            <w:vAlign w:val="bottom"/>
            <w:hideMark/>
          </w:tcPr>
          <w:p w14:paraId="7953055C"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0.89</w:t>
            </w:r>
          </w:p>
        </w:tc>
        <w:tc>
          <w:tcPr>
            <w:tcW w:w="708" w:type="dxa"/>
            <w:tcBorders>
              <w:top w:val="nil"/>
              <w:left w:val="nil"/>
              <w:bottom w:val="nil"/>
              <w:right w:val="nil"/>
            </w:tcBorders>
            <w:shd w:val="clear" w:color="auto" w:fill="auto"/>
            <w:noWrap/>
            <w:vAlign w:val="bottom"/>
            <w:hideMark/>
          </w:tcPr>
          <w:p w14:paraId="01018A98"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1.1</w:t>
            </w:r>
          </w:p>
        </w:tc>
        <w:tc>
          <w:tcPr>
            <w:tcW w:w="709" w:type="dxa"/>
            <w:tcBorders>
              <w:top w:val="nil"/>
              <w:left w:val="nil"/>
              <w:bottom w:val="nil"/>
              <w:right w:val="nil"/>
            </w:tcBorders>
            <w:shd w:val="clear" w:color="auto" w:fill="auto"/>
            <w:noWrap/>
            <w:vAlign w:val="bottom"/>
            <w:hideMark/>
          </w:tcPr>
          <w:p w14:paraId="332E998C"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w:t>
            </w:r>
          </w:p>
        </w:tc>
        <w:tc>
          <w:tcPr>
            <w:tcW w:w="952" w:type="dxa"/>
            <w:tcBorders>
              <w:top w:val="nil"/>
              <w:left w:val="nil"/>
              <w:bottom w:val="nil"/>
              <w:right w:val="nil"/>
            </w:tcBorders>
            <w:shd w:val="clear" w:color="auto" w:fill="auto"/>
            <w:noWrap/>
            <w:vAlign w:val="bottom"/>
            <w:hideMark/>
          </w:tcPr>
          <w:p w14:paraId="1DC56FC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3.25</w:t>
            </w:r>
          </w:p>
        </w:tc>
        <w:tc>
          <w:tcPr>
            <w:tcW w:w="796" w:type="dxa"/>
            <w:tcBorders>
              <w:top w:val="nil"/>
              <w:left w:val="nil"/>
              <w:bottom w:val="nil"/>
              <w:right w:val="nil"/>
            </w:tcBorders>
            <w:shd w:val="clear" w:color="auto" w:fill="auto"/>
            <w:noWrap/>
            <w:vAlign w:val="bottom"/>
            <w:hideMark/>
          </w:tcPr>
          <w:p w14:paraId="3A5DAABA"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3.6</w:t>
            </w:r>
          </w:p>
        </w:tc>
        <w:tc>
          <w:tcPr>
            <w:tcW w:w="1087" w:type="dxa"/>
            <w:tcBorders>
              <w:top w:val="nil"/>
              <w:left w:val="nil"/>
              <w:bottom w:val="nil"/>
              <w:right w:val="nil"/>
            </w:tcBorders>
            <w:shd w:val="clear" w:color="auto" w:fill="auto"/>
            <w:noWrap/>
            <w:vAlign w:val="bottom"/>
            <w:hideMark/>
          </w:tcPr>
          <w:p w14:paraId="366B6EB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4.35</w:t>
            </w:r>
          </w:p>
        </w:tc>
        <w:tc>
          <w:tcPr>
            <w:tcW w:w="709" w:type="dxa"/>
            <w:tcBorders>
              <w:top w:val="nil"/>
              <w:left w:val="nil"/>
              <w:bottom w:val="nil"/>
              <w:right w:val="nil"/>
            </w:tcBorders>
            <w:shd w:val="clear" w:color="auto" w:fill="auto"/>
            <w:noWrap/>
            <w:vAlign w:val="bottom"/>
            <w:hideMark/>
          </w:tcPr>
          <w:p w14:paraId="528302B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5</w:t>
            </w:r>
          </w:p>
        </w:tc>
        <w:tc>
          <w:tcPr>
            <w:tcW w:w="2602" w:type="dxa"/>
            <w:tcBorders>
              <w:top w:val="nil"/>
              <w:left w:val="nil"/>
              <w:bottom w:val="nil"/>
              <w:right w:val="nil"/>
            </w:tcBorders>
            <w:shd w:val="clear" w:color="auto" w:fill="auto"/>
            <w:noWrap/>
            <w:vAlign w:val="bottom"/>
            <w:hideMark/>
          </w:tcPr>
          <w:p w14:paraId="070B6AEB" w14:textId="77777777" w:rsidR="00D124DA" w:rsidRPr="00257C6F" w:rsidRDefault="00D124DA" w:rsidP="001F3376">
            <w:pPr>
              <w:spacing w:line="480" w:lineRule="auto"/>
              <w:rPr>
                <w:rFonts w:ascii="Arial" w:hAnsi="Arial" w:cs="Arial"/>
                <w:color w:val="000000"/>
                <w:lang w:eastAsia="pt-BR"/>
              </w:rPr>
            </w:pPr>
          </w:p>
        </w:tc>
      </w:tr>
      <w:tr w:rsidR="00D124DA" w:rsidRPr="00257C6F" w14:paraId="636CFE36" w14:textId="77777777" w:rsidTr="001F3376">
        <w:trPr>
          <w:trHeight w:val="300"/>
        </w:trPr>
        <w:tc>
          <w:tcPr>
            <w:tcW w:w="1701" w:type="dxa"/>
            <w:tcBorders>
              <w:top w:val="nil"/>
              <w:left w:val="nil"/>
              <w:bottom w:val="nil"/>
              <w:right w:val="nil"/>
            </w:tcBorders>
            <w:shd w:val="clear" w:color="auto" w:fill="auto"/>
            <w:noWrap/>
            <w:vAlign w:val="bottom"/>
            <w:hideMark/>
          </w:tcPr>
          <w:p w14:paraId="21368D4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xml:space="preserve">Bleeding probing   </w:t>
            </w:r>
          </w:p>
          <w:p w14:paraId="44D698E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xml:space="preserve">No </w:t>
            </w:r>
          </w:p>
        </w:tc>
        <w:tc>
          <w:tcPr>
            <w:tcW w:w="567" w:type="dxa"/>
            <w:tcBorders>
              <w:top w:val="nil"/>
              <w:left w:val="nil"/>
              <w:bottom w:val="nil"/>
              <w:right w:val="nil"/>
            </w:tcBorders>
            <w:shd w:val="clear" w:color="auto" w:fill="auto"/>
            <w:noWrap/>
            <w:vAlign w:val="bottom"/>
            <w:hideMark/>
          </w:tcPr>
          <w:p w14:paraId="77B409D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44</w:t>
            </w:r>
          </w:p>
        </w:tc>
        <w:tc>
          <w:tcPr>
            <w:tcW w:w="885" w:type="dxa"/>
            <w:tcBorders>
              <w:top w:val="nil"/>
              <w:left w:val="nil"/>
              <w:bottom w:val="nil"/>
              <w:right w:val="nil"/>
            </w:tcBorders>
            <w:shd w:val="clear" w:color="auto" w:fill="auto"/>
            <w:noWrap/>
            <w:vAlign w:val="bottom"/>
            <w:hideMark/>
          </w:tcPr>
          <w:p w14:paraId="50EB557A"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3.20</w:t>
            </w:r>
          </w:p>
        </w:tc>
        <w:tc>
          <w:tcPr>
            <w:tcW w:w="675" w:type="dxa"/>
            <w:tcBorders>
              <w:top w:val="nil"/>
              <w:left w:val="nil"/>
              <w:bottom w:val="nil"/>
              <w:right w:val="nil"/>
            </w:tcBorders>
            <w:shd w:val="clear" w:color="auto" w:fill="auto"/>
            <w:noWrap/>
            <w:vAlign w:val="bottom"/>
            <w:hideMark/>
          </w:tcPr>
          <w:p w14:paraId="6F3AFC4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0.94</w:t>
            </w:r>
          </w:p>
        </w:tc>
        <w:tc>
          <w:tcPr>
            <w:tcW w:w="708" w:type="dxa"/>
            <w:tcBorders>
              <w:top w:val="nil"/>
              <w:left w:val="nil"/>
              <w:bottom w:val="nil"/>
              <w:right w:val="nil"/>
            </w:tcBorders>
            <w:shd w:val="clear" w:color="auto" w:fill="auto"/>
            <w:noWrap/>
            <w:vAlign w:val="bottom"/>
            <w:hideMark/>
          </w:tcPr>
          <w:p w14:paraId="44EC997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1.45</w:t>
            </w:r>
          </w:p>
        </w:tc>
        <w:tc>
          <w:tcPr>
            <w:tcW w:w="709" w:type="dxa"/>
            <w:tcBorders>
              <w:top w:val="nil"/>
              <w:left w:val="nil"/>
              <w:bottom w:val="nil"/>
              <w:right w:val="nil"/>
            </w:tcBorders>
            <w:shd w:val="clear" w:color="auto" w:fill="auto"/>
            <w:noWrap/>
            <w:vAlign w:val="bottom"/>
            <w:hideMark/>
          </w:tcPr>
          <w:p w14:paraId="43C83F4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w:t>
            </w:r>
          </w:p>
        </w:tc>
        <w:tc>
          <w:tcPr>
            <w:tcW w:w="952" w:type="dxa"/>
            <w:tcBorders>
              <w:top w:val="nil"/>
              <w:left w:val="nil"/>
              <w:bottom w:val="nil"/>
              <w:right w:val="nil"/>
            </w:tcBorders>
            <w:shd w:val="clear" w:color="auto" w:fill="auto"/>
            <w:noWrap/>
            <w:vAlign w:val="bottom"/>
            <w:hideMark/>
          </w:tcPr>
          <w:p w14:paraId="7430407C"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2.375</w:t>
            </w:r>
          </w:p>
        </w:tc>
        <w:tc>
          <w:tcPr>
            <w:tcW w:w="796" w:type="dxa"/>
            <w:tcBorders>
              <w:top w:val="nil"/>
              <w:left w:val="nil"/>
              <w:bottom w:val="nil"/>
              <w:right w:val="nil"/>
            </w:tcBorders>
            <w:shd w:val="clear" w:color="auto" w:fill="auto"/>
            <w:noWrap/>
            <w:vAlign w:val="bottom"/>
            <w:hideMark/>
          </w:tcPr>
          <w:p w14:paraId="7A26D000"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3.5</w:t>
            </w:r>
          </w:p>
        </w:tc>
        <w:tc>
          <w:tcPr>
            <w:tcW w:w="1087" w:type="dxa"/>
            <w:tcBorders>
              <w:top w:val="nil"/>
              <w:left w:val="nil"/>
              <w:bottom w:val="nil"/>
              <w:right w:val="nil"/>
            </w:tcBorders>
            <w:shd w:val="clear" w:color="auto" w:fill="auto"/>
            <w:noWrap/>
            <w:vAlign w:val="bottom"/>
            <w:hideMark/>
          </w:tcPr>
          <w:p w14:paraId="3E06930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3.825</w:t>
            </w:r>
          </w:p>
        </w:tc>
        <w:tc>
          <w:tcPr>
            <w:tcW w:w="709" w:type="dxa"/>
            <w:tcBorders>
              <w:top w:val="nil"/>
              <w:left w:val="nil"/>
              <w:bottom w:val="nil"/>
              <w:right w:val="nil"/>
            </w:tcBorders>
            <w:shd w:val="clear" w:color="auto" w:fill="auto"/>
            <w:noWrap/>
            <w:vAlign w:val="bottom"/>
            <w:hideMark/>
          </w:tcPr>
          <w:p w14:paraId="1D4427BA"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5</w:t>
            </w:r>
          </w:p>
        </w:tc>
        <w:tc>
          <w:tcPr>
            <w:tcW w:w="2602" w:type="dxa"/>
            <w:tcBorders>
              <w:top w:val="nil"/>
              <w:left w:val="nil"/>
              <w:bottom w:val="nil"/>
              <w:right w:val="nil"/>
            </w:tcBorders>
            <w:shd w:val="clear" w:color="auto" w:fill="auto"/>
            <w:noWrap/>
            <w:vAlign w:val="bottom"/>
            <w:hideMark/>
          </w:tcPr>
          <w:p w14:paraId="5AB4C16B"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p = 0.655</w:t>
            </w:r>
          </w:p>
        </w:tc>
      </w:tr>
      <w:tr w:rsidR="00D124DA" w:rsidRPr="00257C6F" w14:paraId="23410503" w14:textId="77777777" w:rsidTr="001F3376">
        <w:trPr>
          <w:trHeight w:val="300"/>
        </w:trPr>
        <w:tc>
          <w:tcPr>
            <w:tcW w:w="1701" w:type="dxa"/>
            <w:tcBorders>
              <w:top w:val="nil"/>
              <w:left w:val="nil"/>
              <w:bottom w:val="nil"/>
              <w:right w:val="nil"/>
            </w:tcBorders>
            <w:shd w:val="clear" w:color="auto" w:fill="auto"/>
            <w:noWrap/>
            <w:vAlign w:val="bottom"/>
            <w:hideMark/>
          </w:tcPr>
          <w:p w14:paraId="67613D60"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Yes</w:t>
            </w:r>
          </w:p>
        </w:tc>
        <w:tc>
          <w:tcPr>
            <w:tcW w:w="567" w:type="dxa"/>
            <w:tcBorders>
              <w:top w:val="nil"/>
              <w:left w:val="nil"/>
              <w:bottom w:val="nil"/>
              <w:right w:val="nil"/>
            </w:tcBorders>
            <w:shd w:val="clear" w:color="auto" w:fill="auto"/>
            <w:noWrap/>
            <w:vAlign w:val="bottom"/>
            <w:hideMark/>
          </w:tcPr>
          <w:p w14:paraId="187C6AF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29</w:t>
            </w:r>
          </w:p>
        </w:tc>
        <w:tc>
          <w:tcPr>
            <w:tcW w:w="885" w:type="dxa"/>
            <w:tcBorders>
              <w:top w:val="nil"/>
              <w:left w:val="nil"/>
              <w:bottom w:val="nil"/>
              <w:right w:val="nil"/>
            </w:tcBorders>
            <w:shd w:val="clear" w:color="auto" w:fill="auto"/>
            <w:noWrap/>
            <w:vAlign w:val="bottom"/>
            <w:hideMark/>
          </w:tcPr>
          <w:p w14:paraId="7820261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3.13</w:t>
            </w:r>
          </w:p>
        </w:tc>
        <w:tc>
          <w:tcPr>
            <w:tcW w:w="675" w:type="dxa"/>
            <w:tcBorders>
              <w:top w:val="nil"/>
              <w:left w:val="nil"/>
              <w:bottom w:val="nil"/>
              <w:right w:val="nil"/>
            </w:tcBorders>
            <w:shd w:val="clear" w:color="auto" w:fill="auto"/>
            <w:noWrap/>
            <w:vAlign w:val="bottom"/>
            <w:hideMark/>
          </w:tcPr>
          <w:p w14:paraId="046278E8"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1.04</w:t>
            </w:r>
          </w:p>
        </w:tc>
        <w:tc>
          <w:tcPr>
            <w:tcW w:w="708" w:type="dxa"/>
            <w:tcBorders>
              <w:top w:val="nil"/>
              <w:left w:val="nil"/>
              <w:bottom w:val="nil"/>
              <w:right w:val="nil"/>
            </w:tcBorders>
            <w:shd w:val="clear" w:color="auto" w:fill="auto"/>
            <w:noWrap/>
            <w:vAlign w:val="bottom"/>
            <w:hideMark/>
          </w:tcPr>
          <w:p w14:paraId="50C51E71"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1.9</w:t>
            </w:r>
          </w:p>
        </w:tc>
        <w:tc>
          <w:tcPr>
            <w:tcW w:w="709" w:type="dxa"/>
            <w:tcBorders>
              <w:top w:val="nil"/>
              <w:left w:val="nil"/>
              <w:bottom w:val="nil"/>
              <w:right w:val="nil"/>
            </w:tcBorders>
            <w:shd w:val="clear" w:color="auto" w:fill="auto"/>
            <w:noWrap/>
            <w:vAlign w:val="bottom"/>
            <w:hideMark/>
          </w:tcPr>
          <w:p w14:paraId="352DBDC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w:t>
            </w:r>
          </w:p>
        </w:tc>
        <w:tc>
          <w:tcPr>
            <w:tcW w:w="952" w:type="dxa"/>
            <w:tcBorders>
              <w:top w:val="nil"/>
              <w:left w:val="nil"/>
              <w:bottom w:val="nil"/>
              <w:right w:val="nil"/>
            </w:tcBorders>
            <w:shd w:val="clear" w:color="auto" w:fill="auto"/>
            <w:noWrap/>
            <w:vAlign w:val="bottom"/>
            <w:hideMark/>
          </w:tcPr>
          <w:p w14:paraId="36D738C4"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2.1</w:t>
            </w:r>
          </w:p>
        </w:tc>
        <w:tc>
          <w:tcPr>
            <w:tcW w:w="796" w:type="dxa"/>
            <w:tcBorders>
              <w:top w:val="nil"/>
              <w:left w:val="nil"/>
              <w:bottom w:val="nil"/>
              <w:right w:val="nil"/>
            </w:tcBorders>
            <w:shd w:val="clear" w:color="auto" w:fill="auto"/>
            <w:noWrap/>
            <w:vAlign w:val="bottom"/>
            <w:hideMark/>
          </w:tcPr>
          <w:p w14:paraId="79A98221"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3.2</w:t>
            </w:r>
          </w:p>
        </w:tc>
        <w:tc>
          <w:tcPr>
            <w:tcW w:w="1087" w:type="dxa"/>
            <w:tcBorders>
              <w:top w:val="nil"/>
              <w:left w:val="nil"/>
              <w:bottom w:val="nil"/>
              <w:right w:val="nil"/>
            </w:tcBorders>
            <w:shd w:val="clear" w:color="auto" w:fill="auto"/>
            <w:noWrap/>
            <w:vAlign w:val="bottom"/>
            <w:hideMark/>
          </w:tcPr>
          <w:p w14:paraId="76F21E6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w:t>
            </w:r>
          </w:p>
        </w:tc>
        <w:tc>
          <w:tcPr>
            <w:tcW w:w="709" w:type="dxa"/>
            <w:tcBorders>
              <w:top w:val="nil"/>
              <w:left w:val="nil"/>
              <w:bottom w:val="nil"/>
              <w:right w:val="nil"/>
            </w:tcBorders>
            <w:shd w:val="clear" w:color="auto" w:fill="auto"/>
            <w:noWrap/>
            <w:vAlign w:val="bottom"/>
            <w:hideMark/>
          </w:tcPr>
          <w:p w14:paraId="41853D58"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4.8</w:t>
            </w:r>
          </w:p>
        </w:tc>
        <w:tc>
          <w:tcPr>
            <w:tcW w:w="2602" w:type="dxa"/>
            <w:tcBorders>
              <w:top w:val="nil"/>
              <w:left w:val="nil"/>
              <w:bottom w:val="nil"/>
              <w:right w:val="nil"/>
            </w:tcBorders>
            <w:shd w:val="clear" w:color="auto" w:fill="auto"/>
            <w:noWrap/>
            <w:vAlign w:val="bottom"/>
            <w:hideMark/>
          </w:tcPr>
          <w:p w14:paraId="2F8F3069" w14:textId="77777777" w:rsidR="00D124DA" w:rsidRPr="00257C6F" w:rsidRDefault="00D124DA" w:rsidP="001F3376">
            <w:pPr>
              <w:spacing w:line="480" w:lineRule="auto"/>
              <w:rPr>
                <w:rFonts w:ascii="Arial" w:hAnsi="Arial" w:cs="Arial"/>
                <w:color w:val="000000"/>
                <w:lang w:eastAsia="pt-BR"/>
              </w:rPr>
            </w:pPr>
          </w:p>
        </w:tc>
      </w:tr>
      <w:tr w:rsidR="00D124DA" w:rsidRPr="00257C6F" w14:paraId="0D3BB074" w14:textId="77777777" w:rsidTr="001F3376">
        <w:trPr>
          <w:trHeight w:val="300"/>
        </w:trPr>
        <w:tc>
          <w:tcPr>
            <w:tcW w:w="1701" w:type="dxa"/>
            <w:tcBorders>
              <w:top w:val="nil"/>
              <w:left w:val="nil"/>
              <w:bottom w:val="nil"/>
              <w:right w:val="nil"/>
            </w:tcBorders>
            <w:shd w:val="clear" w:color="auto" w:fill="auto"/>
            <w:noWrap/>
            <w:vAlign w:val="bottom"/>
            <w:hideMark/>
          </w:tcPr>
          <w:p w14:paraId="106A07E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xml:space="preserve">Suppuration </w:t>
            </w:r>
          </w:p>
          <w:p w14:paraId="4EBDEB2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xml:space="preserve">No </w:t>
            </w:r>
          </w:p>
        </w:tc>
        <w:tc>
          <w:tcPr>
            <w:tcW w:w="567" w:type="dxa"/>
            <w:tcBorders>
              <w:top w:val="nil"/>
              <w:left w:val="nil"/>
              <w:bottom w:val="nil"/>
              <w:right w:val="nil"/>
            </w:tcBorders>
            <w:shd w:val="clear" w:color="auto" w:fill="auto"/>
            <w:noWrap/>
            <w:vAlign w:val="bottom"/>
            <w:hideMark/>
          </w:tcPr>
          <w:p w14:paraId="66F326E2"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59</w:t>
            </w:r>
          </w:p>
        </w:tc>
        <w:tc>
          <w:tcPr>
            <w:tcW w:w="885" w:type="dxa"/>
            <w:tcBorders>
              <w:top w:val="nil"/>
              <w:left w:val="nil"/>
              <w:bottom w:val="nil"/>
              <w:right w:val="nil"/>
            </w:tcBorders>
            <w:shd w:val="clear" w:color="auto" w:fill="auto"/>
            <w:noWrap/>
            <w:vAlign w:val="bottom"/>
            <w:hideMark/>
          </w:tcPr>
          <w:p w14:paraId="1927A5A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2.97</w:t>
            </w:r>
          </w:p>
        </w:tc>
        <w:tc>
          <w:tcPr>
            <w:tcW w:w="675" w:type="dxa"/>
            <w:tcBorders>
              <w:top w:val="nil"/>
              <w:left w:val="nil"/>
              <w:bottom w:val="nil"/>
              <w:right w:val="nil"/>
            </w:tcBorders>
            <w:shd w:val="clear" w:color="auto" w:fill="auto"/>
            <w:noWrap/>
            <w:vAlign w:val="bottom"/>
            <w:hideMark/>
          </w:tcPr>
          <w:p w14:paraId="210A298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0.93</w:t>
            </w:r>
          </w:p>
        </w:tc>
        <w:tc>
          <w:tcPr>
            <w:tcW w:w="708" w:type="dxa"/>
            <w:tcBorders>
              <w:top w:val="nil"/>
              <w:left w:val="nil"/>
              <w:bottom w:val="nil"/>
              <w:right w:val="nil"/>
            </w:tcBorders>
            <w:shd w:val="clear" w:color="auto" w:fill="auto"/>
            <w:noWrap/>
            <w:vAlign w:val="bottom"/>
            <w:hideMark/>
          </w:tcPr>
          <w:p w14:paraId="1DE79BD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1.65</w:t>
            </w:r>
          </w:p>
        </w:tc>
        <w:tc>
          <w:tcPr>
            <w:tcW w:w="709" w:type="dxa"/>
            <w:tcBorders>
              <w:top w:val="nil"/>
              <w:left w:val="nil"/>
              <w:bottom w:val="nil"/>
              <w:right w:val="nil"/>
            </w:tcBorders>
            <w:shd w:val="clear" w:color="auto" w:fill="auto"/>
            <w:noWrap/>
            <w:vAlign w:val="bottom"/>
            <w:hideMark/>
          </w:tcPr>
          <w:p w14:paraId="5952A71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w:t>
            </w:r>
          </w:p>
        </w:tc>
        <w:tc>
          <w:tcPr>
            <w:tcW w:w="952" w:type="dxa"/>
            <w:tcBorders>
              <w:top w:val="nil"/>
              <w:left w:val="nil"/>
              <w:bottom w:val="nil"/>
              <w:right w:val="nil"/>
            </w:tcBorders>
            <w:shd w:val="clear" w:color="auto" w:fill="auto"/>
            <w:noWrap/>
            <w:vAlign w:val="bottom"/>
            <w:hideMark/>
          </w:tcPr>
          <w:p w14:paraId="52E07C8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2.1</w:t>
            </w:r>
          </w:p>
        </w:tc>
        <w:tc>
          <w:tcPr>
            <w:tcW w:w="796" w:type="dxa"/>
            <w:tcBorders>
              <w:top w:val="nil"/>
              <w:left w:val="nil"/>
              <w:bottom w:val="nil"/>
              <w:right w:val="nil"/>
            </w:tcBorders>
            <w:shd w:val="clear" w:color="auto" w:fill="auto"/>
            <w:noWrap/>
            <w:vAlign w:val="bottom"/>
            <w:hideMark/>
          </w:tcPr>
          <w:p w14:paraId="09167E8C"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2.7</w:t>
            </w:r>
          </w:p>
        </w:tc>
        <w:tc>
          <w:tcPr>
            <w:tcW w:w="1087" w:type="dxa"/>
            <w:tcBorders>
              <w:top w:val="nil"/>
              <w:left w:val="nil"/>
              <w:bottom w:val="nil"/>
              <w:right w:val="nil"/>
            </w:tcBorders>
            <w:shd w:val="clear" w:color="auto" w:fill="auto"/>
            <w:noWrap/>
            <w:vAlign w:val="bottom"/>
            <w:hideMark/>
          </w:tcPr>
          <w:p w14:paraId="3F016E1E"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3.75</w:t>
            </w:r>
          </w:p>
        </w:tc>
        <w:tc>
          <w:tcPr>
            <w:tcW w:w="709" w:type="dxa"/>
            <w:tcBorders>
              <w:top w:val="nil"/>
              <w:left w:val="nil"/>
              <w:bottom w:val="nil"/>
              <w:right w:val="nil"/>
            </w:tcBorders>
            <w:shd w:val="clear" w:color="auto" w:fill="auto"/>
            <w:noWrap/>
            <w:vAlign w:val="bottom"/>
            <w:hideMark/>
          </w:tcPr>
          <w:p w14:paraId="34EA43A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5</w:t>
            </w:r>
          </w:p>
        </w:tc>
        <w:tc>
          <w:tcPr>
            <w:tcW w:w="2602" w:type="dxa"/>
            <w:tcBorders>
              <w:top w:val="nil"/>
              <w:left w:val="nil"/>
              <w:bottom w:val="nil"/>
              <w:right w:val="nil"/>
            </w:tcBorders>
            <w:shd w:val="clear" w:color="auto" w:fill="auto"/>
            <w:noWrap/>
            <w:vAlign w:val="bottom"/>
            <w:hideMark/>
          </w:tcPr>
          <w:p w14:paraId="1A320D7A" w14:textId="77777777" w:rsidR="00D124DA" w:rsidRPr="00257C6F" w:rsidRDefault="00D124DA" w:rsidP="001F3376">
            <w:pPr>
              <w:spacing w:line="480" w:lineRule="auto"/>
              <w:rPr>
                <w:rFonts w:ascii="Arial" w:hAnsi="Arial" w:cs="Arial"/>
                <w:b/>
                <w:bCs/>
                <w:color w:val="000000"/>
                <w:lang w:eastAsia="pt-BR"/>
              </w:rPr>
            </w:pPr>
            <w:r w:rsidRPr="00257C6F">
              <w:rPr>
                <w:rFonts w:ascii="Arial" w:hAnsi="Arial" w:cs="Arial"/>
                <w:b/>
                <w:bCs/>
                <w:color w:val="000000"/>
                <w:lang w:eastAsia="pt-BR"/>
              </w:rPr>
              <w:t>p &lt; 00.01</w:t>
            </w:r>
          </w:p>
        </w:tc>
      </w:tr>
      <w:tr w:rsidR="00D124DA" w:rsidRPr="00257C6F" w14:paraId="0C9C0752" w14:textId="77777777" w:rsidTr="001F3376">
        <w:trPr>
          <w:trHeight w:val="300"/>
        </w:trPr>
        <w:tc>
          <w:tcPr>
            <w:tcW w:w="1701" w:type="dxa"/>
            <w:tcBorders>
              <w:top w:val="nil"/>
              <w:left w:val="nil"/>
              <w:bottom w:val="nil"/>
              <w:right w:val="nil"/>
            </w:tcBorders>
            <w:shd w:val="clear" w:color="auto" w:fill="auto"/>
            <w:noWrap/>
            <w:vAlign w:val="bottom"/>
            <w:hideMark/>
          </w:tcPr>
          <w:p w14:paraId="45ED0F48"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Yes</w:t>
            </w:r>
          </w:p>
        </w:tc>
        <w:tc>
          <w:tcPr>
            <w:tcW w:w="567" w:type="dxa"/>
            <w:tcBorders>
              <w:top w:val="nil"/>
              <w:left w:val="nil"/>
              <w:bottom w:val="nil"/>
              <w:right w:val="nil"/>
            </w:tcBorders>
            <w:shd w:val="clear" w:color="auto" w:fill="auto"/>
            <w:noWrap/>
            <w:vAlign w:val="bottom"/>
            <w:hideMark/>
          </w:tcPr>
          <w:p w14:paraId="32701F6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14</w:t>
            </w:r>
          </w:p>
        </w:tc>
        <w:tc>
          <w:tcPr>
            <w:tcW w:w="885" w:type="dxa"/>
            <w:tcBorders>
              <w:top w:val="nil"/>
              <w:left w:val="nil"/>
              <w:bottom w:val="nil"/>
              <w:right w:val="nil"/>
            </w:tcBorders>
            <w:shd w:val="clear" w:color="auto" w:fill="auto"/>
            <w:noWrap/>
            <w:vAlign w:val="bottom"/>
            <w:hideMark/>
          </w:tcPr>
          <w:p w14:paraId="1270F7D4"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4.03</w:t>
            </w:r>
          </w:p>
        </w:tc>
        <w:tc>
          <w:tcPr>
            <w:tcW w:w="675" w:type="dxa"/>
            <w:tcBorders>
              <w:top w:val="nil"/>
              <w:left w:val="nil"/>
              <w:bottom w:val="nil"/>
              <w:right w:val="nil"/>
            </w:tcBorders>
            <w:shd w:val="clear" w:color="auto" w:fill="auto"/>
            <w:noWrap/>
            <w:vAlign w:val="bottom"/>
            <w:hideMark/>
          </w:tcPr>
          <w:p w14:paraId="12E031D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0.61</w:t>
            </w:r>
          </w:p>
        </w:tc>
        <w:tc>
          <w:tcPr>
            <w:tcW w:w="708" w:type="dxa"/>
            <w:tcBorders>
              <w:top w:val="nil"/>
              <w:left w:val="nil"/>
              <w:bottom w:val="nil"/>
              <w:right w:val="nil"/>
            </w:tcBorders>
            <w:shd w:val="clear" w:color="auto" w:fill="auto"/>
            <w:noWrap/>
            <w:vAlign w:val="bottom"/>
            <w:hideMark/>
          </w:tcPr>
          <w:p w14:paraId="3DE4FD4A"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1.075</w:t>
            </w:r>
          </w:p>
        </w:tc>
        <w:tc>
          <w:tcPr>
            <w:tcW w:w="709" w:type="dxa"/>
            <w:tcBorders>
              <w:top w:val="nil"/>
              <w:left w:val="nil"/>
              <w:bottom w:val="nil"/>
              <w:right w:val="nil"/>
            </w:tcBorders>
            <w:shd w:val="clear" w:color="auto" w:fill="auto"/>
            <w:noWrap/>
            <w:vAlign w:val="bottom"/>
            <w:hideMark/>
          </w:tcPr>
          <w:p w14:paraId="14D5E73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3.2</w:t>
            </w:r>
          </w:p>
        </w:tc>
        <w:tc>
          <w:tcPr>
            <w:tcW w:w="952" w:type="dxa"/>
            <w:tcBorders>
              <w:top w:val="nil"/>
              <w:left w:val="nil"/>
              <w:bottom w:val="nil"/>
              <w:right w:val="nil"/>
            </w:tcBorders>
            <w:shd w:val="clear" w:color="auto" w:fill="auto"/>
            <w:noWrap/>
            <w:vAlign w:val="bottom"/>
            <w:hideMark/>
          </w:tcPr>
          <w:p w14:paraId="6D13C89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3.5</w:t>
            </w:r>
          </w:p>
        </w:tc>
        <w:tc>
          <w:tcPr>
            <w:tcW w:w="796" w:type="dxa"/>
            <w:tcBorders>
              <w:top w:val="nil"/>
              <w:left w:val="nil"/>
              <w:bottom w:val="nil"/>
              <w:right w:val="nil"/>
            </w:tcBorders>
            <w:shd w:val="clear" w:color="auto" w:fill="auto"/>
            <w:noWrap/>
            <w:vAlign w:val="bottom"/>
            <w:hideMark/>
          </w:tcPr>
          <w:p w14:paraId="2B03887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4.2</w:t>
            </w:r>
          </w:p>
        </w:tc>
        <w:tc>
          <w:tcPr>
            <w:tcW w:w="1087" w:type="dxa"/>
            <w:tcBorders>
              <w:top w:val="nil"/>
              <w:left w:val="nil"/>
              <w:bottom w:val="nil"/>
              <w:right w:val="nil"/>
            </w:tcBorders>
            <w:shd w:val="clear" w:color="auto" w:fill="auto"/>
            <w:noWrap/>
            <w:vAlign w:val="bottom"/>
            <w:hideMark/>
          </w:tcPr>
          <w:p w14:paraId="419668C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4.575</w:t>
            </w:r>
          </w:p>
        </w:tc>
        <w:tc>
          <w:tcPr>
            <w:tcW w:w="709" w:type="dxa"/>
            <w:tcBorders>
              <w:top w:val="nil"/>
              <w:left w:val="nil"/>
              <w:bottom w:val="nil"/>
              <w:right w:val="nil"/>
            </w:tcBorders>
            <w:shd w:val="clear" w:color="auto" w:fill="auto"/>
            <w:noWrap/>
            <w:vAlign w:val="bottom"/>
            <w:hideMark/>
          </w:tcPr>
          <w:p w14:paraId="423ECC0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4.8</w:t>
            </w:r>
          </w:p>
        </w:tc>
        <w:tc>
          <w:tcPr>
            <w:tcW w:w="2602" w:type="dxa"/>
            <w:tcBorders>
              <w:top w:val="nil"/>
              <w:left w:val="nil"/>
              <w:bottom w:val="nil"/>
              <w:right w:val="nil"/>
            </w:tcBorders>
            <w:shd w:val="clear" w:color="auto" w:fill="auto"/>
            <w:noWrap/>
            <w:vAlign w:val="bottom"/>
            <w:hideMark/>
          </w:tcPr>
          <w:p w14:paraId="7E25D652" w14:textId="77777777" w:rsidR="00D124DA" w:rsidRPr="00257C6F" w:rsidRDefault="00D124DA" w:rsidP="001F3376">
            <w:pPr>
              <w:spacing w:line="480" w:lineRule="auto"/>
              <w:rPr>
                <w:rFonts w:ascii="Arial" w:hAnsi="Arial" w:cs="Arial"/>
                <w:color w:val="000000"/>
                <w:lang w:eastAsia="pt-BR"/>
              </w:rPr>
            </w:pPr>
          </w:p>
        </w:tc>
      </w:tr>
      <w:tr w:rsidR="00D124DA" w:rsidRPr="00257C6F" w14:paraId="609AB6BF" w14:textId="77777777" w:rsidTr="001F3376">
        <w:trPr>
          <w:trHeight w:val="300"/>
        </w:trPr>
        <w:tc>
          <w:tcPr>
            <w:tcW w:w="1701" w:type="dxa"/>
            <w:tcBorders>
              <w:top w:val="nil"/>
              <w:left w:val="nil"/>
              <w:bottom w:val="nil"/>
              <w:right w:val="nil"/>
            </w:tcBorders>
            <w:shd w:val="clear" w:color="auto" w:fill="auto"/>
            <w:noWrap/>
            <w:vAlign w:val="bottom"/>
            <w:hideMark/>
          </w:tcPr>
          <w:p w14:paraId="58D18E42"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xml:space="preserve">Maintenance </w:t>
            </w:r>
          </w:p>
          <w:p w14:paraId="7A4B6007"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xml:space="preserve">No </w:t>
            </w:r>
          </w:p>
        </w:tc>
        <w:tc>
          <w:tcPr>
            <w:tcW w:w="567" w:type="dxa"/>
            <w:tcBorders>
              <w:top w:val="nil"/>
              <w:left w:val="nil"/>
              <w:bottom w:val="nil"/>
              <w:right w:val="nil"/>
            </w:tcBorders>
            <w:shd w:val="clear" w:color="auto" w:fill="auto"/>
            <w:noWrap/>
            <w:vAlign w:val="bottom"/>
            <w:hideMark/>
          </w:tcPr>
          <w:p w14:paraId="38AFD58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42</w:t>
            </w:r>
          </w:p>
        </w:tc>
        <w:tc>
          <w:tcPr>
            <w:tcW w:w="885" w:type="dxa"/>
            <w:tcBorders>
              <w:top w:val="nil"/>
              <w:left w:val="nil"/>
              <w:bottom w:val="nil"/>
              <w:right w:val="nil"/>
            </w:tcBorders>
            <w:shd w:val="clear" w:color="auto" w:fill="auto"/>
            <w:noWrap/>
            <w:vAlign w:val="bottom"/>
            <w:hideMark/>
          </w:tcPr>
          <w:p w14:paraId="4C9F1539"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3.35</w:t>
            </w:r>
          </w:p>
        </w:tc>
        <w:tc>
          <w:tcPr>
            <w:tcW w:w="675" w:type="dxa"/>
            <w:tcBorders>
              <w:top w:val="nil"/>
              <w:left w:val="nil"/>
              <w:bottom w:val="nil"/>
              <w:right w:val="nil"/>
            </w:tcBorders>
            <w:shd w:val="clear" w:color="auto" w:fill="auto"/>
            <w:noWrap/>
            <w:vAlign w:val="bottom"/>
            <w:hideMark/>
          </w:tcPr>
          <w:p w14:paraId="0DFE179B"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0.97</w:t>
            </w:r>
          </w:p>
        </w:tc>
        <w:tc>
          <w:tcPr>
            <w:tcW w:w="708" w:type="dxa"/>
            <w:tcBorders>
              <w:top w:val="nil"/>
              <w:left w:val="nil"/>
              <w:bottom w:val="nil"/>
              <w:right w:val="nil"/>
            </w:tcBorders>
            <w:shd w:val="clear" w:color="auto" w:fill="auto"/>
            <w:noWrap/>
            <w:vAlign w:val="bottom"/>
            <w:hideMark/>
          </w:tcPr>
          <w:p w14:paraId="67DC5E5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1.525</w:t>
            </w:r>
          </w:p>
        </w:tc>
        <w:tc>
          <w:tcPr>
            <w:tcW w:w="709" w:type="dxa"/>
            <w:tcBorders>
              <w:top w:val="nil"/>
              <w:left w:val="nil"/>
              <w:bottom w:val="nil"/>
              <w:right w:val="nil"/>
            </w:tcBorders>
            <w:shd w:val="clear" w:color="auto" w:fill="auto"/>
            <w:noWrap/>
            <w:vAlign w:val="bottom"/>
            <w:hideMark/>
          </w:tcPr>
          <w:p w14:paraId="0C1CF37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w:t>
            </w:r>
          </w:p>
        </w:tc>
        <w:tc>
          <w:tcPr>
            <w:tcW w:w="952" w:type="dxa"/>
            <w:tcBorders>
              <w:top w:val="nil"/>
              <w:left w:val="nil"/>
              <w:bottom w:val="nil"/>
              <w:right w:val="nil"/>
            </w:tcBorders>
            <w:shd w:val="clear" w:color="auto" w:fill="auto"/>
            <w:noWrap/>
            <w:vAlign w:val="bottom"/>
            <w:hideMark/>
          </w:tcPr>
          <w:p w14:paraId="4DB43833"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2.475</w:t>
            </w:r>
          </w:p>
        </w:tc>
        <w:tc>
          <w:tcPr>
            <w:tcW w:w="796" w:type="dxa"/>
            <w:tcBorders>
              <w:top w:val="nil"/>
              <w:left w:val="nil"/>
              <w:bottom w:val="nil"/>
              <w:right w:val="nil"/>
            </w:tcBorders>
            <w:shd w:val="clear" w:color="auto" w:fill="auto"/>
            <w:noWrap/>
            <w:vAlign w:val="bottom"/>
            <w:hideMark/>
          </w:tcPr>
          <w:p w14:paraId="15DCE9E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3.5</w:t>
            </w:r>
          </w:p>
        </w:tc>
        <w:tc>
          <w:tcPr>
            <w:tcW w:w="1087" w:type="dxa"/>
            <w:tcBorders>
              <w:top w:val="nil"/>
              <w:left w:val="nil"/>
              <w:bottom w:val="nil"/>
              <w:right w:val="nil"/>
            </w:tcBorders>
            <w:shd w:val="clear" w:color="auto" w:fill="auto"/>
            <w:noWrap/>
            <w:vAlign w:val="bottom"/>
            <w:hideMark/>
          </w:tcPr>
          <w:p w14:paraId="5706E411"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w:t>
            </w:r>
          </w:p>
        </w:tc>
        <w:tc>
          <w:tcPr>
            <w:tcW w:w="709" w:type="dxa"/>
            <w:tcBorders>
              <w:top w:val="nil"/>
              <w:left w:val="nil"/>
              <w:bottom w:val="nil"/>
              <w:right w:val="nil"/>
            </w:tcBorders>
            <w:shd w:val="clear" w:color="auto" w:fill="auto"/>
            <w:noWrap/>
            <w:vAlign w:val="bottom"/>
            <w:hideMark/>
          </w:tcPr>
          <w:p w14:paraId="3E683824"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5</w:t>
            </w:r>
          </w:p>
        </w:tc>
        <w:tc>
          <w:tcPr>
            <w:tcW w:w="2602" w:type="dxa"/>
            <w:tcBorders>
              <w:top w:val="nil"/>
              <w:left w:val="nil"/>
              <w:bottom w:val="nil"/>
              <w:right w:val="nil"/>
            </w:tcBorders>
            <w:shd w:val="clear" w:color="auto" w:fill="auto"/>
            <w:noWrap/>
            <w:vAlign w:val="bottom"/>
            <w:hideMark/>
          </w:tcPr>
          <w:p w14:paraId="3F3EA05C" w14:textId="77777777" w:rsidR="00D124DA" w:rsidRPr="00257C6F" w:rsidRDefault="00D124DA" w:rsidP="001F3376">
            <w:pPr>
              <w:spacing w:line="480" w:lineRule="auto"/>
              <w:rPr>
                <w:rFonts w:ascii="Arial" w:hAnsi="Arial" w:cs="Arial"/>
                <w:color w:val="000000"/>
                <w:lang w:eastAsia="pt-BR"/>
              </w:rPr>
            </w:pPr>
          </w:p>
        </w:tc>
      </w:tr>
      <w:tr w:rsidR="00D124DA" w:rsidRPr="00257C6F" w14:paraId="16D6D774" w14:textId="77777777" w:rsidTr="001F3376">
        <w:trPr>
          <w:trHeight w:val="300"/>
        </w:trPr>
        <w:tc>
          <w:tcPr>
            <w:tcW w:w="1701" w:type="dxa"/>
            <w:tcBorders>
              <w:top w:val="nil"/>
              <w:left w:val="nil"/>
              <w:bottom w:val="nil"/>
              <w:right w:val="nil"/>
            </w:tcBorders>
            <w:shd w:val="clear" w:color="auto" w:fill="auto"/>
            <w:noWrap/>
            <w:vAlign w:val="bottom"/>
            <w:hideMark/>
          </w:tcPr>
          <w:p w14:paraId="2A61A89C"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 xml:space="preserve">Yes </w:t>
            </w:r>
          </w:p>
        </w:tc>
        <w:tc>
          <w:tcPr>
            <w:tcW w:w="567" w:type="dxa"/>
            <w:tcBorders>
              <w:top w:val="nil"/>
              <w:left w:val="nil"/>
              <w:bottom w:val="nil"/>
              <w:right w:val="nil"/>
            </w:tcBorders>
            <w:shd w:val="clear" w:color="auto" w:fill="auto"/>
            <w:noWrap/>
            <w:vAlign w:val="bottom"/>
            <w:hideMark/>
          </w:tcPr>
          <w:p w14:paraId="7F8E3FBC"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31</w:t>
            </w:r>
          </w:p>
        </w:tc>
        <w:tc>
          <w:tcPr>
            <w:tcW w:w="885" w:type="dxa"/>
            <w:tcBorders>
              <w:top w:val="nil"/>
              <w:left w:val="nil"/>
              <w:bottom w:val="nil"/>
              <w:right w:val="nil"/>
            </w:tcBorders>
            <w:shd w:val="clear" w:color="auto" w:fill="auto"/>
            <w:noWrap/>
            <w:vAlign w:val="bottom"/>
            <w:hideMark/>
          </w:tcPr>
          <w:p w14:paraId="0F30120D"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2.94</w:t>
            </w:r>
          </w:p>
        </w:tc>
        <w:tc>
          <w:tcPr>
            <w:tcW w:w="675" w:type="dxa"/>
            <w:tcBorders>
              <w:top w:val="nil"/>
              <w:left w:val="nil"/>
              <w:bottom w:val="nil"/>
              <w:right w:val="nil"/>
            </w:tcBorders>
            <w:shd w:val="clear" w:color="auto" w:fill="auto"/>
            <w:noWrap/>
            <w:vAlign w:val="bottom"/>
            <w:hideMark/>
          </w:tcPr>
          <w:p w14:paraId="42312EDA"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0.93</w:t>
            </w:r>
          </w:p>
        </w:tc>
        <w:tc>
          <w:tcPr>
            <w:tcW w:w="708" w:type="dxa"/>
            <w:tcBorders>
              <w:top w:val="nil"/>
              <w:left w:val="nil"/>
              <w:bottom w:val="nil"/>
              <w:right w:val="nil"/>
            </w:tcBorders>
            <w:shd w:val="clear" w:color="auto" w:fill="auto"/>
            <w:noWrap/>
            <w:vAlign w:val="bottom"/>
            <w:hideMark/>
          </w:tcPr>
          <w:p w14:paraId="73DF2886"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1.5</w:t>
            </w:r>
          </w:p>
        </w:tc>
        <w:tc>
          <w:tcPr>
            <w:tcW w:w="709" w:type="dxa"/>
            <w:tcBorders>
              <w:top w:val="nil"/>
              <w:left w:val="nil"/>
              <w:bottom w:val="nil"/>
              <w:right w:val="nil"/>
            </w:tcBorders>
            <w:shd w:val="clear" w:color="auto" w:fill="auto"/>
            <w:noWrap/>
            <w:vAlign w:val="bottom"/>
            <w:hideMark/>
          </w:tcPr>
          <w:p w14:paraId="532299E2"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1.6</w:t>
            </w:r>
          </w:p>
        </w:tc>
        <w:tc>
          <w:tcPr>
            <w:tcW w:w="952" w:type="dxa"/>
            <w:tcBorders>
              <w:top w:val="nil"/>
              <w:left w:val="nil"/>
              <w:bottom w:val="nil"/>
              <w:right w:val="nil"/>
            </w:tcBorders>
            <w:shd w:val="clear" w:color="auto" w:fill="auto"/>
            <w:noWrap/>
            <w:vAlign w:val="bottom"/>
            <w:hideMark/>
          </w:tcPr>
          <w:p w14:paraId="71766105"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2.1</w:t>
            </w:r>
          </w:p>
        </w:tc>
        <w:tc>
          <w:tcPr>
            <w:tcW w:w="796" w:type="dxa"/>
            <w:tcBorders>
              <w:top w:val="nil"/>
              <w:left w:val="nil"/>
              <w:bottom w:val="nil"/>
              <w:right w:val="nil"/>
            </w:tcBorders>
            <w:shd w:val="clear" w:color="auto" w:fill="auto"/>
            <w:noWrap/>
            <w:vAlign w:val="bottom"/>
            <w:hideMark/>
          </w:tcPr>
          <w:p w14:paraId="6574E890"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2.6</w:t>
            </w:r>
          </w:p>
        </w:tc>
        <w:tc>
          <w:tcPr>
            <w:tcW w:w="1087" w:type="dxa"/>
            <w:tcBorders>
              <w:top w:val="nil"/>
              <w:left w:val="nil"/>
              <w:bottom w:val="nil"/>
              <w:right w:val="nil"/>
            </w:tcBorders>
            <w:shd w:val="clear" w:color="auto" w:fill="auto"/>
            <w:noWrap/>
            <w:vAlign w:val="bottom"/>
            <w:hideMark/>
          </w:tcPr>
          <w:p w14:paraId="510ABDF1"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3.6</w:t>
            </w:r>
          </w:p>
        </w:tc>
        <w:tc>
          <w:tcPr>
            <w:tcW w:w="709" w:type="dxa"/>
            <w:tcBorders>
              <w:top w:val="nil"/>
              <w:left w:val="nil"/>
              <w:bottom w:val="nil"/>
              <w:right w:val="nil"/>
            </w:tcBorders>
            <w:shd w:val="clear" w:color="auto" w:fill="auto"/>
            <w:noWrap/>
            <w:vAlign w:val="bottom"/>
            <w:hideMark/>
          </w:tcPr>
          <w:p w14:paraId="2425BA64"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4.6</w:t>
            </w:r>
          </w:p>
        </w:tc>
        <w:tc>
          <w:tcPr>
            <w:tcW w:w="2602" w:type="dxa"/>
            <w:tcBorders>
              <w:top w:val="nil"/>
              <w:left w:val="nil"/>
              <w:bottom w:val="nil"/>
              <w:right w:val="nil"/>
            </w:tcBorders>
            <w:shd w:val="clear" w:color="auto" w:fill="auto"/>
            <w:noWrap/>
            <w:vAlign w:val="bottom"/>
            <w:hideMark/>
          </w:tcPr>
          <w:p w14:paraId="566C611F" w14:textId="77777777" w:rsidR="00D124DA" w:rsidRPr="00257C6F" w:rsidRDefault="00D124DA" w:rsidP="001F3376">
            <w:pPr>
              <w:spacing w:line="480" w:lineRule="auto"/>
              <w:rPr>
                <w:rFonts w:ascii="Arial" w:hAnsi="Arial" w:cs="Arial"/>
                <w:color w:val="000000"/>
                <w:lang w:eastAsia="pt-BR"/>
              </w:rPr>
            </w:pPr>
            <w:r w:rsidRPr="00257C6F">
              <w:rPr>
                <w:rFonts w:ascii="Arial" w:hAnsi="Arial" w:cs="Arial"/>
                <w:color w:val="000000"/>
                <w:lang w:eastAsia="pt-BR"/>
              </w:rPr>
              <w:t>p = 0.069</w:t>
            </w:r>
          </w:p>
        </w:tc>
      </w:tr>
    </w:tbl>
    <w:p w14:paraId="4B1433EA" w14:textId="77777777" w:rsidR="00D124DA" w:rsidRPr="00257C6F" w:rsidRDefault="00D124DA" w:rsidP="00D124DA">
      <w:pPr>
        <w:spacing w:line="480" w:lineRule="auto"/>
        <w:jc w:val="both"/>
        <w:rPr>
          <w:rFonts w:ascii="Arial" w:eastAsia="Calibri" w:hAnsi="Arial" w:cs="Arial"/>
        </w:rPr>
      </w:pPr>
    </w:p>
    <w:p w14:paraId="61186961" w14:textId="77777777" w:rsidR="00D124DA" w:rsidRPr="00257C6F" w:rsidRDefault="00D124DA" w:rsidP="00D124DA">
      <w:pPr>
        <w:spacing w:line="480" w:lineRule="auto"/>
        <w:jc w:val="both"/>
        <w:rPr>
          <w:rFonts w:ascii="Arial" w:eastAsia="Calibri" w:hAnsi="Arial" w:cs="Arial"/>
        </w:rPr>
      </w:pPr>
      <w:r w:rsidRPr="00257C6F">
        <w:rPr>
          <w:rFonts w:ascii="Arial" w:eastAsia="Calibri" w:hAnsi="Arial" w:cs="Arial"/>
        </w:rPr>
        <w:t>N: implants; ST: standart deviation; CI: confidence interval, Min: minimum; Max: maximum</w:t>
      </w:r>
    </w:p>
    <w:bookmarkEnd w:id="10"/>
    <w:p w14:paraId="008F921F" w14:textId="0F10914B" w:rsidR="00D124DA" w:rsidRPr="00257C6F" w:rsidRDefault="00D124DA" w:rsidP="00D124DA">
      <w:pPr>
        <w:spacing w:line="480" w:lineRule="auto"/>
        <w:jc w:val="both"/>
        <w:rPr>
          <w:rFonts w:ascii="Arial" w:eastAsia="Calibri" w:hAnsi="Arial" w:cs="Arial"/>
        </w:rPr>
      </w:pPr>
      <w:r>
        <w:rPr>
          <w:rFonts w:ascii="Arial" w:eastAsia="Calibri" w:hAnsi="Arial" w:cs="Arial"/>
        </w:rPr>
        <w:t>Table 2: bone loss observed at implants and related variables</w:t>
      </w:r>
    </w:p>
    <w:p w14:paraId="1A92B47A" w14:textId="77777777" w:rsidR="00135004" w:rsidRPr="00135004" w:rsidRDefault="00135004" w:rsidP="00135004">
      <w:pPr>
        <w:pStyle w:val="Body"/>
        <w:spacing w:after="0"/>
        <w:rPr>
          <w:rFonts w:ascii="Arial" w:hAnsi="Arial" w:cs="Arial"/>
        </w:rPr>
      </w:pPr>
    </w:p>
    <w:p w14:paraId="09226725" w14:textId="77777777" w:rsidR="00135004" w:rsidRPr="00135004" w:rsidRDefault="00135004" w:rsidP="00135004">
      <w:pPr>
        <w:pStyle w:val="Body"/>
        <w:spacing w:after="0"/>
        <w:rPr>
          <w:rFonts w:ascii="Arial" w:hAnsi="Arial" w:cs="Arial"/>
          <w:b/>
          <w:bCs/>
        </w:rPr>
      </w:pPr>
      <w:r w:rsidRPr="00135004">
        <w:rPr>
          <w:rFonts w:ascii="Arial" w:hAnsi="Arial" w:cs="Arial"/>
          <w:b/>
          <w:bCs/>
        </w:rPr>
        <w:t>3.2 Probing Depth</w:t>
      </w:r>
    </w:p>
    <w:p w14:paraId="07DB9A1C" w14:textId="0F601876" w:rsidR="00135004" w:rsidRPr="00135004" w:rsidRDefault="00135004" w:rsidP="00135004">
      <w:pPr>
        <w:pStyle w:val="Body"/>
        <w:spacing w:after="0"/>
        <w:rPr>
          <w:rFonts w:ascii="Arial" w:hAnsi="Arial" w:cs="Arial"/>
        </w:rPr>
      </w:pPr>
      <w:r w:rsidRPr="00135004">
        <w:rPr>
          <w:rFonts w:ascii="Arial" w:hAnsi="Arial" w:cs="Arial"/>
        </w:rPr>
        <w:t xml:space="preserve"> When assessing the variables individually, and not together, the superior or inferior positions, and bleeding on probing seem not to affect PD (probing depth), while anterior and posterior positions and plaque index do. Therefore, PD seems to be higher in posterior teeth in comparison to anterior ones, and lower when there is no plaque index, when compared to the occurrence </w:t>
      </w:r>
      <w:r w:rsidRPr="00640E12">
        <w:rPr>
          <w:rFonts w:ascii="Arial" w:hAnsi="Arial" w:cs="Arial"/>
          <w:highlight w:val="yellow"/>
        </w:rPr>
        <w:t xml:space="preserve">of </w:t>
      </w:r>
      <w:r w:rsidR="003E0695" w:rsidRPr="00640E12">
        <w:rPr>
          <w:rFonts w:ascii="Arial" w:hAnsi="Arial" w:cs="Arial"/>
          <w:highlight w:val="yellow"/>
        </w:rPr>
        <w:t>th</w:t>
      </w:r>
      <w:r w:rsidR="003E0695" w:rsidRPr="00640E12">
        <w:rPr>
          <w:rFonts w:ascii="Arial" w:hAnsi="Arial" w:cs="Arial"/>
          <w:highlight w:val="yellow"/>
        </w:rPr>
        <w:t>is</w:t>
      </w:r>
      <w:r w:rsidR="003E0695" w:rsidRPr="00640E12">
        <w:rPr>
          <w:rFonts w:ascii="Arial" w:hAnsi="Arial" w:cs="Arial"/>
          <w:highlight w:val="yellow"/>
        </w:rPr>
        <w:t xml:space="preserve"> </w:t>
      </w:r>
      <w:r w:rsidRPr="00640E12">
        <w:rPr>
          <w:rFonts w:ascii="Arial" w:hAnsi="Arial" w:cs="Arial"/>
          <w:highlight w:val="yellow"/>
        </w:rPr>
        <w:t>index</w:t>
      </w:r>
      <w:r w:rsidR="003E0695" w:rsidRPr="00640E12">
        <w:rPr>
          <w:rFonts w:ascii="Arial" w:hAnsi="Arial" w:cs="Arial"/>
          <w:highlight w:val="yellow"/>
        </w:rPr>
        <w:t>,</w:t>
      </w:r>
      <w:r w:rsidRPr="00640E12">
        <w:rPr>
          <w:rFonts w:ascii="Arial" w:hAnsi="Arial" w:cs="Arial"/>
          <w:highlight w:val="yellow"/>
        </w:rPr>
        <w:t xml:space="preserve"> respectively. The implant </w:t>
      </w:r>
      <w:r w:rsidR="003E0695" w:rsidRPr="00640E12">
        <w:rPr>
          <w:rFonts w:ascii="Arial" w:hAnsi="Arial" w:cs="Arial"/>
          <w:highlight w:val="yellow"/>
        </w:rPr>
        <w:t xml:space="preserve">was </w:t>
      </w:r>
      <w:r w:rsidRPr="00640E12">
        <w:rPr>
          <w:rFonts w:ascii="Arial" w:hAnsi="Arial" w:cs="Arial"/>
          <w:highlight w:val="yellow"/>
        </w:rPr>
        <w:t>diagnosed</w:t>
      </w:r>
      <w:r w:rsidRPr="00135004">
        <w:rPr>
          <w:rFonts w:ascii="Arial" w:hAnsi="Arial" w:cs="Arial"/>
        </w:rPr>
        <w:t xml:space="preserve"> with peri-implantitis, </w:t>
      </w:r>
      <w:r w:rsidRPr="00135004">
        <w:rPr>
          <w:rFonts w:ascii="Arial" w:hAnsi="Arial" w:cs="Arial"/>
        </w:rPr>
        <w:lastRenderedPageBreak/>
        <w:t xml:space="preserve">and presence of </w:t>
      </w:r>
      <w:r w:rsidRPr="00640E12">
        <w:rPr>
          <w:rFonts w:ascii="Arial" w:hAnsi="Arial" w:cs="Arial"/>
          <w:highlight w:val="yellow"/>
        </w:rPr>
        <w:t xml:space="preserve">biofilm </w:t>
      </w:r>
      <w:r w:rsidR="003E0695" w:rsidRPr="00640E12">
        <w:rPr>
          <w:rFonts w:ascii="Arial" w:hAnsi="Arial" w:cs="Arial"/>
          <w:highlight w:val="yellow"/>
        </w:rPr>
        <w:t>ha</w:t>
      </w:r>
      <w:r w:rsidR="003E0695" w:rsidRPr="00640E12">
        <w:rPr>
          <w:rFonts w:ascii="Arial" w:hAnsi="Arial" w:cs="Arial"/>
          <w:highlight w:val="yellow"/>
        </w:rPr>
        <w:t>s</w:t>
      </w:r>
      <w:r w:rsidR="003E0695" w:rsidRPr="00640E12">
        <w:rPr>
          <w:rFonts w:ascii="Arial" w:hAnsi="Arial" w:cs="Arial"/>
          <w:highlight w:val="yellow"/>
        </w:rPr>
        <w:t xml:space="preserve"> </w:t>
      </w:r>
      <w:r w:rsidRPr="00640E12">
        <w:rPr>
          <w:rFonts w:ascii="Arial" w:hAnsi="Arial" w:cs="Arial"/>
          <w:highlight w:val="yellow"/>
        </w:rPr>
        <w:t>affected the PD. With a positive plaque index, the probing depth was 5.3 mm, minimum of 3.5</w:t>
      </w:r>
      <w:r w:rsidRPr="00135004">
        <w:rPr>
          <w:rFonts w:ascii="Arial" w:hAnsi="Arial" w:cs="Arial"/>
        </w:rPr>
        <w:t xml:space="preserve"> mm and maximum of 7.0 mm </w:t>
      </w:r>
      <w:r w:rsidRPr="00135004">
        <w:rPr>
          <w:rFonts w:ascii="Arial" w:hAnsi="Arial" w:cs="Arial"/>
          <w:lang w:val="en"/>
        </w:rPr>
        <w:t>(P &lt; .001)</w:t>
      </w:r>
      <w:r w:rsidRPr="00135004">
        <w:rPr>
          <w:rFonts w:ascii="Arial" w:hAnsi="Arial" w:cs="Arial"/>
        </w:rPr>
        <w:t xml:space="preserve">. Bleeding on probing was not statistically significant for this group. (Table 3)   </w:t>
      </w:r>
    </w:p>
    <w:p w14:paraId="0EB3E956" w14:textId="486979BD" w:rsidR="00135004" w:rsidRDefault="00135004" w:rsidP="00135004">
      <w:pPr>
        <w:pStyle w:val="Body"/>
        <w:spacing w:after="0"/>
        <w:rPr>
          <w:rFonts w:ascii="Arial" w:hAnsi="Arial" w:cs="Arial"/>
        </w:rPr>
      </w:pPr>
      <w:r w:rsidRPr="00135004">
        <w:rPr>
          <w:rFonts w:ascii="Arial" w:hAnsi="Arial" w:cs="Arial"/>
        </w:rPr>
        <w:t xml:space="preserve">In order to compare patients with different characteristics regarding the odds of having disease, the odds ratio were calculated, which is the result of dividing the odds of a patience in a certain category of a categorical variable to have the disease by the odds of a patience in the reference category. Besides Odd Ratio, the Interval of 95% and the p-value of Fisher’s Exact Test, which tests if the Odd Ratio is statistically different from one. </w:t>
      </w:r>
      <w:bookmarkStart w:id="11" w:name="_Hlk136192634"/>
      <w:r w:rsidRPr="00135004">
        <w:rPr>
          <w:rFonts w:ascii="Arial" w:hAnsi="Arial" w:cs="Arial"/>
        </w:rPr>
        <w:t xml:space="preserve">According to the obtained results, it is expected that the odds for peri-implantitis when </w:t>
      </w:r>
      <w:r w:rsidRPr="00640E12">
        <w:rPr>
          <w:rFonts w:ascii="Arial" w:hAnsi="Arial" w:cs="Arial"/>
          <w:highlight w:val="yellow"/>
        </w:rPr>
        <w:t xml:space="preserve">there is </w:t>
      </w:r>
      <w:r w:rsidR="003E0695" w:rsidRPr="00640E12">
        <w:rPr>
          <w:rFonts w:ascii="Arial" w:hAnsi="Arial" w:cs="Arial"/>
          <w:highlight w:val="yellow"/>
        </w:rPr>
        <w:t xml:space="preserve">a </w:t>
      </w:r>
      <w:r w:rsidRPr="00640E12">
        <w:rPr>
          <w:rFonts w:ascii="Arial" w:hAnsi="Arial" w:cs="Arial"/>
          <w:highlight w:val="yellow"/>
        </w:rPr>
        <w:t>plaque index</w:t>
      </w:r>
      <w:r w:rsidRPr="00135004">
        <w:rPr>
          <w:rFonts w:ascii="Arial" w:hAnsi="Arial" w:cs="Arial"/>
        </w:rPr>
        <w:t xml:space="preserve"> (PI = 1) 14.545 </w:t>
      </w:r>
      <w:r w:rsidRPr="00135004">
        <w:rPr>
          <w:rFonts w:ascii="Arial" w:hAnsi="Arial" w:cs="Arial"/>
          <w:lang w:val="en"/>
        </w:rPr>
        <w:t>(P &lt; .001</w:t>
      </w:r>
      <w:r w:rsidRPr="00135004">
        <w:rPr>
          <w:rFonts w:ascii="Arial" w:hAnsi="Arial" w:cs="Arial"/>
        </w:rPr>
        <w:t xml:space="preserve"> and CI = [4.472;47.313]) times the odds of having peri-implantitis when there is no plaque index </w:t>
      </w:r>
      <w:bookmarkEnd w:id="11"/>
      <w:r w:rsidRPr="00135004">
        <w:rPr>
          <w:rFonts w:ascii="Arial" w:hAnsi="Arial" w:cs="Arial"/>
        </w:rPr>
        <w:t>(PI = 0) (table 4).</w:t>
      </w:r>
    </w:p>
    <w:p w14:paraId="45652F8D" w14:textId="77777777" w:rsidR="00135004" w:rsidRDefault="00135004" w:rsidP="00135004">
      <w:pPr>
        <w:pStyle w:val="Body"/>
        <w:spacing w:after="0"/>
        <w:rPr>
          <w:rFonts w:ascii="Arial" w:hAnsi="Arial" w:cs="Arial"/>
        </w:rPr>
      </w:pPr>
    </w:p>
    <w:p w14:paraId="37E37BC3" w14:textId="2E5373E4" w:rsidR="00725CD2" w:rsidRDefault="00725CD2" w:rsidP="00135004">
      <w:pPr>
        <w:pStyle w:val="Body"/>
        <w:spacing w:after="0"/>
        <w:rPr>
          <w:rFonts w:ascii="Arial" w:hAnsi="Arial" w:cs="Arial"/>
        </w:rPr>
      </w:pPr>
      <w:r w:rsidRPr="00725CD2">
        <w:rPr>
          <w:noProof/>
        </w:rPr>
        <w:lastRenderedPageBreak/>
        <w:drawing>
          <wp:inline distT="0" distB="0" distL="0" distR="0" wp14:anchorId="26C53A9E" wp14:editId="783DE228">
            <wp:extent cx="5212080" cy="6526530"/>
            <wp:effectExtent l="0" t="0" r="0" b="0"/>
            <wp:docPr id="187831244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6526530"/>
                    </a:xfrm>
                    <a:prstGeom prst="rect">
                      <a:avLst/>
                    </a:prstGeom>
                    <a:noFill/>
                    <a:ln>
                      <a:noFill/>
                    </a:ln>
                  </pic:spPr>
                </pic:pic>
              </a:graphicData>
            </a:graphic>
          </wp:inline>
        </w:drawing>
      </w:r>
    </w:p>
    <w:p w14:paraId="67EF5F70" w14:textId="77777777" w:rsidR="00D124DA" w:rsidRPr="00257C6F" w:rsidRDefault="00D124DA" w:rsidP="00D124DA">
      <w:pPr>
        <w:spacing w:line="480" w:lineRule="auto"/>
        <w:jc w:val="both"/>
        <w:rPr>
          <w:rFonts w:ascii="Arial" w:eastAsia="Calibri" w:hAnsi="Arial" w:cs="Arial"/>
        </w:rPr>
      </w:pPr>
      <w:r w:rsidRPr="00257C6F">
        <w:rPr>
          <w:rFonts w:ascii="Arial" w:eastAsia="Calibri" w:hAnsi="Arial" w:cs="Arial"/>
        </w:rPr>
        <w:t>Table 4: OR for variables related to probing depth.</w:t>
      </w:r>
    </w:p>
    <w:tbl>
      <w:tblPr>
        <w:tblW w:w="7655" w:type="dxa"/>
        <w:tblBorders>
          <w:top w:val="single" w:sz="4" w:space="0" w:color="auto"/>
          <w:bottom w:val="single" w:sz="4" w:space="0" w:color="auto"/>
        </w:tblBorders>
        <w:shd w:val="clear" w:color="auto" w:fill="FFFFFF"/>
        <w:tblCellMar>
          <w:left w:w="70" w:type="dxa"/>
          <w:right w:w="70" w:type="dxa"/>
        </w:tblCellMar>
        <w:tblLook w:val="04A0" w:firstRow="1" w:lastRow="0" w:firstColumn="1" w:lastColumn="0" w:noHBand="0" w:noVBand="1"/>
      </w:tblPr>
      <w:tblGrid>
        <w:gridCol w:w="3820"/>
        <w:gridCol w:w="960"/>
        <w:gridCol w:w="1449"/>
        <w:gridCol w:w="1426"/>
      </w:tblGrid>
      <w:tr w:rsidR="00D124DA" w:rsidRPr="00257C6F" w14:paraId="7F2DFF57" w14:textId="77777777" w:rsidTr="001F3376">
        <w:trPr>
          <w:trHeight w:val="300"/>
        </w:trPr>
        <w:tc>
          <w:tcPr>
            <w:tcW w:w="3820" w:type="dxa"/>
            <w:shd w:val="clear" w:color="auto" w:fill="FFFFFF"/>
            <w:noWrap/>
            <w:vAlign w:val="bottom"/>
            <w:hideMark/>
          </w:tcPr>
          <w:p w14:paraId="652D4272" w14:textId="77777777" w:rsidR="00D124DA" w:rsidRPr="00257C6F" w:rsidRDefault="00D124DA" w:rsidP="001F3376">
            <w:pPr>
              <w:spacing w:line="480" w:lineRule="auto"/>
              <w:rPr>
                <w:rFonts w:ascii="Arial" w:hAnsi="Arial" w:cs="Arial"/>
                <w:color w:val="000000"/>
              </w:rPr>
            </w:pPr>
            <w:r w:rsidRPr="00257C6F">
              <w:rPr>
                <w:rFonts w:ascii="Arial" w:hAnsi="Arial" w:cs="Arial"/>
                <w:color w:val="000000"/>
              </w:rPr>
              <w:t>variables to develop PD</w:t>
            </w:r>
          </w:p>
        </w:tc>
        <w:tc>
          <w:tcPr>
            <w:tcW w:w="960" w:type="dxa"/>
            <w:shd w:val="clear" w:color="auto" w:fill="FFFFFF"/>
            <w:noWrap/>
            <w:vAlign w:val="bottom"/>
            <w:hideMark/>
          </w:tcPr>
          <w:p w14:paraId="145B0BCC" w14:textId="77777777" w:rsidR="00D124DA" w:rsidRPr="00257C6F" w:rsidRDefault="00D124DA" w:rsidP="001F3376">
            <w:pPr>
              <w:spacing w:line="480" w:lineRule="auto"/>
              <w:rPr>
                <w:rFonts w:ascii="Arial" w:hAnsi="Arial" w:cs="Arial"/>
                <w:color w:val="000000"/>
              </w:rPr>
            </w:pPr>
          </w:p>
        </w:tc>
        <w:tc>
          <w:tcPr>
            <w:tcW w:w="1449" w:type="dxa"/>
            <w:shd w:val="clear" w:color="auto" w:fill="FFFFFF"/>
            <w:noWrap/>
            <w:vAlign w:val="bottom"/>
            <w:hideMark/>
          </w:tcPr>
          <w:p w14:paraId="03E058AB" w14:textId="77777777" w:rsidR="00D124DA" w:rsidRPr="00257C6F" w:rsidRDefault="00D124DA" w:rsidP="001F3376">
            <w:pPr>
              <w:spacing w:line="480" w:lineRule="auto"/>
              <w:rPr>
                <w:rFonts w:ascii="Arial" w:hAnsi="Arial" w:cs="Arial"/>
              </w:rPr>
            </w:pPr>
          </w:p>
        </w:tc>
        <w:tc>
          <w:tcPr>
            <w:tcW w:w="1426" w:type="dxa"/>
            <w:shd w:val="clear" w:color="auto" w:fill="FFFFFF"/>
            <w:noWrap/>
            <w:vAlign w:val="bottom"/>
            <w:hideMark/>
          </w:tcPr>
          <w:p w14:paraId="50B65D81" w14:textId="77777777" w:rsidR="00D124DA" w:rsidRPr="00257C6F" w:rsidRDefault="00D124DA" w:rsidP="001F3376">
            <w:pPr>
              <w:spacing w:line="480" w:lineRule="auto"/>
              <w:rPr>
                <w:rFonts w:ascii="Arial" w:hAnsi="Arial" w:cs="Arial"/>
                <w:b/>
                <w:bCs/>
                <w:color w:val="000000"/>
              </w:rPr>
            </w:pPr>
            <w:r w:rsidRPr="00257C6F">
              <w:rPr>
                <w:rFonts w:ascii="Arial" w:hAnsi="Arial" w:cs="Arial"/>
                <w:b/>
                <w:bCs/>
                <w:color w:val="000000"/>
              </w:rPr>
              <w:t> </w:t>
            </w:r>
          </w:p>
        </w:tc>
      </w:tr>
      <w:tr w:rsidR="00D124DA" w:rsidRPr="00257C6F" w14:paraId="45E91F1A" w14:textId="77777777" w:rsidTr="001F3376">
        <w:trPr>
          <w:trHeight w:val="300"/>
        </w:trPr>
        <w:tc>
          <w:tcPr>
            <w:tcW w:w="3820" w:type="dxa"/>
            <w:shd w:val="clear" w:color="auto" w:fill="FFFFFF"/>
            <w:noWrap/>
            <w:vAlign w:val="bottom"/>
            <w:hideMark/>
          </w:tcPr>
          <w:p w14:paraId="22A9B8E0" w14:textId="77777777" w:rsidR="00D124DA" w:rsidRPr="00257C6F" w:rsidRDefault="00D124DA" w:rsidP="001F3376">
            <w:pPr>
              <w:spacing w:line="480" w:lineRule="auto"/>
              <w:rPr>
                <w:rFonts w:ascii="Arial" w:hAnsi="Arial" w:cs="Arial"/>
                <w:color w:val="000000"/>
              </w:rPr>
            </w:pPr>
            <w:r w:rsidRPr="00257C6F">
              <w:rPr>
                <w:rFonts w:ascii="Arial" w:hAnsi="Arial" w:cs="Arial"/>
                <w:color w:val="000000"/>
              </w:rPr>
              <w:t xml:space="preserve">Plaque index </w:t>
            </w:r>
          </w:p>
        </w:tc>
        <w:tc>
          <w:tcPr>
            <w:tcW w:w="960" w:type="dxa"/>
            <w:shd w:val="clear" w:color="auto" w:fill="FFFFFF"/>
            <w:noWrap/>
            <w:vAlign w:val="bottom"/>
            <w:hideMark/>
          </w:tcPr>
          <w:p w14:paraId="64261E0C" w14:textId="77777777" w:rsidR="00D124DA" w:rsidRPr="00257C6F" w:rsidRDefault="00D124DA" w:rsidP="001F3376">
            <w:pPr>
              <w:spacing w:line="480" w:lineRule="auto"/>
              <w:rPr>
                <w:rFonts w:ascii="Arial" w:hAnsi="Arial" w:cs="Arial"/>
                <w:color w:val="000000"/>
              </w:rPr>
            </w:pPr>
            <w:r w:rsidRPr="00257C6F">
              <w:rPr>
                <w:rFonts w:ascii="Arial" w:hAnsi="Arial" w:cs="Arial"/>
                <w:color w:val="000000"/>
              </w:rPr>
              <w:t>14.545</w:t>
            </w:r>
          </w:p>
        </w:tc>
        <w:tc>
          <w:tcPr>
            <w:tcW w:w="1449" w:type="dxa"/>
            <w:shd w:val="clear" w:color="auto" w:fill="FFFFFF"/>
            <w:noWrap/>
            <w:vAlign w:val="bottom"/>
            <w:hideMark/>
          </w:tcPr>
          <w:p w14:paraId="255BA6CD" w14:textId="77777777" w:rsidR="00D124DA" w:rsidRPr="00257C6F" w:rsidRDefault="00D124DA" w:rsidP="001F3376">
            <w:pPr>
              <w:spacing w:line="480" w:lineRule="auto"/>
              <w:rPr>
                <w:rFonts w:ascii="Arial" w:hAnsi="Arial" w:cs="Arial"/>
                <w:color w:val="000000"/>
              </w:rPr>
            </w:pPr>
            <w:r w:rsidRPr="00257C6F">
              <w:rPr>
                <w:rFonts w:ascii="Arial" w:hAnsi="Arial" w:cs="Arial"/>
                <w:color w:val="000000"/>
              </w:rPr>
              <w:t>[4.472;47.313]</w:t>
            </w:r>
          </w:p>
        </w:tc>
        <w:tc>
          <w:tcPr>
            <w:tcW w:w="1426" w:type="dxa"/>
            <w:shd w:val="clear" w:color="auto" w:fill="FFFFFF"/>
            <w:noWrap/>
            <w:vAlign w:val="bottom"/>
            <w:hideMark/>
          </w:tcPr>
          <w:p w14:paraId="481AC44A" w14:textId="77777777" w:rsidR="00D124DA" w:rsidRPr="00257C6F" w:rsidRDefault="00D124DA" w:rsidP="001F3376">
            <w:pPr>
              <w:spacing w:line="480" w:lineRule="auto"/>
              <w:rPr>
                <w:rFonts w:ascii="Arial" w:hAnsi="Arial" w:cs="Arial"/>
                <w:b/>
                <w:bCs/>
                <w:color w:val="000000"/>
              </w:rPr>
            </w:pPr>
            <w:r w:rsidRPr="00257C6F">
              <w:rPr>
                <w:rFonts w:ascii="Arial" w:hAnsi="Arial" w:cs="Arial"/>
                <w:b/>
                <w:bCs/>
                <w:color w:val="000000"/>
              </w:rPr>
              <w:t>p ˂ 0.001</w:t>
            </w:r>
          </w:p>
        </w:tc>
      </w:tr>
      <w:tr w:rsidR="00D124DA" w:rsidRPr="00257C6F" w14:paraId="05F3364C" w14:textId="77777777" w:rsidTr="001F3376">
        <w:trPr>
          <w:trHeight w:val="315"/>
        </w:trPr>
        <w:tc>
          <w:tcPr>
            <w:tcW w:w="3820" w:type="dxa"/>
            <w:shd w:val="clear" w:color="auto" w:fill="FFFFFF"/>
            <w:noWrap/>
            <w:vAlign w:val="bottom"/>
            <w:hideMark/>
          </w:tcPr>
          <w:p w14:paraId="1B5B0895" w14:textId="77777777" w:rsidR="00D124DA" w:rsidRPr="00257C6F" w:rsidRDefault="00D124DA" w:rsidP="001F3376">
            <w:pPr>
              <w:spacing w:line="480" w:lineRule="auto"/>
              <w:rPr>
                <w:rFonts w:ascii="Arial" w:hAnsi="Arial" w:cs="Arial"/>
                <w:color w:val="000000"/>
              </w:rPr>
            </w:pPr>
            <w:r w:rsidRPr="00257C6F">
              <w:rPr>
                <w:rFonts w:ascii="Arial" w:hAnsi="Arial" w:cs="Arial"/>
                <w:color w:val="000000"/>
              </w:rPr>
              <w:t xml:space="preserve">Probing depth    ≥4 mm  </w:t>
            </w:r>
          </w:p>
        </w:tc>
        <w:tc>
          <w:tcPr>
            <w:tcW w:w="960" w:type="dxa"/>
            <w:shd w:val="clear" w:color="auto" w:fill="FFFFFF"/>
            <w:noWrap/>
            <w:vAlign w:val="bottom"/>
            <w:hideMark/>
          </w:tcPr>
          <w:p w14:paraId="0E64F155" w14:textId="77777777" w:rsidR="00D124DA" w:rsidRPr="00257C6F" w:rsidRDefault="00D124DA" w:rsidP="001F3376">
            <w:pPr>
              <w:spacing w:line="480" w:lineRule="auto"/>
              <w:rPr>
                <w:rFonts w:ascii="Arial" w:hAnsi="Arial" w:cs="Arial"/>
                <w:color w:val="000000"/>
              </w:rPr>
            </w:pPr>
            <w:r w:rsidRPr="00257C6F">
              <w:rPr>
                <w:rFonts w:ascii="Arial" w:hAnsi="Arial" w:cs="Arial"/>
                <w:color w:val="000000"/>
              </w:rPr>
              <w:t>Inf.</w:t>
            </w:r>
          </w:p>
        </w:tc>
        <w:tc>
          <w:tcPr>
            <w:tcW w:w="1449" w:type="dxa"/>
            <w:shd w:val="clear" w:color="auto" w:fill="FFFFFF"/>
            <w:noWrap/>
            <w:vAlign w:val="bottom"/>
            <w:hideMark/>
          </w:tcPr>
          <w:p w14:paraId="518AFC01" w14:textId="77777777" w:rsidR="00D124DA" w:rsidRPr="00257C6F" w:rsidRDefault="00D124DA" w:rsidP="001F3376">
            <w:pPr>
              <w:spacing w:line="480" w:lineRule="auto"/>
              <w:rPr>
                <w:rFonts w:ascii="Arial" w:hAnsi="Arial" w:cs="Arial"/>
                <w:color w:val="000000"/>
              </w:rPr>
            </w:pPr>
            <w:r w:rsidRPr="00257C6F">
              <w:rPr>
                <w:rFonts w:ascii="Arial" w:hAnsi="Arial" w:cs="Arial"/>
                <w:color w:val="000000"/>
              </w:rPr>
              <w:t>Inf.</w:t>
            </w:r>
          </w:p>
        </w:tc>
        <w:tc>
          <w:tcPr>
            <w:tcW w:w="1426" w:type="dxa"/>
            <w:shd w:val="clear" w:color="auto" w:fill="FFFFFF"/>
            <w:noWrap/>
            <w:vAlign w:val="bottom"/>
            <w:hideMark/>
          </w:tcPr>
          <w:p w14:paraId="5BF2A00F" w14:textId="77777777" w:rsidR="00D124DA" w:rsidRPr="00257C6F" w:rsidRDefault="00D124DA" w:rsidP="001F3376">
            <w:pPr>
              <w:spacing w:line="480" w:lineRule="auto"/>
              <w:rPr>
                <w:rFonts w:ascii="Arial" w:hAnsi="Arial" w:cs="Arial"/>
                <w:b/>
                <w:bCs/>
                <w:color w:val="000000"/>
              </w:rPr>
            </w:pPr>
            <w:r w:rsidRPr="00257C6F">
              <w:rPr>
                <w:rFonts w:ascii="Arial" w:hAnsi="Arial" w:cs="Arial"/>
                <w:b/>
                <w:bCs/>
                <w:color w:val="000000"/>
              </w:rPr>
              <w:t xml:space="preserve">p &lt; 0.001 </w:t>
            </w:r>
          </w:p>
        </w:tc>
      </w:tr>
    </w:tbl>
    <w:p w14:paraId="5E76A2BA" w14:textId="77777777" w:rsidR="00D124DA" w:rsidRPr="00257C6F" w:rsidRDefault="00D124DA" w:rsidP="00D124DA">
      <w:pPr>
        <w:spacing w:line="480" w:lineRule="auto"/>
        <w:rPr>
          <w:rFonts w:ascii="Arial" w:eastAsia="Calibri" w:hAnsi="Arial" w:cs="Arial"/>
        </w:rPr>
      </w:pPr>
      <w:r w:rsidRPr="00257C6F">
        <w:rPr>
          <w:rFonts w:ascii="Arial" w:eastAsia="Calibri" w:hAnsi="Arial" w:cs="Arial"/>
        </w:rPr>
        <w:t>PD: probing deepth</w:t>
      </w:r>
    </w:p>
    <w:p w14:paraId="084D9E5A" w14:textId="77777777" w:rsidR="00D124DA" w:rsidRPr="00764528" w:rsidRDefault="00D124DA" w:rsidP="00D124DA">
      <w:pPr>
        <w:tabs>
          <w:tab w:val="left" w:pos="1766"/>
        </w:tabs>
        <w:rPr>
          <w:rFonts w:ascii="Arial" w:hAnsi="Arial" w:cs="Arial"/>
          <w:noProof/>
        </w:rPr>
      </w:pPr>
    </w:p>
    <w:p w14:paraId="24C0A1F0" w14:textId="77777777" w:rsidR="00D124DA" w:rsidRDefault="00D124DA" w:rsidP="00D124DA"/>
    <w:p w14:paraId="35353F3B" w14:textId="26B0CE84" w:rsidR="00725CD2" w:rsidRDefault="00725CD2" w:rsidP="00135004">
      <w:pPr>
        <w:pStyle w:val="ConcHead"/>
        <w:spacing w:after="0"/>
        <w:jc w:val="both"/>
        <w:rPr>
          <w:rFonts w:ascii="Arial" w:hAnsi="Arial" w:cs="Arial"/>
        </w:rPr>
      </w:pPr>
    </w:p>
    <w:p w14:paraId="24D8BD7C" w14:textId="77777777" w:rsidR="00725CD2" w:rsidRDefault="00725CD2" w:rsidP="00135004">
      <w:pPr>
        <w:pStyle w:val="ConcHead"/>
        <w:spacing w:after="0"/>
        <w:jc w:val="both"/>
        <w:rPr>
          <w:rFonts w:ascii="Arial" w:hAnsi="Arial" w:cs="Arial"/>
        </w:rPr>
      </w:pPr>
    </w:p>
    <w:p w14:paraId="7E51D96C" w14:textId="77777777" w:rsidR="00725CD2" w:rsidRDefault="00725CD2" w:rsidP="00135004">
      <w:pPr>
        <w:pStyle w:val="ConcHead"/>
        <w:spacing w:after="0"/>
        <w:jc w:val="both"/>
        <w:rPr>
          <w:rFonts w:ascii="Arial" w:hAnsi="Arial" w:cs="Arial"/>
        </w:rPr>
      </w:pPr>
    </w:p>
    <w:p w14:paraId="0E887D94" w14:textId="1172DB40" w:rsidR="00135004" w:rsidRDefault="00135004" w:rsidP="00135004">
      <w:pPr>
        <w:pStyle w:val="ConcHead"/>
        <w:spacing w:after="0"/>
        <w:jc w:val="both"/>
        <w:rPr>
          <w:rFonts w:ascii="Arial" w:hAnsi="Arial" w:cs="Arial"/>
        </w:rPr>
      </w:pPr>
      <w:r>
        <w:rPr>
          <w:rFonts w:ascii="Arial" w:hAnsi="Arial" w:cs="Arial"/>
        </w:rPr>
        <w:t>4. discussion</w:t>
      </w:r>
    </w:p>
    <w:p w14:paraId="3BCFFE2A" w14:textId="77777777" w:rsidR="00135004" w:rsidRDefault="00135004" w:rsidP="00135004">
      <w:pPr>
        <w:pStyle w:val="Body"/>
        <w:spacing w:after="0"/>
        <w:rPr>
          <w:rFonts w:ascii="Arial" w:hAnsi="Arial" w:cs="Arial"/>
        </w:rPr>
      </w:pPr>
    </w:p>
    <w:p w14:paraId="48E3A1B1" w14:textId="6556538C" w:rsidR="00135004" w:rsidRPr="00135004" w:rsidRDefault="00135004" w:rsidP="00135004">
      <w:pPr>
        <w:pStyle w:val="Body"/>
        <w:spacing w:after="0"/>
        <w:rPr>
          <w:rFonts w:ascii="Arial" w:hAnsi="Arial" w:cs="Arial"/>
        </w:rPr>
      </w:pPr>
      <w:r w:rsidRPr="00135004">
        <w:rPr>
          <w:rFonts w:ascii="Arial" w:hAnsi="Arial" w:cs="Arial"/>
        </w:rPr>
        <w:t>Since 2017, two risk factors for peri-implantitis have been established: the prior history of periodontal disease and the inefficient daily biofilm control. Smoking and diabetes as potential risk factors are considered inconclusive [10, 11]. Host factors are equally important in the event or severity of the disease, since it is a multifactorial disease. Although the prognostic of dental implants in edentate patients is favorable in longitudinal studies, there are several evidences indicating that the installation of implants in patients with a history of periodontal problems may bring an increased risk of implant failure in the long term [13, 14, 15, 16].</w:t>
      </w:r>
    </w:p>
    <w:p w14:paraId="5FBECD7A" w14:textId="21490CAC" w:rsidR="00135004" w:rsidRPr="00135004" w:rsidRDefault="00135004" w:rsidP="00135004">
      <w:pPr>
        <w:pStyle w:val="Body"/>
        <w:spacing w:after="0"/>
        <w:rPr>
          <w:rFonts w:ascii="Arial" w:hAnsi="Arial" w:cs="Arial"/>
        </w:rPr>
      </w:pPr>
      <w:r w:rsidRPr="00135004">
        <w:rPr>
          <w:rFonts w:ascii="Arial" w:hAnsi="Arial" w:cs="Arial"/>
        </w:rPr>
        <w:t>With the objective of verifying the influence of clinical and variables in bone loss for implants with peri-implantitis and healthy ones, this study with 73 unitary implants has observed the prevalence of 50.7% and 49.3% respectively. A similar study - although without the established classification of peri-implant disease</w:t>
      </w:r>
      <w:r w:rsidR="003E0695">
        <w:rPr>
          <w:rFonts w:ascii="Arial" w:hAnsi="Arial" w:cs="Arial"/>
        </w:rPr>
        <w:t>,</w:t>
      </w:r>
      <w:r w:rsidRPr="00135004">
        <w:rPr>
          <w:rFonts w:ascii="Arial" w:hAnsi="Arial" w:cs="Arial"/>
        </w:rPr>
        <w:t xml:space="preserve"> has found a percentage of 54% of implants with peri-implantitis [17]. Another study has assessed the influence of clinical variables in the peri-implant condition in 75 patients and 269 </w:t>
      </w:r>
      <w:r w:rsidRPr="00640E12">
        <w:rPr>
          <w:rFonts w:ascii="Arial" w:hAnsi="Arial" w:cs="Arial"/>
          <w:highlight w:val="yellow"/>
        </w:rPr>
        <w:t>implants</w:t>
      </w:r>
      <w:r w:rsidR="003E0695" w:rsidRPr="00640E12">
        <w:rPr>
          <w:rFonts w:ascii="Arial" w:hAnsi="Arial" w:cs="Arial"/>
          <w:highlight w:val="yellow"/>
        </w:rPr>
        <w:t>,</w:t>
      </w:r>
      <w:r w:rsidR="003E0695" w:rsidRPr="00640E12">
        <w:rPr>
          <w:rFonts w:ascii="Arial" w:hAnsi="Arial" w:cs="Arial"/>
          <w:highlight w:val="yellow"/>
        </w:rPr>
        <w:t xml:space="preserve"> </w:t>
      </w:r>
      <w:r w:rsidRPr="00640E12">
        <w:rPr>
          <w:rFonts w:ascii="Arial" w:hAnsi="Arial" w:cs="Arial"/>
          <w:highlight w:val="yellow"/>
        </w:rPr>
        <w:t>and it has</w:t>
      </w:r>
      <w:r w:rsidRPr="00135004">
        <w:rPr>
          <w:rFonts w:ascii="Arial" w:hAnsi="Arial" w:cs="Arial"/>
        </w:rPr>
        <w:t xml:space="preserve"> diagnosed 115 implants with peri-implantitis (42.75%) [18]. In other studies, the prevalence of peri-implantitis was 28% [19], 9.1% [20], and 5% [21]. In these last two studies with low indicators of peri-implantitis, the patients were part of a strict maintenance program.</w:t>
      </w:r>
    </w:p>
    <w:p w14:paraId="35DDBAC8" w14:textId="0A77EAF2" w:rsidR="00135004" w:rsidRPr="00135004" w:rsidRDefault="00135004" w:rsidP="00135004">
      <w:pPr>
        <w:pStyle w:val="Body"/>
        <w:spacing w:after="0"/>
        <w:rPr>
          <w:rFonts w:ascii="Arial" w:hAnsi="Arial" w:cs="Arial"/>
        </w:rPr>
      </w:pPr>
      <w:r w:rsidRPr="00135004">
        <w:rPr>
          <w:rFonts w:ascii="Arial" w:hAnsi="Arial" w:cs="Arial"/>
        </w:rPr>
        <w:t xml:space="preserve">The position of the implant can be considered a predisposing factor to peri-implantitis due to the main factors below: (1) inadequate access to perform the correct oral hygiene; (2) excessive physiological bone remodelling when the safe distance between two adjacent implants or one implant and adjacent dentition is not respected; (3) the implant’s diameter; (4) the shape of the prosthetic crowns; (5) immediate loading; (6) bone defect; and (7) insertion torque [22, 23]. Thus, the prostheses must be projected in a way to </w:t>
      </w:r>
      <w:r w:rsidRPr="00640E12">
        <w:rPr>
          <w:rFonts w:ascii="Arial" w:hAnsi="Arial" w:cs="Arial"/>
          <w:highlight w:val="yellow"/>
        </w:rPr>
        <w:t>facilitate access</w:t>
      </w:r>
      <w:r w:rsidRPr="00135004">
        <w:rPr>
          <w:rFonts w:ascii="Arial" w:hAnsi="Arial" w:cs="Arial"/>
        </w:rPr>
        <w:t xml:space="preserve"> to regular probing diagnosis, as well as personal and professional hygiene practices [24, 25]. In this study, from the implants inserted in the posterior areas, most were diagnosed with peri-implantitis, even though it did not represent a statistical difference. In agreement with our study, implants in posterior positions were more susceptible to peri-implantitis, with a higher plaque index, bleeding and probing depth [6, 18, 26, 27]. Nonetheless, literature shows, in other studies, that the position of the implants would be a risk factor; however, with a higher risk for the anterior implants [22, 28, 29, 30].</w:t>
      </w:r>
    </w:p>
    <w:p w14:paraId="16534EFE" w14:textId="77777777" w:rsidR="00135004" w:rsidRPr="00135004" w:rsidRDefault="00135004" w:rsidP="00135004">
      <w:pPr>
        <w:pStyle w:val="Body"/>
        <w:spacing w:after="0"/>
        <w:rPr>
          <w:rFonts w:ascii="Arial" w:hAnsi="Arial" w:cs="Arial"/>
        </w:rPr>
      </w:pPr>
      <w:r w:rsidRPr="00135004">
        <w:rPr>
          <w:rFonts w:ascii="Arial" w:hAnsi="Arial" w:cs="Arial"/>
        </w:rPr>
        <w:t>The peri-implant bone loss has been reported as the most important predictive criterion for the success of the treatment with osseointegrated implants [1, 31, 32]. Immediately after the installation of the implants and for several months, a series of cellular and molecular events takes place. The bone remodelling mechanism for a strange body (osseointegrated implant) is induced by RANKL, which promotes the activation of the macrophages in osteoclasts. Therefore, when an early bone loss occurs, the microstructures of the implants are exposed and there is a contamination with bacteria and their subproducts (4). In this study, we assessed the distance between the bone crest and the implant’s platform. The average values for bone loss in healthy and ill implants were 2.3 and 4.0 mm, respectively, with a significant difference (p &lt; 0.001). In a study with 142 implants, the bone loss was 4.29 mm for the implants diagnosed with peri-implantitis [30]. When assessing the 68 implants, amongst the ones diagnosed with the disease, the bone loss was ˃ 4.0 mm [27].</w:t>
      </w:r>
    </w:p>
    <w:p w14:paraId="150A32EE" w14:textId="77777777" w:rsidR="00135004" w:rsidRPr="00135004" w:rsidRDefault="00135004" w:rsidP="00135004">
      <w:pPr>
        <w:pStyle w:val="Body"/>
        <w:spacing w:after="0"/>
        <w:rPr>
          <w:rFonts w:ascii="Arial" w:hAnsi="Arial" w:cs="Arial"/>
        </w:rPr>
      </w:pPr>
      <w:r w:rsidRPr="00135004">
        <w:rPr>
          <w:rFonts w:ascii="Arial" w:hAnsi="Arial" w:cs="Arial"/>
        </w:rPr>
        <w:t>In this study, the average probing depth was 5.7 mm for implants with the disease and 4.1 mm for healthy ones. In the study with 262 implants, the probing depth was 2.61 ± 1.21 mm for healthy implants and 4.58 ± 1.71 mm for those with peri-implantitis. In other studies, the probing depth was 4,2 ± 1,31 mm [23], and 4.91 mm for implants diagnosed with peri-</w:t>
      </w:r>
      <w:r w:rsidRPr="00135004">
        <w:rPr>
          <w:rFonts w:ascii="Arial" w:hAnsi="Arial" w:cs="Arial"/>
        </w:rPr>
        <w:lastRenderedPageBreak/>
        <w:t>implantitis [18]. When assessing 75 patients with 269 implants, 63 of them were diagnosed with peri-implantitis, and their probing depth was 4.91 mm [33].</w:t>
      </w:r>
    </w:p>
    <w:p w14:paraId="435080F8" w14:textId="77777777" w:rsidR="00135004" w:rsidRPr="00135004" w:rsidRDefault="00135004" w:rsidP="00135004">
      <w:pPr>
        <w:pStyle w:val="Body"/>
        <w:spacing w:after="0"/>
        <w:rPr>
          <w:rFonts w:ascii="Arial" w:hAnsi="Arial" w:cs="Arial"/>
        </w:rPr>
      </w:pPr>
      <w:r w:rsidRPr="00135004">
        <w:rPr>
          <w:rFonts w:ascii="Arial" w:hAnsi="Arial" w:cs="Arial"/>
        </w:rPr>
        <w:t>Bleeding on probing was not associated with the presence of peri-implantitis, bone loss and probing depth in this study. However, the literature reports that bleeding on probing is a way to early diagnose peri-implantitis. Implants presenting bleeding had a likelihood of 24.1% to be diagnosed with peri-implantitis [25, 34]. We have observed that 40.5% of the implants diagnosed with peri-implantitis presented bleeding. In a study with 482 implants assessed during 10 years, the index of bleeding on probing was 93.9% [19]. In a multi-centric study with 117 patients and 295 installed implants, the bleeding in probing index was 54.9% [35]. Similarly to our results, a randomized clinical study with 41 patients with the absence of a dental element in the posterior region of the upper maxilla did not present statistical differences between the bleeding index and the other clinical variables assessed [17].</w:t>
      </w:r>
    </w:p>
    <w:p w14:paraId="02707FE4" w14:textId="77777777" w:rsidR="00135004" w:rsidRPr="00135004" w:rsidRDefault="00135004" w:rsidP="00135004">
      <w:pPr>
        <w:pStyle w:val="Body"/>
        <w:spacing w:after="0"/>
        <w:rPr>
          <w:rFonts w:ascii="Arial" w:hAnsi="Arial" w:cs="Arial"/>
        </w:rPr>
      </w:pPr>
      <w:r w:rsidRPr="00135004">
        <w:rPr>
          <w:rFonts w:ascii="Arial" w:hAnsi="Arial" w:cs="Arial"/>
        </w:rPr>
        <w:t>In the study, out of the 37 implants (50.7%) diagnosed with peri-implantitis 32 of them (86.5%) presented positive for plaque index in the clinical evaluation. The positive plaque index was statistically significant with the disease’s variables of bone loss and probing depth. In other studies, that percentage was 82.8% [19], 61% [30], 83.3% [35]. The literature reports substantial evidences to indicate the accumulation of biofilm as an etiologic factor for peri-implant diseases [4, 16, 36, 37, 38].</w:t>
      </w:r>
    </w:p>
    <w:p w14:paraId="30E7007B" w14:textId="146FFA69" w:rsidR="00135004" w:rsidRPr="00135004" w:rsidRDefault="00135004" w:rsidP="00135004">
      <w:pPr>
        <w:pStyle w:val="Body"/>
        <w:spacing w:after="0"/>
        <w:rPr>
          <w:rFonts w:ascii="Arial" w:hAnsi="Arial" w:cs="Arial"/>
        </w:rPr>
      </w:pPr>
      <w:r w:rsidRPr="00135004">
        <w:rPr>
          <w:rFonts w:ascii="Arial" w:hAnsi="Arial" w:cs="Arial"/>
        </w:rPr>
        <w:t xml:space="preserve">On the other hand, it is widely discussed that the lack of oral hygiene and the poor adhesion to the maintenance therapy may lead to peri-implant diseases [39]. Biofilm is the most important etiological agent to start and </w:t>
      </w:r>
      <w:r w:rsidRPr="00640E12">
        <w:rPr>
          <w:rFonts w:ascii="Arial" w:hAnsi="Arial" w:cs="Arial"/>
          <w:highlight w:val="yellow"/>
        </w:rPr>
        <w:t>progress</w:t>
      </w:r>
      <w:r w:rsidR="003E0695" w:rsidRPr="00640E12">
        <w:rPr>
          <w:rFonts w:ascii="Arial" w:hAnsi="Arial" w:cs="Arial"/>
          <w:highlight w:val="yellow"/>
        </w:rPr>
        <w:t>ion</w:t>
      </w:r>
      <w:r w:rsidRPr="00640E12">
        <w:rPr>
          <w:rFonts w:ascii="Arial" w:hAnsi="Arial" w:cs="Arial"/>
          <w:highlight w:val="yellow"/>
        </w:rPr>
        <w:t xml:space="preserve"> t</w:t>
      </w:r>
      <w:r w:rsidRPr="00135004">
        <w:rPr>
          <w:rFonts w:ascii="Arial" w:hAnsi="Arial" w:cs="Arial"/>
        </w:rPr>
        <w:t xml:space="preserve">he peri-implant diseases. However, studies have not yet identified the level of biofilm control compatible with the maintenance of the peri-implant health. As seen in this study, </w:t>
      </w:r>
      <w:r w:rsidRPr="00640E12">
        <w:rPr>
          <w:rFonts w:ascii="Arial" w:hAnsi="Arial" w:cs="Arial"/>
          <w:highlight w:val="yellow"/>
        </w:rPr>
        <w:t xml:space="preserve">there are evidence of an increased risk </w:t>
      </w:r>
      <w:r w:rsidR="003E0695" w:rsidRPr="00640E12">
        <w:rPr>
          <w:rFonts w:ascii="Arial" w:hAnsi="Arial" w:cs="Arial"/>
          <w:highlight w:val="yellow"/>
        </w:rPr>
        <w:t>of</w:t>
      </w:r>
      <w:r w:rsidR="003E0695">
        <w:rPr>
          <w:rFonts w:ascii="Arial" w:hAnsi="Arial" w:cs="Arial"/>
        </w:rPr>
        <w:t xml:space="preserve"> </w:t>
      </w:r>
      <w:r w:rsidR="003E0695" w:rsidRPr="00640E12">
        <w:rPr>
          <w:rFonts w:ascii="Arial" w:hAnsi="Arial" w:cs="Arial"/>
          <w:highlight w:val="yellow"/>
        </w:rPr>
        <w:t>developing</w:t>
      </w:r>
      <w:r w:rsidRPr="00640E12">
        <w:rPr>
          <w:rFonts w:ascii="Arial" w:hAnsi="Arial" w:cs="Arial"/>
          <w:highlight w:val="yellow"/>
        </w:rPr>
        <w:t xml:space="preserve"> peri-i</w:t>
      </w:r>
      <w:r w:rsidRPr="00135004">
        <w:rPr>
          <w:rFonts w:ascii="Arial" w:hAnsi="Arial" w:cs="Arial"/>
        </w:rPr>
        <w:t xml:space="preserve">mplantitis when patients have low capacities to control bacterial plaque and lack regular maintenance after the implant therapy [40]. This suggests that it is important to carefully monitor changes that may occur around dental implants in the early post-restorative phase, with focus on bleeding on probing/suppuration and in combination with radiographic evidence of bone loss [8]. </w:t>
      </w:r>
    </w:p>
    <w:p w14:paraId="290A406F" w14:textId="77777777" w:rsidR="00135004" w:rsidRPr="00135004" w:rsidRDefault="00135004" w:rsidP="00135004">
      <w:pPr>
        <w:pStyle w:val="Body"/>
        <w:spacing w:after="0"/>
        <w:rPr>
          <w:rFonts w:ascii="Arial" w:hAnsi="Arial" w:cs="Arial"/>
        </w:rPr>
      </w:pPr>
      <w:bookmarkStart w:id="12" w:name="_Hlk198625887"/>
      <w:r w:rsidRPr="00135004">
        <w:rPr>
          <w:rFonts w:ascii="Arial" w:hAnsi="Arial" w:cs="Arial"/>
          <w:lang w:val="en"/>
        </w:rPr>
        <w:t xml:space="preserve">The study has some limitations, such as the absence of baseline radiographic and probing data, and the certainty of carrying out maintenance consultations on the implants, as it was dependent on patient responses, factors that limit generalization. </w:t>
      </w:r>
    </w:p>
    <w:bookmarkEnd w:id="12"/>
    <w:p w14:paraId="0956B353" w14:textId="26E6522E" w:rsidR="00135004" w:rsidRPr="00135004" w:rsidRDefault="00135004" w:rsidP="00135004">
      <w:pPr>
        <w:pStyle w:val="Body"/>
        <w:spacing w:after="0"/>
        <w:rPr>
          <w:rFonts w:ascii="Arial" w:hAnsi="Arial" w:cs="Arial"/>
        </w:rPr>
      </w:pPr>
      <w:r w:rsidRPr="00135004">
        <w:rPr>
          <w:rFonts w:ascii="Arial" w:hAnsi="Arial" w:cs="Arial"/>
        </w:rPr>
        <w:t xml:space="preserve">Based on our results, the annual maintenance has not been statistically </w:t>
      </w:r>
      <w:r w:rsidRPr="00640E12">
        <w:rPr>
          <w:rFonts w:ascii="Arial" w:hAnsi="Arial" w:cs="Arial"/>
          <w:highlight w:val="yellow"/>
        </w:rPr>
        <w:t>significant</w:t>
      </w:r>
      <w:r w:rsidR="003E0695" w:rsidRPr="00640E12">
        <w:rPr>
          <w:rFonts w:ascii="Arial" w:hAnsi="Arial" w:cs="Arial"/>
          <w:highlight w:val="yellow"/>
        </w:rPr>
        <w:t>,</w:t>
      </w:r>
      <w:r w:rsidR="003E0695" w:rsidRPr="00640E12">
        <w:rPr>
          <w:rFonts w:ascii="Arial" w:hAnsi="Arial" w:cs="Arial"/>
          <w:highlight w:val="yellow"/>
        </w:rPr>
        <w:t xml:space="preserve"> </w:t>
      </w:r>
      <w:r w:rsidRPr="00640E12">
        <w:rPr>
          <w:rFonts w:ascii="Arial" w:hAnsi="Arial" w:cs="Arial"/>
          <w:highlight w:val="yellow"/>
        </w:rPr>
        <w:t>and</w:t>
      </w:r>
      <w:r w:rsidRPr="00135004">
        <w:rPr>
          <w:rFonts w:ascii="Arial" w:hAnsi="Arial" w:cs="Arial"/>
        </w:rPr>
        <w:t xml:space="preserve"> a possible explanation is that there may be an uneven distribution of patients who go to the maintenance appointments regularly and those who do not. </w:t>
      </w:r>
      <w:r w:rsidRPr="00135004">
        <w:rPr>
          <w:rFonts w:ascii="Arial" w:hAnsi="Arial" w:cs="Arial"/>
          <w:lang w:val="en"/>
        </w:rPr>
        <w:t xml:space="preserve">Although no major changes were observed between patients who perform annual maintenance and those who do not perform annual maintenance, maintenance consultations are essential for a favorable prognosis of dental implants. Biofilm control is essential for the preservation of peri-implant tissues and, depending on the microorganisms involved, host response and other factors such as smoking, diabetes, and inadequate hygiene, we may have the development of disease. </w:t>
      </w:r>
      <w:r w:rsidRPr="00135004">
        <w:rPr>
          <w:rFonts w:ascii="Arial" w:hAnsi="Arial" w:cs="Arial"/>
        </w:rPr>
        <w:t xml:space="preserve">Another reported hypothesis is that the oral hygiene maintenance is not influenced just by the patient’s adhesion, but also by the qualifications and the experience of the dental professionals that provide the preventive treatment [41]. Another factor to be considered is that there is no evidence-based guideline or protocol about preventing peri-implant diseases [42]. Patients often think that by going to the maintenance appointments, the maintenance will be duly performed, but that is not usually the case. </w:t>
      </w:r>
      <w:r w:rsidRPr="00135004">
        <w:rPr>
          <w:rFonts w:ascii="Arial" w:hAnsi="Arial" w:cs="Arial"/>
          <w:lang w:val="en"/>
        </w:rPr>
        <w:t>Most of the time, the dentist only visually examines the patient, believing that everything is fine and making the patient believe this too without performing peri-implant probing or imaging exams.</w:t>
      </w:r>
    </w:p>
    <w:p w14:paraId="26F1877B" w14:textId="77777777" w:rsidR="00135004" w:rsidRPr="00135004" w:rsidRDefault="00135004" w:rsidP="00135004">
      <w:pPr>
        <w:pStyle w:val="Body"/>
        <w:spacing w:after="0"/>
        <w:rPr>
          <w:rFonts w:ascii="Arial" w:hAnsi="Arial" w:cs="Arial"/>
        </w:rPr>
      </w:pPr>
    </w:p>
    <w:p w14:paraId="7F40D9B9" w14:textId="54D52653" w:rsidR="00135004" w:rsidRDefault="00135004" w:rsidP="00441B6F">
      <w:pPr>
        <w:pStyle w:val="ConcHead"/>
        <w:spacing w:after="0"/>
        <w:jc w:val="both"/>
        <w:rPr>
          <w:rFonts w:ascii="Arial" w:hAnsi="Arial" w:cs="Arial"/>
        </w:rPr>
      </w:pPr>
    </w:p>
    <w:p w14:paraId="2A327C2F" w14:textId="57D5CA4B" w:rsidR="00B01FCD" w:rsidRDefault="00135004"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DD2E872" w14:textId="77777777" w:rsidR="00790ADA" w:rsidRPr="00FB3A86" w:rsidRDefault="00790ADA" w:rsidP="00441B6F">
      <w:pPr>
        <w:pStyle w:val="ConcHead"/>
        <w:spacing w:after="0"/>
        <w:jc w:val="both"/>
        <w:rPr>
          <w:rFonts w:ascii="Arial" w:hAnsi="Arial" w:cs="Arial"/>
        </w:rPr>
      </w:pPr>
    </w:p>
    <w:p w14:paraId="32F7A15C" w14:textId="77777777" w:rsidR="00135004" w:rsidRPr="00135004" w:rsidRDefault="00135004" w:rsidP="00135004">
      <w:pPr>
        <w:pStyle w:val="Body"/>
        <w:spacing w:after="0"/>
        <w:rPr>
          <w:rFonts w:ascii="Arial" w:hAnsi="Arial" w:cs="Arial"/>
        </w:rPr>
      </w:pPr>
      <w:r w:rsidRPr="00135004">
        <w:rPr>
          <w:rFonts w:ascii="Arial" w:hAnsi="Arial" w:cs="Arial"/>
          <w:lang w:val="en"/>
        </w:rPr>
        <w:t>Within the limitations of this cohort study, increased plaque index and suppuration were significantly associated with peri-implantitis. Prospective studies with baseline measurements should be performed to elucidate the role of biofilm in peri-implantitis.</w:t>
      </w:r>
    </w:p>
    <w:p w14:paraId="7DEEB6BE" w14:textId="77777777" w:rsidR="00135004" w:rsidRDefault="00135004" w:rsidP="00441B6F">
      <w:pPr>
        <w:pStyle w:val="Body"/>
        <w:spacing w:after="0"/>
        <w:rPr>
          <w:rFonts w:ascii="Arial" w:hAnsi="Arial" w:cs="Arial"/>
        </w:rPr>
      </w:pPr>
    </w:p>
    <w:p w14:paraId="294B53C3" w14:textId="49D91A22" w:rsidR="00CE403A" w:rsidRDefault="00CE403A" w:rsidP="00441B6F">
      <w:pPr>
        <w:pStyle w:val="ReferHead"/>
        <w:spacing w:after="0"/>
        <w:jc w:val="both"/>
        <w:rPr>
          <w:rFonts w:ascii="Arial" w:hAnsi="Arial" w:cs="Arial"/>
          <w:b w:val="0"/>
          <w:caps w:val="0"/>
          <w:sz w:val="20"/>
          <w:u w:val="single"/>
        </w:rPr>
      </w:pPr>
    </w:p>
    <w:p w14:paraId="57903B79" w14:textId="43296476" w:rsidR="00CE403A" w:rsidRPr="0076386D" w:rsidRDefault="00CE403A" w:rsidP="00CE403A">
      <w:pPr>
        <w:spacing w:after="200" w:line="276" w:lineRule="auto"/>
        <w:rPr>
          <w:rFonts w:ascii="Calibri" w:eastAsia="Calibri" w:hAnsi="Calibri"/>
          <w:kern w:val="2"/>
          <w:sz w:val="22"/>
          <w:szCs w:val="22"/>
          <w14:ligatures w14:val="standardContextual"/>
        </w:rPr>
      </w:pPr>
      <w:r w:rsidRPr="0076386D">
        <w:rPr>
          <w:rFonts w:ascii="Calibri" w:eastAsia="Calibri" w:hAnsi="Calibri"/>
          <w:kern w:val="2"/>
          <w:sz w:val="22"/>
          <w:szCs w:val="22"/>
          <w14:ligatures w14:val="standardContextual"/>
        </w:rPr>
        <w:t>Disclaimer (Artificial intelligence)</w:t>
      </w:r>
    </w:p>
    <w:p w14:paraId="53467F40" w14:textId="77777777" w:rsidR="00CE403A" w:rsidRPr="0076386D" w:rsidRDefault="00CE403A" w:rsidP="00CE403A">
      <w:pPr>
        <w:spacing w:after="200" w:line="276" w:lineRule="auto"/>
        <w:rPr>
          <w:rFonts w:ascii="Calibri" w:eastAsia="Calibri" w:hAnsi="Calibri"/>
          <w:kern w:val="2"/>
          <w:sz w:val="22"/>
          <w:szCs w:val="22"/>
          <w14:ligatures w14:val="standardContextual"/>
        </w:rPr>
      </w:pPr>
      <w:r w:rsidRPr="0076386D">
        <w:rPr>
          <w:rFonts w:ascii="Calibri" w:eastAsia="Calibri" w:hAnsi="Calibri"/>
          <w:kern w:val="2"/>
          <w:sz w:val="22"/>
          <w:szCs w:val="22"/>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28CC7055" w14:textId="77777777" w:rsidR="00CE403A" w:rsidRPr="00F469F0" w:rsidRDefault="00CE403A" w:rsidP="00441B6F">
      <w:pPr>
        <w:pStyle w:val="ReferHead"/>
        <w:spacing w:after="0"/>
        <w:jc w:val="both"/>
        <w:rPr>
          <w:rFonts w:ascii="Arial" w:hAnsi="Arial" w:cs="Arial"/>
          <w:b w:val="0"/>
          <w:caps w:val="0"/>
          <w:sz w:val="20"/>
          <w:u w:val="single"/>
        </w:rPr>
      </w:pPr>
    </w:p>
    <w:p w14:paraId="6D5D4D72" w14:textId="77777777" w:rsidR="00860000" w:rsidRDefault="00860000" w:rsidP="00441B6F">
      <w:pPr>
        <w:pStyle w:val="ReferHead"/>
        <w:spacing w:after="0"/>
        <w:jc w:val="both"/>
        <w:rPr>
          <w:rFonts w:ascii="Arial" w:hAnsi="Arial" w:cs="Arial"/>
        </w:rPr>
      </w:pPr>
    </w:p>
    <w:p w14:paraId="2F7100E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D3C8CBD" w14:textId="77777777" w:rsidR="00790ADA" w:rsidRPr="00FB3A86" w:rsidRDefault="00790ADA" w:rsidP="00441B6F">
      <w:pPr>
        <w:pStyle w:val="ReferHead"/>
        <w:spacing w:after="0"/>
        <w:jc w:val="both"/>
        <w:rPr>
          <w:rFonts w:ascii="Arial" w:hAnsi="Arial" w:cs="Arial"/>
        </w:rPr>
      </w:pPr>
    </w:p>
    <w:p w14:paraId="569F3EC0" w14:textId="77777777" w:rsidR="00725CD2" w:rsidRPr="00725CD2" w:rsidRDefault="00725CD2" w:rsidP="00725CD2">
      <w:pPr>
        <w:pStyle w:val="Body"/>
        <w:numPr>
          <w:ilvl w:val="0"/>
          <w:numId w:val="31"/>
        </w:numPr>
        <w:spacing w:after="0"/>
      </w:pPr>
      <w:r w:rsidRPr="00725CD2">
        <w:t>Windael S, Collaert B, De Buyser S, De Bruyn H, Vervaeke S. Early peri-implant bone loss as predictor of peri-implantitis: A prospective cohort study of Ten years. Clin Implant Dent Relat Res 2021,1-11.</w:t>
      </w:r>
    </w:p>
    <w:p w14:paraId="36373FAA" w14:textId="77777777" w:rsidR="00725CD2" w:rsidRPr="00725CD2" w:rsidRDefault="00725CD2" w:rsidP="00725CD2">
      <w:pPr>
        <w:pStyle w:val="Body"/>
        <w:numPr>
          <w:ilvl w:val="0"/>
          <w:numId w:val="31"/>
        </w:numPr>
        <w:spacing w:after="0"/>
      </w:pPr>
      <w:r w:rsidRPr="00725CD2">
        <w:t>Salvi, G, Cosgarea R, Sculean A. Prevalence of Periimplant Diseases. Implant Dentistry 2019, 28 : 100-102.</w:t>
      </w:r>
    </w:p>
    <w:p w14:paraId="00923687" w14:textId="77777777" w:rsidR="00725CD2" w:rsidRPr="00725CD2" w:rsidRDefault="00725CD2" w:rsidP="00725CD2">
      <w:pPr>
        <w:pStyle w:val="Body"/>
        <w:numPr>
          <w:ilvl w:val="0"/>
          <w:numId w:val="31"/>
        </w:numPr>
        <w:spacing w:after="0"/>
      </w:pPr>
      <w:r w:rsidRPr="00725CD2">
        <w:t>Derks J, Schaller D, Hakansson J, Wennstrom JL, Tomasi C, Berglundh T.  Peri-implantitis – onset and pattern of progression. J Clin Periodontol 2016,43:383–388.</w:t>
      </w:r>
    </w:p>
    <w:p w14:paraId="04427D63" w14:textId="77777777" w:rsidR="00725CD2" w:rsidRPr="00725CD2" w:rsidRDefault="00725CD2" w:rsidP="00725CD2">
      <w:pPr>
        <w:pStyle w:val="Body"/>
        <w:numPr>
          <w:ilvl w:val="0"/>
          <w:numId w:val="31"/>
        </w:numPr>
        <w:spacing w:after="0"/>
      </w:pPr>
      <w:r w:rsidRPr="00725CD2">
        <w:rPr>
          <w:lang w:val="pt-BR"/>
        </w:rPr>
        <w:t xml:space="preserve">Insua A, Monje A, Wang H-L, Miron RJ. </w:t>
      </w:r>
      <w:r w:rsidRPr="00725CD2">
        <w:t>Basis of bone metabolism around dental implants during osseointegration and peri-implant bone loss. J Biomed Mater Res  2017,105A: 2075–2089.</w:t>
      </w:r>
    </w:p>
    <w:p w14:paraId="05D0F61E" w14:textId="77777777" w:rsidR="00725CD2" w:rsidRPr="00725CD2" w:rsidRDefault="00725CD2" w:rsidP="00725CD2">
      <w:pPr>
        <w:pStyle w:val="Body"/>
        <w:numPr>
          <w:ilvl w:val="0"/>
          <w:numId w:val="31"/>
        </w:numPr>
        <w:spacing w:after="0"/>
      </w:pPr>
      <w:r w:rsidRPr="00725CD2">
        <w:t>Caton J, Armitage G, Berglundh T, Chapple ILC, Jepsen S, S Kornman K, L Mealey B, et al.. A new classification scheme for periodontal and peri-implant diseases and conditions - Introduction and key changes from the 1999 classification. J Clin Periodontol 2018, 45 , 20: S1-S8.</w:t>
      </w:r>
    </w:p>
    <w:p w14:paraId="3C7E8FE2" w14:textId="77777777" w:rsidR="00725CD2" w:rsidRPr="00725CD2" w:rsidRDefault="00725CD2" w:rsidP="00725CD2">
      <w:pPr>
        <w:pStyle w:val="Body"/>
        <w:numPr>
          <w:ilvl w:val="0"/>
          <w:numId w:val="31"/>
        </w:numPr>
        <w:spacing w:after="0"/>
      </w:pPr>
      <w:r w:rsidRPr="00725CD2">
        <w:rPr>
          <w:lang w:val="it-IT"/>
        </w:rPr>
        <w:t xml:space="preserve">Farina R, Filippi M, Brazzioli J, Tomasi C, Trombelli L . </w:t>
      </w:r>
      <w:r w:rsidRPr="00725CD2">
        <w:t>Bleeding on probing around dental implants: a retrospective study of associated factors. J Clin Periodontol 2017,  44:115–122.</w:t>
      </w:r>
    </w:p>
    <w:p w14:paraId="5E62A765" w14:textId="77777777" w:rsidR="00725CD2" w:rsidRPr="00725CD2" w:rsidRDefault="00725CD2" w:rsidP="00725CD2">
      <w:pPr>
        <w:pStyle w:val="Body"/>
        <w:numPr>
          <w:ilvl w:val="0"/>
          <w:numId w:val="31"/>
        </w:numPr>
        <w:spacing w:after="0"/>
      </w:pPr>
      <w:r w:rsidRPr="00725CD2">
        <w:t>Roccuzzo M, Layton DM, Roccuzzo A, Heitz</w:t>
      </w:r>
      <w:r w:rsidRPr="00725CD2">
        <w:rPr>
          <w:rFonts w:ascii="Cambria Math" w:hAnsi="Cambria Math" w:cs="Cambria Math"/>
        </w:rPr>
        <w:t>‐</w:t>
      </w:r>
      <w:r w:rsidRPr="00725CD2">
        <w:t>Mayfield L  J. Clinical outcomes of peri-implantitis treatment and supportive care: A systematic review. Clin Oral Impl Res 2018,  29 (16); 331–350 .</w:t>
      </w:r>
    </w:p>
    <w:p w14:paraId="09BCB15A" w14:textId="77777777" w:rsidR="00725CD2" w:rsidRPr="00725CD2" w:rsidRDefault="00725CD2" w:rsidP="00725CD2">
      <w:pPr>
        <w:pStyle w:val="Body"/>
        <w:numPr>
          <w:ilvl w:val="0"/>
          <w:numId w:val="31"/>
        </w:numPr>
        <w:spacing w:after="0"/>
      </w:pPr>
      <w:r w:rsidRPr="00725CD2">
        <w:t>Renvert S, Persson GR, Pirih FQ, Camargo PM. Peri-implant health, peri-implant mucositis, and peri-implantitis: Case definitions and diagnostic considerations. J Periodontol 2018,  89 (1); S304–S312 .</w:t>
      </w:r>
    </w:p>
    <w:p w14:paraId="26EC6D23" w14:textId="77777777" w:rsidR="00725CD2" w:rsidRPr="00725CD2" w:rsidRDefault="00725CD2" w:rsidP="00725CD2">
      <w:pPr>
        <w:pStyle w:val="Body"/>
        <w:numPr>
          <w:ilvl w:val="0"/>
          <w:numId w:val="31"/>
        </w:numPr>
        <w:spacing w:after="0"/>
      </w:pPr>
      <w:r w:rsidRPr="00725CD2">
        <w:rPr>
          <w:lang w:val="pt-BR"/>
        </w:rPr>
        <w:t xml:space="preserve">Roman-Torres CVG, Pasquinelli F, Pimentel AC, Melo MP, Rego, Sendyk, WR. </w:t>
      </w:r>
      <w:r w:rsidRPr="00725CD2">
        <w:t>The Effects of Annual Maintenance on Peri-implant Health in Patients Rehabilitated with Overdentures: A Retrospective Cohort Study. Int J Oral Maxillofac Implants 2019 ,34 (1); 159-164.</w:t>
      </w:r>
    </w:p>
    <w:p w14:paraId="5723AE55" w14:textId="77777777" w:rsidR="00725CD2" w:rsidRPr="00725CD2" w:rsidRDefault="00725CD2" w:rsidP="00725CD2">
      <w:pPr>
        <w:pStyle w:val="Body"/>
        <w:numPr>
          <w:ilvl w:val="0"/>
          <w:numId w:val="31"/>
        </w:numPr>
        <w:spacing w:after="0"/>
      </w:pPr>
      <w:r w:rsidRPr="00725CD2">
        <w:rPr>
          <w:lang w:val="pt-BR"/>
        </w:rPr>
        <w:t xml:space="preserve">Berglundh T, Armitage G, Araujo MG, Avila-Ortiz G, Blanco J,  Camargo PM, et al.. </w:t>
      </w:r>
      <w:r w:rsidRPr="00725CD2">
        <w:t>Peri-implant diseases and conditions: Consensus report of workgroup 4 of the 2017 World Workshop on the Classification of Periodontal and Peri-Implant Diseases and Conditions. J Periodontol 2018, 89 ; S313–S318.</w:t>
      </w:r>
    </w:p>
    <w:p w14:paraId="0EE3CBD2" w14:textId="77777777" w:rsidR="00725CD2" w:rsidRPr="00725CD2" w:rsidRDefault="00725CD2" w:rsidP="00725CD2">
      <w:pPr>
        <w:pStyle w:val="Body"/>
        <w:numPr>
          <w:ilvl w:val="0"/>
          <w:numId w:val="31"/>
        </w:numPr>
        <w:spacing w:after="0"/>
      </w:pPr>
      <w:r w:rsidRPr="00725CD2">
        <w:t>Slagter KW, Raghoebar GM, Hentenaar DF, Vissink A, Meijer HJ. Immediate placement of single implants with or without immediate provisionalization in the maxillary aesthetic region: A 5-year comparative study. J Clin Periodontol 2021, 48;272–283.</w:t>
      </w:r>
    </w:p>
    <w:p w14:paraId="540F0211" w14:textId="77777777" w:rsidR="00725CD2" w:rsidRPr="00725CD2" w:rsidRDefault="00725CD2" w:rsidP="00725CD2">
      <w:pPr>
        <w:pStyle w:val="Body"/>
        <w:numPr>
          <w:ilvl w:val="0"/>
          <w:numId w:val="31"/>
        </w:numPr>
        <w:spacing w:after="0"/>
      </w:pPr>
      <w:r w:rsidRPr="00725CD2">
        <w:lastRenderedPageBreak/>
        <w:t xml:space="preserve">French D, Grandin HM, Ofec R. Retrospective cohort study of 4,591 dental implants: Analysis of risk indicators for bone loss and prevalence of peri-implant mucositis and peri-implantitis. J Periodontol. 2019 Jul;90(7):691-700. </w:t>
      </w:r>
    </w:p>
    <w:p w14:paraId="5ECF2AA7" w14:textId="77777777" w:rsidR="00725CD2" w:rsidRPr="00725CD2" w:rsidRDefault="00725CD2" w:rsidP="00725CD2">
      <w:pPr>
        <w:pStyle w:val="Body"/>
        <w:numPr>
          <w:ilvl w:val="0"/>
          <w:numId w:val="31"/>
        </w:numPr>
        <w:spacing w:after="0"/>
      </w:pPr>
      <w:r w:rsidRPr="00725CD2">
        <w:t>Al Amri M D,  Kellesarian S V. Crestal Bone Loss Around Adjacent Dental Implants Restored with Splinted and Nonsplinted Fixed Restorations: A Systematic Literature Review. Journal of Prosthodontics 2016, 26(6); 495–501,doi:10.1111/jopr.12556.</w:t>
      </w:r>
    </w:p>
    <w:p w14:paraId="4CA438C3" w14:textId="77777777" w:rsidR="00725CD2" w:rsidRPr="00725CD2" w:rsidRDefault="00725CD2" w:rsidP="00725CD2">
      <w:pPr>
        <w:pStyle w:val="Body"/>
        <w:numPr>
          <w:ilvl w:val="0"/>
          <w:numId w:val="31"/>
        </w:numPr>
        <w:spacing w:after="0"/>
        <w:rPr>
          <w:lang w:val="pt-BR"/>
        </w:rPr>
      </w:pPr>
      <w:r w:rsidRPr="00725CD2">
        <w:rPr>
          <w:lang w:val="de-DE"/>
        </w:rPr>
        <w:t xml:space="preserve">Schwarz F, Derks J, Monje A, Wang H-L. </w:t>
      </w:r>
      <w:r w:rsidRPr="00725CD2">
        <w:rPr>
          <w:lang w:val="pt-BR"/>
        </w:rPr>
        <w:t>Peri-implantitis. J Periodontol 2018,  89(1); S267–S290.</w:t>
      </w:r>
    </w:p>
    <w:p w14:paraId="5322607D" w14:textId="77777777" w:rsidR="00725CD2" w:rsidRPr="00725CD2" w:rsidRDefault="00725CD2" w:rsidP="00725CD2">
      <w:pPr>
        <w:pStyle w:val="Body"/>
        <w:numPr>
          <w:ilvl w:val="0"/>
          <w:numId w:val="31"/>
        </w:numPr>
        <w:spacing w:after="0"/>
      </w:pPr>
      <w:r w:rsidRPr="00725CD2">
        <w:t xml:space="preserve">Bunk D, Eisenburger M, Häckl S, Eberhard J, Stiesch M, Grischke J. The effect of adjuvant oral irrigation on self-administered oral care in the management of peri-implant mucositis: A randomized controlled clinical trial. Clin Oral Implants Res 2020,31(10);946-958. </w:t>
      </w:r>
    </w:p>
    <w:p w14:paraId="68DC7878" w14:textId="77777777" w:rsidR="00725CD2" w:rsidRPr="00725CD2" w:rsidRDefault="00725CD2" w:rsidP="00725CD2">
      <w:pPr>
        <w:pStyle w:val="Body"/>
        <w:numPr>
          <w:ilvl w:val="0"/>
          <w:numId w:val="31"/>
        </w:numPr>
        <w:spacing w:after="0"/>
      </w:pPr>
      <w:r w:rsidRPr="00725CD2">
        <w:rPr>
          <w:lang w:val="pt-BR"/>
        </w:rPr>
        <w:t xml:space="preserve">Diaz P, Gonzalo E, Villagra LJG, Miegimolle B, Suarez MJ. </w:t>
      </w:r>
      <w:r w:rsidRPr="00725CD2">
        <w:t>What is the prevalence of peri-implantitis? A systematic review and meta-analysis. BMC Oral Health. 2022 Oct 19;22(1):449.</w:t>
      </w:r>
    </w:p>
    <w:p w14:paraId="6D06845C" w14:textId="77777777" w:rsidR="00725CD2" w:rsidRPr="00725CD2" w:rsidRDefault="00725CD2" w:rsidP="00725CD2">
      <w:pPr>
        <w:pStyle w:val="Body"/>
        <w:numPr>
          <w:ilvl w:val="0"/>
          <w:numId w:val="31"/>
        </w:numPr>
        <w:spacing w:after="0"/>
      </w:pPr>
      <w:r w:rsidRPr="00725CD2">
        <w:rPr>
          <w:lang w:val="pt-BR"/>
        </w:rPr>
        <w:t xml:space="preserve">Gurgel BCDV, Montenegro SCL, Dantas PMC, Pascoal ADB, Lima K C, Calderon PDS. </w:t>
      </w:r>
      <w:r w:rsidRPr="00725CD2">
        <w:t>Frequency of peri-implant diseases and associated factors. Clin Oral Impl Res 2016,  1–7.</w:t>
      </w:r>
    </w:p>
    <w:p w14:paraId="2E10A56C" w14:textId="77777777" w:rsidR="00725CD2" w:rsidRPr="00725CD2" w:rsidRDefault="00725CD2" w:rsidP="00725CD2">
      <w:pPr>
        <w:pStyle w:val="Body"/>
        <w:numPr>
          <w:ilvl w:val="0"/>
          <w:numId w:val="31"/>
        </w:numPr>
        <w:spacing w:after="0"/>
      </w:pPr>
      <w:r w:rsidRPr="00725CD2">
        <w:t>Ramanauskaite A, Becker K, Schwarz F. Clinical characteristics of peri-implant mucositis and peri-implantitis. Clin Oral Impl Res 2018,  29 (6);  1–6.</w:t>
      </w:r>
    </w:p>
    <w:p w14:paraId="4FA6FE92" w14:textId="77777777" w:rsidR="00725CD2" w:rsidRPr="00725CD2" w:rsidRDefault="00725CD2" w:rsidP="00725CD2">
      <w:pPr>
        <w:pStyle w:val="Body"/>
        <w:numPr>
          <w:ilvl w:val="0"/>
          <w:numId w:val="31"/>
        </w:numPr>
        <w:spacing w:after="0"/>
      </w:pPr>
      <w:r w:rsidRPr="00725CD2">
        <w:t>Fransson C, Wennström J,  Berglundh T. Clinical characteristics at implants with a history of progressive bone loss. Clin. Oral Impl 2008, 19; 142–147.</w:t>
      </w:r>
    </w:p>
    <w:p w14:paraId="5480F4D0" w14:textId="77777777" w:rsidR="00725CD2" w:rsidRPr="00725CD2" w:rsidRDefault="00725CD2" w:rsidP="00725CD2">
      <w:pPr>
        <w:pStyle w:val="Body"/>
        <w:numPr>
          <w:ilvl w:val="0"/>
          <w:numId w:val="31"/>
        </w:numPr>
        <w:spacing w:after="0"/>
      </w:pPr>
      <w:r w:rsidRPr="00725CD2">
        <w:rPr>
          <w:lang w:val="pt-BR"/>
        </w:rPr>
        <w:t xml:space="preserve">Velasco-Ortega E, Jiménez-Martin IDR, Moreno-Muñoz J, Núñez-Márquez E, Rondón-Romero JL, Cabanillas-Balsera D, et al.. </w:t>
      </w:r>
      <w:r w:rsidRPr="00725CD2">
        <w:t>Long-Term Treatment Outcomes of Implant Prostheses in Partially and Totally Edentulous Patients. Materials (Basel). 2022 Jul 14;15(14):4910.</w:t>
      </w:r>
    </w:p>
    <w:p w14:paraId="723CBE3B" w14:textId="77777777" w:rsidR="00725CD2" w:rsidRPr="00725CD2" w:rsidRDefault="00725CD2" w:rsidP="00725CD2">
      <w:pPr>
        <w:pStyle w:val="Body"/>
        <w:numPr>
          <w:ilvl w:val="0"/>
          <w:numId w:val="31"/>
        </w:numPr>
        <w:spacing w:after="0"/>
      </w:pPr>
      <w:r w:rsidRPr="00725CD2">
        <w:rPr>
          <w:lang w:val="it-IT"/>
        </w:rPr>
        <w:t xml:space="preserve">Cecchinato D, Parpaiola A, Lindhe J. Mucosal inflammation and incidence of crestal bone loss among implant patients: a 10-year study. Clin Oral Implants Res. 2014 Jul;25(7):791-6. </w:t>
      </w:r>
    </w:p>
    <w:p w14:paraId="1F5AC224" w14:textId="77777777" w:rsidR="00725CD2" w:rsidRPr="00725CD2" w:rsidRDefault="00725CD2" w:rsidP="00725CD2">
      <w:pPr>
        <w:pStyle w:val="Body"/>
        <w:numPr>
          <w:ilvl w:val="0"/>
          <w:numId w:val="31"/>
        </w:numPr>
        <w:spacing w:after="0"/>
      </w:pPr>
      <w:r w:rsidRPr="00725CD2">
        <w:t>French D, Grandin HM, Ofec R. Retrospective cohort study of 4,591 dental implants: Analysis of risk indicators for bone loss and prevalence of peri-implant mucositis and peri-implantitis. J Periodontol 2019, 90; 691–700.</w:t>
      </w:r>
    </w:p>
    <w:p w14:paraId="77D69759" w14:textId="77777777" w:rsidR="00725CD2" w:rsidRPr="00725CD2" w:rsidRDefault="00725CD2" w:rsidP="00725CD2">
      <w:pPr>
        <w:pStyle w:val="Body"/>
        <w:numPr>
          <w:ilvl w:val="0"/>
          <w:numId w:val="31"/>
        </w:numPr>
        <w:spacing w:after="0"/>
      </w:pPr>
      <w:r w:rsidRPr="00725CD2">
        <w:t xml:space="preserve">Dalago HR, Schuldt Filho G, Rodrigues MA, Renvert S, Bianchini MA. Risk indicators for Peri-implantitis. A cross-sectional study with 916 implants. </w:t>
      </w:r>
      <w:r w:rsidRPr="00725CD2">
        <w:rPr>
          <w:lang w:val="pt-BR"/>
        </w:rPr>
        <w:t>Clin Oral Implants Res. 2017 Feb;28(2):144-150.</w:t>
      </w:r>
    </w:p>
    <w:p w14:paraId="7E791AFA" w14:textId="77777777" w:rsidR="00725CD2" w:rsidRPr="00725CD2" w:rsidRDefault="00725CD2" w:rsidP="00725CD2">
      <w:pPr>
        <w:pStyle w:val="Body"/>
        <w:numPr>
          <w:ilvl w:val="0"/>
          <w:numId w:val="31"/>
        </w:numPr>
        <w:spacing w:after="0"/>
      </w:pPr>
      <w:r w:rsidRPr="00725CD2">
        <w:t>Aloy-Prósper A, Peñarrocha-Oltra D, Peñarrocha-Diago M, Hernández-Alfaro F, Peñarrocha-Diago M. Peri-implant Tissues and Patient Satisfaction After Treatment of Vertically Augmented Atrophic Posterior Mandibles with Intraoral Onlay Block Bone Grafts: A Retrospective 3-Year Case Series Follow-up Study. Int J Oral Maxillofac Implants. 2018 Jan/Feb;33(1):137-144.</w:t>
      </w:r>
    </w:p>
    <w:p w14:paraId="070CED86" w14:textId="77777777" w:rsidR="00725CD2" w:rsidRPr="00725CD2" w:rsidRDefault="00725CD2" w:rsidP="00725CD2">
      <w:pPr>
        <w:pStyle w:val="Body"/>
        <w:numPr>
          <w:ilvl w:val="0"/>
          <w:numId w:val="31"/>
        </w:numPr>
        <w:spacing w:after="0"/>
      </w:pPr>
      <w:r w:rsidRPr="00725CD2">
        <w:t>Hashim D, Cionca N, Combescure C, Mombelli A. The diagnosis of peri-implantitis:A systematic review on the predictive value of bleeding on probing. Clin Oral Impl Res 2018,29;276–293.</w:t>
      </w:r>
    </w:p>
    <w:p w14:paraId="1600D52B" w14:textId="77777777" w:rsidR="00725CD2" w:rsidRPr="00725CD2" w:rsidRDefault="00725CD2" w:rsidP="00725CD2">
      <w:pPr>
        <w:pStyle w:val="Body"/>
        <w:numPr>
          <w:ilvl w:val="0"/>
          <w:numId w:val="31"/>
        </w:numPr>
        <w:spacing w:after="0"/>
      </w:pPr>
      <w:r w:rsidRPr="00725CD2">
        <w:rPr>
          <w:lang w:val="it-IT"/>
        </w:rPr>
        <w:t xml:space="preserve">Lombardo G, Signoriello A, Marincola M, Nocini PF. </w:t>
      </w:r>
      <w:r w:rsidRPr="00725CD2">
        <w:t>Assessment of Peri-Implant Soft Tissues Conditions around Short and Ultra-Short Implant-Supported Single Crowns: A 3-Year Retrospective Study on Periodontally Healthy Patients and Patients with a History of Periodontal Disease. Int J Environ Res Public Health 2020, 14,17(24);9354.</w:t>
      </w:r>
    </w:p>
    <w:p w14:paraId="38FEA1E5" w14:textId="77777777" w:rsidR="00725CD2" w:rsidRPr="00725CD2" w:rsidRDefault="00725CD2" w:rsidP="00725CD2">
      <w:pPr>
        <w:pStyle w:val="Body"/>
        <w:numPr>
          <w:ilvl w:val="0"/>
          <w:numId w:val="31"/>
        </w:numPr>
        <w:spacing w:after="0"/>
      </w:pPr>
      <w:r w:rsidRPr="00725CD2">
        <w:t>Kim DM, Badovinac RL, Lorenz RL, Fiorellini JP, Weber HP. A 10-year prospective clinical and radiographic study of one-stage dental implants. Clin Oral Impl. Res. 2008,19; 254–258.</w:t>
      </w:r>
    </w:p>
    <w:p w14:paraId="1B95AEC7" w14:textId="77777777" w:rsidR="00725CD2" w:rsidRPr="00725CD2" w:rsidRDefault="00725CD2" w:rsidP="00725CD2">
      <w:pPr>
        <w:pStyle w:val="Body"/>
        <w:numPr>
          <w:ilvl w:val="0"/>
          <w:numId w:val="31"/>
        </w:numPr>
        <w:spacing w:after="0"/>
      </w:pPr>
      <w:r w:rsidRPr="00725CD2">
        <w:rPr>
          <w:lang w:val="pt-BR"/>
        </w:rPr>
        <w:t xml:space="preserve">Rodrigo D, Sanz-Sánchez I, Figuero E, Llodrá JC, Bravo M, Caffesse RG, et al.. </w:t>
      </w:r>
      <w:r w:rsidRPr="00725CD2">
        <w:t>Prevalence and risk indicators of peri-implant diseases in Spain. J Clin Periodontol 2018 ,45(12)1510-1520.</w:t>
      </w:r>
    </w:p>
    <w:p w14:paraId="585EC0F0" w14:textId="77777777" w:rsidR="00725CD2" w:rsidRPr="00725CD2" w:rsidRDefault="00725CD2" w:rsidP="00725CD2">
      <w:pPr>
        <w:pStyle w:val="Body"/>
        <w:numPr>
          <w:ilvl w:val="0"/>
          <w:numId w:val="31"/>
        </w:numPr>
        <w:spacing w:after="0"/>
      </w:pPr>
      <w:r w:rsidRPr="00725CD2">
        <w:lastRenderedPageBreak/>
        <w:t>Song X, Li L, Gou H, Xu Y. Impact of implant location on the prevalence of peri-implantitis: A systematic review and meta- analysis. J Dent. 2020 Dec;103:103490.</w:t>
      </w:r>
    </w:p>
    <w:p w14:paraId="461C9D51" w14:textId="77777777" w:rsidR="00725CD2" w:rsidRPr="00725CD2" w:rsidRDefault="00725CD2" w:rsidP="00725CD2">
      <w:pPr>
        <w:pStyle w:val="Body"/>
        <w:numPr>
          <w:ilvl w:val="0"/>
          <w:numId w:val="31"/>
        </w:numPr>
        <w:spacing w:after="0"/>
      </w:pPr>
      <w:r w:rsidRPr="00725CD2">
        <w:t>Fischer K, Stenberg T. Prospective 10-year cohort study based on a randomized controlled trial (RCT) on implant-supported full-arch maxillary prostheses. Part 1: sandblasted and acid-etched implants and mucosal tissue. Clin Implant Dent Relat Res. 2012 Dec;14(6):808-15.</w:t>
      </w:r>
    </w:p>
    <w:p w14:paraId="52CBF601" w14:textId="77777777" w:rsidR="00725CD2" w:rsidRPr="00725CD2" w:rsidRDefault="00725CD2" w:rsidP="00725CD2">
      <w:pPr>
        <w:pStyle w:val="Body"/>
        <w:numPr>
          <w:ilvl w:val="0"/>
          <w:numId w:val="31"/>
        </w:numPr>
        <w:spacing w:after="0"/>
      </w:pPr>
      <w:r w:rsidRPr="00725CD2">
        <w:rPr>
          <w:lang w:val="pt-BR"/>
        </w:rPr>
        <w:t xml:space="preserve">Pamato S, Honório HM, Costa JAD, Traebert JL, Bonfante EA, Pereira Jr. </w:t>
      </w:r>
      <w:r w:rsidRPr="00725CD2">
        <w:t>The influence of titanium base abutments on peri-implant soft tissue inflammatory parameters and marginal bone loss: A randomized clinical trial. Clin Implant Dent Relat Res 2020 , 1–7.</w:t>
      </w:r>
    </w:p>
    <w:p w14:paraId="75A96C70" w14:textId="77777777" w:rsidR="00725CD2" w:rsidRPr="00725CD2" w:rsidRDefault="00725CD2" w:rsidP="00725CD2">
      <w:pPr>
        <w:pStyle w:val="Body"/>
        <w:numPr>
          <w:ilvl w:val="0"/>
          <w:numId w:val="31"/>
        </w:numPr>
        <w:spacing w:after="0"/>
      </w:pPr>
      <w:r w:rsidRPr="00725CD2">
        <w:rPr>
          <w:lang w:val="it-IT"/>
        </w:rPr>
        <w:t xml:space="preserve">Sordi MB, Perrotti V, Iaculli F, Pereira KCR, Magini RS, Renvert S , et al.. Multivariate analysis of the influence of peri-implant clinical parameters and local factors on radiographic bone loss in the posterior maxilla: a retrospective study on 277 dental implants. </w:t>
      </w:r>
      <w:r w:rsidRPr="00725CD2">
        <w:t>Clinical Oral Investigations 2021,25;3441–3451.</w:t>
      </w:r>
    </w:p>
    <w:p w14:paraId="7FB1E9FD" w14:textId="77777777" w:rsidR="00725CD2" w:rsidRPr="00725CD2" w:rsidRDefault="00725CD2" w:rsidP="00725CD2">
      <w:pPr>
        <w:pStyle w:val="Body"/>
        <w:numPr>
          <w:ilvl w:val="0"/>
          <w:numId w:val="31"/>
        </w:numPr>
        <w:spacing w:after="0"/>
      </w:pPr>
      <w:r w:rsidRPr="00725CD2">
        <w:t>Monje  A, Caballé-Serrano  J, Nart  J, Peñarrocha  D, Wang  H-L, Rakic  M. Diagnostic accuracy of clinical parameters to monitor peri-implant conditions: A matched case-control study. J Periodontol 2018, 89, 4;407-417.</w:t>
      </w:r>
    </w:p>
    <w:p w14:paraId="676A7EED" w14:textId="77777777" w:rsidR="00725CD2" w:rsidRPr="00725CD2" w:rsidRDefault="00725CD2" w:rsidP="00725CD2">
      <w:pPr>
        <w:pStyle w:val="Body"/>
        <w:numPr>
          <w:ilvl w:val="0"/>
          <w:numId w:val="31"/>
        </w:numPr>
        <w:spacing w:after="0"/>
      </w:pPr>
      <w:r w:rsidRPr="00725CD2">
        <w:rPr>
          <w:lang w:val="pt-BR"/>
        </w:rPr>
        <w:t xml:space="preserve">Heitz-Mayfield LJ, Aaboe M, Araujo M, Carrión JB, Cavalcanti R, Cionca N, et al.. </w:t>
      </w:r>
      <w:r w:rsidRPr="00725CD2">
        <w:t>Group 4 ITI Consensus Report: Risks and biologic complications associated with implant dentistry. Clin Oral Implants Res. 2018 Oct;29 Suppl 16:351-358.</w:t>
      </w:r>
    </w:p>
    <w:p w14:paraId="7B943937" w14:textId="77777777" w:rsidR="00725CD2" w:rsidRPr="00725CD2" w:rsidRDefault="00725CD2" w:rsidP="00725CD2">
      <w:pPr>
        <w:pStyle w:val="Body"/>
        <w:numPr>
          <w:ilvl w:val="0"/>
          <w:numId w:val="31"/>
        </w:numPr>
        <w:spacing w:after="0"/>
      </w:pPr>
      <w:r w:rsidRPr="00725CD2">
        <w:rPr>
          <w:lang w:val="pt-BR"/>
        </w:rPr>
        <w:t xml:space="preserve">Lopez-Piriz R, Morales A, Giménez MJ, Bowen A, Carroquino R, Aguilar L, et al.. </w:t>
      </w:r>
      <w:r w:rsidRPr="00725CD2">
        <w:t xml:space="preserve">Correlation between clinical parameters characterizing peri-implant and periodontal health: A practice-based research in Spain in a series of patients with implants installed 4-5 years ago. </w:t>
      </w:r>
      <w:r w:rsidRPr="00725CD2">
        <w:rPr>
          <w:lang w:val="pt-BR"/>
        </w:rPr>
        <w:t>Med Oral Patol Oral Cir Bucal 2012,17;893-901.</w:t>
      </w:r>
    </w:p>
    <w:p w14:paraId="0063DB23" w14:textId="77777777" w:rsidR="00725CD2" w:rsidRPr="00725CD2" w:rsidRDefault="00725CD2" w:rsidP="00725CD2">
      <w:pPr>
        <w:pStyle w:val="Body"/>
        <w:numPr>
          <w:ilvl w:val="0"/>
          <w:numId w:val="31"/>
        </w:numPr>
        <w:spacing w:after="0"/>
      </w:pPr>
      <w:r w:rsidRPr="00725CD2">
        <w:t>Koldsland OC, Scheie AA, Aass AM. The association between selected risk indicators and severity of peri-implantitis using mixed model analyses. J Clin Periodontol 2011, 38;285–292.</w:t>
      </w:r>
    </w:p>
    <w:p w14:paraId="11DA6D6A" w14:textId="77777777" w:rsidR="00725CD2" w:rsidRPr="00725CD2" w:rsidRDefault="00725CD2" w:rsidP="00725CD2">
      <w:pPr>
        <w:pStyle w:val="Body"/>
        <w:numPr>
          <w:ilvl w:val="0"/>
          <w:numId w:val="31"/>
        </w:numPr>
        <w:spacing w:after="0"/>
      </w:pPr>
      <w:r w:rsidRPr="00725CD2">
        <w:t>Kadkhodazadeh M, Amid R, Amirinasab O, Amirbandeh O, Moscowchi A. Risk Indicators of Peri-Implant Diseases in Public and Private Clinics: A Multicenter Study. Int J Dent. 2024 Aug 17;2024:7061682.</w:t>
      </w:r>
    </w:p>
    <w:p w14:paraId="03A4289F" w14:textId="77777777" w:rsidR="00725CD2" w:rsidRPr="00725CD2" w:rsidRDefault="00725CD2" w:rsidP="00725CD2">
      <w:pPr>
        <w:pStyle w:val="Body"/>
        <w:numPr>
          <w:ilvl w:val="0"/>
          <w:numId w:val="31"/>
        </w:numPr>
        <w:spacing w:after="0"/>
      </w:pPr>
      <w:r w:rsidRPr="00725CD2">
        <w:t>Carra MC, Blanc-Sylvestre N, Courtet A, Bouchard P. Primordial and primary prevention of peri-implant diseases: A systematic review and meta-analysis. J Clin Periodontol. 2023 Jun;50 Suppl 26:77-112.</w:t>
      </w:r>
    </w:p>
    <w:p w14:paraId="4BB70494" w14:textId="77777777" w:rsidR="00725CD2" w:rsidRPr="00725CD2" w:rsidRDefault="00725CD2" w:rsidP="00725CD2">
      <w:pPr>
        <w:pStyle w:val="Body"/>
        <w:numPr>
          <w:ilvl w:val="0"/>
          <w:numId w:val="31"/>
        </w:numPr>
        <w:spacing w:after="0"/>
      </w:pPr>
      <w:r w:rsidRPr="00725CD2">
        <w:t>Jepsen S, Berglundh T, Genco R, Aass AM, Demirel K, Derks Jet al.. Primary prevention of peri-implantitis: managing peri-implant mucositis. J Clin Periodontol 2015, 42(16);152-157.</w:t>
      </w:r>
    </w:p>
    <w:p w14:paraId="4737833A" w14:textId="77777777" w:rsidR="00725CD2" w:rsidRPr="00725CD2" w:rsidRDefault="00725CD2" w:rsidP="00725CD2">
      <w:pPr>
        <w:pStyle w:val="Body"/>
        <w:numPr>
          <w:ilvl w:val="0"/>
          <w:numId w:val="31"/>
        </w:numPr>
        <w:spacing w:after="0"/>
      </w:pPr>
      <w:r w:rsidRPr="00725CD2">
        <w:t>Meyle J, Casado P, Fourmousis I, Kumar P, Quirynen M,  Salvi GE. General genetic and acquired risk factors, and prevalence of peri</w:t>
      </w:r>
      <w:r w:rsidRPr="00725CD2">
        <w:rPr>
          <w:rFonts w:ascii="Cambria Math" w:hAnsi="Cambria Math" w:cs="Cambria Math"/>
        </w:rPr>
        <w:t>‐</w:t>
      </w:r>
      <w:r w:rsidRPr="00725CD2">
        <w:t>implant diseases – Consensus report of working group 1. International Dental Journal 2019  69(S2); 3–6.</w:t>
      </w:r>
    </w:p>
    <w:p w14:paraId="37B235D7" w14:textId="77777777" w:rsidR="00725CD2" w:rsidRPr="00725CD2" w:rsidRDefault="00725CD2" w:rsidP="00725CD2">
      <w:pPr>
        <w:pStyle w:val="Body"/>
        <w:numPr>
          <w:ilvl w:val="0"/>
          <w:numId w:val="31"/>
        </w:numPr>
        <w:spacing w:after="0"/>
      </w:pPr>
      <w:r w:rsidRPr="00725CD2">
        <w:t>Greenstein G, Eskow R. High Prevalence Rates of Peri-implant mucositis and Peri-implantitis Post Dental Implantations Dictate Need for Continuous Peri-implant Maintenance. Compend Contin Educ Dent. 2022 Apr;43(4):206-213.</w:t>
      </w:r>
    </w:p>
    <w:p w14:paraId="4AC856EA" w14:textId="65FF350E" w:rsidR="00725CD2" w:rsidRDefault="00725CD2" w:rsidP="00725CD2">
      <w:pPr>
        <w:pStyle w:val="Body"/>
        <w:numPr>
          <w:ilvl w:val="0"/>
          <w:numId w:val="31"/>
        </w:numPr>
        <w:spacing w:after="0"/>
      </w:pPr>
      <w:r w:rsidRPr="00725CD2">
        <w:t>Perussolo J, Donos N. Maintenance of peri-implant health in general dental practice. Br Dent J. 2024 May;236(10):781-789.</w:t>
      </w:r>
    </w:p>
    <w:p w14:paraId="0AA34EC1" w14:textId="478DB097" w:rsidR="00250AAE" w:rsidRDefault="00250AAE" w:rsidP="00725CD2">
      <w:pPr>
        <w:pStyle w:val="Body"/>
        <w:numPr>
          <w:ilvl w:val="0"/>
          <w:numId w:val="31"/>
        </w:numPr>
        <w:spacing w:after="0"/>
        <w:rPr>
          <w:highlight w:val="yellow"/>
        </w:rPr>
      </w:pPr>
      <w:r w:rsidRPr="00640E12">
        <w:rPr>
          <w:highlight w:val="yellow"/>
        </w:rPr>
        <w:t>Monje, A., &amp; Salvi, G. E. (2024). Diagnostic methods/parameters to monitor peri</w:t>
      </w:r>
      <w:r w:rsidRPr="00640E12">
        <w:rPr>
          <w:rFonts w:ascii="Cambria Math" w:hAnsi="Cambria Math" w:cs="Cambria Math"/>
          <w:highlight w:val="yellow"/>
        </w:rPr>
        <w:t>‐</w:t>
      </w:r>
      <w:r w:rsidRPr="00640E12">
        <w:rPr>
          <w:highlight w:val="yellow"/>
        </w:rPr>
        <w:t>implant conditions. Periodontology 2000, 95(1), 20-39.</w:t>
      </w:r>
    </w:p>
    <w:p w14:paraId="21BC6B25" w14:textId="3E9B409D" w:rsidR="009728DB" w:rsidRPr="00640E12" w:rsidRDefault="009728DB" w:rsidP="00725CD2">
      <w:pPr>
        <w:pStyle w:val="Body"/>
        <w:numPr>
          <w:ilvl w:val="0"/>
          <w:numId w:val="31"/>
        </w:numPr>
        <w:spacing w:after="0"/>
        <w:rPr>
          <w:highlight w:val="yellow"/>
        </w:rPr>
      </w:pPr>
      <w:r w:rsidRPr="00640E12">
        <w:rPr>
          <w:highlight w:val="yellow"/>
        </w:rPr>
        <w:t>Ríos-Osorio, N., Ladino, L. G., &amp; Guerrero-Torres, M. (2024). Structure, biology, and function of peri-implant soft tissues in health and disease: a comprehensive review of the literature. Journal of Periodontal &amp; Implant Science, 55.</w:t>
      </w:r>
    </w:p>
    <w:sectPr w:rsidR="009728DB" w:rsidRPr="00640E12" w:rsidSect="0019783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86055" w14:textId="77777777" w:rsidR="00BD395D" w:rsidRDefault="00BD395D" w:rsidP="00C37E61">
      <w:r>
        <w:separator/>
      </w:r>
    </w:p>
  </w:endnote>
  <w:endnote w:type="continuationSeparator" w:id="0">
    <w:p w14:paraId="29C546B6" w14:textId="77777777" w:rsidR="00BD395D" w:rsidRDefault="00BD39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56F1" w14:textId="77777777" w:rsidR="00197837" w:rsidRDefault="00197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BC2C" w14:textId="77777777" w:rsidR="00197837" w:rsidRDefault="00197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4163" w14:textId="4D9A5AB8" w:rsidR="00754C9A" w:rsidRPr="00197837" w:rsidRDefault="00754C9A" w:rsidP="00197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E188D" w14:textId="77777777" w:rsidR="00BD395D" w:rsidRDefault="00BD395D" w:rsidP="00C37E61">
      <w:r>
        <w:separator/>
      </w:r>
    </w:p>
  </w:footnote>
  <w:footnote w:type="continuationSeparator" w:id="0">
    <w:p w14:paraId="6E395241" w14:textId="77777777" w:rsidR="00BD395D" w:rsidRDefault="00BD39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422D" w14:textId="2D1A7216" w:rsidR="00197837" w:rsidRDefault="00BD395D">
    <w:pPr>
      <w:pStyle w:val="Header"/>
    </w:pPr>
    <w:r>
      <w:rPr>
        <w:noProof/>
      </w:rPr>
      <w:pict w14:anchorId="5D5F5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493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0E33" w14:textId="474BE4F3" w:rsidR="00197837" w:rsidRDefault="00BD395D">
    <w:pPr>
      <w:pStyle w:val="Header"/>
    </w:pPr>
    <w:r>
      <w:rPr>
        <w:noProof/>
      </w:rPr>
      <w:pict w14:anchorId="2E9C8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493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769A" w14:textId="3692AD57" w:rsidR="00296529" w:rsidRPr="00296529" w:rsidRDefault="00BD395D" w:rsidP="00296529">
    <w:pPr>
      <w:ind w:left="2160"/>
      <w:jc w:val="center"/>
      <w:rPr>
        <w:rFonts w:ascii="Times New Roman" w:eastAsia="Calibri" w:hAnsi="Times New Roman"/>
        <w:i/>
        <w:sz w:val="18"/>
        <w:szCs w:val="22"/>
      </w:rPr>
    </w:pPr>
    <w:r>
      <w:rPr>
        <w:noProof/>
      </w:rPr>
      <w:pict w14:anchorId="3C5F7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493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63C0E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FECE2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B7F88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C6D12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51904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1954A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052217"/>
    <w:multiLevelType w:val="hybridMultilevel"/>
    <w:tmpl w:val="505A20A6"/>
    <w:lvl w:ilvl="0" w:tplc="D214E796">
      <w:start w:val="1"/>
      <w:numFmt w:val="decimal"/>
      <w:lvlText w:val="%1-"/>
      <w:lvlJc w:val="left"/>
      <w:pPr>
        <w:ind w:left="360" w:hanging="360"/>
      </w:pPr>
      <w:rPr>
        <w:rFonts w:hint="default"/>
        <w:lang w:val="pt-BR"/>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AcSpgZmFqaWxsbGFko6SsGpxcWZ+XkgBYa1AP3N66gsAAAA"/>
  </w:docVars>
  <w:rsids>
    <w:rsidRoot w:val="00AA6219"/>
    <w:rsid w:val="00000F8F"/>
    <w:rsid w:val="00030174"/>
    <w:rsid w:val="0004579C"/>
    <w:rsid w:val="00071376"/>
    <w:rsid w:val="000800E8"/>
    <w:rsid w:val="000A47FA"/>
    <w:rsid w:val="000A65D3"/>
    <w:rsid w:val="000B1E33"/>
    <w:rsid w:val="000D689F"/>
    <w:rsid w:val="000E4818"/>
    <w:rsid w:val="000E7B7B"/>
    <w:rsid w:val="000E7D62"/>
    <w:rsid w:val="00103357"/>
    <w:rsid w:val="00123C9F"/>
    <w:rsid w:val="001245E0"/>
    <w:rsid w:val="00126190"/>
    <w:rsid w:val="00130F17"/>
    <w:rsid w:val="001320BF"/>
    <w:rsid w:val="00135004"/>
    <w:rsid w:val="00163BC4"/>
    <w:rsid w:val="0017740F"/>
    <w:rsid w:val="00191062"/>
    <w:rsid w:val="00192B72"/>
    <w:rsid w:val="00197837"/>
    <w:rsid w:val="001A29D8"/>
    <w:rsid w:val="001A5CAA"/>
    <w:rsid w:val="001B0427"/>
    <w:rsid w:val="001D3A51"/>
    <w:rsid w:val="001E10D2"/>
    <w:rsid w:val="001E25B4"/>
    <w:rsid w:val="001E44FE"/>
    <w:rsid w:val="001F1E70"/>
    <w:rsid w:val="00200595"/>
    <w:rsid w:val="00204835"/>
    <w:rsid w:val="00231920"/>
    <w:rsid w:val="0023195C"/>
    <w:rsid w:val="0024282C"/>
    <w:rsid w:val="002460DC"/>
    <w:rsid w:val="00250985"/>
    <w:rsid w:val="00250AAE"/>
    <w:rsid w:val="002556F6"/>
    <w:rsid w:val="00283105"/>
    <w:rsid w:val="00284C4C"/>
    <w:rsid w:val="00287E68"/>
    <w:rsid w:val="00296529"/>
    <w:rsid w:val="002B27FB"/>
    <w:rsid w:val="002B685A"/>
    <w:rsid w:val="002C57D2"/>
    <w:rsid w:val="002E0D56"/>
    <w:rsid w:val="00315186"/>
    <w:rsid w:val="0033343E"/>
    <w:rsid w:val="0034244D"/>
    <w:rsid w:val="003512C2"/>
    <w:rsid w:val="00371FB6"/>
    <w:rsid w:val="003763C1"/>
    <w:rsid w:val="00376BBE"/>
    <w:rsid w:val="0039224F"/>
    <w:rsid w:val="003A43A4"/>
    <w:rsid w:val="003A7E18"/>
    <w:rsid w:val="003C4C86"/>
    <w:rsid w:val="003C6258"/>
    <w:rsid w:val="003E0695"/>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3678E"/>
    <w:rsid w:val="00554FDA"/>
    <w:rsid w:val="0055531E"/>
    <w:rsid w:val="005C784C"/>
    <w:rsid w:val="005D17F6"/>
    <w:rsid w:val="005E5539"/>
    <w:rsid w:val="00602BF5"/>
    <w:rsid w:val="00617FDD"/>
    <w:rsid w:val="00633614"/>
    <w:rsid w:val="00633F68"/>
    <w:rsid w:val="00636EB2"/>
    <w:rsid w:val="006375B8"/>
    <w:rsid w:val="00640E12"/>
    <w:rsid w:val="0066510A"/>
    <w:rsid w:val="00673F9F"/>
    <w:rsid w:val="00686953"/>
    <w:rsid w:val="00687DEA"/>
    <w:rsid w:val="00687E67"/>
    <w:rsid w:val="006967F7"/>
    <w:rsid w:val="006A250C"/>
    <w:rsid w:val="006B21D3"/>
    <w:rsid w:val="006B57D0"/>
    <w:rsid w:val="006D30FF"/>
    <w:rsid w:val="006D6940"/>
    <w:rsid w:val="006F11EC"/>
    <w:rsid w:val="0070082C"/>
    <w:rsid w:val="00725CD2"/>
    <w:rsid w:val="007369E6"/>
    <w:rsid w:val="00746E59"/>
    <w:rsid w:val="00754C9A"/>
    <w:rsid w:val="0075599A"/>
    <w:rsid w:val="00761D52"/>
    <w:rsid w:val="0076386D"/>
    <w:rsid w:val="0077749E"/>
    <w:rsid w:val="00790ADA"/>
    <w:rsid w:val="007D2288"/>
    <w:rsid w:val="007E088F"/>
    <w:rsid w:val="007F7B32"/>
    <w:rsid w:val="00804BC2"/>
    <w:rsid w:val="0081431A"/>
    <w:rsid w:val="0083216F"/>
    <w:rsid w:val="00851434"/>
    <w:rsid w:val="00860000"/>
    <w:rsid w:val="00863BD3"/>
    <w:rsid w:val="008641ED"/>
    <w:rsid w:val="00866D66"/>
    <w:rsid w:val="008671C6"/>
    <w:rsid w:val="00875803"/>
    <w:rsid w:val="00892B63"/>
    <w:rsid w:val="008B459E"/>
    <w:rsid w:val="008C6D7A"/>
    <w:rsid w:val="008D4D3A"/>
    <w:rsid w:val="008E13AE"/>
    <w:rsid w:val="008E1506"/>
    <w:rsid w:val="008E710C"/>
    <w:rsid w:val="008F69D6"/>
    <w:rsid w:val="00902823"/>
    <w:rsid w:val="00915CA6"/>
    <w:rsid w:val="00927834"/>
    <w:rsid w:val="009500A6"/>
    <w:rsid w:val="00957C18"/>
    <w:rsid w:val="00964203"/>
    <w:rsid w:val="009659BA"/>
    <w:rsid w:val="009728DB"/>
    <w:rsid w:val="00983040"/>
    <w:rsid w:val="009B3FB9"/>
    <w:rsid w:val="009C2465"/>
    <w:rsid w:val="009D35A0"/>
    <w:rsid w:val="009D7EB7"/>
    <w:rsid w:val="009E048A"/>
    <w:rsid w:val="009E08E9"/>
    <w:rsid w:val="009E3DB9"/>
    <w:rsid w:val="009E6E35"/>
    <w:rsid w:val="009F00D2"/>
    <w:rsid w:val="009F0EDA"/>
    <w:rsid w:val="00A03B96"/>
    <w:rsid w:val="00A05B19"/>
    <w:rsid w:val="00A1134E"/>
    <w:rsid w:val="00A24E7E"/>
    <w:rsid w:val="00A258C3"/>
    <w:rsid w:val="00A347C0"/>
    <w:rsid w:val="00A50FF6"/>
    <w:rsid w:val="00A51431"/>
    <w:rsid w:val="00A539AD"/>
    <w:rsid w:val="00A555D5"/>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395D"/>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403A"/>
    <w:rsid w:val="00CE793C"/>
    <w:rsid w:val="00CF193C"/>
    <w:rsid w:val="00D124DA"/>
    <w:rsid w:val="00D173F1"/>
    <w:rsid w:val="00D30899"/>
    <w:rsid w:val="00D50C0C"/>
    <w:rsid w:val="00D74CB0"/>
    <w:rsid w:val="00D8295D"/>
    <w:rsid w:val="00D90665"/>
    <w:rsid w:val="00DC2A65"/>
    <w:rsid w:val="00DE15F0"/>
    <w:rsid w:val="00DE5663"/>
    <w:rsid w:val="00DE78AA"/>
    <w:rsid w:val="00E002C6"/>
    <w:rsid w:val="00E053D0"/>
    <w:rsid w:val="00E11F05"/>
    <w:rsid w:val="00E15994"/>
    <w:rsid w:val="00E3114E"/>
    <w:rsid w:val="00E31A70"/>
    <w:rsid w:val="00E35B02"/>
    <w:rsid w:val="00E66496"/>
    <w:rsid w:val="00E66B35"/>
    <w:rsid w:val="00E66E10"/>
    <w:rsid w:val="00E769F6"/>
    <w:rsid w:val="00E8407C"/>
    <w:rsid w:val="00E84F3C"/>
    <w:rsid w:val="00E85BEB"/>
    <w:rsid w:val="00EA012C"/>
    <w:rsid w:val="00EC6A55"/>
    <w:rsid w:val="00ED0288"/>
    <w:rsid w:val="00EE52CB"/>
    <w:rsid w:val="00EF581D"/>
    <w:rsid w:val="00EF7FD8"/>
    <w:rsid w:val="00F06F59"/>
    <w:rsid w:val="00F17988"/>
    <w:rsid w:val="00F469F0"/>
    <w:rsid w:val="00F53273"/>
    <w:rsid w:val="00F755E4"/>
    <w:rsid w:val="00F77D02"/>
    <w:rsid w:val="00F861D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BE577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245E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1245E0"/>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semiHidden/>
    <w:unhideWhenUsed/>
    <w:rsid w:val="00D50C0C"/>
    <w:rPr>
      <w:rFonts w:ascii="Consolas" w:hAnsi="Consolas"/>
    </w:rPr>
  </w:style>
  <w:style w:type="character" w:customStyle="1" w:styleId="HTMLPreformattedChar">
    <w:name w:val="HTML Preformatted Char"/>
    <w:basedOn w:val="DefaultParagraphFont"/>
    <w:link w:val="HTMLPreformatted"/>
    <w:semiHidden/>
    <w:rsid w:val="00D50C0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4412993">
      <w:bodyDiv w:val="1"/>
      <w:marLeft w:val="0"/>
      <w:marRight w:val="0"/>
      <w:marTop w:val="0"/>
      <w:marBottom w:val="0"/>
      <w:divBdr>
        <w:top w:val="none" w:sz="0" w:space="0" w:color="auto"/>
        <w:left w:val="none" w:sz="0" w:space="0" w:color="auto"/>
        <w:bottom w:val="none" w:sz="0" w:space="0" w:color="auto"/>
        <w:right w:val="none" w:sz="0" w:space="0" w:color="auto"/>
      </w:divBdr>
    </w:div>
    <w:div w:id="171134344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5687178">
      <w:bodyDiv w:val="1"/>
      <w:marLeft w:val="0"/>
      <w:marRight w:val="0"/>
      <w:marTop w:val="0"/>
      <w:marBottom w:val="0"/>
      <w:divBdr>
        <w:top w:val="none" w:sz="0" w:space="0" w:color="auto"/>
        <w:left w:val="none" w:sz="0" w:space="0" w:color="auto"/>
        <w:bottom w:val="none" w:sz="0" w:space="0" w:color="auto"/>
        <w:right w:val="none" w:sz="0" w:space="0" w:color="auto"/>
      </w:divBdr>
    </w:div>
    <w:div w:id="189727334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628F-9736-4F9B-908C-88C50C65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14</Pages>
  <Words>5516</Words>
  <Characters>31443</Characters>
  <Application>Microsoft Office Word</Application>
  <DocSecurity>0</DocSecurity>
  <Lines>262</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36886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12</cp:revision>
  <cp:lastPrinted>1999-07-06T11:00:00Z</cp:lastPrinted>
  <dcterms:created xsi:type="dcterms:W3CDTF">2025-07-15T20:57:00Z</dcterms:created>
  <dcterms:modified xsi:type="dcterms:W3CDTF">2025-07-16T10:15:00Z</dcterms:modified>
</cp:coreProperties>
</file>