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297" w:rsidRDefault="00767F5A">
      <w:pPr>
        <w:spacing w:after="0" w:line="240" w:lineRule="auto"/>
        <w:ind w:right="26"/>
        <w:rPr>
          <w:rFonts w:ascii="Arial" w:eastAsia="Arial" w:hAnsi="Arial" w:cs="Arial"/>
          <w:b/>
        </w:rPr>
      </w:pPr>
      <w:r>
        <w:rPr>
          <w:rFonts w:ascii="Arial" w:eastAsia="Arial" w:hAnsi="Arial" w:cs="Arial"/>
          <w:b/>
        </w:rPr>
        <w:t xml:space="preserve">Compatibility of </w:t>
      </w:r>
      <w:r w:rsidRPr="00A600DD">
        <w:rPr>
          <w:rFonts w:ascii="Arial" w:eastAsia="Arial" w:hAnsi="Arial" w:cs="Arial"/>
          <w:b/>
          <w:i/>
          <w:color w:val="000000" w:themeColor="text1"/>
        </w:rPr>
        <w:t xml:space="preserve">Trichoderma </w:t>
      </w:r>
      <w:proofErr w:type="spellStart"/>
      <w:r w:rsidRPr="00A600DD">
        <w:rPr>
          <w:rFonts w:ascii="Arial" w:eastAsia="Arial" w:hAnsi="Arial" w:cs="Arial"/>
          <w:b/>
          <w:i/>
          <w:color w:val="000000" w:themeColor="text1"/>
        </w:rPr>
        <w:t>asperellum</w:t>
      </w:r>
      <w:proofErr w:type="spellEnd"/>
      <w:r>
        <w:rPr>
          <w:rFonts w:ascii="Arial" w:eastAsia="Arial" w:hAnsi="Arial" w:cs="Arial"/>
          <w:b/>
          <w:color w:val="FF0000"/>
        </w:rPr>
        <w:t xml:space="preserve"> </w:t>
      </w:r>
      <w:r>
        <w:rPr>
          <w:rFonts w:ascii="Arial" w:eastAsia="Arial" w:hAnsi="Arial" w:cs="Arial"/>
          <w:b/>
        </w:rPr>
        <w:t>with Different Fungicides</w:t>
      </w:r>
    </w:p>
    <w:p w:rsidR="005B4297" w:rsidRPr="00557543" w:rsidRDefault="00767F5A" w:rsidP="00557543">
      <w:pPr>
        <w:spacing w:line="251" w:lineRule="exact"/>
        <w:ind w:right="1100"/>
        <w:rPr>
          <w:rFonts w:ascii="Arial" w:hAnsi="Arial" w:cs="Arial"/>
          <w:color w:val="0462C1"/>
          <w:sz w:val="20"/>
          <w:u w:val="single"/>
        </w:rPr>
      </w:pPr>
      <w:r>
        <w:rPr>
          <w:rFonts w:ascii="Arial" w:eastAsia="Arial" w:hAnsi="Arial" w:cs="Arial"/>
          <w:b/>
          <w:sz w:val="24"/>
        </w:rPr>
        <w:tab/>
      </w:r>
      <w:r>
        <w:rPr>
          <w:rFonts w:ascii="Arial" w:eastAsia="Arial" w:hAnsi="Arial" w:cs="Arial"/>
          <w:b/>
          <w:sz w:val="24"/>
        </w:rPr>
        <w:tab/>
      </w:r>
    </w:p>
    <w:p w:rsidR="005B4297" w:rsidRPr="00557543" w:rsidRDefault="00767F5A">
      <w:pPr>
        <w:spacing w:after="0" w:line="240" w:lineRule="auto"/>
        <w:jc w:val="both"/>
        <w:rPr>
          <w:rFonts w:ascii="Arial" w:eastAsia="Arial" w:hAnsi="Arial" w:cs="Arial"/>
          <w:color w:val="000000" w:themeColor="text1"/>
          <w:sz w:val="20"/>
        </w:rPr>
      </w:pPr>
      <w:r>
        <w:rPr>
          <w:rFonts w:ascii="Arial" w:eastAsia="Arial" w:hAnsi="Arial" w:cs="Arial"/>
          <w:b/>
        </w:rPr>
        <w:t>Abstract</w:t>
      </w:r>
      <w:r>
        <w:rPr>
          <w:rFonts w:ascii="Arial" w:eastAsia="Arial" w:hAnsi="Arial" w:cs="Arial"/>
          <w:b/>
          <w:sz w:val="24"/>
        </w:rPr>
        <w:t xml:space="preserve"> – </w:t>
      </w:r>
      <w:r w:rsidRPr="00557543">
        <w:rPr>
          <w:rFonts w:ascii="Arial" w:eastAsia="Arial" w:hAnsi="Arial" w:cs="Arial"/>
          <w:color w:val="000000" w:themeColor="text1"/>
          <w:sz w:val="20"/>
        </w:rPr>
        <w:t xml:space="preserve">The effectiveness of biological control agents in integrated disease management programs may be weakened by the use of fungicides to treat plant diseases. Applying fungicides must not impede the action of efficient biocontrol agents. Among these, Trichoderma species have long been known to have the ability to suppress a variety of plant pathogens via different mechanisms. In the present study, the compatibility of </w:t>
      </w:r>
      <w:r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with nine chemical fungicides was evaluated under </w:t>
      </w:r>
      <w:r w:rsidRPr="00557543">
        <w:rPr>
          <w:rFonts w:ascii="Arial" w:eastAsia="Arial" w:hAnsi="Arial" w:cs="Arial"/>
          <w:i/>
          <w:color w:val="000000" w:themeColor="text1"/>
          <w:sz w:val="20"/>
        </w:rPr>
        <w:t>in vitro</w:t>
      </w:r>
      <w:r w:rsidRPr="00557543">
        <w:rPr>
          <w:rFonts w:ascii="Arial" w:eastAsia="Arial" w:hAnsi="Arial" w:cs="Arial"/>
          <w:color w:val="000000" w:themeColor="text1"/>
          <w:sz w:val="20"/>
        </w:rPr>
        <w:t xml:space="preserve"> conditions at three different concentrations to assess their impact on the mycelial growth of Trichoderma. In the present stud</w:t>
      </w:r>
      <w:bookmarkStart w:id="0" w:name="_GoBack"/>
      <w:bookmarkEnd w:id="0"/>
      <w:r w:rsidRPr="00557543">
        <w:rPr>
          <w:rFonts w:ascii="Arial" w:eastAsia="Arial" w:hAnsi="Arial" w:cs="Arial"/>
          <w:color w:val="000000" w:themeColor="text1"/>
          <w:sz w:val="20"/>
        </w:rPr>
        <w:t xml:space="preserve">y, the compatibility of </w:t>
      </w:r>
      <w:r w:rsidR="00A600DD" w:rsidRPr="00557543">
        <w:rPr>
          <w:rFonts w:ascii="Arial" w:eastAsia="Arial" w:hAnsi="Arial" w:cs="Arial"/>
          <w:i/>
          <w:color w:val="000000" w:themeColor="text1"/>
          <w:sz w:val="20"/>
        </w:rPr>
        <w:t>Trichoderma</w:t>
      </w:r>
      <w:r w:rsidRPr="00557543">
        <w:rPr>
          <w:rFonts w:ascii="Arial" w:eastAsia="Arial" w:hAnsi="Arial" w:cs="Arial"/>
          <w:i/>
          <w:color w:val="000000" w:themeColor="text1"/>
          <w:sz w:val="20"/>
        </w:rPr>
        <w:t xml:space="preserve">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with nine chemical fungicides was evaluated under </w:t>
      </w:r>
      <w:r w:rsidRPr="00557543">
        <w:rPr>
          <w:rFonts w:ascii="Arial" w:eastAsia="Arial" w:hAnsi="Arial" w:cs="Arial"/>
          <w:i/>
          <w:color w:val="000000" w:themeColor="text1"/>
          <w:sz w:val="20"/>
        </w:rPr>
        <w:t>in vitro</w:t>
      </w:r>
      <w:r w:rsidRPr="00557543">
        <w:rPr>
          <w:rFonts w:ascii="Arial" w:eastAsia="Arial" w:hAnsi="Arial" w:cs="Arial"/>
          <w:color w:val="000000" w:themeColor="text1"/>
          <w:sz w:val="20"/>
        </w:rPr>
        <w:t xml:space="preserve"> conditions at three different concentrations to assess their impact on the mycelial growth of Trichoderma</w:t>
      </w:r>
      <w:r w:rsidR="00A600DD" w:rsidRPr="00557543">
        <w:rPr>
          <w:rFonts w:ascii="Arial" w:eastAsia="Arial" w:hAnsi="Arial" w:cs="Arial"/>
          <w:color w:val="000000" w:themeColor="text1"/>
          <w:sz w:val="20"/>
        </w:rPr>
        <w:t xml:space="preserve"> </w:t>
      </w:r>
      <w:proofErr w:type="spellStart"/>
      <w:r w:rsidR="00A600DD" w:rsidRPr="00557543">
        <w:rPr>
          <w:rFonts w:ascii="Arial" w:eastAsia="Arial" w:hAnsi="Arial" w:cs="Arial"/>
          <w:color w:val="000000" w:themeColor="text1"/>
          <w:sz w:val="20"/>
        </w:rPr>
        <w:t>asperellum</w:t>
      </w:r>
      <w:proofErr w:type="spellEnd"/>
      <w:r w:rsidRPr="00557543">
        <w:rPr>
          <w:rFonts w:ascii="Arial" w:eastAsia="Arial" w:hAnsi="Arial" w:cs="Arial"/>
          <w:color w:val="000000" w:themeColor="text1"/>
          <w:sz w:val="20"/>
        </w:rPr>
        <w:t>. The results revealed that Carbendazim 50 WP (50, 100, 150 ppm), Carbendazim (12</w:t>
      </w:r>
      <w:proofErr w:type="gramStart"/>
      <w:r w:rsidRPr="00557543">
        <w:rPr>
          <w:rFonts w:ascii="Arial" w:eastAsia="Arial" w:hAnsi="Arial" w:cs="Arial"/>
          <w:color w:val="000000" w:themeColor="text1"/>
          <w:sz w:val="20"/>
        </w:rPr>
        <w:t>%)+</w:t>
      </w:r>
      <w:proofErr w:type="gramEnd"/>
      <w:r w:rsidRPr="00557543">
        <w:rPr>
          <w:rFonts w:ascii="Arial" w:eastAsia="Arial" w:hAnsi="Arial" w:cs="Arial"/>
          <w:color w:val="000000" w:themeColor="text1"/>
          <w:sz w:val="20"/>
        </w:rPr>
        <w:t xml:space="preserve">Mancozeb (63%) 75 WP (50, 100, 200 ppm), Hexaconazole 5 SC, and Tebuconazole 25.9% EC (25, 50, 100 ppm) were incompatible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inhibiting its growth significantly. In contrast, </w:t>
      </w:r>
      <w:proofErr w:type="spellStart"/>
      <w:r w:rsidRPr="00557543">
        <w:rPr>
          <w:rFonts w:ascii="Arial" w:eastAsia="Arial" w:hAnsi="Arial" w:cs="Arial"/>
          <w:color w:val="000000" w:themeColor="text1"/>
          <w:sz w:val="20"/>
        </w:rPr>
        <w:t>Metalaxyl</w:t>
      </w:r>
      <w:proofErr w:type="spellEnd"/>
      <w:r w:rsidRPr="00557543">
        <w:rPr>
          <w:rFonts w:ascii="Arial" w:eastAsia="Arial" w:hAnsi="Arial" w:cs="Arial"/>
          <w:color w:val="000000" w:themeColor="text1"/>
          <w:sz w:val="20"/>
        </w:rPr>
        <w:t xml:space="preserve"> 35 SD, Mancozeb 75 WP (250, 500, 750 ppm), Thiram 75 WP (50, 100, 200 ppm), Copper oxychloride 50 WP (250, 500, 750 ppm), and Thiram + Carboxin 75 WS (50, 100, 200 ppm) were found highly compatible, allowing effective growth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even at higher concentrations. The necessity of choosing compatible fungicides when implementing Trichoderma in integrated disease management programs was highlighted by the general trend of decreased mycelial growth with increasing fungicide concentration.</w:t>
      </w:r>
    </w:p>
    <w:p w:rsidR="005B4297" w:rsidRPr="00557543" w:rsidRDefault="00767F5A">
      <w:pPr>
        <w:tabs>
          <w:tab w:val="left" w:pos="4040"/>
          <w:tab w:val="left" w:pos="6830"/>
        </w:tabs>
        <w:spacing w:after="0" w:line="240" w:lineRule="auto"/>
        <w:jc w:val="both"/>
        <w:rPr>
          <w:rFonts w:ascii="Arial" w:eastAsia="Arial" w:hAnsi="Arial" w:cs="Arial"/>
          <w:color w:val="000000" w:themeColor="text1"/>
          <w:sz w:val="24"/>
        </w:rPr>
      </w:pPr>
      <w:r w:rsidRPr="00557543">
        <w:rPr>
          <w:rFonts w:ascii="Arial" w:eastAsia="Arial" w:hAnsi="Arial" w:cs="Arial"/>
          <w:color w:val="000000" w:themeColor="text1"/>
          <w:sz w:val="24"/>
        </w:rPr>
        <w:tab/>
      </w:r>
      <w:r w:rsidRPr="00557543">
        <w:rPr>
          <w:rFonts w:ascii="Arial" w:eastAsia="Arial" w:hAnsi="Arial" w:cs="Arial"/>
          <w:color w:val="000000" w:themeColor="text1"/>
          <w:sz w:val="24"/>
        </w:rPr>
        <w:tab/>
      </w:r>
    </w:p>
    <w:p w:rsidR="005B4297" w:rsidRPr="00557543" w:rsidRDefault="00767F5A">
      <w:pPr>
        <w:spacing w:after="0" w:line="240" w:lineRule="auto"/>
        <w:jc w:val="both"/>
        <w:rPr>
          <w:rFonts w:ascii="Arial" w:eastAsia="Arial" w:hAnsi="Arial" w:cs="Arial"/>
          <w:color w:val="000000" w:themeColor="text1"/>
          <w:sz w:val="20"/>
        </w:rPr>
      </w:pPr>
      <w:r w:rsidRPr="00557543">
        <w:rPr>
          <w:rFonts w:ascii="Arial" w:eastAsia="Arial" w:hAnsi="Arial" w:cs="Arial"/>
          <w:b/>
          <w:color w:val="000000" w:themeColor="text1"/>
        </w:rPr>
        <w:t>Key words</w:t>
      </w:r>
      <w:r w:rsidRPr="00557543">
        <w:rPr>
          <w:rFonts w:ascii="Arial" w:eastAsia="Arial" w:hAnsi="Arial" w:cs="Arial"/>
          <w:color w:val="000000" w:themeColor="text1"/>
        </w:rPr>
        <w:t xml:space="preserve"> –</w:t>
      </w:r>
      <w:r w:rsidRPr="00557543">
        <w:rPr>
          <w:rFonts w:ascii="Arial" w:eastAsia="Arial" w:hAnsi="Arial" w:cs="Arial"/>
          <w:color w:val="000000" w:themeColor="text1"/>
          <w:sz w:val="24"/>
        </w:rPr>
        <w:t xml:space="preserve">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biocontrol, fungicides, compatibility, management.</w:t>
      </w:r>
    </w:p>
    <w:p w:rsidR="005B4297" w:rsidRPr="00557543" w:rsidRDefault="005B4297">
      <w:pPr>
        <w:spacing w:after="0" w:line="240" w:lineRule="auto"/>
        <w:jc w:val="center"/>
        <w:rPr>
          <w:rFonts w:ascii="Arial" w:eastAsia="Arial" w:hAnsi="Arial" w:cs="Arial"/>
          <w:color w:val="000000" w:themeColor="text1"/>
          <w:sz w:val="24"/>
        </w:rPr>
      </w:pPr>
    </w:p>
    <w:p w:rsidR="005B4297" w:rsidRPr="00557543" w:rsidRDefault="00767F5A" w:rsidP="00557543">
      <w:pPr>
        <w:tabs>
          <w:tab w:val="center" w:pos="4513"/>
        </w:tabs>
        <w:spacing w:after="0" w:line="240" w:lineRule="auto"/>
        <w:jc w:val="both"/>
        <w:rPr>
          <w:rFonts w:ascii="Arial" w:eastAsia="Arial" w:hAnsi="Arial" w:cs="Arial"/>
          <w:b/>
          <w:color w:val="000000" w:themeColor="text1"/>
        </w:rPr>
      </w:pPr>
      <w:r w:rsidRPr="00557543">
        <w:rPr>
          <w:rFonts w:ascii="Arial" w:eastAsia="Arial" w:hAnsi="Arial" w:cs="Arial"/>
          <w:b/>
          <w:color w:val="000000" w:themeColor="text1"/>
        </w:rPr>
        <w:t xml:space="preserve">Introduction </w:t>
      </w:r>
      <w:r w:rsidR="00557543" w:rsidRPr="00557543">
        <w:rPr>
          <w:rFonts w:ascii="Arial" w:eastAsia="Arial" w:hAnsi="Arial" w:cs="Arial"/>
          <w:b/>
          <w:color w:val="000000" w:themeColor="text1"/>
        </w:rPr>
        <w:tab/>
      </w:r>
    </w:p>
    <w:p w:rsidR="005B4297" w:rsidRPr="00557543" w:rsidRDefault="005B4297">
      <w:pPr>
        <w:spacing w:after="0" w:line="240" w:lineRule="auto"/>
        <w:ind w:firstLine="720"/>
        <w:jc w:val="both"/>
        <w:rPr>
          <w:rFonts w:ascii="Arial" w:eastAsia="Arial" w:hAnsi="Arial" w:cs="Arial"/>
          <w:i/>
          <w:color w:val="000000" w:themeColor="text1"/>
          <w:sz w:val="24"/>
        </w:rPr>
      </w:pPr>
    </w:p>
    <w:p w:rsidR="005B4297" w:rsidRPr="00557543" w:rsidRDefault="00767F5A">
      <w:pPr>
        <w:spacing w:after="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a common soil and root ecosystem organism, has gained immense importance over the last few decades due to its biological control ability against several plant pathogens (Chet and Inbar, 1994), especially soil borne plant pathogens (</w:t>
      </w:r>
      <w:proofErr w:type="spellStart"/>
      <w:r w:rsidRPr="00557543">
        <w:rPr>
          <w:rFonts w:ascii="Arial" w:eastAsia="Arial" w:hAnsi="Arial" w:cs="Arial"/>
          <w:color w:val="000000" w:themeColor="text1"/>
          <w:sz w:val="20"/>
        </w:rPr>
        <w:t>Dominguesa</w:t>
      </w:r>
      <w:proofErr w:type="spellEnd"/>
      <w:r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et al</w:t>
      </w:r>
      <w:r w:rsidRPr="00557543">
        <w:rPr>
          <w:rFonts w:ascii="Arial" w:eastAsia="Arial" w:hAnsi="Arial" w:cs="Arial"/>
          <w:color w:val="000000" w:themeColor="text1"/>
          <w:sz w:val="20"/>
        </w:rPr>
        <w:t xml:space="preserve">., 2000).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s biocontrol activity is vital not only to agriculture and its crops but also to the environment, as it does not accumulate in the food chain and thus does not harm plants, animals, or humans. Biological control using antagonistic microorganisms, particularly species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has emerged as an eco-friendly, cost-effective, and sustainable approach for managing soil-borne plant pathogens.</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also known as Teleomorph: </w:t>
      </w:r>
      <w:proofErr w:type="spellStart"/>
      <w:r w:rsidRPr="00557543">
        <w:rPr>
          <w:rFonts w:ascii="Arial" w:eastAsia="Arial" w:hAnsi="Arial" w:cs="Arial"/>
          <w:i/>
          <w:color w:val="000000" w:themeColor="text1"/>
          <w:sz w:val="20"/>
        </w:rPr>
        <w:t>Hypocrea</w:t>
      </w:r>
      <w:proofErr w:type="spellEnd"/>
      <w:r w:rsidRPr="00557543">
        <w:rPr>
          <w:rFonts w:ascii="Arial" w:eastAsia="Arial" w:hAnsi="Arial" w:cs="Arial"/>
          <w:color w:val="000000" w:themeColor="text1"/>
          <w:sz w:val="20"/>
        </w:rPr>
        <w:t xml:space="preserve">, is a common ascomycete fungus with industrial and biocontrol applications. The sexual stage </w:t>
      </w:r>
      <w:proofErr w:type="spellStart"/>
      <w:r w:rsidRPr="00557543">
        <w:rPr>
          <w:rFonts w:ascii="Arial" w:eastAsia="Arial" w:hAnsi="Arial" w:cs="Arial"/>
          <w:i/>
          <w:color w:val="000000" w:themeColor="text1"/>
          <w:sz w:val="20"/>
        </w:rPr>
        <w:t>Hypocrea</w:t>
      </w:r>
      <w:proofErr w:type="spellEnd"/>
      <w:r w:rsidRPr="00557543">
        <w:rPr>
          <w:rFonts w:ascii="Arial" w:eastAsia="Arial" w:hAnsi="Arial" w:cs="Arial"/>
          <w:color w:val="000000" w:themeColor="text1"/>
          <w:sz w:val="20"/>
        </w:rPr>
        <w:t xml:space="preserve"> species was postulated in 1865, years after this fungus was first identified as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in 1794 (</w:t>
      </w:r>
      <w:proofErr w:type="spellStart"/>
      <w:r w:rsidRPr="00557543">
        <w:rPr>
          <w:rFonts w:ascii="Arial" w:eastAsia="Arial" w:hAnsi="Arial" w:cs="Arial"/>
          <w:color w:val="000000" w:themeColor="text1"/>
          <w:sz w:val="20"/>
        </w:rPr>
        <w:t>Persoon</w:t>
      </w:r>
      <w:proofErr w:type="spellEnd"/>
      <w:r w:rsidRPr="00557543">
        <w:rPr>
          <w:rFonts w:ascii="Arial" w:eastAsia="Arial" w:hAnsi="Arial" w:cs="Arial"/>
          <w:color w:val="000000" w:themeColor="text1"/>
          <w:sz w:val="20"/>
        </w:rPr>
        <w:t xml:space="preserve">, 1794). Scholars have undertaken a number of investigations to explore the diversity of indigenous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species and their potential for combating significant plant pathogens (Kumar </w:t>
      </w:r>
      <w:r w:rsidRPr="00557543">
        <w:rPr>
          <w:rFonts w:ascii="Arial" w:eastAsia="Arial" w:hAnsi="Arial" w:cs="Arial"/>
          <w:i/>
          <w:color w:val="000000" w:themeColor="text1"/>
          <w:sz w:val="20"/>
        </w:rPr>
        <w:t>et al</w:t>
      </w:r>
      <w:r w:rsidRPr="00557543">
        <w:rPr>
          <w:rFonts w:ascii="Arial" w:eastAsia="Arial" w:hAnsi="Arial" w:cs="Arial"/>
          <w:color w:val="000000" w:themeColor="text1"/>
          <w:sz w:val="20"/>
        </w:rPr>
        <w:t xml:space="preserve">., 2012; </w:t>
      </w:r>
      <w:r w:rsidRPr="00557543">
        <w:rPr>
          <w:rFonts w:ascii="Arial" w:eastAsia="Arial" w:hAnsi="Arial" w:cs="Arial"/>
          <w:color w:val="000000" w:themeColor="text1"/>
          <w:sz w:val="20"/>
          <w:shd w:val="clear" w:color="auto" w:fill="FFFFFF"/>
        </w:rPr>
        <w:t>Devi</w:t>
      </w:r>
      <w:r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et al</w:t>
      </w:r>
      <w:r w:rsidRPr="00557543">
        <w:rPr>
          <w:rFonts w:ascii="Arial" w:eastAsia="Arial" w:hAnsi="Arial" w:cs="Arial"/>
          <w:color w:val="000000" w:themeColor="text1"/>
          <w:sz w:val="20"/>
        </w:rPr>
        <w:t xml:space="preserve">., 2021; </w:t>
      </w:r>
      <w:proofErr w:type="spellStart"/>
      <w:r w:rsidRPr="00557543">
        <w:rPr>
          <w:rFonts w:ascii="Arial" w:eastAsia="Arial" w:hAnsi="Arial" w:cs="Arial"/>
          <w:color w:val="000000" w:themeColor="text1"/>
          <w:sz w:val="20"/>
        </w:rPr>
        <w:t>Jambhulkar</w:t>
      </w:r>
      <w:proofErr w:type="spellEnd"/>
      <w:r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et al</w:t>
      </w:r>
      <w:r w:rsidRPr="00557543">
        <w:rPr>
          <w:rFonts w:ascii="Arial" w:eastAsia="Arial" w:hAnsi="Arial" w:cs="Arial"/>
          <w:color w:val="000000" w:themeColor="text1"/>
          <w:sz w:val="20"/>
        </w:rPr>
        <w:t xml:space="preserve">., 2024). </w:t>
      </w:r>
      <w:r w:rsidRPr="00557543">
        <w:rPr>
          <w:rFonts w:ascii="Arial" w:eastAsia="Arial" w:hAnsi="Arial" w:cs="Arial"/>
          <w:i/>
          <w:color w:val="000000" w:themeColor="text1"/>
          <w:sz w:val="20"/>
        </w:rPr>
        <w:t xml:space="preserve">Trichoderma </w:t>
      </w:r>
      <w:r w:rsidRPr="00557543">
        <w:rPr>
          <w:rFonts w:ascii="Arial" w:eastAsia="Arial" w:hAnsi="Arial" w:cs="Arial"/>
          <w:color w:val="000000" w:themeColor="text1"/>
          <w:sz w:val="20"/>
        </w:rPr>
        <w:t xml:space="preserve">is a global genus that consumes both decaying wood and plant matter. In a variety of settings,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species are frequently the dominating members of the soil microflora. This may be because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species have a wide range of metabolic capacities and are fiercely competitive. </w:t>
      </w:r>
      <w:r w:rsidR="00A600DD" w:rsidRPr="00557543">
        <w:rPr>
          <w:rFonts w:ascii="Arial" w:eastAsia="Arial" w:hAnsi="Arial" w:cs="Arial"/>
          <w:i/>
          <w:color w:val="000000" w:themeColor="text1"/>
          <w:sz w:val="20"/>
        </w:rPr>
        <w:t>Trichoderma</w:t>
      </w:r>
      <w:r w:rsidRPr="00557543">
        <w:rPr>
          <w:rFonts w:ascii="Arial" w:eastAsia="Arial" w:hAnsi="Arial" w:cs="Arial"/>
          <w:i/>
          <w:color w:val="000000" w:themeColor="text1"/>
          <w:sz w:val="20"/>
        </w:rPr>
        <w:t xml:space="preserve"> </w:t>
      </w:r>
      <w:proofErr w:type="spellStart"/>
      <w:r w:rsidRPr="00557543">
        <w:rPr>
          <w:rFonts w:ascii="Arial" w:eastAsia="Arial" w:hAnsi="Arial" w:cs="Arial"/>
          <w:i/>
          <w:color w:val="000000" w:themeColor="text1"/>
          <w:sz w:val="20"/>
        </w:rPr>
        <w:t>asperellum</w:t>
      </w:r>
      <w:proofErr w:type="spellEnd"/>
      <w:r w:rsidR="00A600DD"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atroviride</w:t>
      </w:r>
      <w:proofErr w:type="spellEnd"/>
      <w:r w:rsidR="00A600DD" w:rsidRPr="00557543">
        <w:rPr>
          <w:rFonts w:ascii="Arial" w:eastAsia="Arial" w:hAnsi="Arial" w:cs="Arial"/>
          <w:color w:val="000000" w:themeColor="text1"/>
          <w:sz w:val="20"/>
        </w:rPr>
        <w:t>,</w:t>
      </w:r>
      <w:r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harzianum</w:t>
      </w:r>
      <w:proofErr w:type="spellEnd"/>
      <w:r w:rsidR="00A600DD"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hamatum</w:t>
      </w:r>
      <w:proofErr w:type="spellEnd"/>
      <w:r w:rsidR="00A600DD"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koningii</w:t>
      </w:r>
      <w:proofErr w:type="spellEnd"/>
      <w:r w:rsidR="00A600DD" w:rsidRPr="00557543">
        <w:rPr>
          <w:rFonts w:ascii="Arial" w:eastAsia="Arial" w:hAnsi="Arial" w:cs="Arial"/>
          <w:color w:val="000000" w:themeColor="text1"/>
          <w:sz w:val="20"/>
        </w:rPr>
        <w:t xml:space="preserve">,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virens</w:t>
      </w:r>
      <w:proofErr w:type="spellEnd"/>
      <w:r w:rsidR="00A600DD" w:rsidRPr="00557543">
        <w:rPr>
          <w:rFonts w:ascii="Arial" w:eastAsia="Arial" w:hAnsi="Arial" w:cs="Arial"/>
          <w:color w:val="000000" w:themeColor="text1"/>
          <w:sz w:val="20"/>
        </w:rPr>
        <w:t xml:space="preserve"> and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viride</w:t>
      </w:r>
      <w:proofErr w:type="spellEnd"/>
      <w:r w:rsidRPr="00557543">
        <w:rPr>
          <w:rFonts w:ascii="Arial" w:eastAsia="Arial" w:hAnsi="Arial" w:cs="Arial"/>
          <w:color w:val="000000" w:themeColor="text1"/>
          <w:sz w:val="20"/>
        </w:rPr>
        <w:t xml:space="preserve"> are among the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species that can be found in nature.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species are well known biocontrol agents and have gained much attention for their ability to inhibit plant pathogens in many ways including competing with adversaries, killing them and producing antifungal metabolites. However, several factors affect the efficacy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as a biocontrol agent such as nutrient availability and compatibility with other </w:t>
      </w:r>
      <w:proofErr w:type="spellStart"/>
      <w:r w:rsidRPr="00557543">
        <w:rPr>
          <w:rFonts w:ascii="Arial" w:eastAsia="Arial" w:hAnsi="Arial" w:cs="Arial"/>
          <w:color w:val="000000" w:themeColor="text1"/>
          <w:sz w:val="20"/>
        </w:rPr>
        <w:t>agro</w:t>
      </w:r>
      <w:proofErr w:type="spellEnd"/>
      <w:r w:rsidRPr="00557543">
        <w:rPr>
          <w:rFonts w:ascii="Arial" w:eastAsia="Arial" w:hAnsi="Arial" w:cs="Arial"/>
          <w:color w:val="000000" w:themeColor="text1"/>
          <w:sz w:val="20"/>
        </w:rPr>
        <w:t xml:space="preserve"> input like fungicides. In order to explore the full potential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mediated bio products, optimization of nutrient media and compatibilities of fungicides should be done. Multiple scientists have noted that different strains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may tolerate different amounts of harsher chemical pesticides in the field (Silva </w:t>
      </w:r>
      <w:r w:rsidRPr="00557543">
        <w:rPr>
          <w:rFonts w:ascii="Arial" w:eastAsia="Arial" w:hAnsi="Arial" w:cs="Arial"/>
          <w:i/>
          <w:color w:val="000000" w:themeColor="text1"/>
          <w:sz w:val="20"/>
        </w:rPr>
        <w:t>et al</w:t>
      </w:r>
      <w:r w:rsidRPr="00557543">
        <w:rPr>
          <w:rFonts w:ascii="Arial" w:eastAsia="Arial" w:hAnsi="Arial" w:cs="Arial"/>
          <w:color w:val="000000" w:themeColor="text1"/>
          <w:sz w:val="20"/>
        </w:rPr>
        <w:t xml:space="preserve">., 2018). The present study was undertaken to evaluate the compatibility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with different fungicides commonly used in plant disease management under </w:t>
      </w:r>
      <w:r w:rsidRPr="00557543">
        <w:rPr>
          <w:rFonts w:ascii="Arial" w:eastAsia="Arial" w:hAnsi="Arial" w:cs="Arial"/>
          <w:i/>
          <w:color w:val="000000" w:themeColor="text1"/>
          <w:sz w:val="20"/>
        </w:rPr>
        <w:t>in vitro</w:t>
      </w:r>
      <w:r w:rsidRPr="00557543">
        <w:rPr>
          <w:rFonts w:ascii="Arial" w:eastAsia="Arial" w:hAnsi="Arial" w:cs="Arial"/>
          <w:color w:val="000000" w:themeColor="text1"/>
          <w:sz w:val="20"/>
        </w:rPr>
        <w:t xml:space="preserve"> conditions. For successful integration of Trichoderma in disease management programs, it is essential to identify fungicides that are compatible with the biocontrol agent, ensuring that chemical control does not inhibit the growth, survival, and antagonistic activity of Trichoderma in the rhizosphere. Fungicide-biological control agent compatibility studies are therefore crucial to develop effective integrated disease management (IDM) strategies that combine the quick action of fungicides with the long-term, sustainable effects of biocontrol agents. This study aimed to assess the impact of different concentrations of selected fungicides on the mycelial growth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to determine their compatibility, thereby providing </w:t>
      </w:r>
      <w:r w:rsidRPr="00557543">
        <w:rPr>
          <w:rFonts w:ascii="Arial" w:eastAsia="Arial" w:hAnsi="Arial" w:cs="Arial"/>
          <w:color w:val="000000" w:themeColor="text1"/>
          <w:sz w:val="20"/>
        </w:rPr>
        <w:lastRenderedPageBreak/>
        <w:t>insights for their integration into IDM strategies for sustainable and effective plant disease management.</w:t>
      </w:r>
    </w:p>
    <w:p w:rsidR="005B4297" w:rsidRPr="00557543" w:rsidRDefault="00767F5A">
      <w:pPr>
        <w:spacing w:after="0" w:line="240" w:lineRule="auto"/>
        <w:jc w:val="both"/>
        <w:rPr>
          <w:rFonts w:ascii="Arial" w:eastAsia="Arial" w:hAnsi="Arial" w:cs="Arial"/>
          <w:b/>
          <w:color w:val="000000" w:themeColor="text1"/>
        </w:rPr>
      </w:pPr>
      <w:r w:rsidRPr="00557543">
        <w:rPr>
          <w:rFonts w:ascii="Arial" w:eastAsia="Arial" w:hAnsi="Arial" w:cs="Arial"/>
          <w:b/>
          <w:color w:val="000000" w:themeColor="text1"/>
        </w:rPr>
        <w:t>Materials and Methods</w:t>
      </w:r>
    </w:p>
    <w:p w:rsidR="005B4297" w:rsidRPr="00557543" w:rsidRDefault="00767F5A">
      <w:pPr>
        <w:spacing w:before="120" w:after="0" w:line="240" w:lineRule="auto"/>
        <w:jc w:val="both"/>
        <w:rPr>
          <w:rFonts w:ascii="Arial" w:eastAsia="Arial" w:hAnsi="Arial" w:cs="Arial"/>
          <w:b/>
          <w:color w:val="000000" w:themeColor="text1"/>
        </w:rPr>
      </w:pPr>
      <w:r w:rsidRPr="00557543">
        <w:rPr>
          <w:rFonts w:ascii="Arial" w:eastAsia="Arial" w:hAnsi="Arial" w:cs="Arial"/>
          <w:b/>
          <w:i/>
          <w:color w:val="000000" w:themeColor="text1"/>
        </w:rPr>
        <w:t xml:space="preserve">In-vitro </w:t>
      </w:r>
      <w:r w:rsidRPr="00557543">
        <w:rPr>
          <w:rFonts w:ascii="Arial" w:eastAsia="Arial" w:hAnsi="Arial" w:cs="Arial"/>
          <w:b/>
          <w:color w:val="000000" w:themeColor="text1"/>
        </w:rPr>
        <w:t>compatibility</w:t>
      </w:r>
      <w:r w:rsidRPr="00557543">
        <w:rPr>
          <w:rFonts w:ascii="Arial" w:eastAsia="Arial" w:hAnsi="Arial" w:cs="Arial"/>
          <w:b/>
          <w:i/>
          <w:color w:val="000000" w:themeColor="text1"/>
        </w:rPr>
        <w:t xml:space="preserve"> </w:t>
      </w:r>
      <w:r w:rsidRPr="00557543">
        <w:rPr>
          <w:rFonts w:ascii="Arial" w:eastAsia="Arial" w:hAnsi="Arial" w:cs="Arial"/>
          <w:b/>
          <w:color w:val="000000" w:themeColor="text1"/>
        </w:rPr>
        <w:t xml:space="preserve">evaluation of fungicides with </w:t>
      </w:r>
      <w:r w:rsidR="007465CA" w:rsidRPr="00557543">
        <w:rPr>
          <w:rFonts w:ascii="Arial" w:eastAsia="Arial" w:hAnsi="Arial" w:cs="Arial"/>
          <w:b/>
          <w:color w:val="000000" w:themeColor="text1"/>
        </w:rPr>
        <w:t>Trichoderma</w:t>
      </w:r>
      <w:r w:rsidR="007465CA" w:rsidRPr="00557543">
        <w:rPr>
          <w:rFonts w:ascii="Arial" w:eastAsia="Arial" w:hAnsi="Arial" w:cs="Arial"/>
          <w:b/>
          <w:i/>
          <w:color w:val="000000" w:themeColor="text1"/>
        </w:rPr>
        <w:t xml:space="preserve"> </w:t>
      </w:r>
      <w:proofErr w:type="spellStart"/>
      <w:r w:rsidR="007465CA" w:rsidRPr="00557543">
        <w:rPr>
          <w:rFonts w:ascii="Arial" w:eastAsia="Arial" w:hAnsi="Arial" w:cs="Arial"/>
          <w:b/>
          <w:i/>
          <w:color w:val="000000" w:themeColor="text1"/>
        </w:rPr>
        <w:t>asperellum</w:t>
      </w:r>
      <w:proofErr w:type="spellEnd"/>
    </w:p>
    <w:p w:rsidR="005B4297" w:rsidRPr="00557543" w:rsidRDefault="00767F5A">
      <w:pPr>
        <w:tabs>
          <w:tab w:val="left" w:pos="3360"/>
        </w:tabs>
        <w:spacing w:after="0" w:line="240" w:lineRule="auto"/>
        <w:jc w:val="both"/>
        <w:rPr>
          <w:rFonts w:ascii="Arial" w:eastAsia="Arial" w:hAnsi="Arial" w:cs="Arial"/>
          <w:color w:val="000000" w:themeColor="text1"/>
          <w:sz w:val="20"/>
        </w:rPr>
      </w:pPr>
      <w:r w:rsidRPr="00557543">
        <w:rPr>
          <w:rFonts w:ascii="Arial" w:eastAsia="Arial" w:hAnsi="Arial" w:cs="Arial"/>
          <w:color w:val="000000" w:themeColor="text1"/>
          <w:sz w:val="24"/>
        </w:rPr>
        <w:t xml:space="preserve">        </w:t>
      </w:r>
      <w:r w:rsidR="007465CA" w:rsidRPr="00557543">
        <w:rPr>
          <w:rFonts w:ascii="Arial" w:eastAsia="Arial" w:hAnsi="Arial" w:cs="Arial"/>
          <w:color w:val="000000" w:themeColor="text1"/>
          <w:sz w:val="20"/>
        </w:rPr>
        <w:t xml:space="preserve">Compatibility </w:t>
      </w:r>
      <w:r w:rsidRPr="00557543">
        <w:rPr>
          <w:rFonts w:ascii="Arial" w:eastAsia="Arial" w:hAnsi="Arial" w:cs="Arial"/>
          <w:color w:val="000000" w:themeColor="text1"/>
          <w:sz w:val="20"/>
        </w:rPr>
        <w:t xml:space="preserve">of </w:t>
      </w:r>
      <w:r w:rsidRPr="00557543">
        <w:rPr>
          <w:rFonts w:ascii="Arial" w:eastAsia="Arial" w:hAnsi="Arial" w:cs="Arial"/>
          <w:i/>
          <w:color w:val="000000" w:themeColor="text1"/>
          <w:sz w:val="20"/>
        </w:rPr>
        <w:t xml:space="preserve">Trichoderma </w:t>
      </w:r>
      <w:proofErr w:type="spellStart"/>
      <w:r w:rsidR="007465CA" w:rsidRPr="00557543">
        <w:rPr>
          <w:rFonts w:ascii="Arial" w:eastAsia="Arial" w:hAnsi="Arial" w:cs="Arial"/>
          <w:i/>
          <w:color w:val="000000" w:themeColor="text1"/>
          <w:sz w:val="20"/>
        </w:rPr>
        <w:t>asperellum</w:t>
      </w:r>
      <w:proofErr w:type="spellEnd"/>
      <w:r w:rsidR="007465CA"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 xml:space="preserve">to </w:t>
      </w:r>
      <w:r w:rsidR="00964C45" w:rsidRPr="00557543">
        <w:rPr>
          <w:rFonts w:ascii="Arial" w:eastAsia="Arial" w:hAnsi="Arial" w:cs="Arial"/>
          <w:color w:val="000000" w:themeColor="text1"/>
          <w:sz w:val="20"/>
        </w:rPr>
        <w:t xml:space="preserve">nine </w:t>
      </w:r>
      <w:r w:rsidRPr="00557543">
        <w:rPr>
          <w:rFonts w:ascii="Arial" w:eastAsia="Arial" w:hAnsi="Arial" w:cs="Arial"/>
          <w:color w:val="000000" w:themeColor="text1"/>
          <w:sz w:val="20"/>
        </w:rPr>
        <w:t xml:space="preserve">selected fungicides were evaluated using poisoned food technique </w:t>
      </w:r>
      <w:r w:rsidR="00A600DD" w:rsidRPr="00557543">
        <w:rPr>
          <w:rFonts w:ascii="Arial" w:eastAsia="Arial" w:hAnsi="Arial" w:cs="Arial"/>
          <w:color w:val="000000" w:themeColor="text1"/>
          <w:sz w:val="20"/>
        </w:rPr>
        <w:t xml:space="preserve">at </w:t>
      </w:r>
      <w:r w:rsidRPr="00557543">
        <w:rPr>
          <w:rFonts w:ascii="Arial" w:eastAsia="Arial" w:hAnsi="Arial" w:cs="Arial"/>
          <w:color w:val="000000" w:themeColor="text1"/>
          <w:sz w:val="20"/>
        </w:rPr>
        <w:t xml:space="preserve">three different concentrations. </w:t>
      </w:r>
      <w:r w:rsidR="00A600DD" w:rsidRPr="00557543">
        <w:rPr>
          <w:rFonts w:ascii="Arial" w:eastAsia="Arial" w:hAnsi="Arial" w:cs="Arial"/>
          <w:color w:val="000000" w:themeColor="text1"/>
          <w:sz w:val="20"/>
        </w:rPr>
        <w:t>Fifty</w:t>
      </w:r>
      <w:r w:rsidRPr="00557543">
        <w:rPr>
          <w:rFonts w:ascii="Arial" w:eastAsia="Arial" w:hAnsi="Arial" w:cs="Arial"/>
          <w:color w:val="000000" w:themeColor="text1"/>
          <w:sz w:val="20"/>
        </w:rPr>
        <w:t xml:space="preserve"> ml </w:t>
      </w:r>
      <w:r w:rsidR="007465CA" w:rsidRPr="00557543">
        <w:rPr>
          <w:rFonts w:ascii="Arial" w:eastAsia="Arial" w:hAnsi="Arial" w:cs="Arial"/>
          <w:color w:val="000000" w:themeColor="text1"/>
          <w:sz w:val="20"/>
        </w:rPr>
        <w:t>PDA</w:t>
      </w:r>
      <w:r w:rsidRPr="00557543">
        <w:rPr>
          <w:rFonts w:ascii="Arial" w:eastAsia="Arial" w:hAnsi="Arial" w:cs="Arial"/>
          <w:color w:val="000000" w:themeColor="text1"/>
          <w:sz w:val="20"/>
        </w:rPr>
        <w:t xml:space="preserve"> was poured in Erlenmeyer flasks (250 ml capacity) and sterilized. The required concentrations of fungicides </w:t>
      </w:r>
      <w:proofErr w:type="gramStart"/>
      <w:r w:rsidRPr="00557543">
        <w:rPr>
          <w:rFonts w:ascii="Arial" w:eastAsia="Arial" w:hAnsi="Arial" w:cs="Arial"/>
          <w:color w:val="000000" w:themeColor="text1"/>
          <w:sz w:val="20"/>
        </w:rPr>
        <w:t>was</w:t>
      </w:r>
      <w:proofErr w:type="gramEnd"/>
      <w:r w:rsidRPr="00557543">
        <w:rPr>
          <w:rFonts w:ascii="Arial" w:eastAsia="Arial" w:hAnsi="Arial" w:cs="Arial"/>
          <w:color w:val="000000" w:themeColor="text1"/>
          <w:sz w:val="20"/>
        </w:rPr>
        <w:t xml:space="preserve"> prepared and finally made to 50 ml volume for each concentration with the help of sterile distilled water and mixed with 50 ml PDA in each flask aseptically. This made a final volume of 100 ml in each flask.</w:t>
      </w:r>
    </w:p>
    <w:p w:rsidR="005B4297" w:rsidRPr="00557543" w:rsidRDefault="00A600DD" w:rsidP="00964C45">
      <w:pPr>
        <w:tabs>
          <w:tab w:val="left" w:pos="450"/>
          <w:tab w:val="left" w:pos="540"/>
          <w:tab w:val="left" w:pos="3360"/>
        </w:tabs>
        <w:spacing w:after="0" w:line="240" w:lineRule="auto"/>
        <w:ind w:firstLine="576"/>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Twenty ml PDA </w:t>
      </w:r>
      <w:r w:rsidR="00767F5A" w:rsidRPr="00557543">
        <w:rPr>
          <w:rFonts w:ascii="Arial" w:eastAsia="Arial" w:hAnsi="Arial" w:cs="Arial"/>
          <w:color w:val="000000" w:themeColor="text1"/>
          <w:sz w:val="20"/>
        </w:rPr>
        <w:t xml:space="preserve">was poured in Petri dishes (90 mm diameter) and allowed to solidify. After solidification, plates were centrally inoculated with mycelia disk (6mm) cut from 3 days old culture of </w:t>
      </w:r>
      <w:r w:rsidR="00767F5A"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i/>
          <w:color w:val="000000" w:themeColor="text1"/>
          <w:sz w:val="20"/>
        </w:rPr>
        <w:t>.</w:t>
      </w:r>
      <w:r w:rsidR="00767F5A" w:rsidRPr="00557543">
        <w:rPr>
          <w:rFonts w:ascii="Arial" w:eastAsia="Arial" w:hAnsi="Arial" w:cs="Arial"/>
          <w:color w:val="000000" w:themeColor="text1"/>
          <w:sz w:val="20"/>
        </w:rPr>
        <w:t xml:space="preserve"> Three replications will be kept for each ten treatments along with control in CRD design where no chemical was added. Petri dishes were incubated at 28±1° C till the control plates will full with fungal growth. The linear growth of the colony was measured in two directions at right angles to each other. </w:t>
      </w:r>
    </w:p>
    <w:p w:rsidR="005B4297" w:rsidRPr="00557543" w:rsidRDefault="00767F5A">
      <w:pPr>
        <w:spacing w:after="120" w:line="240" w:lineRule="auto"/>
        <w:jc w:val="both"/>
        <w:rPr>
          <w:rFonts w:ascii="Arial" w:eastAsia="Arial" w:hAnsi="Arial" w:cs="Arial"/>
          <w:b/>
          <w:color w:val="000000" w:themeColor="text1"/>
        </w:rPr>
      </w:pPr>
      <w:r w:rsidRPr="00557543">
        <w:rPr>
          <w:rFonts w:ascii="Arial" w:eastAsia="Arial" w:hAnsi="Arial" w:cs="Arial"/>
          <w:b/>
          <w:color w:val="000000" w:themeColor="text1"/>
        </w:rPr>
        <w:t>Observation recorded</w:t>
      </w:r>
    </w:p>
    <w:p w:rsidR="005B4297" w:rsidRPr="00557543" w:rsidRDefault="00767F5A">
      <w:pPr>
        <w:spacing w:after="120" w:line="240" w:lineRule="auto"/>
        <w:ind w:firstLine="71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 In poisoned medium the radial growth of </w:t>
      </w:r>
      <w:r w:rsidRPr="00557543">
        <w:rPr>
          <w:rFonts w:ascii="Arial" w:eastAsia="Arial" w:hAnsi="Arial" w:cs="Arial"/>
          <w:i/>
          <w:color w:val="000000" w:themeColor="text1"/>
          <w:sz w:val="20"/>
        </w:rPr>
        <w:t xml:space="preserve">Trichoderma </w:t>
      </w:r>
      <w:proofErr w:type="spellStart"/>
      <w:r w:rsidR="007465CA" w:rsidRPr="00557543">
        <w:rPr>
          <w:rFonts w:ascii="Arial" w:eastAsia="Arial" w:hAnsi="Arial" w:cs="Arial"/>
          <w:i/>
          <w:color w:val="000000" w:themeColor="text1"/>
          <w:sz w:val="20"/>
        </w:rPr>
        <w:t>asperellum</w:t>
      </w:r>
      <w:proofErr w:type="spellEnd"/>
      <w:r w:rsidR="007465CA"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was recorded at the time when mycelial growth reached 90 mm in control. Per</w:t>
      </w:r>
      <w:r w:rsidR="007465CA"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 xml:space="preserve">cent inhibition of mycelial growth of the fungus was calculated by using the formula described by Vincent (Vincent, 1947). The data were </w:t>
      </w:r>
      <w:proofErr w:type="spellStart"/>
      <w:r w:rsidRPr="00557543">
        <w:rPr>
          <w:rFonts w:ascii="Arial" w:eastAsia="Arial" w:hAnsi="Arial" w:cs="Arial"/>
          <w:color w:val="000000" w:themeColor="text1"/>
          <w:sz w:val="20"/>
        </w:rPr>
        <w:t>analyzed</w:t>
      </w:r>
      <w:proofErr w:type="spellEnd"/>
      <w:r w:rsidRPr="00557543">
        <w:rPr>
          <w:rFonts w:ascii="Arial" w:eastAsia="Arial" w:hAnsi="Arial" w:cs="Arial"/>
          <w:color w:val="000000" w:themeColor="text1"/>
          <w:sz w:val="20"/>
        </w:rPr>
        <w:t xml:space="preserve"> statistically.</w:t>
      </w:r>
    </w:p>
    <w:p w:rsidR="005B4297" w:rsidRPr="00557543" w:rsidRDefault="007465CA">
      <w:pPr>
        <w:tabs>
          <w:tab w:val="left" w:pos="3360"/>
        </w:tabs>
        <w:spacing w:after="120" w:line="240" w:lineRule="auto"/>
        <w:ind w:firstLine="710"/>
        <w:jc w:val="center"/>
        <w:rPr>
          <w:rFonts w:ascii="Arial" w:eastAsia="Arial" w:hAnsi="Arial" w:cs="Arial"/>
          <w:color w:val="000000" w:themeColor="text1"/>
          <w:sz w:val="20"/>
        </w:rPr>
      </w:pPr>
      <m:oMathPara>
        <m:oMath>
          <m:r>
            <m:rPr>
              <m:sty m:val="p"/>
            </m:rPr>
            <w:rPr>
              <w:rFonts w:ascii="Cambria Math" w:hAnsi="Cambria Math" w:cs="Arial"/>
              <w:color w:val="000000" w:themeColor="text1"/>
              <w:sz w:val="20"/>
              <w:lang w:val="en-US" w:eastAsia="en-US"/>
            </w:rPr>
            <m:t xml:space="preserve">I= </m:t>
          </m:r>
          <m:f>
            <m:fPr>
              <m:ctrlPr>
                <w:rPr>
                  <w:rFonts w:ascii="Cambria Math" w:hAnsi="Cambria Math" w:cs="Arial"/>
                  <w:bCs/>
                  <w:iCs/>
                  <w:color w:val="000000" w:themeColor="text1"/>
                  <w:sz w:val="20"/>
                  <w:lang w:val="en-US" w:eastAsia="en-US"/>
                </w:rPr>
              </m:ctrlPr>
            </m:fPr>
            <m:num>
              <m:r>
                <m:rPr>
                  <m:sty m:val="p"/>
                </m:rPr>
                <w:rPr>
                  <w:rFonts w:ascii="Cambria Math" w:hAnsi="Cambria Math" w:cs="Arial"/>
                  <w:color w:val="000000" w:themeColor="text1"/>
                  <w:sz w:val="20"/>
                  <w:lang w:val="en-US" w:eastAsia="en-US"/>
                </w:rPr>
                <m:t>C-T</m:t>
              </m:r>
            </m:num>
            <m:den>
              <m:r>
                <m:rPr>
                  <m:sty m:val="p"/>
                </m:rPr>
                <w:rPr>
                  <w:rFonts w:ascii="Cambria Math" w:hAnsi="Cambria Math" w:cs="Arial"/>
                  <w:color w:val="000000" w:themeColor="text1"/>
                  <w:sz w:val="20"/>
                  <w:lang w:val="en-US" w:eastAsia="en-US"/>
                </w:rPr>
                <m:t>C</m:t>
              </m:r>
            </m:den>
          </m:f>
          <m:r>
            <w:rPr>
              <w:rFonts w:ascii="Cambria Math" w:hAnsi="Cambria Math" w:cs="Arial"/>
              <w:color w:val="000000" w:themeColor="text1"/>
              <w:sz w:val="20"/>
              <w:lang w:val="en-US" w:eastAsia="en-US"/>
            </w:rPr>
            <m:t>×100</m:t>
          </m:r>
        </m:oMath>
      </m:oMathPara>
    </w:p>
    <w:p w:rsidR="005B4297" w:rsidRPr="00557543" w:rsidRDefault="00767F5A">
      <w:pPr>
        <w:tabs>
          <w:tab w:val="left" w:pos="3360"/>
        </w:tabs>
        <w:spacing w:after="120" w:line="240" w:lineRule="auto"/>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Where, </w:t>
      </w:r>
      <w:r w:rsidRPr="00557543">
        <w:rPr>
          <w:rFonts w:ascii="Arial" w:eastAsia="Arial" w:hAnsi="Arial" w:cs="Arial"/>
          <w:color w:val="000000" w:themeColor="text1"/>
          <w:sz w:val="20"/>
        </w:rPr>
        <w:tab/>
      </w:r>
    </w:p>
    <w:p w:rsidR="005B4297" w:rsidRPr="00557543" w:rsidRDefault="00767F5A">
      <w:pPr>
        <w:tabs>
          <w:tab w:val="left" w:pos="720"/>
          <w:tab w:val="left" w:pos="900"/>
          <w:tab w:val="left" w:pos="2880"/>
          <w:tab w:val="left" w:pos="3360"/>
        </w:tabs>
        <w:spacing w:after="0" w:line="240" w:lineRule="auto"/>
        <w:jc w:val="both"/>
        <w:rPr>
          <w:rFonts w:ascii="Arial" w:eastAsia="Arial" w:hAnsi="Arial" w:cs="Arial"/>
          <w:color w:val="000000" w:themeColor="text1"/>
          <w:sz w:val="20"/>
        </w:rPr>
      </w:pPr>
      <w:r w:rsidRPr="00557543">
        <w:rPr>
          <w:rFonts w:ascii="Arial" w:eastAsia="Arial" w:hAnsi="Arial" w:cs="Arial"/>
          <w:color w:val="000000" w:themeColor="text1"/>
          <w:sz w:val="20"/>
        </w:rPr>
        <w:tab/>
        <w:t>I = Per</w:t>
      </w:r>
      <w:r w:rsidR="007465CA"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 xml:space="preserve">cent inhibition, </w:t>
      </w:r>
      <w:r w:rsidRPr="00557543">
        <w:rPr>
          <w:rFonts w:ascii="Arial" w:eastAsia="Arial" w:hAnsi="Arial" w:cs="Arial"/>
          <w:color w:val="000000" w:themeColor="text1"/>
          <w:sz w:val="20"/>
        </w:rPr>
        <w:tab/>
      </w:r>
    </w:p>
    <w:p w:rsidR="005B4297" w:rsidRPr="00557543" w:rsidRDefault="00767F5A">
      <w:pPr>
        <w:tabs>
          <w:tab w:val="left" w:pos="720"/>
        </w:tabs>
        <w:spacing w:after="0" w:line="240" w:lineRule="auto"/>
        <w:jc w:val="both"/>
        <w:rPr>
          <w:rFonts w:ascii="Arial" w:eastAsia="Arial" w:hAnsi="Arial" w:cs="Arial"/>
          <w:color w:val="000000" w:themeColor="text1"/>
          <w:sz w:val="20"/>
        </w:rPr>
      </w:pPr>
      <w:r w:rsidRPr="00557543">
        <w:rPr>
          <w:rFonts w:ascii="Arial" w:eastAsia="Arial" w:hAnsi="Arial" w:cs="Arial"/>
          <w:color w:val="000000" w:themeColor="text1"/>
          <w:sz w:val="20"/>
        </w:rPr>
        <w:tab/>
        <w:t xml:space="preserve">C = Average radial growth in control, </w:t>
      </w:r>
    </w:p>
    <w:p w:rsidR="005B4297" w:rsidRPr="00557543" w:rsidRDefault="00767F5A">
      <w:pPr>
        <w:spacing w:after="160" w:line="240" w:lineRule="auto"/>
        <w:rPr>
          <w:rFonts w:ascii="Arial" w:eastAsia="Arial" w:hAnsi="Arial" w:cs="Arial"/>
          <w:color w:val="000000" w:themeColor="text1"/>
          <w:sz w:val="20"/>
        </w:rPr>
      </w:pPr>
      <w:r w:rsidRPr="00557543">
        <w:rPr>
          <w:rFonts w:ascii="Arial" w:eastAsia="Arial" w:hAnsi="Arial" w:cs="Arial"/>
          <w:color w:val="000000" w:themeColor="text1"/>
          <w:sz w:val="20"/>
        </w:rPr>
        <w:tab/>
        <w:t>T = Average radial growth in treated (fungicide)</w:t>
      </w:r>
      <w:r w:rsidRPr="00557543">
        <w:rPr>
          <w:rFonts w:ascii="Arial" w:eastAsia="Arial" w:hAnsi="Arial" w:cs="Arial"/>
          <w:color w:val="000000" w:themeColor="text1"/>
          <w:sz w:val="20"/>
        </w:rPr>
        <w:tab/>
      </w:r>
    </w:p>
    <w:p w:rsidR="005B4297" w:rsidRPr="00557543" w:rsidRDefault="00767F5A">
      <w:pPr>
        <w:tabs>
          <w:tab w:val="left" w:pos="7524"/>
        </w:tabs>
        <w:spacing w:after="0" w:line="240" w:lineRule="auto"/>
        <w:jc w:val="both"/>
        <w:rPr>
          <w:rFonts w:ascii="Arial" w:eastAsia="Arial" w:hAnsi="Arial" w:cs="Arial"/>
          <w:b/>
          <w:color w:val="000000" w:themeColor="text1"/>
          <w:sz w:val="20"/>
        </w:rPr>
      </w:pPr>
      <w:r w:rsidRPr="00557543">
        <w:rPr>
          <w:rFonts w:ascii="Arial" w:eastAsia="Arial" w:hAnsi="Arial" w:cs="Arial"/>
          <w:b/>
          <w:color w:val="000000" w:themeColor="text1"/>
          <w:sz w:val="20"/>
        </w:rPr>
        <w:t>Results</w:t>
      </w:r>
      <w:r w:rsidRPr="00557543">
        <w:rPr>
          <w:rFonts w:ascii="Arial" w:eastAsia="Arial" w:hAnsi="Arial" w:cs="Arial"/>
          <w:b/>
          <w:color w:val="000000" w:themeColor="text1"/>
          <w:sz w:val="20"/>
        </w:rPr>
        <w:tab/>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The compatibility of nine fungicides was assessed under </w:t>
      </w:r>
      <w:r w:rsidRPr="00557543">
        <w:rPr>
          <w:rFonts w:ascii="Arial" w:eastAsia="Arial" w:hAnsi="Arial" w:cs="Arial"/>
          <w:i/>
          <w:color w:val="000000" w:themeColor="text1"/>
          <w:sz w:val="20"/>
        </w:rPr>
        <w:t>in vitro</w:t>
      </w:r>
      <w:r w:rsidRPr="00557543">
        <w:rPr>
          <w:rFonts w:ascii="Arial" w:eastAsia="Arial" w:hAnsi="Arial" w:cs="Arial"/>
          <w:color w:val="000000" w:themeColor="text1"/>
          <w:sz w:val="20"/>
        </w:rPr>
        <w:t xml:space="preserve"> condition at three different concentrations with </w:t>
      </w:r>
      <w:r w:rsidR="00964C45" w:rsidRPr="00557543">
        <w:rPr>
          <w:rFonts w:ascii="Arial" w:eastAsia="Arial" w:hAnsi="Arial" w:cs="Arial"/>
          <w:i/>
          <w:color w:val="000000" w:themeColor="text1"/>
          <w:sz w:val="20"/>
        </w:rPr>
        <w:t>Trichoderma</w:t>
      </w:r>
      <w:r w:rsidRPr="00557543">
        <w:rPr>
          <w:rFonts w:ascii="Arial" w:eastAsia="Arial" w:hAnsi="Arial" w:cs="Arial"/>
          <w:i/>
          <w:color w:val="000000" w:themeColor="text1"/>
          <w:sz w:val="20"/>
        </w:rPr>
        <w:t xml:space="preserve">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on PDA medium by following standard procedure of poisoned food technique as mentioned in Materials and Methods. Among the tested fungicides, </w:t>
      </w:r>
      <w:proofErr w:type="spellStart"/>
      <w:r w:rsidRPr="00557543">
        <w:rPr>
          <w:rFonts w:ascii="Arial" w:eastAsia="Arial" w:hAnsi="Arial" w:cs="Arial"/>
          <w:color w:val="000000" w:themeColor="text1"/>
          <w:sz w:val="20"/>
        </w:rPr>
        <w:t>Metalaxyl</w:t>
      </w:r>
      <w:proofErr w:type="spellEnd"/>
      <w:r w:rsidRPr="00557543">
        <w:rPr>
          <w:rFonts w:ascii="Arial" w:eastAsia="Arial" w:hAnsi="Arial" w:cs="Arial"/>
          <w:color w:val="000000" w:themeColor="text1"/>
          <w:sz w:val="20"/>
        </w:rPr>
        <w:t xml:space="preserve"> 35% SD, Mancozeb 75% WP, and Copper oxychloride 50% WP at concentrations of 250, 500, and 750 ppm exhibited compatibility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allowing substantial growth of the isolate across all concentrations, thereby indicating their safe use in integrated disease management strategies, where </w:t>
      </w:r>
      <w:r w:rsidRPr="00557543">
        <w:rPr>
          <w:rFonts w:ascii="Arial" w:eastAsia="Arial" w:hAnsi="Arial" w:cs="Arial"/>
          <w:i/>
          <w:color w:val="000000" w:themeColor="text1"/>
          <w:sz w:val="20"/>
        </w:rPr>
        <w:t>Trichoderma</w:t>
      </w:r>
      <w:r w:rsidR="00964C45" w:rsidRPr="00557543">
        <w:rPr>
          <w:rFonts w:ascii="Arial" w:eastAsia="Arial" w:hAnsi="Arial" w:cs="Arial"/>
          <w:i/>
          <w:color w:val="000000" w:themeColor="text1"/>
          <w:sz w:val="20"/>
        </w:rPr>
        <w:t xml:space="preserve"> </w:t>
      </w:r>
      <w:proofErr w:type="spellStart"/>
      <w:r w:rsidR="00964C45"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is employed as a biocontrol agent. Similarly, Thiram 75% WP and the combination formulation of Thiram 37.5% + Carboxin 37.5% 75 WS at lower concentration</w:t>
      </w:r>
      <w:r w:rsidR="00964C45"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 xml:space="preserve">(50 ppm) and higher concentrations (100 and 200 ppm) were also found to be compatible, suggesting that seed treatments or soil applications involving these fungicides may not negatively affect the establishment and activity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in the field.</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Conversely, Carbendazim 50% WP, Carbendazim 12% + Mancozeb 63% WP, Hexaconazole 5% SC, and Tebuconazole 25.9% w/w EC were observed to be incompatible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at all tested concentrations. The fungicides in this group resulted in significant inhibition of the radial mycelial growth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as depicted in Table (1) and Plate (1), indicating that these fungicides suppress the growth of the biocontrol agent, which could limit its field effectiveness if used simultaneously or in close succession with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applications.</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Furthermore, a clear dose-dependent trend was noted, wherein an increase in fungicide concentration corresponded with increased inhibition of mycelial growth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across most fungicides, underlining the concentration sensitivity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to chemical fungicides. These findings underscore the importance of careful selection of compatible fungicides while integrating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in disease management programs to avoid antagonism between chemical control and biological control measures.</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Overall, the study provides critical insights for the development of integrated disease management practices, emphasizing that </w:t>
      </w:r>
      <w:proofErr w:type="spellStart"/>
      <w:r w:rsidRPr="00557543">
        <w:rPr>
          <w:rFonts w:ascii="Arial" w:eastAsia="Arial" w:hAnsi="Arial" w:cs="Arial"/>
          <w:color w:val="000000" w:themeColor="text1"/>
          <w:sz w:val="20"/>
        </w:rPr>
        <w:t>Metalaxyl</w:t>
      </w:r>
      <w:proofErr w:type="spellEnd"/>
      <w:r w:rsidRPr="00557543">
        <w:rPr>
          <w:rFonts w:ascii="Arial" w:eastAsia="Arial" w:hAnsi="Arial" w:cs="Arial"/>
          <w:color w:val="000000" w:themeColor="text1"/>
          <w:sz w:val="20"/>
        </w:rPr>
        <w:t xml:space="preserve">, Mancozeb, Copper oxychloride, and Thiram-based fungicides can be safely used in combination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while caution should be </w:t>
      </w:r>
      <w:r w:rsidRPr="00557543">
        <w:rPr>
          <w:rFonts w:ascii="Arial" w:eastAsia="Arial" w:hAnsi="Arial" w:cs="Arial"/>
          <w:color w:val="000000" w:themeColor="text1"/>
          <w:sz w:val="20"/>
        </w:rPr>
        <w:lastRenderedPageBreak/>
        <w:t>exercised with Carbendazim, Carbendazim + Mancozeb, Hexaconazole, and Tebuconazole to prevent potential suppression of biocontrol activity in the field</w:t>
      </w:r>
      <w:r w:rsidR="007465CA" w:rsidRPr="00557543">
        <w:rPr>
          <w:rFonts w:ascii="Arial" w:eastAsia="Arial" w:hAnsi="Arial" w:cs="Arial"/>
          <w:color w:val="000000" w:themeColor="text1"/>
          <w:sz w:val="20"/>
        </w:rPr>
        <w:t xml:space="preserve"> against soil borne pathogens.</w:t>
      </w:r>
    </w:p>
    <w:p w:rsidR="005B4297" w:rsidRPr="00557543" w:rsidRDefault="00767F5A">
      <w:pPr>
        <w:tabs>
          <w:tab w:val="left" w:pos="720"/>
          <w:tab w:val="left" w:pos="1440"/>
          <w:tab w:val="left" w:pos="2160"/>
          <w:tab w:val="center" w:pos="4873"/>
        </w:tabs>
        <w:spacing w:before="120" w:after="160" w:line="240" w:lineRule="auto"/>
        <w:jc w:val="both"/>
        <w:rPr>
          <w:rFonts w:ascii="Arial" w:eastAsia="Arial" w:hAnsi="Arial" w:cs="Arial"/>
          <w:b/>
          <w:color w:val="000000" w:themeColor="text1"/>
        </w:rPr>
      </w:pPr>
      <w:r w:rsidRPr="00557543">
        <w:rPr>
          <w:rFonts w:ascii="Arial" w:eastAsia="Arial" w:hAnsi="Arial" w:cs="Arial"/>
          <w:b/>
          <w:color w:val="000000" w:themeColor="text1"/>
        </w:rPr>
        <w:t>Discussion</w:t>
      </w:r>
      <w:r w:rsidRPr="00557543">
        <w:rPr>
          <w:rFonts w:ascii="Arial" w:eastAsia="Arial" w:hAnsi="Arial" w:cs="Arial"/>
          <w:b/>
          <w:color w:val="000000" w:themeColor="text1"/>
        </w:rPr>
        <w:tab/>
      </w:r>
      <w:r w:rsidRPr="00557543">
        <w:rPr>
          <w:rFonts w:ascii="Arial" w:eastAsia="Arial" w:hAnsi="Arial" w:cs="Arial"/>
          <w:b/>
          <w:color w:val="000000" w:themeColor="text1"/>
        </w:rPr>
        <w:tab/>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The present investigation revealed that among the nine fungicides tested for compatibility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t>
      </w:r>
      <w:proofErr w:type="spellStart"/>
      <w:r w:rsidRPr="00557543">
        <w:rPr>
          <w:rFonts w:ascii="Arial" w:eastAsia="Arial" w:hAnsi="Arial" w:cs="Arial"/>
          <w:color w:val="000000" w:themeColor="text1"/>
          <w:sz w:val="20"/>
        </w:rPr>
        <w:t>Metalaxyl</w:t>
      </w:r>
      <w:proofErr w:type="spellEnd"/>
      <w:r w:rsidRPr="00557543">
        <w:rPr>
          <w:rFonts w:ascii="Arial" w:eastAsia="Arial" w:hAnsi="Arial" w:cs="Arial"/>
          <w:color w:val="000000" w:themeColor="text1"/>
          <w:sz w:val="20"/>
        </w:rPr>
        <w:t xml:space="preserve"> 35% SD and Mancozeb 75% WP at 250, 500, and 750 ppm exhibited high compatibility, showing colony diameters of 90.00, 44.67, 23.00 mm and 90.00, 80.00, 20.33 mm, respectively. Thiram 75% WP at 50, 100, and 200 ppm also showed high compatibility, maintaining colony diameters of 90.00, 78.67, and </w:t>
      </w:r>
      <w:r w:rsidR="00964C45" w:rsidRPr="00557543">
        <w:rPr>
          <w:rFonts w:ascii="Arial" w:eastAsia="Arial" w:hAnsi="Arial" w:cs="Arial"/>
          <w:color w:val="000000" w:themeColor="text1"/>
          <w:sz w:val="20"/>
        </w:rPr>
        <w:t>22.00 mm</w:t>
      </w:r>
      <w:r w:rsidRPr="00557543">
        <w:rPr>
          <w:rFonts w:ascii="Arial" w:eastAsia="Arial" w:hAnsi="Arial" w:cs="Arial"/>
          <w:color w:val="000000" w:themeColor="text1"/>
          <w:sz w:val="20"/>
        </w:rPr>
        <w:t xml:space="preserve">, respectively, followed by Copper oxychloride 50% WP (90.00, 24.33, 15.67 mm) and Thiram 37.5% + Carboxin 37.5% 75 WS (90.00, 23.67, 21.00 mm). The results clearly indicated that the mycelial growth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decreased with an increase in the concentration of fungicides, emphasizing a concentration-dependent relationship.</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These findings </w:t>
      </w:r>
      <w:proofErr w:type="gramStart"/>
      <w:r w:rsidRPr="00557543">
        <w:rPr>
          <w:rFonts w:ascii="Arial" w:eastAsia="Arial" w:hAnsi="Arial" w:cs="Arial"/>
          <w:color w:val="000000" w:themeColor="text1"/>
          <w:sz w:val="20"/>
        </w:rPr>
        <w:t>are in agreement</w:t>
      </w:r>
      <w:proofErr w:type="gramEnd"/>
      <w:r w:rsidRPr="00557543">
        <w:rPr>
          <w:rFonts w:ascii="Arial" w:eastAsia="Arial" w:hAnsi="Arial" w:cs="Arial"/>
          <w:color w:val="000000" w:themeColor="text1"/>
          <w:sz w:val="20"/>
        </w:rPr>
        <w:t xml:space="preserve"> with earlier studies where compatibility of Trichoderma </w:t>
      </w:r>
      <w:proofErr w:type="spellStart"/>
      <w:r w:rsidR="00964C45" w:rsidRPr="00557543">
        <w:rPr>
          <w:rFonts w:ascii="Arial" w:eastAsia="Arial" w:hAnsi="Arial" w:cs="Arial"/>
          <w:color w:val="000000" w:themeColor="text1"/>
          <w:sz w:val="20"/>
        </w:rPr>
        <w:t>asperellum</w:t>
      </w:r>
      <w:proofErr w:type="spellEnd"/>
      <w:r w:rsidR="00964C45"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with Mancozeb and Copper oxychloride (</w:t>
      </w:r>
      <w:proofErr w:type="spellStart"/>
      <w:r w:rsidRPr="00557543">
        <w:rPr>
          <w:rFonts w:ascii="Arial" w:eastAsia="Arial" w:hAnsi="Arial" w:cs="Arial"/>
          <w:color w:val="000000" w:themeColor="text1"/>
          <w:sz w:val="20"/>
        </w:rPr>
        <w:t>Bagwan</w:t>
      </w:r>
      <w:proofErr w:type="spellEnd"/>
      <w:r w:rsidRPr="00557543">
        <w:rPr>
          <w:rFonts w:ascii="Arial" w:eastAsia="Arial" w:hAnsi="Arial" w:cs="Arial"/>
          <w:color w:val="000000" w:themeColor="text1"/>
          <w:sz w:val="20"/>
        </w:rPr>
        <w:t xml:space="preserve">, 2010; </w:t>
      </w:r>
      <w:proofErr w:type="spellStart"/>
      <w:r w:rsidRPr="00557543">
        <w:rPr>
          <w:rFonts w:ascii="Arial" w:eastAsia="Arial" w:hAnsi="Arial" w:cs="Arial"/>
          <w:color w:val="000000" w:themeColor="text1"/>
          <w:sz w:val="20"/>
        </w:rPr>
        <w:t>Ranganathaswamy</w:t>
      </w:r>
      <w:proofErr w:type="spellEnd"/>
      <w:r w:rsidRPr="00557543">
        <w:rPr>
          <w:rFonts w:ascii="Arial" w:eastAsia="Arial" w:hAnsi="Arial" w:cs="Arial"/>
          <w:color w:val="000000" w:themeColor="text1"/>
          <w:sz w:val="20"/>
        </w:rPr>
        <w:t xml:space="preserve"> et al., 2012). Recently, </w:t>
      </w:r>
      <w:proofErr w:type="spellStart"/>
      <w:r w:rsidRPr="00557543">
        <w:rPr>
          <w:rFonts w:ascii="Arial" w:eastAsia="Arial" w:hAnsi="Arial" w:cs="Arial"/>
          <w:color w:val="000000" w:themeColor="text1"/>
          <w:sz w:val="20"/>
        </w:rPr>
        <w:t>Sumiya</w:t>
      </w:r>
      <w:proofErr w:type="spellEnd"/>
      <w:r w:rsidRPr="00557543">
        <w:rPr>
          <w:rFonts w:ascii="Arial" w:eastAsia="Arial" w:hAnsi="Arial" w:cs="Arial"/>
          <w:color w:val="000000" w:themeColor="text1"/>
          <w:sz w:val="20"/>
        </w:rPr>
        <w:t xml:space="preserve"> et al. (2024) reported the compatibility of Mancozeb with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spp., supporting the present results. The compatibility of Thiram and Thiram + Carboxin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found in this study is consistent with the observations of Rajesh et al. (2023), further strengthening the practical feasibility of using these fungicides in combination with </w:t>
      </w:r>
      <w:r w:rsidRPr="00557543">
        <w:rPr>
          <w:rFonts w:ascii="Arial" w:eastAsia="Arial" w:hAnsi="Arial" w:cs="Arial"/>
          <w:i/>
          <w:color w:val="000000" w:themeColor="text1"/>
          <w:sz w:val="20"/>
        </w:rPr>
        <w:t xml:space="preserve">Trichoderma </w:t>
      </w:r>
      <w:proofErr w:type="spellStart"/>
      <w:r w:rsidR="00964C45" w:rsidRPr="00557543">
        <w:rPr>
          <w:rFonts w:ascii="Arial" w:eastAsia="Arial" w:hAnsi="Arial" w:cs="Arial"/>
          <w:i/>
          <w:color w:val="000000" w:themeColor="text1"/>
          <w:sz w:val="20"/>
        </w:rPr>
        <w:t>asperellum</w:t>
      </w:r>
      <w:proofErr w:type="spellEnd"/>
      <w:r w:rsidR="00964C45"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 xml:space="preserve">in integrated disease management. In contrast, the systemic fungicides Carbendazim 50% WP, Carbendazim 12% + Mancozeb 63% WP, Tebuconazole 25.9% w/w EC, and Hexaconazole 5% SC exhibited complete incompatibility at all tested concentrations, leading to substantial suppression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growth. These findings corroborate the results reported by Bindu et al. (2011), </w:t>
      </w:r>
      <w:proofErr w:type="spellStart"/>
      <w:r w:rsidRPr="00557543">
        <w:rPr>
          <w:rFonts w:ascii="Arial" w:eastAsia="Arial" w:hAnsi="Arial" w:cs="Arial"/>
          <w:color w:val="000000" w:themeColor="text1"/>
          <w:sz w:val="20"/>
        </w:rPr>
        <w:t>Maheshwary</w:t>
      </w:r>
      <w:proofErr w:type="spellEnd"/>
      <w:r w:rsidRPr="00557543">
        <w:rPr>
          <w:rFonts w:ascii="Arial" w:eastAsia="Arial" w:hAnsi="Arial" w:cs="Arial"/>
          <w:color w:val="000000" w:themeColor="text1"/>
          <w:sz w:val="20"/>
        </w:rPr>
        <w:t xml:space="preserve"> (2020), and </w:t>
      </w:r>
      <w:proofErr w:type="spellStart"/>
      <w:r w:rsidRPr="00557543">
        <w:rPr>
          <w:rFonts w:ascii="Arial" w:eastAsia="Arial" w:hAnsi="Arial" w:cs="Arial"/>
          <w:color w:val="000000" w:themeColor="text1"/>
          <w:sz w:val="20"/>
        </w:rPr>
        <w:t>Khore</w:t>
      </w:r>
      <w:proofErr w:type="spellEnd"/>
      <w:r w:rsidRPr="00557543">
        <w:rPr>
          <w:rFonts w:ascii="Arial" w:eastAsia="Arial" w:hAnsi="Arial" w:cs="Arial"/>
          <w:color w:val="000000" w:themeColor="text1"/>
          <w:sz w:val="20"/>
        </w:rPr>
        <w:t xml:space="preserve"> et al. (2025), where the inhibitory effects of Tebuconazole and Carbendazim on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growth were well documented. The incompatibility of Carbendazim + Mancozeb with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as observed in this study aligns with the observations made by </w:t>
      </w:r>
      <w:proofErr w:type="spellStart"/>
      <w:r w:rsidRPr="00557543">
        <w:rPr>
          <w:rFonts w:ascii="Arial" w:eastAsia="Arial" w:hAnsi="Arial" w:cs="Arial"/>
          <w:color w:val="000000" w:themeColor="text1"/>
          <w:sz w:val="20"/>
        </w:rPr>
        <w:t>Maheshwary</w:t>
      </w:r>
      <w:proofErr w:type="spellEnd"/>
      <w:r w:rsidRPr="00557543">
        <w:rPr>
          <w:rFonts w:ascii="Arial" w:eastAsia="Arial" w:hAnsi="Arial" w:cs="Arial"/>
          <w:color w:val="000000" w:themeColor="text1"/>
          <w:sz w:val="20"/>
        </w:rPr>
        <w:t xml:space="preserve"> (2020).</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Interestingly, </w:t>
      </w:r>
      <w:proofErr w:type="spellStart"/>
      <w:r w:rsidRPr="00557543">
        <w:rPr>
          <w:rFonts w:ascii="Arial" w:eastAsia="Arial" w:hAnsi="Arial" w:cs="Arial"/>
          <w:color w:val="000000" w:themeColor="text1"/>
          <w:sz w:val="20"/>
        </w:rPr>
        <w:t>Dinkwar</w:t>
      </w:r>
      <w:proofErr w:type="spellEnd"/>
      <w:r w:rsidRPr="00557543">
        <w:rPr>
          <w:rFonts w:ascii="Arial" w:eastAsia="Arial" w:hAnsi="Arial" w:cs="Arial"/>
          <w:color w:val="000000" w:themeColor="text1"/>
          <w:sz w:val="20"/>
        </w:rPr>
        <w:t xml:space="preserve"> et al. (2023) found that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was highly compatible with </w:t>
      </w:r>
      <w:proofErr w:type="spellStart"/>
      <w:r w:rsidRPr="00557543">
        <w:rPr>
          <w:rFonts w:ascii="Arial" w:eastAsia="Arial" w:hAnsi="Arial" w:cs="Arial"/>
          <w:color w:val="000000" w:themeColor="text1"/>
          <w:sz w:val="20"/>
        </w:rPr>
        <w:t>Vitavax</w:t>
      </w:r>
      <w:proofErr w:type="spellEnd"/>
      <w:r w:rsidRPr="00557543">
        <w:rPr>
          <w:rFonts w:ascii="Arial" w:eastAsia="Arial" w:hAnsi="Arial" w:cs="Arial"/>
          <w:color w:val="000000" w:themeColor="text1"/>
          <w:sz w:val="20"/>
        </w:rPr>
        <w:t xml:space="preserve"> (Carboxin 37.5% + Thiram 37.5% DS), aligning with our findings regarding the compatibility of Thiram + Carboxin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Moreover, Kumar et al. (2025) have recently documented that the use of compatible fungicides with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not only supports its establishment but also aids in reducing the pathogen load in the soil, thereby improving plant health and yield in integrated disease management frameworks.</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Overall, the present study demonstrates that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can be effectively integrated with non-systemic contact fungicides like Mancozeb, Copper oxychloride, and Thiram formulations, providing a sustainable and eco-friendly approach for the management of soil-borne pathogens. However, caution should be exercised while using systemic fungicides like Carbendazim and Tebuconazole, which may suppress the growth and activity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thereby limiting its biocontrol potential in field applications.</w:t>
      </w:r>
    </w:p>
    <w:p w:rsidR="005B4297" w:rsidRPr="00557543" w:rsidRDefault="00767F5A">
      <w:pPr>
        <w:tabs>
          <w:tab w:val="left" w:pos="6160"/>
        </w:tabs>
        <w:spacing w:after="160" w:line="240" w:lineRule="auto"/>
        <w:jc w:val="both"/>
        <w:rPr>
          <w:rFonts w:ascii="Arial" w:eastAsia="Arial" w:hAnsi="Arial" w:cs="Arial"/>
          <w:b/>
          <w:color w:val="000000" w:themeColor="text1"/>
        </w:rPr>
      </w:pPr>
      <w:r w:rsidRPr="00557543">
        <w:rPr>
          <w:rFonts w:ascii="Arial" w:eastAsia="Arial" w:hAnsi="Arial" w:cs="Arial"/>
          <w:b/>
          <w:color w:val="000000" w:themeColor="text1"/>
        </w:rPr>
        <w:t>Conclusion</w:t>
      </w:r>
      <w:r w:rsidRPr="00557543">
        <w:rPr>
          <w:rFonts w:ascii="Arial" w:eastAsia="Arial" w:hAnsi="Arial" w:cs="Arial"/>
          <w:b/>
          <w:color w:val="000000" w:themeColor="text1"/>
        </w:rPr>
        <w:tab/>
      </w:r>
    </w:p>
    <w:p w:rsidR="005B4297" w:rsidRPr="00557543" w:rsidRDefault="00767F5A" w:rsidP="00964C45">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Present investigation demonstrated that out of the nine fungicides tested, </w:t>
      </w:r>
      <w:proofErr w:type="spellStart"/>
      <w:r w:rsidRPr="00557543">
        <w:rPr>
          <w:rFonts w:ascii="Arial" w:eastAsia="Arial" w:hAnsi="Arial" w:cs="Arial"/>
          <w:color w:val="000000" w:themeColor="text1"/>
          <w:sz w:val="20"/>
        </w:rPr>
        <w:t>Metalaxyl</w:t>
      </w:r>
      <w:proofErr w:type="spellEnd"/>
      <w:r w:rsidRPr="00557543">
        <w:rPr>
          <w:rFonts w:ascii="Arial" w:eastAsia="Arial" w:hAnsi="Arial" w:cs="Arial"/>
          <w:color w:val="000000" w:themeColor="text1"/>
          <w:sz w:val="20"/>
        </w:rPr>
        <w:t xml:space="preserve"> 35% SD, Mancozeb 75% WP, Thiram 75% WP, Thiram + Carboxin 75 WS, and Copper oxychloride 50% WP were found to be compatible with </w:t>
      </w:r>
      <w:r w:rsidR="00964C45"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at different tested concentrations. The findings highlight the potential for integrating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 promising biocontrol agent, with these non-systemic, contact fungicides for the effective management of </w:t>
      </w:r>
      <w:r w:rsidRPr="00557543">
        <w:rPr>
          <w:rFonts w:ascii="Arial" w:eastAsia="Arial" w:hAnsi="Arial" w:cs="Arial"/>
          <w:i/>
          <w:color w:val="000000" w:themeColor="text1"/>
          <w:sz w:val="20"/>
        </w:rPr>
        <w:t xml:space="preserve">Sclerotium </w:t>
      </w:r>
      <w:proofErr w:type="spellStart"/>
      <w:r w:rsidRPr="00557543">
        <w:rPr>
          <w:rFonts w:ascii="Arial" w:eastAsia="Arial" w:hAnsi="Arial" w:cs="Arial"/>
          <w:i/>
          <w:color w:val="000000" w:themeColor="text1"/>
          <w:sz w:val="20"/>
        </w:rPr>
        <w:t>rolfsii</w:t>
      </w:r>
      <w:proofErr w:type="spellEnd"/>
      <w:r w:rsidRPr="00557543">
        <w:rPr>
          <w:rFonts w:ascii="Arial" w:eastAsia="Arial" w:hAnsi="Arial" w:cs="Arial"/>
          <w:color w:val="000000" w:themeColor="text1"/>
          <w:sz w:val="20"/>
        </w:rPr>
        <w:t xml:space="preserve">, the causal agent of collar rot in chickpea and other crops. The compatibility observed with these fungicides ensures that the application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alongside these chemicals will not hinder its growth and colonization in the rhizosphere, allowing it to express its antagonistic potential through mechanisms like mycoparasitism, competition, and antibiosis.</w:t>
      </w:r>
    </w:p>
    <w:p w:rsidR="005B4297" w:rsidRPr="00557543"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This study confirms the dual advantage of employing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in an integrated disease management framework, where it can work synergistically with compatible fungicides to reduce pathogen load while minimizing chemical fungicide dependence. The incompatibility of systemic fungicides like Carbendazim, Tebuconazole, and Hexaconazole with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observed in the study also underlines the need for careful selection and scheduling of fungicides to avoid compromising the activity of biocontrol agents in the field.</w:t>
      </w:r>
    </w:p>
    <w:p w:rsidR="005B4297" w:rsidRDefault="00767F5A">
      <w:pPr>
        <w:spacing w:before="100" w:after="100" w:line="240" w:lineRule="auto"/>
        <w:ind w:firstLine="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However, while the </w:t>
      </w:r>
      <w:r w:rsidRPr="00557543">
        <w:rPr>
          <w:rFonts w:ascii="Arial" w:eastAsia="Arial" w:hAnsi="Arial" w:cs="Arial"/>
          <w:i/>
          <w:color w:val="000000" w:themeColor="text1"/>
          <w:sz w:val="20"/>
        </w:rPr>
        <w:t>in vitro</w:t>
      </w:r>
      <w:r w:rsidRPr="00557543">
        <w:rPr>
          <w:rFonts w:ascii="Arial" w:eastAsia="Arial" w:hAnsi="Arial" w:cs="Arial"/>
          <w:color w:val="000000" w:themeColor="text1"/>
          <w:sz w:val="20"/>
        </w:rPr>
        <w:t xml:space="preserve"> findings of compatibility are promising, further field-based validation under diverse </w:t>
      </w:r>
      <w:proofErr w:type="spellStart"/>
      <w:r w:rsidRPr="00557543">
        <w:rPr>
          <w:rFonts w:ascii="Arial" w:eastAsia="Arial" w:hAnsi="Arial" w:cs="Arial"/>
          <w:color w:val="000000" w:themeColor="text1"/>
          <w:sz w:val="20"/>
        </w:rPr>
        <w:t>agro</w:t>
      </w:r>
      <w:proofErr w:type="spellEnd"/>
      <w:r w:rsidRPr="00557543">
        <w:rPr>
          <w:rFonts w:ascii="Arial" w:eastAsia="Arial" w:hAnsi="Arial" w:cs="Arial"/>
          <w:color w:val="000000" w:themeColor="text1"/>
          <w:sz w:val="20"/>
        </w:rPr>
        <w:t xml:space="preserve">-climatic conditions and cropping systems is essential to confirm the efficacy and consistency of </w:t>
      </w:r>
      <w:r w:rsidRPr="00557543">
        <w:rPr>
          <w:rFonts w:ascii="Arial" w:eastAsia="Arial" w:hAnsi="Arial" w:cs="Arial"/>
          <w:i/>
          <w:color w:val="000000" w:themeColor="text1"/>
          <w:sz w:val="20"/>
        </w:rPr>
        <w:t xml:space="preserve">T.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when used in combination with these compatible fungicides. </w:t>
      </w:r>
      <w:r w:rsidRPr="00557543">
        <w:rPr>
          <w:rFonts w:ascii="Arial" w:eastAsia="Arial" w:hAnsi="Arial" w:cs="Arial"/>
          <w:color w:val="000000" w:themeColor="text1"/>
          <w:sz w:val="20"/>
        </w:rPr>
        <w:lastRenderedPageBreak/>
        <w:t>Such studies will help develop robust integrated management modules for collar rot and other soil-borne diseases, supporting sustainable and environmentally friendly plant disease management strategies that safeguard crop health while reducing the adverse impacts of chemical pesticides.</w:t>
      </w:r>
    </w:p>
    <w:p w:rsidR="001F5F28" w:rsidRPr="00557543" w:rsidRDefault="001F5F28" w:rsidP="001F5F28">
      <w:pPr>
        <w:spacing w:before="100" w:after="100" w:line="240" w:lineRule="auto"/>
        <w:jc w:val="both"/>
        <w:rPr>
          <w:rFonts w:ascii="Arial" w:eastAsia="Arial" w:hAnsi="Arial" w:cs="Arial"/>
          <w:color w:val="000000" w:themeColor="text1"/>
          <w:sz w:val="20"/>
        </w:rPr>
      </w:pPr>
    </w:p>
    <w:p w:rsidR="00037163" w:rsidRPr="001F5F28" w:rsidRDefault="00037163" w:rsidP="001F5F28">
      <w:pPr>
        <w:jc w:val="both"/>
        <w:rPr>
          <w:rFonts w:ascii="Arial" w:eastAsia="Calibri" w:hAnsi="Arial" w:cs="Arial"/>
          <w:b/>
          <w:sz w:val="20"/>
          <w:lang w:val="en-US"/>
        </w:rPr>
      </w:pPr>
      <w:r w:rsidRPr="001F5F28">
        <w:rPr>
          <w:rFonts w:ascii="Arial" w:eastAsia="Calibri" w:hAnsi="Arial" w:cs="Arial"/>
          <w:b/>
          <w:lang w:val="en-US"/>
        </w:rPr>
        <w:t>Acknowledgment</w:t>
      </w:r>
      <w:r w:rsidRPr="001F5F28">
        <w:rPr>
          <w:rFonts w:ascii="Arial" w:eastAsia="Calibri" w:hAnsi="Arial" w:cs="Arial"/>
          <w:b/>
          <w:sz w:val="20"/>
          <w:lang w:val="en-US"/>
        </w:rPr>
        <w:tab/>
      </w:r>
      <w:r w:rsidRPr="001F5F28">
        <w:rPr>
          <w:rFonts w:ascii="Arial" w:eastAsia="Calibri" w:hAnsi="Arial" w:cs="Arial"/>
          <w:b/>
          <w:sz w:val="20"/>
          <w:lang w:val="en-US"/>
        </w:rPr>
        <w:tab/>
      </w:r>
    </w:p>
    <w:p w:rsidR="00037163" w:rsidRPr="001F5F28" w:rsidRDefault="00037163" w:rsidP="001F5F28">
      <w:pPr>
        <w:ind w:firstLine="720"/>
        <w:jc w:val="both"/>
        <w:rPr>
          <w:rFonts w:ascii="Arial" w:eastAsia="Calibri" w:hAnsi="Arial" w:cs="Arial"/>
          <w:sz w:val="20"/>
          <w:lang w:val="en-US"/>
        </w:rPr>
      </w:pPr>
      <w:r w:rsidRPr="001F5F28">
        <w:rPr>
          <w:rFonts w:ascii="Arial" w:hAnsi="Arial" w:cs="Arial"/>
          <w:sz w:val="20"/>
          <w:szCs w:val="20"/>
        </w:rPr>
        <w:t>The authors express their sincere gratitude to the College of Agriculture, Kota, and the Zonal Director Research for their generous support and encouragement throughout the research work. We are deeply thankful to the higher authorities of the University for providing the necessary facilities and a conducive environment for conducting the experiments smoothly. We also extend our heartfelt thanks to all the faculty members for their timely help, valuable suggestions, and moral support during various stages of the research.</w:t>
      </w:r>
    </w:p>
    <w:p w:rsidR="00037163" w:rsidRPr="001F5F28" w:rsidRDefault="00037163" w:rsidP="001F5F28">
      <w:pPr>
        <w:pStyle w:val="NormalWeb"/>
        <w:tabs>
          <w:tab w:val="left" w:pos="3332"/>
        </w:tabs>
        <w:jc w:val="both"/>
        <w:rPr>
          <w:rFonts w:ascii="Arial" w:hAnsi="Arial" w:cs="Arial"/>
          <w:color w:val="000000" w:themeColor="text1"/>
          <w:sz w:val="22"/>
          <w:szCs w:val="22"/>
        </w:rPr>
      </w:pPr>
      <w:r w:rsidRPr="001F5F28">
        <w:rPr>
          <w:rStyle w:val="Strong"/>
          <w:rFonts w:ascii="Arial" w:hAnsi="Arial" w:cs="Arial"/>
          <w:color w:val="000000" w:themeColor="text1"/>
          <w:sz w:val="22"/>
          <w:szCs w:val="22"/>
        </w:rPr>
        <w:t>Conflict of Interest</w:t>
      </w:r>
      <w:r w:rsidR="001F5F28" w:rsidRPr="001F5F28">
        <w:rPr>
          <w:rStyle w:val="Strong"/>
          <w:rFonts w:ascii="Arial" w:hAnsi="Arial" w:cs="Arial"/>
          <w:color w:val="000000" w:themeColor="text1"/>
          <w:sz w:val="22"/>
          <w:szCs w:val="22"/>
        </w:rPr>
        <w:tab/>
      </w:r>
    </w:p>
    <w:p w:rsidR="00037163" w:rsidRPr="001F5F28" w:rsidRDefault="00037163" w:rsidP="001F5F28">
      <w:pPr>
        <w:pStyle w:val="NormalWeb"/>
        <w:ind w:firstLine="720"/>
        <w:jc w:val="both"/>
        <w:rPr>
          <w:rFonts w:ascii="Arial" w:hAnsi="Arial" w:cs="Arial"/>
          <w:color w:val="000000" w:themeColor="text1"/>
          <w:sz w:val="20"/>
          <w:szCs w:val="20"/>
        </w:rPr>
      </w:pPr>
      <w:r w:rsidRPr="001F5F28">
        <w:rPr>
          <w:rFonts w:ascii="Arial" w:hAnsi="Arial" w:cs="Arial"/>
          <w:color w:val="000000" w:themeColor="text1"/>
          <w:sz w:val="20"/>
          <w:szCs w:val="20"/>
        </w:rPr>
        <w:t>The authors declare that there is no conflict of interest regarding the publication of this research paper. The study was conducted independently, and no financial or personal relationships influenced the findings reported in this manuscript.</w:t>
      </w:r>
    </w:p>
    <w:p w:rsidR="005B4297" w:rsidRPr="001F5F28" w:rsidRDefault="00767F5A" w:rsidP="001F5F28">
      <w:pPr>
        <w:jc w:val="both"/>
        <w:rPr>
          <w:rFonts w:ascii="Arial" w:eastAsia="Arial" w:hAnsi="Arial" w:cs="Arial"/>
          <w:b/>
        </w:rPr>
      </w:pPr>
      <w:r w:rsidRPr="001F5F28">
        <w:rPr>
          <w:rFonts w:ascii="Arial" w:eastAsia="Arial" w:hAnsi="Arial" w:cs="Arial"/>
          <w:b/>
        </w:rPr>
        <w:t>Ethical Approval</w:t>
      </w:r>
      <w:r w:rsidRPr="001F5F28">
        <w:rPr>
          <w:rFonts w:ascii="Arial" w:eastAsia="Arial" w:hAnsi="Arial" w:cs="Arial"/>
          <w:b/>
        </w:rPr>
        <w:tab/>
      </w:r>
    </w:p>
    <w:p w:rsidR="005B4297" w:rsidRPr="001F5F28" w:rsidRDefault="00767F5A" w:rsidP="001F5F28">
      <w:pPr>
        <w:ind w:firstLine="720"/>
        <w:jc w:val="both"/>
        <w:rPr>
          <w:rFonts w:ascii="Arial" w:eastAsia="Arial" w:hAnsi="Arial" w:cs="Arial"/>
          <w:sz w:val="20"/>
          <w:szCs w:val="20"/>
        </w:rPr>
      </w:pPr>
      <w:r w:rsidRPr="001F5F28">
        <w:rPr>
          <w:rFonts w:ascii="Arial" w:eastAsia="Arial" w:hAnsi="Arial" w:cs="Arial"/>
          <w:sz w:val="20"/>
          <w:szCs w:val="20"/>
        </w:rPr>
        <w:t>This study did not involve any human participants or animal experimentation. The research was conducted under laboratory conditions following standard microbiological and plant pathology procedures, and thus, ethical approval was not required.</w:t>
      </w:r>
    </w:p>
    <w:p w:rsidR="00F641FE" w:rsidRPr="001F5F28" w:rsidRDefault="00F641FE" w:rsidP="001F5F28">
      <w:pPr>
        <w:jc w:val="both"/>
        <w:rPr>
          <w:rFonts w:ascii="Arial" w:eastAsia="Arial" w:hAnsi="Arial" w:cs="Arial"/>
          <w:b/>
        </w:rPr>
      </w:pPr>
      <w:r w:rsidRPr="001F5F28">
        <w:rPr>
          <w:rFonts w:ascii="Arial" w:eastAsia="Arial" w:hAnsi="Arial" w:cs="Arial"/>
          <w:b/>
        </w:rPr>
        <w:t>Disclaimer (Artificial intelligence)</w:t>
      </w:r>
    </w:p>
    <w:p w:rsidR="00F641FE" w:rsidRPr="001F5F28" w:rsidRDefault="00F641FE" w:rsidP="001F5F28">
      <w:pPr>
        <w:ind w:firstLine="720"/>
        <w:jc w:val="both"/>
        <w:rPr>
          <w:rFonts w:ascii="Arial" w:eastAsia="Arial" w:hAnsi="Arial" w:cs="Arial"/>
          <w:sz w:val="20"/>
          <w:szCs w:val="20"/>
        </w:rPr>
      </w:pPr>
      <w:r w:rsidRPr="001F5F28">
        <w:rPr>
          <w:rFonts w:ascii="Arial" w:eastAsia="Arial" w:hAnsi="Arial" w:cs="Arial"/>
          <w:sz w:val="20"/>
          <w:szCs w:val="20"/>
        </w:rPr>
        <w:t>Author(s) hereby declare that NO generative AI technologies such as Large Language Models (</w:t>
      </w:r>
      <w:proofErr w:type="spellStart"/>
      <w:r w:rsidRPr="001F5F28">
        <w:rPr>
          <w:rFonts w:ascii="Arial" w:eastAsia="Arial" w:hAnsi="Arial" w:cs="Arial"/>
          <w:sz w:val="20"/>
          <w:szCs w:val="20"/>
        </w:rPr>
        <w:t>ChatGPT</w:t>
      </w:r>
      <w:proofErr w:type="spellEnd"/>
      <w:r w:rsidRPr="001F5F28">
        <w:rPr>
          <w:rFonts w:ascii="Arial" w:eastAsia="Arial" w:hAnsi="Arial" w:cs="Arial"/>
          <w:sz w:val="20"/>
          <w:szCs w:val="20"/>
        </w:rPr>
        <w:t>, COPILOT, etc.) and text to image generators have been used during the writing or editing of this manuscript.</w:t>
      </w:r>
    </w:p>
    <w:p w:rsidR="005B4297" w:rsidRPr="00557543" w:rsidRDefault="00767F5A" w:rsidP="00A600DD">
      <w:pPr>
        <w:tabs>
          <w:tab w:val="left" w:pos="720"/>
          <w:tab w:val="left" w:pos="1440"/>
          <w:tab w:val="left" w:pos="2160"/>
          <w:tab w:val="left" w:pos="2580"/>
        </w:tabs>
        <w:spacing w:after="160" w:line="240" w:lineRule="auto"/>
        <w:jc w:val="both"/>
        <w:rPr>
          <w:rFonts w:ascii="Arial" w:eastAsia="Arial" w:hAnsi="Arial" w:cs="Arial"/>
          <w:b/>
          <w:color w:val="000000" w:themeColor="text1"/>
        </w:rPr>
      </w:pPr>
      <w:r w:rsidRPr="00557543">
        <w:rPr>
          <w:rFonts w:ascii="Arial" w:eastAsia="Arial" w:hAnsi="Arial" w:cs="Arial"/>
          <w:b/>
          <w:color w:val="000000" w:themeColor="text1"/>
        </w:rPr>
        <w:t xml:space="preserve"> References</w:t>
      </w:r>
    </w:p>
    <w:p w:rsidR="005B4297" w:rsidRPr="00557543" w:rsidRDefault="00767F5A">
      <w:pPr>
        <w:spacing w:after="0" w:line="360" w:lineRule="auto"/>
        <w:ind w:left="1080" w:hanging="720"/>
        <w:jc w:val="both"/>
        <w:rPr>
          <w:rFonts w:ascii="Arial" w:eastAsia="Arial" w:hAnsi="Arial" w:cs="Arial"/>
          <w:color w:val="000000" w:themeColor="text1"/>
          <w:sz w:val="20"/>
        </w:rPr>
      </w:pPr>
      <w:proofErr w:type="spellStart"/>
      <w:r w:rsidRPr="00557543">
        <w:rPr>
          <w:rFonts w:ascii="Arial" w:eastAsia="Arial" w:hAnsi="Arial" w:cs="Arial"/>
          <w:color w:val="000000" w:themeColor="text1"/>
          <w:sz w:val="20"/>
        </w:rPr>
        <w:t>Bagwan</w:t>
      </w:r>
      <w:proofErr w:type="spellEnd"/>
      <w:r w:rsidRPr="00557543">
        <w:rPr>
          <w:rFonts w:ascii="Arial" w:eastAsia="Arial" w:hAnsi="Arial" w:cs="Arial"/>
          <w:color w:val="000000" w:themeColor="text1"/>
          <w:sz w:val="20"/>
        </w:rPr>
        <w:t xml:space="preserve"> NB. Evaluation of </w:t>
      </w:r>
      <w:r w:rsidRPr="00557543">
        <w:rPr>
          <w:rFonts w:ascii="Arial" w:eastAsia="Arial" w:hAnsi="Arial" w:cs="Arial"/>
          <w:i/>
          <w:color w:val="000000" w:themeColor="text1"/>
          <w:sz w:val="20"/>
        </w:rPr>
        <w:t>Trichoderma</w:t>
      </w:r>
      <w:r w:rsidRPr="00557543">
        <w:rPr>
          <w:rFonts w:ascii="Arial" w:eastAsia="Arial" w:hAnsi="Arial" w:cs="Arial"/>
          <w:color w:val="000000" w:themeColor="text1"/>
          <w:sz w:val="20"/>
        </w:rPr>
        <w:t xml:space="preserve"> compatibility with fungicides, pesticides, organic cakes and botanicals for integrated management of soil</w:t>
      </w:r>
      <w:r w:rsidR="00A600DD" w:rsidRPr="00557543">
        <w:rPr>
          <w:rFonts w:ascii="Arial" w:eastAsia="Arial" w:hAnsi="Arial" w:cs="Arial"/>
          <w:color w:val="000000" w:themeColor="text1"/>
          <w:sz w:val="20"/>
        </w:rPr>
        <w:t xml:space="preserve"> </w:t>
      </w:r>
      <w:r w:rsidRPr="00557543">
        <w:rPr>
          <w:rFonts w:ascii="Arial" w:eastAsia="Arial" w:hAnsi="Arial" w:cs="Arial"/>
          <w:color w:val="000000" w:themeColor="text1"/>
          <w:sz w:val="20"/>
        </w:rPr>
        <w:t>borne diseases of soybean [</w:t>
      </w:r>
      <w:r w:rsidRPr="00557543">
        <w:rPr>
          <w:rFonts w:ascii="Arial" w:eastAsia="Arial" w:hAnsi="Arial" w:cs="Arial"/>
          <w:i/>
          <w:color w:val="000000" w:themeColor="text1"/>
          <w:sz w:val="20"/>
        </w:rPr>
        <w:t>Glycine max</w:t>
      </w:r>
      <w:r w:rsidRPr="00557543">
        <w:rPr>
          <w:rFonts w:ascii="Arial" w:eastAsia="Arial" w:hAnsi="Arial" w:cs="Arial"/>
          <w:color w:val="000000" w:themeColor="text1"/>
          <w:sz w:val="20"/>
        </w:rPr>
        <w:t xml:space="preserve"> (L.) </w:t>
      </w:r>
      <w:proofErr w:type="spellStart"/>
      <w:r w:rsidRPr="00557543">
        <w:rPr>
          <w:rFonts w:ascii="Arial" w:eastAsia="Arial" w:hAnsi="Arial" w:cs="Arial"/>
          <w:color w:val="000000" w:themeColor="text1"/>
          <w:sz w:val="20"/>
        </w:rPr>
        <w:t>Merril</w:t>
      </w:r>
      <w:proofErr w:type="spellEnd"/>
      <w:r w:rsidRPr="00557543">
        <w:rPr>
          <w:rFonts w:ascii="Arial" w:eastAsia="Arial" w:hAnsi="Arial" w:cs="Arial"/>
          <w:color w:val="000000" w:themeColor="text1"/>
          <w:sz w:val="20"/>
        </w:rPr>
        <w:t>]. International Journal of Plant Protection. 2010;3(2):206-209.</w:t>
      </w:r>
    </w:p>
    <w:p w:rsidR="005B4297" w:rsidRPr="00557543" w:rsidRDefault="00767F5A">
      <w:pPr>
        <w:spacing w:after="0" w:line="360" w:lineRule="auto"/>
        <w:ind w:left="1080" w:hanging="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Bindu MG, Bhattiprolu SL, </w:t>
      </w:r>
      <w:proofErr w:type="spellStart"/>
      <w:r w:rsidRPr="00557543">
        <w:rPr>
          <w:rFonts w:ascii="Arial" w:eastAsia="Arial" w:hAnsi="Arial" w:cs="Arial"/>
          <w:color w:val="000000" w:themeColor="text1"/>
          <w:sz w:val="20"/>
        </w:rPr>
        <w:t>Balireddy</w:t>
      </w:r>
      <w:proofErr w:type="spellEnd"/>
      <w:r w:rsidRPr="00557543">
        <w:rPr>
          <w:rFonts w:ascii="Arial" w:eastAsia="Arial" w:hAnsi="Arial" w:cs="Arial"/>
          <w:color w:val="000000" w:themeColor="text1"/>
          <w:sz w:val="20"/>
        </w:rPr>
        <w:t xml:space="preserve"> V. Compatibility of biocontrol agent </w:t>
      </w:r>
      <w:r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viride</w:t>
      </w:r>
      <w:proofErr w:type="spellEnd"/>
      <w:r w:rsidRPr="00557543">
        <w:rPr>
          <w:rFonts w:ascii="Arial" w:eastAsia="Arial" w:hAnsi="Arial" w:cs="Arial"/>
          <w:color w:val="000000" w:themeColor="text1"/>
          <w:sz w:val="20"/>
        </w:rPr>
        <w:t xml:space="preserve"> with various pesticides. Journal Horticulture Science. 2011;6(1):71- 73.</w:t>
      </w:r>
    </w:p>
    <w:p w:rsidR="005B4297" w:rsidRPr="00557543" w:rsidRDefault="00767F5A">
      <w:pPr>
        <w:spacing w:after="0" w:line="360" w:lineRule="auto"/>
        <w:ind w:left="1080" w:hanging="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Chet I, Inbar J. Biological Control of Fungal Pathogens. Applied Biochemistry and Biotechnology. </w:t>
      </w:r>
      <w:proofErr w:type="gramStart"/>
      <w:r w:rsidRPr="00557543">
        <w:rPr>
          <w:rFonts w:ascii="Arial" w:eastAsia="Arial" w:hAnsi="Arial" w:cs="Arial"/>
          <w:color w:val="000000" w:themeColor="text1"/>
          <w:sz w:val="20"/>
        </w:rPr>
        <w:t>1994;48:37</w:t>
      </w:r>
      <w:proofErr w:type="gramEnd"/>
      <w:r w:rsidRPr="00557543">
        <w:rPr>
          <w:rFonts w:ascii="Arial" w:eastAsia="Arial" w:hAnsi="Arial" w:cs="Arial"/>
          <w:color w:val="000000" w:themeColor="text1"/>
          <w:sz w:val="20"/>
        </w:rPr>
        <w:t>-43.</w:t>
      </w:r>
    </w:p>
    <w:p w:rsidR="005B4297" w:rsidRPr="00557543" w:rsidRDefault="00767F5A">
      <w:pPr>
        <w:spacing w:after="0" w:line="360" w:lineRule="auto"/>
        <w:ind w:left="1080" w:hanging="720"/>
        <w:jc w:val="both"/>
        <w:rPr>
          <w:rFonts w:ascii="Arial" w:eastAsia="Arial" w:hAnsi="Arial" w:cs="Arial"/>
          <w:color w:val="000000" w:themeColor="text1"/>
          <w:sz w:val="20"/>
          <w:shd w:val="clear" w:color="auto" w:fill="FFFFFF"/>
        </w:rPr>
      </w:pPr>
      <w:r w:rsidRPr="00557543">
        <w:rPr>
          <w:rFonts w:ascii="Arial" w:eastAsia="Arial" w:hAnsi="Arial" w:cs="Arial"/>
          <w:color w:val="000000" w:themeColor="text1"/>
          <w:sz w:val="20"/>
          <w:shd w:val="clear" w:color="auto" w:fill="FFFFFF"/>
        </w:rPr>
        <w:t xml:space="preserve">Devi P, Prabhakaran N, Kamil D, Choudhary SP. Polyphasic taxonomy of Indian Trichoderma species. </w:t>
      </w:r>
      <w:proofErr w:type="spellStart"/>
      <w:r w:rsidRPr="00557543">
        <w:rPr>
          <w:rFonts w:ascii="Arial" w:eastAsia="Arial" w:hAnsi="Arial" w:cs="Arial"/>
          <w:color w:val="000000" w:themeColor="text1"/>
          <w:sz w:val="20"/>
          <w:shd w:val="clear" w:color="auto" w:fill="FFFFFF"/>
        </w:rPr>
        <w:t>Phytotaxa</w:t>
      </w:r>
      <w:proofErr w:type="spellEnd"/>
      <w:r w:rsidRPr="00557543">
        <w:rPr>
          <w:rFonts w:ascii="Arial" w:eastAsia="Arial" w:hAnsi="Arial" w:cs="Arial"/>
          <w:color w:val="000000" w:themeColor="text1"/>
          <w:sz w:val="20"/>
          <w:shd w:val="clear" w:color="auto" w:fill="FFFFFF"/>
        </w:rPr>
        <w:t>. 2021;502(1):1–27.</w:t>
      </w:r>
    </w:p>
    <w:p w:rsidR="005B4297" w:rsidRPr="00557543" w:rsidRDefault="00767F5A">
      <w:pPr>
        <w:spacing w:after="0" w:line="360" w:lineRule="auto"/>
        <w:ind w:left="1080" w:hanging="720"/>
        <w:jc w:val="both"/>
        <w:rPr>
          <w:rFonts w:ascii="Arial" w:eastAsia="Arial" w:hAnsi="Arial" w:cs="Arial"/>
          <w:color w:val="000000" w:themeColor="text1"/>
          <w:sz w:val="20"/>
          <w:shd w:val="clear" w:color="auto" w:fill="FFFFFF"/>
        </w:rPr>
      </w:pPr>
      <w:proofErr w:type="spellStart"/>
      <w:r w:rsidRPr="00557543">
        <w:rPr>
          <w:rFonts w:ascii="Arial" w:eastAsia="Arial" w:hAnsi="Arial" w:cs="Arial"/>
          <w:color w:val="000000" w:themeColor="text1"/>
          <w:sz w:val="20"/>
          <w:shd w:val="clear" w:color="auto" w:fill="FFFFFF"/>
        </w:rPr>
        <w:t>Dinkwar</w:t>
      </w:r>
      <w:proofErr w:type="spellEnd"/>
      <w:r w:rsidRPr="00557543">
        <w:rPr>
          <w:rFonts w:ascii="Arial" w:eastAsia="Arial" w:hAnsi="Arial" w:cs="Arial"/>
          <w:color w:val="000000" w:themeColor="text1"/>
          <w:sz w:val="20"/>
          <w:shd w:val="clear" w:color="auto" w:fill="FFFFFF"/>
        </w:rPr>
        <w:t xml:space="preserve"> GT, Yadav VK, Kumar A, </w:t>
      </w:r>
      <w:proofErr w:type="spellStart"/>
      <w:r w:rsidRPr="00557543">
        <w:rPr>
          <w:rFonts w:ascii="Arial" w:eastAsia="Arial" w:hAnsi="Arial" w:cs="Arial"/>
          <w:color w:val="000000" w:themeColor="text1"/>
          <w:sz w:val="20"/>
          <w:shd w:val="clear" w:color="auto" w:fill="FFFFFF"/>
        </w:rPr>
        <w:t>Nema</w:t>
      </w:r>
      <w:proofErr w:type="spellEnd"/>
      <w:r w:rsidRPr="00557543">
        <w:rPr>
          <w:rFonts w:ascii="Arial" w:eastAsia="Arial" w:hAnsi="Arial" w:cs="Arial"/>
          <w:color w:val="000000" w:themeColor="text1"/>
          <w:sz w:val="20"/>
          <w:shd w:val="clear" w:color="auto" w:fill="FFFFFF"/>
        </w:rPr>
        <w:t xml:space="preserve"> S, Mishra S. Compatibility of Fungicides with Potent Trichoderma Isolates. International Journal of Plant and Soil Science. 2023;35(18):1934-1948.</w:t>
      </w:r>
    </w:p>
    <w:p w:rsidR="005B4297" w:rsidRPr="00557543" w:rsidRDefault="00767F5A">
      <w:pPr>
        <w:spacing w:after="0" w:line="360" w:lineRule="auto"/>
        <w:ind w:left="1080" w:hanging="720"/>
        <w:jc w:val="both"/>
        <w:rPr>
          <w:rFonts w:ascii="Arial" w:eastAsia="Arial" w:hAnsi="Arial" w:cs="Arial"/>
          <w:color w:val="000000" w:themeColor="text1"/>
          <w:sz w:val="20"/>
        </w:rPr>
      </w:pPr>
      <w:proofErr w:type="spellStart"/>
      <w:r w:rsidRPr="00557543">
        <w:rPr>
          <w:rFonts w:ascii="Arial" w:eastAsia="Arial" w:hAnsi="Arial" w:cs="Arial"/>
          <w:color w:val="000000" w:themeColor="text1"/>
          <w:sz w:val="20"/>
        </w:rPr>
        <w:t>Dominguesa</w:t>
      </w:r>
      <w:proofErr w:type="spellEnd"/>
      <w:r w:rsidRPr="00557543">
        <w:rPr>
          <w:rFonts w:ascii="Arial" w:eastAsia="Arial" w:hAnsi="Arial" w:cs="Arial"/>
          <w:color w:val="000000" w:themeColor="text1"/>
          <w:sz w:val="20"/>
        </w:rPr>
        <w:t xml:space="preserve"> FC, </w:t>
      </w:r>
      <w:proofErr w:type="spellStart"/>
      <w:r w:rsidRPr="00557543">
        <w:rPr>
          <w:rFonts w:ascii="Arial" w:eastAsia="Arial" w:hAnsi="Arial" w:cs="Arial"/>
          <w:color w:val="000000" w:themeColor="text1"/>
          <w:sz w:val="20"/>
        </w:rPr>
        <w:t>Queiroza</w:t>
      </w:r>
      <w:proofErr w:type="spellEnd"/>
      <w:r w:rsidRPr="00557543">
        <w:rPr>
          <w:rFonts w:ascii="Arial" w:eastAsia="Arial" w:hAnsi="Arial" w:cs="Arial"/>
          <w:color w:val="000000" w:themeColor="text1"/>
          <w:sz w:val="20"/>
        </w:rPr>
        <w:t xml:space="preserve"> JA, </w:t>
      </w:r>
      <w:proofErr w:type="spellStart"/>
      <w:r w:rsidRPr="00557543">
        <w:rPr>
          <w:rFonts w:ascii="Arial" w:eastAsia="Arial" w:hAnsi="Arial" w:cs="Arial"/>
          <w:color w:val="000000" w:themeColor="text1"/>
          <w:sz w:val="20"/>
        </w:rPr>
        <w:t>Cabralb</w:t>
      </w:r>
      <w:proofErr w:type="spellEnd"/>
      <w:r w:rsidRPr="00557543">
        <w:rPr>
          <w:rFonts w:ascii="Arial" w:eastAsia="Arial" w:hAnsi="Arial" w:cs="Arial"/>
          <w:color w:val="000000" w:themeColor="text1"/>
          <w:sz w:val="20"/>
        </w:rPr>
        <w:t xml:space="preserve"> JMS, </w:t>
      </w:r>
      <w:proofErr w:type="spellStart"/>
      <w:r w:rsidRPr="00557543">
        <w:rPr>
          <w:rFonts w:ascii="Arial" w:eastAsia="Arial" w:hAnsi="Arial" w:cs="Arial"/>
          <w:color w:val="000000" w:themeColor="text1"/>
          <w:sz w:val="20"/>
        </w:rPr>
        <w:t>Fonsecab</w:t>
      </w:r>
      <w:proofErr w:type="spellEnd"/>
      <w:r w:rsidRPr="00557543">
        <w:rPr>
          <w:rFonts w:ascii="Arial" w:eastAsia="Arial" w:hAnsi="Arial" w:cs="Arial"/>
          <w:color w:val="000000" w:themeColor="text1"/>
          <w:sz w:val="20"/>
        </w:rPr>
        <w:t xml:space="preserve"> LP. The influence of culture conditions on mycelia structure and cellulose production by </w:t>
      </w:r>
      <w:r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reesei</w:t>
      </w:r>
      <w:proofErr w:type="spellEnd"/>
      <w:r w:rsidRPr="00557543">
        <w:rPr>
          <w:rFonts w:ascii="Arial" w:eastAsia="Arial" w:hAnsi="Arial" w:cs="Arial"/>
          <w:color w:val="000000" w:themeColor="text1"/>
          <w:sz w:val="20"/>
        </w:rPr>
        <w:t xml:space="preserve">. Enzyme Microbial Technology. </w:t>
      </w:r>
      <w:proofErr w:type="gramStart"/>
      <w:r w:rsidRPr="00557543">
        <w:rPr>
          <w:rFonts w:ascii="Arial" w:eastAsia="Arial" w:hAnsi="Arial" w:cs="Arial"/>
          <w:color w:val="000000" w:themeColor="text1"/>
          <w:sz w:val="20"/>
        </w:rPr>
        <w:t>2000;26:394</w:t>
      </w:r>
      <w:proofErr w:type="gramEnd"/>
      <w:r w:rsidRPr="00557543">
        <w:rPr>
          <w:rFonts w:ascii="Arial" w:eastAsia="Arial" w:hAnsi="Arial" w:cs="Arial"/>
          <w:color w:val="000000" w:themeColor="text1"/>
          <w:sz w:val="20"/>
        </w:rPr>
        <w:t>­-401.</w:t>
      </w:r>
    </w:p>
    <w:p w:rsidR="005B4297" w:rsidRPr="00557543" w:rsidRDefault="00767F5A">
      <w:pPr>
        <w:tabs>
          <w:tab w:val="left" w:pos="3540"/>
        </w:tabs>
        <w:spacing w:after="160" w:line="360" w:lineRule="auto"/>
        <w:ind w:left="1080" w:hanging="720"/>
        <w:jc w:val="both"/>
        <w:rPr>
          <w:rFonts w:ascii="Arial" w:eastAsia="Arial" w:hAnsi="Arial" w:cs="Arial"/>
          <w:color w:val="000000" w:themeColor="text1"/>
          <w:sz w:val="20"/>
          <w:shd w:val="clear" w:color="auto" w:fill="FFFFFF"/>
        </w:rPr>
      </w:pPr>
      <w:proofErr w:type="spellStart"/>
      <w:r w:rsidRPr="00557543">
        <w:rPr>
          <w:rFonts w:ascii="Arial" w:eastAsia="Arial" w:hAnsi="Arial" w:cs="Arial"/>
          <w:color w:val="000000" w:themeColor="text1"/>
          <w:sz w:val="20"/>
          <w:shd w:val="clear" w:color="auto" w:fill="FFFFFF"/>
        </w:rPr>
        <w:lastRenderedPageBreak/>
        <w:t>Jambhulkar</w:t>
      </w:r>
      <w:proofErr w:type="spellEnd"/>
      <w:r w:rsidRPr="00557543">
        <w:rPr>
          <w:rFonts w:ascii="Arial" w:eastAsia="Arial" w:hAnsi="Arial" w:cs="Arial"/>
          <w:color w:val="000000" w:themeColor="text1"/>
          <w:sz w:val="20"/>
          <w:shd w:val="clear" w:color="auto" w:fill="FFFFFF"/>
        </w:rPr>
        <w:t xml:space="preserve"> PP, Singh B, Raja M, </w:t>
      </w:r>
      <w:proofErr w:type="spellStart"/>
      <w:r w:rsidRPr="00557543">
        <w:rPr>
          <w:rFonts w:ascii="Arial" w:eastAsia="Arial" w:hAnsi="Arial" w:cs="Arial"/>
          <w:color w:val="000000" w:themeColor="text1"/>
          <w:sz w:val="20"/>
          <w:shd w:val="clear" w:color="auto" w:fill="FFFFFF"/>
        </w:rPr>
        <w:t>Ismaiel</w:t>
      </w:r>
      <w:proofErr w:type="spellEnd"/>
      <w:r w:rsidRPr="00557543">
        <w:rPr>
          <w:rFonts w:ascii="Arial" w:eastAsia="Arial" w:hAnsi="Arial" w:cs="Arial"/>
          <w:color w:val="000000" w:themeColor="text1"/>
          <w:sz w:val="20"/>
          <w:shd w:val="clear" w:color="auto" w:fill="FFFFFF"/>
        </w:rPr>
        <w:t xml:space="preserve"> A, Lakshman DK, </w:t>
      </w:r>
      <w:proofErr w:type="spellStart"/>
      <w:r w:rsidRPr="00557543">
        <w:rPr>
          <w:rFonts w:ascii="Arial" w:eastAsia="Arial" w:hAnsi="Arial" w:cs="Arial"/>
          <w:color w:val="000000" w:themeColor="text1"/>
          <w:sz w:val="20"/>
          <w:shd w:val="clear" w:color="auto" w:fill="FFFFFF"/>
        </w:rPr>
        <w:t>Tomar</w:t>
      </w:r>
      <w:proofErr w:type="spellEnd"/>
      <w:r w:rsidRPr="00557543">
        <w:rPr>
          <w:rFonts w:ascii="Arial" w:eastAsia="Arial" w:hAnsi="Arial" w:cs="Arial"/>
          <w:color w:val="000000" w:themeColor="text1"/>
          <w:sz w:val="20"/>
          <w:shd w:val="clear" w:color="auto" w:fill="FFFFFF"/>
        </w:rPr>
        <w:t xml:space="preserve"> M, Sharma P. Genetic diversity and antagonistic properties of Trichoderma strains from the crop rhizospheres in southern Rajasthan, India. Scientific Reports. 2024;14(1):8610.</w:t>
      </w:r>
    </w:p>
    <w:p w:rsidR="005B4297" w:rsidRPr="00557543" w:rsidRDefault="00767F5A">
      <w:pPr>
        <w:spacing w:after="0" w:line="360" w:lineRule="auto"/>
        <w:ind w:left="1080" w:hanging="720"/>
        <w:jc w:val="both"/>
        <w:rPr>
          <w:rFonts w:ascii="Arial" w:eastAsia="Arial" w:hAnsi="Arial" w:cs="Arial"/>
          <w:color w:val="000000" w:themeColor="text1"/>
          <w:sz w:val="20"/>
          <w:shd w:val="clear" w:color="auto" w:fill="FFFFFF"/>
        </w:rPr>
      </w:pPr>
      <w:proofErr w:type="spellStart"/>
      <w:r w:rsidRPr="00557543">
        <w:rPr>
          <w:rFonts w:ascii="Arial" w:eastAsia="Arial" w:hAnsi="Arial" w:cs="Arial"/>
          <w:color w:val="000000" w:themeColor="text1"/>
          <w:sz w:val="20"/>
          <w:shd w:val="clear" w:color="auto" w:fill="FFFFFF"/>
        </w:rPr>
        <w:t>Khore</w:t>
      </w:r>
      <w:proofErr w:type="spellEnd"/>
      <w:r w:rsidRPr="00557543">
        <w:rPr>
          <w:rFonts w:ascii="Arial" w:eastAsia="Arial" w:hAnsi="Arial" w:cs="Arial"/>
          <w:color w:val="000000" w:themeColor="text1"/>
          <w:sz w:val="20"/>
          <w:shd w:val="clear" w:color="auto" w:fill="FFFFFF"/>
        </w:rPr>
        <w:t xml:space="preserve"> TT, Shende, CV, Chaudhari NA, Dhawan SS, </w:t>
      </w:r>
      <w:proofErr w:type="spellStart"/>
      <w:r w:rsidRPr="00557543">
        <w:rPr>
          <w:rFonts w:ascii="Arial" w:eastAsia="Arial" w:hAnsi="Arial" w:cs="Arial"/>
          <w:color w:val="000000" w:themeColor="text1"/>
          <w:sz w:val="20"/>
          <w:shd w:val="clear" w:color="auto" w:fill="FFFFFF"/>
        </w:rPr>
        <w:t>Kumbhar</w:t>
      </w:r>
      <w:proofErr w:type="spellEnd"/>
      <w:r w:rsidRPr="00557543">
        <w:rPr>
          <w:rFonts w:ascii="Arial" w:eastAsia="Arial" w:hAnsi="Arial" w:cs="Arial"/>
          <w:color w:val="000000" w:themeColor="text1"/>
          <w:sz w:val="20"/>
          <w:shd w:val="clear" w:color="auto" w:fill="FFFFFF"/>
        </w:rPr>
        <w:t xml:space="preserve"> AS, </w:t>
      </w:r>
      <w:proofErr w:type="spellStart"/>
      <w:r w:rsidRPr="00557543">
        <w:rPr>
          <w:rFonts w:ascii="Arial" w:eastAsia="Arial" w:hAnsi="Arial" w:cs="Arial"/>
          <w:color w:val="000000" w:themeColor="text1"/>
          <w:sz w:val="20"/>
          <w:shd w:val="clear" w:color="auto" w:fill="FFFFFF"/>
        </w:rPr>
        <w:t>Shitole</w:t>
      </w:r>
      <w:proofErr w:type="spellEnd"/>
      <w:r w:rsidRPr="00557543">
        <w:rPr>
          <w:rFonts w:ascii="Arial" w:eastAsia="Arial" w:hAnsi="Arial" w:cs="Arial"/>
          <w:color w:val="000000" w:themeColor="text1"/>
          <w:sz w:val="20"/>
          <w:shd w:val="clear" w:color="auto" w:fill="FFFFFF"/>
        </w:rPr>
        <w:t xml:space="preserve"> PA. Assessment of Compatibility of </w:t>
      </w:r>
      <w:r w:rsidRPr="00557543">
        <w:rPr>
          <w:rFonts w:ascii="Arial" w:eastAsia="Arial" w:hAnsi="Arial" w:cs="Arial"/>
          <w:i/>
          <w:color w:val="000000" w:themeColor="text1"/>
          <w:sz w:val="20"/>
          <w:shd w:val="clear" w:color="auto" w:fill="FFFFFF"/>
        </w:rPr>
        <w:t xml:space="preserve">Trichoderma </w:t>
      </w:r>
      <w:proofErr w:type="spellStart"/>
      <w:r w:rsidRPr="00557543">
        <w:rPr>
          <w:rFonts w:ascii="Arial" w:eastAsia="Arial" w:hAnsi="Arial" w:cs="Arial"/>
          <w:i/>
          <w:color w:val="000000" w:themeColor="text1"/>
          <w:sz w:val="20"/>
          <w:shd w:val="clear" w:color="auto" w:fill="FFFFFF"/>
        </w:rPr>
        <w:t>asperellum</w:t>
      </w:r>
      <w:proofErr w:type="spellEnd"/>
      <w:r w:rsidRPr="00557543">
        <w:rPr>
          <w:rFonts w:ascii="Arial" w:eastAsia="Arial" w:hAnsi="Arial" w:cs="Arial"/>
          <w:color w:val="000000" w:themeColor="text1"/>
          <w:sz w:val="20"/>
          <w:shd w:val="clear" w:color="auto" w:fill="FFFFFF"/>
        </w:rPr>
        <w:t xml:space="preserve"> with Different Fungicides. Asian Research</w:t>
      </w:r>
      <w:r w:rsidRPr="00557543">
        <w:rPr>
          <w:rFonts w:ascii="Arial" w:eastAsia="Arial" w:hAnsi="Arial" w:cs="Arial"/>
          <w:i/>
          <w:color w:val="000000" w:themeColor="text1"/>
          <w:sz w:val="20"/>
          <w:shd w:val="clear" w:color="auto" w:fill="FFFFFF"/>
        </w:rPr>
        <w:t xml:space="preserve"> </w:t>
      </w:r>
      <w:r w:rsidRPr="00557543">
        <w:rPr>
          <w:rFonts w:ascii="Arial" w:eastAsia="Arial" w:hAnsi="Arial" w:cs="Arial"/>
          <w:color w:val="000000" w:themeColor="text1"/>
          <w:sz w:val="20"/>
          <w:shd w:val="clear" w:color="auto" w:fill="FFFFFF"/>
        </w:rPr>
        <w:t>Journal of Agriculture. 2025;18(2):238-245.</w:t>
      </w:r>
    </w:p>
    <w:p w:rsidR="005B4297" w:rsidRPr="00557543" w:rsidRDefault="00767F5A">
      <w:pPr>
        <w:tabs>
          <w:tab w:val="left" w:pos="3540"/>
        </w:tabs>
        <w:spacing w:after="160" w:line="360" w:lineRule="auto"/>
        <w:ind w:left="1080" w:hanging="720"/>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Kumar R, Maurya S, Kumari A, Choudhary J, Das B, Naik SK, Kumar S. Biocontrol potentials of </w:t>
      </w:r>
      <w:r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harzianum</w:t>
      </w:r>
      <w:proofErr w:type="spellEnd"/>
      <w:r w:rsidRPr="00557543">
        <w:rPr>
          <w:rFonts w:ascii="Arial" w:eastAsia="Arial" w:hAnsi="Arial" w:cs="Arial"/>
          <w:color w:val="000000" w:themeColor="text1"/>
          <w:sz w:val="20"/>
        </w:rPr>
        <w:t xml:space="preserve"> against </w:t>
      </w:r>
      <w:proofErr w:type="spellStart"/>
      <w:r w:rsidRPr="00557543">
        <w:rPr>
          <w:rFonts w:ascii="Arial" w:eastAsia="Arial" w:hAnsi="Arial" w:cs="Arial"/>
          <w:color w:val="000000" w:themeColor="text1"/>
          <w:sz w:val="20"/>
        </w:rPr>
        <w:t>sclerotial</w:t>
      </w:r>
      <w:proofErr w:type="spellEnd"/>
      <w:r w:rsidRPr="00557543">
        <w:rPr>
          <w:rFonts w:ascii="Arial" w:eastAsia="Arial" w:hAnsi="Arial" w:cs="Arial"/>
          <w:color w:val="000000" w:themeColor="text1"/>
          <w:sz w:val="20"/>
        </w:rPr>
        <w:t xml:space="preserve"> fungi. International Journal of Life Science 2012;7(3):521-525.</w:t>
      </w:r>
    </w:p>
    <w:p w:rsidR="005B4297" w:rsidRPr="00557543" w:rsidRDefault="00767F5A" w:rsidP="00F641FE">
      <w:pPr>
        <w:spacing w:before="100" w:after="100" w:line="360" w:lineRule="auto"/>
        <w:ind w:left="654" w:hangingChars="327" w:hanging="654"/>
        <w:jc w:val="both"/>
        <w:rPr>
          <w:rFonts w:ascii="Arial" w:eastAsia="Arial" w:hAnsi="Arial" w:cs="Arial"/>
          <w:color w:val="000000" w:themeColor="text1"/>
          <w:sz w:val="20"/>
        </w:rPr>
      </w:pPr>
      <w:r w:rsidRPr="00557543">
        <w:rPr>
          <w:rFonts w:ascii="Arial" w:eastAsia="Arial" w:hAnsi="Arial" w:cs="Arial"/>
          <w:color w:val="000000" w:themeColor="text1"/>
          <w:sz w:val="20"/>
        </w:rPr>
        <w:t xml:space="preserve">Kumar S, </w:t>
      </w:r>
      <w:proofErr w:type="spellStart"/>
      <w:r w:rsidRPr="00557543">
        <w:rPr>
          <w:rFonts w:ascii="Arial" w:eastAsia="Arial" w:hAnsi="Arial" w:cs="Arial"/>
          <w:color w:val="000000" w:themeColor="text1"/>
          <w:sz w:val="20"/>
        </w:rPr>
        <w:t>Jat</w:t>
      </w:r>
      <w:proofErr w:type="spellEnd"/>
      <w:r w:rsidRPr="00557543">
        <w:rPr>
          <w:rFonts w:ascii="Arial" w:eastAsia="Arial" w:hAnsi="Arial" w:cs="Arial"/>
          <w:color w:val="000000" w:themeColor="text1"/>
          <w:sz w:val="20"/>
        </w:rPr>
        <w:t>, MK, Meena, RS. Field evaluation of Trichoderma compatibility with contact fungicides for the management of collar rot in chickpea. Journal of Mycology and Plant Pathology. 2025;55(1):34-40.</w:t>
      </w:r>
    </w:p>
    <w:p w:rsidR="005B4297" w:rsidRPr="00557543" w:rsidRDefault="00767F5A" w:rsidP="00F641FE">
      <w:pPr>
        <w:spacing w:after="0" w:line="360" w:lineRule="auto"/>
        <w:ind w:left="654" w:hangingChars="327" w:hanging="654"/>
        <w:jc w:val="both"/>
        <w:rPr>
          <w:rFonts w:ascii="Arial" w:eastAsia="Arial" w:hAnsi="Arial" w:cs="Arial"/>
          <w:color w:val="000000" w:themeColor="text1"/>
          <w:sz w:val="20"/>
        </w:rPr>
      </w:pPr>
      <w:proofErr w:type="spellStart"/>
      <w:r w:rsidRPr="00557543">
        <w:rPr>
          <w:rFonts w:ascii="Arial" w:eastAsia="Arial" w:hAnsi="Arial" w:cs="Arial"/>
          <w:color w:val="000000" w:themeColor="text1"/>
          <w:sz w:val="20"/>
        </w:rPr>
        <w:t>Maheshwary</w:t>
      </w:r>
      <w:proofErr w:type="spellEnd"/>
      <w:r w:rsidRPr="00557543">
        <w:rPr>
          <w:rFonts w:ascii="Arial" w:eastAsia="Arial" w:hAnsi="Arial" w:cs="Arial"/>
          <w:color w:val="000000" w:themeColor="text1"/>
          <w:sz w:val="20"/>
        </w:rPr>
        <w:t xml:space="preserve"> NP, Gangadhara NB, </w:t>
      </w:r>
      <w:proofErr w:type="spellStart"/>
      <w:r w:rsidRPr="00557543">
        <w:rPr>
          <w:rFonts w:ascii="Arial" w:eastAsia="Arial" w:hAnsi="Arial" w:cs="Arial"/>
          <w:color w:val="000000" w:themeColor="text1"/>
          <w:sz w:val="20"/>
        </w:rPr>
        <w:t>Amoghavarsha</w:t>
      </w:r>
      <w:proofErr w:type="spellEnd"/>
      <w:r w:rsidRPr="00557543">
        <w:rPr>
          <w:rFonts w:ascii="Arial" w:eastAsia="Arial" w:hAnsi="Arial" w:cs="Arial"/>
          <w:color w:val="000000" w:themeColor="text1"/>
          <w:sz w:val="20"/>
        </w:rPr>
        <w:t xml:space="preserve"> C, Naik MK, Satish KM, </w:t>
      </w:r>
      <w:proofErr w:type="spellStart"/>
      <w:r w:rsidRPr="00557543">
        <w:rPr>
          <w:rFonts w:ascii="Arial" w:eastAsia="Arial" w:hAnsi="Arial" w:cs="Arial"/>
          <w:color w:val="000000" w:themeColor="text1"/>
          <w:sz w:val="20"/>
        </w:rPr>
        <w:t>Nandish</w:t>
      </w:r>
      <w:proofErr w:type="spellEnd"/>
      <w:r w:rsidRPr="00557543">
        <w:rPr>
          <w:rFonts w:ascii="Arial" w:eastAsia="Arial" w:hAnsi="Arial" w:cs="Arial"/>
          <w:color w:val="000000" w:themeColor="text1"/>
          <w:sz w:val="20"/>
        </w:rPr>
        <w:t xml:space="preserve"> MS. Compatibility of </w:t>
      </w:r>
      <w:r w:rsidRPr="00557543">
        <w:rPr>
          <w:rFonts w:ascii="Arial" w:eastAsia="Arial" w:hAnsi="Arial" w:cs="Arial"/>
          <w:i/>
          <w:color w:val="000000" w:themeColor="text1"/>
          <w:sz w:val="20"/>
        </w:rPr>
        <w:t xml:space="preserve">Trichoderma </w:t>
      </w:r>
      <w:proofErr w:type="spellStart"/>
      <w:r w:rsidRPr="00557543">
        <w:rPr>
          <w:rFonts w:ascii="Arial" w:eastAsia="Arial" w:hAnsi="Arial" w:cs="Arial"/>
          <w:i/>
          <w:color w:val="000000" w:themeColor="text1"/>
          <w:sz w:val="20"/>
        </w:rPr>
        <w:t>asperellum</w:t>
      </w:r>
      <w:proofErr w:type="spellEnd"/>
      <w:r w:rsidRPr="00557543">
        <w:rPr>
          <w:rFonts w:ascii="Arial" w:eastAsia="Arial" w:hAnsi="Arial" w:cs="Arial"/>
          <w:color w:val="000000" w:themeColor="text1"/>
          <w:sz w:val="20"/>
        </w:rPr>
        <w:t xml:space="preserve"> with fungicides. The Pharma Innovation Journal 2020;9(8):136-140.</w:t>
      </w:r>
    </w:p>
    <w:p w:rsidR="005B4297" w:rsidRPr="00557543" w:rsidRDefault="00767F5A" w:rsidP="00F641FE">
      <w:pPr>
        <w:spacing w:after="0" w:line="360" w:lineRule="auto"/>
        <w:ind w:left="654" w:hangingChars="327" w:hanging="654"/>
        <w:jc w:val="both"/>
        <w:rPr>
          <w:rFonts w:ascii="Arial" w:eastAsia="Arial" w:hAnsi="Arial" w:cs="Arial"/>
          <w:color w:val="000000" w:themeColor="text1"/>
          <w:sz w:val="20"/>
        </w:rPr>
      </w:pPr>
      <w:proofErr w:type="spellStart"/>
      <w:r w:rsidRPr="00557543">
        <w:rPr>
          <w:rFonts w:ascii="Arial" w:eastAsia="Arial" w:hAnsi="Arial" w:cs="Arial"/>
          <w:color w:val="000000" w:themeColor="text1"/>
          <w:sz w:val="20"/>
        </w:rPr>
        <w:t>Persoon</w:t>
      </w:r>
      <w:proofErr w:type="spellEnd"/>
      <w:r w:rsidRPr="00557543">
        <w:rPr>
          <w:rFonts w:ascii="Arial" w:eastAsia="Arial" w:hAnsi="Arial" w:cs="Arial"/>
          <w:color w:val="000000" w:themeColor="text1"/>
          <w:sz w:val="20"/>
        </w:rPr>
        <w:t xml:space="preserve"> CH.  </w:t>
      </w:r>
      <w:proofErr w:type="spellStart"/>
      <w:proofErr w:type="gramStart"/>
      <w:r w:rsidRPr="00557543">
        <w:rPr>
          <w:rFonts w:ascii="Arial" w:eastAsia="Arial" w:hAnsi="Arial" w:cs="Arial"/>
          <w:color w:val="000000" w:themeColor="text1"/>
          <w:sz w:val="20"/>
        </w:rPr>
        <w:t>Disposita</w:t>
      </w:r>
      <w:proofErr w:type="spellEnd"/>
      <w:r w:rsidRPr="00557543">
        <w:rPr>
          <w:rFonts w:ascii="Arial" w:eastAsia="Arial" w:hAnsi="Arial" w:cs="Arial"/>
          <w:color w:val="000000" w:themeColor="text1"/>
          <w:sz w:val="20"/>
        </w:rPr>
        <w:t xml:space="preserve">  </w:t>
      </w:r>
      <w:proofErr w:type="spellStart"/>
      <w:r w:rsidRPr="00557543">
        <w:rPr>
          <w:rFonts w:ascii="Arial" w:eastAsia="Arial" w:hAnsi="Arial" w:cs="Arial"/>
          <w:color w:val="000000" w:themeColor="text1"/>
          <w:sz w:val="20"/>
        </w:rPr>
        <w:t>methodica</w:t>
      </w:r>
      <w:proofErr w:type="spellEnd"/>
      <w:proofErr w:type="gramEnd"/>
      <w:r w:rsidRPr="00557543">
        <w:rPr>
          <w:rFonts w:ascii="Arial" w:eastAsia="Arial" w:hAnsi="Arial" w:cs="Arial"/>
          <w:color w:val="000000" w:themeColor="text1"/>
          <w:sz w:val="20"/>
        </w:rPr>
        <w:t xml:space="preserve">  </w:t>
      </w:r>
      <w:proofErr w:type="spellStart"/>
      <w:r w:rsidRPr="00557543">
        <w:rPr>
          <w:rFonts w:ascii="Arial" w:eastAsia="Arial" w:hAnsi="Arial" w:cs="Arial"/>
          <w:color w:val="000000" w:themeColor="text1"/>
          <w:sz w:val="20"/>
        </w:rPr>
        <w:t>fungorum</w:t>
      </w:r>
      <w:proofErr w:type="spellEnd"/>
      <w:r w:rsidRPr="00557543">
        <w:rPr>
          <w:rFonts w:ascii="Arial" w:eastAsia="Arial" w:hAnsi="Arial" w:cs="Arial"/>
          <w:color w:val="000000" w:themeColor="text1"/>
          <w:sz w:val="20"/>
        </w:rPr>
        <w:t xml:space="preserve">.  </w:t>
      </w:r>
      <w:proofErr w:type="spellStart"/>
      <w:proofErr w:type="gramStart"/>
      <w:r w:rsidRPr="00557543">
        <w:rPr>
          <w:rFonts w:ascii="Arial" w:eastAsia="Arial" w:hAnsi="Arial" w:cs="Arial"/>
          <w:color w:val="000000" w:themeColor="text1"/>
          <w:sz w:val="20"/>
        </w:rPr>
        <w:t>Römer’s</w:t>
      </w:r>
      <w:proofErr w:type="spellEnd"/>
      <w:r w:rsidRPr="00557543">
        <w:rPr>
          <w:rFonts w:ascii="Arial" w:eastAsia="Arial" w:hAnsi="Arial" w:cs="Arial"/>
          <w:color w:val="000000" w:themeColor="text1"/>
          <w:sz w:val="20"/>
        </w:rPr>
        <w:t xml:space="preserve">  </w:t>
      </w:r>
      <w:proofErr w:type="spellStart"/>
      <w:r w:rsidRPr="00557543">
        <w:rPr>
          <w:rFonts w:ascii="Arial" w:eastAsia="Arial" w:hAnsi="Arial" w:cs="Arial"/>
          <w:color w:val="000000" w:themeColor="text1"/>
          <w:sz w:val="20"/>
        </w:rPr>
        <w:t>Neues</w:t>
      </w:r>
      <w:proofErr w:type="spellEnd"/>
      <w:proofErr w:type="gramEnd"/>
      <w:r w:rsidRPr="00557543">
        <w:rPr>
          <w:rFonts w:ascii="Arial" w:eastAsia="Arial" w:hAnsi="Arial" w:cs="Arial"/>
          <w:color w:val="000000" w:themeColor="text1"/>
          <w:sz w:val="20"/>
        </w:rPr>
        <w:t xml:space="preserve">  Mag. Bot. 1794;1:81-128.</w:t>
      </w:r>
    </w:p>
    <w:p w:rsidR="005B4297" w:rsidRPr="00557543" w:rsidRDefault="00767F5A" w:rsidP="00F641FE">
      <w:pPr>
        <w:spacing w:after="0" w:line="360" w:lineRule="auto"/>
        <w:ind w:left="654" w:hangingChars="327" w:hanging="654"/>
        <w:jc w:val="both"/>
        <w:rPr>
          <w:rFonts w:ascii="Arial" w:eastAsia="Arial" w:hAnsi="Arial" w:cs="Arial"/>
          <w:color w:val="000000" w:themeColor="text1"/>
          <w:sz w:val="20"/>
          <w:shd w:val="clear" w:color="auto" w:fill="FFFFFF"/>
        </w:rPr>
      </w:pPr>
      <w:r w:rsidRPr="00557543">
        <w:rPr>
          <w:rFonts w:ascii="Arial" w:eastAsia="Arial" w:hAnsi="Arial" w:cs="Arial"/>
          <w:color w:val="000000" w:themeColor="text1"/>
          <w:sz w:val="20"/>
          <w:shd w:val="clear" w:color="auto" w:fill="FFFFFF"/>
        </w:rPr>
        <w:t xml:space="preserve">Rajesh K, Ramya V, </w:t>
      </w:r>
      <w:proofErr w:type="spellStart"/>
      <w:r w:rsidRPr="00557543">
        <w:rPr>
          <w:rFonts w:ascii="Arial" w:eastAsia="Arial" w:hAnsi="Arial" w:cs="Arial"/>
          <w:color w:val="000000" w:themeColor="text1"/>
          <w:sz w:val="20"/>
          <w:shd w:val="clear" w:color="auto" w:fill="FFFFFF"/>
        </w:rPr>
        <w:t>Basha</w:t>
      </w:r>
      <w:proofErr w:type="spellEnd"/>
      <w:r w:rsidRPr="00557543">
        <w:rPr>
          <w:rFonts w:ascii="Arial" w:eastAsia="Arial" w:hAnsi="Arial" w:cs="Arial"/>
          <w:color w:val="000000" w:themeColor="text1"/>
          <w:sz w:val="20"/>
          <w:shd w:val="clear" w:color="auto" w:fill="FFFFFF"/>
        </w:rPr>
        <w:t xml:space="preserve"> SA, </w:t>
      </w:r>
      <w:proofErr w:type="spellStart"/>
      <w:r w:rsidRPr="00557543">
        <w:rPr>
          <w:rFonts w:ascii="Arial" w:eastAsia="Arial" w:hAnsi="Arial" w:cs="Arial"/>
          <w:color w:val="000000" w:themeColor="text1"/>
          <w:sz w:val="20"/>
          <w:shd w:val="clear" w:color="auto" w:fill="FFFFFF"/>
        </w:rPr>
        <w:t>Pushpavalli</w:t>
      </w:r>
      <w:proofErr w:type="spellEnd"/>
      <w:r w:rsidRPr="00557543">
        <w:rPr>
          <w:rFonts w:ascii="Arial" w:eastAsia="Arial" w:hAnsi="Arial" w:cs="Arial"/>
          <w:color w:val="000000" w:themeColor="text1"/>
          <w:sz w:val="20"/>
          <w:shd w:val="clear" w:color="auto" w:fill="FFFFFF"/>
        </w:rPr>
        <w:t xml:space="preserve"> SNCVL, Aravind K. In vitro compatibility of </w:t>
      </w:r>
      <w:r w:rsidRPr="00557543">
        <w:rPr>
          <w:rFonts w:ascii="Arial" w:eastAsia="Arial" w:hAnsi="Arial" w:cs="Arial"/>
          <w:i/>
          <w:color w:val="000000" w:themeColor="text1"/>
          <w:sz w:val="20"/>
          <w:shd w:val="clear" w:color="auto" w:fill="FFFFFF"/>
        </w:rPr>
        <w:t>Trichoderma</w:t>
      </w:r>
      <w:r w:rsidRPr="00557543">
        <w:rPr>
          <w:rFonts w:ascii="Arial" w:eastAsia="Arial" w:hAnsi="Arial" w:cs="Arial"/>
          <w:color w:val="000000" w:themeColor="text1"/>
          <w:sz w:val="20"/>
          <w:shd w:val="clear" w:color="auto" w:fill="FFFFFF"/>
        </w:rPr>
        <w:t xml:space="preserve"> and </w:t>
      </w:r>
      <w:r w:rsidRPr="00557543">
        <w:rPr>
          <w:rFonts w:ascii="Arial" w:eastAsia="Arial" w:hAnsi="Arial" w:cs="Arial"/>
          <w:i/>
          <w:color w:val="000000" w:themeColor="text1"/>
          <w:sz w:val="20"/>
          <w:shd w:val="clear" w:color="auto" w:fill="FFFFFF"/>
        </w:rPr>
        <w:t>Bacillus</w:t>
      </w:r>
      <w:r w:rsidRPr="00557543">
        <w:rPr>
          <w:rFonts w:ascii="Arial" w:eastAsia="Arial" w:hAnsi="Arial" w:cs="Arial"/>
          <w:color w:val="000000" w:themeColor="text1"/>
          <w:sz w:val="20"/>
          <w:shd w:val="clear" w:color="auto" w:fill="FFFFFF"/>
        </w:rPr>
        <w:t xml:space="preserve"> biocontrol agents with different fungicides. International Journal</w:t>
      </w:r>
      <w:r w:rsidRPr="00557543">
        <w:rPr>
          <w:rFonts w:ascii="Arial" w:eastAsia="Arial" w:hAnsi="Arial" w:cs="Arial"/>
          <w:i/>
          <w:color w:val="000000" w:themeColor="text1"/>
          <w:sz w:val="20"/>
          <w:shd w:val="clear" w:color="auto" w:fill="FFFFFF"/>
        </w:rPr>
        <w:t xml:space="preserve"> </w:t>
      </w:r>
      <w:r w:rsidRPr="00557543">
        <w:rPr>
          <w:rFonts w:ascii="Arial" w:eastAsia="Arial" w:hAnsi="Arial" w:cs="Arial"/>
          <w:color w:val="000000" w:themeColor="text1"/>
          <w:sz w:val="20"/>
          <w:shd w:val="clear" w:color="auto" w:fill="FFFFFF"/>
        </w:rPr>
        <w:t>of Environment and Climate Change. 2023;13(9):3340-3353.</w:t>
      </w:r>
    </w:p>
    <w:p w:rsidR="005B4297" w:rsidRPr="00557543" w:rsidRDefault="00767F5A" w:rsidP="00F641FE">
      <w:pPr>
        <w:spacing w:after="160" w:line="360" w:lineRule="auto"/>
        <w:ind w:left="654" w:hangingChars="327" w:hanging="654"/>
        <w:jc w:val="both"/>
        <w:rPr>
          <w:rFonts w:ascii="Arial" w:eastAsia="Arial" w:hAnsi="Arial" w:cs="Arial"/>
          <w:color w:val="000000" w:themeColor="text1"/>
          <w:sz w:val="20"/>
          <w:shd w:val="clear" w:color="auto" w:fill="FFFFFF"/>
        </w:rPr>
      </w:pPr>
      <w:proofErr w:type="spellStart"/>
      <w:r w:rsidRPr="00557543">
        <w:rPr>
          <w:rFonts w:ascii="Arial" w:eastAsia="Arial" w:hAnsi="Arial" w:cs="Arial"/>
          <w:color w:val="000000" w:themeColor="text1"/>
          <w:sz w:val="20"/>
          <w:shd w:val="clear" w:color="auto" w:fill="FFFFFF"/>
        </w:rPr>
        <w:t>Ranganathswamy</w:t>
      </w:r>
      <w:proofErr w:type="spellEnd"/>
      <w:r w:rsidRPr="00557543">
        <w:rPr>
          <w:rFonts w:ascii="Arial" w:eastAsia="Arial" w:hAnsi="Arial" w:cs="Arial"/>
          <w:color w:val="000000" w:themeColor="text1"/>
          <w:sz w:val="20"/>
          <w:shd w:val="clear" w:color="auto" w:fill="FFFFFF"/>
        </w:rPr>
        <w:t xml:space="preserve"> M, </w:t>
      </w:r>
      <w:proofErr w:type="spellStart"/>
      <w:r w:rsidRPr="00557543">
        <w:rPr>
          <w:rFonts w:ascii="Arial" w:eastAsia="Arial" w:hAnsi="Arial" w:cs="Arial"/>
          <w:color w:val="000000" w:themeColor="text1"/>
          <w:sz w:val="20"/>
          <w:shd w:val="clear" w:color="auto" w:fill="FFFFFF"/>
        </w:rPr>
        <w:t>Patibanda</w:t>
      </w:r>
      <w:proofErr w:type="spellEnd"/>
      <w:r w:rsidRPr="00557543">
        <w:rPr>
          <w:rFonts w:ascii="Arial" w:eastAsia="Arial" w:hAnsi="Arial" w:cs="Arial"/>
          <w:color w:val="000000" w:themeColor="text1"/>
          <w:sz w:val="20"/>
          <w:shd w:val="clear" w:color="auto" w:fill="FFFFFF"/>
        </w:rPr>
        <w:t xml:space="preserve"> AK, Chandrashekhar GS, Sandeep D, </w:t>
      </w:r>
      <w:proofErr w:type="spellStart"/>
      <w:r w:rsidRPr="00557543">
        <w:rPr>
          <w:rFonts w:ascii="Arial" w:eastAsia="Arial" w:hAnsi="Arial" w:cs="Arial"/>
          <w:color w:val="000000" w:themeColor="text1"/>
          <w:sz w:val="20"/>
          <w:shd w:val="clear" w:color="auto" w:fill="FFFFFF"/>
        </w:rPr>
        <w:t>Mallesh</w:t>
      </w:r>
      <w:proofErr w:type="spellEnd"/>
      <w:r w:rsidRPr="00557543">
        <w:rPr>
          <w:rFonts w:ascii="Arial" w:eastAsia="Arial" w:hAnsi="Arial" w:cs="Arial"/>
          <w:color w:val="000000" w:themeColor="text1"/>
          <w:sz w:val="20"/>
          <w:shd w:val="clear" w:color="auto" w:fill="FFFFFF"/>
        </w:rPr>
        <w:t xml:space="preserve"> SB, Kumar HH. Compatibility of </w:t>
      </w:r>
      <w:r w:rsidRPr="00557543">
        <w:rPr>
          <w:rFonts w:ascii="Arial" w:eastAsia="Arial" w:hAnsi="Arial" w:cs="Arial"/>
          <w:i/>
          <w:color w:val="000000" w:themeColor="text1"/>
          <w:sz w:val="20"/>
          <w:shd w:val="clear" w:color="auto" w:fill="FFFFFF"/>
        </w:rPr>
        <w:t>Trichoderma</w:t>
      </w:r>
      <w:r w:rsidRPr="00557543">
        <w:rPr>
          <w:rFonts w:ascii="Arial" w:eastAsia="Arial" w:hAnsi="Arial" w:cs="Arial"/>
          <w:color w:val="000000" w:themeColor="text1"/>
          <w:sz w:val="20"/>
          <w:shd w:val="clear" w:color="auto" w:fill="FFFFFF"/>
        </w:rPr>
        <w:t xml:space="preserve"> isolates with selected fungicides </w:t>
      </w:r>
      <w:r w:rsidRPr="00557543">
        <w:rPr>
          <w:rFonts w:ascii="Arial" w:eastAsia="Arial" w:hAnsi="Arial" w:cs="Arial"/>
          <w:i/>
          <w:color w:val="000000" w:themeColor="text1"/>
          <w:sz w:val="20"/>
          <w:shd w:val="clear" w:color="auto" w:fill="FFFFFF"/>
        </w:rPr>
        <w:t>in vitro</w:t>
      </w:r>
      <w:r w:rsidRPr="00557543">
        <w:rPr>
          <w:rFonts w:ascii="Arial" w:eastAsia="Arial" w:hAnsi="Arial" w:cs="Arial"/>
          <w:color w:val="000000" w:themeColor="text1"/>
          <w:sz w:val="20"/>
          <w:shd w:val="clear" w:color="auto" w:fill="FFFFFF"/>
        </w:rPr>
        <w:t>. International Journal of Plant Protection</w:t>
      </w:r>
      <w:r w:rsidRPr="00557543">
        <w:rPr>
          <w:rFonts w:ascii="Arial" w:eastAsia="Arial" w:hAnsi="Arial" w:cs="Arial"/>
          <w:i/>
          <w:color w:val="000000" w:themeColor="text1"/>
          <w:sz w:val="20"/>
          <w:shd w:val="clear" w:color="auto" w:fill="FFFFFF"/>
        </w:rPr>
        <w:t xml:space="preserve">. </w:t>
      </w:r>
      <w:r w:rsidRPr="00557543">
        <w:rPr>
          <w:rFonts w:ascii="Arial" w:eastAsia="Arial" w:hAnsi="Arial" w:cs="Arial"/>
          <w:color w:val="000000" w:themeColor="text1"/>
          <w:sz w:val="20"/>
          <w:shd w:val="clear" w:color="auto" w:fill="FFFFFF"/>
        </w:rPr>
        <w:t>2012;5(1):12-15.</w:t>
      </w:r>
    </w:p>
    <w:p w:rsidR="005B4297" w:rsidRPr="00557543" w:rsidRDefault="00767F5A" w:rsidP="00F641FE">
      <w:pPr>
        <w:spacing w:after="0" w:line="360" w:lineRule="auto"/>
        <w:ind w:left="654" w:hangingChars="327" w:hanging="654"/>
        <w:jc w:val="both"/>
        <w:rPr>
          <w:rFonts w:ascii="Arial" w:eastAsia="Arial" w:hAnsi="Arial" w:cs="Arial"/>
          <w:color w:val="000000" w:themeColor="text1"/>
          <w:sz w:val="20"/>
          <w:shd w:val="clear" w:color="auto" w:fill="FFFFFF"/>
        </w:rPr>
      </w:pPr>
      <w:r w:rsidRPr="00557543">
        <w:rPr>
          <w:rFonts w:ascii="Arial" w:eastAsia="Arial" w:hAnsi="Arial" w:cs="Arial"/>
          <w:color w:val="000000" w:themeColor="text1"/>
          <w:sz w:val="20"/>
          <w:shd w:val="clear" w:color="auto" w:fill="FFFFFF"/>
        </w:rPr>
        <w:t xml:space="preserve">Silva MAFD, Moura KED, Moura KED, </w:t>
      </w:r>
      <w:proofErr w:type="spellStart"/>
      <w:r w:rsidRPr="00557543">
        <w:rPr>
          <w:rFonts w:ascii="Arial" w:eastAsia="Arial" w:hAnsi="Arial" w:cs="Arial"/>
          <w:color w:val="000000" w:themeColor="text1"/>
          <w:sz w:val="20"/>
          <w:shd w:val="clear" w:color="auto" w:fill="FFFFFF"/>
        </w:rPr>
        <w:t>Salomão</w:t>
      </w:r>
      <w:proofErr w:type="spellEnd"/>
      <w:r w:rsidRPr="00557543">
        <w:rPr>
          <w:rFonts w:ascii="Arial" w:eastAsia="Arial" w:hAnsi="Arial" w:cs="Arial"/>
          <w:color w:val="000000" w:themeColor="text1"/>
          <w:sz w:val="20"/>
          <w:shd w:val="clear" w:color="auto" w:fill="FFFFFF"/>
        </w:rPr>
        <w:t xml:space="preserve"> D, Patricio FRA. Compatibility of Trichoderma isolates with pesticides used in lettuce crop. Summa </w:t>
      </w:r>
      <w:proofErr w:type="spellStart"/>
      <w:r w:rsidRPr="00557543">
        <w:rPr>
          <w:rFonts w:ascii="Arial" w:eastAsia="Arial" w:hAnsi="Arial" w:cs="Arial"/>
          <w:color w:val="000000" w:themeColor="text1"/>
          <w:sz w:val="20"/>
          <w:shd w:val="clear" w:color="auto" w:fill="FFFFFF"/>
        </w:rPr>
        <w:t>Phytopathologica</w:t>
      </w:r>
      <w:proofErr w:type="spellEnd"/>
      <w:r w:rsidRPr="00557543">
        <w:rPr>
          <w:rFonts w:ascii="Arial" w:eastAsia="Arial" w:hAnsi="Arial" w:cs="Arial"/>
          <w:color w:val="000000" w:themeColor="text1"/>
          <w:sz w:val="20"/>
          <w:shd w:val="clear" w:color="auto" w:fill="FFFFFF"/>
        </w:rPr>
        <w:t>. 2018:44:137-142.</w:t>
      </w:r>
    </w:p>
    <w:p w:rsidR="005B4297" w:rsidRPr="00557543" w:rsidRDefault="00767F5A" w:rsidP="00F641FE">
      <w:pPr>
        <w:spacing w:after="0" w:line="360" w:lineRule="auto"/>
        <w:ind w:left="654" w:hangingChars="327" w:hanging="654"/>
        <w:jc w:val="both"/>
        <w:rPr>
          <w:rFonts w:ascii="Arial" w:eastAsia="Arial" w:hAnsi="Arial" w:cs="Arial"/>
          <w:color w:val="000000" w:themeColor="text1"/>
          <w:sz w:val="20"/>
        </w:rPr>
      </w:pPr>
      <w:proofErr w:type="spellStart"/>
      <w:r w:rsidRPr="00557543">
        <w:rPr>
          <w:rFonts w:ascii="Arial" w:eastAsia="Arial" w:hAnsi="Arial" w:cs="Arial"/>
          <w:color w:val="000000" w:themeColor="text1"/>
          <w:sz w:val="20"/>
          <w:shd w:val="clear" w:color="auto" w:fill="FFFFFF"/>
        </w:rPr>
        <w:t>Sumiya</w:t>
      </w:r>
      <w:proofErr w:type="spellEnd"/>
      <w:r w:rsidRPr="00557543">
        <w:rPr>
          <w:rFonts w:ascii="Arial" w:eastAsia="Arial" w:hAnsi="Arial" w:cs="Arial"/>
          <w:color w:val="000000" w:themeColor="text1"/>
          <w:sz w:val="20"/>
          <w:shd w:val="clear" w:color="auto" w:fill="FFFFFF"/>
        </w:rPr>
        <w:t xml:space="preserve"> KV, Raji P, </w:t>
      </w:r>
      <w:proofErr w:type="spellStart"/>
      <w:r w:rsidRPr="00557543">
        <w:rPr>
          <w:rFonts w:ascii="Arial" w:eastAsia="Arial" w:hAnsi="Arial" w:cs="Arial"/>
          <w:color w:val="000000" w:themeColor="text1"/>
          <w:sz w:val="20"/>
          <w:shd w:val="clear" w:color="auto" w:fill="FFFFFF"/>
        </w:rPr>
        <w:t>Resmi</w:t>
      </w:r>
      <w:proofErr w:type="spellEnd"/>
      <w:r w:rsidRPr="00557543">
        <w:rPr>
          <w:rFonts w:ascii="Arial" w:eastAsia="Arial" w:hAnsi="Arial" w:cs="Arial"/>
          <w:color w:val="000000" w:themeColor="text1"/>
          <w:sz w:val="20"/>
          <w:shd w:val="clear" w:color="auto" w:fill="FFFFFF"/>
        </w:rPr>
        <w:t xml:space="preserve"> J, </w:t>
      </w:r>
      <w:proofErr w:type="spellStart"/>
      <w:r w:rsidRPr="00557543">
        <w:rPr>
          <w:rFonts w:ascii="Arial" w:eastAsia="Arial" w:hAnsi="Arial" w:cs="Arial"/>
          <w:color w:val="000000" w:themeColor="text1"/>
          <w:sz w:val="20"/>
          <w:shd w:val="clear" w:color="auto" w:fill="FFFFFF"/>
        </w:rPr>
        <w:t>Yoonus</w:t>
      </w:r>
      <w:proofErr w:type="spellEnd"/>
      <w:r w:rsidRPr="00557543">
        <w:rPr>
          <w:rFonts w:ascii="Arial" w:eastAsia="Arial" w:hAnsi="Arial" w:cs="Arial"/>
          <w:color w:val="000000" w:themeColor="text1"/>
          <w:sz w:val="20"/>
          <w:shd w:val="clear" w:color="auto" w:fill="FFFFFF"/>
        </w:rPr>
        <w:t xml:space="preserve"> P. Compatibility of </w:t>
      </w:r>
      <w:r w:rsidRPr="00557543">
        <w:rPr>
          <w:rFonts w:ascii="Arial" w:eastAsia="Arial" w:hAnsi="Arial" w:cs="Arial"/>
          <w:i/>
          <w:color w:val="000000" w:themeColor="text1"/>
          <w:sz w:val="20"/>
          <w:shd w:val="clear" w:color="auto" w:fill="FFFFFF"/>
        </w:rPr>
        <w:t xml:space="preserve">Trichoderma </w:t>
      </w:r>
      <w:proofErr w:type="spellStart"/>
      <w:r w:rsidRPr="00557543">
        <w:rPr>
          <w:rFonts w:ascii="Arial" w:eastAsia="Arial" w:hAnsi="Arial" w:cs="Arial"/>
          <w:i/>
          <w:color w:val="000000" w:themeColor="text1"/>
          <w:sz w:val="20"/>
          <w:shd w:val="clear" w:color="auto" w:fill="FFFFFF"/>
        </w:rPr>
        <w:t>asperellum</w:t>
      </w:r>
      <w:proofErr w:type="spellEnd"/>
      <w:r w:rsidRPr="00557543">
        <w:rPr>
          <w:rFonts w:ascii="Arial" w:eastAsia="Arial" w:hAnsi="Arial" w:cs="Arial"/>
          <w:color w:val="000000" w:themeColor="text1"/>
          <w:sz w:val="20"/>
          <w:shd w:val="clear" w:color="auto" w:fill="FFFFFF"/>
        </w:rPr>
        <w:t xml:space="preserve"> with some selected fungicides and insecticides. Journal of Krishi Vigyan. 2024;2(4)763-770.</w:t>
      </w:r>
    </w:p>
    <w:p w:rsidR="005B4297" w:rsidRPr="00557543" w:rsidRDefault="00767F5A" w:rsidP="00F641FE">
      <w:pPr>
        <w:spacing w:after="0" w:line="360" w:lineRule="auto"/>
        <w:ind w:left="654" w:hangingChars="327" w:hanging="654"/>
        <w:jc w:val="both"/>
        <w:rPr>
          <w:rFonts w:ascii="Arial" w:eastAsia="Arial" w:hAnsi="Arial" w:cs="Arial"/>
          <w:color w:val="000000" w:themeColor="text1"/>
          <w:sz w:val="20"/>
        </w:rPr>
      </w:pPr>
      <w:r w:rsidRPr="00557543">
        <w:rPr>
          <w:rFonts w:ascii="Arial" w:eastAsia="Arial" w:hAnsi="Arial" w:cs="Arial"/>
          <w:color w:val="000000" w:themeColor="text1"/>
          <w:sz w:val="20"/>
        </w:rPr>
        <w:t>Vincent JM. Distortion of fungal hyphae in the presence of certain inhibitors. Nature</w:t>
      </w:r>
      <w:r w:rsidRPr="00557543">
        <w:rPr>
          <w:rFonts w:ascii="Arial" w:eastAsia="Arial" w:hAnsi="Arial" w:cs="Arial"/>
          <w:i/>
          <w:color w:val="000000" w:themeColor="text1"/>
          <w:sz w:val="20"/>
        </w:rPr>
        <w:t>.</w:t>
      </w:r>
      <w:r w:rsidRPr="00557543">
        <w:rPr>
          <w:rFonts w:ascii="Arial" w:eastAsia="Arial" w:hAnsi="Arial" w:cs="Arial"/>
          <w:color w:val="000000" w:themeColor="text1"/>
          <w:sz w:val="20"/>
        </w:rPr>
        <w:t>1947;159(4051):850-850.</w:t>
      </w:r>
    </w:p>
    <w:p w:rsidR="005B4297" w:rsidRPr="00557543" w:rsidRDefault="00F641FE" w:rsidP="00F641FE">
      <w:pPr>
        <w:tabs>
          <w:tab w:val="left" w:pos="3517"/>
        </w:tabs>
        <w:spacing w:before="120" w:after="160" w:line="240" w:lineRule="auto"/>
        <w:ind w:left="654" w:hangingChars="327" w:hanging="654"/>
        <w:jc w:val="both"/>
        <w:rPr>
          <w:rFonts w:ascii="Arial" w:eastAsia="Arial" w:hAnsi="Arial" w:cs="Arial"/>
          <w:color w:val="000000" w:themeColor="text1"/>
          <w:sz w:val="20"/>
        </w:rPr>
      </w:pPr>
      <w:r w:rsidRPr="00557543">
        <w:rPr>
          <w:rFonts w:ascii="Arial" w:eastAsia="Arial" w:hAnsi="Arial" w:cs="Arial"/>
          <w:color w:val="000000" w:themeColor="text1"/>
          <w:sz w:val="20"/>
        </w:rPr>
        <w:tab/>
      </w:r>
    </w:p>
    <w:p w:rsidR="00964C45" w:rsidRPr="00557543" w:rsidRDefault="00964C45" w:rsidP="00F641FE">
      <w:pPr>
        <w:spacing w:before="120" w:after="160" w:line="240" w:lineRule="auto"/>
        <w:ind w:left="654" w:hangingChars="327" w:hanging="654"/>
        <w:jc w:val="both"/>
        <w:rPr>
          <w:rFonts w:ascii="Arial" w:eastAsia="Arial" w:hAnsi="Arial" w:cs="Arial"/>
          <w:color w:val="000000" w:themeColor="text1"/>
          <w:sz w:val="20"/>
        </w:rPr>
      </w:pPr>
    </w:p>
    <w:p w:rsidR="00964C45" w:rsidRPr="00557543" w:rsidRDefault="00964C45" w:rsidP="00F641FE">
      <w:pPr>
        <w:spacing w:before="120" w:after="160" w:line="240" w:lineRule="auto"/>
        <w:ind w:left="654" w:hangingChars="327" w:hanging="654"/>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557543" w:rsidRDefault="00964C45">
      <w:pPr>
        <w:spacing w:before="120" w:after="160" w:line="240" w:lineRule="auto"/>
        <w:ind w:firstLine="720"/>
        <w:jc w:val="both"/>
        <w:rPr>
          <w:rFonts w:ascii="Arial" w:eastAsia="Arial" w:hAnsi="Arial" w:cs="Arial"/>
          <w:color w:val="000000" w:themeColor="text1"/>
          <w:sz w:val="20"/>
        </w:rPr>
      </w:pPr>
    </w:p>
    <w:p w:rsidR="00964C45" w:rsidRPr="00964C45" w:rsidRDefault="00964C45" w:rsidP="00964C45">
      <w:pPr>
        <w:spacing w:before="120" w:after="160" w:line="240" w:lineRule="auto"/>
        <w:jc w:val="both"/>
        <w:rPr>
          <w:rFonts w:ascii="Arial" w:eastAsia="Arial" w:hAnsi="Arial" w:cs="Arial"/>
          <w:b/>
          <w:sz w:val="20"/>
        </w:rPr>
      </w:pPr>
      <w:r>
        <w:rPr>
          <w:rFonts w:ascii="Arial" w:eastAsia="Arial" w:hAnsi="Arial" w:cs="Arial"/>
          <w:b/>
          <w:sz w:val="20"/>
        </w:rPr>
        <w:t>Table 1-</w:t>
      </w:r>
      <w:r>
        <w:rPr>
          <w:rFonts w:ascii="Arial" w:eastAsia="Arial" w:hAnsi="Arial" w:cs="Arial"/>
          <w:sz w:val="20"/>
        </w:rPr>
        <w:t xml:space="preserve"> </w:t>
      </w:r>
      <w:r>
        <w:rPr>
          <w:rFonts w:ascii="Arial" w:eastAsia="Arial" w:hAnsi="Arial" w:cs="Arial"/>
          <w:b/>
          <w:sz w:val="20"/>
        </w:rPr>
        <w:t>Compatibility of</w:t>
      </w:r>
      <w:r w:rsidR="00767F5A">
        <w:rPr>
          <w:rFonts w:ascii="Arial" w:eastAsia="Arial" w:hAnsi="Arial" w:cs="Arial"/>
          <w:b/>
          <w:sz w:val="20"/>
        </w:rPr>
        <w:t xml:space="preserve"> </w:t>
      </w:r>
      <w:r w:rsidRPr="00964C45">
        <w:rPr>
          <w:rFonts w:ascii="Arial" w:eastAsia="Arial" w:hAnsi="Arial" w:cs="Arial"/>
          <w:b/>
          <w:i/>
          <w:sz w:val="20"/>
        </w:rPr>
        <w:t xml:space="preserve">Trichoderma </w:t>
      </w:r>
      <w:proofErr w:type="spellStart"/>
      <w:r w:rsidRPr="00964C45">
        <w:rPr>
          <w:rFonts w:ascii="Arial" w:eastAsia="Arial" w:hAnsi="Arial" w:cs="Arial"/>
          <w:b/>
          <w:i/>
          <w:sz w:val="20"/>
        </w:rPr>
        <w:t>asperellum</w:t>
      </w:r>
      <w:proofErr w:type="spellEnd"/>
      <w:r>
        <w:rPr>
          <w:rFonts w:ascii="Arial" w:eastAsia="Arial" w:hAnsi="Arial" w:cs="Arial"/>
          <w:b/>
          <w:sz w:val="20"/>
        </w:rPr>
        <w:t xml:space="preserve"> with fungicides under </w:t>
      </w:r>
      <w:r>
        <w:rPr>
          <w:rFonts w:ascii="Arial" w:eastAsia="Arial" w:hAnsi="Arial" w:cs="Arial"/>
          <w:b/>
          <w:i/>
          <w:sz w:val="20"/>
        </w:rPr>
        <w:t>in vitro</w:t>
      </w:r>
      <w:r>
        <w:rPr>
          <w:rFonts w:ascii="Arial" w:eastAsia="Arial" w:hAnsi="Arial" w:cs="Arial"/>
          <w:b/>
          <w:sz w:val="20"/>
        </w:rPr>
        <w:t xml:space="preserve">   </w:t>
      </w:r>
      <w:r>
        <w:rPr>
          <w:rFonts w:ascii="Arial" w:eastAsia="Arial" w:hAnsi="Arial" w:cs="Arial"/>
          <w:b/>
          <w:sz w:val="20"/>
        </w:rPr>
        <w:br/>
        <w:t xml:space="preserve">                conditions.</w:t>
      </w:r>
    </w:p>
    <w:tbl>
      <w:tblPr>
        <w:tblW w:w="9046" w:type="dxa"/>
        <w:tblInd w:w="98" w:type="dxa"/>
        <w:tblLayout w:type="fixed"/>
        <w:tblCellMar>
          <w:left w:w="10" w:type="dxa"/>
          <w:right w:w="10" w:type="dxa"/>
        </w:tblCellMar>
        <w:tblLook w:val="0000" w:firstRow="0" w:lastRow="0" w:firstColumn="0" w:lastColumn="0" w:noHBand="0" w:noVBand="0"/>
      </w:tblPr>
      <w:tblGrid>
        <w:gridCol w:w="550"/>
        <w:gridCol w:w="4590"/>
        <w:gridCol w:w="810"/>
        <w:gridCol w:w="1350"/>
        <w:gridCol w:w="1746"/>
      </w:tblGrid>
      <w:tr w:rsidR="005B4297" w:rsidTr="00385C35">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spacing w:after="0" w:line="240" w:lineRule="auto"/>
              <w:jc w:val="center"/>
              <w:rPr>
                <w:rFonts w:ascii="Calibri" w:eastAsia="Calibri" w:hAnsi="Calibri" w:cs="Calibri"/>
              </w:rPr>
            </w:pPr>
          </w:p>
        </w:tc>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rPr>
                <w:rFonts w:ascii="Arial" w:eastAsia="Arial" w:hAnsi="Arial" w:cs="Arial"/>
                <w:b/>
                <w:sz w:val="20"/>
              </w:rPr>
            </w:pPr>
            <w:r>
              <w:rPr>
                <w:rFonts w:ascii="Arial" w:eastAsia="Arial" w:hAnsi="Arial" w:cs="Arial"/>
                <w:b/>
                <w:sz w:val="20"/>
              </w:rPr>
              <w:t>Treatment</w:t>
            </w:r>
          </w:p>
          <w:p w:rsidR="005B4297" w:rsidRDefault="005B4297">
            <w:pPr>
              <w:spacing w:after="0" w:line="240" w:lineRule="auto"/>
              <w:jc w:val="cente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b/>
                <w:sz w:val="20"/>
              </w:rPr>
              <w:t>Concentration</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b/>
                <w:sz w:val="20"/>
              </w:rPr>
              <w:t>Mycelial Growth* (mm)</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b/>
                <w:sz w:val="20"/>
              </w:rPr>
              <w:t>Per</w:t>
            </w:r>
            <w:r w:rsidR="00385C35">
              <w:rPr>
                <w:rFonts w:ascii="Arial" w:eastAsia="Arial" w:hAnsi="Arial" w:cs="Arial"/>
                <w:b/>
                <w:sz w:val="20"/>
              </w:rPr>
              <w:t xml:space="preserve"> </w:t>
            </w:r>
            <w:r>
              <w:rPr>
                <w:rFonts w:ascii="Arial" w:eastAsia="Arial" w:hAnsi="Arial" w:cs="Arial"/>
                <w:b/>
                <w:sz w:val="20"/>
              </w:rPr>
              <w:t>cent Inhibition</w:t>
            </w:r>
            <w:r>
              <w:rPr>
                <w:rFonts w:ascii="Arial" w:eastAsia="Arial" w:hAnsi="Arial" w:cs="Arial"/>
                <w:b/>
                <w:sz w:val="20"/>
                <w:vertAlign w:val="superscript"/>
              </w:rPr>
              <w:t xml:space="preserve">* </w:t>
            </w:r>
            <w:r>
              <w:rPr>
                <w:rFonts w:ascii="Arial" w:eastAsia="Arial" w:hAnsi="Arial" w:cs="Arial"/>
                <w:b/>
                <w:sz w:val="20"/>
              </w:rPr>
              <w:t>(%)</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1</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tabs>
                <w:tab w:val="left" w:pos="1514"/>
                <w:tab w:val="center" w:pos="2294"/>
              </w:tabs>
              <w:spacing w:after="0" w:line="240" w:lineRule="auto"/>
              <w:ind w:right="-755"/>
            </w:pPr>
            <w:proofErr w:type="spellStart"/>
            <w:r>
              <w:rPr>
                <w:rFonts w:ascii="Arial" w:eastAsia="Arial" w:hAnsi="Arial" w:cs="Arial"/>
                <w:sz w:val="20"/>
              </w:rPr>
              <w:t>Metalaxyl</w:t>
            </w:r>
            <w:proofErr w:type="spellEnd"/>
            <w:r>
              <w:rPr>
                <w:rFonts w:ascii="Arial" w:eastAsia="Arial" w:hAnsi="Arial" w:cs="Arial"/>
                <w:sz w:val="20"/>
              </w:rPr>
              <w:t xml:space="preserve"> 35 SD</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385C35">
            <w:pPr>
              <w:tabs>
                <w:tab w:val="left" w:pos="936"/>
                <w:tab w:val="center" w:pos="1130"/>
              </w:tabs>
              <w:spacing w:after="0" w:line="240" w:lineRule="auto"/>
            </w:pPr>
            <w:r>
              <w:rPr>
                <w:rFonts w:ascii="Arial" w:eastAsia="Arial" w:hAnsi="Arial" w:cs="Arial"/>
                <w:sz w:val="20"/>
              </w:rPr>
              <w:t xml:space="preserve">      </w:t>
            </w:r>
            <w:r w:rsidR="00767F5A">
              <w:rPr>
                <w:rFonts w:ascii="Arial" w:eastAsia="Arial" w:hAnsi="Arial" w:cs="Arial"/>
                <w:sz w:val="20"/>
              </w:rPr>
              <w:t>250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 xml:space="preserve">90.00   </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0.00(0.</w:t>
            </w:r>
            <w:proofErr w:type="gramStart"/>
            <w:r>
              <w:rPr>
                <w:rFonts w:ascii="Arial" w:eastAsia="Arial" w:hAnsi="Arial" w:cs="Arial"/>
                <w:color w:val="000000"/>
                <w:sz w:val="20"/>
              </w:rPr>
              <w:t>00)</w:t>
            </w:r>
            <w:r>
              <w:rPr>
                <w:rFonts w:ascii="Arial" w:eastAsia="Arial" w:hAnsi="Arial" w:cs="Arial"/>
                <w:color w:val="000000"/>
                <w:sz w:val="20"/>
                <w:vertAlign w:val="superscript"/>
              </w:rPr>
              <w:t>*</w:t>
            </w:r>
            <w:proofErr w:type="gramEnd"/>
            <w:r>
              <w:rPr>
                <w:rFonts w:ascii="Arial" w:eastAsia="Arial" w:hAnsi="Arial" w:cs="Arial"/>
                <w:color w:val="000000"/>
                <w:sz w:val="20"/>
                <w:vertAlign w:val="superscript"/>
              </w:rPr>
              <w:t>*</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44.67</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50.37(45.21)</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750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23.00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74.44(59.63)</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2</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tabs>
                <w:tab w:val="left" w:pos="1329"/>
                <w:tab w:val="center" w:pos="2294"/>
              </w:tabs>
              <w:spacing w:after="0" w:line="240" w:lineRule="auto"/>
              <w:ind w:right="-755"/>
            </w:pPr>
            <w:r>
              <w:rPr>
                <w:rFonts w:ascii="Arial" w:eastAsia="Arial" w:hAnsi="Arial" w:cs="Arial"/>
                <w:sz w:val="20"/>
              </w:rPr>
              <w:t>Carbendazim 50 WP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3</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Mancozeb 75 WP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90.00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80.00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11.11(19.47)</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750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20.33</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77.40(61.62)</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4</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Thiram 75 WP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90.00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78.67</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12.59(20.78)</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22.00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75.56(60.36)</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5</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Carbendazim (12%) + Mancozeb (63%) 75 WP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6</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Thiram 37.5% + Carboxin 37.5</w:t>
            </w:r>
            <w:proofErr w:type="gramStart"/>
            <w:r>
              <w:rPr>
                <w:rFonts w:ascii="Arial" w:eastAsia="Arial" w:hAnsi="Arial" w:cs="Arial"/>
                <w:sz w:val="20"/>
              </w:rPr>
              <w:t>%  75</w:t>
            </w:r>
            <w:proofErr w:type="gramEnd"/>
            <w:r>
              <w:rPr>
                <w:rFonts w:ascii="Arial" w:eastAsia="Arial" w:hAnsi="Arial" w:cs="Arial"/>
                <w:sz w:val="20"/>
              </w:rPr>
              <w:t>WS</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90.00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23.67</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73.70(59.14)</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21.00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76.66(61.11)</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7</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Copper oxychloride 50 WP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90.00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24.33</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72.96(58.66)</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750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15.67</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82.59(65.34)</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8</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Hexaconazole 5 SC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25</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9</w:t>
            </w:r>
          </w:p>
        </w:tc>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Tebuconazole 25.9% w/w EC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25</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50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rPr>
                <w:rFonts w:ascii="Calibri" w:eastAsia="Calibri" w:hAnsi="Calibri"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100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100(90.00)</w:t>
            </w:r>
          </w:p>
        </w:tc>
      </w:tr>
      <w:tr w:rsidR="005B4297" w:rsidTr="00385C35">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T</w:t>
            </w:r>
            <w:r>
              <w:rPr>
                <w:rFonts w:ascii="Arial" w:eastAsia="Arial" w:hAnsi="Arial" w:cs="Arial"/>
                <w:sz w:val="20"/>
                <w:vertAlign w:val="subscript"/>
              </w:rPr>
              <w:t>10</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rsidP="00385C35">
            <w:pPr>
              <w:spacing w:after="0" w:line="240" w:lineRule="auto"/>
              <w:ind w:right="-755"/>
            </w:pPr>
            <w:r>
              <w:rPr>
                <w:rFonts w:ascii="Arial" w:eastAsia="Arial" w:hAnsi="Arial" w:cs="Arial"/>
                <w:sz w:val="20"/>
              </w:rPr>
              <w:t>Control</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90.00</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B4297" w:rsidRDefault="00767F5A">
            <w:pPr>
              <w:spacing w:after="0" w:line="240" w:lineRule="auto"/>
              <w:jc w:val="center"/>
            </w:pPr>
            <w:r>
              <w:rPr>
                <w:rFonts w:ascii="Arial" w:eastAsia="Arial" w:hAnsi="Arial" w:cs="Arial"/>
                <w:color w:val="000000"/>
                <w:sz w:val="20"/>
              </w:rPr>
              <w:t>0.00(0.00)</w:t>
            </w:r>
          </w:p>
        </w:tc>
      </w:tr>
      <w:tr w:rsidR="005B4297" w:rsidTr="00385C35">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spacing w:after="0" w:line="240" w:lineRule="auto"/>
              <w:rPr>
                <w:rFonts w:ascii="Calibri" w:eastAsia="Calibri" w:hAnsi="Calibri" w:cs="Calibri"/>
              </w:rPr>
            </w:pPr>
          </w:p>
        </w:tc>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 xml:space="preserve">S </w:t>
            </w:r>
            <w:proofErr w:type="spellStart"/>
            <w:r>
              <w:rPr>
                <w:rFonts w:ascii="Arial" w:eastAsia="Arial" w:hAnsi="Arial" w:cs="Arial"/>
                <w:sz w:val="20"/>
              </w:rPr>
              <w:t>Em</w:t>
            </w:r>
            <w:proofErr w:type="spellEnd"/>
            <w:r>
              <w:rPr>
                <w:rFonts w:ascii="Arial" w:eastAsia="Arial" w:hAnsi="Arial" w:cs="Arial"/>
                <w:sz w:val="20"/>
              </w:rPr>
              <w:t>±</w:t>
            </w:r>
          </w:p>
        </w:tc>
        <w:tc>
          <w:tcPr>
            <w:tcW w:w="39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pPr>
            <w:r>
              <w:rPr>
                <w:rFonts w:ascii="Arial" w:eastAsia="Arial" w:hAnsi="Arial" w:cs="Arial"/>
                <w:color w:val="000000"/>
                <w:sz w:val="20"/>
              </w:rPr>
              <w:t xml:space="preserve">                0.408</w:t>
            </w:r>
            <w:r>
              <w:rPr>
                <w:rFonts w:ascii="Arial" w:eastAsia="Arial" w:hAnsi="Arial" w:cs="Arial"/>
                <w:color w:val="000000"/>
                <w:sz w:val="20"/>
              </w:rPr>
              <w:tab/>
            </w:r>
          </w:p>
        </w:tc>
      </w:tr>
      <w:tr w:rsidR="005B4297" w:rsidTr="00385C35">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5B4297">
            <w:pPr>
              <w:spacing w:after="0" w:line="240" w:lineRule="auto"/>
              <w:rPr>
                <w:rFonts w:ascii="Calibri" w:eastAsia="Calibri" w:hAnsi="Calibri" w:cs="Calibri"/>
              </w:rPr>
            </w:pPr>
          </w:p>
        </w:tc>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jc w:val="center"/>
            </w:pPr>
            <w:r>
              <w:rPr>
                <w:rFonts w:ascii="Arial" w:eastAsia="Arial" w:hAnsi="Arial" w:cs="Arial"/>
                <w:sz w:val="20"/>
              </w:rPr>
              <w:t>CD at 0.05</w:t>
            </w:r>
          </w:p>
        </w:tc>
        <w:tc>
          <w:tcPr>
            <w:tcW w:w="39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4297" w:rsidRDefault="00767F5A">
            <w:pPr>
              <w:spacing w:after="0" w:line="240" w:lineRule="auto"/>
            </w:pPr>
            <w:r>
              <w:rPr>
                <w:rFonts w:ascii="Arial" w:eastAsia="Arial" w:hAnsi="Arial" w:cs="Arial"/>
                <w:sz w:val="20"/>
              </w:rPr>
              <w:t xml:space="preserve">                  1.16</w:t>
            </w:r>
            <w:r>
              <w:rPr>
                <w:rFonts w:ascii="Arial" w:eastAsia="Arial" w:hAnsi="Arial" w:cs="Arial"/>
                <w:sz w:val="20"/>
              </w:rPr>
              <w:tab/>
            </w:r>
          </w:p>
        </w:tc>
      </w:tr>
    </w:tbl>
    <w:p w:rsidR="005B4297" w:rsidRDefault="00767F5A">
      <w:pPr>
        <w:tabs>
          <w:tab w:val="left" w:pos="10272"/>
        </w:tabs>
        <w:spacing w:line="240" w:lineRule="auto"/>
        <w:rPr>
          <w:rFonts w:ascii="Arial" w:eastAsia="Arial" w:hAnsi="Arial" w:cs="Arial"/>
          <w:sz w:val="20"/>
        </w:rPr>
      </w:pPr>
      <w:r>
        <w:rPr>
          <w:rFonts w:ascii="Arial" w:eastAsia="Arial" w:hAnsi="Arial" w:cs="Arial"/>
          <w:b/>
          <w:sz w:val="20"/>
        </w:rPr>
        <w:tab/>
      </w:r>
    </w:p>
    <w:p w:rsidR="005B4297" w:rsidRDefault="00767F5A">
      <w:pPr>
        <w:tabs>
          <w:tab w:val="left" w:pos="10560"/>
        </w:tabs>
        <w:spacing w:line="240" w:lineRule="auto"/>
        <w:rPr>
          <w:rFonts w:ascii="Arial" w:eastAsia="Arial" w:hAnsi="Arial" w:cs="Arial"/>
          <w:sz w:val="20"/>
        </w:rPr>
      </w:pPr>
      <w:r>
        <w:rPr>
          <w:rFonts w:ascii="Arial" w:eastAsia="Arial" w:hAnsi="Arial" w:cs="Arial"/>
          <w:sz w:val="20"/>
        </w:rPr>
        <w:t>*Average of three replications, **Figures in parentheses are Arc sine transformed values.</w:t>
      </w:r>
    </w:p>
    <w:p w:rsidR="005B4297" w:rsidRDefault="005B4297">
      <w:pPr>
        <w:tabs>
          <w:tab w:val="left" w:pos="10560"/>
        </w:tabs>
        <w:spacing w:line="240" w:lineRule="auto"/>
        <w:rPr>
          <w:rFonts w:ascii="Arial" w:eastAsia="Arial" w:hAnsi="Arial" w:cs="Arial"/>
          <w:sz w:val="20"/>
        </w:rPr>
      </w:pPr>
    </w:p>
    <w:p w:rsidR="00964C45" w:rsidRDefault="000D6972">
      <w:pPr>
        <w:spacing w:before="120" w:after="160" w:line="240" w:lineRule="auto"/>
        <w:ind w:firstLine="720"/>
        <w:jc w:val="both"/>
      </w:pPr>
      <w:r>
        <w:rPr>
          <w:noProof/>
        </w:rPr>
        <w:object w:dxaOrig="6658" w:dyaOrig="11997">
          <v:rect id="rectole0000000000" o:spid="_x0000_i1025" style="width:332.95pt;height:599.6pt" o:ole="" o:preferrelative="t" stroked="f">
            <v:imagedata r:id="rId4" o:title=""/>
          </v:rect>
          <o:OLEObject Type="Embed" ProgID="StaticMetafile" ShapeID="rectole0000000000" DrawAspect="Content" ObjectID="_1814706681" r:id="rId5"/>
        </w:object>
      </w:r>
    </w:p>
    <w:p w:rsidR="005B4297" w:rsidRDefault="00767F5A">
      <w:pPr>
        <w:spacing w:before="120" w:after="160" w:line="240" w:lineRule="auto"/>
        <w:ind w:firstLine="720"/>
        <w:jc w:val="both"/>
        <w:rPr>
          <w:rFonts w:ascii="Arial" w:eastAsia="Arial" w:hAnsi="Arial" w:cs="Arial"/>
          <w:sz w:val="20"/>
        </w:rPr>
      </w:pPr>
      <w:r>
        <w:rPr>
          <w:rFonts w:ascii="Arial" w:eastAsia="Arial" w:hAnsi="Arial" w:cs="Arial"/>
          <w:b/>
          <w:sz w:val="20"/>
        </w:rPr>
        <w:t xml:space="preserve">Plate 1 - Compatibility of different fungicides with </w:t>
      </w:r>
      <w:r>
        <w:rPr>
          <w:rFonts w:ascii="Arial" w:eastAsia="Arial" w:hAnsi="Arial" w:cs="Arial"/>
          <w:b/>
          <w:i/>
          <w:sz w:val="20"/>
        </w:rPr>
        <w:t>Trichoderma</w:t>
      </w:r>
      <w:r>
        <w:rPr>
          <w:rFonts w:ascii="Arial" w:eastAsia="Arial" w:hAnsi="Arial" w:cs="Arial"/>
          <w:b/>
          <w:sz w:val="20"/>
        </w:rPr>
        <w:t xml:space="preserve"> </w:t>
      </w:r>
      <w:proofErr w:type="spellStart"/>
      <w:r>
        <w:rPr>
          <w:rFonts w:ascii="Arial" w:eastAsia="Arial" w:hAnsi="Arial" w:cs="Arial"/>
          <w:b/>
          <w:i/>
          <w:sz w:val="20"/>
        </w:rPr>
        <w:t>asperellum</w:t>
      </w:r>
      <w:proofErr w:type="spellEnd"/>
    </w:p>
    <w:sectPr w:rsidR="005B429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297"/>
    <w:rsid w:val="00037163"/>
    <w:rsid w:val="000D6972"/>
    <w:rsid w:val="00115C4F"/>
    <w:rsid w:val="001F5F28"/>
    <w:rsid w:val="00352BB4"/>
    <w:rsid w:val="00385C35"/>
    <w:rsid w:val="00557543"/>
    <w:rsid w:val="005B4297"/>
    <w:rsid w:val="007465CA"/>
    <w:rsid w:val="00767F5A"/>
    <w:rsid w:val="007C638A"/>
    <w:rsid w:val="00964C45"/>
    <w:rsid w:val="00A600DD"/>
    <w:rsid w:val="00F641FE"/>
    <w:rsid w:val="00FD1D0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6C731-2E86-FC43-81CE-790E29CA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5CA"/>
    <w:rPr>
      <w:rFonts w:ascii="Tahoma" w:hAnsi="Tahoma" w:cs="Tahoma"/>
      <w:sz w:val="16"/>
      <w:szCs w:val="16"/>
    </w:rPr>
  </w:style>
  <w:style w:type="paragraph" w:styleId="NormalWeb">
    <w:name w:val="Normal (Web)"/>
    <w:basedOn w:val="Normal"/>
    <w:uiPriority w:val="99"/>
    <w:unhideWhenUsed/>
    <w:rsid w:val="00037163"/>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0371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2994</Words>
  <Characters>17068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Editor-11</cp:lastModifiedBy>
  <cp:revision>3</cp:revision>
  <dcterms:created xsi:type="dcterms:W3CDTF">2025-07-21T14:16:00Z</dcterms:created>
  <dcterms:modified xsi:type="dcterms:W3CDTF">2025-07-22T10:55:00Z</dcterms:modified>
</cp:coreProperties>
</file>