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4EB55" w14:textId="17EA43C9" w:rsidR="008425B6" w:rsidRPr="00417BE5" w:rsidRDefault="008425B6" w:rsidP="00404BBB">
      <w:pPr>
        <w:spacing w:after="0" w:line="360" w:lineRule="auto"/>
        <w:jc w:val="center"/>
        <w:outlineLvl w:val="0"/>
        <w:rPr>
          <w:rFonts w:eastAsia="Times New Roman" w:cs="Times New Roman"/>
          <w:b/>
          <w:bCs/>
          <w:kern w:val="36"/>
          <w:szCs w:val="24"/>
          <w:lang w:eastAsia="en-IN"/>
        </w:rPr>
      </w:pPr>
      <w:r w:rsidRPr="00417BE5">
        <w:rPr>
          <w:rFonts w:eastAsia="Times New Roman" w:cs="Times New Roman"/>
          <w:b/>
          <w:bCs/>
          <w:i/>
          <w:iCs/>
          <w:kern w:val="36"/>
          <w:szCs w:val="24"/>
          <w:u w:val="single"/>
          <w:lang w:val="en-US" w:eastAsia="en-IN"/>
        </w:rPr>
        <w:t>Original Research Article</w:t>
      </w:r>
    </w:p>
    <w:p w14:paraId="1D327167" w14:textId="1C581284" w:rsidR="00860285" w:rsidRPr="00D73E71" w:rsidRDefault="00630CE8" w:rsidP="006063B8">
      <w:pPr>
        <w:spacing w:after="0" w:line="360" w:lineRule="auto"/>
        <w:jc w:val="both"/>
        <w:outlineLvl w:val="0"/>
        <w:rPr>
          <w:rFonts w:eastAsia="Times New Roman" w:cs="Times New Roman"/>
          <w:b/>
          <w:bCs/>
          <w:kern w:val="36"/>
          <w:szCs w:val="24"/>
          <w:lang w:eastAsia="en-IN"/>
        </w:rPr>
      </w:pPr>
      <w:r w:rsidRPr="00417BE5">
        <w:rPr>
          <w:rFonts w:eastAsia="Times New Roman" w:cs="Times New Roman"/>
          <w:b/>
          <w:bCs/>
          <w:kern w:val="36"/>
          <w:szCs w:val="24"/>
          <w:lang w:eastAsia="en-IN"/>
        </w:rPr>
        <w:t>Comparative Economic Analysis of Saffron (</w:t>
      </w:r>
      <w:r w:rsidRPr="00417BE5">
        <w:rPr>
          <w:rFonts w:eastAsia="Times New Roman" w:cs="Times New Roman"/>
          <w:b/>
          <w:bCs/>
          <w:i/>
          <w:kern w:val="36"/>
          <w:szCs w:val="24"/>
          <w:lang w:eastAsia="en-IN"/>
        </w:rPr>
        <w:t>Crocus sativus</w:t>
      </w:r>
      <w:r w:rsidRPr="00417BE5">
        <w:rPr>
          <w:rFonts w:eastAsia="Times New Roman" w:cs="Times New Roman"/>
          <w:b/>
          <w:bCs/>
          <w:kern w:val="36"/>
          <w:szCs w:val="24"/>
          <w:lang w:eastAsia="en-IN"/>
        </w:rPr>
        <w:t xml:space="preserve"> L.) Cultivation under Hydroponic and Conventional Systems across Different Agro-Climatic Zones of Jammu and Kashmir</w:t>
      </w:r>
    </w:p>
    <w:p w14:paraId="126276E4" w14:textId="77777777" w:rsidR="006063B8" w:rsidRPr="00417BE5" w:rsidRDefault="006063B8" w:rsidP="006063B8">
      <w:pPr>
        <w:spacing w:after="0" w:line="360" w:lineRule="auto"/>
        <w:jc w:val="center"/>
        <w:outlineLvl w:val="0"/>
        <w:rPr>
          <w:rFonts w:eastAsia="Times New Roman" w:cs="Times New Roman"/>
          <w:b/>
          <w:bCs/>
          <w:kern w:val="36"/>
          <w:szCs w:val="24"/>
          <w:u w:val="single"/>
          <w:lang w:eastAsia="en-IN"/>
        </w:rPr>
      </w:pPr>
      <w:r w:rsidRPr="00417BE5">
        <w:rPr>
          <w:rFonts w:eastAsia="Times New Roman" w:cs="Times New Roman"/>
          <w:b/>
          <w:bCs/>
          <w:szCs w:val="24"/>
          <w:u w:val="single"/>
          <w:lang w:eastAsia="en-IN"/>
        </w:rPr>
        <w:t>Abstract</w:t>
      </w:r>
    </w:p>
    <w:p w14:paraId="5B9120A5" w14:textId="1F32A7CA" w:rsidR="001C5B0D" w:rsidRPr="00417BE5" w:rsidRDefault="001C5B0D" w:rsidP="001C5B0D">
      <w:pPr>
        <w:pStyle w:val="NormalWeb"/>
        <w:spacing w:before="0" w:beforeAutospacing="0" w:after="0" w:afterAutospacing="0" w:line="360" w:lineRule="auto"/>
        <w:jc w:val="both"/>
      </w:pPr>
      <w:r w:rsidRPr="00417BE5">
        <w:t>Saffron (</w:t>
      </w:r>
      <w:r w:rsidRPr="00873A21">
        <w:rPr>
          <w:i/>
          <w:highlight w:val="yellow"/>
        </w:rPr>
        <w:t>Crocus sativus</w:t>
      </w:r>
      <w:r w:rsidRPr="00417BE5">
        <w:t xml:space="preserve"> L.), a premium spice crop traditionally cultivated in Kashmir and </w:t>
      </w:r>
      <w:proofErr w:type="spellStart"/>
      <w:r w:rsidRPr="00417BE5">
        <w:t>Kishtwar</w:t>
      </w:r>
      <w:proofErr w:type="spellEnd"/>
      <w:r w:rsidRPr="00417BE5">
        <w:t xml:space="preserve">, faces economic limitations under conventional systems due to stagnant yields, rising input costs, and climatic uncertainties. This study evaluates the economic feasibility of hydroponic saffron cultivation as an alternative model, comparing input costs, yields, and profitability against conventional practices across three agro-climatic zones of Jammu and Kashmir. Field experiments conducted during 2023–24 used a completely randomized design, with two-year hydroponic trials in Jammu and conventional plots in Kashmir and </w:t>
      </w:r>
      <w:proofErr w:type="spellStart"/>
      <w:r w:rsidRPr="00417BE5">
        <w:t>Kishtwar</w:t>
      </w:r>
      <w:proofErr w:type="spellEnd"/>
      <w:r w:rsidRPr="00417BE5">
        <w:t xml:space="preserve">. </w:t>
      </w:r>
      <w:r w:rsidRPr="0090071F">
        <w:rPr>
          <w:highlight w:val="yellow"/>
        </w:rPr>
        <w:t xml:space="preserve">Results showed that hydroponic systems achieved significantly </w:t>
      </w:r>
      <w:r w:rsidR="00883A65" w:rsidRPr="0090071F">
        <w:rPr>
          <w:highlight w:val="yellow"/>
        </w:rPr>
        <w:t>higher stigma yields (5500–6000 g·ha⁻¹</w:t>
      </w:r>
      <w:r w:rsidRPr="0090071F">
        <w:rPr>
          <w:highlight w:val="yellow"/>
        </w:rPr>
        <w:t xml:space="preserve">) than </w:t>
      </w:r>
      <w:r w:rsidR="00883A65" w:rsidRPr="0090071F">
        <w:rPr>
          <w:highlight w:val="yellow"/>
        </w:rPr>
        <w:t>conventional systems (3200–3500 g·ha⁻¹</w:t>
      </w:r>
      <w:r w:rsidRPr="0090071F">
        <w:rPr>
          <w:highlight w:val="yellow"/>
        </w:rPr>
        <w:t>), while reducing recurring cost</w:t>
      </w:r>
      <w:r w:rsidR="00883A65" w:rsidRPr="0090071F">
        <w:rPr>
          <w:highlight w:val="yellow"/>
        </w:rPr>
        <w:t>s in the second year by over 85</w:t>
      </w:r>
      <w:r w:rsidR="00417BE5" w:rsidRPr="0090071F">
        <w:rPr>
          <w:highlight w:val="yellow"/>
        </w:rPr>
        <w:t xml:space="preserve"> </w:t>
      </w:r>
      <w:r w:rsidRPr="0090071F">
        <w:rPr>
          <w:highlight w:val="yellow"/>
        </w:rPr>
        <w:t>%. The benefit–cost ratio in hydroponics increased from 3.74 (Year 1) to 26.67 (Year 2), compared to 1.84–2.12 in conventional systems.</w:t>
      </w:r>
      <w:r w:rsidRPr="00417BE5">
        <w:t xml:space="preserve"> Payback period analysis revealed that hydroponic capital investments were recovered within the first cropping cycle. Principal Component Analysis (PCA) further confirmed hydroponic Year 2 as the most economically efficient treatment. Sensitivity analysis showed robust profitability even at lower yield levels. These findings highlight hydroponic saffron cultivation as a scalable, climate-resilient, and economically superior strategy aligned with sustainable development goals, offering new opportunities for high-value agriculture in non-traditional zones of Jammu &amp; Kashmir.</w:t>
      </w:r>
    </w:p>
    <w:p w14:paraId="1CCA33A1" w14:textId="77777777" w:rsidR="006063B8" w:rsidRPr="00417BE5" w:rsidRDefault="006063B8" w:rsidP="00537D2D">
      <w:pPr>
        <w:spacing w:after="0"/>
        <w:jc w:val="both"/>
        <w:rPr>
          <w:rFonts w:eastAsia="Times New Roman" w:cs="Times New Roman"/>
          <w:szCs w:val="24"/>
          <w:lang w:eastAsia="en-IN"/>
        </w:rPr>
      </w:pPr>
      <w:r w:rsidRPr="00417BE5">
        <w:rPr>
          <w:rFonts w:eastAsia="Times New Roman" w:cs="Times New Roman"/>
          <w:b/>
          <w:bCs/>
          <w:szCs w:val="24"/>
          <w:lang w:eastAsia="en-IN"/>
        </w:rPr>
        <w:t>Keywords:</w:t>
      </w:r>
      <w:r w:rsidRPr="00417BE5">
        <w:rPr>
          <w:rFonts w:eastAsia="Times New Roman" w:cs="Times New Roman"/>
          <w:szCs w:val="24"/>
          <w:lang w:eastAsia="en-IN"/>
        </w:rPr>
        <w:t xml:space="preserve">  </w:t>
      </w:r>
      <w:r w:rsidRPr="00417BE5">
        <w:rPr>
          <w:rFonts w:eastAsia="Times New Roman" w:cs="Times New Roman"/>
          <w:i/>
          <w:szCs w:val="24"/>
          <w:lang w:eastAsia="en-IN"/>
        </w:rPr>
        <w:t>Hydroponics, Economic analysis, Benefit–cost ratio, PCA, Sustainable agriculture</w:t>
      </w:r>
    </w:p>
    <w:p w14:paraId="142B5DD0" w14:textId="77777777" w:rsidR="006063B8" w:rsidRPr="00417BE5" w:rsidRDefault="002777B2" w:rsidP="00537D2D">
      <w:pPr>
        <w:pStyle w:val="ListParagraph"/>
        <w:numPr>
          <w:ilvl w:val="0"/>
          <w:numId w:val="21"/>
        </w:numPr>
        <w:spacing w:after="100" w:afterAutospacing="1"/>
        <w:outlineLvl w:val="2"/>
        <w:rPr>
          <w:rFonts w:eastAsia="Times New Roman" w:cs="Times New Roman"/>
          <w:b/>
          <w:bCs/>
          <w:szCs w:val="24"/>
          <w:lang w:eastAsia="en-IN"/>
        </w:rPr>
      </w:pPr>
      <w:r w:rsidRPr="00417BE5">
        <w:rPr>
          <w:rFonts w:eastAsia="Times New Roman" w:cs="Times New Roman"/>
          <w:b/>
          <w:bCs/>
          <w:szCs w:val="24"/>
          <w:lang w:eastAsia="en-IN"/>
        </w:rPr>
        <w:t xml:space="preserve">Introduction </w:t>
      </w:r>
    </w:p>
    <w:p w14:paraId="5EBAC27D" w14:textId="5A74D5FA" w:rsidR="002777B2" w:rsidRPr="00417BE5" w:rsidRDefault="002777B2" w:rsidP="00537D2D">
      <w:pPr>
        <w:spacing w:after="0"/>
        <w:jc w:val="both"/>
        <w:outlineLvl w:val="2"/>
        <w:rPr>
          <w:rFonts w:eastAsia="Times New Roman" w:cs="Times New Roman"/>
          <w:b/>
          <w:bCs/>
          <w:szCs w:val="24"/>
          <w:lang w:eastAsia="en-IN"/>
        </w:rPr>
      </w:pPr>
      <w:r w:rsidRPr="00417BE5">
        <w:rPr>
          <w:rFonts w:eastAsia="Times New Roman" w:cs="Times New Roman"/>
          <w:szCs w:val="24"/>
          <w:lang w:eastAsia="en-IN"/>
        </w:rPr>
        <w:t>Saffron (</w:t>
      </w:r>
      <w:r w:rsidRPr="00417BE5">
        <w:rPr>
          <w:rFonts w:eastAsia="Times New Roman" w:cs="Times New Roman"/>
          <w:i/>
          <w:iCs/>
          <w:szCs w:val="24"/>
          <w:lang w:eastAsia="en-IN"/>
        </w:rPr>
        <w:t>Crocus sativus</w:t>
      </w:r>
      <w:r w:rsidRPr="00417BE5">
        <w:rPr>
          <w:rFonts w:eastAsia="Times New Roman" w:cs="Times New Roman"/>
          <w:szCs w:val="24"/>
          <w:lang w:eastAsia="en-IN"/>
        </w:rPr>
        <w:t xml:space="preserve"> L.) is one of the highest-value cash crops globally, extensively cultivated in Iran, India, and parts of the Mediterranean. In India, the Union Territory of Jammu &amp; Kashmir holds a near-monopoly on saffron cultivation, where it contributes significantly to rural livelihoods and regional heritage. However, the profitability of saffron farming remains constrained under conventional soil-based systems due to stagnating productivity, high input variability, and increasing vulnerability to climatic </w:t>
      </w:r>
      <w:r w:rsidR="001C31CF" w:rsidRPr="00417BE5">
        <w:rPr>
          <w:rFonts w:eastAsia="Times New Roman" w:cs="Times New Roman"/>
          <w:szCs w:val="24"/>
          <w:lang w:eastAsia="en-IN"/>
        </w:rPr>
        <w:t xml:space="preserve">fluctuations </w:t>
      </w:r>
      <w:r w:rsidR="0090071F" w:rsidRPr="0090071F">
        <w:rPr>
          <w:rFonts w:eastAsia="Times New Roman" w:cs="Times New Roman"/>
          <w:b/>
          <w:szCs w:val="24"/>
          <w:lang w:eastAsia="en-IN"/>
        </w:rPr>
        <w:t>(</w:t>
      </w:r>
      <w:proofErr w:type="spellStart"/>
      <w:r w:rsidR="00883A65" w:rsidRPr="0090071F">
        <w:rPr>
          <w:b/>
          <w:highlight w:val="yellow"/>
        </w:rPr>
        <w:t>Ghorbani</w:t>
      </w:r>
      <w:proofErr w:type="spellEnd"/>
      <w:r w:rsidR="00883A65" w:rsidRPr="0090071F">
        <w:rPr>
          <w:b/>
          <w:highlight w:val="yellow"/>
        </w:rPr>
        <w:t xml:space="preserve">, </w:t>
      </w:r>
      <w:r w:rsidR="00F77328" w:rsidRPr="0090071F">
        <w:rPr>
          <w:b/>
          <w:highlight w:val="yellow"/>
        </w:rPr>
        <w:t>2007)</w:t>
      </w:r>
      <w:r w:rsidRPr="0090071F">
        <w:rPr>
          <w:rFonts w:eastAsia="Times New Roman" w:cs="Times New Roman"/>
          <w:b/>
          <w:szCs w:val="24"/>
          <w:highlight w:val="yellow"/>
          <w:lang w:eastAsia="en-IN"/>
        </w:rPr>
        <w:t>.</w:t>
      </w:r>
      <w:r w:rsidRPr="00417BE5">
        <w:rPr>
          <w:rFonts w:eastAsia="Times New Roman" w:cs="Times New Roman"/>
          <w:szCs w:val="24"/>
          <w:lang w:eastAsia="en-IN"/>
        </w:rPr>
        <w:t xml:space="preserve"> These economic stressors limit </w:t>
      </w:r>
      <w:r w:rsidRPr="00417BE5">
        <w:rPr>
          <w:rFonts w:eastAsia="Times New Roman" w:cs="Times New Roman"/>
          <w:szCs w:val="24"/>
          <w:lang w:eastAsia="en-IN"/>
        </w:rPr>
        <w:lastRenderedPageBreak/>
        <w:t xml:space="preserve">expansion and reduce the sustainability of the sector, particularly in the face of growing market demand </w:t>
      </w:r>
      <w:r w:rsidR="0079246D" w:rsidRPr="00417BE5">
        <w:rPr>
          <w:rFonts w:eastAsia="Times New Roman" w:cs="Times New Roman"/>
          <w:szCs w:val="24"/>
          <w:lang w:eastAsia="en-IN"/>
        </w:rPr>
        <w:t>(</w:t>
      </w:r>
      <w:proofErr w:type="spellStart"/>
      <w:r w:rsidR="0079246D" w:rsidRPr="00417BE5">
        <w:rPr>
          <w:rStyle w:val="Strong"/>
        </w:rPr>
        <w:t>Xie</w:t>
      </w:r>
      <w:proofErr w:type="spellEnd"/>
      <w:r w:rsidR="0079246D" w:rsidRPr="00417BE5">
        <w:rPr>
          <w:rStyle w:val="Strong"/>
        </w:rPr>
        <w:t xml:space="preserve"> </w:t>
      </w:r>
      <w:r w:rsidR="0079246D" w:rsidRPr="00417BE5">
        <w:rPr>
          <w:rFonts w:eastAsia="Times New Roman" w:cs="Times New Roman"/>
          <w:b/>
          <w:i/>
          <w:szCs w:val="24"/>
          <w:lang w:eastAsia="en-IN"/>
        </w:rPr>
        <w:t>et al.</w:t>
      </w:r>
      <w:r w:rsidR="0079246D" w:rsidRPr="00417BE5">
        <w:rPr>
          <w:rFonts w:eastAsia="Times New Roman" w:cs="Times New Roman"/>
          <w:b/>
          <w:szCs w:val="24"/>
          <w:lang w:eastAsia="en-IN"/>
        </w:rPr>
        <w:t xml:space="preserve"> (2024)</w:t>
      </w:r>
      <w:r w:rsidRPr="00417BE5">
        <w:rPr>
          <w:rFonts w:eastAsia="Times New Roman" w:cs="Times New Roman"/>
          <w:b/>
          <w:szCs w:val="24"/>
          <w:lang w:eastAsia="en-IN"/>
        </w:rPr>
        <w:t>.</w:t>
      </w:r>
    </w:p>
    <w:p w14:paraId="3DC40BA7" w14:textId="77777777" w:rsidR="002777B2" w:rsidRPr="00417BE5" w:rsidRDefault="002777B2"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The traditional saffron-growing regions of Kashmir and Kishtwar rely heavily on seasonal rainfall, open-field management, and </w:t>
      </w:r>
      <w:proofErr w:type="spellStart"/>
      <w:r w:rsidRPr="00417BE5">
        <w:rPr>
          <w:rFonts w:eastAsia="Times New Roman" w:cs="Times New Roman"/>
          <w:szCs w:val="24"/>
          <w:lang w:eastAsia="en-IN"/>
        </w:rPr>
        <w:t>labor-intensive</w:t>
      </w:r>
      <w:proofErr w:type="spellEnd"/>
      <w:r w:rsidRPr="00417BE5">
        <w:rPr>
          <w:rFonts w:eastAsia="Times New Roman" w:cs="Times New Roman"/>
          <w:szCs w:val="24"/>
          <w:lang w:eastAsia="en-IN"/>
        </w:rPr>
        <w:t xml:space="preserve"> methods, which lead to inconsistent yields and narrow profit margins </w:t>
      </w:r>
      <w:r w:rsidRPr="00417BE5">
        <w:rPr>
          <w:rFonts w:eastAsia="Times New Roman" w:cs="Times New Roman"/>
          <w:b/>
          <w:szCs w:val="24"/>
          <w:lang w:eastAsia="en-IN"/>
        </w:rPr>
        <w:t>(Maiti &amp; Saha, 2020).</w:t>
      </w:r>
      <w:r w:rsidRPr="00417BE5">
        <w:rPr>
          <w:rFonts w:eastAsia="Times New Roman" w:cs="Times New Roman"/>
          <w:szCs w:val="24"/>
          <w:lang w:eastAsia="en-IN"/>
        </w:rPr>
        <w:t xml:space="preserve"> Moreover, with production costs escalating and land availability shrinking, there is a pressing need to re-evaluate the economic viability of alternative production systems </w:t>
      </w:r>
      <w:r w:rsidRPr="00417BE5">
        <w:rPr>
          <w:rFonts w:eastAsia="Times New Roman" w:cs="Times New Roman"/>
          <w:b/>
          <w:szCs w:val="24"/>
          <w:lang w:eastAsia="en-IN"/>
        </w:rPr>
        <w:t xml:space="preserve">(Nardi </w:t>
      </w:r>
      <w:r w:rsidRPr="00417BE5">
        <w:rPr>
          <w:rFonts w:eastAsia="Times New Roman" w:cs="Times New Roman"/>
          <w:b/>
          <w:i/>
          <w:szCs w:val="24"/>
          <w:lang w:eastAsia="en-IN"/>
        </w:rPr>
        <w:t>et al</w:t>
      </w:r>
      <w:r w:rsidRPr="00417BE5">
        <w:rPr>
          <w:rFonts w:eastAsia="Times New Roman" w:cs="Times New Roman"/>
          <w:b/>
          <w:szCs w:val="24"/>
          <w:lang w:eastAsia="en-IN"/>
        </w:rPr>
        <w:t>., 2022).</w:t>
      </w:r>
    </w:p>
    <w:p w14:paraId="24FFE222" w14:textId="77777777" w:rsidR="002777B2" w:rsidRPr="00417BE5" w:rsidRDefault="000243B9" w:rsidP="00537D2D">
      <w:pPr>
        <w:spacing w:after="0"/>
        <w:jc w:val="both"/>
        <w:rPr>
          <w:rFonts w:eastAsia="Times New Roman" w:cs="Times New Roman"/>
          <w:b/>
          <w:szCs w:val="24"/>
          <w:lang w:eastAsia="en-IN"/>
        </w:rPr>
      </w:pPr>
      <w:r w:rsidRPr="00417BE5">
        <w:rPr>
          <w:rFonts w:eastAsia="Times New Roman" w:cs="Times New Roman"/>
          <w:szCs w:val="24"/>
          <w:lang w:eastAsia="en-IN"/>
        </w:rPr>
        <w:t xml:space="preserve">Hydroponic cultivation, </w:t>
      </w:r>
      <w:r w:rsidR="002777B2" w:rsidRPr="00417BE5">
        <w:rPr>
          <w:rFonts w:eastAsia="Times New Roman" w:cs="Times New Roman"/>
          <w:szCs w:val="24"/>
          <w:lang w:eastAsia="en-IN"/>
        </w:rPr>
        <w:t>an advanced form of soille</w:t>
      </w:r>
      <w:r w:rsidRPr="00417BE5">
        <w:rPr>
          <w:rFonts w:eastAsia="Times New Roman" w:cs="Times New Roman"/>
          <w:szCs w:val="24"/>
          <w:lang w:eastAsia="en-IN"/>
        </w:rPr>
        <w:t xml:space="preserve">ss agriculture </w:t>
      </w:r>
      <w:r w:rsidR="002777B2" w:rsidRPr="00417BE5">
        <w:rPr>
          <w:rFonts w:eastAsia="Times New Roman" w:cs="Times New Roman"/>
          <w:szCs w:val="24"/>
          <w:lang w:eastAsia="en-IN"/>
        </w:rPr>
        <w:t xml:space="preserve">has emerged as a promising economic strategy to mitigate these challenges. By enabling precise control over environmental conditions and nutrient delivery, hydroponics offers higher resource-use efficiency, faster corm multiplication, and improved crop uniformity </w:t>
      </w:r>
      <w:r w:rsidR="002777B2" w:rsidRPr="00417BE5">
        <w:rPr>
          <w:rFonts w:eastAsia="Times New Roman" w:cs="Times New Roman"/>
          <w:b/>
          <w:szCs w:val="24"/>
          <w:lang w:eastAsia="en-IN"/>
        </w:rPr>
        <w:t xml:space="preserve">(Resh, 2012; Sambo </w:t>
      </w:r>
      <w:r w:rsidR="002777B2" w:rsidRPr="00417BE5">
        <w:rPr>
          <w:rFonts w:eastAsia="Times New Roman" w:cs="Times New Roman"/>
          <w:b/>
          <w:i/>
          <w:szCs w:val="24"/>
          <w:lang w:eastAsia="en-IN"/>
        </w:rPr>
        <w:t>et al</w:t>
      </w:r>
      <w:r w:rsidR="002777B2" w:rsidRPr="00417BE5">
        <w:rPr>
          <w:rFonts w:eastAsia="Times New Roman" w:cs="Times New Roman"/>
          <w:b/>
          <w:szCs w:val="24"/>
          <w:lang w:eastAsia="en-IN"/>
        </w:rPr>
        <w:t>., 2019)</w:t>
      </w:r>
      <w:r w:rsidR="002777B2" w:rsidRPr="00417BE5">
        <w:rPr>
          <w:rFonts w:eastAsia="Times New Roman" w:cs="Times New Roman"/>
          <w:szCs w:val="24"/>
          <w:lang w:eastAsia="en-IN"/>
        </w:rPr>
        <w:t xml:space="preserve">. Although it requires substantial capital investment, especially in its initial year, the potential for year-on-year reduction in operating costs makes it increasingly attractive from an economic standpoint </w:t>
      </w:r>
      <w:r w:rsidR="002777B2" w:rsidRPr="00417BE5">
        <w:rPr>
          <w:rFonts w:eastAsia="Times New Roman" w:cs="Times New Roman"/>
          <w:b/>
          <w:szCs w:val="24"/>
          <w:lang w:eastAsia="en-IN"/>
        </w:rPr>
        <w:t xml:space="preserve">(Schroeder </w:t>
      </w:r>
      <w:r w:rsidR="002777B2" w:rsidRPr="00417BE5">
        <w:rPr>
          <w:rFonts w:eastAsia="Times New Roman" w:cs="Times New Roman"/>
          <w:b/>
          <w:i/>
          <w:szCs w:val="24"/>
          <w:lang w:eastAsia="en-IN"/>
        </w:rPr>
        <w:t>et al</w:t>
      </w:r>
      <w:r w:rsidR="002777B2" w:rsidRPr="00417BE5">
        <w:rPr>
          <w:rFonts w:eastAsia="Times New Roman" w:cs="Times New Roman"/>
          <w:b/>
          <w:szCs w:val="24"/>
          <w:lang w:eastAsia="en-IN"/>
        </w:rPr>
        <w:t xml:space="preserve">., 2020; Salas </w:t>
      </w:r>
      <w:r w:rsidR="002777B2" w:rsidRPr="00417BE5">
        <w:rPr>
          <w:rFonts w:eastAsia="Times New Roman" w:cs="Times New Roman"/>
          <w:b/>
          <w:i/>
          <w:szCs w:val="24"/>
          <w:lang w:eastAsia="en-IN"/>
        </w:rPr>
        <w:t>et al</w:t>
      </w:r>
      <w:r w:rsidR="002777B2" w:rsidRPr="00417BE5">
        <w:rPr>
          <w:rFonts w:eastAsia="Times New Roman" w:cs="Times New Roman"/>
          <w:b/>
          <w:szCs w:val="24"/>
          <w:lang w:eastAsia="en-IN"/>
        </w:rPr>
        <w:t>., 2020).</w:t>
      </w:r>
    </w:p>
    <w:p w14:paraId="0792EB60" w14:textId="77777777" w:rsidR="002777B2" w:rsidRPr="00417BE5" w:rsidRDefault="002777B2"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Furthermore, hydroponic saffron cultivation aligns with global goals for sustainable agriculture. It contributes to SDG 8 (Decent Work and Economic Growth) by increasing profitability and employment in </w:t>
      </w:r>
      <w:proofErr w:type="spellStart"/>
      <w:r w:rsidRPr="00417BE5">
        <w:rPr>
          <w:rFonts w:eastAsia="Times New Roman" w:cs="Times New Roman"/>
          <w:szCs w:val="24"/>
          <w:lang w:eastAsia="en-IN"/>
        </w:rPr>
        <w:t>agritech</w:t>
      </w:r>
      <w:proofErr w:type="spellEnd"/>
      <w:r w:rsidRPr="00417BE5">
        <w:rPr>
          <w:rFonts w:eastAsia="Times New Roman" w:cs="Times New Roman"/>
          <w:szCs w:val="24"/>
          <w:lang w:eastAsia="en-IN"/>
        </w:rPr>
        <w:t xml:space="preserve">; SDG 12 (Responsible Consumption and Production) by reducing input waste; and SDG 13 (Climate Action) by insulating cultivation from erratic weather </w:t>
      </w:r>
      <w:r w:rsidRPr="00417BE5">
        <w:rPr>
          <w:rFonts w:eastAsia="Times New Roman" w:cs="Times New Roman"/>
          <w:b/>
          <w:szCs w:val="24"/>
          <w:lang w:eastAsia="en-IN"/>
        </w:rPr>
        <w:t>(United Nations, 2015).</w:t>
      </w:r>
      <w:r w:rsidRPr="00417BE5">
        <w:rPr>
          <w:rFonts w:eastAsia="Times New Roman" w:cs="Times New Roman"/>
          <w:szCs w:val="24"/>
          <w:lang w:eastAsia="en-IN"/>
        </w:rPr>
        <w:t xml:space="preserve"> These interlinked benefits offer a strong rationale for evaluating hydroponics not only as a technological shift but also as an economic opportunity for saffron-growing communities in Jammu &amp; Kashmir.</w:t>
      </w:r>
    </w:p>
    <w:p w14:paraId="2A5C7E1E" w14:textId="77777777" w:rsidR="002777B2" w:rsidRPr="00417BE5" w:rsidRDefault="002777B2"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This study thus undertakes a comparative economic analysis of saffron cultivation under hydroponic and conventional systems across the diverse agro-climatic zones of Jammu, Kashmir, and Kishtwar. The objective is to evaluate system-level differences in input costs, return on </w:t>
      </w:r>
      <w:r w:rsidRPr="00417BE5">
        <w:rPr>
          <w:rFonts w:eastAsia="Times New Roman" w:cs="Times New Roman"/>
          <w:szCs w:val="24"/>
          <w:lang w:eastAsia="en-IN"/>
        </w:rPr>
        <w:lastRenderedPageBreak/>
        <w:t>investment, benefit–cost ratios, and profitability dynamics to inform more sustainable, scalable, and economically sound cultivation strategies.</w:t>
      </w:r>
    </w:p>
    <w:p w14:paraId="395F203D"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 Materials and Methods</w:t>
      </w:r>
    </w:p>
    <w:p w14:paraId="116487C0"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2.1 Study Sites</w:t>
      </w:r>
    </w:p>
    <w:p w14:paraId="1ACEE495" w14:textId="77777777" w:rsidR="001C5B0D" w:rsidRPr="00417BE5" w:rsidRDefault="00935307" w:rsidP="001C5B0D">
      <w:pPr>
        <w:spacing w:after="0"/>
        <w:jc w:val="both"/>
        <w:rPr>
          <w:rFonts w:eastAsia="Times New Roman" w:cs="Times New Roman"/>
          <w:szCs w:val="24"/>
          <w:lang w:eastAsia="en-IN"/>
        </w:rPr>
      </w:pPr>
      <w:r w:rsidRPr="00417BE5">
        <w:rPr>
          <w:rFonts w:eastAsia="Times New Roman" w:cs="Times New Roman"/>
          <w:szCs w:val="24"/>
          <w:lang w:eastAsia="en-IN"/>
        </w:rPr>
        <w:t>Field experiments were conducted during the 2023–24 growing season at three agro-climatic zones of Jammu and Kashmir, India</w:t>
      </w:r>
    </w:p>
    <w:p w14:paraId="3C38EF2D" w14:textId="0E23F7C8" w:rsidR="001C5B0D" w:rsidRPr="0090071F" w:rsidRDefault="001C5B0D" w:rsidP="001C5B0D">
      <w:pPr>
        <w:spacing w:after="0"/>
        <w:jc w:val="both"/>
        <w:rPr>
          <w:rFonts w:eastAsia="Times New Roman" w:cs="Times New Roman"/>
          <w:bCs/>
          <w:szCs w:val="24"/>
          <w:highlight w:val="yellow"/>
          <w:lang w:eastAsia="en-IN"/>
        </w:rPr>
      </w:pPr>
      <w:r w:rsidRPr="0090071F">
        <w:rPr>
          <w:rFonts w:eastAsia="Times New Roman" w:cs="Times New Roman"/>
          <w:bCs/>
          <w:szCs w:val="24"/>
          <w:highlight w:val="yellow"/>
          <w:lang w:eastAsia="en-IN"/>
        </w:rPr>
        <w:t>(</w:t>
      </w:r>
      <w:proofErr w:type="spellStart"/>
      <w:r w:rsidRPr="0090071F">
        <w:rPr>
          <w:rFonts w:eastAsia="Times New Roman" w:cs="Times New Roman"/>
          <w:bCs/>
          <w:szCs w:val="24"/>
          <w:highlight w:val="yellow"/>
          <w:lang w:eastAsia="en-IN"/>
        </w:rPr>
        <w:t>i</w:t>
      </w:r>
      <w:proofErr w:type="spellEnd"/>
      <w:r w:rsidRPr="0090071F">
        <w:rPr>
          <w:rFonts w:eastAsia="Times New Roman" w:cs="Times New Roman"/>
          <w:bCs/>
          <w:szCs w:val="24"/>
          <w:highlight w:val="yellow"/>
          <w:lang w:eastAsia="en-IN"/>
        </w:rPr>
        <w:t>) Srinagar (34°05′01″ N, 74°47′50″ E; 1,600 m above sea level)</w:t>
      </w:r>
    </w:p>
    <w:p w14:paraId="6F3C60FE" w14:textId="77777777" w:rsidR="001C5B0D" w:rsidRPr="001C5B0D" w:rsidRDefault="001C5B0D" w:rsidP="001C5B0D">
      <w:pPr>
        <w:spacing w:after="0"/>
        <w:jc w:val="both"/>
        <w:rPr>
          <w:rFonts w:eastAsia="Times New Roman" w:cs="Times New Roman"/>
          <w:bCs/>
          <w:szCs w:val="24"/>
          <w:highlight w:val="yellow"/>
          <w:lang w:eastAsia="en-IN"/>
        </w:rPr>
      </w:pPr>
      <w:r w:rsidRPr="001C5B0D">
        <w:rPr>
          <w:rFonts w:eastAsia="Times New Roman" w:cs="Times New Roman"/>
          <w:bCs/>
          <w:szCs w:val="24"/>
          <w:highlight w:val="yellow"/>
          <w:lang w:eastAsia="en-IN"/>
        </w:rPr>
        <w:t xml:space="preserve">(ii) </w:t>
      </w:r>
      <w:proofErr w:type="spellStart"/>
      <w:r w:rsidRPr="001C5B0D">
        <w:rPr>
          <w:rFonts w:eastAsia="Times New Roman" w:cs="Times New Roman"/>
          <w:bCs/>
          <w:szCs w:val="24"/>
          <w:highlight w:val="yellow"/>
          <w:lang w:eastAsia="en-IN"/>
        </w:rPr>
        <w:t>Kishtwar</w:t>
      </w:r>
      <w:proofErr w:type="spellEnd"/>
      <w:r w:rsidRPr="001C5B0D">
        <w:rPr>
          <w:rFonts w:eastAsia="Times New Roman" w:cs="Times New Roman"/>
          <w:bCs/>
          <w:szCs w:val="24"/>
          <w:highlight w:val="yellow"/>
          <w:lang w:eastAsia="en-IN"/>
        </w:rPr>
        <w:t xml:space="preserve"> (33°18′36″ N, 75°46′04″ E; 1,700 m above sea level)</w:t>
      </w:r>
    </w:p>
    <w:p w14:paraId="58B87E15" w14:textId="3D4869DE" w:rsidR="00935307" w:rsidRPr="00417BE5" w:rsidRDefault="001C5B0D" w:rsidP="001C5B0D">
      <w:pPr>
        <w:spacing w:after="0"/>
        <w:jc w:val="both"/>
        <w:rPr>
          <w:rFonts w:eastAsia="Times New Roman" w:cs="Times New Roman"/>
          <w:bCs/>
          <w:szCs w:val="24"/>
          <w:lang w:eastAsia="en-IN"/>
        </w:rPr>
      </w:pPr>
      <w:r w:rsidRPr="001C5B0D">
        <w:rPr>
          <w:rFonts w:eastAsia="Times New Roman" w:cs="Times New Roman"/>
          <w:bCs/>
          <w:szCs w:val="24"/>
          <w:highlight w:val="yellow"/>
          <w:lang w:eastAsia="en-IN"/>
        </w:rPr>
        <w:t>(iii) Jammu (32°43′35″ N, 74°51′25″ E; 327 m above sea level)</w:t>
      </w:r>
    </w:p>
    <w:p w14:paraId="38C9C159"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t>Srinagar and Kishtwar represent temperate zones with gravelly loam soils (pH 6.0–8.0), supporting conventional soil-based saffron cultivation. Jammu’s semi-arid subtropical plains necessitated a controlled-environment hydroponic system established at SKUAST–Jammu.</w:t>
      </w:r>
    </w:p>
    <w:p w14:paraId="2F0B4561"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2.2 Experimental Design and Cultivation Practices</w:t>
      </w:r>
    </w:p>
    <w:p w14:paraId="3DB91ACF" w14:textId="77777777" w:rsidR="001C5B0D" w:rsidRPr="001C5B0D" w:rsidRDefault="001C5B0D" w:rsidP="001C5B0D">
      <w:pPr>
        <w:spacing w:after="0"/>
        <w:jc w:val="both"/>
        <w:rPr>
          <w:rFonts w:eastAsia="Times New Roman" w:cs="Times New Roman"/>
          <w:b/>
          <w:bCs/>
          <w:szCs w:val="24"/>
          <w:lang w:eastAsia="en-IN"/>
        </w:rPr>
      </w:pPr>
      <w:r w:rsidRPr="001C5B0D">
        <w:rPr>
          <w:rFonts w:eastAsia="Times New Roman" w:cs="Times New Roman"/>
          <w:bCs/>
          <w:szCs w:val="24"/>
          <w:lang w:eastAsia="en-IN"/>
        </w:rPr>
        <w:t>Four treatments (0.1 ha each) were arranged in a completely randomized design with three replications:</w:t>
      </w:r>
    </w:p>
    <w:p w14:paraId="01464428" w14:textId="77777777" w:rsidR="001C5B0D" w:rsidRPr="001C5B0D" w:rsidRDefault="001C5B0D" w:rsidP="001C5B0D">
      <w:pPr>
        <w:spacing w:after="0"/>
        <w:jc w:val="both"/>
        <w:rPr>
          <w:rFonts w:eastAsia="Times New Roman" w:cs="Times New Roman"/>
          <w:bCs/>
          <w:szCs w:val="24"/>
          <w:highlight w:val="yellow"/>
          <w:lang w:eastAsia="en-IN"/>
        </w:rPr>
      </w:pPr>
      <w:r w:rsidRPr="001C5B0D">
        <w:rPr>
          <w:rFonts w:eastAsia="Times New Roman" w:cs="Times New Roman"/>
          <w:bCs/>
          <w:szCs w:val="24"/>
          <w:highlight w:val="yellow"/>
          <w:lang w:eastAsia="en-IN"/>
        </w:rPr>
        <w:t>T</w:t>
      </w:r>
      <w:r w:rsidRPr="001C5B0D">
        <w:rPr>
          <w:rFonts w:eastAsia="Times New Roman" w:cs="Times New Roman"/>
          <w:bCs/>
          <w:szCs w:val="24"/>
          <w:highlight w:val="yellow"/>
          <w:vertAlign w:val="subscript"/>
          <w:lang w:eastAsia="en-IN"/>
        </w:rPr>
        <w:t>1</w:t>
      </w:r>
      <w:r w:rsidRPr="001C5B0D">
        <w:rPr>
          <w:rFonts w:eastAsia="Times New Roman" w:cs="Times New Roman"/>
          <w:bCs/>
          <w:szCs w:val="24"/>
          <w:highlight w:val="yellow"/>
          <w:lang w:eastAsia="en-IN"/>
        </w:rPr>
        <w:t>: Conventional (Kashmir);</w:t>
      </w:r>
    </w:p>
    <w:p w14:paraId="7FB1548C" w14:textId="77777777" w:rsidR="001C5B0D" w:rsidRPr="001C5B0D" w:rsidRDefault="001C5B0D" w:rsidP="001C5B0D">
      <w:pPr>
        <w:spacing w:after="0"/>
        <w:jc w:val="both"/>
        <w:rPr>
          <w:rFonts w:eastAsia="Times New Roman" w:cs="Times New Roman"/>
          <w:bCs/>
          <w:szCs w:val="24"/>
          <w:highlight w:val="yellow"/>
          <w:lang w:eastAsia="en-IN"/>
        </w:rPr>
      </w:pPr>
      <w:r w:rsidRPr="001C5B0D">
        <w:rPr>
          <w:rFonts w:eastAsia="Times New Roman" w:cs="Times New Roman"/>
          <w:bCs/>
          <w:szCs w:val="24"/>
          <w:highlight w:val="yellow"/>
          <w:lang w:eastAsia="en-IN"/>
        </w:rPr>
        <w:t>T</w:t>
      </w:r>
      <w:r w:rsidRPr="001C5B0D">
        <w:rPr>
          <w:rFonts w:eastAsia="Times New Roman" w:cs="Times New Roman"/>
          <w:bCs/>
          <w:szCs w:val="24"/>
          <w:highlight w:val="yellow"/>
          <w:vertAlign w:val="subscript"/>
          <w:lang w:eastAsia="en-IN"/>
        </w:rPr>
        <w:t>2</w:t>
      </w:r>
      <w:r w:rsidRPr="001C5B0D">
        <w:rPr>
          <w:rFonts w:eastAsia="Times New Roman" w:cs="Times New Roman"/>
          <w:bCs/>
          <w:szCs w:val="24"/>
          <w:highlight w:val="yellow"/>
          <w:lang w:eastAsia="en-IN"/>
        </w:rPr>
        <w:t>: Conventional (</w:t>
      </w:r>
      <w:proofErr w:type="spellStart"/>
      <w:r w:rsidRPr="001C5B0D">
        <w:rPr>
          <w:rFonts w:eastAsia="Times New Roman" w:cs="Times New Roman"/>
          <w:bCs/>
          <w:szCs w:val="24"/>
          <w:highlight w:val="yellow"/>
          <w:lang w:eastAsia="en-IN"/>
        </w:rPr>
        <w:t>Kishtwar</w:t>
      </w:r>
      <w:proofErr w:type="spellEnd"/>
      <w:r w:rsidRPr="001C5B0D">
        <w:rPr>
          <w:rFonts w:eastAsia="Times New Roman" w:cs="Times New Roman"/>
          <w:bCs/>
          <w:szCs w:val="24"/>
          <w:highlight w:val="yellow"/>
          <w:lang w:eastAsia="en-IN"/>
        </w:rPr>
        <w:t>);</w:t>
      </w:r>
    </w:p>
    <w:p w14:paraId="51056A88" w14:textId="77777777" w:rsidR="001C5B0D" w:rsidRPr="001C5B0D" w:rsidRDefault="001C5B0D" w:rsidP="001C5B0D">
      <w:pPr>
        <w:spacing w:after="0"/>
        <w:jc w:val="both"/>
        <w:rPr>
          <w:rFonts w:eastAsia="Times New Roman" w:cs="Times New Roman"/>
          <w:bCs/>
          <w:szCs w:val="24"/>
          <w:highlight w:val="yellow"/>
          <w:lang w:eastAsia="en-IN"/>
        </w:rPr>
      </w:pPr>
      <w:r w:rsidRPr="001C5B0D">
        <w:rPr>
          <w:rFonts w:eastAsia="Times New Roman" w:cs="Times New Roman"/>
          <w:bCs/>
          <w:szCs w:val="24"/>
          <w:highlight w:val="yellow"/>
          <w:lang w:eastAsia="en-IN"/>
        </w:rPr>
        <w:t>T</w:t>
      </w:r>
      <w:r w:rsidRPr="001C5B0D">
        <w:rPr>
          <w:rFonts w:eastAsia="Times New Roman" w:cs="Times New Roman"/>
          <w:bCs/>
          <w:szCs w:val="24"/>
          <w:highlight w:val="yellow"/>
          <w:vertAlign w:val="subscript"/>
          <w:lang w:eastAsia="en-IN"/>
        </w:rPr>
        <w:t>3</w:t>
      </w:r>
      <w:r w:rsidRPr="001C5B0D">
        <w:rPr>
          <w:rFonts w:eastAsia="Times New Roman" w:cs="Times New Roman"/>
          <w:bCs/>
          <w:szCs w:val="24"/>
          <w:highlight w:val="yellow"/>
          <w:lang w:eastAsia="en-IN"/>
        </w:rPr>
        <w:t>: Hydroponic Year 1;</w:t>
      </w:r>
    </w:p>
    <w:p w14:paraId="57D4C988" w14:textId="77777777" w:rsidR="001C5B0D" w:rsidRPr="001C5B0D" w:rsidRDefault="001C5B0D" w:rsidP="001C5B0D">
      <w:pPr>
        <w:spacing w:after="0"/>
        <w:jc w:val="both"/>
        <w:rPr>
          <w:rFonts w:eastAsia="Times New Roman" w:cs="Times New Roman"/>
          <w:bCs/>
          <w:szCs w:val="24"/>
          <w:lang w:eastAsia="en-IN"/>
        </w:rPr>
      </w:pPr>
      <w:r w:rsidRPr="001C5B0D">
        <w:rPr>
          <w:rFonts w:eastAsia="Times New Roman" w:cs="Times New Roman"/>
          <w:bCs/>
          <w:szCs w:val="24"/>
          <w:highlight w:val="yellow"/>
          <w:lang w:eastAsia="en-IN"/>
        </w:rPr>
        <w:t>T</w:t>
      </w:r>
      <w:r w:rsidRPr="001C5B0D">
        <w:rPr>
          <w:rFonts w:eastAsia="Times New Roman" w:cs="Times New Roman"/>
          <w:bCs/>
          <w:szCs w:val="24"/>
          <w:highlight w:val="yellow"/>
          <w:vertAlign w:val="subscript"/>
          <w:lang w:eastAsia="en-IN"/>
        </w:rPr>
        <w:t>4</w:t>
      </w:r>
      <w:r w:rsidRPr="001C5B0D">
        <w:rPr>
          <w:rFonts w:eastAsia="Times New Roman" w:cs="Times New Roman"/>
          <w:bCs/>
          <w:szCs w:val="24"/>
          <w:highlight w:val="yellow"/>
          <w:lang w:eastAsia="en-IN"/>
        </w:rPr>
        <w:t>: Hydroponic Year 2.</w:t>
      </w:r>
    </w:p>
    <w:p w14:paraId="1A0F417B"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t>Dormant saffron corms (2.5–3.0 cm diameter) were sourced from certified growers and planted at a uniform density of 1,250 corms/ha. Conventional fields were ploughed to 20 cm depth and managed using manual weeding and furrow irrigation at 10-day intervals.</w:t>
      </w:r>
    </w:p>
    <w:p w14:paraId="564FD616"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The hydroponic system used a closed-loop </w:t>
      </w:r>
      <w:r w:rsidRPr="00417BE5">
        <w:rPr>
          <w:rFonts w:eastAsia="Times New Roman" w:cs="Times New Roman"/>
          <w:bCs/>
          <w:szCs w:val="24"/>
          <w:lang w:eastAsia="en-IN"/>
        </w:rPr>
        <w:t>Nutrient Film Technique (NFT)</w:t>
      </w:r>
      <w:r w:rsidRPr="00417BE5">
        <w:rPr>
          <w:rFonts w:eastAsia="Times New Roman" w:cs="Times New Roman"/>
          <w:szCs w:val="24"/>
          <w:lang w:eastAsia="en-IN"/>
        </w:rPr>
        <w:t xml:space="preserve"> with cocopeat–perlite (1:1 v/v) as substrate, maintained at 20 ± 2 °C, 60–70 % RH, and 14-hour photoperiod. Nutrient solution (EC 1.8 </w:t>
      </w:r>
      <w:proofErr w:type="spellStart"/>
      <w:r w:rsidRPr="00417BE5">
        <w:rPr>
          <w:rFonts w:eastAsia="Times New Roman" w:cs="Times New Roman"/>
          <w:szCs w:val="24"/>
          <w:lang w:eastAsia="en-IN"/>
        </w:rPr>
        <w:t>dS</w:t>
      </w:r>
      <w:proofErr w:type="spellEnd"/>
      <w:r w:rsidRPr="00417BE5">
        <w:rPr>
          <w:rFonts w:eastAsia="Times New Roman" w:cs="Times New Roman"/>
          <w:szCs w:val="24"/>
          <w:lang w:eastAsia="en-IN"/>
        </w:rPr>
        <w:t xml:space="preserve">/m; pH 6.2) was refreshed weekly </w:t>
      </w:r>
      <w:r w:rsidRPr="00417BE5">
        <w:rPr>
          <w:rFonts w:eastAsia="Times New Roman" w:cs="Times New Roman"/>
          <w:b/>
          <w:szCs w:val="24"/>
          <w:lang w:eastAsia="en-IN"/>
        </w:rPr>
        <w:t>(Resh, 2012).</w:t>
      </w:r>
    </w:p>
    <w:p w14:paraId="4FD4F1FE"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lastRenderedPageBreak/>
        <w:t>2.3 Economic Data Collection and Analysis</w:t>
      </w:r>
    </w:p>
    <w:p w14:paraId="37547B9C"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2.3.1 Input Costs</w:t>
      </w:r>
    </w:p>
    <w:p w14:paraId="3F16DD73"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t>Cost components per hectare included:</w:t>
      </w:r>
    </w:p>
    <w:p w14:paraId="6B3A4D15"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Land preparation (C₁),</w:t>
      </w:r>
    </w:p>
    <w:p w14:paraId="36AC0355"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Corm procurement (C₂),</w:t>
      </w:r>
    </w:p>
    <w:p w14:paraId="0008B284"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Fertilizers/nutrients (C₃),</w:t>
      </w:r>
    </w:p>
    <w:p w14:paraId="68B5353D"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Electricity and water (C₄),</w:t>
      </w:r>
    </w:p>
    <w:p w14:paraId="0AC8435A"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Labour (C₅),</w:t>
      </w:r>
    </w:p>
    <w:p w14:paraId="3FCC7ACF"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Growing medium (hydroponic only; C₆),</w:t>
      </w:r>
    </w:p>
    <w:p w14:paraId="229029FF"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Infrastructure (polyhouse, tanks; C₇),</w:t>
      </w:r>
    </w:p>
    <w:p w14:paraId="0FA7EA77" w14:textId="77777777" w:rsidR="00935307" w:rsidRPr="00417BE5" w:rsidRDefault="00935307" w:rsidP="00537D2D">
      <w:pPr>
        <w:numPr>
          <w:ilvl w:val="0"/>
          <w:numId w:val="11"/>
        </w:numPr>
        <w:spacing w:after="0"/>
        <w:jc w:val="both"/>
        <w:rPr>
          <w:rFonts w:eastAsia="Times New Roman" w:cs="Times New Roman"/>
          <w:szCs w:val="24"/>
          <w:lang w:eastAsia="en-IN"/>
        </w:rPr>
      </w:pPr>
      <w:r w:rsidRPr="00417BE5">
        <w:rPr>
          <w:rFonts w:eastAsia="Times New Roman" w:cs="Times New Roman"/>
          <w:szCs w:val="24"/>
          <w:lang w:eastAsia="en-IN"/>
        </w:rPr>
        <w:t>Miscellaneous costs (C₈).</w:t>
      </w:r>
    </w:p>
    <w:p w14:paraId="37DA8E01"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2.3.2 Yield and Revenue</w:t>
      </w:r>
    </w:p>
    <w:p w14:paraId="56868DBC"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t>Stigma yield (Y, g/ha) was recorded at peak flowering. Saffron market rates were ₹250/g (conventional) and ₹400/g (hydroponic).</w:t>
      </w:r>
    </w:p>
    <w:p w14:paraId="02F8492E" w14:textId="77777777" w:rsidR="00935307" w:rsidRPr="00417BE5" w:rsidRDefault="00935307" w:rsidP="00537D2D">
      <w:pPr>
        <w:spacing w:after="0"/>
        <w:ind w:left="720"/>
        <w:jc w:val="both"/>
        <w:rPr>
          <w:rFonts w:eastAsia="Times New Roman" w:cs="Times New Roman"/>
          <w:szCs w:val="24"/>
          <w:lang w:eastAsia="en-IN"/>
        </w:rPr>
      </w:pPr>
      <w:r w:rsidRPr="00417BE5">
        <w:rPr>
          <w:rFonts w:eastAsia="Times New Roman" w:cs="Times New Roman"/>
          <w:b/>
          <w:bCs/>
          <w:szCs w:val="24"/>
          <w:lang w:eastAsia="en-IN"/>
        </w:rPr>
        <w:t>Gross Return (GR)</w:t>
      </w:r>
      <w:r w:rsidRPr="00417BE5">
        <w:rPr>
          <w:rFonts w:eastAsia="Times New Roman" w:cs="Times New Roman"/>
          <w:szCs w:val="24"/>
          <w:lang w:eastAsia="en-IN"/>
        </w:rPr>
        <w:t xml:space="preserve"> = Y × P</w:t>
      </w:r>
      <w:r w:rsidRPr="00417BE5">
        <w:rPr>
          <w:rFonts w:cs="Times New Roman"/>
          <w:szCs w:val="24"/>
        </w:rPr>
        <w:t xml:space="preserve"> </w:t>
      </w:r>
      <w:r w:rsidRPr="00417BE5">
        <w:rPr>
          <w:rFonts w:eastAsia="Times New Roman" w:cs="Times New Roman"/>
          <w:b/>
          <w:szCs w:val="24"/>
          <w:lang w:eastAsia="en-IN"/>
        </w:rPr>
        <w:t>(Gittinger, 1982)</w:t>
      </w:r>
    </w:p>
    <w:p w14:paraId="0A1C2210" w14:textId="77777777" w:rsidR="00935307" w:rsidRPr="00417BE5" w:rsidRDefault="00935307" w:rsidP="00537D2D">
      <w:pPr>
        <w:spacing w:after="0"/>
        <w:ind w:left="720"/>
        <w:jc w:val="both"/>
        <w:rPr>
          <w:rFonts w:eastAsia="Times New Roman" w:cs="Times New Roman"/>
          <w:szCs w:val="24"/>
          <w:lang w:eastAsia="en-IN"/>
        </w:rPr>
      </w:pPr>
      <w:r w:rsidRPr="00417BE5">
        <w:rPr>
          <w:rFonts w:eastAsia="Times New Roman" w:cs="Times New Roman"/>
          <w:b/>
          <w:bCs/>
          <w:szCs w:val="24"/>
          <w:lang w:eastAsia="en-IN"/>
        </w:rPr>
        <w:t>Net Return (NR)</w:t>
      </w:r>
      <w:r w:rsidRPr="00417BE5">
        <w:rPr>
          <w:rFonts w:eastAsia="Times New Roman" w:cs="Times New Roman"/>
          <w:szCs w:val="24"/>
          <w:lang w:eastAsia="en-IN"/>
        </w:rPr>
        <w:t xml:space="preserve"> = GR – Total Cost</w:t>
      </w:r>
      <w:r w:rsidRPr="00417BE5">
        <w:rPr>
          <w:rFonts w:cs="Times New Roman"/>
          <w:szCs w:val="24"/>
        </w:rPr>
        <w:t xml:space="preserve"> </w:t>
      </w:r>
      <w:r w:rsidRPr="00417BE5">
        <w:rPr>
          <w:rFonts w:cs="Times New Roman"/>
          <w:b/>
          <w:szCs w:val="24"/>
        </w:rPr>
        <w:t>(</w:t>
      </w:r>
      <w:r w:rsidRPr="00417BE5">
        <w:rPr>
          <w:rFonts w:eastAsia="Times New Roman" w:cs="Times New Roman"/>
          <w:b/>
          <w:szCs w:val="24"/>
          <w:lang w:eastAsia="en-IN"/>
        </w:rPr>
        <w:t xml:space="preserve">Samui </w:t>
      </w:r>
      <w:r w:rsidRPr="00417BE5">
        <w:rPr>
          <w:rFonts w:eastAsia="Times New Roman" w:cs="Times New Roman"/>
          <w:b/>
          <w:i/>
          <w:szCs w:val="24"/>
          <w:lang w:eastAsia="en-IN"/>
        </w:rPr>
        <w:t>et al</w:t>
      </w:r>
      <w:r w:rsidRPr="00417BE5">
        <w:rPr>
          <w:rFonts w:eastAsia="Times New Roman" w:cs="Times New Roman"/>
          <w:b/>
          <w:szCs w:val="24"/>
          <w:lang w:eastAsia="en-IN"/>
        </w:rPr>
        <w:t>., 2000)</w:t>
      </w:r>
    </w:p>
    <w:p w14:paraId="745363B4"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2.3.3 Profitability Indicators</w:t>
      </w:r>
    </w:p>
    <w:p w14:paraId="3E24E173" w14:textId="77777777" w:rsidR="00935307" w:rsidRPr="00417BE5" w:rsidRDefault="00935307" w:rsidP="00537D2D">
      <w:pPr>
        <w:spacing w:after="0"/>
        <w:ind w:left="720"/>
        <w:jc w:val="both"/>
        <w:rPr>
          <w:rFonts w:eastAsia="Times New Roman" w:cs="Times New Roman"/>
          <w:szCs w:val="24"/>
          <w:lang w:eastAsia="en-IN"/>
        </w:rPr>
      </w:pPr>
      <w:r w:rsidRPr="00417BE5">
        <w:rPr>
          <w:rFonts w:eastAsia="Times New Roman" w:cs="Times New Roman"/>
          <w:b/>
          <w:bCs/>
          <w:szCs w:val="24"/>
          <w:lang w:eastAsia="en-IN"/>
        </w:rPr>
        <w:t>Benefit–Cost Ratio (B:C)</w:t>
      </w:r>
      <w:r w:rsidRPr="00417BE5">
        <w:rPr>
          <w:rFonts w:eastAsia="Times New Roman" w:cs="Times New Roman"/>
          <w:szCs w:val="24"/>
          <w:lang w:eastAsia="en-IN"/>
        </w:rPr>
        <w:t xml:space="preserve"> = GR / Total Cost </w:t>
      </w:r>
      <w:r w:rsidRPr="00417BE5">
        <w:rPr>
          <w:rFonts w:eastAsia="Times New Roman" w:cs="Times New Roman"/>
          <w:b/>
          <w:szCs w:val="24"/>
          <w:lang w:eastAsia="en-IN"/>
        </w:rPr>
        <w:t>(Gittinger, 1982)</w:t>
      </w:r>
    </w:p>
    <w:p w14:paraId="27E9C714" w14:textId="77777777" w:rsidR="00935307" w:rsidRPr="00417BE5" w:rsidRDefault="00935307" w:rsidP="00537D2D">
      <w:pPr>
        <w:spacing w:after="0"/>
        <w:ind w:left="720"/>
        <w:jc w:val="both"/>
        <w:rPr>
          <w:rFonts w:eastAsia="Times New Roman" w:cs="Times New Roman"/>
          <w:szCs w:val="24"/>
          <w:lang w:eastAsia="en-IN"/>
        </w:rPr>
      </w:pPr>
      <w:r w:rsidRPr="00417BE5">
        <w:rPr>
          <w:rFonts w:eastAsia="Times New Roman" w:cs="Times New Roman"/>
          <w:b/>
          <w:bCs/>
          <w:szCs w:val="24"/>
          <w:lang w:eastAsia="en-IN"/>
        </w:rPr>
        <w:t>Payback Period (PP)</w:t>
      </w:r>
      <w:r w:rsidRPr="00417BE5">
        <w:rPr>
          <w:rFonts w:eastAsia="Times New Roman" w:cs="Times New Roman"/>
          <w:szCs w:val="24"/>
          <w:lang w:eastAsia="en-IN"/>
        </w:rPr>
        <w:t xml:space="preserve"> = Capital Investment / Annual Net Return</w:t>
      </w:r>
      <w:r w:rsidR="00936C64" w:rsidRPr="00417BE5">
        <w:rPr>
          <w:rFonts w:eastAsia="Times New Roman" w:cs="Times New Roman"/>
          <w:szCs w:val="24"/>
          <w:lang w:eastAsia="en-IN"/>
        </w:rPr>
        <w:t xml:space="preserve"> </w:t>
      </w:r>
      <w:r w:rsidR="00936C64" w:rsidRPr="00417BE5">
        <w:rPr>
          <w:rFonts w:eastAsia="Times New Roman" w:cs="Times New Roman"/>
          <w:b/>
          <w:szCs w:val="24"/>
          <w:lang w:eastAsia="en-IN"/>
        </w:rPr>
        <w:t>(Gittinger, 1982)</w:t>
      </w:r>
    </w:p>
    <w:p w14:paraId="4E871CFC"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2.3.4 Sensitivity Analysis</w:t>
      </w:r>
    </w:p>
    <w:p w14:paraId="306FDDC5"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t>Net profit variation (ΔNR) was projected across a yield range of 3,000–6,500 g/ha to assess responsiveness to output changes:</w:t>
      </w:r>
    </w:p>
    <w:p w14:paraId="4E9B8976" w14:textId="77777777" w:rsidR="00935307" w:rsidRPr="00417BE5" w:rsidRDefault="00935307" w:rsidP="00537D2D">
      <w:pPr>
        <w:spacing w:after="0"/>
        <w:ind w:left="720"/>
        <w:jc w:val="both"/>
        <w:rPr>
          <w:rFonts w:eastAsia="Times New Roman" w:cs="Times New Roman"/>
          <w:szCs w:val="24"/>
          <w:lang w:eastAsia="en-IN"/>
        </w:rPr>
      </w:pPr>
      <w:r w:rsidRPr="00417BE5">
        <w:rPr>
          <w:rFonts w:eastAsia="Times New Roman" w:cs="Times New Roman"/>
          <w:b/>
          <w:bCs/>
          <w:szCs w:val="24"/>
          <w:lang w:eastAsia="en-IN"/>
        </w:rPr>
        <w:t>ΔNR/ΔY</w:t>
      </w:r>
      <w:r w:rsidRPr="00417BE5">
        <w:rPr>
          <w:rFonts w:eastAsia="Times New Roman" w:cs="Times New Roman"/>
          <w:szCs w:val="24"/>
          <w:lang w:eastAsia="en-IN"/>
        </w:rPr>
        <w:t xml:space="preserve"> quantified the marginal economic gain per 100 g increase in stigma yield.</w:t>
      </w:r>
      <w:r w:rsidR="00936C64" w:rsidRPr="00417BE5">
        <w:rPr>
          <w:rFonts w:cs="Times New Roman"/>
          <w:szCs w:val="24"/>
        </w:rPr>
        <w:t xml:space="preserve"> </w:t>
      </w:r>
      <w:r w:rsidR="00936C64" w:rsidRPr="00417BE5">
        <w:rPr>
          <w:rFonts w:eastAsia="Times New Roman" w:cs="Times New Roman"/>
          <w:b/>
          <w:szCs w:val="24"/>
          <w:lang w:eastAsia="en-IN"/>
        </w:rPr>
        <w:t xml:space="preserve">(Samui </w:t>
      </w:r>
      <w:r w:rsidR="00936C64" w:rsidRPr="00417BE5">
        <w:rPr>
          <w:rFonts w:eastAsia="Times New Roman" w:cs="Times New Roman"/>
          <w:b/>
          <w:i/>
          <w:szCs w:val="24"/>
          <w:lang w:eastAsia="en-IN"/>
        </w:rPr>
        <w:t>et al</w:t>
      </w:r>
      <w:r w:rsidR="00936C64" w:rsidRPr="00417BE5">
        <w:rPr>
          <w:rFonts w:eastAsia="Times New Roman" w:cs="Times New Roman"/>
          <w:b/>
          <w:szCs w:val="24"/>
          <w:lang w:eastAsia="en-IN"/>
        </w:rPr>
        <w:t>., 2000)</w:t>
      </w:r>
      <w:r w:rsidR="000243B9" w:rsidRPr="00417BE5">
        <w:rPr>
          <w:rFonts w:eastAsia="Times New Roman" w:cs="Times New Roman"/>
          <w:b/>
          <w:szCs w:val="24"/>
          <w:lang w:eastAsia="en-IN"/>
        </w:rPr>
        <w:t>.</w:t>
      </w:r>
    </w:p>
    <w:p w14:paraId="3FF544DD" w14:textId="77777777" w:rsidR="00935307" w:rsidRPr="00417BE5" w:rsidRDefault="00935307"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2.4 Statistical Analysis</w:t>
      </w:r>
    </w:p>
    <w:p w14:paraId="3F5FB9B0" w14:textId="77777777" w:rsidR="00935307" w:rsidRPr="00417BE5" w:rsidRDefault="00935307" w:rsidP="00537D2D">
      <w:pPr>
        <w:spacing w:after="0"/>
        <w:jc w:val="both"/>
        <w:rPr>
          <w:rFonts w:eastAsia="Times New Roman" w:cs="Times New Roman"/>
          <w:szCs w:val="24"/>
          <w:lang w:eastAsia="en-IN"/>
        </w:rPr>
      </w:pPr>
      <w:r w:rsidRPr="00417BE5">
        <w:rPr>
          <w:rFonts w:eastAsia="Times New Roman" w:cs="Times New Roman"/>
          <w:szCs w:val="24"/>
          <w:lang w:eastAsia="en-IN"/>
        </w:rPr>
        <w:lastRenderedPageBreak/>
        <w:t xml:space="preserve">Data were </w:t>
      </w:r>
      <w:proofErr w:type="spellStart"/>
      <w:r w:rsidRPr="00417BE5">
        <w:rPr>
          <w:rFonts w:eastAsia="Times New Roman" w:cs="Times New Roman"/>
          <w:szCs w:val="24"/>
          <w:lang w:eastAsia="en-IN"/>
        </w:rPr>
        <w:t>analyzed</w:t>
      </w:r>
      <w:proofErr w:type="spellEnd"/>
      <w:r w:rsidRPr="00417BE5">
        <w:rPr>
          <w:rFonts w:eastAsia="Times New Roman" w:cs="Times New Roman"/>
          <w:szCs w:val="24"/>
          <w:lang w:eastAsia="en-IN"/>
        </w:rPr>
        <w:t xml:space="preserve"> using one-way ANOVA (SPSS), with significance at p &lt; 0.05.</w:t>
      </w:r>
      <w:r w:rsidRPr="00417BE5">
        <w:rPr>
          <w:rFonts w:eastAsia="Times New Roman" w:cs="Times New Roman"/>
          <w:szCs w:val="24"/>
          <w:lang w:eastAsia="en-IN"/>
        </w:rPr>
        <w:br/>
      </w:r>
      <w:r w:rsidRPr="00417BE5">
        <w:rPr>
          <w:rFonts w:eastAsia="Times New Roman" w:cs="Times New Roman"/>
          <w:b/>
          <w:bCs/>
          <w:szCs w:val="24"/>
          <w:lang w:eastAsia="en-IN"/>
        </w:rPr>
        <w:t>Principal Component Analysis (PCA)</w:t>
      </w:r>
      <w:r w:rsidRPr="00417BE5">
        <w:rPr>
          <w:rFonts w:eastAsia="Times New Roman" w:cs="Times New Roman"/>
          <w:szCs w:val="24"/>
          <w:lang w:eastAsia="en-IN"/>
        </w:rPr>
        <w:t xml:space="preserve"> was performed on nine economic and yield variables to identify major sources of variance (eigenvalue &gt;1 criterion; </w:t>
      </w:r>
      <w:r w:rsidRPr="00417BE5">
        <w:rPr>
          <w:rFonts w:eastAsia="Times New Roman" w:cs="Times New Roman"/>
          <w:b/>
          <w:szCs w:val="24"/>
          <w:lang w:eastAsia="en-IN"/>
        </w:rPr>
        <w:t>Abdi &amp; Williams, 2010).</w:t>
      </w:r>
    </w:p>
    <w:p w14:paraId="566361E3"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 Results</w:t>
      </w:r>
    </w:p>
    <w:p w14:paraId="3DAF3036"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3.1 Input Costs: Conventional vs. Hydroponic Systems</w:t>
      </w:r>
    </w:p>
    <w:p w14:paraId="04D94CEE"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Table 1 summarizes input costs across all systems. Conventional cultivation cost ₹435,000/ha in Kashmir and ₹412,000/ha in Kishtwar. Hydroponics required a higher initial investment (₹587,000/ha in Year 1) due to infrastructure costs (₹400,000/ha), but dropped sharply to ₹90,000/ha in Year 2 as fixed components were amortized.</w:t>
      </w:r>
    </w:p>
    <w:p w14:paraId="1F68FA9D" w14:textId="77777777" w:rsidR="00B2311E" w:rsidRPr="00417BE5" w:rsidRDefault="00B2311E" w:rsidP="00537D2D">
      <w:pPr>
        <w:spacing w:before="100" w:beforeAutospacing="1" w:after="100" w:afterAutospacing="1"/>
        <w:ind w:left="-426"/>
        <w:rPr>
          <w:rFonts w:cs="Times New Roman"/>
          <w:b/>
          <w:szCs w:val="24"/>
        </w:rPr>
      </w:pPr>
      <w:r w:rsidRPr="00417BE5">
        <w:rPr>
          <w:rFonts w:cs="Times New Roman"/>
          <w:b/>
          <w:szCs w:val="24"/>
        </w:rPr>
        <w:t>Table 1. Comparative Cost of Saffron Cultivation (₹/ha) Under Conventional and Hydroponic Systems (Year 1 and Year 2)</w:t>
      </w:r>
    </w:p>
    <w:tbl>
      <w:tblPr>
        <w:tblStyle w:val="TableGrid"/>
        <w:tblW w:w="9634" w:type="dxa"/>
        <w:jc w:val="center"/>
        <w:tblLook w:val="04A0" w:firstRow="1" w:lastRow="0" w:firstColumn="1" w:lastColumn="0" w:noHBand="0" w:noVBand="1"/>
      </w:tblPr>
      <w:tblGrid>
        <w:gridCol w:w="2309"/>
        <w:gridCol w:w="1830"/>
        <w:gridCol w:w="1830"/>
        <w:gridCol w:w="1861"/>
        <w:gridCol w:w="1804"/>
      </w:tblGrid>
      <w:tr w:rsidR="00B2311E" w:rsidRPr="00417BE5" w14:paraId="75913225" w14:textId="77777777" w:rsidTr="00D30E8D">
        <w:trPr>
          <w:jc w:val="center"/>
        </w:trPr>
        <w:tc>
          <w:tcPr>
            <w:tcW w:w="2309" w:type="dxa"/>
            <w:vAlign w:val="center"/>
          </w:tcPr>
          <w:p w14:paraId="19631CB3" w14:textId="77777777" w:rsidR="00B2311E" w:rsidRPr="00417BE5" w:rsidRDefault="00B2311E" w:rsidP="00D30E8D">
            <w:pPr>
              <w:rPr>
                <w:rFonts w:cs="Times New Roman"/>
                <w:b/>
                <w:szCs w:val="24"/>
              </w:rPr>
            </w:pPr>
            <w:r w:rsidRPr="00417BE5">
              <w:rPr>
                <w:rFonts w:cs="Times New Roman"/>
                <w:b/>
                <w:szCs w:val="24"/>
              </w:rPr>
              <w:t>Input Component</w:t>
            </w:r>
          </w:p>
        </w:tc>
        <w:tc>
          <w:tcPr>
            <w:tcW w:w="1830" w:type="dxa"/>
            <w:vAlign w:val="center"/>
          </w:tcPr>
          <w:p w14:paraId="0A50B355" w14:textId="77777777" w:rsidR="00B2311E" w:rsidRPr="00417BE5" w:rsidRDefault="00B2311E" w:rsidP="00D30E8D">
            <w:pPr>
              <w:rPr>
                <w:rFonts w:cs="Times New Roman"/>
                <w:b/>
                <w:szCs w:val="24"/>
              </w:rPr>
            </w:pPr>
            <w:r w:rsidRPr="00417BE5">
              <w:rPr>
                <w:rFonts w:cs="Times New Roman"/>
                <w:b/>
                <w:szCs w:val="24"/>
              </w:rPr>
              <w:t>Kashmir (Conventional)-1st Year</w:t>
            </w:r>
          </w:p>
        </w:tc>
        <w:tc>
          <w:tcPr>
            <w:tcW w:w="1830" w:type="dxa"/>
            <w:vAlign w:val="center"/>
          </w:tcPr>
          <w:p w14:paraId="54FC6F1D" w14:textId="77777777" w:rsidR="00B2311E" w:rsidRPr="00417BE5" w:rsidRDefault="00B2311E" w:rsidP="00D30E8D">
            <w:pPr>
              <w:rPr>
                <w:rFonts w:cs="Times New Roman"/>
                <w:b/>
                <w:szCs w:val="24"/>
              </w:rPr>
            </w:pPr>
            <w:r w:rsidRPr="00417BE5">
              <w:rPr>
                <w:rFonts w:cs="Times New Roman"/>
                <w:b/>
                <w:szCs w:val="24"/>
              </w:rPr>
              <w:t>Kishtwar (Conventional)-1st Year</w:t>
            </w:r>
          </w:p>
        </w:tc>
        <w:tc>
          <w:tcPr>
            <w:tcW w:w="1861" w:type="dxa"/>
            <w:vAlign w:val="center"/>
          </w:tcPr>
          <w:p w14:paraId="733F7DF4" w14:textId="77777777" w:rsidR="00B2311E" w:rsidRPr="00417BE5" w:rsidRDefault="00B2311E" w:rsidP="00D30E8D">
            <w:pPr>
              <w:rPr>
                <w:rFonts w:cs="Times New Roman"/>
                <w:b/>
                <w:szCs w:val="24"/>
              </w:rPr>
            </w:pPr>
            <w:r w:rsidRPr="00417BE5">
              <w:rPr>
                <w:rFonts w:cs="Times New Roman"/>
                <w:b/>
                <w:szCs w:val="24"/>
              </w:rPr>
              <w:t>Jammu (Hydroponic) -1st year</w:t>
            </w:r>
          </w:p>
        </w:tc>
        <w:tc>
          <w:tcPr>
            <w:tcW w:w="1804" w:type="dxa"/>
          </w:tcPr>
          <w:p w14:paraId="65CFF259" w14:textId="77777777" w:rsidR="00B2311E" w:rsidRPr="00417BE5" w:rsidRDefault="00B2311E" w:rsidP="00D30E8D">
            <w:pPr>
              <w:rPr>
                <w:rFonts w:cs="Times New Roman"/>
                <w:b/>
                <w:szCs w:val="24"/>
              </w:rPr>
            </w:pPr>
            <w:r w:rsidRPr="00417BE5">
              <w:rPr>
                <w:rFonts w:cs="Times New Roman"/>
                <w:b/>
                <w:szCs w:val="24"/>
              </w:rPr>
              <w:t>Jammu (Hydroponic)- 2nd year</w:t>
            </w:r>
          </w:p>
        </w:tc>
      </w:tr>
      <w:tr w:rsidR="00B2311E" w:rsidRPr="00417BE5" w14:paraId="78DD0A7C" w14:textId="77777777" w:rsidTr="00D30E8D">
        <w:trPr>
          <w:jc w:val="center"/>
        </w:trPr>
        <w:tc>
          <w:tcPr>
            <w:tcW w:w="2309" w:type="dxa"/>
            <w:vAlign w:val="center"/>
          </w:tcPr>
          <w:p w14:paraId="5E3DB245" w14:textId="77777777" w:rsidR="00B2311E" w:rsidRPr="00417BE5" w:rsidRDefault="00B2311E" w:rsidP="00D30E8D">
            <w:pPr>
              <w:rPr>
                <w:rFonts w:cs="Times New Roman"/>
                <w:b/>
                <w:szCs w:val="24"/>
              </w:rPr>
            </w:pPr>
            <w:r w:rsidRPr="00417BE5">
              <w:rPr>
                <w:rFonts w:cs="Times New Roman"/>
                <w:b/>
                <w:szCs w:val="24"/>
              </w:rPr>
              <w:t>Land preparation</w:t>
            </w:r>
          </w:p>
        </w:tc>
        <w:tc>
          <w:tcPr>
            <w:tcW w:w="1830" w:type="dxa"/>
            <w:vAlign w:val="center"/>
          </w:tcPr>
          <w:p w14:paraId="7FECF294" w14:textId="77777777" w:rsidR="00B2311E" w:rsidRPr="00417BE5" w:rsidRDefault="00B2311E" w:rsidP="00D30E8D">
            <w:pPr>
              <w:rPr>
                <w:rFonts w:cs="Times New Roman"/>
                <w:szCs w:val="24"/>
              </w:rPr>
            </w:pPr>
            <w:r w:rsidRPr="00417BE5">
              <w:rPr>
                <w:rFonts w:cs="Times New Roman"/>
                <w:szCs w:val="24"/>
              </w:rPr>
              <w:t>₹70,000</w:t>
            </w:r>
          </w:p>
        </w:tc>
        <w:tc>
          <w:tcPr>
            <w:tcW w:w="1830" w:type="dxa"/>
            <w:vAlign w:val="center"/>
          </w:tcPr>
          <w:p w14:paraId="40231F16" w14:textId="77777777" w:rsidR="00B2311E" w:rsidRPr="00417BE5" w:rsidRDefault="00B2311E" w:rsidP="00D30E8D">
            <w:pPr>
              <w:rPr>
                <w:rFonts w:cs="Times New Roman"/>
                <w:szCs w:val="24"/>
              </w:rPr>
            </w:pPr>
            <w:r w:rsidRPr="00417BE5">
              <w:rPr>
                <w:rFonts w:cs="Times New Roman"/>
                <w:szCs w:val="24"/>
              </w:rPr>
              <w:t>₹100,000</w:t>
            </w:r>
          </w:p>
        </w:tc>
        <w:tc>
          <w:tcPr>
            <w:tcW w:w="1861" w:type="dxa"/>
            <w:vAlign w:val="center"/>
          </w:tcPr>
          <w:p w14:paraId="1E6C6AA2" w14:textId="77777777" w:rsidR="00B2311E" w:rsidRPr="00417BE5" w:rsidRDefault="00B2311E" w:rsidP="00D30E8D">
            <w:pPr>
              <w:rPr>
                <w:rFonts w:cs="Times New Roman"/>
                <w:szCs w:val="24"/>
              </w:rPr>
            </w:pPr>
            <w:r w:rsidRPr="00417BE5">
              <w:rPr>
                <w:rFonts w:cs="Times New Roman"/>
                <w:szCs w:val="24"/>
              </w:rPr>
              <w:t>—</w:t>
            </w:r>
          </w:p>
        </w:tc>
        <w:tc>
          <w:tcPr>
            <w:tcW w:w="1804" w:type="dxa"/>
            <w:vAlign w:val="center"/>
          </w:tcPr>
          <w:p w14:paraId="404381F2" w14:textId="77777777" w:rsidR="00B2311E" w:rsidRPr="00417BE5" w:rsidRDefault="00B2311E" w:rsidP="00D30E8D">
            <w:pPr>
              <w:rPr>
                <w:rFonts w:cs="Times New Roman"/>
                <w:szCs w:val="24"/>
              </w:rPr>
            </w:pPr>
            <w:r w:rsidRPr="00417BE5">
              <w:rPr>
                <w:rFonts w:cs="Times New Roman"/>
                <w:szCs w:val="24"/>
              </w:rPr>
              <w:t>—</w:t>
            </w:r>
          </w:p>
        </w:tc>
      </w:tr>
      <w:tr w:rsidR="00B2311E" w:rsidRPr="00417BE5" w14:paraId="0E6EF588" w14:textId="77777777" w:rsidTr="00D30E8D">
        <w:trPr>
          <w:jc w:val="center"/>
        </w:trPr>
        <w:tc>
          <w:tcPr>
            <w:tcW w:w="2309" w:type="dxa"/>
            <w:vAlign w:val="center"/>
          </w:tcPr>
          <w:p w14:paraId="52E834A0" w14:textId="77777777" w:rsidR="00B2311E" w:rsidRPr="00417BE5" w:rsidRDefault="00B2311E" w:rsidP="00D30E8D">
            <w:pPr>
              <w:rPr>
                <w:rFonts w:cs="Times New Roman"/>
                <w:b/>
                <w:szCs w:val="24"/>
              </w:rPr>
            </w:pPr>
            <w:r w:rsidRPr="00417BE5">
              <w:rPr>
                <w:rFonts w:cs="Times New Roman"/>
                <w:b/>
                <w:szCs w:val="24"/>
              </w:rPr>
              <w:t>Corm cost</w:t>
            </w:r>
          </w:p>
        </w:tc>
        <w:tc>
          <w:tcPr>
            <w:tcW w:w="1830" w:type="dxa"/>
            <w:vAlign w:val="center"/>
          </w:tcPr>
          <w:p w14:paraId="3137C873" w14:textId="77777777" w:rsidR="00B2311E" w:rsidRPr="00417BE5" w:rsidRDefault="00B2311E" w:rsidP="00D30E8D">
            <w:pPr>
              <w:rPr>
                <w:rFonts w:cs="Times New Roman"/>
                <w:szCs w:val="24"/>
              </w:rPr>
            </w:pPr>
            <w:r w:rsidRPr="00417BE5">
              <w:rPr>
                <w:rFonts w:cs="Times New Roman"/>
                <w:szCs w:val="24"/>
              </w:rPr>
              <w:t>₹50,000</w:t>
            </w:r>
          </w:p>
        </w:tc>
        <w:tc>
          <w:tcPr>
            <w:tcW w:w="1830" w:type="dxa"/>
            <w:vAlign w:val="center"/>
          </w:tcPr>
          <w:p w14:paraId="4411B3F3" w14:textId="77777777" w:rsidR="00B2311E" w:rsidRPr="00417BE5" w:rsidRDefault="00B2311E" w:rsidP="00D30E8D">
            <w:pPr>
              <w:rPr>
                <w:rFonts w:cs="Times New Roman"/>
                <w:szCs w:val="24"/>
              </w:rPr>
            </w:pPr>
            <w:r w:rsidRPr="00417BE5">
              <w:rPr>
                <w:rFonts w:cs="Times New Roman"/>
                <w:szCs w:val="24"/>
              </w:rPr>
              <w:t>₹50,000</w:t>
            </w:r>
          </w:p>
        </w:tc>
        <w:tc>
          <w:tcPr>
            <w:tcW w:w="1861" w:type="dxa"/>
          </w:tcPr>
          <w:p w14:paraId="763158C0" w14:textId="77777777" w:rsidR="00B2311E" w:rsidRPr="00417BE5" w:rsidRDefault="00B2311E" w:rsidP="00D30E8D">
            <w:pPr>
              <w:rPr>
                <w:rFonts w:cs="Times New Roman"/>
                <w:szCs w:val="24"/>
              </w:rPr>
            </w:pPr>
            <w:r w:rsidRPr="00417BE5">
              <w:rPr>
                <w:rFonts w:cs="Times New Roman"/>
                <w:szCs w:val="24"/>
              </w:rPr>
              <w:t>₹32,000</w:t>
            </w:r>
          </w:p>
        </w:tc>
        <w:tc>
          <w:tcPr>
            <w:tcW w:w="1804" w:type="dxa"/>
            <w:vAlign w:val="center"/>
          </w:tcPr>
          <w:p w14:paraId="5E26B808" w14:textId="77777777" w:rsidR="00B2311E" w:rsidRPr="00417BE5" w:rsidRDefault="00B2311E" w:rsidP="00D30E8D">
            <w:pPr>
              <w:rPr>
                <w:rFonts w:cs="Times New Roman"/>
                <w:szCs w:val="24"/>
              </w:rPr>
            </w:pPr>
            <w:r w:rsidRPr="00417BE5">
              <w:rPr>
                <w:rFonts w:cs="Times New Roman"/>
                <w:szCs w:val="24"/>
              </w:rPr>
              <w:t>₹40,000</w:t>
            </w:r>
          </w:p>
        </w:tc>
      </w:tr>
      <w:tr w:rsidR="00B2311E" w:rsidRPr="00417BE5" w14:paraId="6BE5B17E" w14:textId="77777777" w:rsidTr="00D30E8D">
        <w:trPr>
          <w:jc w:val="center"/>
        </w:trPr>
        <w:tc>
          <w:tcPr>
            <w:tcW w:w="2309" w:type="dxa"/>
            <w:vAlign w:val="center"/>
          </w:tcPr>
          <w:p w14:paraId="51CE2817" w14:textId="77777777" w:rsidR="00B2311E" w:rsidRPr="00417BE5" w:rsidRDefault="00B2311E" w:rsidP="00D30E8D">
            <w:pPr>
              <w:rPr>
                <w:rFonts w:cs="Times New Roman"/>
                <w:b/>
                <w:szCs w:val="24"/>
              </w:rPr>
            </w:pPr>
            <w:r w:rsidRPr="00417BE5">
              <w:rPr>
                <w:rFonts w:cs="Times New Roman"/>
                <w:b/>
                <w:szCs w:val="24"/>
              </w:rPr>
              <w:t>Nutrients/Fertilizers</w:t>
            </w:r>
          </w:p>
        </w:tc>
        <w:tc>
          <w:tcPr>
            <w:tcW w:w="1830" w:type="dxa"/>
            <w:vAlign w:val="center"/>
          </w:tcPr>
          <w:p w14:paraId="6CE4D158" w14:textId="77777777" w:rsidR="00B2311E" w:rsidRPr="00417BE5" w:rsidRDefault="00B2311E" w:rsidP="00D30E8D">
            <w:pPr>
              <w:rPr>
                <w:rFonts w:cs="Times New Roman"/>
                <w:szCs w:val="24"/>
              </w:rPr>
            </w:pPr>
            <w:r w:rsidRPr="00417BE5">
              <w:rPr>
                <w:rFonts w:cs="Times New Roman"/>
                <w:szCs w:val="24"/>
              </w:rPr>
              <w:t>₹60,000</w:t>
            </w:r>
          </w:p>
        </w:tc>
        <w:tc>
          <w:tcPr>
            <w:tcW w:w="1830" w:type="dxa"/>
            <w:vAlign w:val="center"/>
          </w:tcPr>
          <w:p w14:paraId="214018C1" w14:textId="77777777" w:rsidR="00B2311E" w:rsidRPr="00417BE5" w:rsidRDefault="00B2311E" w:rsidP="00D30E8D">
            <w:pPr>
              <w:rPr>
                <w:rFonts w:cs="Times New Roman"/>
                <w:szCs w:val="24"/>
              </w:rPr>
            </w:pPr>
            <w:r w:rsidRPr="00417BE5">
              <w:rPr>
                <w:rFonts w:cs="Times New Roman"/>
                <w:szCs w:val="24"/>
              </w:rPr>
              <w:t>₹80,000</w:t>
            </w:r>
          </w:p>
        </w:tc>
        <w:tc>
          <w:tcPr>
            <w:tcW w:w="1861" w:type="dxa"/>
          </w:tcPr>
          <w:p w14:paraId="33025A4A" w14:textId="77777777" w:rsidR="00B2311E" w:rsidRPr="00417BE5" w:rsidRDefault="00B2311E" w:rsidP="00D30E8D">
            <w:pPr>
              <w:rPr>
                <w:rFonts w:cs="Times New Roman"/>
                <w:szCs w:val="24"/>
              </w:rPr>
            </w:pPr>
            <w:r w:rsidRPr="00417BE5">
              <w:rPr>
                <w:rFonts w:cs="Times New Roman"/>
                <w:szCs w:val="24"/>
              </w:rPr>
              <w:t>₹15,000</w:t>
            </w:r>
          </w:p>
        </w:tc>
        <w:tc>
          <w:tcPr>
            <w:tcW w:w="1804" w:type="dxa"/>
            <w:vAlign w:val="center"/>
          </w:tcPr>
          <w:p w14:paraId="7C4E88DE" w14:textId="77777777" w:rsidR="00B2311E" w:rsidRPr="00417BE5" w:rsidRDefault="00B2311E" w:rsidP="00D30E8D">
            <w:pPr>
              <w:rPr>
                <w:rFonts w:cs="Times New Roman"/>
                <w:szCs w:val="24"/>
              </w:rPr>
            </w:pPr>
            <w:r w:rsidRPr="00417BE5">
              <w:rPr>
                <w:rFonts w:cs="Times New Roman"/>
                <w:szCs w:val="24"/>
              </w:rPr>
              <w:t>₹8,000</w:t>
            </w:r>
          </w:p>
        </w:tc>
      </w:tr>
      <w:tr w:rsidR="00B2311E" w:rsidRPr="00417BE5" w14:paraId="7501AD62" w14:textId="77777777" w:rsidTr="00D30E8D">
        <w:trPr>
          <w:jc w:val="center"/>
        </w:trPr>
        <w:tc>
          <w:tcPr>
            <w:tcW w:w="2309" w:type="dxa"/>
            <w:vAlign w:val="center"/>
          </w:tcPr>
          <w:p w14:paraId="65D730EC" w14:textId="77777777" w:rsidR="00B2311E" w:rsidRPr="00417BE5" w:rsidRDefault="00B2311E" w:rsidP="00D30E8D">
            <w:pPr>
              <w:rPr>
                <w:rFonts w:cs="Times New Roman"/>
                <w:b/>
                <w:szCs w:val="24"/>
              </w:rPr>
            </w:pPr>
            <w:r w:rsidRPr="00417BE5">
              <w:rPr>
                <w:rFonts w:cs="Times New Roman"/>
                <w:b/>
                <w:szCs w:val="24"/>
              </w:rPr>
              <w:t>Growing medium (Cocopeat, etc.)</w:t>
            </w:r>
          </w:p>
        </w:tc>
        <w:tc>
          <w:tcPr>
            <w:tcW w:w="1830" w:type="dxa"/>
            <w:vAlign w:val="center"/>
          </w:tcPr>
          <w:p w14:paraId="0B7CBB35" w14:textId="77777777" w:rsidR="00B2311E" w:rsidRPr="00417BE5" w:rsidRDefault="00B2311E" w:rsidP="00D30E8D">
            <w:pPr>
              <w:rPr>
                <w:rFonts w:cs="Times New Roman"/>
                <w:szCs w:val="24"/>
              </w:rPr>
            </w:pPr>
            <w:r w:rsidRPr="00417BE5">
              <w:rPr>
                <w:rFonts w:cs="Times New Roman"/>
                <w:szCs w:val="24"/>
              </w:rPr>
              <w:t>—</w:t>
            </w:r>
          </w:p>
        </w:tc>
        <w:tc>
          <w:tcPr>
            <w:tcW w:w="1830" w:type="dxa"/>
            <w:vAlign w:val="center"/>
          </w:tcPr>
          <w:p w14:paraId="4B26A231" w14:textId="77777777" w:rsidR="00B2311E" w:rsidRPr="00417BE5" w:rsidRDefault="00B2311E" w:rsidP="00D30E8D">
            <w:pPr>
              <w:rPr>
                <w:rFonts w:cs="Times New Roman"/>
                <w:szCs w:val="24"/>
              </w:rPr>
            </w:pPr>
            <w:r w:rsidRPr="00417BE5">
              <w:rPr>
                <w:rFonts w:cs="Times New Roman"/>
                <w:szCs w:val="24"/>
              </w:rPr>
              <w:t>—</w:t>
            </w:r>
          </w:p>
        </w:tc>
        <w:tc>
          <w:tcPr>
            <w:tcW w:w="1861" w:type="dxa"/>
          </w:tcPr>
          <w:p w14:paraId="242905A6" w14:textId="77777777" w:rsidR="00B2311E" w:rsidRPr="00417BE5" w:rsidRDefault="00B2311E" w:rsidP="00D30E8D">
            <w:pPr>
              <w:rPr>
                <w:rFonts w:cs="Times New Roman"/>
                <w:szCs w:val="24"/>
              </w:rPr>
            </w:pPr>
            <w:r w:rsidRPr="00417BE5">
              <w:rPr>
                <w:rFonts w:cs="Times New Roman"/>
                <w:szCs w:val="24"/>
              </w:rPr>
              <w:t>₹20,000</w:t>
            </w:r>
          </w:p>
        </w:tc>
        <w:tc>
          <w:tcPr>
            <w:tcW w:w="1804" w:type="dxa"/>
            <w:vAlign w:val="center"/>
          </w:tcPr>
          <w:p w14:paraId="54CA6E98" w14:textId="77777777" w:rsidR="00B2311E" w:rsidRPr="00417BE5" w:rsidRDefault="00B2311E" w:rsidP="00D30E8D">
            <w:pPr>
              <w:rPr>
                <w:rFonts w:cs="Times New Roman"/>
                <w:szCs w:val="24"/>
              </w:rPr>
            </w:pPr>
            <w:r w:rsidRPr="00417BE5">
              <w:rPr>
                <w:rFonts w:cs="Times New Roman"/>
                <w:szCs w:val="24"/>
              </w:rPr>
              <w:t>Reused from 1st year</w:t>
            </w:r>
          </w:p>
        </w:tc>
      </w:tr>
      <w:tr w:rsidR="00B2311E" w:rsidRPr="00417BE5" w14:paraId="18A9A6BE" w14:textId="77777777" w:rsidTr="00D30E8D">
        <w:trPr>
          <w:jc w:val="center"/>
        </w:trPr>
        <w:tc>
          <w:tcPr>
            <w:tcW w:w="2309" w:type="dxa"/>
            <w:vAlign w:val="center"/>
          </w:tcPr>
          <w:p w14:paraId="5C658595" w14:textId="77777777" w:rsidR="00B2311E" w:rsidRPr="00417BE5" w:rsidRDefault="00B2311E" w:rsidP="00D30E8D">
            <w:pPr>
              <w:rPr>
                <w:rFonts w:cs="Times New Roman"/>
                <w:b/>
                <w:szCs w:val="24"/>
              </w:rPr>
            </w:pPr>
            <w:r w:rsidRPr="00417BE5">
              <w:rPr>
                <w:rFonts w:cs="Times New Roman"/>
                <w:b/>
                <w:szCs w:val="24"/>
              </w:rPr>
              <w:t>Electricity/Water pumping</w:t>
            </w:r>
          </w:p>
        </w:tc>
        <w:tc>
          <w:tcPr>
            <w:tcW w:w="1830" w:type="dxa"/>
            <w:vAlign w:val="center"/>
          </w:tcPr>
          <w:p w14:paraId="3DC27E12" w14:textId="77777777" w:rsidR="00B2311E" w:rsidRPr="00417BE5" w:rsidRDefault="00B2311E" w:rsidP="00D30E8D">
            <w:pPr>
              <w:rPr>
                <w:rFonts w:cs="Times New Roman"/>
                <w:szCs w:val="24"/>
              </w:rPr>
            </w:pPr>
            <w:r w:rsidRPr="00417BE5">
              <w:rPr>
                <w:rFonts w:cs="Times New Roman"/>
                <w:szCs w:val="24"/>
              </w:rPr>
              <w:t>₹5,000</w:t>
            </w:r>
          </w:p>
        </w:tc>
        <w:tc>
          <w:tcPr>
            <w:tcW w:w="1830" w:type="dxa"/>
            <w:vAlign w:val="center"/>
          </w:tcPr>
          <w:p w14:paraId="696B4351" w14:textId="77777777" w:rsidR="00B2311E" w:rsidRPr="00417BE5" w:rsidRDefault="00B2311E" w:rsidP="00D30E8D">
            <w:pPr>
              <w:rPr>
                <w:rFonts w:cs="Times New Roman"/>
                <w:szCs w:val="24"/>
              </w:rPr>
            </w:pPr>
            <w:r w:rsidRPr="00417BE5">
              <w:rPr>
                <w:rFonts w:cs="Times New Roman"/>
                <w:szCs w:val="24"/>
              </w:rPr>
              <w:t>₹2,000</w:t>
            </w:r>
          </w:p>
        </w:tc>
        <w:tc>
          <w:tcPr>
            <w:tcW w:w="1861" w:type="dxa"/>
          </w:tcPr>
          <w:p w14:paraId="53025EE7" w14:textId="77777777" w:rsidR="00B2311E" w:rsidRPr="00417BE5" w:rsidRDefault="00B2311E" w:rsidP="00D30E8D">
            <w:pPr>
              <w:rPr>
                <w:rFonts w:cs="Times New Roman"/>
                <w:szCs w:val="24"/>
              </w:rPr>
            </w:pPr>
            <w:r w:rsidRPr="00417BE5">
              <w:rPr>
                <w:rFonts w:cs="Times New Roman"/>
                <w:szCs w:val="24"/>
              </w:rPr>
              <w:t>₹10,000</w:t>
            </w:r>
          </w:p>
        </w:tc>
        <w:tc>
          <w:tcPr>
            <w:tcW w:w="1804" w:type="dxa"/>
            <w:vAlign w:val="center"/>
          </w:tcPr>
          <w:p w14:paraId="1CFFB403" w14:textId="77777777" w:rsidR="00B2311E" w:rsidRPr="00417BE5" w:rsidRDefault="00B2311E" w:rsidP="00D30E8D">
            <w:pPr>
              <w:rPr>
                <w:rFonts w:cs="Times New Roman"/>
                <w:szCs w:val="24"/>
              </w:rPr>
            </w:pPr>
            <w:r w:rsidRPr="00417BE5">
              <w:rPr>
                <w:rFonts w:cs="Times New Roman"/>
                <w:szCs w:val="24"/>
              </w:rPr>
              <w:t>₹8,000</w:t>
            </w:r>
          </w:p>
        </w:tc>
      </w:tr>
      <w:tr w:rsidR="00B2311E" w:rsidRPr="00417BE5" w14:paraId="24C69A7C" w14:textId="77777777" w:rsidTr="00D30E8D">
        <w:trPr>
          <w:jc w:val="center"/>
        </w:trPr>
        <w:tc>
          <w:tcPr>
            <w:tcW w:w="2309" w:type="dxa"/>
            <w:vAlign w:val="center"/>
          </w:tcPr>
          <w:p w14:paraId="3F6E7DB9" w14:textId="77777777" w:rsidR="00B2311E" w:rsidRPr="00417BE5" w:rsidRDefault="00B2311E" w:rsidP="00D30E8D">
            <w:pPr>
              <w:rPr>
                <w:rFonts w:cs="Times New Roman"/>
                <w:b/>
                <w:szCs w:val="24"/>
              </w:rPr>
            </w:pPr>
            <w:r w:rsidRPr="00417BE5">
              <w:rPr>
                <w:rFonts w:cs="Times New Roman"/>
                <w:b/>
                <w:szCs w:val="24"/>
              </w:rPr>
              <w:t>Labour</w:t>
            </w:r>
          </w:p>
        </w:tc>
        <w:tc>
          <w:tcPr>
            <w:tcW w:w="1830" w:type="dxa"/>
            <w:vAlign w:val="center"/>
          </w:tcPr>
          <w:p w14:paraId="0CD9EC9D" w14:textId="77777777" w:rsidR="00B2311E" w:rsidRPr="00417BE5" w:rsidRDefault="00B2311E" w:rsidP="00D30E8D">
            <w:pPr>
              <w:rPr>
                <w:rFonts w:cs="Times New Roman"/>
                <w:szCs w:val="24"/>
              </w:rPr>
            </w:pPr>
            <w:r w:rsidRPr="00417BE5">
              <w:rPr>
                <w:rFonts w:cs="Times New Roman"/>
                <w:szCs w:val="24"/>
              </w:rPr>
              <w:t>₹100,000</w:t>
            </w:r>
          </w:p>
        </w:tc>
        <w:tc>
          <w:tcPr>
            <w:tcW w:w="1830" w:type="dxa"/>
            <w:vAlign w:val="center"/>
          </w:tcPr>
          <w:p w14:paraId="1F5704AD" w14:textId="77777777" w:rsidR="00B2311E" w:rsidRPr="00417BE5" w:rsidRDefault="00B2311E" w:rsidP="00D30E8D">
            <w:pPr>
              <w:rPr>
                <w:rFonts w:cs="Times New Roman"/>
                <w:szCs w:val="24"/>
              </w:rPr>
            </w:pPr>
            <w:r w:rsidRPr="00417BE5">
              <w:rPr>
                <w:rFonts w:cs="Times New Roman"/>
                <w:szCs w:val="24"/>
              </w:rPr>
              <w:t>₹80,000</w:t>
            </w:r>
          </w:p>
        </w:tc>
        <w:tc>
          <w:tcPr>
            <w:tcW w:w="1861" w:type="dxa"/>
          </w:tcPr>
          <w:p w14:paraId="685B18D1" w14:textId="77777777" w:rsidR="00B2311E" w:rsidRPr="00417BE5" w:rsidRDefault="00B2311E" w:rsidP="00D30E8D">
            <w:pPr>
              <w:rPr>
                <w:rFonts w:cs="Times New Roman"/>
                <w:szCs w:val="24"/>
              </w:rPr>
            </w:pPr>
            <w:r w:rsidRPr="00417BE5">
              <w:rPr>
                <w:rFonts w:cs="Times New Roman"/>
                <w:szCs w:val="24"/>
              </w:rPr>
              <w:t>₹10,000</w:t>
            </w:r>
          </w:p>
        </w:tc>
        <w:tc>
          <w:tcPr>
            <w:tcW w:w="1804" w:type="dxa"/>
            <w:vAlign w:val="center"/>
          </w:tcPr>
          <w:p w14:paraId="09D3FE11" w14:textId="77777777" w:rsidR="00B2311E" w:rsidRPr="00417BE5" w:rsidRDefault="00B2311E" w:rsidP="00D30E8D">
            <w:pPr>
              <w:rPr>
                <w:rFonts w:cs="Times New Roman"/>
                <w:szCs w:val="24"/>
              </w:rPr>
            </w:pPr>
            <w:r w:rsidRPr="00417BE5">
              <w:rPr>
                <w:rFonts w:cs="Times New Roman"/>
                <w:szCs w:val="24"/>
              </w:rPr>
              <w:t>₹10,000</w:t>
            </w:r>
          </w:p>
        </w:tc>
      </w:tr>
      <w:tr w:rsidR="00B2311E" w:rsidRPr="00417BE5" w14:paraId="445242ED" w14:textId="77777777" w:rsidTr="00D30E8D">
        <w:trPr>
          <w:jc w:val="center"/>
        </w:trPr>
        <w:tc>
          <w:tcPr>
            <w:tcW w:w="2309" w:type="dxa"/>
            <w:vAlign w:val="center"/>
          </w:tcPr>
          <w:p w14:paraId="72214562" w14:textId="77777777" w:rsidR="00B2311E" w:rsidRPr="00417BE5" w:rsidRDefault="00B2311E" w:rsidP="00D30E8D">
            <w:pPr>
              <w:rPr>
                <w:rFonts w:cs="Times New Roman"/>
                <w:b/>
                <w:szCs w:val="24"/>
              </w:rPr>
            </w:pPr>
            <w:r w:rsidRPr="00417BE5">
              <w:rPr>
                <w:rFonts w:cs="Times New Roman"/>
                <w:b/>
                <w:szCs w:val="24"/>
              </w:rPr>
              <w:lastRenderedPageBreak/>
              <w:t>Hydroponic Structure, Tanks, Fittings etc.</w:t>
            </w:r>
          </w:p>
        </w:tc>
        <w:tc>
          <w:tcPr>
            <w:tcW w:w="1830" w:type="dxa"/>
            <w:vAlign w:val="center"/>
          </w:tcPr>
          <w:p w14:paraId="016FC59A" w14:textId="77777777" w:rsidR="00B2311E" w:rsidRPr="00417BE5" w:rsidRDefault="00B2311E" w:rsidP="00D30E8D">
            <w:pPr>
              <w:rPr>
                <w:rFonts w:cs="Times New Roman"/>
                <w:szCs w:val="24"/>
              </w:rPr>
            </w:pPr>
            <w:r w:rsidRPr="00417BE5">
              <w:rPr>
                <w:rFonts w:cs="Times New Roman"/>
                <w:szCs w:val="24"/>
              </w:rPr>
              <w:t>—</w:t>
            </w:r>
          </w:p>
          <w:p w14:paraId="37FC684F" w14:textId="77777777" w:rsidR="00B2311E" w:rsidRPr="00417BE5" w:rsidRDefault="00B2311E" w:rsidP="00D30E8D">
            <w:pPr>
              <w:rPr>
                <w:rFonts w:cs="Times New Roman"/>
                <w:szCs w:val="24"/>
              </w:rPr>
            </w:pPr>
          </w:p>
        </w:tc>
        <w:tc>
          <w:tcPr>
            <w:tcW w:w="1830" w:type="dxa"/>
            <w:vAlign w:val="center"/>
          </w:tcPr>
          <w:p w14:paraId="693A5D7D" w14:textId="77777777" w:rsidR="00B2311E" w:rsidRPr="00417BE5" w:rsidRDefault="00B2311E" w:rsidP="00D30E8D">
            <w:pPr>
              <w:rPr>
                <w:rFonts w:cs="Times New Roman"/>
                <w:szCs w:val="24"/>
              </w:rPr>
            </w:pPr>
            <w:r w:rsidRPr="00417BE5">
              <w:rPr>
                <w:rFonts w:cs="Times New Roman"/>
                <w:szCs w:val="24"/>
              </w:rPr>
              <w:t>—</w:t>
            </w:r>
          </w:p>
          <w:p w14:paraId="7F2171F4" w14:textId="77777777" w:rsidR="00B2311E" w:rsidRPr="00417BE5" w:rsidRDefault="00B2311E" w:rsidP="00D30E8D">
            <w:pPr>
              <w:rPr>
                <w:rFonts w:cs="Times New Roman"/>
                <w:szCs w:val="24"/>
              </w:rPr>
            </w:pPr>
          </w:p>
        </w:tc>
        <w:tc>
          <w:tcPr>
            <w:tcW w:w="1861" w:type="dxa"/>
          </w:tcPr>
          <w:p w14:paraId="411D8CE9" w14:textId="77777777" w:rsidR="00B2311E" w:rsidRPr="00417BE5" w:rsidRDefault="00B2311E" w:rsidP="00D30E8D">
            <w:pPr>
              <w:rPr>
                <w:rFonts w:cs="Times New Roman"/>
                <w:szCs w:val="24"/>
              </w:rPr>
            </w:pPr>
            <w:r w:rsidRPr="00417BE5">
              <w:rPr>
                <w:rFonts w:cs="Times New Roman"/>
                <w:szCs w:val="24"/>
              </w:rPr>
              <w:t>₹400,000</w:t>
            </w:r>
          </w:p>
        </w:tc>
        <w:tc>
          <w:tcPr>
            <w:tcW w:w="1804" w:type="dxa"/>
            <w:vAlign w:val="center"/>
          </w:tcPr>
          <w:p w14:paraId="25B39672" w14:textId="77777777" w:rsidR="00B2311E" w:rsidRPr="00417BE5" w:rsidRDefault="00B2311E" w:rsidP="00D30E8D">
            <w:pPr>
              <w:rPr>
                <w:rFonts w:cs="Times New Roman"/>
                <w:szCs w:val="24"/>
              </w:rPr>
            </w:pPr>
            <w:r w:rsidRPr="00417BE5">
              <w:rPr>
                <w:rFonts w:cs="Times New Roman"/>
                <w:szCs w:val="24"/>
              </w:rPr>
              <w:t>₹4,000</w:t>
            </w:r>
          </w:p>
          <w:p w14:paraId="759F580C" w14:textId="77777777" w:rsidR="00B2311E" w:rsidRPr="00417BE5" w:rsidRDefault="00B2311E" w:rsidP="00D30E8D">
            <w:pPr>
              <w:rPr>
                <w:rFonts w:cs="Times New Roman"/>
                <w:szCs w:val="24"/>
              </w:rPr>
            </w:pPr>
          </w:p>
          <w:p w14:paraId="7D01ACE2" w14:textId="77777777" w:rsidR="00B2311E" w:rsidRPr="00417BE5" w:rsidRDefault="00B2311E" w:rsidP="00D30E8D">
            <w:pPr>
              <w:rPr>
                <w:rFonts w:cs="Times New Roman"/>
                <w:szCs w:val="24"/>
              </w:rPr>
            </w:pPr>
          </w:p>
        </w:tc>
      </w:tr>
      <w:tr w:rsidR="00B2311E" w:rsidRPr="00417BE5" w14:paraId="1ADF6396" w14:textId="77777777" w:rsidTr="00D30E8D">
        <w:trPr>
          <w:jc w:val="center"/>
        </w:trPr>
        <w:tc>
          <w:tcPr>
            <w:tcW w:w="2309" w:type="dxa"/>
            <w:vAlign w:val="center"/>
          </w:tcPr>
          <w:p w14:paraId="22DE5C6F" w14:textId="77777777" w:rsidR="00B2311E" w:rsidRPr="00417BE5" w:rsidRDefault="00B2311E" w:rsidP="00D30E8D">
            <w:pPr>
              <w:rPr>
                <w:rFonts w:cs="Times New Roman"/>
                <w:b/>
                <w:szCs w:val="24"/>
              </w:rPr>
            </w:pPr>
            <w:r w:rsidRPr="00417BE5">
              <w:rPr>
                <w:rFonts w:cs="Times New Roman"/>
                <w:b/>
                <w:szCs w:val="24"/>
              </w:rPr>
              <w:t>Miscellaneous</w:t>
            </w:r>
          </w:p>
        </w:tc>
        <w:tc>
          <w:tcPr>
            <w:tcW w:w="1830" w:type="dxa"/>
            <w:vAlign w:val="center"/>
          </w:tcPr>
          <w:p w14:paraId="478CDC1A" w14:textId="77777777" w:rsidR="00B2311E" w:rsidRPr="00417BE5" w:rsidRDefault="00B2311E" w:rsidP="00D30E8D">
            <w:pPr>
              <w:rPr>
                <w:rFonts w:cs="Times New Roman"/>
                <w:szCs w:val="24"/>
              </w:rPr>
            </w:pPr>
            <w:r w:rsidRPr="00417BE5">
              <w:rPr>
                <w:rFonts w:cs="Times New Roman"/>
                <w:szCs w:val="24"/>
              </w:rPr>
              <w:t>₹150,000</w:t>
            </w:r>
          </w:p>
        </w:tc>
        <w:tc>
          <w:tcPr>
            <w:tcW w:w="1830" w:type="dxa"/>
            <w:vAlign w:val="center"/>
          </w:tcPr>
          <w:p w14:paraId="01E499C1" w14:textId="77777777" w:rsidR="00B2311E" w:rsidRPr="00417BE5" w:rsidRDefault="00B2311E" w:rsidP="00D30E8D">
            <w:pPr>
              <w:rPr>
                <w:rFonts w:cs="Times New Roman"/>
                <w:szCs w:val="24"/>
              </w:rPr>
            </w:pPr>
            <w:r w:rsidRPr="00417BE5">
              <w:rPr>
                <w:rFonts w:cs="Times New Roman"/>
                <w:szCs w:val="24"/>
              </w:rPr>
              <w:t>₹100,000</w:t>
            </w:r>
          </w:p>
        </w:tc>
        <w:tc>
          <w:tcPr>
            <w:tcW w:w="1861" w:type="dxa"/>
          </w:tcPr>
          <w:p w14:paraId="39EB3F74" w14:textId="77777777" w:rsidR="00B2311E" w:rsidRPr="00417BE5" w:rsidRDefault="00B2311E" w:rsidP="00D30E8D">
            <w:pPr>
              <w:rPr>
                <w:rFonts w:cs="Times New Roman"/>
                <w:szCs w:val="24"/>
              </w:rPr>
            </w:pPr>
            <w:r w:rsidRPr="00417BE5">
              <w:rPr>
                <w:rFonts w:cs="Times New Roman"/>
                <w:szCs w:val="24"/>
              </w:rPr>
              <w:t>₹100,000</w:t>
            </w:r>
          </w:p>
        </w:tc>
        <w:tc>
          <w:tcPr>
            <w:tcW w:w="1804" w:type="dxa"/>
            <w:vAlign w:val="center"/>
          </w:tcPr>
          <w:p w14:paraId="10EE23C8" w14:textId="77777777" w:rsidR="00B2311E" w:rsidRPr="00417BE5" w:rsidRDefault="00B2311E" w:rsidP="00D30E8D">
            <w:pPr>
              <w:rPr>
                <w:rFonts w:cs="Times New Roman"/>
                <w:szCs w:val="24"/>
              </w:rPr>
            </w:pPr>
            <w:r w:rsidRPr="00417BE5">
              <w:rPr>
                <w:rFonts w:cs="Times New Roman"/>
                <w:szCs w:val="24"/>
              </w:rPr>
              <w:t>₹20,000</w:t>
            </w:r>
          </w:p>
        </w:tc>
      </w:tr>
      <w:tr w:rsidR="00B2311E" w:rsidRPr="00417BE5" w14:paraId="4338DABC" w14:textId="77777777" w:rsidTr="00D30E8D">
        <w:trPr>
          <w:jc w:val="center"/>
        </w:trPr>
        <w:tc>
          <w:tcPr>
            <w:tcW w:w="2309" w:type="dxa"/>
            <w:vAlign w:val="center"/>
          </w:tcPr>
          <w:p w14:paraId="06FC2040" w14:textId="77777777" w:rsidR="00B2311E" w:rsidRPr="00417BE5" w:rsidRDefault="00B2311E" w:rsidP="00D30E8D">
            <w:pPr>
              <w:rPr>
                <w:rFonts w:cs="Times New Roman"/>
                <w:b/>
                <w:szCs w:val="24"/>
              </w:rPr>
            </w:pPr>
            <w:r w:rsidRPr="00417BE5">
              <w:rPr>
                <w:rFonts w:cs="Times New Roman"/>
                <w:b/>
                <w:szCs w:val="24"/>
              </w:rPr>
              <w:t>Total Cost of Cultivation</w:t>
            </w:r>
          </w:p>
        </w:tc>
        <w:tc>
          <w:tcPr>
            <w:tcW w:w="1830" w:type="dxa"/>
            <w:vAlign w:val="center"/>
          </w:tcPr>
          <w:p w14:paraId="116DF7EB" w14:textId="77777777" w:rsidR="00B2311E" w:rsidRPr="00417BE5" w:rsidRDefault="00B2311E" w:rsidP="00D30E8D">
            <w:pPr>
              <w:rPr>
                <w:rFonts w:cs="Times New Roman"/>
                <w:szCs w:val="24"/>
              </w:rPr>
            </w:pPr>
            <w:r w:rsidRPr="00417BE5">
              <w:rPr>
                <w:rFonts w:cs="Times New Roman"/>
                <w:szCs w:val="24"/>
              </w:rPr>
              <w:t>₹435,000</w:t>
            </w:r>
          </w:p>
          <w:p w14:paraId="42CC9C7B" w14:textId="77777777" w:rsidR="00B2311E" w:rsidRPr="00417BE5" w:rsidRDefault="00B2311E" w:rsidP="00D30E8D">
            <w:pPr>
              <w:rPr>
                <w:rFonts w:cs="Times New Roman"/>
                <w:szCs w:val="24"/>
              </w:rPr>
            </w:pPr>
          </w:p>
        </w:tc>
        <w:tc>
          <w:tcPr>
            <w:tcW w:w="1830" w:type="dxa"/>
          </w:tcPr>
          <w:p w14:paraId="3E9BF7AC" w14:textId="77777777" w:rsidR="00B2311E" w:rsidRPr="00417BE5" w:rsidRDefault="00B2311E" w:rsidP="00D30E8D">
            <w:pPr>
              <w:rPr>
                <w:rFonts w:cs="Times New Roman"/>
                <w:szCs w:val="24"/>
              </w:rPr>
            </w:pPr>
            <w:r w:rsidRPr="00417BE5">
              <w:rPr>
                <w:rFonts w:cs="Times New Roman"/>
                <w:szCs w:val="24"/>
              </w:rPr>
              <w:t>₹412,000</w:t>
            </w:r>
          </w:p>
        </w:tc>
        <w:tc>
          <w:tcPr>
            <w:tcW w:w="1861" w:type="dxa"/>
          </w:tcPr>
          <w:p w14:paraId="007944ED" w14:textId="77777777" w:rsidR="00B2311E" w:rsidRPr="00417BE5" w:rsidRDefault="00B2311E" w:rsidP="00D30E8D">
            <w:pPr>
              <w:rPr>
                <w:rFonts w:cs="Times New Roman"/>
                <w:szCs w:val="24"/>
              </w:rPr>
            </w:pPr>
            <w:r w:rsidRPr="00417BE5">
              <w:rPr>
                <w:rFonts w:cs="Times New Roman"/>
                <w:szCs w:val="24"/>
              </w:rPr>
              <w:t>₹587,000</w:t>
            </w:r>
          </w:p>
        </w:tc>
        <w:tc>
          <w:tcPr>
            <w:tcW w:w="1804" w:type="dxa"/>
          </w:tcPr>
          <w:p w14:paraId="4755D77E" w14:textId="77777777" w:rsidR="00B2311E" w:rsidRPr="00417BE5" w:rsidRDefault="00B2311E" w:rsidP="00D30E8D">
            <w:pPr>
              <w:rPr>
                <w:rFonts w:cs="Times New Roman"/>
                <w:szCs w:val="24"/>
              </w:rPr>
            </w:pPr>
            <w:r w:rsidRPr="00417BE5">
              <w:rPr>
                <w:rFonts w:cs="Times New Roman"/>
                <w:szCs w:val="24"/>
              </w:rPr>
              <w:t>₹90,000</w:t>
            </w:r>
          </w:p>
        </w:tc>
      </w:tr>
    </w:tbl>
    <w:p w14:paraId="772C3B0E"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3.1.1 Fixed and Variable Costs</w:t>
      </w:r>
    </w:p>
    <w:p w14:paraId="76E28357" w14:textId="77777777" w:rsidR="00B2311E"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Land preparation (₹70,000–₹100,000/ha) was incurred only in conventional plots. In contrast, hydroponic Year 2 required only ₹4,000/ha for structure maintenance. Fertilizer costs were significantly lower in hydroponics (₹15,000–₹8,000/ha) compared to soil (₹60,000–₹80,000/ha) due to efficient nutrient use. Labour and water costs also declined markedly in the hydroponic system.</w:t>
      </w:r>
    </w:p>
    <w:p w14:paraId="6AD5992A"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3.1.2 Year-on-Year Dynamics</w:t>
      </w:r>
    </w:p>
    <w:p w14:paraId="1F61C424"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Recurring input costs dropped by ~85% in Year 2 of hydroponics. With the initial investment largely recovered in the first year, Year 2 costs reflected only operational needs</w:t>
      </w:r>
      <w:r w:rsidR="000243B9" w:rsidRPr="00417BE5">
        <w:rPr>
          <w:rFonts w:eastAsia="Times New Roman" w:cs="Times New Roman"/>
          <w:szCs w:val="24"/>
          <w:lang w:eastAsia="en-IN"/>
        </w:rPr>
        <w:t>.</w:t>
      </w:r>
    </w:p>
    <w:p w14:paraId="04AE5181"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3.2 Yield and Profitability</w:t>
      </w:r>
    </w:p>
    <w:p w14:paraId="2E796CB9"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Hydroponic systems significantly outperformed conventional cultivation in stigma yield and profitability (Table 2, Fig. 1a).</w:t>
      </w:r>
      <w:r w:rsidR="006063B8" w:rsidRPr="00417BE5">
        <w:rPr>
          <w:rFonts w:eastAsia="Times New Roman" w:cs="Times New Roman"/>
          <w:szCs w:val="24"/>
          <w:lang w:eastAsia="en-IN"/>
        </w:rPr>
        <w:t xml:space="preserve"> </w:t>
      </w:r>
      <w:r w:rsidRPr="00417BE5">
        <w:rPr>
          <w:rFonts w:eastAsia="Times New Roman" w:cs="Times New Roman"/>
          <w:szCs w:val="24"/>
          <w:lang w:eastAsia="en-IN"/>
        </w:rPr>
        <w:t>Kashmir and Kishtwar produced 3,200 and 3,500 g/ha, respectively.</w:t>
      </w:r>
      <w:r w:rsidR="006063B8" w:rsidRPr="00417BE5">
        <w:rPr>
          <w:rFonts w:eastAsia="Times New Roman" w:cs="Times New Roman"/>
          <w:szCs w:val="24"/>
          <w:lang w:eastAsia="en-IN"/>
        </w:rPr>
        <w:t xml:space="preserve"> </w:t>
      </w:r>
      <w:r w:rsidRPr="00417BE5">
        <w:rPr>
          <w:rFonts w:eastAsia="Times New Roman" w:cs="Times New Roman"/>
          <w:szCs w:val="24"/>
          <w:lang w:eastAsia="en-IN"/>
        </w:rPr>
        <w:t>Hydroponic Year 1 yielded 5,500 g/ha; Year 2 reached 6,000 g/ha.</w:t>
      </w:r>
      <w:r w:rsidR="006063B8" w:rsidRPr="00417BE5">
        <w:rPr>
          <w:rFonts w:eastAsia="Times New Roman" w:cs="Times New Roman"/>
          <w:szCs w:val="24"/>
          <w:lang w:eastAsia="en-IN"/>
        </w:rPr>
        <w:t xml:space="preserve"> </w:t>
      </w:r>
      <w:r w:rsidRPr="00417BE5">
        <w:rPr>
          <w:rFonts w:eastAsia="Times New Roman" w:cs="Times New Roman"/>
          <w:szCs w:val="24"/>
          <w:lang w:eastAsia="en-IN"/>
        </w:rPr>
        <w:t>This 71.9–85.7% increase in yield, combined with a premium price of ₹400/g, boosted gross returns to ₹2.2–2.4 million/ha under hydroponics (Fig. 1b). Net income rose from ₹0.365–0.463 million/ha in soil to ₹1.613 million (Year 1) and ₹2.310 million (Year 2) under hydroponics.</w:t>
      </w:r>
    </w:p>
    <w:p w14:paraId="034CCB27" w14:textId="77777777" w:rsidR="00B2311E" w:rsidRPr="00417BE5" w:rsidRDefault="00B2311E" w:rsidP="00537D2D">
      <w:pPr>
        <w:spacing w:after="0"/>
        <w:jc w:val="both"/>
        <w:rPr>
          <w:rFonts w:eastAsia="Times New Roman" w:cs="Times New Roman"/>
          <w:szCs w:val="24"/>
          <w:lang w:eastAsia="en-IN"/>
        </w:rPr>
      </w:pPr>
      <w:r w:rsidRPr="00417BE5">
        <w:rPr>
          <w:rFonts w:cs="Times New Roman"/>
          <w:b/>
          <w:szCs w:val="24"/>
        </w:rPr>
        <w:t>Table 2: Yield and Revenue Comparison</w:t>
      </w:r>
    </w:p>
    <w:tbl>
      <w:tblPr>
        <w:tblStyle w:val="TableGrid"/>
        <w:tblW w:w="9356" w:type="dxa"/>
        <w:tblInd w:w="-147" w:type="dxa"/>
        <w:tblLook w:val="04A0" w:firstRow="1" w:lastRow="0" w:firstColumn="1" w:lastColumn="0" w:noHBand="0" w:noVBand="1"/>
      </w:tblPr>
      <w:tblGrid>
        <w:gridCol w:w="2977"/>
        <w:gridCol w:w="1620"/>
        <w:gridCol w:w="1499"/>
        <w:gridCol w:w="1657"/>
        <w:gridCol w:w="1603"/>
      </w:tblGrid>
      <w:tr w:rsidR="00B2311E" w:rsidRPr="00417BE5" w14:paraId="6A5F7078" w14:textId="77777777" w:rsidTr="005419A6">
        <w:tc>
          <w:tcPr>
            <w:tcW w:w="2977" w:type="dxa"/>
            <w:hideMark/>
          </w:tcPr>
          <w:p w14:paraId="341A57C2" w14:textId="77777777" w:rsidR="00B2311E" w:rsidRPr="00417BE5" w:rsidRDefault="00B2311E" w:rsidP="00537D2D">
            <w:pPr>
              <w:rPr>
                <w:rFonts w:cs="Times New Roman"/>
                <w:b/>
                <w:szCs w:val="24"/>
              </w:rPr>
            </w:pPr>
            <w:r w:rsidRPr="00417BE5">
              <w:rPr>
                <w:rFonts w:cs="Times New Roman"/>
                <w:b/>
                <w:szCs w:val="24"/>
              </w:rPr>
              <w:lastRenderedPageBreak/>
              <w:t>Parameter</w:t>
            </w:r>
          </w:p>
        </w:tc>
        <w:tc>
          <w:tcPr>
            <w:tcW w:w="1620" w:type="dxa"/>
            <w:hideMark/>
          </w:tcPr>
          <w:p w14:paraId="71A576FB" w14:textId="77777777" w:rsidR="00B2311E" w:rsidRPr="00417BE5" w:rsidRDefault="00B2311E" w:rsidP="00537D2D">
            <w:pPr>
              <w:rPr>
                <w:rFonts w:cs="Times New Roman"/>
                <w:b/>
                <w:szCs w:val="24"/>
              </w:rPr>
            </w:pPr>
            <w:r w:rsidRPr="00417BE5">
              <w:rPr>
                <w:rFonts w:cs="Times New Roman"/>
                <w:b/>
                <w:szCs w:val="24"/>
              </w:rPr>
              <w:t>Kashmir</w:t>
            </w:r>
          </w:p>
        </w:tc>
        <w:tc>
          <w:tcPr>
            <w:tcW w:w="1499" w:type="dxa"/>
            <w:hideMark/>
          </w:tcPr>
          <w:p w14:paraId="73D2734A" w14:textId="77777777" w:rsidR="00B2311E" w:rsidRPr="00417BE5" w:rsidRDefault="00B2311E" w:rsidP="00537D2D">
            <w:pPr>
              <w:rPr>
                <w:rFonts w:cs="Times New Roman"/>
                <w:b/>
                <w:szCs w:val="24"/>
              </w:rPr>
            </w:pPr>
            <w:r w:rsidRPr="00417BE5">
              <w:rPr>
                <w:rFonts w:cs="Times New Roman"/>
                <w:b/>
                <w:szCs w:val="24"/>
              </w:rPr>
              <w:t>Kishtwar</w:t>
            </w:r>
          </w:p>
        </w:tc>
        <w:tc>
          <w:tcPr>
            <w:tcW w:w="1657" w:type="dxa"/>
            <w:hideMark/>
          </w:tcPr>
          <w:p w14:paraId="6B9DE4AD" w14:textId="77777777" w:rsidR="00B2311E" w:rsidRPr="00417BE5" w:rsidRDefault="00B2311E" w:rsidP="00537D2D">
            <w:pPr>
              <w:rPr>
                <w:rFonts w:cs="Times New Roman"/>
                <w:b/>
                <w:szCs w:val="24"/>
              </w:rPr>
            </w:pPr>
            <w:r w:rsidRPr="00417BE5">
              <w:rPr>
                <w:rFonts w:cs="Times New Roman"/>
                <w:b/>
                <w:szCs w:val="24"/>
              </w:rPr>
              <w:t>Jammu (Hydroponic)</w:t>
            </w:r>
            <w:r w:rsidRPr="00417BE5">
              <w:rPr>
                <w:rFonts w:cs="Times New Roman"/>
                <w:b/>
                <w:szCs w:val="24"/>
              </w:rPr>
              <w:br/>
              <w:t>1st Year</w:t>
            </w:r>
          </w:p>
        </w:tc>
        <w:tc>
          <w:tcPr>
            <w:tcW w:w="1603" w:type="dxa"/>
          </w:tcPr>
          <w:p w14:paraId="235AB85C" w14:textId="77777777" w:rsidR="00B2311E" w:rsidRPr="00417BE5" w:rsidRDefault="00B2311E" w:rsidP="00537D2D">
            <w:pPr>
              <w:rPr>
                <w:rFonts w:cs="Times New Roman"/>
                <w:b/>
                <w:szCs w:val="24"/>
              </w:rPr>
            </w:pPr>
            <w:r w:rsidRPr="00417BE5">
              <w:rPr>
                <w:rFonts w:cs="Times New Roman"/>
                <w:b/>
                <w:szCs w:val="24"/>
              </w:rPr>
              <w:t>Jammu (Hydroponic)</w:t>
            </w:r>
            <w:r w:rsidRPr="00417BE5">
              <w:rPr>
                <w:rFonts w:cs="Times New Roman"/>
                <w:b/>
                <w:szCs w:val="24"/>
              </w:rPr>
              <w:br/>
              <w:t>2nd Year</w:t>
            </w:r>
          </w:p>
        </w:tc>
      </w:tr>
      <w:tr w:rsidR="00B2311E" w:rsidRPr="00417BE5" w14:paraId="556F6BB2" w14:textId="77777777" w:rsidTr="005419A6">
        <w:tc>
          <w:tcPr>
            <w:tcW w:w="2977" w:type="dxa"/>
            <w:hideMark/>
          </w:tcPr>
          <w:p w14:paraId="6A6A9DA2" w14:textId="77777777" w:rsidR="00B2311E" w:rsidRPr="00417BE5" w:rsidRDefault="00B2311E" w:rsidP="00537D2D">
            <w:pPr>
              <w:rPr>
                <w:rFonts w:cs="Times New Roman"/>
                <w:b/>
                <w:szCs w:val="24"/>
              </w:rPr>
            </w:pPr>
            <w:r w:rsidRPr="00417BE5">
              <w:rPr>
                <w:rFonts w:cs="Times New Roman"/>
                <w:b/>
                <w:szCs w:val="24"/>
              </w:rPr>
              <w:t>Average stigma yield (g/ha)</w:t>
            </w:r>
          </w:p>
        </w:tc>
        <w:tc>
          <w:tcPr>
            <w:tcW w:w="1620" w:type="dxa"/>
            <w:vAlign w:val="center"/>
            <w:hideMark/>
          </w:tcPr>
          <w:p w14:paraId="172E3B3A" w14:textId="77777777" w:rsidR="00B2311E" w:rsidRPr="00417BE5" w:rsidRDefault="00B2311E" w:rsidP="00537D2D">
            <w:pPr>
              <w:rPr>
                <w:rFonts w:cs="Times New Roman"/>
                <w:szCs w:val="24"/>
              </w:rPr>
            </w:pPr>
            <w:r w:rsidRPr="00417BE5">
              <w:rPr>
                <w:rFonts w:cs="Times New Roman"/>
                <w:szCs w:val="24"/>
              </w:rPr>
              <w:t>3,200</w:t>
            </w:r>
          </w:p>
        </w:tc>
        <w:tc>
          <w:tcPr>
            <w:tcW w:w="1499" w:type="dxa"/>
            <w:vAlign w:val="center"/>
            <w:hideMark/>
          </w:tcPr>
          <w:p w14:paraId="63A2DEB5" w14:textId="77777777" w:rsidR="00B2311E" w:rsidRPr="00417BE5" w:rsidRDefault="00B2311E" w:rsidP="00537D2D">
            <w:pPr>
              <w:rPr>
                <w:rFonts w:cs="Times New Roman"/>
                <w:szCs w:val="24"/>
              </w:rPr>
            </w:pPr>
            <w:r w:rsidRPr="00417BE5">
              <w:rPr>
                <w:rFonts w:cs="Times New Roman"/>
                <w:szCs w:val="24"/>
              </w:rPr>
              <w:t>3,500</w:t>
            </w:r>
          </w:p>
        </w:tc>
        <w:tc>
          <w:tcPr>
            <w:tcW w:w="1657" w:type="dxa"/>
            <w:vAlign w:val="center"/>
            <w:hideMark/>
          </w:tcPr>
          <w:p w14:paraId="7A46C042" w14:textId="77777777" w:rsidR="00B2311E" w:rsidRPr="00417BE5" w:rsidRDefault="00B2311E" w:rsidP="00537D2D">
            <w:pPr>
              <w:rPr>
                <w:rFonts w:cs="Times New Roman"/>
                <w:szCs w:val="24"/>
              </w:rPr>
            </w:pPr>
            <w:r w:rsidRPr="00417BE5">
              <w:rPr>
                <w:rFonts w:cs="Times New Roman"/>
                <w:szCs w:val="24"/>
              </w:rPr>
              <w:t>5,500</w:t>
            </w:r>
          </w:p>
        </w:tc>
        <w:tc>
          <w:tcPr>
            <w:tcW w:w="1603" w:type="dxa"/>
            <w:vAlign w:val="center"/>
          </w:tcPr>
          <w:p w14:paraId="074AA382" w14:textId="77777777" w:rsidR="00B2311E" w:rsidRPr="00417BE5" w:rsidRDefault="00B2311E" w:rsidP="00537D2D">
            <w:pPr>
              <w:rPr>
                <w:rFonts w:cs="Times New Roman"/>
                <w:szCs w:val="24"/>
              </w:rPr>
            </w:pPr>
            <w:r w:rsidRPr="00417BE5">
              <w:rPr>
                <w:rFonts w:cs="Times New Roman"/>
                <w:szCs w:val="24"/>
              </w:rPr>
              <w:t>6,000</w:t>
            </w:r>
          </w:p>
        </w:tc>
      </w:tr>
      <w:tr w:rsidR="00B2311E" w:rsidRPr="00417BE5" w14:paraId="4356432E" w14:textId="77777777" w:rsidTr="005419A6">
        <w:tc>
          <w:tcPr>
            <w:tcW w:w="2977" w:type="dxa"/>
            <w:hideMark/>
          </w:tcPr>
          <w:p w14:paraId="2E8371B8" w14:textId="77777777" w:rsidR="00B2311E" w:rsidRPr="00417BE5" w:rsidRDefault="00B2311E" w:rsidP="00537D2D">
            <w:pPr>
              <w:rPr>
                <w:rFonts w:cs="Times New Roman"/>
                <w:b/>
                <w:szCs w:val="24"/>
              </w:rPr>
            </w:pPr>
            <w:r w:rsidRPr="00417BE5">
              <w:rPr>
                <w:rFonts w:cs="Times New Roman"/>
                <w:b/>
                <w:szCs w:val="24"/>
              </w:rPr>
              <w:t>Market rate of saffron (₹/g)</w:t>
            </w:r>
          </w:p>
        </w:tc>
        <w:tc>
          <w:tcPr>
            <w:tcW w:w="1620" w:type="dxa"/>
            <w:vAlign w:val="center"/>
            <w:hideMark/>
          </w:tcPr>
          <w:p w14:paraId="03AE6276" w14:textId="77777777" w:rsidR="00B2311E" w:rsidRPr="00417BE5" w:rsidRDefault="00B2311E" w:rsidP="00537D2D">
            <w:pPr>
              <w:rPr>
                <w:rFonts w:cs="Times New Roman"/>
                <w:szCs w:val="24"/>
              </w:rPr>
            </w:pPr>
            <w:r w:rsidRPr="00417BE5">
              <w:rPr>
                <w:rFonts w:cs="Times New Roman"/>
                <w:szCs w:val="24"/>
              </w:rPr>
              <w:t>250</w:t>
            </w:r>
          </w:p>
        </w:tc>
        <w:tc>
          <w:tcPr>
            <w:tcW w:w="1499" w:type="dxa"/>
            <w:vAlign w:val="center"/>
            <w:hideMark/>
          </w:tcPr>
          <w:p w14:paraId="5403E856" w14:textId="77777777" w:rsidR="00B2311E" w:rsidRPr="00417BE5" w:rsidRDefault="00B2311E" w:rsidP="00537D2D">
            <w:pPr>
              <w:rPr>
                <w:rFonts w:cs="Times New Roman"/>
                <w:szCs w:val="24"/>
              </w:rPr>
            </w:pPr>
            <w:r w:rsidRPr="00417BE5">
              <w:rPr>
                <w:rFonts w:cs="Times New Roman"/>
                <w:szCs w:val="24"/>
              </w:rPr>
              <w:t>250</w:t>
            </w:r>
          </w:p>
        </w:tc>
        <w:tc>
          <w:tcPr>
            <w:tcW w:w="1657" w:type="dxa"/>
            <w:vAlign w:val="center"/>
            <w:hideMark/>
          </w:tcPr>
          <w:p w14:paraId="34F5102C" w14:textId="77777777" w:rsidR="00B2311E" w:rsidRPr="00417BE5" w:rsidRDefault="00B2311E" w:rsidP="00537D2D">
            <w:pPr>
              <w:rPr>
                <w:rFonts w:cs="Times New Roman"/>
                <w:szCs w:val="24"/>
              </w:rPr>
            </w:pPr>
            <w:r w:rsidRPr="00417BE5">
              <w:rPr>
                <w:rFonts w:cs="Times New Roman"/>
                <w:szCs w:val="24"/>
              </w:rPr>
              <w:t>400</w:t>
            </w:r>
          </w:p>
        </w:tc>
        <w:tc>
          <w:tcPr>
            <w:tcW w:w="1603" w:type="dxa"/>
            <w:vAlign w:val="center"/>
          </w:tcPr>
          <w:p w14:paraId="387A3529" w14:textId="77777777" w:rsidR="00B2311E" w:rsidRPr="00417BE5" w:rsidRDefault="00B2311E" w:rsidP="00537D2D">
            <w:pPr>
              <w:rPr>
                <w:rFonts w:cs="Times New Roman"/>
                <w:szCs w:val="24"/>
              </w:rPr>
            </w:pPr>
            <w:r w:rsidRPr="00417BE5">
              <w:rPr>
                <w:rFonts w:cs="Times New Roman"/>
                <w:szCs w:val="24"/>
              </w:rPr>
              <w:t>400</w:t>
            </w:r>
          </w:p>
        </w:tc>
      </w:tr>
      <w:tr w:rsidR="00B2311E" w:rsidRPr="00417BE5" w14:paraId="39FE3C70" w14:textId="77777777" w:rsidTr="005419A6">
        <w:tc>
          <w:tcPr>
            <w:tcW w:w="2977" w:type="dxa"/>
            <w:hideMark/>
          </w:tcPr>
          <w:p w14:paraId="5F5C1B05" w14:textId="77777777" w:rsidR="00B2311E" w:rsidRPr="00417BE5" w:rsidRDefault="00B2311E" w:rsidP="00537D2D">
            <w:pPr>
              <w:rPr>
                <w:rFonts w:cs="Times New Roman"/>
                <w:b/>
                <w:szCs w:val="24"/>
              </w:rPr>
            </w:pPr>
            <w:r w:rsidRPr="00417BE5">
              <w:rPr>
                <w:rFonts w:cs="Times New Roman"/>
                <w:b/>
                <w:szCs w:val="24"/>
              </w:rPr>
              <w:t>Gross Income (₹/ha.)</w:t>
            </w:r>
          </w:p>
        </w:tc>
        <w:tc>
          <w:tcPr>
            <w:tcW w:w="1620" w:type="dxa"/>
            <w:vAlign w:val="center"/>
            <w:hideMark/>
          </w:tcPr>
          <w:p w14:paraId="6B856A74" w14:textId="77777777" w:rsidR="00B2311E" w:rsidRPr="00417BE5" w:rsidRDefault="00B2311E" w:rsidP="00537D2D">
            <w:pPr>
              <w:rPr>
                <w:rFonts w:cs="Times New Roman"/>
                <w:szCs w:val="24"/>
              </w:rPr>
            </w:pPr>
            <w:r w:rsidRPr="00417BE5">
              <w:rPr>
                <w:rFonts w:cs="Times New Roman"/>
                <w:szCs w:val="24"/>
              </w:rPr>
              <w:t>₹800,000</w:t>
            </w:r>
          </w:p>
        </w:tc>
        <w:tc>
          <w:tcPr>
            <w:tcW w:w="1499" w:type="dxa"/>
            <w:vAlign w:val="center"/>
            <w:hideMark/>
          </w:tcPr>
          <w:p w14:paraId="7851C399" w14:textId="77777777" w:rsidR="00B2311E" w:rsidRPr="00417BE5" w:rsidRDefault="00B2311E" w:rsidP="00537D2D">
            <w:pPr>
              <w:rPr>
                <w:rFonts w:cs="Times New Roman"/>
                <w:szCs w:val="24"/>
              </w:rPr>
            </w:pPr>
            <w:r w:rsidRPr="00417BE5">
              <w:rPr>
                <w:rFonts w:cs="Times New Roman"/>
                <w:szCs w:val="24"/>
              </w:rPr>
              <w:t>₹875,000</w:t>
            </w:r>
          </w:p>
        </w:tc>
        <w:tc>
          <w:tcPr>
            <w:tcW w:w="1657" w:type="dxa"/>
            <w:vAlign w:val="center"/>
            <w:hideMark/>
          </w:tcPr>
          <w:p w14:paraId="73C9AE4E" w14:textId="77777777" w:rsidR="00B2311E" w:rsidRPr="00417BE5" w:rsidRDefault="00B2311E" w:rsidP="00537D2D">
            <w:pPr>
              <w:rPr>
                <w:rFonts w:cs="Times New Roman"/>
                <w:szCs w:val="24"/>
              </w:rPr>
            </w:pPr>
            <w:r w:rsidRPr="00417BE5">
              <w:rPr>
                <w:rFonts w:cs="Times New Roman"/>
                <w:szCs w:val="24"/>
              </w:rPr>
              <w:t>₹2,200,000</w:t>
            </w:r>
          </w:p>
        </w:tc>
        <w:tc>
          <w:tcPr>
            <w:tcW w:w="1603" w:type="dxa"/>
            <w:vAlign w:val="center"/>
          </w:tcPr>
          <w:p w14:paraId="1B30CB91" w14:textId="77777777" w:rsidR="00B2311E" w:rsidRPr="00417BE5" w:rsidRDefault="00B2311E" w:rsidP="00537D2D">
            <w:pPr>
              <w:rPr>
                <w:rFonts w:cs="Times New Roman"/>
                <w:szCs w:val="24"/>
              </w:rPr>
            </w:pPr>
            <w:r w:rsidRPr="00417BE5">
              <w:rPr>
                <w:rFonts w:cs="Times New Roman"/>
                <w:szCs w:val="24"/>
              </w:rPr>
              <w:t>₹2,400,000</w:t>
            </w:r>
          </w:p>
        </w:tc>
      </w:tr>
      <w:tr w:rsidR="00B2311E" w:rsidRPr="00417BE5" w14:paraId="7821408F" w14:textId="77777777" w:rsidTr="005419A6">
        <w:tc>
          <w:tcPr>
            <w:tcW w:w="2977" w:type="dxa"/>
            <w:hideMark/>
          </w:tcPr>
          <w:p w14:paraId="69616875" w14:textId="77777777" w:rsidR="00B2311E" w:rsidRPr="00417BE5" w:rsidRDefault="00B2311E" w:rsidP="00537D2D">
            <w:pPr>
              <w:rPr>
                <w:rFonts w:cs="Times New Roman"/>
                <w:b/>
                <w:szCs w:val="24"/>
              </w:rPr>
            </w:pPr>
            <w:r w:rsidRPr="00417BE5">
              <w:rPr>
                <w:rFonts w:cs="Times New Roman"/>
                <w:b/>
                <w:szCs w:val="24"/>
              </w:rPr>
              <w:t>Net Income (Gross – Total Cost) (₹/ha.)</w:t>
            </w:r>
          </w:p>
        </w:tc>
        <w:tc>
          <w:tcPr>
            <w:tcW w:w="1620" w:type="dxa"/>
            <w:vAlign w:val="center"/>
            <w:hideMark/>
          </w:tcPr>
          <w:p w14:paraId="58F12D30" w14:textId="77777777" w:rsidR="00B2311E" w:rsidRPr="00417BE5" w:rsidRDefault="00B2311E" w:rsidP="00537D2D">
            <w:pPr>
              <w:rPr>
                <w:rFonts w:cs="Times New Roman"/>
                <w:szCs w:val="24"/>
              </w:rPr>
            </w:pPr>
            <w:r w:rsidRPr="00417BE5">
              <w:rPr>
                <w:rFonts w:cs="Times New Roman"/>
                <w:szCs w:val="24"/>
              </w:rPr>
              <w:t>₹365,000</w:t>
            </w:r>
          </w:p>
        </w:tc>
        <w:tc>
          <w:tcPr>
            <w:tcW w:w="1499" w:type="dxa"/>
            <w:vAlign w:val="center"/>
            <w:hideMark/>
          </w:tcPr>
          <w:p w14:paraId="375F7EBA" w14:textId="77777777" w:rsidR="00B2311E" w:rsidRPr="00417BE5" w:rsidRDefault="00B2311E" w:rsidP="00537D2D">
            <w:pPr>
              <w:rPr>
                <w:rFonts w:cs="Times New Roman"/>
                <w:szCs w:val="24"/>
              </w:rPr>
            </w:pPr>
            <w:r w:rsidRPr="00417BE5">
              <w:rPr>
                <w:rFonts w:cs="Times New Roman"/>
                <w:szCs w:val="24"/>
              </w:rPr>
              <w:t>₹463,000</w:t>
            </w:r>
          </w:p>
        </w:tc>
        <w:tc>
          <w:tcPr>
            <w:tcW w:w="1657" w:type="dxa"/>
            <w:vAlign w:val="center"/>
            <w:hideMark/>
          </w:tcPr>
          <w:p w14:paraId="658D7BD0" w14:textId="77777777" w:rsidR="00B2311E" w:rsidRPr="00417BE5" w:rsidRDefault="00B2311E" w:rsidP="00537D2D">
            <w:pPr>
              <w:rPr>
                <w:rFonts w:cs="Times New Roman"/>
                <w:szCs w:val="24"/>
              </w:rPr>
            </w:pPr>
            <w:r w:rsidRPr="00417BE5">
              <w:rPr>
                <w:rFonts w:cs="Times New Roman"/>
                <w:szCs w:val="24"/>
              </w:rPr>
              <w:t>₹1,613,000</w:t>
            </w:r>
          </w:p>
        </w:tc>
        <w:tc>
          <w:tcPr>
            <w:tcW w:w="1603" w:type="dxa"/>
            <w:vAlign w:val="center"/>
          </w:tcPr>
          <w:p w14:paraId="7FD3B705" w14:textId="77777777" w:rsidR="00B2311E" w:rsidRPr="00417BE5" w:rsidRDefault="00B2311E" w:rsidP="00537D2D">
            <w:pPr>
              <w:rPr>
                <w:rFonts w:cs="Times New Roman"/>
                <w:szCs w:val="24"/>
              </w:rPr>
            </w:pPr>
            <w:r w:rsidRPr="00417BE5">
              <w:rPr>
                <w:rFonts w:cs="Times New Roman"/>
                <w:szCs w:val="24"/>
              </w:rPr>
              <w:t>₹2,310,000</w:t>
            </w:r>
          </w:p>
        </w:tc>
      </w:tr>
    </w:tbl>
    <w:p w14:paraId="2EB6B6FF" w14:textId="77777777" w:rsidR="00B2311E" w:rsidRPr="00417BE5" w:rsidRDefault="00B2311E" w:rsidP="00537D2D">
      <w:pPr>
        <w:spacing w:after="0"/>
        <w:jc w:val="both"/>
        <w:rPr>
          <w:rFonts w:eastAsia="Times New Roman" w:cs="Times New Roman"/>
          <w:szCs w:val="24"/>
          <w:lang w:eastAsia="en-IN"/>
        </w:rPr>
      </w:pPr>
    </w:p>
    <w:p w14:paraId="329710A8"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3.3 Benefit–Cost Ratio (B:C)</w:t>
      </w:r>
    </w:p>
    <w:p w14:paraId="6866C376" w14:textId="207412C0"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B:C ratios improved significantly in hydroponics (Table 3, Fig. </w:t>
      </w:r>
      <w:r w:rsidR="00D260B3" w:rsidRPr="00417BE5">
        <w:rPr>
          <w:rFonts w:eastAsia="Times New Roman" w:cs="Times New Roman"/>
          <w:szCs w:val="24"/>
          <w:lang w:eastAsia="en-IN"/>
        </w:rPr>
        <w:t>2</w:t>
      </w:r>
      <w:r w:rsidRPr="00417BE5">
        <w:rPr>
          <w:rFonts w:eastAsia="Times New Roman" w:cs="Times New Roman"/>
          <w:szCs w:val="24"/>
          <w:lang w:eastAsia="en-IN"/>
        </w:rPr>
        <w:t>):</w:t>
      </w:r>
    </w:p>
    <w:p w14:paraId="49657C2E" w14:textId="77777777" w:rsidR="00936C64" w:rsidRPr="00417BE5" w:rsidRDefault="00936C64" w:rsidP="00537D2D">
      <w:pPr>
        <w:numPr>
          <w:ilvl w:val="0"/>
          <w:numId w:val="17"/>
        </w:numPr>
        <w:spacing w:after="0"/>
        <w:jc w:val="both"/>
        <w:rPr>
          <w:rFonts w:eastAsia="Times New Roman" w:cs="Times New Roman"/>
          <w:szCs w:val="24"/>
          <w:lang w:eastAsia="en-IN"/>
        </w:rPr>
      </w:pPr>
      <w:r w:rsidRPr="00417BE5">
        <w:rPr>
          <w:rFonts w:eastAsia="Times New Roman" w:cs="Times New Roman"/>
          <w:szCs w:val="24"/>
          <w:lang w:eastAsia="en-IN"/>
        </w:rPr>
        <w:t>Conventional: 1.84 (Kashmir), 2.12 (Kishtwar)</w:t>
      </w:r>
    </w:p>
    <w:p w14:paraId="5559C348" w14:textId="77777777" w:rsidR="00936C64" w:rsidRPr="00417BE5" w:rsidRDefault="00936C64" w:rsidP="00537D2D">
      <w:pPr>
        <w:numPr>
          <w:ilvl w:val="0"/>
          <w:numId w:val="17"/>
        </w:numPr>
        <w:spacing w:after="0"/>
        <w:jc w:val="both"/>
        <w:rPr>
          <w:rFonts w:eastAsia="Times New Roman" w:cs="Times New Roman"/>
          <w:szCs w:val="24"/>
          <w:lang w:eastAsia="en-IN"/>
        </w:rPr>
      </w:pPr>
      <w:r w:rsidRPr="00417BE5">
        <w:rPr>
          <w:rFonts w:eastAsia="Times New Roman" w:cs="Times New Roman"/>
          <w:szCs w:val="24"/>
          <w:lang w:eastAsia="en-IN"/>
        </w:rPr>
        <w:t>Hydroponic Year 1: 3.74</w:t>
      </w:r>
    </w:p>
    <w:p w14:paraId="6FA58170" w14:textId="77777777" w:rsidR="00936C64" w:rsidRPr="00417BE5" w:rsidRDefault="00936C64" w:rsidP="00537D2D">
      <w:pPr>
        <w:numPr>
          <w:ilvl w:val="0"/>
          <w:numId w:val="17"/>
        </w:numPr>
        <w:spacing w:after="0"/>
        <w:jc w:val="both"/>
        <w:rPr>
          <w:rFonts w:eastAsia="Times New Roman" w:cs="Times New Roman"/>
          <w:szCs w:val="24"/>
          <w:lang w:eastAsia="en-IN"/>
        </w:rPr>
      </w:pPr>
      <w:r w:rsidRPr="00417BE5">
        <w:rPr>
          <w:rFonts w:eastAsia="Times New Roman" w:cs="Times New Roman"/>
          <w:szCs w:val="24"/>
          <w:lang w:eastAsia="en-IN"/>
        </w:rPr>
        <w:t xml:space="preserve">Hydroponic Year 2: </w:t>
      </w:r>
      <w:r w:rsidRPr="00417BE5">
        <w:rPr>
          <w:rFonts w:eastAsia="Times New Roman" w:cs="Times New Roman"/>
          <w:bCs/>
          <w:szCs w:val="24"/>
          <w:lang w:eastAsia="en-IN"/>
        </w:rPr>
        <w:t>26.67</w:t>
      </w:r>
    </w:p>
    <w:p w14:paraId="3B638F30"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This 613% increase in Year 2 B:C ratio illustrates the system’s high economic efficiency post-infrastructure recovery.</w:t>
      </w:r>
    </w:p>
    <w:p w14:paraId="7578F4AF" w14:textId="77777777" w:rsidR="00B2311E" w:rsidRPr="00417BE5" w:rsidRDefault="00B2311E" w:rsidP="00537D2D">
      <w:pPr>
        <w:spacing w:after="0"/>
        <w:jc w:val="both"/>
        <w:rPr>
          <w:rFonts w:cs="Times New Roman"/>
          <w:b/>
          <w:szCs w:val="24"/>
        </w:rPr>
      </w:pPr>
      <w:r w:rsidRPr="00417BE5">
        <w:rPr>
          <w:rFonts w:cs="Times New Roman"/>
          <w:b/>
          <w:szCs w:val="24"/>
        </w:rPr>
        <w:t>Table 3. Benefit-Cost Ratio (BCR) under Different Systems</w:t>
      </w:r>
    </w:p>
    <w:tbl>
      <w:tblPr>
        <w:tblStyle w:val="TableGrid"/>
        <w:tblW w:w="9498" w:type="dxa"/>
        <w:tblInd w:w="-147" w:type="dxa"/>
        <w:tblLook w:val="04A0" w:firstRow="1" w:lastRow="0" w:firstColumn="1" w:lastColumn="0" w:noHBand="0" w:noVBand="1"/>
      </w:tblPr>
      <w:tblGrid>
        <w:gridCol w:w="3544"/>
        <w:gridCol w:w="1418"/>
        <w:gridCol w:w="1701"/>
        <w:gridCol w:w="1559"/>
        <w:gridCol w:w="1276"/>
      </w:tblGrid>
      <w:tr w:rsidR="00B2311E" w:rsidRPr="00417BE5" w14:paraId="25022826" w14:textId="77777777" w:rsidTr="005419A6">
        <w:tc>
          <w:tcPr>
            <w:tcW w:w="3544" w:type="dxa"/>
            <w:vAlign w:val="center"/>
          </w:tcPr>
          <w:p w14:paraId="3C4FCC05" w14:textId="77777777" w:rsidR="00B2311E" w:rsidRPr="00417BE5" w:rsidRDefault="00B2311E" w:rsidP="00537D2D">
            <w:pPr>
              <w:rPr>
                <w:rFonts w:cs="Times New Roman"/>
                <w:b/>
                <w:szCs w:val="24"/>
              </w:rPr>
            </w:pPr>
            <w:r w:rsidRPr="00417BE5">
              <w:rPr>
                <w:rFonts w:cs="Times New Roman"/>
                <w:b/>
                <w:szCs w:val="24"/>
              </w:rPr>
              <w:t>Methods</w:t>
            </w:r>
          </w:p>
        </w:tc>
        <w:tc>
          <w:tcPr>
            <w:tcW w:w="1418" w:type="dxa"/>
            <w:vAlign w:val="center"/>
          </w:tcPr>
          <w:p w14:paraId="5C52ABC3" w14:textId="77777777" w:rsidR="00B2311E" w:rsidRPr="00417BE5" w:rsidRDefault="00B2311E" w:rsidP="00537D2D">
            <w:pPr>
              <w:rPr>
                <w:rFonts w:cs="Times New Roman"/>
                <w:b/>
                <w:szCs w:val="24"/>
              </w:rPr>
            </w:pPr>
            <w:r w:rsidRPr="00417BE5">
              <w:rPr>
                <w:rFonts w:cs="Times New Roman"/>
                <w:b/>
                <w:szCs w:val="24"/>
              </w:rPr>
              <w:t>Total Cost (₹/ha)</w:t>
            </w:r>
          </w:p>
        </w:tc>
        <w:tc>
          <w:tcPr>
            <w:tcW w:w="1701" w:type="dxa"/>
            <w:vAlign w:val="center"/>
          </w:tcPr>
          <w:p w14:paraId="6A9450C6" w14:textId="77777777" w:rsidR="00B2311E" w:rsidRPr="00417BE5" w:rsidRDefault="00B2311E" w:rsidP="00537D2D">
            <w:pPr>
              <w:rPr>
                <w:rFonts w:cs="Times New Roman"/>
                <w:b/>
                <w:szCs w:val="24"/>
              </w:rPr>
            </w:pPr>
            <w:r w:rsidRPr="00417BE5">
              <w:rPr>
                <w:rFonts w:cs="Times New Roman"/>
                <w:b/>
                <w:szCs w:val="24"/>
              </w:rPr>
              <w:t>Gross Income (₹/ha)</w:t>
            </w:r>
          </w:p>
        </w:tc>
        <w:tc>
          <w:tcPr>
            <w:tcW w:w="1559" w:type="dxa"/>
            <w:vAlign w:val="center"/>
          </w:tcPr>
          <w:p w14:paraId="56EB9C36" w14:textId="77777777" w:rsidR="00B2311E" w:rsidRPr="00417BE5" w:rsidRDefault="00B2311E" w:rsidP="00537D2D">
            <w:pPr>
              <w:rPr>
                <w:rFonts w:cs="Times New Roman"/>
                <w:b/>
                <w:szCs w:val="24"/>
              </w:rPr>
            </w:pPr>
            <w:r w:rsidRPr="00417BE5">
              <w:rPr>
                <w:rFonts w:cs="Times New Roman"/>
                <w:b/>
                <w:szCs w:val="24"/>
              </w:rPr>
              <w:t>Net Income (₹/ha)</w:t>
            </w:r>
          </w:p>
        </w:tc>
        <w:tc>
          <w:tcPr>
            <w:tcW w:w="1276" w:type="dxa"/>
            <w:vAlign w:val="center"/>
          </w:tcPr>
          <w:p w14:paraId="27D4AD1E" w14:textId="77777777" w:rsidR="00B2311E" w:rsidRPr="00417BE5" w:rsidRDefault="00B2311E" w:rsidP="00537D2D">
            <w:pPr>
              <w:rPr>
                <w:rFonts w:cs="Times New Roman"/>
                <w:b/>
                <w:szCs w:val="24"/>
              </w:rPr>
            </w:pPr>
            <w:r w:rsidRPr="00417BE5">
              <w:rPr>
                <w:rFonts w:cs="Times New Roman"/>
                <w:b/>
                <w:szCs w:val="24"/>
              </w:rPr>
              <w:t>B:C Ratio</w:t>
            </w:r>
          </w:p>
        </w:tc>
      </w:tr>
      <w:tr w:rsidR="00B2311E" w:rsidRPr="00417BE5" w14:paraId="7A473FCD" w14:textId="77777777" w:rsidTr="005419A6">
        <w:tc>
          <w:tcPr>
            <w:tcW w:w="3544" w:type="dxa"/>
            <w:vAlign w:val="center"/>
          </w:tcPr>
          <w:p w14:paraId="5ECB01E2" w14:textId="77777777" w:rsidR="00B2311E" w:rsidRPr="00417BE5" w:rsidRDefault="00B2311E" w:rsidP="00537D2D">
            <w:pPr>
              <w:rPr>
                <w:rFonts w:cs="Times New Roman"/>
                <w:b/>
                <w:szCs w:val="24"/>
              </w:rPr>
            </w:pPr>
            <w:r w:rsidRPr="00417BE5">
              <w:rPr>
                <w:rFonts w:cs="Times New Roman"/>
                <w:b/>
                <w:szCs w:val="24"/>
              </w:rPr>
              <w:t>Kashmir (Conventional – 1st Yr)</w:t>
            </w:r>
          </w:p>
        </w:tc>
        <w:tc>
          <w:tcPr>
            <w:tcW w:w="1418" w:type="dxa"/>
            <w:vAlign w:val="center"/>
          </w:tcPr>
          <w:p w14:paraId="2D143144" w14:textId="77777777" w:rsidR="00B2311E" w:rsidRPr="00417BE5" w:rsidRDefault="00B2311E" w:rsidP="00537D2D">
            <w:pPr>
              <w:rPr>
                <w:rFonts w:cs="Times New Roman"/>
                <w:szCs w:val="24"/>
              </w:rPr>
            </w:pPr>
            <w:r w:rsidRPr="00417BE5">
              <w:rPr>
                <w:rFonts w:cs="Times New Roman"/>
                <w:szCs w:val="24"/>
              </w:rPr>
              <w:t>₹435,000</w:t>
            </w:r>
          </w:p>
        </w:tc>
        <w:tc>
          <w:tcPr>
            <w:tcW w:w="1701" w:type="dxa"/>
            <w:vAlign w:val="center"/>
          </w:tcPr>
          <w:p w14:paraId="7AB2C256" w14:textId="77777777" w:rsidR="00B2311E" w:rsidRPr="00417BE5" w:rsidRDefault="00B2311E" w:rsidP="00537D2D">
            <w:pPr>
              <w:rPr>
                <w:rFonts w:cs="Times New Roman"/>
                <w:szCs w:val="24"/>
              </w:rPr>
            </w:pPr>
            <w:r w:rsidRPr="00417BE5">
              <w:rPr>
                <w:rFonts w:cs="Times New Roman"/>
                <w:szCs w:val="24"/>
              </w:rPr>
              <w:t>₹800,000</w:t>
            </w:r>
          </w:p>
        </w:tc>
        <w:tc>
          <w:tcPr>
            <w:tcW w:w="1559" w:type="dxa"/>
            <w:vAlign w:val="center"/>
          </w:tcPr>
          <w:p w14:paraId="36D645C5" w14:textId="77777777" w:rsidR="00B2311E" w:rsidRPr="00417BE5" w:rsidRDefault="00B2311E" w:rsidP="00537D2D">
            <w:pPr>
              <w:rPr>
                <w:rFonts w:cs="Times New Roman"/>
                <w:szCs w:val="24"/>
              </w:rPr>
            </w:pPr>
            <w:r w:rsidRPr="00417BE5">
              <w:rPr>
                <w:rFonts w:cs="Times New Roman"/>
                <w:szCs w:val="24"/>
              </w:rPr>
              <w:t>₹365,000</w:t>
            </w:r>
          </w:p>
        </w:tc>
        <w:tc>
          <w:tcPr>
            <w:tcW w:w="1276" w:type="dxa"/>
            <w:vAlign w:val="center"/>
          </w:tcPr>
          <w:p w14:paraId="553F5907" w14:textId="77777777" w:rsidR="00B2311E" w:rsidRPr="00417BE5" w:rsidRDefault="00B2311E" w:rsidP="00537D2D">
            <w:pPr>
              <w:rPr>
                <w:rFonts w:cs="Times New Roman"/>
                <w:szCs w:val="24"/>
              </w:rPr>
            </w:pPr>
            <w:r w:rsidRPr="00417BE5">
              <w:rPr>
                <w:rFonts w:cs="Times New Roman"/>
                <w:szCs w:val="24"/>
              </w:rPr>
              <w:t>1.84</w:t>
            </w:r>
          </w:p>
        </w:tc>
      </w:tr>
      <w:tr w:rsidR="00B2311E" w:rsidRPr="00417BE5" w14:paraId="535A954C" w14:textId="77777777" w:rsidTr="005419A6">
        <w:tc>
          <w:tcPr>
            <w:tcW w:w="3544" w:type="dxa"/>
            <w:vAlign w:val="center"/>
          </w:tcPr>
          <w:p w14:paraId="1A6788A5" w14:textId="77777777" w:rsidR="00B2311E" w:rsidRPr="00417BE5" w:rsidRDefault="00B2311E" w:rsidP="00537D2D">
            <w:pPr>
              <w:rPr>
                <w:rFonts w:cs="Times New Roman"/>
                <w:b/>
                <w:szCs w:val="24"/>
              </w:rPr>
            </w:pPr>
            <w:r w:rsidRPr="00417BE5">
              <w:rPr>
                <w:rFonts w:cs="Times New Roman"/>
                <w:b/>
                <w:szCs w:val="24"/>
              </w:rPr>
              <w:t>Kishtwar (Conventional – 1st Yr)</w:t>
            </w:r>
          </w:p>
        </w:tc>
        <w:tc>
          <w:tcPr>
            <w:tcW w:w="1418" w:type="dxa"/>
            <w:vAlign w:val="center"/>
          </w:tcPr>
          <w:p w14:paraId="10F1EE72" w14:textId="77777777" w:rsidR="00B2311E" w:rsidRPr="00417BE5" w:rsidRDefault="00B2311E" w:rsidP="00537D2D">
            <w:pPr>
              <w:rPr>
                <w:rFonts w:cs="Times New Roman"/>
                <w:szCs w:val="24"/>
              </w:rPr>
            </w:pPr>
            <w:r w:rsidRPr="00417BE5">
              <w:rPr>
                <w:rFonts w:cs="Times New Roman"/>
                <w:szCs w:val="24"/>
              </w:rPr>
              <w:t>₹412,000</w:t>
            </w:r>
          </w:p>
        </w:tc>
        <w:tc>
          <w:tcPr>
            <w:tcW w:w="1701" w:type="dxa"/>
            <w:vAlign w:val="center"/>
          </w:tcPr>
          <w:p w14:paraId="2C55505A" w14:textId="77777777" w:rsidR="00B2311E" w:rsidRPr="00417BE5" w:rsidRDefault="00B2311E" w:rsidP="00537D2D">
            <w:pPr>
              <w:rPr>
                <w:rFonts w:cs="Times New Roman"/>
                <w:szCs w:val="24"/>
              </w:rPr>
            </w:pPr>
            <w:r w:rsidRPr="00417BE5">
              <w:rPr>
                <w:rFonts w:cs="Times New Roman"/>
                <w:szCs w:val="24"/>
              </w:rPr>
              <w:t>₹875,000</w:t>
            </w:r>
          </w:p>
        </w:tc>
        <w:tc>
          <w:tcPr>
            <w:tcW w:w="1559" w:type="dxa"/>
            <w:vAlign w:val="center"/>
          </w:tcPr>
          <w:p w14:paraId="5FF8445E" w14:textId="77777777" w:rsidR="00B2311E" w:rsidRPr="00417BE5" w:rsidRDefault="00B2311E" w:rsidP="00537D2D">
            <w:pPr>
              <w:rPr>
                <w:rFonts w:cs="Times New Roman"/>
                <w:szCs w:val="24"/>
              </w:rPr>
            </w:pPr>
            <w:r w:rsidRPr="00417BE5">
              <w:rPr>
                <w:rFonts w:cs="Times New Roman"/>
                <w:szCs w:val="24"/>
              </w:rPr>
              <w:t>₹463,000</w:t>
            </w:r>
          </w:p>
        </w:tc>
        <w:tc>
          <w:tcPr>
            <w:tcW w:w="1276" w:type="dxa"/>
            <w:vAlign w:val="center"/>
          </w:tcPr>
          <w:p w14:paraId="5263A26A" w14:textId="77777777" w:rsidR="00B2311E" w:rsidRPr="00417BE5" w:rsidRDefault="00B2311E" w:rsidP="00537D2D">
            <w:pPr>
              <w:rPr>
                <w:rFonts w:cs="Times New Roman"/>
                <w:szCs w:val="24"/>
              </w:rPr>
            </w:pPr>
            <w:r w:rsidRPr="00417BE5">
              <w:rPr>
                <w:rFonts w:cs="Times New Roman"/>
                <w:szCs w:val="24"/>
              </w:rPr>
              <w:t>2.12</w:t>
            </w:r>
          </w:p>
        </w:tc>
      </w:tr>
      <w:tr w:rsidR="00B2311E" w:rsidRPr="00417BE5" w14:paraId="36EE84C7" w14:textId="77777777" w:rsidTr="005419A6">
        <w:tc>
          <w:tcPr>
            <w:tcW w:w="3544" w:type="dxa"/>
            <w:vAlign w:val="center"/>
          </w:tcPr>
          <w:p w14:paraId="551E67D0" w14:textId="77777777" w:rsidR="00B2311E" w:rsidRPr="00417BE5" w:rsidRDefault="00B2311E" w:rsidP="00537D2D">
            <w:pPr>
              <w:rPr>
                <w:rFonts w:cs="Times New Roman"/>
                <w:b/>
                <w:szCs w:val="24"/>
              </w:rPr>
            </w:pPr>
            <w:r w:rsidRPr="00417BE5">
              <w:rPr>
                <w:rFonts w:cs="Times New Roman"/>
                <w:b/>
                <w:szCs w:val="24"/>
              </w:rPr>
              <w:lastRenderedPageBreak/>
              <w:t>Jammu (Hydroponic – 1st Yr)</w:t>
            </w:r>
          </w:p>
        </w:tc>
        <w:tc>
          <w:tcPr>
            <w:tcW w:w="1418" w:type="dxa"/>
            <w:vAlign w:val="center"/>
          </w:tcPr>
          <w:p w14:paraId="0A818349" w14:textId="77777777" w:rsidR="00B2311E" w:rsidRPr="00417BE5" w:rsidRDefault="00B2311E" w:rsidP="00537D2D">
            <w:pPr>
              <w:rPr>
                <w:rFonts w:cs="Times New Roman"/>
                <w:szCs w:val="24"/>
              </w:rPr>
            </w:pPr>
            <w:r w:rsidRPr="00417BE5">
              <w:rPr>
                <w:rFonts w:cs="Times New Roman"/>
                <w:szCs w:val="24"/>
              </w:rPr>
              <w:t>₹587,000</w:t>
            </w:r>
          </w:p>
        </w:tc>
        <w:tc>
          <w:tcPr>
            <w:tcW w:w="1701" w:type="dxa"/>
            <w:vAlign w:val="center"/>
          </w:tcPr>
          <w:p w14:paraId="25965080" w14:textId="77777777" w:rsidR="00B2311E" w:rsidRPr="00417BE5" w:rsidRDefault="00B2311E" w:rsidP="00537D2D">
            <w:pPr>
              <w:rPr>
                <w:rFonts w:cs="Times New Roman"/>
                <w:szCs w:val="24"/>
              </w:rPr>
            </w:pPr>
            <w:r w:rsidRPr="00417BE5">
              <w:rPr>
                <w:rFonts w:cs="Times New Roman"/>
                <w:szCs w:val="24"/>
              </w:rPr>
              <w:t>₹2,200,000</w:t>
            </w:r>
          </w:p>
        </w:tc>
        <w:tc>
          <w:tcPr>
            <w:tcW w:w="1559" w:type="dxa"/>
            <w:vAlign w:val="center"/>
          </w:tcPr>
          <w:p w14:paraId="129B1532" w14:textId="77777777" w:rsidR="00B2311E" w:rsidRPr="00417BE5" w:rsidRDefault="00B2311E" w:rsidP="00537D2D">
            <w:pPr>
              <w:rPr>
                <w:rFonts w:cs="Times New Roman"/>
                <w:szCs w:val="24"/>
              </w:rPr>
            </w:pPr>
            <w:r w:rsidRPr="00417BE5">
              <w:rPr>
                <w:rFonts w:cs="Times New Roman"/>
                <w:szCs w:val="24"/>
              </w:rPr>
              <w:t>₹1,613,000</w:t>
            </w:r>
          </w:p>
        </w:tc>
        <w:tc>
          <w:tcPr>
            <w:tcW w:w="1276" w:type="dxa"/>
            <w:vAlign w:val="center"/>
          </w:tcPr>
          <w:p w14:paraId="6288D8B5" w14:textId="77777777" w:rsidR="00B2311E" w:rsidRPr="00417BE5" w:rsidRDefault="00B2311E" w:rsidP="00537D2D">
            <w:pPr>
              <w:rPr>
                <w:rFonts w:cs="Times New Roman"/>
                <w:szCs w:val="24"/>
              </w:rPr>
            </w:pPr>
            <w:r w:rsidRPr="00417BE5">
              <w:rPr>
                <w:rFonts w:cs="Times New Roman"/>
                <w:szCs w:val="24"/>
              </w:rPr>
              <w:t>3.74</w:t>
            </w:r>
          </w:p>
        </w:tc>
      </w:tr>
      <w:tr w:rsidR="00B2311E" w:rsidRPr="00417BE5" w14:paraId="6FB281B9" w14:textId="77777777" w:rsidTr="005419A6">
        <w:tc>
          <w:tcPr>
            <w:tcW w:w="3544" w:type="dxa"/>
            <w:vAlign w:val="center"/>
          </w:tcPr>
          <w:p w14:paraId="776884C8" w14:textId="77777777" w:rsidR="00B2311E" w:rsidRPr="00417BE5" w:rsidRDefault="00B2311E" w:rsidP="00537D2D">
            <w:pPr>
              <w:rPr>
                <w:rFonts w:cs="Times New Roman"/>
                <w:b/>
                <w:szCs w:val="24"/>
              </w:rPr>
            </w:pPr>
            <w:r w:rsidRPr="00417BE5">
              <w:rPr>
                <w:rFonts w:cs="Times New Roman"/>
                <w:b/>
                <w:szCs w:val="24"/>
              </w:rPr>
              <w:t>Jammu (Hydroponic – 2nd Yr)</w:t>
            </w:r>
          </w:p>
        </w:tc>
        <w:tc>
          <w:tcPr>
            <w:tcW w:w="1418" w:type="dxa"/>
            <w:vAlign w:val="center"/>
          </w:tcPr>
          <w:p w14:paraId="7FBAD939" w14:textId="77777777" w:rsidR="00B2311E" w:rsidRPr="00417BE5" w:rsidRDefault="00B2311E" w:rsidP="00537D2D">
            <w:pPr>
              <w:rPr>
                <w:rFonts w:cs="Times New Roman"/>
                <w:szCs w:val="24"/>
              </w:rPr>
            </w:pPr>
            <w:r w:rsidRPr="00417BE5">
              <w:rPr>
                <w:rFonts w:cs="Times New Roman"/>
                <w:szCs w:val="24"/>
              </w:rPr>
              <w:t>₹90,000</w:t>
            </w:r>
          </w:p>
        </w:tc>
        <w:tc>
          <w:tcPr>
            <w:tcW w:w="1701" w:type="dxa"/>
            <w:vAlign w:val="center"/>
          </w:tcPr>
          <w:p w14:paraId="3E2C678D" w14:textId="77777777" w:rsidR="00B2311E" w:rsidRPr="00417BE5" w:rsidRDefault="00B2311E" w:rsidP="00537D2D">
            <w:pPr>
              <w:rPr>
                <w:rFonts w:cs="Times New Roman"/>
                <w:szCs w:val="24"/>
              </w:rPr>
            </w:pPr>
            <w:r w:rsidRPr="00417BE5">
              <w:rPr>
                <w:rFonts w:cs="Times New Roman"/>
                <w:szCs w:val="24"/>
              </w:rPr>
              <w:t>₹2,400,000</w:t>
            </w:r>
          </w:p>
        </w:tc>
        <w:tc>
          <w:tcPr>
            <w:tcW w:w="1559" w:type="dxa"/>
            <w:vAlign w:val="center"/>
          </w:tcPr>
          <w:p w14:paraId="488D7233" w14:textId="77777777" w:rsidR="00B2311E" w:rsidRPr="00417BE5" w:rsidRDefault="00B2311E" w:rsidP="00537D2D">
            <w:pPr>
              <w:rPr>
                <w:rFonts w:cs="Times New Roman"/>
                <w:szCs w:val="24"/>
              </w:rPr>
            </w:pPr>
            <w:r w:rsidRPr="00417BE5">
              <w:rPr>
                <w:rFonts w:cs="Times New Roman"/>
                <w:szCs w:val="24"/>
              </w:rPr>
              <w:t>₹2,310,000</w:t>
            </w:r>
          </w:p>
        </w:tc>
        <w:tc>
          <w:tcPr>
            <w:tcW w:w="1276" w:type="dxa"/>
            <w:vAlign w:val="center"/>
          </w:tcPr>
          <w:p w14:paraId="7562F088" w14:textId="77777777" w:rsidR="00B2311E" w:rsidRPr="00417BE5" w:rsidRDefault="00B2311E" w:rsidP="00537D2D">
            <w:pPr>
              <w:rPr>
                <w:rFonts w:cs="Times New Roman"/>
                <w:szCs w:val="24"/>
              </w:rPr>
            </w:pPr>
            <w:r w:rsidRPr="00417BE5">
              <w:rPr>
                <w:rFonts w:cs="Times New Roman"/>
                <w:szCs w:val="24"/>
              </w:rPr>
              <w:t>26.67</w:t>
            </w:r>
          </w:p>
        </w:tc>
      </w:tr>
    </w:tbl>
    <w:p w14:paraId="2E277AD6" w14:textId="77777777" w:rsidR="00B2311E" w:rsidRPr="00417BE5" w:rsidRDefault="00B2311E" w:rsidP="00537D2D">
      <w:pPr>
        <w:spacing w:after="0"/>
        <w:jc w:val="both"/>
        <w:rPr>
          <w:rFonts w:eastAsia="Times New Roman" w:cs="Times New Roman"/>
          <w:szCs w:val="24"/>
          <w:lang w:eastAsia="en-IN"/>
        </w:rPr>
      </w:pPr>
    </w:p>
    <w:p w14:paraId="3BA03B7C"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3.4 Payback Period</w:t>
      </w:r>
    </w:p>
    <w:p w14:paraId="0D16D26D" w14:textId="3E9F162E"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The hydroponic system's capital investment of ₹420,000/ha (structure, medium, Year 1 operations) was recovered within the first season, with a net return of ₹1.613 million/ha (Table 4, Fig. </w:t>
      </w:r>
      <w:r w:rsidR="00D260B3" w:rsidRPr="00417BE5">
        <w:rPr>
          <w:rFonts w:eastAsia="Times New Roman" w:cs="Times New Roman"/>
          <w:szCs w:val="24"/>
          <w:lang w:eastAsia="en-IN"/>
        </w:rPr>
        <w:t>3</w:t>
      </w:r>
      <w:r w:rsidRPr="00417BE5">
        <w:rPr>
          <w:rFonts w:eastAsia="Times New Roman" w:cs="Times New Roman"/>
          <w:szCs w:val="24"/>
          <w:lang w:eastAsia="en-IN"/>
        </w:rPr>
        <w:t xml:space="preserve">). This equated to a </w:t>
      </w:r>
      <w:r w:rsidRPr="00417BE5">
        <w:rPr>
          <w:rFonts w:eastAsia="Times New Roman" w:cs="Times New Roman"/>
          <w:bCs/>
          <w:szCs w:val="24"/>
          <w:lang w:eastAsia="en-IN"/>
        </w:rPr>
        <w:t>payback period of under 1 year</w:t>
      </w:r>
      <w:r w:rsidRPr="00417BE5">
        <w:rPr>
          <w:rFonts w:eastAsia="Times New Roman" w:cs="Times New Roman"/>
          <w:szCs w:val="24"/>
          <w:lang w:eastAsia="en-IN"/>
        </w:rPr>
        <w:t>, highlighting the model’s rapid financial viability.</w:t>
      </w:r>
    </w:p>
    <w:p w14:paraId="3F9352ED" w14:textId="77777777" w:rsidR="00B2311E" w:rsidRPr="00417BE5" w:rsidRDefault="00B2311E" w:rsidP="00537D2D">
      <w:pPr>
        <w:rPr>
          <w:rFonts w:cs="Times New Roman"/>
          <w:b/>
          <w:szCs w:val="24"/>
        </w:rPr>
      </w:pPr>
      <w:r w:rsidRPr="00417BE5">
        <w:rPr>
          <w:rFonts w:cs="Times New Roman"/>
          <w:b/>
          <w:szCs w:val="24"/>
        </w:rPr>
        <w:t>Table 4. Payback Period for Hydroponic Setup</w:t>
      </w:r>
    </w:p>
    <w:tbl>
      <w:tblPr>
        <w:tblStyle w:val="TableGrid"/>
        <w:tblW w:w="9015" w:type="dxa"/>
        <w:tblInd w:w="-5" w:type="dxa"/>
        <w:tblLook w:val="04A0" w:firstRow="1" w:lastRow="0" w:firstColumn="1" w:lastColumn="0" w:noHBand="0" w:noVBand="1"/>
      </w:tblPr>
      <w:tblGrid>
        <w:gridCol w:w="1985"/>
        <w:gridCol w:w="1621"/>
        <w:gridCol w:w="1803"/>
        <w:gridCol w:w="1803"/>
        <w:gridCol w:w="1803"/>
      </w:tblGrid>
      <w:tr w:rsidR="00B2311E" w:rsidRPr="00417BE5" w14:paraId="6EDD5F28" w14:textId="77777777" w:rsidTr="005419A6">
        <w:tc>
          <w:tcPr>
            <w:tcW w:w="1985" w:type="dxa"/>
            <w:vAlign w:val="center"/>
          </w:tcPr>
          <w:p w14:paraId="11E111D6" w14:textId="77777777" w:rsidR="00B2311E" w:rsidRPr="00417BE5" w:rsidRDefault="00B2311E" w:rsidP="00537D2D">
            <w:pPr>
              <w:rPr>
                <w:rFonts w:cs="Times New Roman"/>
                <w:b/>
                <w:szCs w:val="24"/>
              </w:rPr>
            </w:pPr>
            <w:r w:rsidRPr="00417BE5">
              <w:rPr>
                <w:rFonts w:cs="Times New Roman"/>
                <w:b/>
                <w:szCs w:val="24"/>
              </w:rPr>
              <w:t>Investment Component</w:t>
            </w:r>
          </w:p>
        </w:tc>
        <w:tc>
          <w:tcPr>
            <w:tcW w:w="1621" w:type="dxa"/>
            <w:vAlign w:val="center"/>
          </w:tcPr>
          <w:p w14:paraId="0275FA04" w14:textId="77777777" w:rsidR="00B2311E" w:rsidRPr="00417BE5" w:rsidRDefault="00B2311E" w:rsidP="00537D2D">
            <w:pPr>
              <w:rPr>
                <w:rFonts w:cs="Times New Roman"/>
                <w:b/>
                <w:szCs w:val="24"/>
              </w:rPr>
            </w:pPr>
            <w:r w:rsidRPr="00417BE5">
              <w:rPr>
                <w:rFonts w:cs="Times New Roman"/>
                <w:b/>
                <w:szCs w:val="24"/>
              </w:rPr>
              <w:t>Cost (₹/ha)</w:t>
            </w:r>
          </w:p>
        </w:tc>
        <w:tc>
          <w:tcPr>
            <w:tcW w:w="1803" w:type="dxa"/>
            <w:vAlign w:val="center"/>
          </w:tcPr>
          <w:p w14:paraId="03051292" w14:textId="77777777" w:rsidR="00B2311E" w:rsidRPr="00417BE5" w:rsidRDefault="00B2311E" w:rsidP="00537D2D">
            <w:pPr>
              <w:rPr>
                <w:rFonts w:cs="Times New Roman"/>
                <w:b/>
                <w:szCs w:val="24"/>
              </w:rPr>
            </w:pPr>
            <w:r w:rsidRPr="00417BE5">
              <w:rPr>
                <w:rFonts w:cs="Times New Roman"/>
                <w:b/>
                <w:szCs w:val="24"/>
              </w:rPr>
              <w:t>Depreciation or Reuse</w:t>
            </w:r>
          </w:p>
        </w:tc>
        <w:tc>
          <w:tcPr>
            <w:tcW w:w="1803" w:type="dxa"/>
            <w:vAlign w:val="center"/>
          </w:tcPr>
          <w:p w14:paraId="74A61779" w14:textId="77777777" w:rsidR="00B2311E" w:rsidRPr="00417BE5" w:rsidRDefault="00B2311E" w:rsidP="00537D2D">
            <w:pPr>
              <w:rPr>
                <w:rFonts w:cs="Times New Roman"/>
                <w:b/>
                <w:szCs w:val="24"/>
              </w:rPr>
            </w:pPr>
            <w:r w:rsidRPr="00417BE5">
              <w:rPr>
                <w:rFonts w:cs="Times New Roman"/>
                <w:b/>
                <w:szCs w:val="24"/>
              </w:rPr>
              <w:t>Recovery Source</w:t>
            </w:r>
          </w:p>
        </w:tc>
        <w:tc>
          <w:tcPr>
            <w:tcW w:w="1803" w:type="dxa"/>
            <w:vAlign w:val="center"/>
          </w:tcPr>
          <w:p w14:paraId="22DF62C8" w14:textId="77777777" w:rsidR="00B2311E" w:rsidRPr="00417BE5" w:rsidRDefault="00B2311E" w:rsidP="00537D2D">
            <w:pPr>
              <w:rPr>
                <w:rFonts w:cs="Times New Roman"/>
                <w:b/>
                <w:szCs w:val="24"/>
              </w:rPr>
            </w:pPr>
            <w:r w:rsidRPr="00417BE5">
              <w:rPr>
                <w:rFonts w:cs="Times New Roman"/>
                <w:b/>
                <w:szCs w:val="24"/>
              </w:rPr>
              <w:t>Estimated Recovery Time</w:t>
            </w:r>
          </w:p>
        </w:tc>
      </w:tr>
      <w:tr w:rsidR="00B2311E" w:rsidRPr="00417BE5" w14:paraId="65273527" w14:textId="77777777" w:rsidTr="005419A6">
        <w:tc>
          <w:tcPr>
            <w:tcW w:w="1985" w:type="dxa"/>
            <w:vAlign w:val="center"/>
          </w:tcPr>
          <w:p w14:paraId="3D986CD4" w14:textId="77777777" w:rsidR="00B2311E" w:rsidRPr="00417BE5" w:rsidRDefault="00B2311E" w:rsidP="00537D2D">
            <w:pPr>
              <w:rPr>
                <w:rFonts w:cs="Times New Roman"/>
                <w:b/>
                <w:szCs w:val="24"/>
              </w:rPr>
            </w:pPr>
            <w:r w:rsidRPr="00417BE5">
              <w:rPr>
                <w:rFonts w:cs="Times New Roman"/>
                <w:b/>
                <w:szCs w:val="24"/>
              </w:rPr>
              <w:t>Hydroponic Structure, Tanks, Fittings etc.</w:t>
            </w:r>
          </w:p>
        </w:tc>
        <w:tc>
          <w:tcPr>
            <w:tcW w:w="1621" w:type="dxa"/>
            <w:vAlign w:val="center"/>
          </w:tcPr>
          <w:p w14:paraId="1B93DF0E" w14:textId="77777777" w:rsidR="00B2311E" w:rsidRPr="00417BE5" w:rsidRDefault="00B2311E" w:rsidP="00537D2D">
            <w:pPr>
              <w:rPr>
                <w:rFonts w:cs="Times New Roman"/>
                <w:szCs w:val="24"/>
              </w:rPr>
            </w:pPr>
            <w:r w:rsidRPr="00417BE5">
              <w:rPr>
                <w:rFonts w:cs="Times New Roman"/>
                <w:szCs w:val="24"/>
              </w:rPr>
              <w:t>₹4,00,000</w:t>
            </w:r>
          </w:p>
        </w:tc>
        <w:tc>
          <w:tcPr>
            <w:tcW w:w="1803" w:type="dxa"/>
            <w:vAlign w:val="center"/>
          </w:tcPr>
          <w:p w14:paraId="12E0CDFE" w14:textId="77777777" w:rsidR="00B2311E" w:rsidRPr="00417BE5" w:rsidRDefault="00B2311E" w:rsidP="00537D2D">
            <w:pPr>
              <w:rPr>
                <w:rFonts w:cs="Times New Roman"/>
                <w:szCs w:val="24"/>
              </w:rPr>
            </w:pPr>
            <w:r w:rsidRPr="00417BE5">
              <w:rPr>
                <w:rFonts w:cs="Times New Roman"/>
                <w:szCs w:val="24"/>
              </w:rPr>
              <w:t>One-time (5–7 year lifespan)</w:t>
            </w:r>
          </w:p>
        </w:tc>
        <w:tc>
          <w:tcPr>
            <w:tcW w:w="1803" w:type="dxa"/>
            <w:vAlign w:val="center"/>
          </w:tcPr>
          <w:p w14:paraId="554B3BB3" w14:textId="77777777" w:rsidR="00B2311E" w:rsidRPr="00417BE5" w:rsidRDefault="00B2311E" w:rsidP="00537D2D">
            <w:pPr>
              <w:rPr>
                <w:rFonts w:cs="Times New Roman"/>
                <w:szCs w:val="24"/>
              </w:rPr>
            </w:pPr>
            <w:r w:rsidRPr="00417BE5">
              <w:rPr>
                <w:rFonts w:cs="Times New Roman"/>
                <w:szCs w:val="24"/>
              </w:rPr>
              <w:t>Net Income from Year 1</w:t>
            </w:r>
          </w:p>
        </w:tc>
        <w:tc>
          <w:tcPr>
            <w:tcW w:w="1803" w:type="dxa"/>
            <w:vAlign w:val="center"/>
          </w:tcPr>
          <w:p w14:paraId="423E253C" w14:textId="77777777" w:rsidR="00B2311E" w:rsidRPr="00417BE5" w:rsidRDefault="00B2311E" w:rsidP="00537D2D">
            <w:pPr>
              <w:rPr>
                <w:rFonts w:cs="Times New Roman"/>
                <w:szCs w:val="24"/>
              </w:rPr>
            </w:pPr>
            <w:r w:rsidRPr="00417BE5">
              <w:rPr>
                <w:rFonts w:cs="Times New Roman"/>
                <w:szCs w:val="24"/>
              </w:rPr>
              <w:t>Within Year 1</w:t>
            </w:r>
          </w:p>
        </w:tc>
      </w:tr>
      <w:tr w:rsidR="00B2311E" w:rsidRPr="00417BE5" w14:paraId="17496828" w14:textId="77777777" w:rsidTr="005419A6">
        <w:tc>
          <w:tcPr>
            <w:tcW w:w="1985" w:type="dxa"/>
            <w:vAlign w:val="center"/>
          </w:tcPr>
          <w:p w14:paraId="2C2F0883" w14:textId="77777777" w:rsidR="00B2311E" w:rsidRPr="00417BE5" w:rsidRDefault="00B2311E" w:rsidP="00537D2D">
            <w:pPr>
              <w:rPr>
                <w:rFonts w:cs="Times New Roman"/>
                <w:b/>
                <w:szCs w:val="24"/>
              </w:rPr>
            </w:pPr>
            <w:r w:rsidRPr="00417BE5">
              <w:rPr>
                <w:rFonts w:cs="Times New Roman"/>
                <w:b/>
                <w:szCs w:val="24"/>
              </w:rPr>
              <w:t>Growing Medium (Cocopeat, etc.)</w:t>
            </w:r>
          </w:p>
        </w:tc>
        <w:tc>
          <w:tcPr>
            <w:tcW w:w="1621" w:type="dxa"/>
            <w:vAlign w:val="center"/>
          </w:tcPr>
          <w:p w14:paraId="23666049" w14:textId="77777777" w:rsidR="00B2311E" w:rsidRPr="00417BE5" w:rsidRDefault="00B2311E" w:rsidP="00537D2D">
            <w:pPr>
              <w:rPr>
                <w:rFonts w:cs="Times New Roman"/>
                <w:szCs w:val="24"/>
              </w:rPr>
            </w:pPr>
            <w:r w:rsidRPr="00417BE5">
              <w:rPr>
                <w:rFonts w:cs="Times New Roman"/>
                <w:szCs w:val="24"/>
              </w:rPr>
              <w:t>₹20,000</w:t>
            </w:r>
          </w:p>
        </w:tc>
        <w:tc>
          <w:tcPr>
            <w:tcW w:w="1803" w:type="dxa"/>
            <w:vAlign w:val="center"/>
          </w:tcPr>
          <w:p w14:paraId="29888A11" w14:textId="77777777" w:rsidR="00B2311E" w:rsidRPr="00417BE5" w:rsidRDefault="00B2311E" w:rsidP="00537D2D">
            <w:pPr>
              <w:rPr>
                <w:rFonts w:cs="Times New Roman"/>
                <w:szCs w:val="24"/>
              </w:rPr>
            </w:pPr>
            <w:r w:rsidRPr="00417BE5">
              <w:rPr>
                <w:rFonts w:cs="Times New Roman"/>
                <w:szCs w:val="24"/>
              </w:rPr>
              <w:t>Reused in Year 2</w:t>
            </w:r>
          </w:p>
        </w:tc>
        <w:tc>
          <w:tcPr>
            <w:tcW w:w="1803" w:type="dxa"/>
            <w:vAlign w:val="center"/>
          </w:tcPr>
          <w:p w14:paraId="762574D5" w14:textId="77777777" w:rsidR="00B2311E" w:rsidRPr="00417BE5" w:rsidRDefault="00B2311E" w:rsidP="00537D2D">
            <w:pPr>
              <w:rPr>
                <w:rFonts w:cs="Times New Roman"/>
                <w:szCs w:val="24"/>
              </w:rPr>
            </w:pPr>
            <w:r w:rsidRPr="00417BE5">
              <w:rPr>
                <w:rFonts w:cs="Times New Roman"/>
                <w:szCs w:val="24"/>
              </w:rPr>
              <w:t>Net Income from Year 1</w:t>
            </w:r>
          </w:p>
        </w:tc>
        <w:tc>
          <w:tcPr>
            <w:tcW w:w="1803" w:type="dxa"/>
            <w:vAlign w:val="center"/>
          </w:tcPr>
          <w:p w14:paraId="15FFF43C" w14:textId="77777777" w:rsidR="00B2311E" w:rsidRPr="00417BE5" w:rsidRDefault="00B2311E" w:rsidP="00537D2D">
            <w:pPr>
              <w:rPr>
                <w:rFonts w:cs="Times New Roman"/>
                <w:szCs w:val="24"/>
              </w:rPr>
            </w:pPr>
            <w:r w:rsidRPr="00417BE5">
              <w:rPr>
                <w:rFonts w:cs="Times New Roman"/>
                <w:szCs w:val="24"/>
              </w:rPr>
              <w:t>Within Year 1</w:t>
            </w:r>
          </w:p>
        </w:tc>
      </w:tr>
      <w:tr w:rsidR="00B2311E" w:rsidRPr="00417BE5" w14:paraId="485CB335" w14:textId="77777777" w:rsidTr="005419A6">
        <w:tc>
          <w:tcPr>
            <w:tcW w:w="1985" w:type="dxa"/>
            <w:vAlign w:val="center"/>
          </w:tcPr>
          <w:p w14:paraId="762D8F82" w14:textId="77777777" w:rsidR="00B2311E" w:rsidRPr="00417BE5" w:rsidRDefault="00B2311E" w:rsidP="00537D2D">
            <w:pPr>
              <w:rPr>
                <w:rFonts w:cs="Times New Roman"/>
                <w:b/>
                <w:szCs w:val="24"/>
              </w:rPr>
            </w:pPr>
            <w:r w:rsidRPr="00417BE5">
              <w:rPr>
                <w:rFonts w:cs="Times New Roman"/>
                <w:b/>
                <w:szCs w:val="24"/>
              </w:rPr>
              <w:t>Other Operational Costs (Recurring Year 1)</w:t>
            </w:r>
          </w:p>
        </w:tc>
        <w:tc>
          <w:tcPr>
            <w:tcW w:w="1621" w:type="dxa"/>
            <w:vAlign w:val="center"/>
          </w:tcPr>
          <w:p w14:paraId="4CE76B48" w14:textId="77777777" w:rsidR="00B2311E" w:rsidRPr="00417BE5" w:rsidRDefault="00B2311E" w:rsidP="00537D2D">
            <w:pPr>
              <w:rPr>
                <w:rFonts w:cs="Times New Roman"/>
                <w:szCs w:val="24"/>
              </w:rPr>
            </w:pPr>
            <w:r w:rsidRPr="00417BE5">
              <w:rPr>
                <w:rFonts w:cs="Times New Roman"/>
                <w:szCs w:val="24"/>
              </w:rPr>
              <w:t>₹1,35,000</w:t>
            </w:r>
          </w:p>
        </w:tc>
        <w:tc>
          <w:tcPr>
            <w:tcW w:w="1803" w:type="dxa"/>
            <w:vAlign w:val="center"/>
          </w:tcPr>
          <w:p w14:paraId="650B8923" w14:textId="77777777" w:rsidR="00B2311E" w:rsidRPr="00417BE5" w:rsidRDefault="00B2311E" w:rsidP="00537D2D">
            <w:pPr>
              <w:rPr>
                <w:rFonts w:cs="Times New Roman"/>
                <w:szCs w:val="24"/>
              </w:rPr>
            </w:pPr>
            <w:r w:rsidRPr="00417BE5">
              <w:rPr>
                <w:rFonts w:cs="Times New Roman"/>
                <w:szCs w:val="24"/>
              </w:rPr>
              <w:t>Incurred annually</w:t>
            </w:r>
          </w:p>
        </w:tc>
        <w:tc>
          <w:tcPr>
            <w:tcW w:w="1803" w:type="dxa"/>
            <w:vAlign w:val="center"/>
          </w:tcPr>
          <w:p w14:paraId="0698F7B5" w14:textId="77777777" w:rsidR="00B2311E" w:rsidRPr="00417BE5" w:rsidRDefault="00B2311E" w:rsidP="00537D2D">
            <w:pPr>
              <w:rPr>
                <w:rFonts w:cs="Times New Roman"/>
                <w:szCs w:val="24"/>
              </w:rPr>
            </w:pPr>
            <w:r w:rsidRPr="00417BE5">
              <w:rPr>
                <w:rFonts w:cs="Times New Roman"/>
                <w:szCs w:val="24"/>
              </w:rPr>
              <w:t>Covered in yearly return</w:t>
            </w:r>
          </w:p>
        </w:tc>
        <w:tc>
          <w:tcPr>
            <w:tcW w:w="1803" w:type="dxa"/>
            <w:vAlign w:val="center"/>
          </w:tcPr>
          <w:p w14:paraId="35639520" w14:textId="77777777" w:rsidR="00B2311E" w:rsidRPr="00417BE5" w:rsidRDefault="00B2311E" w:rsidP="00537D2D">
            <w:pPr>
              <w:rPr>
                <w:rFonts w:cs="Times New Roman"/>
                <w:szCs w:val="24"/>
              </w:rPr>
            </w:pPr>
            <w:r w:rsidRPr="00417BE5">
              <w:rPr>
                <w:rFonts w:cs="Times New Roman"/>
                <w:szCs w:val="24"/>
              </w:rPr>
              <w:t>Annual</w:t>
            </w:r>
          </w:p>
        </w:tc>
      </w:tr>
      <w:tr w:rsidR="00B2311E" w:rsidRPr="00417BE5" w14:paraId="7E21322B" w14:textId="77777777" w:rsidTr="005419A6">
        <w:tc>
          <w:tcPr>
            <w:tcW w:w="1985" w:type="dxa"/>
            <w:vAlign w:val="center"/>
          </w:tcPr>
          <w:p w14:paraId="2753D624" w14:textId="77777777" w:rsidR="00B2311E" w:rsidRPr="00417BE5" w:rsidRDefault="00B2311E" w:rsidP="00537D2D">
            <w:pPr>
              <w:rPr>
                <w:rFonts w:cs="Times New Roman"/>
                <w:b/>
                <w:szCs w:val="24"/>
              </w:rPr>
            </w:pPr>
            <w:r w:rsidRPr="00417BE5">
              <w:rPr>
                <w:rFonts w:cs="Times New Roman"/>
                <w:b/>
                <w:szCs w:val="24"/>
              </w:rPr>
              <w:lastRenderedPageBreak/>
              <w:t>Total Capital Investment (Recoverable)</w:t>
            </w:r>
          </w:p>
        </w:tc>
        <w:tc>
          <w:tcPr>
            <w:tcW w:w="1621" w:type="dxa"/>
            <w:vAlign w:val="center"/>
          </w:tcPr>
          <w:p w14:paraId="564AED68" w14:textId="77777777" w:rsidR="00B2311E" w:rsidRPr="00417BE5" w:rsidRDefault="00B2311E" w:rsidP="00537D2D">
            <w:pPr>
              <w:rPr>
                <w:rFonts w:cs="Times New Roman"/>
                <w:szCs w:val="24"/>
              </w:rPr>
            </w:pPr>
            <w:r w:rsidRPr="00417BE5">
              <w:rPr>
                <w:rFonts w:cs="Times New Roman"/>
                <w:szCs w:val="24"/>
              </w:rPr>
              <w:t>₹4,20,000</w:t>
            </w:r>
          </w:p>
        </w:tc>
        <w:tc>
          <w:tcPr>
            <w:tcW w:w="1803" w:type="dxa"/>
            <w:vAlign w:val="center"/>
          </w:tcPr>
          <w:p w14:paraId="13828FD1" w14:textId="77777777" w:rsidR="00B2311E" w:rsidRPr="00417BE5" w:rsidRDefault="00B2311E" w:rsidP="00537D2D">
            <w:pPr>
              <w:rPr>
                <w:rFonts w:cs="Times New Roman"/>
                <w:szCs w:val="24"/>
              </w:rPr>
            </w:pPr>
            <w:r w:rsidRPr="00417BE5">
              <w:rPr>
                <w:rFonts w:cs="Times New Roman"/>
                <w:szCs w:val="24"/>
              </w:rPr>
              <w:t>One-time (5–7 year lifespan)</w:t>
            </w:r>
          </w:p>
        </w:tc>
        <w:tc>
          <w:tcPr>
            <w:tcW w:w="1803" w:type="dxa"/>
            <w:vAlign w:val="center"/>
          </w:tcPr>
          <w:p w14:paraId="12D40105" w14:textId="77777777" w:rsidR="00B2311E" w:rsidRPr="00417BE5" w:rsidRDefault="00B2311E" w:rsidP="00537D2D">
            <w:pPr>
              <w:rPr>
                <w:rFonts w:cs="Times New Roman"/>
                <w:szCs w:val="24"/>
              </w:rPr>
            </w:pPr>
            <w:r w:rsidRPr="00417BE5">
              <w:rPr>
                <w:rFonts w:cs="Times New Roman"/>
                <w:szCs w:val="24"/>
              </w:rPr>
              <w:t>₹1,613,000</w:t>
            </w:r>
          </w:p>
        </w:tc>
        <w:tc>
          <w:tcPr>
            <w:tcW w:w="1803" w:type="dxa"/>
            <w:vAlign w:val="center"/>
          </w:tcPr>
          <w:p w14:paraId="6A37EA37" w14:textId="77777777" w:rsidR="00B2311E" w:rsidRPr="00417BE5" w:rsidRDefault="00B2311E" w:rsidP="00537D2D">
            <w:pPr>
              <w:rPr>
                <w:rFonts w:cs="Times New Roman"/>
                <w:szCs w:val="24"/>
              </w:rPr>
            </w:pPr>
            <w:r w:rsidRPr="00417BE5">
              <w:rPr>
                <w:rFonts w:cs="Times New Roman"/>
                <w:szCs w:val="24"/>
              </w:rPr>
              <w:t>Fully recovered in Year 1</w:t>
            </w:r>
          </w:p>
        </w:tc>
      </w:tr>
    </w:tbl>
    <w:p w14:paraId="5A8E94EE" w14:textId="77777777" w:rsidR="00B2311E" w:rsidRPr="00417BE5" w:rsidRDefault="00B2311E" w:rsidP="00537D2D">
      <w:pPr>
        <w:spacing w:after="0"/>
        <w:jc w:val="both"/>
        <w:rPr>
          <w:rFonts w:eastAsia="Times New Roman" w:cs="Times New Roman"/>
          <w:szCs w:val="24"/>
          <w:lang w:eastAsia="en-IN"/>
        </w:rPr>
      </w:pPr>
    </w:p>
    <w:p w14:paraId="2AF44B4C"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3.5 Sensitivity Analysis: Yield vs. Net Profit</w:t>
      </w:r>
    </w:p>
    <w:p w14:paraId="78F97E78" w14:textId="647AC37E"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Sensitivity analysis (Table 5, Fig. </w:t>
      </w:r>
      <w:r w:rsidR="00D260B3" w:rsidRPr="00417BE5">
        <w:rPr>
          <w:rFonts w:eastAsia="Times New Roman" w:cs="Times New Roman"/>
          <w:szCs w:val="24"/>
          <w:lang w:eastAsia="en-IN"/>
        </w:rPr>
        <w:t>4</w:t>
      </w:r>
      <w:r w:rsidRPr="00417BE5">
        <w:rPr>
          <w:rFonts w:eastAsia="Times New Roman" w:cs="Times New Roman"/>
          <w:szCs w:val="24"/>
          <w:lang w:eastAsia="en-IN"/>
        </w:rPr>
        <w:t>) showed a linear relationship between yield and net profit:</w:t>
      </w:r>
    </w:p>
    <w:p w14:paraId="1675B5F6" w14:textId="77777777" w:rsidR="00936C64" w:rsidRPr="00417BE5" w:rsidRDefault="00936C64" w:rsidP="00537D2D">
      <w:pPr>
        <w:numPr>
          <w:ilvl w:val="0"/>
          <w:numId w:val="18"/>
        </w:numPr>
        <w:spacing w:after="0"/>
        <w:jc w:val="both"/>
        <w:rPr>
          <w:rFonts w:eastAsia="Times New Roman" w:cs="Times New Roman"/>
          <w:szCs w:val="24"/>
          <w:lang w:eastAsia="en-IN"/>
        </w:rPr>
      </w:pPr>
      <w:r w:rsidRPr="00417BE5">
        <w:rPr>
          <w:rFonts w:eastAsia="Times New Roman" w:cs="Times New Roman"/>
          <w:szCs w:val="24"/>
          <w:lang w:eastAsia="en-IN"/>
        </w:rPr>
        <w:t>Every 100 g/ha increase in yield raised annual net profit by ~₹40,000</w:t>
      </w:r>
    </w:p>
    <w:p w14:paraId="3CD2554A" w14:textId="77777777" w:rsidR="00936C64" w:rsidRPr="00417BE5" w:rsidRDefault="00936C64" w:rsidP="00537D2D">
      <w:pPr>
        <w:numPr>
          <w:ilvl w:val="0"/>
          <w:numId w:val="18"/>
        </w:numPr>
        <w:spacing w:after="0"/>
        <w:jc w:val="both"/>
        <w:rPr>
          <w:rFonts w:eastAsia="Times New Roman" w:cs="Times New Roman"/>
          <w:szCs w:val="24"/>
          <w:lang w:eastAsia="en-IN"/>
        </w:rPr>
      </w:pPr>
      <w:r w:rsidRPr="00417BE5">
        <w:rPr>
          <w:rFonts w:eastAsia="Times New Roman" w:cs="Times New Roman"/>
          <w:szCs w:val="24"/>
          <w:lang w:eastAsia="en-IN"/>
        </w:rPr>
        <w:t>Cumulative 2-year profit ranged from ₹1.72 million (3,000 g/ha) to ₹4.52 million (6,500 g/ha)</w:t>
      </w:r>
    </w:p>
    <w:p w14:paraId="6C1ED730"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These results confirm that hydroponic profitability remains robust across variable yields.</w:t>
      </w:r>
    </w:p>
    <w:p w14:paraId="76324E6F" w14:textId="77777777" w:rsidR="00B2311E" w:rsidRPr="00417BE5" w:rsidRDefault="00B2311E" w:rsidP="00537D2D">
      <w:pPr>
        <w:ind w:right="-330"/>
        <w:rPr>
          <w:rFonts w:cs="Times New Roman"/>
          <w:b/>
          <w:szCs w:val="24"/>
        </w:rPr>
      </w:pPr>
      <w:bookmarkStart w:id="0" w:name="_GoBack"/>
      <w:r w:rsidRPr="00417BE5">
        <w:rPr>
          <w:rFonts w:cs="Times New Roman"/>
          <w:b/>
          <w:szCs w:val="24"/>
        </w:rPr>
        <w:t>Table</w:t>
      </w:r>
      <w:bookmarkEnd w:id="0"/>
      <w:r w:rsidRPr="00417BE5">
        <w:rPr>
          <w:rFonts w:cs="Times New Roman"/>
          <w:b/>
          <w:szCs w:val="24"/>
        </w:rPr>
        <w:t xml:space="preserve"> 5. Sensitivity Analysis of Yield vs Net Profit under Hydroponic Saffron Cultivation (Year 1 &amp; Year 2)</w:t>
      </w:r>
    </w:p>
    <w:tbl>
      <w:tblPr>
        <w:tblStyle w:val="TableGrid1"/>
        <w:tblW w:w="0" w:type="auto"/>
        <w:tblLook w:val="04A0" w:firstRow="1" w:lastRow="0" w:firstColumn="1" w:lastColumn="0" w:noHBand="0" w:noVBand="1"/>
      </w:tblPr>
      <w:tblGrid>
        <w:gridCol w:w="1805"/>
        <w:gridCol w:w="1805"/>
        <w:gridCol w:w="1805"/>
        <w:gridCol w:w="1805"/>
        <w:gridCol w:w="1805"/>
      </w:tblGrid>
      <w:tr w:rsidR="00B2311E" w:rsidRPr="00417BE5" w14:paraId="1BE64892" w14:textId="77777777" w:rsidTr="005419A6">
        <w:tc>
          <w:tcPr>
            <w:tcW w:w="1805" w:type="dxa"/>
          </w:tcPr>
          <w:p w14:paraId="02F7FE3A" w14:textId="77777777" w:rsidR="00B2311E" w:rsidRPr="00417BE5" w:rsidRDefault="00B2311E" w:rsidP="00537D2D">
            <w:pPr>
              <w:rPr>
                <w:b/>
              </w:rPr>
            </w:pPr>
            <w:r w:rsidRPr="00417BE5">
              <w:rPr>
                <w:b/>
              </w:rPr>
              <w:t>Stigma Yield (g ha⁻¹)</w:t>
            </w:r>
          </w:p>
        </w:tc>
        <w:tc>
          <w:tcPr>
            <w:tcW w:w="1805" w:type="dxa"/>
          </w:tcPr>
          <w:p w14:paraId="7EE09AF5" w14:textId="77777777" w:rsidR="00B2311E" w:rsidRPr="00417BE5" w:rsidRDefault="00B2311E" w:rsidP="00537D2D">
            <w:pPr>
              <w:rPr>
                <w:b/>
              </w:rPr>
            </w:pPr>
            <w:r w:rsidRPr="00417BE5">
              <w:rPr>
                <w:b/>
              </w:rPr>
              <w:t>Gross Income (₹)</w:t>
            </w:r>
          </w:p>
        </w:tc>
        <w:tc>
          <w:tcPr>
            <w:tcW w:w="1805" w:type="dxa"/>
          </w:tcPr>
          <w:p w14:paraId="09A5A970" w14:textId="77777777" w:rsidR="00B2311E" w:rsidRPr="00417BE5" w:rsidRDefault="00B2311E" w:rsidP="00537D2D">
            <w:pPr>
              <w:rPr>
                <w:b/>
              </w:rPr>
            </w:pPr>
            <w:r w:rsidRPr="00417BE5">
              <w:rPr>
                <w:b/>
              </w:rPr>
              <w:t>Net Profit – Year 1 (₹)</w:t>
            </w:r>
          </w:p>
        </w:tc>
        <w:tc>
          <w:tcPr>
            <w:tcW w:w="1805" w:type="dxa"/>
          </w:tcPr>
          <w:p w14:paraId="3361DE9E" w14:textId="77777777" w:rsidR="00B2311E" w:rsidRPr="00417BE5" w:rsidRDefault="00B2311E" w:rsidP="00537D2D">
            <w:pPr>
              <w:rPr>
                <w:b/>
              </w:rPr>
            </w:pPr>
            <w:r w:rsidRPr="00417BE5">
              <w:rPr>
                <w:b/>
              </w:rPr>
              <w:t>Net Profit – Year 2 (₹)</w:t>
            </w:r>
          </w:p>
        </w:tc>
        <w:tc>
          <w:tcPr>
            <w:tcW w:w="1805" w:type="dxa"/>
          </w:tcPr>
          <w:p w14:paraId="4CA61E54" w14:textId="77777777" w:rsidR="00B2311E" w:rsidRPr="00417BE5" w:rsidRDefault="00B2311E" w:rsidP="00537D2D">
            <w:pPr>
              <w:rPr>
                <w:b/>
              </w:rPr>
            </w:pPr>
            <w:r w:rsidRPr="00417BE5">
              <w:rPr>
                <w:b/>
              </w:rPr>
              <w:t>Total Net Profit (₹)</w:t>
            </w:r>
          </w:p>
        </w:tc>
      </w:tr>
      <w:tr w:rsidR="00B2311E" w:rsidRPr="00417BE5" w14:paraId="79249AE9" w14:textId="77777777" w:rsidTr="005419A6">
        <w:tc>
          <w:tcPr>
            <w:tcW w:w="1805" w:type="dxa"/>
          </w:tcPr>
          <w:p w14:paraId="6C7ACA86" w14:textId="77777777" w:rsidR="00B2311E" w:rsidRPr="00417BE5" w:rsidRDefault="00B2311E" w:rsidP="00537D2D">
            <w:pPr>
              <w:rPr>
                <w:b/>
              </w:rPr>
            </w:pPr>
            <w:r w:rsidRPr="00417BE5">
              <w:rPr>
                <w:b/>
              </w:rPr>
              <w:t>3,000</w:t>
            </w:r>
          </w:p>
        </w:tc>
        <w:tc>
          <w:tcPr>
            <w:tcW w:w="1805" w:type="dxa"/>
          </w:tcPr>
          <w:p w14:paraId="3DB86D71" w14:textId="77777777" w:rsidR="00B2311E" w:rsidRPr="00417BE5" w:rsidRDefault="00B2311E" w:rsidP="00537D2D">
            <w:r w:rsidRPr="00417BE5">
              <w:t>₹1,200,000</w:t>
            </w:r>
          </w:p>
        </w:tc>
        <w:tc>
          <w:tcPr>
            <w:tcW w:w="1805" w:type="dxa"/>
          </w:tcPr>
          <w:p w14:paraId="674B5E24" w14:textId="77777777" w:rsidR="00B2311E" w:rsidRPr="00417BE5" w:rsidRDefault="00B2311E" w:rsidP="00537D2D">
            <w:r w:rsidRPr="00417BE5">
              <w:t>₹613,000</w:t>
            </w:r>
          </w:p>
        </w:tc>
        <w:tc>
          <w:tcPr>
            <w:tcW w:w="1805" w:type="dxa"/>
          </w:tcPr>
          <w:p w14:paraId="51677FF7" w14:textId="77777777" w:rsidR="00B2311E" w:rsidRPr="00417BE5" w:rsidRDefault="00B2311E" w:rsidP="00537D2D">
            <w:r w:rsidRPr="00417BE5">
              <w:t>₹1,110,000</w:t>
            </w:r>
          </w:p>
        </w:tc>
        <w:tc>
          <w:tcPr>
            <w:tcW w:w="1805" w:type="dxa"/>
          </w:tcPr>
          <w:p w14:paraId="0AA50E5C" w14:textId="77777777" w:rsidR="00B2311E" w:rsidRPr="00417BE5" w:rsidRDefault="00B2311E" w:rsidP="00537D2D">
            <w:r w:rsidRPr="00417BE5">
              <w:t>₹1,723,000</w:t>
            </w:r>
          </w:p>
        </w:tc>
      </w:tr>
      <w:tr w:rsidR="00B2311E" w:rsidRPr="00417BE5" w14:paraId="498B7F9B" w14:textId="77777777" w:rsidTr="005419A6">
        <w:tc>
          <w:tcPr>
            <w:tcW w:w="1805" w:type="dxa"/>
          </w:tcPr>
          <w:p w14:paraId="0C57E564" w14:textId="77777777" w:rsidR="00B2311E" w:rsidRPr="00417BE5" w:rsidRDefault="00B2311E" w:rsidP="00537D2D">
            <w:pPr>
              <w:rPr>
                <w:b/>
              </w:rPr>
            </w:pPr>
            <w:r w:rsidRPr="00417BE5">
              <w:rPr>
                <w:b/>
              </w:rPr>
              <w:t>4,000</w:t>
            </w:r>
          </w:p>
        </w:tc>
        <w:tc>
          <w:tcPr>
            <w:tcW w:w="1805" w:type="dxa"/>
          </w:tcPr>
          <w:p w14:paraId="2307F3D6" w14:textId="77777777" w:rsidR="00B2311E" w:rsidRPr="00417BE5" w:rsidRDefault="00B2311E" w:rsidP="00537D2D">
            <w:r w:rsidRPr="00417BE5">
              <w:t>₹1,600,000</w:t>
            </w:r>
          </w:p>
        </w:tc>
        <w:tc>
          <w:tcPr>
            <w:tcW w:w="1805" w:type="dxa"/>
          </w:tcPr>
          <w:p w14:paraId="03222FAA" w14:textId="77777777" w:rsidR="00B2311E" w:rsidRPr="00417BE5" w:rsidRDefault="00B2311E" w:rsidP="00537D2D">
            <w:r w:rsidRPr="00417BE5">
              <w:t>₹1,013,000</w:t>
            </w:r>
          </w:p>
        </w:tc>
        <w:tc>
          <w:tcPr>
            <w:tcW w:w="1805" w:type="dxa"/>
          </w:tcPr>
          <w:p w14:paraId="518B34D8" w14:textId="77777777" w:rsidR="00B2311E" w:rsidRPr="00417BE5" w:rsidRDefault="00B2311E" w:rsidP="00537D2D">
            <w:r w:rsidRPr="00417BE5">
              <w:t>₹1,510,000</w:t>
            </w:r>
          </w:p>
        </w:tc>
        <w:tc>
          <w:tcPr>
            <w:tcW w:w="1805" w:type="dxa"/>
          </w:tcPr>
          <w:p w14:paraId="64772320" w14:textId="77777777" w:rsidR="00B2311E" w:rsidRPr="00417BE5" w:rsidRDefault="00B2311E" w:rsidP="00537D2D">
            <w:r w:rsidRPr="00417BE5">
              <w:t>₹2,523,000</w:t>
            </w:r>
          </w:p>
        </w:tc>
      </w:tr>
      <w:tr w:rsidR="00B2311E" w:rsidRPr="00417BE5" w14:paraId="7066C84E" w14:textId="77777777" w:rsidTr="005419A6">
        <w:tc>
          <w:tcPr>
            <w:tcW w:w="1805" w:type="dxa"/>
          </w:tcPr>
          <w:p w14:paraId="07AB3641" w14:textId="77777777" w:rsidR="00B2311E" w:rsidRPr="00417BE5" w:rsidRDefault="00B2311E" w:rsidP="00537D2D">
            <w:pPr>
              <w:rPr>
                <w:b/>
              </w:rPr>
            </w:pPr>
            <w:r w:rsidRPr="00417BE5">
              <w:rPr>
                <w:b/>
              </w:rPr>
              <w:t>5,000</w:t>
            </w:r>
          </w:p>
        </w:tc>
        <w:tc>
          <w:tcPr>
            <w:tcW w:w="1805" w:type="dxa"/>
          </w:tcPr>
          <w:p w14:paraId="4E4D0007" w14:textId="77777777" w:rsidR="00B2311E" w:rsidRPr="00417BE5" w:rsidRDefault="00B2311E" w:rsidP="00537D2D">
            <w:r w:rsidRPr="00417BE5">
              <w:t>₹2,000,000</w:t>
            </w:r>
          </w:p>
        </w:tc>
        <w:tc>
          <w:tcPr>
            <w:tcW w:w="1805" w:type="dxa"/>
          </w:tcPr>
          <w:p w14:paraId="7B06F105" w14:textId="77777777" w:rsidR="00B2311E" w:rsidRPr="00417BE5" w:rsidRDefault="00B2311E" w:rsidP="00537D2D">
            <w:r w:rsidRPr="00417BE5">
              <w:t>₹1,413,000</w:t>
            </w:r>
          </w:p>
        </w:tc>
        <w:tc>
          <w:tcPr>
            <w:tcW w:w="1805" w:type="dxa"/>
          </w:tcPr>
          <w:p w14:paraId="54593CE9" w14:textId="77777777" w:rsidR="00B2311E" w:rsidRPr="00417BE5" w:rsidRDefault="00B2311E" w:rsidP="00537D2D">
            <w:r w:rsidRPr="00417BE5">
              <w:t>₹1,910,000</w:t>
            </w:r>
          </w:p>
        </w:tc>
        <w:tc>
          <w:tcPr>
            <w:tcW w:w="1805" w:type="dxa"/>
          </w:tcPr>
          <w:p w14:paraId="7E82864A" w14:textId="77777777" w:rsidR="00B2311E" w:rsidRPr="00417BE5" w:rsidRDefault="00B2311E" w:rsidP="00537D2D">
            <w:r w:rsidRPr="00417BE5">
              <w:t>₹3,323,000</w:t>
            </w:r>
          </w:p>
        </w:tc>
      </w:tr>
      <w:tr w:rsidR="00B2311E" w:rsidRPr="00417BE5" w14:paraId="32E29F00" w14:textId="77777777" w:rsidTr="005419A6">
        <w:tc>
          <w:tcPr>
            <w:tcW w:w="1805" w:type="dxa"/>
          </w:tcPr>
          <w:p w14:paraId="321F4941" w14:textId="77777777" w:rsidR="00B2311E" w:rsidRPr="00417BE5" w:rsidRDefault="00B2311E" w:rsidP="00537D2D">
            <w:pPr>
              <w:rPr>
                <w:b/>
              </w:rPr>
            </w:pPr>
            <w:r w:rsidRPr="00417BE5">
              <w:rPr>
                <w:b/>
              </w:rPr>
              <w:t>5,500</w:t>
            </w:r>
          </w:p>
        </w:tc>
        <w:tc>
          <w:tcPr>
            <w:tcW w:w="1805" w:type="dxa"/>
          </w:tcPr>
          <w:p w14:paraId="754A1242" w14:textId="77777777" w:rsidR="00B2311E" w:rsidRPr="00417BE5" w:rsidRDefault="00B2311E" w:rsidP="00537D2D">
            <w:r w:rsidRPr="00417BE5">
              <w:t>₹2,200,000</w:t>
            </w:r>
          </w:p>
        </w:tc>
        <w:tc>
          <w:tcPr>
            <w:tcW w:w="1805" w:type="dxa"/>
          </w:tcPr>
          <w:p w14:paraId="35AB7167" w14:textId="77777777" w:rsidR="00B2311E" w:rsidRPr="00417BE5" w:rsidRDefault="00B2311E" w:rsidP="00537D2D">
            <w:r w:rsidRPr="00417BE5">
              <w:t>₹1,613,000</w:t>
            </w:r>
          </w:p>
        </w:tc>
        <w:tc>
          <w:tcPr>
            <w:tcW w:w="1805" w:type="dxa"/>
          </w:tcPr>
          <w:p w14:paraId="0D2A46FA" w14:textId="77777777" w:rsidR="00B2311E" w:rsidRPr="00417BE5" w:rsidRDefault="00B2311E" w:rsidP="00537D2D">
            <w:r w:rsidRPr="00417BE5">
              <w:t>₹2,110,000</w:t>
            </w:r>
          </w:p>
        </w:tc>
        <w:tc>
          <w:tcPr>
            <w:tcW w:w="1805" w:type="dxa"/>
          </w:tcPr>
          <w:p w14:paraId="29F18E08" w14:textId="77777777" w:rsidR="00B2311E" w:rsidRPr="00417BE5" w:rsidRDefault="00B2311E" w:rsidP="00537D2D">
            <w:r w:rsidRPr="00417BE5">
              <w:t>₹3,723,000</w:t>
            </w:r>
          </w:p>
        </w:tc>
      </w:tr>
      <w:tr w:rsidR="00B2311E" w:rsidRPr="00417BE5" w14:paraId="7F5D952C" w14:textId="77777777" w:rsidTr="005419A6">
        <w:tc>
          <w:tcPr>
            <w:tcW w:w="1805" w:type="dxa"/>
          </w:tcPr>
          <w:p w14:paraId="3AFA9187" w14:textId="77777777" w:rsidR="00B2311E" w:rsidRPr="00417BE5" w:rsidRDefault="00B2311E" w:rsidP="00537D2D">
            <w:pPr>
              <w:rPr>
                <w:b/>
              </w:rPr>
            </w:pPr>
            <w:r w:rsidRPr="00417BE5">
              <w:rPr>
                <w:b/>
              </w:rPr>
              <w:t>6,000</w:t>
            </w:r>
          </w:p>
        </w:tc>
        <w:tc>
          <w:tcPr>
            <w:tcW w:w="1805" w:type="dxa"/>
          </w:tcPr>
          <w:p w14:paraId="39ADA94E" w14:textId="77777777" w:rsidR="00B2311E" w:rsidRPr="00417BE5" w:rsidRDefault="00B2311E" w:rsidP="00537D2D">
            <w:r w:rsidRPr="00417BE5">
              <w:t>₹2,400,000</w:t>
            </w:r>
          </w:p>
        </w:tc>
        <w:tc>
          <w:tcPr>
            <w:tcW w:w="1805" w:type="dxa"/>
          </w:tcPr>
          <w:p w14:paraId="5644F731" w14:textId="77777777" w:rsidR="00B2311E" w:rsidRPr="00417BE5" w:rsidRDefault="00B2311E" w:rsidP="00537D2D">
            <w:r w:rsidRPr="00417BE5">
              <w:t>₹1,813,000</w:t>
            </w:r>
          </w:p>
        </w:tc>
        <w:tc>
          <w:tcPr>
            <w:tcW w:w="1805" w:type="dxa"/>
          </w:tcPr>
          <w:p w14:paraId="2ECBF52F" w14:textId="77777777" w:rsidR="00B2311E" w:rsidRPr="00417BE5" w:rsidRDefault="00B2311E" w:rsidP="00537D2D">
            <w:r w:rsidRPr="00417BE5">
              <w:t>₹2,310,000</w:t>
            </w:r>
          </w:p>
        </w:tc>
        <w:tc>
          <w:tcPr>
            <w:tcW w:w="1805" w:type="dxa"/>
          </w:tcPr>
          <w:p w14:paraId="6189D281" w14:textId="77777777" w:rsidR="00B2311E" w:rsidRPr="00417BE5" w:rsidRDefault="00B2311E" w:rsidP="00537D2D">
            <w:r w:rsidRPr="00417BE5">
              <w:t>₹4,123,000</w:t>
            </w:r>
          </w:p>
        </w:tc>
      </w:tr>
      <w:tr w:rsidR="00B2311E" w:rsidRPr="00417BE5" w14:paraId="7398FB41" w14:textId="77777777" w:rsidTr="005419A6">
        <w:tc>
          <w:tcPr>
            <w:tcW w:w="1805" w:type="dxa"/>
          </w:tcPr>
          <w:p w14:paraId="4430B1EB" w14:textId="77777777" w:rsidR="00B2311E" w:rsidRPr="00417BE5" w:rsidRDefault="00B2311E" w:rsidP="00537D2D">
            <w:pPr>
              <w:rPr>
                <w:b/>
              </w:rPr>
            </w:pPr>
            <w:r w:rsidRPr="00417BE5">
              <w:rPr>
                <w:b/>
              </w:rPr>
              <w:t>6,500</w:t>
            </w:r>
          </w:p>
        </w:tc>
        <w:tc>
          <w:tcPr>
            <w:tcW w:w="1805" w:type="dxa"/>
          </w:tcPr>
          <w:p w14:paraId="1B2664CE" w14:textId="77777777" w:rsidR="00B2311E" w:rsidRPr="00417BE5" w:rsidRDefault="00B2311E" w:rsidP="00537D2D">
            <w:r w:rsidRPr="00417BE5">
              <w:t>₹2,600,000</w:t>
            </w:r>
          </w:p>
        </w:tc>
        <w:tc>
          <w:tcPr>
            <w:tcW w:w="1805" w:type="dxa"/>
          </w:tcPr>
          <w:p w14:paraId="2AF603E9" w14:textId="77777777" w:rsidR="00B2311E" w:rsidRPr="00417BE5" w:rsidRDefault="00B2311E" w:rsidP="00537D2D">
            <w:r w:rsidRPr="00417BE5">
              <w:t>₹2,013,000</w:t>
            </w:r>
          </w:p>
        </w:tc>
        <w:tc>
          <w:tcPr>
            <w:tcW w:w="1805" w:type="dxa"/>
          </w:tcPr>
          <w:p w14:paraId="3B00C9A7" w14:textId="77777777" w:rsidR="00B2311E" w:rsidRPr="00417BE5" w:rsidRDefault="00B2311E" w:rsidP="00537D2D">
            <w:r w:rsidRPr="00417BE5">
              <w:t>₹2,510,000</w:t>
            </w:r>
          </w:p>
        </w:tc>
        <w:tc>
          <w:tcPr>
            <w:tcW w:w="1805" w:type="dxa"/>
          </w:tcPr>
          <w:p w14:paraId="2844D480" w14:textId="77777777" w:rsidR="00B2311E" w:rsidRPr="00417BE5" w:rsidRDefault="00B2311E" w:rsidP="00537D2D">
            <w:r w:rsidRPr="00417BE5">
              <w:t>₹4,523,000</w:t>
            </w:r>
          </w:p>
        </w:tc>
      </w:tr>
    </w:tbl>
    <w:p w14:paraId="4EEBD4C3" w14:textId="77777777" w:rsidR="00B2311E" w:rsidRPr="00417BE5" w:rsidRDefault="00B2311E" w:rsidP="00537D2D">
      <w:pPr>
        <w:rPr>
          <w:rFonts w:cs="Times New Roman"/>
          <w:szCs w:val="24"/>
        </w:rPr>
      </w:pPr>
      <w:r w:rsidRPr="00417BE5">
        <w:rPr>
          <w:rFonts w:cs="Times New Roman"/>
          <w:i/>
          <w:szCs w:val="24"/>
        </w:rPr>
        <w:t>*Note: All gross income calculations assume saffron at ₹400 g⁻¹; 5,500 g ha⁻¹ is the actual observed yield</w:t>
      </w:r>
      <w:r w:rsidRPr="00417BE5">
        <w:rPr>
          <w:rFonts w:cs="Times New Roman"/>
          <w:szCs w:val="24"/>
        </w:rPr>
        <w:t>.</w:t>
      </w:r>
    </w:p>
    <w:p w14:paraId="484E2943"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3.6 Principal Component Analysis (PCA)</w:t>
      </w:r>
    </w:p>
    <w:p w14:paraId="7991C2CF" w14:textId="310648D8"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PCA reduced nine economic/yield variables to two principal components (Fig. </w:t>
      </w:r>
      <w:r w:rsidR="00D260B3" w:rsidRPr="00417BE5">
        <w:rPr>
          <w:rFonts w:eastAsia="Times New Roman" w:cs="Times New Roman"/>
          <w:szCs w:val="24"/>
          <w:lang w:eastAsia="en-IN"/>
        </w:rPr>
        <w:t>5</w:t>
      </w:r>
      <w:r w:rsidRPr="00417BE5">
        <w:rPr>
          <w:rFonts w:eastAsia="Times New Roman" w:cs="Times New Roman"/>
          <w:szCs w:val="24"/>
          <w:lang w:eastAsia="en-IN"/>
        </w:rPr>
        <w:t>), explaining 95% of total variance:</w:t>
      </w:r>
    </w:p>
    <w:p w14:paraId="67EB6660" w14:textId="77777777" w:rsidR="00936C64" w:rsidRPr="00417BE5" w:rsidRDefault="00936C64" w:rsidP="00537D2D">
      <w:pPr>
        <w:numPr>
          <w:ilvl w:val="0"/>
          <w:numId w:val="19"/>
        </w:numPr>
        <w:spacing w:after="0"/>
        <w:jc w:val="both"/>
        <w:rPr>
          <w:rFonts w:eastAsia="Times New Roman" w:cs="Times New Roman"/>
          <w:szCs w:val="24"/>
          <w:lang w:eastAsia="en-IN"/>
        </w:rPr>
      </w:pPr>
      <w:r w:rsidRPr="00417BE5">
        <w:rPr>
          <w:rFonts w:eastAsia="Times New Roman" w:cs="Times New Roman"/>
          <w:b/>
          <w:bCs/>
          <w:szCs w:val="24"/>
          <w:lang w:eastAsia="en-IN"/>
        </w:rPr>
        <w:lastRenderedPageBreak/>
        <w:t>PC1 (78%)</w:t>
      </w:r>
      <w:r w:rsidRPr="00417BE5">
        <w:rPr>
          <w:rFonts w:eastAsia="Times New Roman" w:cs="Times New Roman"/>
          <w:szCs w:val="24"/>
          <w:lang w:eastAsia="en-IN"/>
        </w:rPr>
        <w:t xml:space="preserve"> represented a profitability gradient (high yield, low cost)</w:t>
      </w:r>
    </w:p>
    <w:p w14:paraId="4CC34F5C" w14:textId="77777777" w:rsidR="00936C64" w:rsidRPr="00417BE5" w:rsidRDefault="00936C64" w:rsidP="00537D2D">
      <w:pPr>
        <w:numPr>
          <w:ilvl w:val="0"/>
          <w:numId w:val="19"/>
        </w:numPr>
        <w:spacing w:after="0"/>
        <w:jc w:val="both"/>
        <w:rPr>
          <w:rFonts w:eastAsia="Times New Roman" w:cs="Times New Roman"/>
          <w:szCs w:val="24"/>
          <w:lang w:eastAsia="en-IN"/>
        </w:rPr>
      </w:pPr>
      <w:r w:rsidRPr="00417BE5">
        <w:rPr>
          <w:rFonts w:eastAsia="Times New Roman" w:cs="Times New Roman"/>
          <w:b/>
          <w:bCs/>
          <w:szCs w:val="24"/>
          <w:lang w:eastAsia="en-IN"/>
        </w:rPr>
        <w:t>PC2 (17%)</w:t>
      </w:r>
      <w:r w:rsidRPr="00417BE5">
        <w:rPr>
          <w:rFonts w:eastAsia="Times New Roman" w:cs="Times New Roman"/>
          <w:szCs w:val="24"/>
          <w:lang w:eastAsia="en-IN"/>
        </w:rPr>
        <w:t xml:space="preserve"> reflected cost structure (fixed vs. recurring inputs)</w:t>
      </w:r>
    </w:p>
    <w:p w14:paraId="7BC85821" w14:textId="07126939"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Hydroponic Year 2 scored highest on PC1, showing superior profitability. Conventional plots clustered negatively on both axes (low yield, high recurring costs). The PCA biplot (Fig. </w:t>
      </w:r>
      <w:r w:rsidR="00D260B3" w:rsidRPr="00417BE5">
        <w:rPr>
          <w:rFonts w:eastAsia="Times New Roman" w:cs="Times New Roman"/>
          <w:szCs w:val="24"/>
          <w:lang w:eastAsia="en-IN"/>
        </w:rPr>
        <w:t>6</w:t>
      </w:r>
      <w:r w:rsidRPr="00417BE5">
        <w:rPr>
          <w:rFonts w:eastAsia="Times New Roman" w:cs="Times New Roman"/>
          <w:szCs w:val="24"/>
          <w:lang w:eastAsia="en-IN"/>
        </w:rPr>
        <w:t>) confirmed clear separation between high-efficiency hydroponic systems and traditional methods.</w:t>
      </w:r>
    </w:p>
    <w:p w14:paraId="4FE9F6C7" w14:textId="77777777" w:rsidR="00936C64" w:rsidRPr="00417BE5" w:rsidRDefault="00936C64" w:rsidP="00537D2D">
      <w:pPr>
        <w:spacing w:after="0"/>
        <w:jc w:val="both"/>
        <w:rPr>
          <w:rFonts w:eastAsia="Times New Roman" w:cs="Times New Roman"/>
          <w:b/>
          <w:bCs/>
          <w:szCs w:val="24"/>
          <w:lang w:eastAsia="en-IN"/>
        </w:rPr>
      </w:pPr>
      <w:r w:rsidRPr="00417BE5">
        <w:rPr>
          <w:rFonts w:eastAsia="Times New Roman" w:cs="Times New Roman"/>
          <w:b/>
          <w:bCs/>
          <w:szCs w:val="24"/>
          <w:lang w:eastAsia="en-IN"/>
        </w:rPr>
        <w:t>4. Discussion</w:t>
      </w:r>
    </w:p>
    <w:p w14:paraId="5DAD15D2" w14:textId="73570D7F"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This study demonstrates that hydroponic saffron cultivation in Jammu markedly outperforms traditional soil-based systems in Kashmir and Kishtwar in terms of yield, profitability, and input efficiency. Hydroponics produced up to 6,000 g/ha of stigma yield—70–90% higher than the conventional 3,200–3,500 g/ha range. These findings are consistent with results reported by </w:t>
      </w:r>
      <w:proofErr w:type="spellStart"/>
      <w:r w:rsidR="00F11C0B" w:rsidRPr="0090071F">
        <w:rPr>
          <w:rStyle w:val="Strong"/>
          <w:highlight w:val="yellow"/>
        </w:rPr>
        <w:t>Xie</w:t>
      </w:r>
      <w:proofErr w:type="spellEnd"/>
      <w:r w:rsidR="00F11C0B" w:rsidRPr="0090071F">
        <w:rPr>
          <w:rStyle w:val="Strong"/>
          <w:highlight w:val="yellow"/>
        </w:rPr>
        <w:t xml:space="preserve"> J.</w:t>
      </w:r>
      <w:r w:rsidRPr="0090071F">
        <w:rPr>
          <w:rFonts w:eastAsia="Times New Roman" w:cs="Times New Roman"/>
          <w:b/>
          <w:szCs w:val="24"/>
          <w:highlight w:val="yellow"/>
          <w:lang w:eastAsia="en-IN"/>
        </w:rPr>
        <w:t xml:space="preserve"> </w:t>
      </w:r>
      <w:r w:rsidRPr="0090071F">
        <w:rPr>
          <w:rFonts w:eastAsia="Times New Roman" w:cs="Times New Roman"/>
          <w:b/>
          <w:i/>
          <w:szCs w:val="24"/>
          <w:highlight w:val="yellow"/>
          <w:lang w:eastAsia="en-IN"/>
        </w:rPr>
        <w:t>et al.</w:t>
      </w:r>
      <w:r w:rsidR="0079246D" w:rsidRPr="0090071F">
        <w:rPr>
          <w:rFonts w:eastAsia="Times New Roman" w:cs="Times New Roman"/>
          <w:b/>
          <w:szCs w:val="24"/>
          <w:highlight w:val="yellow"/>
          <w:lang w:eastAsia="en-IN"/>
        </w:rPr>
        <w:t xml:space="preserve"> (2024</w:t>
      </w:r>
      <w:r w:rsidRPr="0090071F">
        <w:rPr>
          <w:rFonts w:eastAsia="Times New Roman" w:cs="Times New Roman"/>
          <w:b/>
          <w:szCs w:val="24"/>
          <w:highlight w:val="yellow"/>
          <w:lang w:eastAsia="en-IN"/>
        </w:rPr>
        <w:t>)</w:t>
      </w:r>
      <w:r w:rsidRPr="00417BE5">
        <w:rPr>
          <w:rFonts w:eastAsia="Times New Roman" w:cs="Times New Roman"/>
          <w:szCs w:val="24"/>
          <w:lang w:eastAsia="en-IN"/>
        </w:rPr>
        <w:t xml:space="preserve"> and </w:t>
      </w:r>
      <w:proofErr w:type="spellStart"/>
      <w:r w:rsidRPr="00417BE5">
        <w:rPr>
          <w:rFonts w:eastAsia="Times New Roman" w:cs="Times New Roman"/>
          <w:b/>
          <w:szCs w:val="24"/>
          <w:lang w:eastAsia="en-IN"/>
        </w:rPr>
        <w:t>Kour</w:t>
      </w:r>
      <w:proofErr w:type="spellEnd"/>
      <w:r w:rsidRPr="00417BE5">
        <w:rPr>
          <w:rFonts w:eastAsia="Times New Roman" w:cs="Times New Roman"/>
          <w:b/>
          <w:szCs w:val="24"/>
          <w:lang w:eastAsia="en-IN"/>
        </w:rPr>
        <w:t xml:space="preserve"> </w:t>
      </w:r>
      <w:r w:rsidRPr="00417BE5">
        <w:rPr>
          <w:rFonts w:eastAsia="Times New Roman" w:cs="Times New Roman"/>
          <w:b/>
          <w:i/>
          <w:szCs w:val="24"/>
          <w:lang w:eastAsia="en-IN"/>
        </w:rPr>
        <w:t>et al</w:t>
      </w:r>
      <w:r w:rsidRPr="00417BE5">
        <w:rPr>
          <w:rFonts w:eastAsia="Times New Roman" w:cs="Times New Roman"/>
          <w:b/>
          <w:szCs w:val="24"/>
          <w:lang w:eastAsia="en-IN"/>
        </w:rPr>
        <w:t>. (2022),</w:t>
      </w:r>
      <w:r w:rsidRPr="00417BE5">
        <w:rPr>
          <w:rFonts w:eastAsia="Times New Roman" w:cs="Times New Roman"/>
          <w:szCs w:val="24"/>
          <w:lang w:eastAsia="en-IN"/>
        </w:rPr>
        <w:t xml:space="preserve"> who observed similar yield enhancements under protected hydroponic cultivation.</w:t>
      </w:r>
    </w:p>
    <w:p w14:paraId="542AF7D9"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Economically, hydroponics yielded a net return of ₹2.31 million/ha in Year 2, compared to ₹0.365–0.463 million/ha under conventional systems. The substantial difference in net income is attributed not only to higher yields but also to reduced recurring costs—especially for </w:t>
      </w:r>
      <w:proofErr w:type="spellStart"/>
      <w:r w:rsidRPr="00417BE5">
        <w:rPr>
          <w:rFonts w:eastAsia="Times New Roman" w:cs="Times New Roman"/>
          <w:szCs w:val="24"/>
          <w:lang w:eastAsia="en-IN"/>
        </w:rPr>
        <w:t>labor</w:t>
      </w:r>
      <w:proofErr w:type="spellEnd"/>
      <w:r w:rsidRPr="00417BE5">
        <w:rPr>
          <w:rFonts w:eastAsia="Times New Roman" w:cs="Times New Roman"/>
          <w:szCs w:val="24"/>
          <w:lang w:eastAsia="en-IN"/>
        </w:rPr>
        <w:t xml:space="preserve">, fertilizers, and irrigation. </w:t>
      </w:r>
      <w:r w:rsidRPr="00417BE5">
        <w:rPr>
          <w:rFonts w:eastAsia="Times New Roman" w:cs="Times New Roman"/>
          <w:b/>
          <w:szCs w:val="24"/>
          <w:lang w:eastAsia="en-IN"/>
        </w:rPr>
        <w:t xml:space="preserve">Salas </w:t>
      </w:r>
      <w:r w:rsidRPr="00417BE5">
        <w:rPr>
          <w:rFonts w:eastAsia="Times New Roman" w:cs="Times New Roman"/>
          <w:b/>
          <w:i/>
          <w:szCs w:val="24"/>
          <w:lang w:eastAsia="en-IN"/>
        </w:rPr>
        <w:t>et al</w:t>
      </w:r>
      <w:r w:rsidRPr="00417BE5">
        <w:rPr>
          <w:rFonts w:eastAsia="Times New Roman" w:cs="Times New Roman"/>
          <w:b/>
          <w:szCs w:val="24"/>
          <w:lang w:eastAsia="en-IN"/>
        </w:rPr>
        <w:t>. (2020</w:t>
      </w:r>
      <w:r w:rsidRPr="00417BE5">
        <w:rPr>
          <w:rFonts w:eastAsia="Times New Roman" w:cs="Times New Roman"/>
          <w:szCs w:val="24"/>
          <w:lang w:eastAsia="en-IN"/>
        </w:rPr>
        <w:t>) similarly reported an 80–90% cost reduction beyond the first year in hydroponic lettuce systems, validating the sustainability of soilless agriculture in arid regions.</w:t>
      </w:r>
    </w:p>
    <w:p w14:paraId="0F732284"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 xml:space="preserve">The most striking economic indicator was the benefit–cost ratio (B:C), which rose from 1.84–2.12 in soil-based systems to 3.74 in Hydroponic Year 1 and surged to 26.67 in Year 2. This rapid escalation mirrors observations by </w:t>
      </w:r>
      <w:r w:rsidRPr="00417BE5">
        <w:rPr>
          <w:rFonts w:eastAsia="Times New Roman" w:cs="Times New Roman"/>
          <w:b/>
          <w:szCs w:val="24"/>
          <w:lang w:eastAsia="en-IN"/>
        </w:rPr>
        <w:t>Nardi et al. (2022</w:t>
      </w:r>
      <w:r w:rsidRPr="00417BE5">
        <w:rPr>
          <w:rFonts w:eastAsia="Times New Roman" w:cs="Times New Roman"/>
          <w:szCs w:val="24"/>
          <w:lang w:eastAsia="en-IN"/>
        </w:rPr>
        <w:t>), who reported high B:C ratios (&gt;4.0) in pharmaceutical-grade hydroponic saffron. The hydroponic system in our study achieved complete cost recovery within one year—a key milestone for agribusiness models targeting short investment cycles.</w:t>
      </w:r>
    </w:p>
    <w:p w14:paraId="4EFFDDE5"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lastRenderedPageBreak/>
        <w:t xml:space="preserve">The PCA findings corroborate these trends: PC1 positively loaded on profitability indicators (yield, B:C, net income) and negatively on input costs, highlighting a clear shift in economic profile from conventional to hydroponic systems. Similar PCA-based treatment separation was reported by </w:t>
      </w:r>
      <w:r w:rsidRPr="00417BE5">
        <w:rPr>
          <w:rFonts w:eastAsia="Times New Roman" w:cs="Times New Roman"/>
          <w:b/>
          <w:szCs w:val="24"/>
          <w:lang w:eastAsia="en-IN"/>
        </w:rPr>
        <w:t xml:space="preserve">Sambo </w:t>
      </w:r>
      <w:r w:rsidRPr="00417BE5">
        <w:rPr>
          <w:rFonts w:eastAsia="Times New Roman" w:cs="Times New Roman"/>
          <w:b/>
          <w:i/>
          <w:szCs w:val="24"/>
          <w:lang w:eastAsia="en-IN"/>
        </w:rPr>
        <w:t>et al.</w:t>
      </w:r>
      <w:r w:rsidRPr="00417BE5">
        <w:rPr>
          <w:rFonts w:eastAsia="Times New Roman" w:cs="Times New Roman"/>
          <w:b/>
          <w:szCs w:val="24"/>
          <w:lang w:eastAsia="en-IN"/>
        </w:rPr>
        <w:t xml:space="preserve"> (2019) and Maiti &amp; Saha (2020)</w:t>
      </w:r>
      <w:r w:rsidRPr="00417BE5">
        <w:rPr>
          <w:rFonts w:eastAsia="Times New Roman" w:cs="Times New Roman"/>
          <w:szCs w:val="24"/>
          <w:lang w:eastAsia="en-IN"/>
        </w:rPr>
        <w:t xml:space="preserve"> in soilless horticultural evaluations, indicating robust pattern recognition across diverse crops.</w:t>
      </w:r>
    </w:p>
    <w:p w14:paraId="48F08005"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Sensitivity analysis reinforced the robustness of hydroponics: profitability scaled linearly with yield, suggesting resilience against environmental or operational fluctuations. Even at lower yields (3,000 g/ha), hydroponic Year 2 systems outperformed the best-case conventional scenario.</w:t>
      </w:r>
    </w:p>
    <w:p w14:paraId="4D6C13E3" w14:textId="77777777" w:rsidR="00936C64" w:rsidRPr="00417BE5" w:rsidRDefault="00936C64" w:rsidP="00537D2D">
      <w:pPr>
        <w:spacing w:after="0"/>
        <w:jc w:val="both"/>
        <w:rPr>
          <w:rFonts w:eastAsia="Times New Roman" w:cs="Times New Roman"/>
          <w:szCs w:val="24"/>
          <w:lang w:eastAsia="en-IN"/>
        </w:rPr>
      </w:pPr>
      <w:r w:rsidRPr="00417BE5">
        <w:rPr>
          <w:rFonts w:eastAsia="Times New Roman" w:cs="Times New Roman"/>
          <w:szCs w:val="24"/>
          <w:lang w:eastAsia="en-IN"/>
        </w:rPr>
        <w:t>Overall, these results suggest that hydroponic saffron cultivation is not only technically feasible but economically superior. It enables climate-resilient, resource-efficient, and high-return farming that could revitalize saffron cultivation across non-traditional zones like Jammu, especially when supported by targeted policies and infrastructure investment.</w:t>
      </w:r>
    </w:p>
    <w:p w14:paraId="4643BDA9" w14:textId="77777777" w:rsidR="00936C64" w:rsidRPr="0090071F" w:rsidRDefault="00936C64" w:rsidP="00537D2D">
      <w:pPr>
        <w:spacing w:after="0"/>
        <w:jc w:val="both"/>
        <w:rPr>
          <w:rFonts w:eastAsia="Times New Roman" w:cs="Times New Roman"/>
          <w:b/>
          <w:bCs/>
          <w:szCs w:val="24"/>
          <w:highlight w:val="yellow"/>
          <w:lang w:eastAsia="en-IN"/>
        </w:rPr>
      </w:pPr>
      <w:r w:rsidRPr="0090071F">
        <w:rPr>
          <w:rFonts w:eastAsia="Times New Roman" w:cs="Times New Roman"/>
          <w:b/>
          <w:bCs/>
          <w:szCs w:val="24"/>
          <w:highlight w:val="yellow"/>
          <w:lang w:eastAsia="en-IN"/>
        </w:rPr>
        <w:t>5. Conclusions &amp; Recommendations</w:t>
      </w:r>
    </w:p>
    <w:p w14:paraId="15E90C48" w14:textId="77777777" w:rsidR="001C5B0D" w:rsidRPr="0090071F" w:rsidRDefault="001C5B0D" w:rsidP="001C5B0D">
      <w:pPr>
        <w:pStyle w:val="NormalWeb"/>
        <w:spacing w:before="0" w:beforeAutospacing="0" w:after="0" w:afterAutospacing="0" w:line="360" w:lineRule="auto"/>
        <w:jc w:val="both"/>
        <w:rPr>
          <w:highlight w:val="yellow"/>
        </w:rPr>
      </w:pPr>
      <w:r w:rsidRPr="0090071F">
        <w:rPr>
          <w:highlight w:val="yellow"/>
        </w:rPr>
        <w:t>Hydroponic saffron in Jammu &amp; Kashmir delivered dramatically higher yields (up to 6000 g·ha⁻¹), a Year 2 benefit–cost ratio of 26.7, and full capital payback within one cycle even under reduced‐yield scenarios.</w:t>
      </w:r>
    </w:p>
    <w:p w14:paraId="2888E074" w14:textId="77777777" w:rsidR="001C5B0D" w:rsidRPr="0090071F" w:rsidRDefault="001C5B0D" w:rsidP="001C5B0D">
      <w:pPr>
        <w:pStyle w:val="NormalWeb"/>
        <w:spacing w:before="0" w:beforeAutospacing="0" w:after="0" w:afterAutospacing="0" w:line="360" w:lineRule="auto"/>
        <w:jc w:val="both"/>
        <w:rPr>
          <w:highlight w:val="yellow"/>
        </w:rPr>
      </w:pPr>
      <w:r w:rsidRPr="0090071F">
        <w:rPr>
          <w:rStyle w:val="Strong"/>
          <w:highlight w:val="yellow"/>
        </w:rPr>
        <w:t>Key recommendations:</w:t>
      </w:r>
    </w:p>
    <w:p w14:paraId="261781C2" w14:textId="77777777" w:rsidR="001C5B0D" w:rsidRPr="0090071F" w:rsidRDefault="001C5B0D" w:rsidP="001C5B0D">
      <w:pPr>
        <w:pStyle w:val="NormalWeb"/>
        <w:numPr>
          <w:ilvl w:val="0"/>
          <w:numId w:val="22"/>
        </w:numPr>
        <w:spacing w:before="0" w:beforeAutospacing="0" w:after="0" w:afterAutospacing="0" w:line="360" w:lineRule="auto"/>
        <w:jc w:val="both"/>
        <w:rPr>
          <w:highlight w:val="yellow"/>
        </w:rPr>
      </w:pPr>
      <w:r w:rsidRPr="0090071F">
        <w:rPr>
          <w:rStyle w:val="Strong"/>
          <w:b w:val="0"/>
          <w:highlight w:val="yellow"/>
        </w:rPr>
        <w:t>Invest in infrastructure</w:t>
      </w:r>
      <w:r w:rsidRPr="0090071F">
        <w:rPr>
          <w:highlight w:val="yellow"/>
        </w:rPr>
        <w:t xml:space="preserve"> (greenhouses, nutrient‐film systems) through targeted subsidies or low-interest credit.</w:t>
      </w:r>
    </w:p>
    <w:p w14:paraId="6ED9AB1E" w14:textId="77777777" w:rsidR="001C5B0D" w:rsidRPr="0090071F" w:rsidRDefault="001C5B0D" w:rsidP="001C5B0D">
      <w:pPr>
        <w:pStyle w:val="NormalWeb"/>
        <w:numPr>
          <w:ilvl w:val="0"/>
          <w:numId w:val="22"/>
        </w:numPr>
        <w:spacing w:before="0" w:beforeAutospacing="0" w:after="0" w:afterAutospacing="0" w:line="360" w:lineRule="auto"/>
        <w:jc w:val="both"/>
        <w:rPr>
          <w:highlight w:val="yellow"/>
        </w:rPr>
      </w:pPr>
      <w:r w:rsidRPr="0090071F">
        <w:rPr>
          <w:rStyle w:val="Strong"/>
          <w:b w:val="0"/>
          <w:highlight w:val="yellow"/>
        </w:rPr>
        <w:t>Train growers</w:t>
      </w:r>
      <w:r w:rsidRPr="0090071F">
        <w:rPr>
          <w:highlight w:val="yellow"/>
        </w:rPr>
        <w:t xml:space="preserve"> in hydroponic best practices, quality control, and crop management.</w:t>
      </w:r>
    </w:p>
    <w:p w14:paraId="77EF0BA3" w14:textId="6726BAF2" w:rsidR="0055113E" w:rsidRPr="0090071F" w:rsidRDefault="001C5B0D" w:rsidP="001C5B0D">
      <w:pPr>
        <w:pStyle w:val="NormalWeb"/>
        <w:numPr>
          <w:ilvl w:val="0"/>
          <w:numId w:val="22"/>
        </w:numPr>
        <w:spacing w:before="0" w:beforeAutospacing="0" w:after="0" w:afterAutospacing="0" w:line="360" w:lineRule="auto"/>
        <w:jc w:val="both"/>
        <w:rPr>
          <w:highlight w:val="yellow"/>
        </w:rPr>
      </w:pPr>
      <w:r w:rsidRPr="0090071F">
        <w:rPr>
          <w:rStyle w:val="Strong"/>
          <w:b w:val="0"/>
          <w:highlight w:val="yellow"/>
        </w:rPr>
        <w:t>Integrate into policy</w:t>
      </w:r>
      <w:r w:rsidRPr="0090071F">
        <w:rPr>
          <w:highlight w:val="yellow"/>
        </w:rPr>
        <w:t xml:space="preserve"> by including hydroponic saffron in national </w:t>
      </w:r>
      <w:proofErr w:type="spellStart"/>
      <w:r w:rsidRPr="0090071F">
        <w:rPr>
          <w:highlight w:val="yellow"/>
        </w:rPr>
        <w:t>agri</w:t>
      </w:r>
      <w:proofErr w:type="spellEnd"/>
      <w:r w:rsidRPr="0090071F">
        <w:rPr>
          <w:highlight w:val="yellow"/>
        </w:rPr>
        <w:t>-entrepreneurship and climate-resilience programs.</w:t>
      </w:r>
    </w:p>
    <w:p w14:paraId="1DB52664" w14:textId="77777777" w:rsidR="001C5B0D" w:rsidRPr="00417BE5" w:rsidRDefault="001C5B0D" w:rsidP="001C5B0D">
      <w:pPr>
        <w:spacing w:line="360" w:lineRule="auto"/>
        <w:rPr>
          <w:rFonts w:eastAsia="Times New Roman" w:cs="Times New Roman"/>
          <w:szCs w:val="24"/>
          <w:lang w:eastAsia="en-IN"/>
        </w:rPr>
      </w:pPr>
      <w:bookmarkStart w:id="1" w:name="_Hlk190852809"/>
    </w:p>
    <w:p w14:paraId="5B5C5520" w14:textId="77777777" w:rsidR="001C31CF" w:rsidRPr="00417BE5" w:rsidRDefault="001C31CF" w:rsidP="0055113E"/>
    <w:p w14:paraId="003A8BB7" w14:textId="77777777" w:rsidR="001C31CF" w:rsidRPr="00417BE5" w:rsidRDefault="001C31CF" w:rsidP="0055113E"/>
    <w:p w14:paraId="610E8BD9" w14:textId="77777777" w:rsidR="001C31CF" w:rsidRPr="00417BE5" w:rsidRDefault="001C31CF" w:rsidP="0055113E"/>
    <w:p w14:paraId="0617EFA9" w14:textId="77777777" w:rsidR="001C31CF" w:rsidRPr="00417BE5" w:rsidRDefault="001C31CF" w:rsidP="0055113E"/>
    <w:p w14:paraId="732DCFE1" w14:textId="77777777" w:rsidR="0055113E" w:rsidRPr="0090071F" w:rsidRDefault="0055113E" w:rsidP="0055113E">
      <w:pPr>
        <w:rPr>
          <w:sz w:val="22"/>
          <w:highlight w:val="yellow"/>
        </w:rPr>
      </w:pPr>
      <w:r w:rsidRPr="0090071F">
        <w:rPr>
          <w:highlight w:val="yellow"/>
        </w:rPr>
        <w:lastRenderedPageBreak/>
        <w:t>Disclaimer (Artificial intelligence)</w:t>
      </w:r>
    </w:p>
    <w:p w14:paraId="7C7FAA05" w14:textId="77777777" w:rsidR="0055113E" w:rsidRPr="0090071F" w:rsidRDefault="0055113E" w:rsidP="0055113E">
      <w:pPr>
        <w:rPr>
          <w:highlight w:val="yellow"/>
        </w:rPr>
      </w:pPr>
      <w:r w:rsidRPr="0090071F">
        <w:rPr>
          <w:highlight w:val="yellow"/>
        </w:rPr>
        <w:t>Details of the AI usage are given below:</w:t>
      </w:r>
    </w:p>
    <w:p w14:paraId="26BEA61E" w14:textId="485F9E46" w:rsidR="0055113E" w:rsidRPr="00417BE5" w:rsidRDefault="0055113E" w:rsidP="0055113E">
      <w:r w:rsidRPr="0090071F">
        <w:rPr>
          <w:highlight w:val="yellow"/>
        </w:rPr>
        <w:t>1.</w:t>
      </w:r>
      <w:r w:rsidR="001C31CF" w:rsidRPr="0090071F">
        <w:rPr>
          <w:highlight w:val="yellow"/>
        </w:rPr>
        <w:t xml:space="preserve"> Text-to-image generators AI is used to make a graphical abstract</w:t>
      </w:r>
      <w:bookmarkEnd w:id="1"/>
    </w:p>
    <w:p w14:paraId="16FA201F" w14:textId="77777777" w:rsidR="0055113E" w:rsidRPr="00417BE5" w:rsidRDefault="0055113E" w:rsidP="00537D2D">
      <w:pPr>
        <w:spacing w:after="0"/>
        <w:jc w:val="both"/>
        <w:rPr>
          <w:rFonts w:eastAsia="Times New Roman" w:cs="Times New Roman"/>
          <w:szCs w:val="24"/>
          <w:lang w:eastAsia="en-IN"/>
        </w:rPr>
      </w:pPr>
    </w:p>
    <w:p w14:paraId="3EB4F5BE" w14:textId="77777777" w:rsidR="000243B9" w:rsidRPr="00417BE5" w:rsidRDefault="000243B9" w:rsidP="00537D2D">
      <w:pPr>
        <w:rPr>
          <w:b/>
        </w:rPr>
      </w:pPr>
    </w:p>
    <w:p w14:paraId="3F443DC2" w14:textId="77777777" w:rsidR="00B2311E" w:rsidRPr="00417BE5" w:rsidRDefault="00B2311E" w:rsidP="00537D2D">
      <w:pPr>
        <w:rPr>
          <w:b/>
        </w:rPr>
      </w:pPr>
      <w:r w:rsidRPr="00417BE5">
        <w:rPr>
          <w:b/>
        </w:rPr>
        <w:t>REFERENCES</w:t>
      </w:r>
    </w:p>
    <w:p w14:paraId="38021D1C" w14:textId="4F41B661" w:rsidR="00B2311E" w:rsidRPr="00417BE5" w:rsidRDefault="00B2311E" w:rsidP="00537D2D">
      <w:pPr>
        <w:jc w:val="both"/>
      </w:pPr>
      <w:r w:rsidRPr="00417BE5">
        <w:t xml:space="preserve">[1] </w:t>
      </w:r>
      <w:proofErr w:type="spellStart"/>
      <w:r w:rsidR="002416F7" w:rsidRPr="00873A21">
        <w:rPr>
          <w:rStyle w:val="Strong"/>
          <w:b w:val="0"/>
          <w:highlight w:val="yellow"/>
        </w:rPr>
        <w:t>Ghorbani</w:t>
      </w:r>
      <w:proofErr w:type="spellEnd"/>
      <w:r w:rsidR="002416F7" w:rsidRPr="00873A21">
        <w:rPr>
          <w:rStyle w:val="Strong"/>
          <w:b w:val="0"/>
          <w:highlight w:val="yellow"/>
        </w:rPr>
        <w:t xml:space="preserve"> M</w:t>
      </w:r>
      <w:r w:rsidR="002416F7" w:rsidRPr="00873A21">
        <w:rPr>
          <w:highlight w:val="yellow"/>
        </w:rPr>
        <w:t xml:space="preserve">. The economics of saffron in Iran. </w:t>
      </w:r>
      <w:r w:rsidR="002416F7" w:rsidRPr="00873A21">
        <w:rPr>
          <w:rStyle w:val="Emphasis"/>
          <w:highlight w:val="yellow"/>
        </w:rPr>
        <w:t xml:space="preserve">Acta </w:t>
      </w:r>
      <w:proofErr w:type="spellStart"/>
      <w:r w:rsidR="002416F7" w:rsidRPr="00873A21">
        <w:rPr>
          <w:rStyle w:val="Emphasis"/>
          <w:highlight w:val="yellow"/>
        </w:rPr>
        <w:t>Horticulturae</w:t>
      </w:r>
      <w:proofErr w:type="spellEnd"/>
      <w:r w:rsidR="00AA1028" w:rsidRPr="00873A21">
        <w:rPr>
          <w:highlight w:val="yellow"/>
        </w:rPr>
        <w:t>. 2007;</w:t>
      </w:r>
      <w:r w:rsidR="002416F7" w:rsidRPr="00873A21">
        <w:rPr>
          <w:highlight w:val="yellow"/>
        </w:rPr>
        <w:t xml:space="preserve"> </w:t>
      </w:r>
      <w:r w:rsidR="002416F7" w:rsidRPr="00873A21">
        <w:rPr>
          <w:rStyle w:val="Strong"/>
          <w:highlight w:val="yellow"/>
        </w:rPr>
        <w:t>739</w:t>
      </w:r>
      <w:r w:rsidR="00AA1028" w:rsidRPr="00873A21">
        <w:rPr>
          <w:highlight w:val="yellow"/>
        </w:rPr>
        <w:t xml:space="preserve">, </w:t>
      </w:r>
      <w:r w:rsidR="002416F7" w:rsidRPr="00873A21">
        <w:rPr>
          <w:highlight w:val="yellow"/>
        </w:rPr>
        <w:t>321–331</w:t>
      </w:r>
      <w:r w:rsidR="00AA1028" w:rsidRPr="00873A21">
        <w:rPr>
          <w:highlight w:val="yellow"/>
        </w:rPr>
        <w:t xml:space="preserve"> </w:t>
      </w:r>
    </w:p>
    <w:p w14:paraId="442388A6" w14:textId="77777777" w:rsidR="00B2311E" w:rsidRPr="00417BE5" w:rsidRDefault="00B2311E" w:rsidP="00537D2D">
      <w:pPr>
        <w:jc w:val="both"/>
      </w:pPr>
      <w:r w:rsidRPr="00417BE5">
        <w:t xml:space="preserve">[2] Kour K, Gupta D, Gupta K, Dhiman G, </w:t>
      </w:r>
      <w:proofErr w:type="spellStart"/>
      <w:r w:rsidRPr="00417BE5">
        <w:t>Juneja</w:t>
      </w:r>
      <w:proofErr w:type="spellEnd"/>
      <w:r w:rsidRPr="00417BE5">
        <w:t xml:space="preserve"> S, </w:t>
      </w:r>
      <w:proofErr w:type="spellStart"/>
      <w:r w:rsidRPr="00417BE5">
        <w:t>Viriyasitavat</w:t>
      </w:r>
      <w:proofErr w:type="spellEnd"/>
      <w:r w:rsidRPr="00417BE5">
        <w:t xml:space="preserve"> W, </w:t>
      </w:r>
      <w:proofErr w:type="spellStart"/>
      <w:r w:rsidRPr="00417BE5">
        <w:t>Mohafez</w:t>
      </w:r>
      <w:proofErr w:type="spellEnd"/>
      <w:r w:rsidRPr="00417BE5">
        <w:t xml:space="preserve"> H, Islam MA. Smart-Hydroponic-Based Framework for Saffron Cultivation: A Precision Smart Agriculture Perspective. Sustainability. 2022;14(3):1120. </w:t>
      </w:r>
    </w:p>
    <w:p w14:paraId="223E1B1A" w14:textId="26FE89EC" w:rsidR="00B2311E" w:rsidRPr="00417BE5" w:rsidRDefault="00B2311E" w:rsidP="00537D2D">
      <w:pPr>
        <w:jc w:val="both"/>
      </w:pPr>
      <w:r w:rsidRPr="00417BE5">
        <w:t xml:space="preserve">[3] Sambo P, Nicoletto C, Giro A, </w:t>
      </w:r>
      <w:proofErr w:type="spellStart"/>
      <w:r w:rsidRPr="00417BE5">
        <w:t>Pii</w:t>
      </w:r>
      <w:proofErr w:type="spellEnd"/>
      <w:r w:rsidRPr="00417BE5">
        <w:t xml:space="preserve"> Y, </w:t>
      </w:r>
      <w:proofErr w:type="spellStart"/>
      <w:r w:rsidRPr="00417BE5">
        <w:t>Valentinuzzi</w:t>
      </w:r>
      <w:proofErr w:type="spellEnd"/>
      <w:r w:rsidRPr="00417BE5">
        <w:t xml:space="preserve"> F, Mimmo T, Cesco S. Hydroponic Solutions for Soilless Production Systems: Issues and Opportunities in a Smart Agriculture Perspective. Front Plant Sci. 2019;</w:t>
      </w:r>
      <w:r w:rsidR="0090071F">
        <w:t xml:space="preserve"> </w:t>
      </w:r>
      <w:r w:rsidRPr="00417BE5">
        <w:t xml:space="preserve">10:923. </w:t>
      </w:r>
    </w:p>
    <w:p w14:paraId="43A28345" w14:textId="77777777" w:rsidR="00537D2D" w:rsidRPr="00417BE5" w:rsidRDefault="00B2311E" w:rsidP="00537D2D">
      <w:pPr>
        <w:jc w:val="both"/>
      </w:pPr>
      <w:r w:rsidRPr="00417BE5">
        <w:t xml:space="preserve">[4] Nardi S, Raimondi G, Martino A, De Pascale S. Farming for Pharming: Novel Hydroponic Process in Contained Environment for Efficient Pharma-Grade Production of Saffron. Molecules. 2022;27(24):8972. </w:t>
      </w:r>
    </w:p>
    <w:p w14:paraId="4C92CB34" w14:textId="77777777" w:rsidR="00B2311E" w:rsidRPr="00417BE5" w:rsidRDefault="000243B9" w:rsidP="00537D2D">
      <w:pPr>
        <w:jc w:val="both"/>
      </w:pPr>
      <w:r w:rsidRPr="00417BE5">
        <w:t xml:space="preserve"> </w:t>
      </w:r>
      <w:r w:rsidR="00537D2D" w:rsidRPr="00417BE5">
        <w:t>[5</w:t>
      </w:r>
      <w:r w:rsidR="00B2311E" w:rsidRPr="00417BE5">
        <w:t>] Resh HM. Hydroponic Food Production: A Definitive Guidebook for the Advanced Home Gardener and the Commercial Hydroponic Grower. 7th ed. CRC Press; 2012.</w:t>
      </w:r>
    </w:p>
    <w:p w14:paraId="368A5B43" w14:textId="77777777" w:rsidR="00B2311E" w:rsidRPr="00417BE5" w:rsidRDefault="00537D2D" w:rsidP="00537D2D">
      <w:pPr>
        <w:jc w:val="both"/>
      </w:pPr>
      <w:r w:rsidRPr="00417BE5">
        <w:t>[6</w:t>
      </w:r>
      <w:r w:rsidR="00B2311E" w:rsidRPr="00417BE5">
        <w:t>] United Nations. Transforming our World: The 2030 Agenda for Sustainable Development. United Nations; 2015.</w:t>
      </w:r>
    </w:p>
    <w:p w14:paraId="74DBFD37" w14:textId="3CA68977" w:rsidR="00B2311E" w:rsidRPr="00417BE5" w:rsidRDefault="00537D2D" w:rsidP="00537D2D">
      <w:pPr>
        <w:jc w:val="both"/>
      </w:pPr>
      <w:r w:rsidRPr="00417BE5">
        <w:t>[7</w:t>
      </w:r>
      <w:r w:rsidR="00B2311E" w:rsidRPr="00873A21">
        <w:rPr>
          <w:highlight w:val="yellow"/>
        </w:rPr>
        <w:t xml:space="preserve">] </w:t>
      </w:r>
      <w:proofErr w:type="spellStart"/>
      <w:r w:rsidR="00F11C0B" w:rsidRPr="00873A21">
        <w:rPr>
          <w:rStyle w:val="Strong"/>
          <w:b w:val="0"/>
          <w:highlight w:val="yellow"/>
        </w:rPr>
        <w:t>Xie</w:t>
      </w:r>
      <w:proofErr w:type="spellEnd"/>
      <w:r w:rsidR="00F11C0B" w:rsidRPr="00873A21">
        <w:rPr>
          <w:rStyle w:val="Strong"/>
          <w:b w:val="0"/>
          <w:highlight w:val="yellow"/>
        </w:rPr>
        <w:t xml:space="preserve"> J, Liu </w:t>
      </w:r>
      <w:proofErr w:type="gramStart"/>
      <w:r w:rsidR="00F11C0B" w:rsidRPr="00873A21">
        <w:rPr>
          <w:rStyle w:val="Strong"/>
          <w:b w:val="0"/>
          <w:highlight w:val="yellow"/>
        </w:rPr>
        <w:t xml:space="preserve">Y, </w:t>
      </w:r>
      <w:r w:rsidR="00F77328" w:rsidRPr="00873A21">
        <w:rPr>
          <w:rStyle w:val="Strong"/>
          <w:b w:val="0"/>
          <w:highlight w:val="yellow"/>
        </w:rPr>
        <w:t xml:space="preserve"> Zhang</w:t>
      </w:r>
      <w:proofErr w:type="gramEnd"/>
      <w:r w:rsidR="00F77328" w:rsidRPr="00873A21">
        <w:rPr>
          <w:rStyle w:val="Strong"/>
          <w:b w:val="0"/>
          <w:highlight w:val="yellow"/>
        </w:rPr>
        <w:t>, H.</w:t>
      </w:r>
      <w:r w:rsidR="00F77328" w:rsidRPr="00873A21">
        <w:rPr>
          <w:highlight w:val="yellow"/>
        </w:rPr>
        <w:t xml:space="preserve"> (2024). Improvement in Productivity and Quality of Soilless Saffron Crops by Optimizing Potassium Concentration. </w:t>
      </w:r>
      <w:r w:rsidR="00F77328" w:rsidRPr="00873A21">
        <w:rPr>
          <w:rStyle w:val="Emphasis"/>
          <w:highlight w:val="yellow"/>
        </w:rPr>
        <w:t>Crops</w:t>
      </w:r>
      <w:r w:rsidR="00F77328" w:rsidRPr="00873A21">
        <w:rPr>
          <w:highlight w:val="yellow"/>
        </w:rPr>
        <w:t xml:space="preserve">, </w:t>
      </w:r>
      <w:r w:rsidR="00F77328" w:rsidRPr="00873A21">
        <w:rPr>
          <w:rStyle w:val="Strong"/>
          <w:highlight w:val="yellow"/>
        </w:rPr>
        <w:t>6</w:t>
      </w:r>
      <w:r w:rsidR="00F77328" w:rsidRPr="00873A21">
        <w:rPr>
          <w:highlight w:val="yellow"/>
        </w:rPr>
        <w:t>(2), 94.</w:t>
      </w:r>
      <w:r w:rsidR="00F77328" w:rsidRPr="00417BE5">
        <w:t xml:space="preserve"> </w:t>
      </w:r>
    </w:p>
    <w:p w14:paraId="368E2C0E" w14:textId="77777777" w:rsidR="00B2311E" w:rsidRPr="00417BE5" w:rsidRDefault="00537D2D" w:rsidP="00537D2D">
      <w:pPr>
        <w:jc w:val="both"/>
      </w:pPr>
      <w:r w:rsidRPr="00417BE5">
        <w:lastRenderedPageBreak/>
        <w:t>[8</w:t>
      </w:r>
      <w:r w:rsidR="00B2311E" w:rsidRPr="00417BE5">
        <w:t>] Gittinger JP. Economic Analysis of Agricultural Projects. 2nd ed. Johns Hopkins University Press; 1982. p. 505.</w:t>
      </w:r>
    </w:p>
    <w:p w14:paraId="073CDF58" w14:textId="77777777" w:rsidR="00B2311E" w:rsidRPr="00417BE5" w:rsidRDefault="00537D2D" w:rsidP="00537D2D">
      <w:pPr>
        <w:jc w:val="both"/>
      </w:pPr>
      <w:r w:rsidRPr="00417BE5">
        <w:t>[9</w:t>
      </w:r>
      <w:r w:rsidR="00B2311E" w:rsidRPr="00417BE5">
        <w:t>] Samui SK, Maitra S, Roy DK, Mandal AK, Saha D. Evaluation of Front Line Demonstration on Groundnut. J Indian Soc Coast Agric Res. 2000;18(2):180–183.</w:t>
      </w:r>
    </w:p>
    <w:p w14:paraId="78794C90" w14:textId="77777777" w:rsidR="00883A65" w:rsidRPr="00417BE5" w:rsidRDefault="0079246D" w:rsidP="00537D2D">
      <w:pPr>
        <w:jc w:val="both"/>
      </w:pPr>
      <w:r w:rsidRPr="00417BE5">
        <w:t xml:space="preserve"> [10</w:t>
      </w:r>
      <w:r w:rsidR="00B2311E" w:rsidRPr="00417BE5">
        <w:t xml:space="preserve">] </w:t>
      </w:r>
      <w:proofErr w:type="spellStart"/>
      <w:r w:rsidR="00B2311E" w:rsidRPr="00417BE5">
        <w:t>Johl</w:t>
      </w:r>
      <w:proofErr w:type="spellEnd"/>
      <w:r w:rsidR="00B2311E" w:rsidRPr="00417BE5">
        <w:t xml:space="preserve"> SS, Kapoor TR. Fundamentals of Farm Business Management. Kalyan</w:t>
      </w:r>
      <w:r w:rsidR="00883A65" w:rsidRPr="00417BE5">
        <w:t>i Publishers; 2012. p. 123–145.</w:t>
      </w:r>
    </w:p>
    <w:p w14:paraId="36A5BC70" w14:textId="10EDA7A8" w:rsidR="00B2311E" w:rsidRPr="00417BE5" w:rsidRDefault="00883A65" w:rsidP="00537D2D">
      <w:pPr>
        <w:jc w:val="both"/>
      </w:pPr>
      <w:r w:rsidRPr="00417BE5">
        <w:t xml:space="preserve"> [11</w:t>
      </w:r>
      <w:r w:rsidR="00B2311E" w:rsidRPr="00417BE5">
        <w:t xml:space="preserve">] Abdi H, Williams LJ. Principal component analysis. Wiley </w:t>
      </w:r>
      <w:proofErr w:type="spellStart"/>
      <w:r w:rsidR="00B2311E" w:rsidRPr="00417BE5">
        <w:t>Interdiscip</w:t>
      </w:r>
      <w:proofErr w:type="spellEnd"/>
      <w:r w:rsidR="00B2311E" w:rsidRPr="00417BE5">
        <w:t xml:space="preserve"> Rev </w:t>
      </w:r>
      <w:proofErr w:type="spellStart"/>
      <w:r w:rsidR="00B2311E" w:rsidRPr="00417BE5">
        <w:t>Comput</w:t>
      </w:r>
      <w:proofErr w:type="spellEnd"/>
      <w:r w:rsidR="00B2311E" w:rsidRPr="00417BE5">
        <w:t xml:space="preserve"> Stat. 2010;2(4):433–459. </w:t>
      </w:r>
    </w:p>
    <w:p w14:paraId="6D7753AA" w14:textId="73C49E88" w:rsidR="00D260B3" w:rsidRPr="00417BE5" w:rsidRDefault="00D260B3" w:rsidP="00D260B3">
      <w:pPr>
        <w:jc w:val="center"/>
        <w:rPr>
          <w:rFonts w:cs="Times New Roman"/>
          <w:szCs w:val="24"/>
        </w:rPr>
      </w:pPr>
      <w:r w:rsidRPr="00417BE5">
        <w:rPr>
          <w:rFonts w:cs="Times New Roman"/>
          <w:szCs w:val="24"/>
        </w:rPr>
        <w:t>Figures</w:t>
      </w:r>
    </w:p>
    <w:p w14:paraId="15D1981F" w14:textId="77777777" w:rsidR="00D260B3" w:rsidRPr="00417BE5" w:rsidRDefault="00D260B3" w:rsidP="00D260B3">
      <w:pPr>
        <w:spacing w:line="259" w:lineRule="auto"/>
        <w:rPr>
          <w:rFonts w:asciiTheme="minorHAnsi" w:hAnsiTheme="minorHAnsi"/>
          <w:sz w:val="22"/>
        </w:rPr>
      </w:pPr>
      <w:r w:rsidRPr="00417BE5">
        <w:rPr>
          <w:rFonts w:asciiTheme="minorHAnsi" w:hAnsiTheme="minorHAnsi"/>
          <w:noProof/>
          <w:sz w:val="22"/>
          <w:lang w:eastAsia="en-IN"/>
        </w:rPr>
        <w:drawing>
          <wp:inline distT="0" distB="0" distL="0" distR="0" wp14:anchorId="06F587F6" wp14:editId="146D9541">
            <wp:extent cx="5731510" cy="37884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 (1).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inline>
        </w:drawing>
      </w:r>
    </w:p>
    <w:p w14:paraId="24C59E60" w14:textId="77777777" w:rsidR="00D260B3" w:rsidRPr="00417BE5" w:rsidRDefault="00D260B3" w:rsidP="00D260B3">
      <w:pPr>
        <w:spacing w:line="259" w:lineRule="auto"/>
        <w:rPr>
          <w:rFonts w:cs="Times New Roman"/>
          <w:b/>
          <w:szCs w:val="24"/>
        </w:rPr>
      </w:pPr>
      <w:r w:rsidRPr="00417BE5">
        <w:rPr>
          <w:rFonts w:cs="Times New Roman"/>
          <w:b/>
          <w:szCs w:val="24"/>
        </w:rPr>
        <w:t>Fig. 1 a: Comparison of Saffron Stigma Yield (g ha⁻¹) under Conventional (Kashmir &amp; Kishtwar) and Hydroponic (Jammu) Cultivation Systems</w:t>
      </w:r>
    </w:p>
    <w:p w14:paraId="4C599CCB" w14:textId="77777777" w:rsidR="00D260B3" w:rsidRPr="00417BE5" w:rsidRDefault="00D260B3" w:rsidP="00D260B3">
      <w:pPr>
        <w:spacing w:line="259" w:lineRule="auto"/>
        <w:rPr>
          <w:rFonts w:asciiTheme="minorHAnsi" w:hAnsiTheme="minorHAnsi"/>
          <w:sz w:val="22"/>
        </w:rPr>
      </w:pPr>
      <w:r w:rsidRPr="00417BE5">
        <w:rPr>
          <w:rFonts w:asciiTheme="minorHAnsi" w:hAnsiTheme="minorHAnsi"/>
          <w:noProof/>
          <w:sz w:val="22"/>
          <w:lang w:eastAsia="en-IN"/>
        </w:rPr>
        <w:lastRenderedPageBreak/>
        <w:drawing>
          <wp:inline distT="0" distB="0" distL="0" distR="0" wp14:anchorId="4B038A85" wp14:editId="61E5FB16">
            <wp:extent cx="5731510" cy="38944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6.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894455"/>
                    </a:xfrm>
                    <a:prstGeom prst="rect">
                      <a:avLst/>
                    </a:prstGeom>
                  </pic:spPr>
                </pic:pic>
              </a:graphicData>
            </a:graphic>
          </wp:inline>
        </w:drawing>
      </w:r>
    </w:p>
    <w:p w14:paraId="24E1025F" w14:textId="77777777" w:rsidR="00D260B3" w:rsidRPr="00417BE5" w:rsidRDefault="00D260B3" w:rsidP="00D260B3">
      <w:pPr>
        <w:spacing w:before="100" w:beforeAutospacing="1" w:after="100" w:afterAutospacing="1" w:line="240" w:lineRule="auto"/>
        <w:ind w:right="-448"/>
        <w:rPr>
          <w:rFonts w:eastAsia="Times New Roman" w:cs="Times New Roman"/>
          <w:b/>
          <w:bCs/>
          <w:szCs w:val="24"/>
          <w:lang w:eastAsia="en-IN"/>
        </w:rPr>
      </w:pPr>
      <w:r w:rsidRPr="00417BE5">
        <w:rPr>
          <w:rFonts w:eastAsia="Times New Roman" w:hAnsi="Symbol" w:cs="Times New Roman"/>
          <w:b/>
          <w:szCs w:val="24"/>
          <w:lang w:eastAsia="en-IN"/>
        </w:rPr>
        <w:t xml:space="preserve">Fig.1 b: </w:t>
      </w:r>
      <w:r w:rsidRPr="00417BE5">
        <w:rPr>
          <w:rFonts w:eastAsia="Times New Roman" w:cs="Times New Roman"/>
          <w:b/>
          <w:bCs/>
          <w:szCs w:val="24"/>
          <w:lang w:eastAsia="en-IN"/>
        </w:rPr>
        <w:t>Comparative Analysis of Gross and Net Income (₹ ha⁻¹) from Saffron Cultivation under Conventional (Kashmir &amp; Kishtwar) and Hydroponic (Jammu) Systems</w:t>
      </w:r>
    </w:p>
    <w:p w14:paraId="6724BC31" w14:textId="77777777" w:rsidR="00D260B3" w:rsidRPr="00417BE5" w:rsidRDefault="00D260B3" w:rsidP="00D260B3">
      <w:pPr>
        <w:spacing w:line="259" w:lineRule="auto"/>
        <w:rPr>
          <w:rFonts w:asciiTheme="minorHAnsi" w:hAnsiTheme="minorHAnsi"/>
          <w:sz w:val="22"/>
        </w:rPr>
      </w:pPr>
      <w:r w:rsidRPr="00417BE5">
        <w:rPr>
          <w:rFonts w:asciiTheme="minorHAnsi" w:hAnsiTheme="minorHAnsi"/>
          <w:noProof/>
          <w:sz w:val="22"/>
          <w:lang w:eastAsia="en-IN"/>
        </w:rPr>
        <w:drawing>
          <wp:inline distT="0" distB="0" distL="0" distR="0" wp14:anchorId="4EDE74FA" wp14:editId="473A6992">
            <wp:extent cx="5731510" cy="37928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5.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792855"/>
                    </a:xfrm>
                    <a:prstGeom prst="rect">
                      <a:avLst/>
                    </a:prstGeom>
                  </pic:spPr>
                </pic:pic>
              </a:graphicData>
            </a:graphic>
          </wp:inline>
        </w:drawing>
      </w:r>
    </w:p>
    <w:p w14:paraId="0754A129" w14:textId="168B41A5" w:rsidR="00D260B3" w:rsidRPr="00417BE5" w:rsidRDefault="00D260B3" w:rsidP="00D260B3">
      <w:pPr>
        <w:spacing w:line="259" w:lineRule="auto"/>
        <w:rPr>
          <w:rFonts w:asciiTheme="minorHAnsi" w:hAnsiTheme="minorHAnsi"/>
          <w:sz w:val="22"/>
        </w:rPr>
      </w:pPr>
      <w:r w:rsidRPr="00417BE5">
        <w:rPr>
          <w:rFonts w:cs="Times New Roman"/>
          <w:b/>
          <w:szCs w:val="24"/>
        </w:rPr>
        <w:lastRenderedPageBreak/>
        <w:t>Fig. 2: Assessment of Benefit–Cost Performance in Saffron Cultivation across Conventional (Kashmir, Kishtwar) and Hydroponic (Jammu) Methods</w:t>
      </w:r>
    </w:p>
    <w:p w14:paraId="54B750F3" w14:textId="77777777" w:rsidR="00D260B3" w:rsidRPr="00417BE5" w:rsidRDefault="00D260B3" w:rsidP="00D260B3">
      <w:pPr>
        <w:spacing w:line="259" w:lineRule="auto"/>
        <w:rPr>
          <w:rFonts w:asciiTheme="minorHAnsi" w:hAnsiTheme="minorHAnsi"/>
          <w:sz w:val="22"/>
        </w:rPr>
      </w:pPr>
    </w:p>
    <w:p w14:paraId="17A956D1" w14:textId="77777777" w:rsidR="00D260B3" w:rsidRPr="00417BE5" w:rsidRDefault="00D260B3" w:rsidP="00D260B3">
      <w:pPr>
        <w:spacing w:line="259" w:lineRule="auto"/>
        <w:rPr>
          <w:rFonts w:asciiTheme="minorHAnsi" w:hAnsiTheme="minorHAnsi"/>
          <w:sz w:val="22"/>
        </w:rPr>
      </w:pPr>
    </w:p>
    <w:p w14:paraId="56744FEA" w14:textId="77777777" w:rsidR="00D260B3" w:rsidRPr="00417BE5" w:rsidRDefault="00D260B3" w:rsidP="00D260B3">
      <w:pPr>
        <w:tabs>
          <w:tab w:val="left" w:pos="5115"/>
        </w:tabs>
        <w:spacing w:line="259" w:lineRule="auto"/>
        <w:rPr>
          <w:rFonts w:asciiTheme="minorHAnsi" w:hAnsiTheme="minorHAnsi"/>
          <w:sz w:val="22"/>
        </w:rPr>
      </w:pPr>
      <w:r w:rsidRPr="00417BE5">
        <w:rPr>
          <w:rFonts w:asciiTheme="minorHAnsi" w:hAnsiTheme="minorHAnsi"/>
          <w:sz w:val="22"/>
        </w:rPr>
        <w:tab/>
      </w:r>
    </w:p>
    <w:p w14:paraId="472AA27E" w14:textId="77777777" w:rsidR="00D260B3" w:rsidRPr="00417BE5" w:rsidRDefault="00D260B3" w:rsidP="00D260B3">
      <w:pPr>
        <w:tabs>
          <w:tab w:val="left" w:pos="5115"/>
        </w:tabs>
        <w:spacing w:line="259" w:lineRule="auto"/>
        <w:rPr>
          <w:rFonts w:asciiTheme="minorHAnsi" w:hAnsiTheme="minorHAnsi"/>
          <w:sz w:val="22"/>
        </w:rPr>
      </w:pPr>
      <w:r w:rsidRPr="00417BE5">
        <w:rPr>
          <w:rFonts w:asciiTheme="minorHAnsi" w:hAnsiTheme="minorHAnsi"/>
          <w:noProof/>
          <w:sz w:val="22"/>
          <w:lang w:eastAsia="en-IN"/>
        </w:rPr>
        <w:drawing>
          <wp:inline distT="0" distB="0" distL="0" distR="0" wp14:anchorId="26F0DC35" wp14:editId="013CB2C0">
            <wp:extent cx="5731510" cy="38233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7.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49A8977C" w14:textId="06EBBFE9" w:rsidR="00D260B3" w:rsidRPr="00417BE5" w:rsidRDefault="00D260B3" w:rsidP="00D260B3">
      <w:pPr>
        <w:spacing w:line="259" w:lineRule="auto"/>
        <w:ind w:right="-330"/>
        <w:rPr>
          <w:rFonts w:cs="Times New Roman"/>
          <w:b/>
          <w:szCs w:val="24"/>
        </w:rPr>
      </w:pPr>
      <w:r w:rsidRPr="00417BE5">
        <w:rPr>
          <w:rFonts w:asciiTheme="minorHAnsi" w:hAnsiTheme="minorHAnsi"/>
          <w:sz w:val="22"/>
        </w:rPr>
        <w:tab/>
      </w:r>
      <w:r w:rsidRPr="00417BE5">
        <w:rPr>
          <w:rFonts w:cs="Times New Roman"/>
          <w:b/>
          <w:szCs w:val="24"/>
        </w:rPr>
        <w:t>Fig. 3: Cumulative Cash Flow Analysis and Payback Period for Hydroponic Saffron Cultivation (Jammu)</w:t>
      </w:r>
    </w:p>
    <w:p w14:paraId="63C85679" w14:textId="77777777" w:rsidR="00D260B3" w:rsidRPr="00417BE5" w:rsidRDefault="00D260B3" w:rsidP="00D260B3">
      <w:pPr>
        <w:tabs>
          <w:tab w:val="left" w:pos="930"/>
        </w:tabs>
        <w:spacing w:line="259" w:lineRule="auto"/>
        <w:rPr>
          <w:rFonts w:asciiTheme="minorHAnsi" w:hAnsiTheme="minorHAnsi"/>
          <w:sz w:val="22"/>
        </w:rPr>
      </w:pPr>
      <w:r w:rsidRPr="00417BE5">
        <w:rPr>
          <w:rFonts w:asciiTheme="minorHAnsi" w:hAnsiTheme="minorHAnsi"/>
          <w:noProof/>
          <w:sz w:val="22"/>
          <w:lang w:eastAsia="en-IN"/>
        </w:rPr>
        <w:lastRenderedPageBreak/>
        <w:drawing>
          <wp:inline distT="0" distB="0" distL="0" distR="0" wp14:anchorId="10A22CE5" wp14:editId="38A10910">
            <wp:extent cx="5731510" cy="38233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17AA456A" w14:textId="07ABE26C" w:rsidR="00D260B3" w:rsidRPr="00417BE5" w:rsidRDefault="00D260B3" w:rsidP="00D260B3">
      <w:pPr>
        <w:spacing w:line="259" w:lineRule="auto"/>
        <w:rPr>
          <w:rFonts w:cs="Times New Roman"/>
          <w:b/>
          <w:szCs w:val="24"/>
        </w:rPr>
      </w:pPr>
      <w:r w:rsidRPr="00417BE5">
        <w:rPr>
          <w:rFonts w:asciiTheme="minorHAnsi" w:hAnsiTheme="minorHAnsi"/>
          <w:sz w:val="22"/>
        </w:rPr>
        <w:tab/>
      </w:r>
      <w:r w:rsidRPr="00417BE5">
        <w:rPr>
          <w:rFonts w:cs="Times New Roman"/>
          <w:b/>
          <w:szCs w:val="24"/>
        </w:rPr>
        <w:t>Fig.4: Evaluating net profit sensitivity to stigma yield in saffron hydroponics across two growing seasons</w:t>
      </w:r>
    </w:p>
    <w:p w14:paraId="7A35A4BC" w14:textId="77777777" w:rsidR="00D260B3" w:rsidRPr="00417BE5" w:rsidRDefault="00D260B3" w:rsidP="00D260B3">
      <w:pPr>
        <w:tabs>
          <w:tab w:val="left" w:pos="930"/>
        </w:tabs>
        <w:spacing w:line="259" w:lineRule="auto"/>
        <w:rPr>
          <w:rFonts w:asciiTheme="minorHAnsi" w:hAnsiTheme="minorHAnsi"/>
          <w:noProof/>
          <w:sz w:val="22"/>
          <w:lang w:eastAsia="en-IN"/>
        </w:rPr>
      </w:pPr>
    </w:p>
    <w:p w14:paraId="76FDA718" w14:textId="77777777" w:rsidR="00D260B3" w:rsidRPr="00417BE5" w:rsidRDefault="00D260B3" w:rsidP="00D260B3">
      <w:pPr>
        <w:tabs>
          <w:tab w:val="left" w:pos="930"/>
        </w:tabs>
        <w:spacing w:line="259" w:lineRule="auto"/>
        <w:rPr>
          <w:rFonts w:asciiTheme="minorHAnsi" w:hAnsiTheme="minorHAnsi"/>
          <w:sz w:val="22"/>
        </w:rPr>
      </w:pPr>
      <w:r w:rsidRPr="00417BE5">
        <w:rPr>
          <w:rFonts w:asciiTheme="minorHAnsi" w:hAnsiTheme="minorHAnsi"/>
          <w:noProof/>
          <w:sz w:val="22"/>
          <w:lang w:eastAsia="en-IN"/>
        </w:rPr>
        <w:drawing>
          <wp:inline distT="0" distB="0" distL="0" distR="0" wp14:anchorId="14E56ED0" wp14:editId="40D8E200">
            <wp:extent cx="5731510" cy="37884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2 (2).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inline>
        </w:drawing>
      </w:r>
    </w:p>
    <w:p w14:paraId="7C004C03" w14:textId="481D627F" w:rsidR="00D260B3" w:rsidRPr="00417BE5" w:rsidRDefault="00D260B3" w:rsidP="00D260B3">
      <w:pPr>
        <w:spacing w:line="259" w:lineRule="auto"/>
        <w:rPr>
          <w:rFonts w:cs="Times New Roman"/>
          <w:b/>
          <w:szCs w:val="24"/>
        </w:rPr>
      </w:pPr>
      <w:r w:rsidRPr="00417BE5">
        <w:rPr>
          <w:rFonts w:cs="Times New Roman"/>
          <w:b/>
          <w:szCs w:val="24"/>
        </w:rPr>
        <w:lastRenderedPageBreak/>
        <w:t>Fig. 5: Distribution of explained variance across principal components for saffron production metrics</w:t>
      </w:r>
    </w:p>
    <w:p w14:paraId="3270F884" w14:textId="77777777" w:rsidR="00D260B3" w:rsidRPr="00417BE5" w:rsidRDefault="00D260B3" w:rsidP="00D260B3">
      <w:pPr>
        <w:spacing w:line="259" w:lineRule="auto"/>
        <w:rPr>
          <w:rFonts w:cs="Times New Roman"/>
          <w:b/>
          <w:szCs w:val="24"/>
        </w:rPr>
      </w:pPr>
      <w:r w:rsidRPr="00417BE5">
        <w:rPr>
          <w:rFonts w:cs="Times New Roman"/>
          <w:b/>
          <w:noProof/>
          <w:szCs w:val="24"/>
          <w:lang w:eastAsia="en-IN"/>
        </w:rPr>
        <w:drawing>
          <wp:inline distT="0" distB="0" distL="0" distR="0" wp14:anchorId="5B62FBEE" wp14:editId="7F67C2CE">
            <wp:extent cx="5731510" cy="30841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4.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084195"/>
                    </a:xfrm>
                    <a:prstGeom prst="rect">
                      <a:avLst/>
                    </a:prstGeom>
                  </pic:spPr>
                </pic:pic>
              </a:graphicData>
            </a:graphic>
          </wp:inline>
        </w:drawing>
      </w:r>
    </w:p>
    <w:p w14:paraId="32FAA94F" w14:textId="1F1A7D2F" w:rsidR="00D260B3" w:rsidRPr="00417BE5" w:rsidRDefault="00D260B3" w:rsidP="00D260B3">
      <w:pPr>
        <w:spacing w:line="259" w:lineRule="auto"/>
        <w:rPr>
          <w:rFonts w:cs="Times New Roman"/>
          <w:b/>
          <w:szCs w:val="24"/>
        </w:rPr>
      </w:pPr>
      <w:r w:rsidRPr="00417BE5">
        <w:rPr>
          <w:rFonts w:cs="Times New Roman"/>
          <w:b/>
          <w:szCs w:val="24"/>
        </w:rPr>
        <w:t>Fig.6: PCA biplot of economic and yield variables in saffron cultivation systems</w:t>
      </w:r>
    </w:p>
    <w:p w14:paraId="553E0EDE" w14:textId="77777777" w:rsidR="00D260B3" w:rsidRPr="00417BE5" w:rsidRDefault="00D260B3" w:rsidP="00D260B3">
      <w:pPr>
        <w:tabs>
          <w:tab w:val="left" w:pos="2070"/>
        </w:tabs>
        <w:spacing w:line="259" w:lineRule="auto"/>
        <w:rPr>
          <w:rFonts w:asciiTheme="minorHAnsi" w:hAnsiTheme="minorHAnsi"/>
          <w:sz w:val="22"/>
        </w:rPr>
      </w:pPr>
    </w:p>
    <w:p w14:paraId="602B99BA" w14:textId="48CD4C50" w:rsidR="00302EFA" w:rsidRPr="00417BE5" w:rsidRDefault="00302EFA" w:rsidP="00537D2D"/>
    <w:p w14:paraId="149A9879" w14:textId="1195D79E" w:rsidR="005419A6" w:rsidRDefault="005419A6" w:rsidP="00537D2D">
      <w:r w:rsidRPr="0090071F">
        <w:rPr>
          <w:noProof/>
          <w:lang w:eastAsia="en-IN"/>
        </w:rPr>
        <w:drawing>
          <wp:inline distT="0" distB="0" distL="0" distR="0" wp14:anchorId="3C7D7056" wp14:editId="6EDC01E5">
            <wp:extent cx="5926455" cy="394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3949700"/>
                    </a:xfrm>
                    <a:prstGeom prst="rect">
                      <a:avLst/>
                    </a:prstGeom>
                    <a:noFill/>
                    <a:ln>
                      <a:noFill/>
                    </a:ln>
                  </pic:spPr>
                </pic:pic>
              </a:graphicData>
            </a:graphic>
          </wp:inline>
        </w:drawing>
      </w:r>
    </w:p>
    <w:sectPr w:rsidR="005419A6" w:rsidSect="00B2311E">
      <w:headerReference w:type="even" r:id="rId15"/>
      <w:headerReference w:type="default" r:id="rId16"/>
      <w:footerReference w:type="even" r:id="rId17"/>
      <w:footerReference w:type="default" r:id="rId18"/>
      <w:headerReference w:type="first" r:id="rId19"/>
      <w:footerReference w:type="first" r:id="rId20"/>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281ED" w14:textId="77777777" w:rsidR="007F0B2D" w:rsidRDefault="007F0B2D" w:rsidP="00860285">
      <w:pPr>
        <w:spacing w:after="0" w:line="240" w:lineRule="auto"/>
      </w:pPr>
      <w:r>
        <w:separator/>
      </w:r>
    </w:p>
  </w:endnote>
  <w:endnote w:type="continuationSeparator" w:id="0">
    <w:p w14:paraId="760468E1" w14:textId="77777777" w:rsidR="007F0B2D" w:rsidRDefault="007F0B2D" w:rsidP="00860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C7BC" w14:textId="77777777" w:rsidR="005419A6" w:rsidRDefault="00541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B8E0D" w14:textId="77777777" w:rsidR="005419A6" w:rsidRDefault="005419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6E2B" w14:textId="77777777" w:rsidR="005419A6" w:rsidRDefault="00541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5508B" w14:textId="77777777" w:rsidR="007F0B2D" w:rsidRDefault="007F0B2D" w:rsidP="00860285">
      <w:pPr>
        <w:spacing w:after="0" w:line="240" w:lineRule="auto"/>
      </w:pPr>
      <w:r>
        <w:separator/>
      </w:r>
    </w:p>
  </w:footnote>
  <w:footnote w:type="continuationSeparator" w:id="0">
    <w:p w14:paraId="4FF744EE" w14:textId="77777777" w:rsidR="007F0B2D" w:rsidRDefault="007F0B2D" w:rsidP="00860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159A" w14:textId="6B6B6D17" w:rsidR="005419A6" w:rsidRDefault="007F0B2D">
    <w:pPr>
      <w:pStyle w:val="Header"/>
    </w:pPr>
    <w:r>
      <w:rPr>
        <w:noProof/>
      </w:rPr>
      <w:pict w14:anchorId="7DDB9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36704" o:spid="_x0000_s2050" type="#_x0000_t136" style="position:absolute;margin-left:0;margin-top:0;width:592.1pt;height:65.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8879D" w14:textId="459B43C0" w:rsidR="005419A6" w:rsidRDefault="007F0B2D">
    <w:pPr>
      <w:pStyle w:val="Header"/>
    </w:pPr>
    <w:r>
      <w:rPr>
        <w:noProof/>
      </w:rPr>
      <w:pict w14:anchorId="01D78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36705" o:spid="_x0000_s2051" type="#_x0000_t136" style="position:absolute;margin-left:0;margin-top:0;width:592.1pt;height:65.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FD37F" w14:textId="65D5074D" w:rsidR="005419A6" w:rsidRDefault="007F0B2D">
    <w:pPr>
      <w:pStyle w:val="Header"/>
    </w:pPr>
    <w:r>
      <w:rPr>
        <w:noProof/>
      </w:rPr>
      <w:pict w14:anchorId="76B70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36703" o:spid="_x0000_s2049" type="#_x0000_t136" style="position:absolute;margin-left:0;margin-top:0;width:592.1pt;height:65.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46D8"/>
    <w:multiLevelType w:val="hybridMultilevel"/>
    <w:tmpl w:val="2E8C2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9D3A34"/>
    <w:multiLevelType w:val="multilevel"/>
    <w:tmpl w:val="20A2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32223"/>
    <w:multiLevelType w:val="multilevel"/>
    <w:tmpl w:val="7FFC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12CEF"/>
    <w:multiLevelType w:val="multilevel"/>
    <w:tmpl w:val="0AA6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30698"/>
    <w:multiLevelType w:val="multilevel"/>
    <w:tmpl w:val="332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E72D4"/>
    <w:multiLevelType w:val="multilevel"/>
    <w:tmpl w:val="1D2A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22765"/>
    <w:multiLevelType w:val="multilevel"/>
    <w:tmpl w:val="1634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50FE9"/>
    <w:multiLevelType w:val="multilevel"/>
    <w:tmpl w:val="364C5E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5373D9"/>
    <w:multiLevelType w:val="multilevel"/>
    <w:tmpl w:val="5ECE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D6A8B"/>
    <w:multiLevelType w:val="hybridMultilevel"/>
    <w:tmpl w:val="674A0C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DE074F"/>
    <w:multiLevelType w:val="multilevel"/>
    <w:tmpl w:val="1836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1720B7"/>
    <w:multiLevelType w:val="multilevel"/>
    <w:tmpl w:val="7A8A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01EF2"/>
    <w:multiLevelType w:val="multilevel"/>
    <w:tmpl w:val="C14C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B27886"/>
    <w:multiLevelType w:val="hybridMultilevel"/>
    <w:tmpl w:val="0832BAE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08F0C5F"/>
    <w:multiLevelType w:val="multilevel"/>
    <w:tmpl w:val="7278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887A9E"/>
    <w:multiLevelType w:val="multilevel"/>
    <w:tmpl w:val="BCF0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9179A"/>
    <w:multiLevelType w:val="multilevel"/>
    <w:tmpl w:val="5CC6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2716E5"/>
    <w:multiLevelType w:val="multilevel"/>
    <w:tmpl w:val="EC3C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3C0C55"/>
    <w:multiLevelType w:val="hybridMultilevel"/>
    <w:tmpl w:val="22D809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6B66ABF"/>
    <w:multiLevelType w:val="multilevel"/>
    <w:tmpl w:val="FE04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A0C74"/>
    <w:multiLevelType w:val="multilevel"/>
    <w:tmpl w:val="D5E8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0C5405"/>
    <w:multiLevelType w:val="multilevel"/>
    <w:tmpl w:val="F224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20"/>
  </w:num>
  <w:num w:numId="4">
    <w:abstractNumId w:val="15"/>
  </w:num>
  <w:num w:numId="5">
    <w:abstractNumId w:val="6"/>
  </w:num>
  <w:num w:numId="6">
    <w:abstractNumId w:val="11"/>
  </w:num>
  <w:num w:numId="7">
    <w:abstractNumId w:val="4"/>
  </w:num>
  <w:num w:numId="8">
    <w:abstractNumId w:val="3"/>
  </w:num>
  <w:num w:numId="9">
    <w:abstractNumId w:val="9"/>
  </w:num>
  <w:num w:numId="10">
    <w:abstractNumId w:val="5"/>
  </w:num>
  <w:num w:numId="11">
    <w:abstractNumId w:val="19"/>
  </w:num>
  <w:num w:numId="12">
    <w:abstractNumId w:val="12"/>
  </w:num>
  <w:num w:numId="13">
    <w:abstractNumId w:val="2"/>
  </w:num>
  <w:num w:numId="14">
    <w:abstractNumId w:val="14"/>
  </w:num>
  <w:num w:numId="15">
    <w:abstractNumId w:val="7"/>
  </w:num>
  <w:num w:numId="16">
    <w:abstractNumId w:val="17"/>
  </w:num>
  <w:num w:numId="17">
    <w:abstractNumId w:val="8"/>
  </w:num>
  <w:num w:numId="18">
    <w:abstractNumId w:val="21"/>
  </w:num>
  <w:num w:numId="19">
    <w:abstractNumId w:val="16"/>
  </w:num>
  <w:num w:numId="20">
    <w:abstractNumId w:val="1"/>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B2"/>
    <w:rsid w:val="000243B9"/>
    <w:rsid w:val="0003342B"/>
    <w:rsid w:val="000C66D3"/>
    <w:rsid w:val="001C31CF"/>
    <w:rsid w:val="001C5B0D"/>
    <w:rsid w:val="002416F7"/>
    <w:rsid w:val="0026646D"/>
    <w:rsid w:val="002777B2"/>
    <w:rsid w:val="00302EFA"/>
    <w:rsid w:val="00404BBB"/>
    <w:rsid w:val="00412772"/>
    <w:rsid w:val="00417BE5"/>
    <w:rsid w:val="00433401"/>
    <w:rsid w:val="00480B64"/>
    <w:rsid w:val="00537D2D"/>
    <w:rsid w:val="005419A6"/>
    <w:rsid w:val="0055113E"/>
    <w:rsid w:val="005B36C2"/>
    <w:rsid w:val="00605E4F"/>
    <w:rsid w:val="006063B8"/>
    <w:rsid w:val="00630CE8"/>
    <w:rsid w:val="0079246D"/>
    <w:rsid w:val="007C6F6E"/>
    <w:rsid w:val="007E2B8A"/>
    <w:rsid w:val="007F0B2D"/>
    <w:rsid w:val="00802CB0"/>
    <w:rsid w:val="00820BB4"/>
    <w:rsid w:val="0082252A"/>
    <w:rsid w:val="008425B6"/>
    <w:rsid w:val="00860285"/>
    <w:rsid w:val="00873A21"/>
    <w:rsid w:val="00883A65"/>
    <w:rsid w:val="008F1A94"/>
    <w:rsid w:val="0090071F"/>
    <w:rsid w:val="00935307"/>
    <w:rsid w:val="00936C64"/>
    <w:rsid w:val="00953C5C"/>
    <w:rsid w:val="009D1B3B"/>
    <w:rsid w:val="00A46970"/>
    <w:rsid w:val="00AA1028"/>
    <w:rsid w:val="00B2311E"/>
    <w:rsid w:val="00B622F5"/>
    <w:rsid w:val="00BE62D2"/>
    <w:rsid w:val="00D260B3"/>
    <w:rsid w:val="00D30E8D"/>
    <w:rsid w:val="00D53837"/>
    <w:rsid w:val="00D73E71"/>
    <w:rsid w:val="00DC17D9"/>
    <w:rsid w:val="00F11C0B"/>
    <w:rsid w:val="00F77328"/>
    <w:rsid w:val="00F84B19"/>
    <w:rsid w:val="00FA40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CBD8B3"/>
  <w15:chartTrackingRefBased/>
  <w15:docId w15:val="{63F90DE2-0E86-45BD-BA52-8DDA4C62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480" w:lineRule="auto"/>
    </w:pPr>
    <w:rPr>
      <w:rFonts w:ascii="Times New Roman" w:hAnsi="Times New Roman"/>
      <w:sz w:val="24"/>
    </w:rPr>
  </w:style>
  <w:style w:type="paragraph" w:styleId="Heading3">
    <w:name w:val="heading 3"/>
    <w:basedOn w:val="Normal"/>
    <w:link w:val="Heading3Char"/>
    <w:uiPriority w:val="9"/>
    <w:qFormat/>
    <w:rsid w:val="00935307"/>
    <w:pPr>
      <w:spacing w:before="100" w:beforeAutospacing="1" w:after="100" w:afterAutospacing="1" w:line="240" w:lineRule="auto"/>
      <w:outlineLvl w:val="2"/>
    </w:pPr>
    <w:rPr>
      <w:rFonts w:eastAsia="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36C6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36C6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7B2"/>
    <w:pPr>
      <w:ind w:left="720"/>
      <w:contextualSpacing/>
    </w:pPr>
  </w:style>
  <w:style w:type="paragraph" w:styleId="NormalWeb">
    <w:name w:val="Normal (Web)"/>
    <w:basedOn w:val="Normal"/>
    <w:uiPriority w:val="99"/>
    <w:unhideWhenUsed/>
    <w:rsid w:val="002777B2"/>
    <w:pPr>
      <w:spacing w:before="100" w:beforeAutospacing="1" w:after="100" w:afterAutospacing="1" w:line="240" w:lineRule="auto"/>
    </w:pPr>
    <w:rPr>
      <w:rFonts w:eastAsia="Times New Roman" w:cs="Times New Roman"/>
      <w:szCs w:val="24"/>
      <w:lang w:eastAsia="en-IN"/>
    </w:rPr>
  </w:style>
  <w:style w:type="character" w:customStyle="1" w:styleId="relative">
    <w:name w:val="relative"/>
    <w:basedOn w:val="DefaultParagraphFont"/>
    <w:rsid w:val="002777B2"/>
  </w:style>
  <w:style w:type="character" w:styleId="Strong">
    <w:name w:val="Strong"/>
    <w:basedOn w:val="DefaultParagraphFont"/>
    <w:uiPriority w:val="22"/>
    <w:qFormat/>
    <w:rsid w:val="002777B2"/>
    <w:rPr>
      <w:b/>
      <w:bCs/>
    </w:rPr>
  </w:style>
  <w:style w:type="character" w:styleId="Emphasis">
    <w:name w:val="Emphasis"/>
    <w:basedOn w:val="DefaultParagraphFont"/>
    <w:uiPriority w:val="20"/>
    <w:qFormat/>
    <w:rsid w:val="002777B2"/>
    <w:rPr>
      <w:i/>
      <w:iCs/>
    </w:rPr>
  </w:style>
  <w:style w:type="character" w:customStyle="1" w:styleId="ms-1">
    <w:name w:val="ms-1"/>
    <w:basedOn w:val="DefaultParagraphFont"/>
    <w:rsid w:val="002777B2"/>
  </w:style>
  <w:style w:type="character" w:customStyle="1" w:styleId="max-w-full">
    <w:name w:val="max-w-full"/>
    <w:basedOn w:val="DefaultParagraphFont"/>
    <w:rsid w:val="002777B2"/>
  </w:style>
  <w:style w:type="character" w:customStyle="1" w:styleId="-me-1">
    <w:name w:val="-me-1"/>
    <w:basedOn w:val="DefaultParagraphFont"/>
    <w:rsid w:val="002777B2"/>
  </w:style>
  <w:style w:type="character" w:customStyle="1" w:styleId="Heading3Char">
    <w:name w:val="Heading 3 Char"/>
    <w:basedOn w:val="DefaultParagraphFont"/>
    <w:link w:val="Heading3"/>
    <w:uiPriority w:val="9"/>
    <w:rsid w:val="00935307"/>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935307"/>
    <w:rPr>
      <w:color w:val="0000FF"/>
      <w:u w:val="single"/>
    </w:rPr>
  </w:style>
  <w:style w:type="character" w:customStyle="1" w:styleId="Heading4Char">
    <w:name w:val="Heading 4 Char"/>
    <w:basedOn w:val="DefaultParagraphFont"/>
    <w:link w:val="Heading4"/>
    <w:uiPriority w:val="9"/>
    <w:semiHidden/>
    <w:rsid w:val="00936C6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36C64"/>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B23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23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4BBB"/>
    <w:rPr>
      <w:color w:val="808080"/>
    </w:rPr>
  </w:style>
  <w:style w:type="character" w:customStyle="1" w:styleId="UnresolvedMention1">
    <w:name w:val="Unresolved Mention1"/>
    <w:basedOn w:val="DefaultParagraphFont"/>
    <w:uiPriority w:val="99"/>
    <w:semiHidden/>
    <w:unhideWhenUsed/>
    <w:rsid w:val="008425B6"/>
    <w:rPr>
      <w:color w:val="605E5C"/>
      <w:shd w:val="clear" w:color="auto" w:fill="E1DFDD"/>
    </w:rPr>
  </w:style>
  <w:style w:type="paragraph" w:styleId="Header">
    <w:name w:val="header"/>
    <w:basedOn w:val="Normal"/>
    <w:link w:val="HeaderChar"/>
    <w:uiPriority w:val="99"/>
    <w:unhideWhenUsed/>
    <w:rsid w:val="00860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285"/>
    <w:rPr>
      <w:rFonts w:ascii="Times New Roman" w:hAnsi="Times New Roman"/>
      <w:sz w:val="24"/>
    </w:rPr>
  </w:style>
  <w:style w:type="paragraph" w:styleId="Footer">
    <w:name w:val="footer"/>
    <w:basedOn w:val="Normal"/>
    <w:link w:val="FooterChar"/>
    <w:uiPriority w:val="99"/>
    <w:unhideWhenUsed/>
    <w:rsid w:val="00860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28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73052">
      <w:bodyDiv w:val="1"/>
      <w:marLeft w:val="0"/>
      <w:marRight w:val="0"/>
      <w:marTop w:val="0"/>
      <w:marBottom w:val="0"/>
      <w:divBdr>
        <w:top w:val="none" w:sz="0" w:space="0" w:color="auto"/>
        <w:left w:val="none" w:sz="0" w:space="0" w:color="auto"/>
        <w:bottom w:val="none" w:sz="0" w:space="0" w:color="auto"/>
        <w:right w:val="none" w:sz="0" w:space="0" w:color="auto"/>
      </w:divBdr>
    </w:div>
    <w:div w:id="231893712">
      <w:bodyDiv w:val="1"/>
      <w:marLeft w:val="0"/>
      <w:marRight w:val="0"/>
      <w:marTop w:val="0"/>
      <w:marBottom w:val="0"/>
      <w:divBdr>
        <w:top w:val="none" w:sz="0" w:space="0" w:color="auto"/>
        <w:left w:val="none" w:sz="0" w:space="0" w:color="auto"/>
        <w:bottom w:val="none" w:sz="0" w:space="0" w:color="auto"/>
        <w:right w:val="none" w:sz="0" w:space="0" w:color="auto"/>
      </w:divBdr>
    </w:div>
    <w:div w:id="311641354">
      <w:bodyDiv w:val="1"/>
      <w:marLeft w:val="0"/>
      <w:marRight w:val="0"/>
      <w:marTop w:val="0"/>
      <w:marBottom w:val="0"/>
      <w:divBdr>
        <w:top w:val="none" w:sz="0" w:space="0" w:color="auto"/>
        <w:left w:val="none" w:sz="0" w:space="0" w:color="auto"/>
        <w:bottom w:val="none" w:sz="0" w:space="0" w:color="auto"/>
        <w:right w:val="none" w:sz="0" w:space="0" w:color="auto"/>
      </w:divBdr>
    </w:div>
    <w:div w:id="335499825">
      <w:bodyDiv w:val="1"/>
      <w:marLeft w:val="0"/>
      <w:marRight w:val="0"/>
      <w:marTop w:val="0"/>
      <w:marBottom w:val="0"/>
      <w:divBdr>
        <w:top w:val="none" w:sz="0" w:space="0" w:color="auto"/>
        <w:left w:val="none" w:sz="0" w:space="0" w:color="auto"/>
        <w:bottom w:val="none" w:sz="0" w:space="0" w:color="auto"/>
        <w:right w:val="none" w:sz="0" w:space="0" w:color="auto"/>
      </w:divBdr>
    </w:div>
    <w:div w:id="346182137">
      <w:bodyDiv w:val="1"/>
      <w:marLeft w:val="0"/>
      <w:marRight w:val="0"/>
      <w:marTop w:val="0"/>
      <w:marBottom w:val="0"/>
      <w:divBdr>
        <w:top w:val="none" w:sz="0" w:space="0" w:color="auto"/>
        <w:left w:val="none" w:sz="0" w:space="0" w:color="auto"/>
        <w:bottom w:val="none" w:sz="0" w:space="0" w:color="auto"/>
        <w:right w:val="none" w:sz="0" w:space="0" w:color="auto"/>
      </w:divBdr>
    </w:div>
    <w:div w:id="418872449">
      <w:bodyDiv w:val="1"/>
      <w:marLeft w:val="0"/>
      <w:marRight w:val="0"/>
      <w:marTop w:val="0"/>
      <w:marBottom w:val="0"/>
      <w:divBdr>
        <w:top w:val="none" w:sz="0" w:space="0" w:color="auto"/>
        <w:left w:val="none" w:sz="0" w:space="0" w:color="auto"/>
        <w:bottom w:val="none" w:sz="0" w:space="0" w:color="auto"/>
        <w:right w:val="none" w:sz="0" w:space="0" w:color="auto"/>
      </w:divBdr>
    </w:div>
    <w:div w:id="943224252">
      <w:bodyDiv w:val="1"/>
      <w:marLeft w:val="0"/>
      <w:marRight w:val="0"/>
      <w:marTop w:val="0"/>
      <w:marBottom w:val="0"/>
      <w:divBdr>
        <w:top w:val="none" w:sz="0" w:space="0" w:color="auto"/>
        <w:left w:val="none" w:sz="0" w:space="0" w:color="auto"/>
        <w:bottom w:val="none" w:sz="0" w:space="0" w:color="auto"/>
        <w:right w:val="none" w:sz="0" w:space="0" w:color="auto"/>
      </w:divBdr>
    </w:div>
    <w:div w:id="1552302908">
      <w:bodyDiv w:val="1"/>
      <w:marLeft w:val="0"/>
      <w:marRight w:val="0"/>
      <w:marTop w:val="0"/>
      <w:marBottom w:val="0"/>
      <w:divBdr>
        <w:top w:val="none" w:sz="0" w:space="0" w:color="auto"/>
        <w:left w:val="none" w:sz="0" w:space="0" w:color="auto"/>
        <w:bottom w:val="none" w:sz="0" w:space="0" w:color="auto"/>
        <w:right w:val="none" w:sz="0" w:space="0" w:color="auto"/>
      </w:divBdr>
    </w:div>
    <w:div w:id="1659571496">
      <w:bodyDiv w:val="1"/>
      <w:marLeft w:val="0"/>
      <w:marRight w:val="0"/>
      <w:marTop w:val="0"/>
      <w:marBottom w:val="0"/>
      <w:divBdr>
        <w:top w:val="none" w:sz="0" w:space="0" w:color="auto"/>
        <w:left w:val="none" w:sz="0" w:space="0" w:color="auto"/>
        <w:bottom w:val="none" w:sz="0" w:space="0" w:color="auto"/>
        <w:right w:val="none" w:sz="0" w:space="0" w:color="auto"/>
      </w:divBdr>
    </w:div>
    <w:div w:id="1847284439">
      <w:bodyDiv w:val="1"/>
      <w:marLeft w:val="0"/>
      <w:marRight w:val="0"/>
      <w:marTop w:val="0"/>
      <w:marBottom w:val="0"/>
      <w:divBdr>
        <w:top w:val="none" w:sz="0" w:space="0" w:color="auto"/>
        <w:left w:val="none" w:sz="0" w:space="0" w:color="auto"/>
        <w:bottom w:val="none" w:sz="0" w:space="0" w:color="auto"/>
        <w:right w:val="none" w:sz="0" w:space="0" w:color="auto"/>
      </w:divBdr>
    </w:div>
    <w:div w:id="210634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17</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1089</cp:lastModifiedBy>
  <cp:revision>6</cp:revision>
  <dcterms:created xsi:type="dcterms:W3CDTF">2025-07-09T07:44:00Z</dcterms:created>
  <dcterms:modified xsi:type="dcterms:W3CDTF">2025-07-12T10:23:00Z</dcterms:modified>
</cp:coreProperties>
</file>