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90" w:rsidRPr="00384990" w:rsidRDefault="00384990" w:rsidP="00384990">
      <w:pPr>
        <w:shd w:val="clear" w:color="auto" w:fill="FFFFFF"/>
        <w:spacing w:after="0" w:line="276" w:lineRule="auto"/>
        <w:jc w:val="both"/>
        <w:outlineLvl w:val="0"/>
        <w:rPr>
          <w:rFonts w:ascii="Arial" w:hAnsi="Arial" w:cs="Arial"/>
          <w:b/>
          <w:bCs/>
          <w:i/>
          <w:iCs/>
          <w:u w:val="single"/>
          <w:lang w:val="en-US"/>
        </w:rPr>
      </w:pPr>
      <w:r w:rsidRPr="00384990">
        <w:rPr>
          <w:rFonts w:ascii="Arial" w:hAnsi="Arial" w:cs="Arial"/>
          <w:b/>
          <w:bCs/>
          <w:i/>
          <w:iCs/>
          <w:u w:val="single"/>
          <w:lang w:val="en-US"/>
        </w:rPr>
        <w:t>Review Article</w:t>
      </w:r>
    </w:p>
    <w:p w:rsidR="00384990" w:rsidRDefault="00384990" w:rsidP="008C028D">
      <w:pPr>
        <w:shd w:val="clear" w:color="auto" w:fill="FFFFFF"/>
        <w:spacing w:after="0" w:line="276" w:lineRule="auto"/>
        <w:jc w:val="both"/>
        <w:outlineLvl w:val="0"/>
        <w:rPr>
          <w:rFonts w:ascii="Arial" w:hAnsi="Arial" w:cs="Arial"/>
          <w:b/>
        </w:rPr>
      </w:pPr>
    </w:p>
    <w:p w:rsidR="00384990" w:rsidRDefault="00384990" w:rsidP="008C028D">
      <w:pPr>
        <w:shd w:val="clear" w:color="auto" w:fill="FFFFFF"/>
        <w:spacing w:after="0" w:line="276" w:lineRule="auto"/>
        <w:jc w:val="both"/>
        <w:outlineLvl w:val="0"/>
        <w:rPr>
          <w:rFonts w:ascii="Arial" w:hAnsi="Arial" w:cs="Arial"/>
          <w:b/>
        </w:rPr>
      </w:pPr>
    </w:p>
    <w:p w:rsidR="008C028D" w:rsidRPr="0090769E" w:rsidRDefault="008C028D" w:rsidP="008C028D">
      <w:pPr>
        <w:shd w:val="clear" w:color="auto" w:fill="FFFFFF"/>
        <w:spacing w:after="0" w:line="276" w:lineRule="auto"/>
        <w:jc w:val="both"/>
        <w:outlineLvl w:val="0"/>
        <w:rPr>
          <w:rFonts w:ascii="Arial" w:hAnsi="Arial" w:cs="Arial"/>
          <w:b/>
        </w:rPr>
      </w:pPr>
      <w:r w:rsidRPr="0090769E">
        <w:rPr>
          <w:rFonts w:ascii="Arial" w:hAnsi="Arial" w:cs="Arial"/>
          <w:b/>
        </w:rPr>
        <w:t>Microbial Synergy for Zinc and Iron Biofortification: Enhancing Crop Nutrition Through Plant-Microbe Interactions</w:t>
      </w:r>
    </w:p>
    <w:p w:rsidR="005D2924" w:rsidRPr="0090769E" w:rsidRDefault="005D2924" w:rsidP="008C028D">
      <w:pPr>
        <w:shd w:val="clear" w:color="auto" w:fill="FFFFFF"/>
        <w:spacing w:after="0" w:line="276" w:lineRule="auto"/>
        <w:jc w:val="both"/>
        <w:outlineLvl w:val="0"/>
        <w:rPr>
          <w:rFonts w:ascii="Arial" w:eastAsia="Times New Roman" w:hAnsi="Arial" w:cs="Arial"/>
          <w:b/>
          <w:color w:val="111111"/>
          <w:kern w:val="36"/>
          <w:lang w:eastAsia="en-IN"/>
        </w:rPr>
      </w:pPr>
    </w:p>
    <w:p w:rsidR="00384990" w:rsidRPr="0090769E" w:rsidRDefault="00384990" w:rsidP="008C028D">
      <w:pPr>
        <w:shd w:val="clear" w:color="auto" w:fill="FFFFFF"/>
        <w:spacing w:after="0" w:line="276" w:lineRule="auto"/>
        <w:jc w:val="both"/>
        <w:outlineLvl w:val="0"/>
        <w:rPr>
          <w:rFonts w:ascii="Arial" w:eastAsia="Times New Roman" w:hAnsi="Arial" w:cs="Arial"/>
          <w:b/>
          <w:color w:val="111111"/>
          <w:kern w:val="36"/>
          <w:lang w:eastAsia="en-IN"/>
        </w:rPr>
      </w:pPr>
    </w:p>
    <w:p w:rsidR="008C028D" w:rsidRPr="0090769E" w:rsidRDefault="0090769E" w:rsidP="00F001A8">
      <w:pPr>
        <w:shd w:val="clear" w:color="auto" w:fill="FFFFFF"/>
        <w:spacing w:after="0" w:line="276" w:lineRule="auto"/>
        <w:jc w:val="both"/>
        <w:outlineLvl w:val="0"/>
        <w:rPr>
          <w:rFonts w:ascii="Arial" w:hAnsi="Arial" w:cs="Arial"/>
          <w:b/>
          <w:lang w:val="en-US"/>
        </w:rPr>
      </w:pPr>
      <w:r w:rsidRPr="0090769E">
        <w:rPr>
          <w:rFonts w:ascii="Arial" w:hAnsi="Arial" w:cs="Arial"/>
          <w:b/>
          <w:lang w:val="en-US"/>
        </w:rPr>
        <w:t xml:space="preserve">ABSTRACT </w:t>
      </w:r>
    </w:p>
    <w:p w:rsidR="007F7605" w:rsidRPr="0090769E" w:rsidRDefault="00484C40" w:rsidP="00484C40">
      <w:pPr>
        <w:spacing w:line="276" w:lineRule="auto"/>
        <w:jc w:val="both"/>
        <w:rPr>
          <w:rFonts w:ascii="Arial" w:hAnsi="Arial" w:cs="Arial"/>
          <w:sz w:val="20"/>
          <w:szCs w:val="20"/>
        </w:rPr>
      </w:pPr>
      <w:r w:rsidRPr="0090769E">
        <w:rPr>
          <w:rFonts w:ascii="Arial" w:eastAsia="Times New Roman" w:hAnsi="Arial" w:cs="Arial"/>
          <w:kern w:val="0"/>
          <w:sz w:val="20"/>
          <w:szCs w:val="20"/>
          <w:lang w:val="en-US"/>
        </w:rPr>
        <w:t xml:space="preserve">Zinc (Zn) and iron (Fe) are </w:t>
      </w:r>
      <w:r w:rsidR="000F29EB">
        <w:rPr>
          <w:rFonts w:ascii="Arial" w:eastAsia="Times New Roman" w:hAnsi="Arial" w:cs="Arial"/>
          <w:kern w:val="0"/>
          <w:sz w:val="20"/>
          <w:szCs w:val="20"/>
          <w:lang w:val="en-US"/>
        </w:rPr>
        <w:t xml:space="preserve">essential </w:t>
      </w:r>
      <w:r w:rsidRPr="0090769E">
        <w:rPr>
          <w:rFonts w:ascii="Arial" w:eastAsia="Times New Roman" w:hAnsi="Arial" w:cs="Arial"/>
          <w:kern w:val="0"/>
          <w:sz w:val="20"/>
          <w:szCs w:val="20"/>
          <w:lang w:val="en-US"/>
        </w:rPr>
        <w:t xml:space="preserve">micronutrients </w:t>
      </w:r>
      <w:r w:rsidR="000F29EB">
        <w:rPr>
          <w:rFonts w:ascii="Arial" w:eastAsia="Times New Roman" w:hAnsi="Arial" w:cs="Arial"/>
          <w:kern w:val="0"/>
          <w:sz w:val="20"/>
          <w:szCs w:val="20"/>
          <w:lang w:val="en-US"/>
        </w:rPr>
        <w:t xml:space="preserve">crucial </w:t>
      </w:r>
      <w:r w:rsidRPr="0090769E">
        <w:rPr>
          <w:rFonts w:ascii="Arial" w:eastAsia="Times New Roman" w:hAnsi="Arial" w:cs="Arial"/>
          <w:kern w:val="0"/>
          <w:sz w:val="20"/>
          <w:szCs w:val="20"/>
          <w:lang w:val="en-US"/>
        </w:rPr>
        <w:t xml:space="preserve">for </w:t>
      </w:r>
      <w:r w:rsidR="000F29EB">
        <w:rPr>
          <w:rFonts w:ascii="Arial" w:eastAsia="Times New Roman" w:hAnsi="Arial" w:cs="Arial"/>
          <w:kern w:val="0"/>
          <w:sz w:val="20"/>
          <w:szCs w:val="20"/>
          <w:lang w:val="en-US"/>
        </w:rPr>
        <w:t xml:space="preserve">numerous </w:t>
      </w:r>
      <w:r w:rsidRPr="0090769E">
        <w:rPr>
          <w:rFonts w:ascii="Arial" w:eastAsia="Times New Roman" w:hAnsi="Arial" w:cs="Arial"/>
          <w:kern w:val="0"/>
          <w:sz w:val="20"/>
          <w:szCs w:val="20"/>
          <w:lang w:val="en-US"/>
        </w:rPr>
        <w:t xml:space="preserve">physiological and metabolic functions in plants and humans. Their prevalent deficiencies in soils is a pervasive question escort to abridged crop productivity and throw in notably to malnutrition, on global scale, principally in mounting regions where staple crops form the bulk of the diet. </w:t>
      </w:r>
      <w:r w:rsidRPr="0090769E">
        <w:rPr>
          <w:rFonts w:ascii="Arial" w:hAnsi="Arial" w:cs="Arial"/>
          <w:sz w:val="20"/>
          <w:szCs w:val="20"/>
        </w:rPr>
        <w:t>To address the dietary micronutrient deficiencies, a range of interventions has been implemented, with biofortification standing out as a sustainable and economically viable long-term solution. Biofortification may be accomplished via agronomic, conventional breeding, transgenic, and, more recently, microbe-assisted modalities. This review delineates the pivotal role of plant growth-promoting microorganisms (PGPMs)—integral agents in biogeochemical nutrient cycling—in augmenting the accumulation of zinc and iron in crop plants</w:t>
      </w:r>
      <w:r w:rsidRPr="0090769E">
        <w:rPr>
          <w:rFonts w:ascii="Arial" w:eastAsia="Times New Roman" w:hAnsi="Arial" w:cs="Arial"/>
          <w:kern w:val="0"/>
          <w:sz w:val="20"/>
          <w:szCs w:val="20"/>
          <w:lang w:val="en-US"/>
        </w:rPr>
        <w:t xml:space="preserve">. </w:t>
      </w:r>
      <w:r w:rsidRPr="0090769E">
        <w:rPr>
          <w:rFonts w:ascii="Arial" w:hAnsi="Arial" w:cs="Arial"/>
          <w:sz w:val="20"/>
          <w:szCs w:val="20"/>
        </w:rPr>
        <w:t xml:space="preserve">These microbes mediate nutrient acquisition through a intricate mechanisms, including the biosynthesis of organic acids, phytohormones, and siderophores; upregulation of metal transporter gene expression; morphological and anatomical modulation of root architecture; and enhancement of nutrient bioavailability via the solubilization of zinc, phosphorus, and potassium. Furthermore, microbial attributes such as nitrogen fixation, exopolysaccharide (EPS) secretion, biofilm formation, and antagonistic activity against phytopathogens collectively strengthen plant health and facilitate micronutrient assimilation. Elucidating and strategically exploiting these multifaceted microbial functionalities </w:t>
      </w:r>
      <w:r w:rsidR="00CA284F">
        <w:rPr>
          <w:rFonts w:ascii="Arial" w:hAnsi="Arial" w:cs="Arial"/>
          <w:sz w:val="20"/>
          <w:szCs w:val="20"/>
        </w:rPr>
        <w:t xml:space="preserve">lead to </w:t>
      </w:r>
      <w:r w:rsidRPr="0090769E">
        <w:rPr>
          <w:rFonts w:ascii="Arial" w:hAnsi="Arial" w:cs="Arial"/>
          <w:sz w:val="20"/>
          <w:szCs w:val="20"/>
        </w:rPr>
        <w:t>the development of environmentally benign and sustainable biofortification paradigms and advance global food and nutritional security.</w:t>
      </w:r>
      <w:r w:rsidR="00CA284F">
        <w:rPr>
          <w:rFonts w:ascii="Arial" w:hAnsi="Arial" w:cs="Arial"/>
          <w:sz w:val="20"/>
          <w:szCs w:val="20"/>
        </w:rPr>
        <w:t xml:space="preserve"> </w:t>
      </w:r>
      <w:r w:rsidRPr="0090769E">
        <w:rPr>
          <w:rFonts w:ascii="Arial" w:hAnsi="Arial" w:cs="Arial"/>
          <w:sz w:val="20"/>
          <w:szCs w:val="20"/>
        </w:rPr>
        <w:t xml:space="preserve"> </w:t>
      </w:r>
    </w:p>
    <w:p w:rsidR="00484C40" w:rsidRPr="0090769E" w:rsidRDefault="007F7605" w:rsidP="00484C40">
      <w:pPr>
        <w:spacing w:line="276" w:lineRule="auto"/>
        <w:jc w:val="both"/>
        <w:rPr>
          <w:rFonts w:ascii="Arial" w:hAnsi="Arial" w:cs="Arial"/>
          <w:sz w:val="20"/>
          <w:szCs w:val="20"/>
        </w:rPr>
      </w:pPr>
      <w:r w:rsidRPr="0090769E">
        <w:rPr>
          <w:rFonts w:ascii="Arial" w:hAnsi="Arial" w:cs="Arial"/>
          <w:sz w:val="20"/>
          <w:szCs w:val="20"/>
        </w:rPr>
        <w:t xml:space="preserve">Keywords: Microbes, Biofortification, Plant growth, Zinc and Iron </w:t>
      </w:r>
    </w:p>
    <w:p w:rsidR="00B731C0" w:rsidRPr="0067060A" w:rsidRDefault="00B731C0" w:rsidP="0067060A">
      <w:pPr>
        <w:pStyle w:val="ListParagraph"/>
        <w:numPr>
          <w:ilvl w:val="0"/>
          <w:numId w:val="42"/>
        </w:numPr>
        <w:tabs>
          <w:tab w:val="left" w:pos="360"/>
        </w:tabs>
        <w:spacing w:before="120" w:after="120" w:line="276" w:lineRule="auto"/>
        <w:rPr>
          <w:rFonts w:ascii="Arial" w:eastAsia="Times New Roman" w:hAnsi="Arial" w:cs="Arial"/>
          <w:b/>
          <w:bCs/>
          <w:color w:val="000000" w:themeColor="text1"/>
          <w:kern w:val="0"/>
        </w:rPr>
      </w:pPr>
      <w:bookmarkStart w:id="0" w:name="_Toc38845474"/>
      <w:bookmarkEnd w:id="0"/>
      <w:r w:rsidRPr="0067060A">
        <w:rPr>
          <w:rFonts w:ascii="Arial" w:eastAsia="Times New Roman" w:hAnsi="Arial" w:cs="Arial"/>
          <w:b/>
          <w:bCs/>
          <w:color w:val="000000" w:themeColor="text1"/>
          <w:kern w:val="0"/>
        </w:rPr>
        <w:t xml:space="preserve">INTRODUCTION </w:t>
      </w:r>
      <w:r w:rsidRPr="0067060A">
        <w:rPr>
          <w:rFonts w:ascii="Arial" w:eastAsia="Times New Roman" w:hAnsi="Arial" w:cs="Arial"/>
          <w:b/>
          <w:bCs/>
          <w:color w:val="000000" w:themeColor="text1"/>
          <w:kern w:val="0"/>
        </w:rPr>
        <w:tab/>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Micronutrient deficiencies, commonly referred to as "hidden hunger," affect nearly one-third of the global population, impacting approximately two billion individual’s worldwide (</w:t>
      </w:r>
      <w:r w:rsidRPr="0090769E">
        <w:rPr>
          <w:rFonts w:ascii="Arial" w:hAnsi="Arial" w:cs="Arial"/>
          <w:b/>
          <w:sz w:val="20"/>
          <w:szCs w:val="20"/>
        </w:rPr>
        <w:t>Bailey et al., 2015</w:t>
      </w:r>
      <w:r w:rsidRPr="0090769E">
        <w:rPr>
          <w:rFonts w:ascii="Arial" w:hAnsi="Arial" w:cs="Arial"/>
          <w:sz w:val="20"/>
          <w:szCs w:val="20"/>
        </w:rPr>
        <w:t>). This widespread issue is predominantly driven by insufficient intake of key nutrients like iron, zinc, vitamin A, and folate, often stemming from diets dominated by low-cost staple crops with minimal diversity (</w:t>
      </w:r>
      <w:r w:rsidRPr="0090769E">
        <w:rPr>
          <w:rFonts w:ascii="Arial" w:hAnsi="Arial" w:cs="Arial"/>
          <w:b/>
          <w:sz w:val="20"/>
          <w:szCs w:val="20"/>
        </w:rPr>
        <w:t>Van et al., 2020</w:t>
      </w:r>
      <w:r w:rsidRPr="0090769E">
        <w:rPr>
          <w:rFonts w:ascii="Arial" w:hAnsi="Arial" w:cs="Arial"/>
          <w:sz w:val="20"/>
          <w:szCs w:val="20"/>
        </w:rPr>
        <w:t xml:space="preserve">). In India, soil nutrient deficiencies </w:t>
      </w:r>
      <w:r w:rsidR="00AA7147" w:rsidRPr="0090769E">
        <w:rPr>
          <w:rFonts w:ascii="Arial" w:hAnsi="Arial" w:cs="Arial"/>
          <w:sz w:val="20"/>
          <w:szCs w:val="20"/>
        </w:rPr>
        <w:t>auxiliary</w:t>
      </w:r>
      <w:r w:rsidR="00CA284F">
        <w:rPr>
          <w:rFonts w:ascii="Arial" w:hAnsi="Arial" w:cs="Arial"/>
          <w:sz w:val="20"/>
          <w:szCs w:val="20"/>
        </w:rPr>
        <w:t xml:space="preserve"> </w:t>
      </w:r>
      <w:r w:rsidR="00AA7147" w:rsidRPr="0090769E">
        <w:rPr>
          <w:rFonts w:ascii="Arial" w:hAnsi="Arial" w:cs="Arial"/>
          <w:sz w:val="20"/>
          <w:szCs w:val="20"/>
        </w:rPr>
        <w:t>worsen</w:t>
      </w:r>
      <w:r w:rsidRPr="0090769E">
        <w:rPr>
          <w:rFonts w:ascii="Arial" w:hAnsi="Arial" w:cs="Arial"/>
          <w:sz w:val="20"/>
          <w:szCs w:val="20"/>
        </w:rPr>
        <w:t xml:space="preserve"> this </w:t>
      </w:r>
      <w:r w:rsidR="00AA7147" w:rsidRPr="0090769E">
        <w:rPr>
          <w:rFonts w:ascii="Arial" w:hAnsi="Arial" w:cs="Arial"/>
          <w:sz w:val="20"/>
          <w:szCs w:val="20"/>
        </w:rPr>
        <w:t>trouble</w:t>
      </w:r>
      <w:r w:rsidRPr="0090769E">
        <w:rPr>
          <w:rFonts w:ascii="Arial" w:hAnsi="Arial" w:cs="Arial"/>
          <w:sz w:val="20"/>
          <w:szCs w:val="20"/>
        </w:rPr>
        <w:t xml:space="preserve">, with 19.2% of soils </w:t>
      </w:r>
      <w:r w:rsidR="00AA7147" w:rsidRPr="0090769E">
        <w:rPr>
          <w:rFonts w:ascii="Arial" w:hAnsi="Arial" w:cs="Arial"/>
          <w:sz w:val="20"/>
          <w:szCs w:val="20"/>
        </w:rPr>
        <w:t>deficient</w:t>
      </w:r>
      <w:r w:rsidR="00CA284F">
        <w:rPr>
          <w:rFonts w:ascii="Arial" w:hAnsi="Arial" w:cs="Arial"/>
          <w:sz w:val="20"/>
          <w:szCs w:val="20"/>
        </w:rPr>
        <w:t xml:space="preserve"> </w:t>
      </w:r>
      <w:r w:rsidR="00AA7147" w:rsidRPr="0090769E">
        <w:rPr>
          <w:rFonts w:ascii="Arial" w:hAnsi="Arial" w:cs="Arial"/>
          <w:sz w:val="20"/>
          <w:szCs w:val="20"/>
        </w:rPr>
        <w:t>plenty</w:t>
      </w:r>
      <w:r w:rsidRPr="0090769E">
        <w:rPr>
          <w:rFonts w:ascii="Arial" w:hAnsi="Arial" w:cs="Arial"/>
          <w:sz w:val="20"/>
          <w:szCs w:val="20"/>
        </w:rPr>
        <w:t xml:space="preserve"> iron and 51.2% deficient in zinc (</w:t>
      </w:r>
      <w:r w:rsidRPr="0090769E">
        <w:rPr>
          <w:rFonts w:ascii="Arial" w:hAnsi="Arial" w:cs="Arial"/>
          <w:b/>
          <w:sz w:val="20"/>
          <w:szCs w:val="20"/>
        </w:rPr>
        <w:t>Shukla et al., 2021</w:t>
      </w:r>
      <w:r w:rsidRPr="0090769E">
        <w:rPr>
          <w:rFonts w:ascii="Arial" w:hAnsi="Arial" w:cs="Arial"/>
          <w:sz w:val="20"/>
          <w:szCs w:val="20"/>
        </w:rPr>
        <w:t xml:space="preserve">). These deficiencies </w:t>
      </w:r>
      <w:r w:rsidR="00AA7147" w:rsidRPr="0090769E">
        <w:rPr>
          <w:rFonts w:ascii="Arial" w:hAnsi="Arial" w:cs="Arial"/>
          <w:sz w:val="20"/>
          <w:szCs w:val="20"/>
        </w:rPr>
        <w:t>considerably</w:t>
      </w:r>
      <w:r w:rsidR="00CA284F">
        <w:rPr>
          <w:rFonts w:ascii="Arial" w:hAnsi="Arial" w:cs="Arial"/>
          <w:sz w:val="20"/>
          <w:szCs w:val="20"/>
        </w:rPr>
        <w:t xml:space="preserve"> </w:t>
      </w:r>
      <w:r w:rsidR="00AA7147" w:rsidRPr="0090769E">
        <w:rPr>
          <w:rFonts w:ascii="Arial" w:hAnsi="Arial" w:cs="Arial"/>
          <w:sz w:val="20"/>
          <w:szCs w:val="20"/>
        </w:rPr>
        <w:t>influence</w:t>
      </w:r>
      <w:r w:rsidRPr="0090769E">
        <w:rPr>
          <w:rFonts w:ascii="Arial" w:hAnsi="Arial" w:cs="Arial"/>
          <w:sz w:val="20"/>
          <w:szCs w:val="20"/>
        </w:rPr>
        <w:t xml:space="preserve"> human </w:t>
      </w:r>
      <w:r w:rsidR="00AA7147" w:rsidRPr="0090769E">
        <w:rPr>
          <w:rFonts w:ascii="Arial" w:hAnsi="Arial" w:cs="Arial"/>
          <w:sz w:val="20"/>
          <w:szCs w:val="20"/>
        </w:rPr>
        <w:t>wellbeing</w:t>
      </w:r>
      <w:r w:rsidRPr="0090769E">
        <w:rPr>
          <w:rFonts w:ascii="Arial" w:hAnsi="Arial" w:cs="Arial"/>
          <w:sz w:val="20"/>
          <w:szCs w:val="20"/>
        </w:rPr>
        <w:t xml:space="preserve">, agricultural productivity, and economic </w:t>
      </w:r>
      <w:r w:rsidR="00AA7147" w:rsidRPr="0090769E">
        <w:rPr>
          <w:rFonts w:ascii="Arial" w:hAnsi="Arial" w:cs="Arial"/>
          <w:sz w:val="20"/>
          <w:szCs w:val="20"/>
        </w:rPr>
        <w:t>advancement</w:t>
      </w:r>
      <w:r w:rsidRPr="0090769E">
        <w:rPr>
          <w:rFonts w:ascii="Arial" w:hAnsi="Arial" w:cs="Arial"/>
          <w:sz w:val="20"/>
          <w:szCs w:val="20"/>
        </w:rPr>
        <w:t>.</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Iron (Fe) and zinc (Zn) are </w:t>
      </w:r>
      <w:r w:rsidR="00AA7147" w:rsidRPr="0090769E">
        <w:rPr>
          <w:rFonts w:ascii="Arial" w:hAnsi="Arial" w:cs="Arial"/>
          <w:sz w:val="20"/>
          <w:szCs w:val="20"/>
        </w:rPr>
        <w:t>requisite</w:t>
      </w:r>
      <w:r w:rsidRPr="0090769E">
        <w:rPr>
          <w:rFonts w:ascii="Arial" w:hAnsi="Arial" w:cs="Arial"/>
          <w:sz w:val="20"/>
          <w:szCs w:val="20"/>
        </w:rPr>
        <w:t xml:space="preserve"> for both plant and human health. Zinc plays a </w:t>
      </w:r>
      <w:r w:rsidR="00462B61" w:rsidRPr="0090769E">
        <w:rPr>
          <w:rFonts w:ascii="Arial" w:hAnsi="Arial" w:cs="Arial"/>
          <w:sz w:val="20"/>
          <w:szCs w:val="20"/>
        </w:rPr>
        <w:t>decisive</w:t>
      </w:r>
      <w:r w:rsidRPr="0090769E">
        <w:rPr>
          <w:rFonts w:ascii="Arial" w:hAnsi="Arial" w:cs="Arial"/>
          <w:sz w:val="20"/>
          <w:szCs w:val="20"/>
        </w:rPr>
        <w:t xml:space="preserve"> role in plants by supporting photosynthesis, carbohydrate synthesis, auxin metabolism, and protein production, while also ensuring pollen viability and plasma membrane integrity (</w:t>
      </w:r>
      <w:r w:rsidRPr="0090769E">
        <w:rPr>
          <w:rFonts w:ascii="Arial" w:hAnsi="Arial" w:cs="Arial"/>
          <w:b/>
          <w:sz w:val="20"/>
          <w:szCs w:val="20"/>
        </w:rPr>
        <w:t>Rashid, 1994; Alloway, 2008</w:t>
      </w:r>
      <w:r w:rsidRPr="0090769E">
        <w:rPr>
          <w:rFonts w:ascii="Arial" w:hAnsi="Arial" w:cs="Arial"/>
          <w:sz w:val="20"/>
          <w:szCs w:val="20"/>
        </w:rPr>
        <w:t>). Zinc deficiency in plants hampers these physiological processes, leading to growth stunting, leaf chlorosis, and reduced grain quality (</w:t>
      </w:r>
      <w:r w:rsidRPr="0090769E">
        <w:rPr>
          <w:rFonts w:ascii="Arial" w:hAnsi="Arial" w:cs="Arial"/>
          <w:b/>
          <w:sz w:val="20"/>
          <w:szCs w:val="20"/>
        </w:rPr>
        <w:t>Mumtaz et al., 2017</w:t>
      </w:r>
      <w:r w:rsidRPr="0090769E">
        <w:rPr>
          <w:rFonts w:ascii="Arial" w:hAnsi="Arial" w:cs="Arial"/>
          <w:sz w:val="20"/>
          <w:szCs w:val="20"/>
        </w:rPr>
        <w:t>). Similarly, iron is vital for chlorophyll synthesis, photosynthesis, and respiration in plants, and its deficiency causes interveinal chlorosis and decreased crop yield (</w:t>
      </w:r>
      <w:r w:rsidRPr="0090769E">
        <w:rPr>
          <w:rFonts w:ascii="Arial" w:hAnsi="Arial" w:cs="Arial"/>
          <w:b/>
          <w:sz w:val="20"/>
          <w:szCs w:val="20"/>
        </w:rPr>
        <w:t>Briat et al., 2015</w:t>
      </w:r>
      <w:r w:rsidRPr="0090769E">
        <w:rPr>
          <w:rFonts w:ascii="Arial" w:hAnsi="Arial" w:cs="Arial"/>
          <w:sz w:val="20"/>
          <w:szCs w:val="20"/>
        </w:rPr>
        <w:t>). In humans, these micronutrients are equally essential. Zinc supports immunity, growth, and wound healing, while iron is integral to oxygen transport, DNA synthesis, and energy metabolism. Deficiencies in these nutrients lead to growth retardation, anemia, and immune dysfunction (</w:t>
      </w:r>
      <w:r w:rsidRPr="0090769E">
        <w:rPr>
          <w:rFonts w:ascii="Arial" w:hAnsi="Arial" w:cs="Arial"/>
          <w:b/>
          <w:sz w:val="20"/>
          <w:szCs w:val="20"/>
        </w:rPr>
        <w:t>Malik and Maqbool, 2020; Kumar et al., 2022</w:t>
      </w:r>
      <w:r w:rsidRPr="0090769E">
        <w:rPr>
          <w:rFonts w:ascii="Arial" w:hAnsi="Arial" w:cs="Arial"/>
          <w:sz w:val="20"/>
          <w:szCs w:val="20"/>
        </w:rPr>
        <w:t>).</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Addressing these nutritional challenges demands innovative strategies. Among approaches like supplementation, fortification, and dietary diversification, biofortification has emerged as a sustainable </w:t>
      </w:r>
      <w:r w:rsidRPr="0090769E">
        <w:rPr>
          <w:rFonts w:ascii="Arial" w:hAnsi="Arial" w:cs="Arial"/>
          <w:sz w:val="20"/>
          <w:szCs w:val="20"/>
        </w:rPr>
        <w:lastRenderedPageBreak/>
        <w:t>and cost-effective solution. This technique involves enriching crops with essential nutrients through genetic engineering, conventional breeding, agronomic interventions, and microbial assistance (</w:t>
      </w:r>
      <w:r w:rsidRPr="0090769E">
        <w:rPr>
          <w:rFonts w:ascii="Arial" w:hAnsi="Arial" w:cs="Arial"/>
          <w:b/>
          <w:sz w:val="20"/>
          <w:szCs w:val="20"/>
        </w:rPr>
        <w:t>Naik et al., 2024</w:t>
      </w:r>
      <w:r w:rsidR="00FD4F73">
        <w:rPr>
          <w:rFonts w:ascii="Arial" w:hAnsi="Arial" w:cs="Arial"/>
          <w:b/>
          <w:sz w:val="20"/>
          <w:szCs w:val="20"/>
        </w:rPr>
        <w:t>;</w:t>
      </w:r>
      <w:r w:rsidR="00FD4F73" w:rsidRPr="00FD4F73">
        <w:rPr>
          <w:rFonts w:ascii="Arial" w:hAnsi="Arial" w:cs="Arial"/>
          <w:b/>
          <w:sz w:val="20"/>
          <w:szCs w:val="20"/>
          <w:lang w:val="en-GB"/>
        </w:rPr>
        <w:t xml:space="preserve"> Jinjala</w:t>
      </w:r>
      <w:r w:rsidR="00FD4F73">
        <w:rPr>
          <w:rFonts w:ascii="Arial" w:hAnsi="Arial" w:cs="Arial"/>
          <w:b/>
          <w:sz w:val="20"/>
          <w:szCs w:val="20"/>
          <w:lang w:val="en-GB"/>
        </w:rPr>
        <w:t xml:space="preserve"> et al., 2024</w:t>
      </w:r>
      <w:r w:rsidRPr="0090769E">
        <w:rPr>
          <w:rFonts w:ascii="Arial" w:hAnsi="Arial" w:cs="Arial"/>
          <w:sz w:val="20"/>
          <w:szCs w:val="20"/>
        </w:rPr>
        <w:t>). Microbe-mediated biofortification, in particular, offers an eco-friendly approach by utilizing rhizospheric and endophytic microorganisms to enhance nutrient uptake in plants. These microbes improve soil fertility, mobilize nutrients like Fe and Zn, and promote plant growth through mechanisms such as siderophore production, organic acid secretion, and pH modulation (</w:t>
      </w:r>
      <w:r w:rsidRPr="0090769E">
        <w:rPr>
          <w:rFonts w:ascii="Arial" w:hAnsi="Arial" w:cs="Arial"/>
          <w:b/>
          <w:sz w:val="20"/>
          <w:szCs w:val="20"/>
        </w:rPr>
        <w:t>Chen et al., 2014</w:t>
      </w:r>
      <w:r w:rsidRPr="0090769E">
        <w:rPr>
          <w:rFonts w:ascii="Arial" w:hAnsi="Arial" w:cs="Arial"/>
          <w:sz w:val="20"/>
          <w:szCs w:val="20"/>
        </w:rPr>
        <w:t>). Recent studies demonstrate the potential of microbial inoculants in enhancing crop nutrition. For instance, zinc-solubilizing bacteria increase zinc uptake in soybeans, while siderophore-producing bacteria enhance iron content in wheat grains (</w:t>
      </w:r>
      <w:r w:rsidRPr="0090769E">
        <w:rPr>
          <w:rFonts w:ascii="Arial" w:hAnsi="Arial" w:cs="Arial"/>
          <w:b/>
          <w:sz w:val="20"/>
          <w:szCs w:val="20"/>
        </w:rPr>
        <w:t>Sharma et al., 2013; Sun et al., 2021</w:t>
      </w:r>
      <w:r w:rsidRPr="0090769E">
        <w:rPr>
          <w:rFonts w:ascii="Arial" w:hAnsi="Arial" w:cs="Arial"/>
          <w:sz w:val="20"/>
          <w:szCs w:val="20"/>
        </w:rPr>
        <w:t>). Such approaches not only boost crop yield and nutritional quality but also address global malnutrition by ensuring nutrient-rich food availability. This review underscores the significance of microbe-mediated biofortification as a promising strategy to mitigate zinc and iron deficiencies, contributing to improved agricultural productivity and nutritional security.</w:t>
      </w:r>
    </w:p>
    <w:p w:rsidR="00B731C0" w:rsidRPr="0067060A" w:rsidRDefault="00705922" w:rsidP="0067060A">
      <w:pPr>
        <w:pStyle w:val="ListParagraph"/>
        <w:numPr>
          <w:ilvl w:val="0"/>
          <w:numId w:val="42"/>
        </w:numPr>
        <w:spacing w:before="120" w:after="120" w:line="276" w:lineRule="auto"/>
        <w:jc w:val="both"/>
        <w:rPr>
          <w:rFonts w:ascii="Arial" w:hAnsi="Arial" w:cs="Arial"/>
        </w:rPr>
      </w:pPr>
      <w:r w:rsidRPr="0067060A">
        <w:rPr>
          <w:rFonts w:ascii="Arial" w:hAnsi="Arial" w:cs="Arial"/>
          <w:b/>
          <w:bCs/>
          <w:color w:val="000000" w:themeColor="text1"/>
        </w:rPr>
        <w:t>STATUS OF IRON (FE) AND ZINC (ZN) IN SOIL</w:t>
      </w:r>
    </w:p>
    <w:p w:rsidR="00B731C0" w:rsidRPr="0090769E" w:rsidRDefault="00B731C0" w:rsidP="00B731C0">
      <w:pPr>
        <w:spacing w:before="120" w:after="120" w:line="276" w:lineRule="auto"/>
        <w:ind w:firstLine="720"/>
        <w:jc w:val="both"/>
        <w:rPr>
          <w:rFonts w:ascii="Arial" w:hAnsi="Arial" w:cs="Arial"/>
          <w:sz w:val="20"/>
          <w:szCs w:val="20"/>
        </w:rPr>
      </w:pPr>
      <w:r w:rsidRPr="0090769E">
        <w:rPr>
          <w:rFonts w:ascii="Arial" w:hAnsi="Arial" w:cs="Arial"/>
          <w:sz w:val="20"/>
          <w:szCs w:val="20"/>
        </w:rPr>
        <w:t>The Green Revolution, while addressing food demands, has led to a decline in soil micronutrient content, particularly in India (</w:t>
      </w:r>
      <w:r w:rsidRPr="0090769E">
        <w:rPr>
          <w:rFonts w:ascii="Arial" w:hAnsi="Arial" w:cs="Arial"/>
          <w:b/>
          <w:sz w:val="20"/>
          <w:szCs w:val="20"/>
        </w:rPr>
        <w:t>Pingali, 2023; Kaur et al., 2021</w:t>
      </w:r>
      <w:r w:rsidRPr="0090769E">
        <w:rPr>
          <w:rFonts w:ascii="Arial" w:hAnsi="Arial" w:cs="Arial"/>
          <w:sz w:val="20"/>
          <w:szCs w:val="20"/>
        </w:rPr>
        <w:t>). Essential micronutrients like zinc, iron, manganese, copper, and nickel are crucial for crop growth (</w:t>
      </w:r>
      <w:r w:rsidRPr="0090769E">
        <w:rPr>
          <w:rFonts w:ascii="Arial" w:hAnsi="Arial" w:cs="Arial"/>
          <w:b/>
          <w:sz w:val="20"/>
          <w:szCs w:val="20"/>
        </w:rPr>
        <w:t>Barker and Pilbeam, 2015</w:t>
      </w:r>
      <w:r w:rsidRPr="0090769E">
        <w:rPr>
          <w:rFonts w:ascii="Arial" w:hAnsi="Arial" w:cs="Arial"/>
          <w:sz w:val="20"/>
          <w:szCs w:val="20"/>
        </w:rPr>
        <w:t>). Indian soils show significant deficiencies: 49% in zinc, 12% in iron, and varying levels in other micronutrients (</w:t>
      </w:r>
      <w:r w:rsidRPr="0090769E">
        <w:rPr>
          <w:rFonts w:ascii="Arial" w:hAnsi="Arial" w:cs="Arial"/>
          <w:b/>
          <w:sz w:val="20"/>
          <w:szCs w:val="20"/>
        </w:rPr>
        <w:t>Singh, 2008</w:t>
      </w:r>
      <w:r w:rsidRPr="0090769E">
        <w:rPr>
          <w:rFonts w:ascii="Arial" w:hAnsi="Arial" w:cs="Arial"/>
          <w:sz w:val="20"/>
          <w:szCs w:val="20"/>
        </w:rPr>
        <w:t>). This scarcity affects crop yields and food security, driven by factors such as poor organic carbon, low clay levels, intensive cropping, and the use of nutrient-deficient fertilizers (</w:t>
      </w:r>
      <w:r w:rsidRPr="0090769E">
        <w:rPr>
          <w:rFonts w:ascii="Arial" w:hAnsi="Arial" w:cs="Arial"/>
          <w:b/>
          <w:sz w:val="20"/>
          <w:szCs w:val="20"/>
        </w:rPr>
        <w:t>Anand et al., 2019</w:t>
      </w:r>
      <w:r w:rsidRPr="0090769E">
        <w:rPr>
          <w:rFonts w:ascii="Arial" w:hAnsi="Arial" w:cs="Arial"/>
          <w:sz w:val="20"/>
          <w:szCs w:val="20"/>
        </w:rPr>
        <w:t xml:space="preserve">). </w:t>
      </w:r>
    </w:p>
    <w:p w:rsidR="00B731C0" w:rsidRPr="0090769E" w:rsidRDefault="0067060A" w:rsidP="00B731C0">
      <w:pPr>
        <w:spacing w:before="120" w:after="120" w:line="276" w:lineRule="auto"/>
        <w:jc w:val="both"/>
        <w:rPr>
          <w:rFonts w:ascii="Arial" w:hAnsi="Arial" w:cs="Arial"/>
          <w:b/>
          <w:bCs/>
        </w:rPr>
      </w:pPr>
      <w:r>
        <w:rPr>
          <w:rFonts w:ascii="Arial" w:hAnsi="Arial" w:cs="Arial"/>
          <w:b/>
          <w:bCs/>
          <w:color w:val="000000" w:themeColor="text1"/>
        </w:rPr>
        <w:t xml:space="preserve">3. </w:t>
      </w:r>
      <w:r w:rsidR="00705922" w:rsidRPr="0090769E">
        <w:rPr>
          <w:rFonts w:ascii="Arial" w:hAnsi="Arial" w:cs="Arial"/>
          <w:b/>
          <w:bCs/>
          <w:color w:val="000000" w:themeColor="text1"/>
        </w:rPr>
        <w:t>CAUSES OF MICRONUTRIENT DEFICIENCIES</w:t>
      </w:r>
      <w:r w:rsidR="00705922" w:rsidRPr="0090769E">
        <w:rPr>
          <w:rFonts w:ascii="Arial" w:hAnsi="Arial" w:cs="Arial"/>
          <w:b/>
          <w:bCs/>
        </w:rPr>
        <w:t xml:space="preserve"> ADDRESSING CLIMATE CHANGE </w:t>
      </w:r>
    </w:p>
    <w:p w:rsidR="00B731C0" w:rsidRPr="0090769E" w:rsidRDefault="00B731C0" w:rsidP="00B731C0">
      <w:pPr>
        <w:spacing w:before="120" w:after="120" w:line="276" w:lineRule="auto"/>
        <w:ind w:firstLine="720"/>
        <w:jc w:val="both"/>
        <w:rPr>
          <w:rFonts w:ascii="Arial" w:hAnsi="Arial" w:cs="Arial"/>
          <w:spacing w:val="-2"/>
          <w:sz w:val="20"/>
          <w:szCs w:val="20"/>
        </w:rPr>
      </w:pPr>
      <w:r w:rsidRPr="0090769E">
        <w:rPr>
          <w:rFonts w:ascii="Arial" w:hAnsi="Arial" w:cs="Arial"/>
          <w:sz w:val="20"/>
          <w:szCs w:val="20"/>
        </w:rPr>
        <w:t>Iron (Fe) and zinc (Zn) are crucial for human nutrition but are often deficient in diets worldwide (</w:t>
      </w:r>
      <w:r w:rsidRPr="0090769E">
        <w:rPr>
          <w:rFonts w:ascii="Arial" w:hAnsi="Arial" w:cs="Arial"/>
          <w:b/>
          <w:sz w:val="20"/>
          <w:szCs w:val="20"/>
        </w:rPr>
        <w:t>Shekari et al., 2015</w:t>
      </w:r>
      <w:r w:rsidRPr="0090769E">
        <w:rPr>
          <w:rFonts w:ascii="Arial" w:hAnsi="Arial" w:cs="Arial"/>
          <w:sz w:val="20"/>
          <w:szCs w:val="20"/>
        </w:rPr>
        <w:t>). Environmental factors contributing to plant micronutrient deficiencies include inadequate light, varying temperatures, heavy rainfall, increased CO</w:t>
      </w:r>
      <w:r w:rsidRPr="0090769E">
        <w:rPr>
          <w:rFonts w:ascii="Arial" w:hAnsi="Arial" w:cs="Arial"/>
          <w:sz w:val="20"/>
          <w:szCs w:val="20"/>
          <w:vertAlign w:val="subscript"/>
        </w:rPr>
        <w:t>2</w:t>
      </w:r>
      <w:r w:rsidRPr="0090769E">
        <w:rPr>
          <w:rFonts w:ascii="Arial" w:hAnsi="Arial" w:cs="Arial"/>
          <w:sz w:val="20"/>
          <w:szCs w:val="20"/>
        </w:rPr>
        <w:t xml:space="preserve"> levels, flooding, pathogen infections, soil composition, and antagonistic effects of specific micronutrients (</w:t>
      </w:r>
      <w:r w:rsidRPr="0090769E">
        <w:rPr>
          <w:rFonts w:ascii="Arial" w:hAnsi="Arial" w:cs="Arial"/>
          <w:b/>
          <w:sz w:val="20"/>
          <w:szCs w:val="20"/>
        </w:rPr>
        <w:t>Giri et al., 2017; Neenu and Ramesh 2020</w:t>
      </w:r>
      <w:r w:rsidRPr="0090769E">
        <w:rPr>
          <w:rFonts w:ascii="Arial" w:hAnsi="Arial" w:cs="Arial"/>
          <w:sz w:val="20"/>
          <w:szCs w:val="20"/>
        </w:rPr>
        <w:t>). Micronutrient deficiencies are prevalent in neutral to alkaline soils and anaerobic conditions in arid regions (</w:t>
      </w:r>
      <w:r w:rsidRPr="0090769E">
        <w:rPr>
          <w:rFonts w:ascii="Arial" w:hAnsi="Arial" w:cs="Arial"/>
          <w:b/>
          <w:sz w:val="20"/>
          <w:szCs w:val="20"/>
        </w:rPr>
        <w:t>Kalra et al., 2020</w:t>
      </w:r>
      <w:r w:rsidRPr="0090769E">
        <w:rPr>
          <w:rFonts w:ascii="Arial" w:hAnsi="Arial" w:cs="Arial"/>
          <w:sz w:val="20"/>
          <w:szCs w:val="20"/>
        </w:rPr>
        <w:t>). Soil pH, influenced by temperature and precipitation, affects crop growth, microbial activity, and nutrient availability (</w:t>
      </w:r>
      <w:r w:rsidRPr="0090769E">
        <w:rPr>
          <w:rFonts w:ascii="Arial" w:hAnsi="Arial" w:cs="Arial"/>
          <w:b/>
          <w:sz w:val="20"/>
          <w:szCs w:val="20"/>
        </w:rPr>
        <w:t>Zhang et al., 2019</w:t>
      </w:r>
      <w:r w:rsidRPr="0090769E">
        <w:rPr>
          <w:rFonts w:ascii="Arial" w:hAnsi="Arial" w:cs="Arial"/>
          <w:sz w:val="20"/>
          <w:szCs w:val="20"/>
        </w:rPr>
        <w:t>). Reduced humidity and low temperatures decrease root functioning and nutrient diffusion, while cold, damp soils inhibit Fe mobilization (</w:t>
      </w:r>
      <w:r w:rsidRPr="0090769E">
        <w:rPr>
          <w:rFonts w:ascii="Arial" w:hAnsi="Arial" w:cs="Arial"/>
          <w:b/>
          <w:sz w:val="20"/>
          <w:szCs w:val="20"/>
        </w:rPr>
        <w:t>Kumar et al., 2016</w:t>
      </w:r>
      <w:r w:rsidRPr="0090769E">
        <w:rPr>
          <w:rFonts w:ascii="Arial" w:hAnsi="Arial" w:cs="Arial"/>
          <w:sz w:val="20"/>
          <w:szCs w:val="20"/>
        </w:rPr>
        <w:t>). Staples like rice, wheat, and maize are low in Zn and Fe, which are further reduced by processing methods like milling and polishing (</w:t>
      </w:r>
      <w:r w:rsidRPr="0090769E">
        <w:rPr>
          <w:rFonts w:ascii="Arial" w:hAnsi="Arial" w:cs="Arial"/>
          <w:b/>
          <w:sz w:val="20"/>
          <w:szCs w:val="20"/>
        </w:rPr>
        <w:t>Shariatipour and Heidari, 2020</w:t>
      </w:r>
      <w:r w:rsidRPr="0090769E">
        <w:rPr>
          <w:rFonts w:ascii="Arial" w:hAnsi="Arial" w:cs="Arial"/>
          <w:sz w:val="20"/>
          <w:szCs w:val="20"/>
        </w:rPr>
        <w:t>). Climate change also heightens crop susceptibility to diseases, further threatening food security (</w:t>
      </w:r>
      <w:r w:rsidRPr="0090769E">
        <w:rPr>
          <w:rFonts w:ascii="Arial" w:hAnsi="Arial" w:cs="Arial"/>
          <w:b/>
          <w:sz w:val="20"/>
          <w:szCs w:val="20"/>
        </w:rPr>
        <w:t>Dong and Ronald, 2019</w:t>
      </w:r>
      <w:r w:rsidRPr="0090769E">
        <w:rPr>
          <w:rFonts w:ascii="Arial" w:hAnsi="Arial" w:cs="Arial"/>
          <w:sz w:val="20"/>
          <w:szCs w:val="20"/>
        </w:rPr>
        <w:t>). This issue extends to industrialized nations, where micronutrient-poor diets are increasingly prevalent (</w:t>
      </w:r>
      <w:r w:rsidRPr="0090769E">
        <w:rPr>
          <w:rFonts w:ascii="Arial" w:hAnsi="Arial" w:cs="Arial"/>
          <w:b/>
          <w:sz w:val="20"/>
          <w:szCs w:val="20"/>
        </w:rPr>
        <w:t>Allen et al., 2006</w:t>
      </w:r>
      <w:r w:rsidRPr="0090769E">
        <w:rPr>
          <w:rFonts w:ascii="Arial" w:hAnsi="Arial" w:cs="Arial"/>
          <w:sz w:val="20"/>
          <w:szCs w:val="20"/>
        </w:rPr>
        <w:t xml:space="preserve">). Addressing these challenges is critical for global food and nutrition security. </w:t>
      </w:r>
    </w:p>
    <w:p w:rsidR="00B731C0" w:rsidRPr="0090769E" w:rsidRDefault="0067060A" w:rsidP="00B731C0">
      <w:pPr>
        <w:tabs>
          <w:tab w:val="left" w:pos="360"/>
        </w:tabs>
        <w:spacing w:before="120" w:after="120" w:line="276" w:lineRule="auto"/>
        <w:jc w:val="both"/>
        <w:rPr>
          <w:rFonts w:ascii="Arial" w:hAnsi="Arial" w:cs="Arial"/>
          <w:b/>
          <w:bCs/>
          <w:color w:val="000000" w:themeColor="text1"/>
        </w:rPr>
      </w:pPr>
      <w:bookmarkStart w:id="1" w:name="_Hlk147314418"/>
      <w:r>
        <w:rPr>
          <w:rFonts w:ascii="Arial" w:hAnsi="Arial" w:cs="Arial"/>
          <w:b/>
          <w:bCs/>
          <w:color w:val="000000" w:themeColor="text1"/>
        </w:rPr>
        <w:t xml:space="preserve">4. </w:t>
      </w:r>
      <w:r w:rsidR="00705922" w:rsidRPr="0090769E">
        <w:rPr>
          <w:rFonts w:ascii="Arial" w:hAnsi="Arial" w:cs="Arial"/>
          <w:b/>
          <w:bCs/>
          <w:color w:val="000000" w:themeColor="text1"/>
        </w:rPr>
        <w:t xml:space="preserve">ZINC AND IRON: AN IMPERATIVE MICRONUTRIENT </w:t>
      </w:r>
    </w:p>
    <w:p w:rsidR="00B731C0" w:rsidRPr="0090769E" w:rsidRDefault="00B731C0" w:rsidP="00B731C0">
      <w:pPr>
        <w:autoSpaceDE w:val="0"/>
        <w:autoSpaceDN w:val="0"/>
        <w:adjustRightInd w:val="0"/>
        <w:spacing w:before="120" w:after="120" w:line="276" w:lineRule="auto"/>
        <w:ind w:firstLine="720"/>
        <w:jc w:val="both"/>
        <w:rPr>
          <w:rFonts w:ascii="Arial" w:hAnsi="Arial" w:cs="Arial"/>
          <w:b/>
          <w:bCs/>
          <w:kern w:val="0"/>
          <w:sz w:val="20"/>
          <w:szCs w:val="20"/>
          <w:lang w:bidi="hi-IN"/>
        </w:rPr>
      </w:pPr>
      <w:r w:rsidRPr="0090769E">
        <w:rPr>
          <w:rFonts w:ascii="Arial" w:eastAsia="Times New Roman" w:hAnsi="Arial" w:cs="Arial"/>
          <w:kern w:val="0"/>
          <w:sz w:val="20"/>
          <w:szCs w:val="20"/>
          <w:lang w:eastAsia="en-IN"/>
        </w:rPr>
        <w:t xml:space="preserve">Zinc (Zn) is an essential micronutrient and one of the most abundant transition metals, playing crucial roles in both human and plant health. It acts as a co-factor for over 300 enzymes involved in the metabolism of carbohydrates, lipids, proteins, and nucleic acids, and is vital for functions such as gene expression regulation and protein folding </w:t>
      </w:r>
      <w:r w:rsidRPr="0090769E">
        <w:rPr>
          <w:rFonts w:ascii="Arial" w:hAnsi="Arial" w:cs="Arial"/>
          <w:b/>
          <w:bCs/>
          <w:kern w:val="0"/>
          <w:sz w:val="20"/>
          <w:szCs w:val="20"/>
          <w:lang w:bidi="hi-IN"/>
        </w:rPr>
        <w:t xml:space="preserve">(Wani </w:t>
      </w:r>
      <w:r w:rsidRPr="0090769E">
        <w:rPr>
          <w:rFonts w:ascii="Arial" w:hAnsi="Arial" w:cs="Arial"/>
          <w:b/>
          <w:bCs/>
          <w:i/>
          <w:iCs/>
          <w:kern w:val="0"/>
          <w:sz w:val="20"/>
          <w:szCs w:val="20"/>
          <w:lang w:bidi="hi-IN"/>
        </w:rPr>
        <w:t>et al</w:t>
      </w:r>
      <w:r w:rsidRPr="0090769E">
        <w:rPr>
          <w:rFonts w:ascii="Arial" w:hAnsi="Arial" w:cs="Arial"/>
          <w:b/>
          <w:bCs/>
          <w:kern w:val="0"/>
          <w:sz w:val="20"/>
          <w:szCs w:val="20"/>
          <w:lang w:bidi="hi-IN"/>
        </w:rPr>
        <w:t>., 2017)</w:t>
      </w:r>
      <w:r w:rsidRPr="0090769E">
        <w:rPr>
          <w:rFonts w:ascii="Arial" w:hAnsi="Arial" w:cs="Arial"/>
          <w:kern w:val="0"/>
          <w:sz w:val="20"/>
          <w:szCs w:val="20"/>
          <w:lang w:bidi="hi-IN"/>
        </w:rPr>
        <w:t xml:space="preserve">. </w:t>
      </w:r>
      <w:r w:rsidRPr="0090769E">
        <w:rPr>
          <w:rFonts w:ascii="Arial" w:hAnsi="Arial" w:cs="Arial"/>
          <w:sz w:val="20"/>
          <w:szCs w:val="20"/>
        </w:rPr>
        <w:t>Zinc deficiency can lead to a range of health issues, including muscle weakness, skin problems, hair and memory loss, delayed puberty, nail dystrophy, diarrhoea, pneumonia in children, growth retardation, hypogonadism, erectile dysfunction, weakened immunity, alopecia, and an increased risk of cancer (</w:t>
      </w:r>
      <w:r w:rsidRPr="0090769E">
        <w:rPr>
          <w:rFonts w:ascii="Arial" w:hAnsi="Arial" w:cs="Arial"/>
          <w:b/>
          <w:bCs/>
          <w:kern w:val="0"/>
          <w:sz w:val="20"/>
          <w:szCs w:val="20"/>
          <w:lang w:bidi="hi-IN"/>
        </w:rPr>
        <w:t>Nakandalage</w:t>
      </w:r>
      <w:r w:rsidR="001032E5">
        <w:rPr>
          <w:rFonts w:ascii="Arial" w:hAnsi="Arial" w:cs="Arial"/>
          <w:b/>
          <w:bCs/>
          <w:kern w:val="0"/>
          <w:sz w:val="20"/>
          <w:szCs w:val="20"/>
          <w:lang w:bidi="hi-IN"/>
        </w:rPr>
        <w:t xml:space="preserve"> </w:t>
      </w:r>
      <w:r w:rsidRPr="0090769E">
        <w:rPr>
          <w:rFonts w:ascii="Arial" w:hAnsi="Arial" w:cs="Arial"/>
          <w:b/>
          <w:bCs/>
          <w:i/>
          <w:iCs/>
          <w:kern w:val="0"/>
          <w:sz w:val="20"/>
          <w:szCs w:val="20"/>
          <w:lang w:bidi="hi-IN"/>
        </w:rPr>
        <w:t>et al</w:t>
      </w:r>
      <w:r w:rsidRPr="0090769E">
        <w:rPr>
          <w:rFonts w:ascii="Arial" w:hAnsi="Arial" w:cs="Arial"/>
          <w:b/>
          <w:bCs/>
          <w:kern w:val="0"/>
          <w:sz w:val="20"/>
          <w:szCs w:val="20"/>
          <w:lang w:bidi="hi-IN"/>
        </w:rPr>
        <w:t xml:space="preserve">., 2016). </w:t>
      </w:r>
      <w:r w:rsidRPr="0090769E">
        <w:rPr>
          <w:rFonts w:ascii="Arial" w:eastAsia="Times New Roman" w:hAnsi="Arial" w:cs="Arial"/>
          <w:kern w:val="0"/>
          <w:sz w:val="20"/>
          <w:szCs w:val="20"/>
          <w:lang w:eastAsia="en-IN"/>
        </w:rPr>
        <w:t xml:space="preserve">In plants, zinc is essential for growth hormone production, internode elongation, and numerous metabolic functions. It activates enzymes such as carbonic anhydrase, RNA polymerases, and alcohol dehydrogenase </w:t>
      </w:r>
      <w:r w:rsidRPr="0090769E">
        <w:rPr>
          <w:rFonts w:ascii="Arial" w:hAnsi="Arial" w:cs="Arial"/>
          <w:b/>
          <w:bCs/>
          <w:kern w:val="0"/>
          <w:sz w:val="20"/>
          <w:szCs w:val="20"/>
          <w:lang w:bidi="hi-IN"/>
        </w:rPr>
        <w:t xml:space="preserve">(Palmer and Guerinot, 2009). </w:t>
      </w:r>
      <w:r w:rsidRPr="0090769E">
        <w:rPr>
          <w:rFonts w:ascii="Arial" w:eastAsia="Times New Roman" w:hAnsi="Arial" w:cs="Arial"/>
          <w:kern w:val="0"/>
          <w:sz w:val="20"/>
          <w:szCs w:val="20"/>
          <w:lang w:eastAsia="en-IN"/>
        </w:rPr>
        <w:t xml:space="preserve">Zinc deficiency in plants can cause: Interveinal chlorosis, striping and mottling on leaves, pale gray-white leaves, premature leaf shedding and plant death in severe cases </w:t>
      </w:r>
      <w:r w:rsidRPr="0090769E">
        <w:rPr>
          <w:rFonts w:ascii="Arial" w:hAnsi="Arial" w:cs="Arial"/>
          <w:b/>
          <w:bCs/>
          <w:kern w:val="0"/>
          <w:sz w:val="20"/>
          <w:szCs w:val="20"/>
          <w:lang w:bidi="hi-IN"/>
        </w:rPr>
        <w:t>(Kobayashi and Nishizawa, 2012).</w:t>
      </w:r>
    </w:p>
    <w:p w:rsidR="00B731C0" w:rsidRPr="0090769E" w:rsidRDefault="00B731C0" w:rsidP="00B731C0">
      <w:pPr>
        <w:autoSpaceDE w:val="0"/>
        <w:autoSpaceDN w:val="0"/>
        <w:adjustRightInd w:val="0"/>
        <w:spacing w:before="120" w:after="120" w:line="276" w:lineRule="auto"/>
        <w:ind w:firstLine="720"/>
        <w:jc w:val="both"/>
        <w:rPr>
          <w:rFonts w:ascii="Arial" w:hAnsi="Arial" w:cs="Arial"/>
          <w:sz w:val="20"/>
          <w:szCs w:val="20"/>
        </w:rPr>
      </w:pPr>
      <w:r w:rsidRPr="0090769E">
        <w:rPr>
          <w:rFonts w:ascii="Arial" w:hAnsi="Arial" w:cs="Arial"/>
          <w:sz w:val="20"/>
          <w:szCs w:val="20"/>
        </w:rPr>
        <w:lastRenderedPageBreak/>
        <w:t xml:space="preserve">Iron deficiency is a common constraint on plant growth and yield. Although soils contain significant iron, its availability to plants can be limited by alkaline pH, which causes iron to precipitate into insoluble forms. Iron is crucial for chlorophyll and cytochrome production, playing vital roles in respiration and photosynthesis, and is a key component of enzymes like peroxidase, catalase, and nitrogenase. It also aids in nitrogen fixation alongside molybdenum. Iron deficiency in plants impairs chlorophyll production, leading to interveinal chlorosis in young leaves, which may progress to a whitish-yellow appearance and necrosis as the deficiency worsens </w:t>
      </w:r>
      <w:r w:rsidRPr="0090769E">
        <w:rPr>
          <w:rFonts w:ascii="Arial" w:eastAsia="Times New Roman" w:hAnsi="Arial" w:cs="Arial"/>
          <w:b/>
          <w:color w:val="000000" w:themeColor="text1"/>
          <w:sz w:val="20"/>
          <w:szCs w:val="20"/>
        </w:rPr>
        <w:t>(Lucena and Hernandez, 2017</w:t>
      </w:r>
      <w:r w:rsidRPr="0090769E">
        <w:rPr>
          <w:rFonts w:ascii="Arial" w:eastAsia="Times New Roman" w:hAnsi="Arial" w:cs="Arial"/>
          <w:color w:val="000000" w:themeColor="text1"/>
          <w:sz w:val="20"/>
          <w:szCs w:val="20"/>
        </w:rPr>
        <w:t>)</w:t>
      </w:r>
      <w:r w:rsidRPr="0090769E">
        <w:rPr>
          <w:rFonts w:ascii="Arial" w:hAnsi="Arial" w:cs="Arial"/>
          <w:sz w:val="20"/>
          <w:szCs w:val="20"/>
        </w:rPr>
        <w:t xml:space="preserve">. In living organisms, iron is essential for catalytic functions of enzymes involved in oxygen transport, electron transfer, redox reactions, collagen biosynthesis, and vitamin D metabolism </w:t>
      </w:r>
      <w:r w:rsidRPr="0090769E">
        <w:rPr>
          <w:rFonts w:ascii="Arial" w:eastAsia="Times New Roman" w:hAnsi="Arial" w:cs="Arial"/>
          <w:b/>
          <w:color w:val="000000" w:themeColor="text1"/>
          <w:sz w:val="20"/>
          <w:szCs w:val="20"/>
        </w:rPr>
        <w:t>(</w:t>
      </w:r>
      <w:hyperlink r:id="rId7" w:anchor="B112" w:history="1">
        <w:r w:rsidRPr="0090769E">
          <w:rPr>
            <w:rFonts w:ascii="Arial" w:hAnsi="Arial" w:cs="Arial"/>
            <w:b/>
            <w:color w:val="000000" w:themeColor="text1"/>
            <w:sz w:val="20"/>
            <w:szCs w:val="20"/>
          </w:rPr>
          <w:t>Toxqui and Vaquero, 2015</w:t>
        </w:r>
      </w:hyperlink>
      <w:r w:rsidRPr="0090769E">
        <w:rPr>
          <w:rFonts w:ascii="Arial" w:eastAsia="Times New Roman" w:hAnsi="Arial" w:cs="Arial"/>
          <w:b/>
          <w:color w:val="000000" w:themeColor="text1"/>
          <w:sz w:val="20"/>
          <w:szCs w:val="20"/>
        </w:rPr>
        <w:t>)</w:t>
      </w:r>
      <w:r w:rsidRPr="0090769E">
        <w:rPr>
          <w:rFonts w:ascii="Arial" w:hAnsi="Arial" w:cs="Arial"/>
          <w:b/>
          <w:color w:val="000000" w:themeColor="text1"/>
          <w:sz w:val="20"/>
          <w:szCs w:val="20"/>
        </w:rPr>
        <w:t xml:space="preserve">. </w:t>
      </w:r>
      <w:r w:rsidRPr="0090769E">
        <w:rPr>
          <w:rFonts w:ascii="Arial" w:hAnsi="Arial" w:cs="Arial"/>
          <w:sz w:val="20"/>
          <w:szCs w:val="20"/>
        </w:rPr>
        <w:t xml:space="preserve">Iron deficiency anemia (IDA) affects all population segments, with children and pregnant women being particularly vulnerable </w:t>
      </w:r>
      <w:r w:rsidRPr="0090769E">
        <w:rPr>
          <w:rFonts w:ascii="Arial" w:eastAsia="Times New Roman" w:hAnsi="Arial" w:cs="Arial"/>
          <w:color w:val="000000" w:themeColor="text1"/>
          <w:sz w:val="20"/>
          <w:szCs w:val="20"/>
        </w:rPr>
        <w:t>(</w:t>
      </w:r>
      <w:hyperlink r:id="rId8" w:anchor="B123" w:history="1">
        <w:r w:rsidRPr="0090769E">
          <w:rPr>
            <w:rFonts w:ascii="Arial" w:hAnsi="Arial" w:cs="Arial"/>
            <w:b/>
            <w:color w:val="000000" w:themeColor="text1"/>
            <w:sz w:val="20"/>
            <w:szCs w:val="20"/>
          </w:rPr>
          <w:t>World Health Organization, 2008</w:t>
        </w:r>
      </w:hyperlink>
      <w:r w:rsidRPr="0090769E">
        <w:rPr>
          <w:rFonts w:ascii="Arial" w:eastAsia="Times New Roman" w:hAnsi="Arial" w:cs="Arial"/>
          <w:color w:val="000000" w:themeColor="text1"/>
          <w:sz w:val="20"/>
          <w:szCs w:val="20"/>
        </w:rPr>
        <w:t>)</w:t>
      </w:r>
      <w:r w:rsidRPr="0090769E">
        <w:rPr>
          <w:rFonts w:ascii="Arial" w:hAnsi="Arial" w:cs="Arial"/>
          <w:sz w:val="20"/>
          <w:szCs w:val="20"/>
        </w:rPr>
        <w:t xml:space="preserve">.  </w:t>
      </w:r>
    </w:p>
    <w:p w:rsidR="00B731C0" w:rsidRPr="0090769E" w:rsidRDefault="0067060A" w:rsidP="00B731C0">
      <w:pPr>
        <w:spacing w:before="120" w:after="120" w:line="276" w:lineRule="auto"/>
        <w:jc w:val="both"/>
        <w:rPr>
          <w:rFonts w:ascii="Arial" w:hAnsi="Arial" w:cs="Arial"/>
          <w:b/>
          <w:bCs/>
          <w:color w:val="000000" w:themeColor="text1"/>
        </w:rPr>
      </w:pPr>
      <w:r>
        <w:rPr>
          <w:rFonts w:ascii="Arial" w:eastAsia="Times New Roman" w:hAnsi="Arial" w:cs="Arial"/>
          <w:b/>
          <w:bCs/>
          <w:kern w:val="0"/>
        </w:rPr>
        <w:t xml:space="preserve">5. </w:t>
      </w:r>
      <w:r w:rsidR="00B731C0" w:rsidRPr="0090769E">
        <w:rPr>
          <w:rFonts w:ascii="Arial" w:eastAsia="Times New Roman" w:hAnsi="Arial" w:cs="Arial"/>
          <w:b/>
          <w:bCs/>
          <w:vanish/>
          <w:kern w:val="0"/>
        </w:rPr>
        <w:t xml:space="preserve">. </w:t>
      </w:r>
      <w:r w:rsidR="00705922" w:rsidRPr="0090769E">
        <w:rPr>
          <w:rFonts w:ascii="Arial" w:hAnsi="Arial" w:cs="Arial"/>
          <w:b/>
          <w:bCs/>
          <w:color w:val="000000" w:themeColor="text1"/>
        </w:rPr>
        <w:t>CONCEPTION OF BIOFORTIFICATION</w:t>
      </w:r>
    </w:p>
    <w:bookmarkEnd w:id="1"/>
    <w:p w:rsidR="00B731C0" w:rsidRPr="0090769E" w:rsidRDefault="00B731C0" w:rsidP="00B731C0">
      <w:pPr>
        <w:pStyle w:val="NormalWeb"/>
        <w:spacing w:line="276" w:lineRule="auto"/>
        <w:jc w:val="both"/>
        <w:rPr>
          <w:rFonts w:ascii="Arial" w:hAnsi="Arial" w:cs="Arial"/>
          <w:b/>
          <w:bCs/>
          <w:sz w:val="20"/>
          <w:szCs w:val="20"/>
        </w:rPr>
      </w:pPr>
      <w:r w:rsidRPr="0090769E">
        <w:rPr>
          <w:rFonts w:ascii="Arial" w:hAnsi="Arial" w:cs="Arial"/>
          <w:sz w:val="20"/>
          <w:szCs w:val="20"/>
        </w:rPr>
        <w:t>Biofortification is a sustainable agricultural strategy aimed at combating zinc (Zn) and iron (Fe) deficiencies in food sources by enhancing the nutritional content of crops (</w:t>
      </w:r>
      <w:r w:rsidRPr="0090769E">
        <w:rPr>
          <w:rFonts w:ascii="Arial" w:hAnsi="Arial" w:cs="Arial"/>
          <w:b/>
          <w:sz w:val="20"/>
          <w:szCs w:val="20"/>
        </w:rPr>
        <w:t>Figure 1</w:t>
      </w:r>
      <w:r w:rsidRPr="0090769E">
        <w:rPr>
          <w:rFonts w:ascii="Arial" w:hAnsi="Arial" w:cs="Arial"/>
          <w:sz w:val="20"/>
          <w:szCs w:val="20"/>
        </w:rPr>
        <w:t xml:space="preserve">). By breeding crops with higher micronutrient levels and using agronomic practices such as foliar or soil applications, biofortification significantly boosts micronutrient intake and benefits human health. An innovative method within biofortification is </w:t>
      </w:r>
      <w:r w:rsidRPr="0090769E">
        <w:rPr>
          <w:rStyle w:val="Strong"/>
          <w:rFonts w:ascii="Arial" w:eastAsiaTheme="majorEastAsia" w:hAnsi="Arial" w:cs="Arial"/>
          <w:b w:val="0"/>
          <w:bCs w:val="0"/>
          <w:sz w:val="20"/>
          <w:szCs w:val="20"/>
        </w:rPr>
        <w:t>microbe-mediated fortification</w:t>
      </w:r>
      <w:r w:rsidRPr="0090769E">
        <w:rPr>
          <w:rFonts w:ascii="Arial" w:hAnsi="Arial" w:cs="Arial"/>
          <w:sz w:val="20"/>
          <w:szCs w:val="20"/>
        </w:rPr>
        <w:t xml:space="preserve">, which utilizes plant-microbe interactions to improve soil nutrition and increase micronutrient uptake. This eco-friendly approach involves metal solubilization, mobilization, and translocation within the plant, resulting in healthier, more nutrient-rich crops </w:t>
      </w:r>
      <w:r w:rsidRPr="0090769E">
        <w:rPr>
          <w:rFonts w:ascii="Arial" w:hAnsi="Arial" w:cs="Arial"/>
          <w:b/>
          <w:bCs/>
          <w:sz w:val="20"/>
          <w:szCs w:val="20"/>
        </w:rPr>
        <w:t xml:space="preserve">(Melnick </w:t>
      </w:r>
      <w:r w:rsidRPr="0090769E">
        <w:rPr>
          <w:rFonts w:ascii="Arial" w:hAnsi="Arial" w:cs="Arial"/>
          <w:b/>
          <w:bCs/>
          <w:i/>
          <w:iCs/>
          <w:sz w:val="20"/>
          <w:szCs w:val="20"/>
        </w:rPr>
        <w:t>et al</w:t>
      </w:r>
      <w:r w:rsidRPr="0090769E">
        <w:rPr>
          <w:rFonts w:ascii="Arial" w:hAnsi="Arial" w:cs="Arial"/>
          <w:b/>
          <w:bCs/>
          <w:sz w:val="20"/>
          <w:szCs w:val="20"/>
        </w:rPr>
        <w:t xml:space="preserve">., 2011; Sharma </w:t>
      </w:r>
      <w:r w:rsidRPr="0090769E">
        <w:rPr>
          <w:rFonts w:ascii="Arial" w:hAnsi="Arial" w:cs="Arial"/>
          <w:b/>
          <w:bCs/>
          <w:i/>
          <w:iCs/>
          <w:sz w:val="20"/>
          <w:szCs w:val="20"/>
        </w:rPr>
        <w:t>et al</w:t>
      </w:r>
      <w:r w:rsidRPr="0090769E">
        <w:rPr>
          <w:rFonts w:ascii="Arial" w:hAnsi="Arial" w:cs="Arial"/>
          <w:b/>
          <w:bCs/>
          <w:sz w:val="20"/>
          <w:szCs w:val="20"/>
        </w:rPr>
        <w:t xml:space="preserve">., 2013; Wang </w:t>
      </w:r>
      <w:r w:rsidRPr="0090769E">
        <w:rPr>
          <w:rFonts w:ascii="Arial" w:hAnsi="Arial" w:cs="Arial"/>
          <w:b/>
          <w:bCs/>
          <w:i/>
          <w:iCs/>
          <w:sz w:val="20"/>
          <w:szCs w:val="20"/>
        </w:rPr>
        <w:t>et al</w:t>
      </w:r>
      <w:r w:rsidRPr="0090769E">
        <w:rPr>
          <w:rFonts w:ascii="Arial" w:hAnsi="Arial" w:cs="Arial"/>
          <w:b/>
          <w:bCs/>
          <w:sz w:val="20"/>
          <w:szCs w:val="20"/>
        </w:rPr>
        <w:t>., 2014;</w:t>
      </w:r>
      <w:r w:rsidR="00516190">
        <w:rPr>
          <w:rFonts w:ascii="Arial" w:hAnsi="Arial" w:cs="Arial"/>
          <w:b/>
          <w:bCs/>
          <w:sz w:val="20"/>
          <w:szCs w:val="20"/>
        </w:rPr>
        <w:t xml:space="preserve"> </w:t>
      </w:r>
      <w:r w:rsidRPr="0090769E">
        <w:rPr>
          <w:rFonts w:ascii="Arial" w:hAnsi="Arial" w:cs="Arial"/>
          <w:b/>
          <w:bCs/>
          <w:sz w:val="20"/>
          <w:szCs w:val="20"/>
        </w:rPr>
        <w:t>Garg</w:t>
      </w:r>
      <w:r w:rsidR="00516190">
        <w:rPr>
          <w:rFonts w:ascii="Arial" w:hAnsi="Arial" w:cs="Arial"/>
          <w:b/>
          <w:bCs/>
          <w:sz w:val="20"/>
          <w:szCs w:val="20"/>
        </w:rPr>
        <w:t xml:space="preserve"> </w:t>
      </w:r>
      <w:r w:rsidRPr="0090769E">
        <w:rPr>
          <w:rFonts w:ascii="Arial" w:hAnsi="Arial" w:cs="Arial"/>
          <w:b/>
          <w:bCs/>
          <w:i/>
          <w:iCs/>
          <w:sz w:val="20"/>
          <w:szCs w:val="20"/>
        </w:rPr>
        <w:t>et al</w:t>
      </w:r>
      <w:r w:rsidRPr="0090769E">
        <w:rPr>
          <w:rFonts w:ascii="Arial" w:hAnsi="Arial" w:cs="Arial"/>
          <w:b/>
          <w:bCs/>
          <w:sz w:val="20"/>
          <w:szCs w:val="20"/>
        </w:rPr>
        <w:t xml:space="preserve">., 2018; Singh and Prasanna, 2020). </w:t>
      </w:r>
      <w:r w:rsidRPr="0090769E">
        <w:rPr>
          <w:rFonts w:ascii="Arial" w:hAnsi="Arial" w:cs="Arial"/>
          <w:sz w:val="20"/>
          <w:szCs w:val="20"/>
        </w:rPr>
        <w:t xml:space="preserve">Additionally, biofortification not only enhances micronutrient content but also stimulates the synthesis of other beneficial compounds, further enriching the nutritional quality of crops. This comprehensive approach offers a promising solution to address global micronutrient deficiencies sustainably </w:t>
      </w:r>
      <w:r w:rsidRPr="0090769E">
        <w:rPr>
          <w:rFonts w:ascii="Arial" w:hAnsi="Arial" w:cs="Arial"/>
          <w:b/>
          <w:bCs/>
          <w:sz w:val="20"/>
          <w:szCs w:val="20"/>
        </w:rPr>
        <w:t xml:space="preserve">(Huang </w:t>
      </w:r>
      <w:r w:rsidRPr="0090769E">
        <w:rPr>
          <w:rFonts w:ascii="Arial" w:hAnsi="Arial" w:cs="Arial"/>
          <w:b/>
          <w:bCs/>
          <w:i/>
          <w:iCs/>
          <w:sz w:val="20"/>
          <w:szCs w:val="20"/>
        </w:rPr>
        <w:t>et al</w:t>
      </w:r>
      <w:r w:rsidRPr="0090769E">
        <w:rPr>
          <w:rFonts w:ascii="Arial" w:hAnsi="Arial" w:cs="Arial"/>
          <w:b/>
          <w:bCs/>
          <w:sz w:val="20"/>
          <w:szCs w:val="20"/>
        </w:rPr>
        <w:t xml:space="preserve">., 2020; Praharaj </w:t>
      </w:r>
      <w:r w:rsidRPr="0090769E">
        <w:rPr>
          <w:rFonts w:ascii="Arial" w:hAnsi="Arial" w:cs="Arial"/>
          <w:b/>
          <w:bCs/>
          <w:i/>
          <w:iCs/>
          <w:sz w:val="20"/>
          <w:szCs w:val="20"/>
        </w:rPr>
        <w:t>et al</w:t>
      </w:r>
      <w:r w:rsidRPr="0090769E">
        <w:rPr>
          <w:rFonts w:ascii="Arial" w:hAnsi="Arial" w:cs="Arial"/>
          <w:b/>
          <w:bCs/>
          <w:sz w:val="20"/>
          <w:szCs w:val="20"/>
        </w:rPr>
        <w:t xml:space="preserve">., 2021). </w:t>
      </w:r>
    </w:p>
    <w:p w:rsidR="00B731C0" w:rsidRPr="0090769E" w:rsidRDefault="00B731C0" w:rsidP="00B731C0">
      <w:pPr>
        <w:pStyle w:val="NormalWeb"/>
        <w:spacing w:line="276" w:lineRule="auto"/>
        <w:jc w:val="center"/>
        <w:rPr>
          <w:rFonts w:ascii="Arial" w:hAnsi="Arial" w:cs="Arial"/>
          <w:b/>
          <w:bCs/>
          <w:sz w:val="20"/>
          <w:szCs w:val="20"/>
        </w:rPr>
      </w:pPr>
      <w:r w:rsidRPr="0090769E">
        <w:rPr>
          <w:rFonts w:ascii="Arial" w:hAnsi="Arial" w:cs="Arial"/>
          <w:b/>
          <w:bCs/>
          <w:noProof/>
          <w:sz w:val="20"/>
          <w:szCs w:val="20"/>
        </w:rPr>
        <w:drawing>
          <wp:inline distT="0" distB="0" distL="0" distR="0">
            <wp:extent cx="3676939" cy="242468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5615" name=""/>
                    <pic:cNvPicPr/>
                  </pic:nvPicPr>
                  <pic:blipFill rotWithShape="1">
                    <a:blip r:embed="rId9"/>
                    <a:srcRect l="37233" t="24845" r="21389" b="26621"/>
                    <a:stretch/>
                  </pic:blipFill>
                  <pic:spPr bwMode="auto">
                    <a:xfrm>
                      <a:off x="0" y="0"/>
                      <a:ext cx="3676939" cy="242468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731C0" w:rsidRPr="0090769E" w:rsidRDefault="00B731C0" w:rsidP="00B731C0">
      <w:pPr>
        <w:pStyle w:val="NormalWeb"/>
        <w:spacing w:line="276" w:lineRule="auto"/>
        <w:jc w:val="both"/>
        <w:rPr>
          <w:rFonts w:ascii="Arial" w:hAnsi="Arial" w:cs="Arial"/>
          <w:b/>
          <w:bCs/>
          <w:sz w:val="20"/>
          <w:szCs w:val="20"/>
        </w:rPr>
      </w:pPr>
      <w:r w:rsidRPr="0090769E">
        <w:rPr>
          <w:rFonts w:ascii="Arial" w:hAnsi="Arial" w:cs="Arial"/>
          <w:b/>
          <w:bCs/>
          <w:sz w:val="20"/>
          <w:szCs w:val="20"/>
        </w:rPr>
        <w:t>Figure 1:- Overview of microbe mediated biofortification of zinc and iron (PGPB – Plant growth promoting bacteria; ZIP – Zinc regulated transporter; IRT – Iron regulated transporter; YSL – Yellow stripe like transporter</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5.1</w:t>
      </w:r>
      <w:r w:rsidR="00705922" w:rsidRPr="00705922">
        <w:rPr>
          <w:rFonts w:ascii="Arial" w:hAnsi="Arial" w:cs="Arial"/>
          <w:b/>
          <w:bCs/>
          <w:color w:val="000000" w:themeColor="text1"/>
        </w:rPr>
        <w:t xml:space="preserve">AGRONOMIC METHODS: </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Agronomic biofortification enhances crop micronutrient levels through soil or foliar fertilizer applications. While soil fertilization is common, it has limitations like low efficiency and uneven nutrient distribution. Foliar fertilization, spraying nutrients directly on leaves, ensures faster and more uniform absorption, with studies showing its superiority, such as a 1.7-fold increase in zinc (Zn) concentration </w:t>
      </w:r>
      <w:r w:rsidRPr="0090769E">
        <w:rPr>
          <w:rFonts w:ascii="Arial" w:hAnsi="Arial" w:cs="Arial"/>
          <w:sz w:val="20"/>
          <w:szCs w:val="20"/>
        </w:rPr>
        <w:lastRenderedPageBreak/>
        <w:t>in mungbean grains compared to soil application (</w:t>
      </w:r>
      <w:r w:rsidRPr="0090769E">
        <w:rPr>
          <w:rFonts w:ascii="Arial" w:hAnsi="Arial" w:cs="Arial"/>
          <w:b/>
          <w:sz w:val="20"/>
          <w:szCs w:val="20"/>
        </w:rPr>
        <w:t>Haider et al., 2018a, 2018b</w:t>
      </w:r>
      <w:r w:rsidRPr="0090769E">
        <w:rPr>
          <w:rFonts w:ascii="Arial" w:hAnsi="Arial" w:cs="Arial"/>
          <w:sz w:val="20"/>
          <w:szCs w:val="20"/>
        </w:rPr>
        <w:t>). Combining soil and foliar methods or multiple nutrients like Zn, iron (Fe), and selenium (Se) further improves outcomes (</w:t>
      </w:r>
      <w:r w:rsidRPr="0090769E">
        <w:rPr>
          <w:rFonts w:ascii="Arial" w:hAnsi="Arial" w:cs="Arial"/>
          <w:b/>
          <w:sz w:val="20"/>
          <w:szCs w:val="20"/>
        </w:rPr>
        <w:t>Gomez-Coronado et al., 2016</w:t>
      </w:r>
      <w:r w:rsidRPr="0090769E">
        <w:rPr>
          <w:rFonts w:ascii="Arial" w:hAnsi="Arial" w:cs="Arial"/>
          <w:sz w:val="20"/>
          <w:szCs w:val="20"/>
        </w:rPr>
        <w:t>). Organic zinc and iron complexes outperform inorganic fertilizers in yield and nutrient content (</w:t>
      </w:r>
      <w:r w:rsidRPr="0090769E">
        <w:rPr>
          <w:rFonts w:ascii="Arial" w:hAnsi="Arial" w:cs="Arial"/>
          <w:b/>
          <w:sz w:val="20"/>
          <w:szCs w:val="20"/>
        </w:rPr>
        <w:t>Montoya et al., 2020</w:t>
      </w:r>
      <w:r w:rsidRPr="0090769E">
        <w:rPr>
          <w:rFonts w:ascii="Arial" w:hAnsi="Arial" w:cs="Arial"/>
          <w:sz w:val="20"/>
          <w:szCs w:val="20"/>
        </w:rPr>
        <w:t>). Nanotechnology offers advances, with zinc oxide nanoparticles (ZnONPs) and nano iron boosting nutrient levels and crop growth while reducing fertilizer dependence (</w:t>
      </w:r>
      <w:r w:rsidRPr="0090769E">
        <w:rPr>
          <w:rFonts w:ascii="Arial" w:hAnsi="Arial" w:cs="Arial"/>
          <w:b/>
          <w:sz w:val="20"/>
          <w:szCs w:val="20"/>
        </w:rPr>
        <w:t>Subbaiah et al., 2016</w:t>
      </w:r>
      <w:r w:rsidRPr="0090769E">
        <w:rPr>
          <w:rFonts w:ascii="Arial" w:hAnsi="Arial" w:cs="Arial"/>
          <w:sz w:val="20"/>
          <w:szCs w:val="20"/>
        </w:rPr>
        <w:t>). However, overreliance on fertilizers can harm the environment, making balanced, sustainable practices crucial (</w:t>
      </w:r>
      <w:r w:rsidRPr="0090769E">
        <w:rPr>
          <w:rFonts w:ascii="Arial" w:hAnsi="Arial" w:cs="Arial"/>
          <w:b/>
          <w:sz w:val="20"/>
          <w:szCs w:val="20"/>
        </w:rPr>
        <w:t>Prasad and Babu, 2017</w:t>
      </w:r>
      <w:r w:rsidRPr="0090769E">
        <w:rPr>
          <w:rFonts w:ascii="Arial" w:hAnsi="Arial" w:cs="Arial"/>
          <w:sz w:val="20"/>
          <w:szCs w:val="20"/>
        </w:rPr>
        <w:t>).</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5.2</w:t>
      </w:r>
      <w:r w:rsidR="00705922" w:rsidRPr="00705922">
        <w:rPr>
          <w:rFonts w:ascii="Arial" w:hAnsi="Arial" w:cs="Arial"/>
          <w:b/>
          <w:bCs/>
          <w:color w:val="000000" w:themeColor="text1"/>
        </w:rPr>
        <w:t xml:space="preserve">PLANT BREEDING: </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 breeding for biofortification employs traditional and modern strategies to enhance nutritional traits. Traditional breeding involves crossing donor plants with desired traits and recipient plants with strong agronomic features, using populations like F2, backcrosses (BCs), and recombinant inbred lines (RILs) for genetic mapping and QTL identification (</w:t>
      </w:r>
      <w:r w:rsidRPr="0090769E">
        <w:rPr>
          <w:rFonts w:ascii="Arial" w:hAnsi="Arial" w:cs="Arial"/>
          <w:b/>
          <w:sz w:val="20"/>
          <w:szCs w:val="20"/>
        </w:rPr>
        <w:t>Koç and Karayiğit, 2022; Kumar et al., 2023</w:t>
      </w:r>
      <w:r w:rsidRPr="0090769E">
        <w:rPr>
          <w:rFonts w:ascii="Arial" w:hAnsi="Arial" w:cs="Arial"/>
          <w:sz w:val="20"/>
          <w:szCs w:val="20"/>
        </w:rPr>
        <w:t>). While effective, it is time-consuming and limited by genetic diversity, which can be addressed by using landraces or wild relatives with higher nutrient density (</w:t>
      </w:r>
      <w:r w:rsidRPr="0090769E">
        <w:rPr>
          <w:rFonts w:ascii="Arial" w:hAnsi="Arial" w:cs="Arial"/>
          <w:b/>
          <w:sz w:val="20"/>
          <w:szCs w:val="20"/>
        </w:rPr>
        <w:t>Medina-Lozano and Díaz, 2021</w:t>
      </w:r>
      <w:r w:rsidRPr="0090769E">
        <w:rPr>
          <w:rFonts w:ascii="Arial" w:hAnsi="Arial" w:cs="Arial"/>
          <w:sz w:val="20"/>
          <w:szCs w:val="20"/>
        </w:rPr>
        <w:t>). To overcome limitations like linkage drag and inefficiency, genomic selection and Marker-Assisted Selection (MAS) are used to target traits like elevated zinc in wheat or carotenoid alteration in sorghum (</w:t>
      </w:r>
      <w:r w:rsidRPr="0090769E">
        <w:rPr>
          <w:rFonts w:ascii="Arial" w:hAnsi="Arial" w:cs="Arial"/>
          <w:b/>
          <w:sz w:val="20"/>
          <w:szCs w:val="20"/>
        </w:rPr>
        <w:t>Cruet-Burgos et al., 2020</w:t>
      </w:r>
      <w:r w:rsidRPr="0090769E">
        <w:rPr>
          <w:rFonts w:ascii="Arial" w:hAnsi="Arial" w:cs="Arial"/>
          <w:sz w:val="20"/>
          <w:szCs w:val="20"/>
        </w:rPr>
        <w:t>). MAS facilitates rapid crop improvement by tracking genes for nutrient homeostasis and efficiency (</w:t>
      </w:r>
      <w:r w:rsidRPr="0090769E">
        <w:rPr>
          <w:rFonts w:ascii="Arial" w:hAnsi="Arial" w:cs="Arial"/>
          <w:b/>
          <w:sz w:val="20"/>
          <w:szCs w:val="20"/>
        </w:rPr>
        <w:t>Chandra et al., 2020</w:t>
      </w:r>
      <w:r w:rsidRPr="0090769E">
        <w:rPr>
          <w:rFonts w:ascii="Arial" w:hAnsi="Arial" w:cs="Arial"/>
          <w:sz w:val="20"/>
          <w:szCs w:val="20"/>
        </w:rPr>
        <w:t>). Programs like CIMMYT and CIP have developed biofortified crops, such as provitamin A-rich sweet potatoes and maize with high lysine and tryptophan levels (</w:t>
      </w:r>
      <w:r w:rsidRPr="0090769E">
        <w:rPr>
          <w:rFonts w:ascii="Arial" w:hAnsi="Arial" w:cs="Arial"/>
          <w:b/>
          <w:sz w:val="20"/>
          <w:szCs w:val="20"/>
        </w:rPr>
        <w:t>Prasanna et al., 2020</w:t>
      </w:r>
      <w:r w:rsidRPr="0090769E">
        <w:rPr>
          <w:rFonts w:ascii="Arial" w:hAnsi="Arial" w:cs="Arial"/>
          <w:sz w:val="20"/>
          <w:szCs w:val="20"/>
        </w:rPr>
        <w:t>). Advances in molecular markers have further identified QTLs linked to enhanced nutritional content in crops like beans, wheat, and cereals (</w:t>
      </w:r>
      <w:r w:rsidRPr="0090769E">
        <w:rPr>
          <w:rFonts w:ascii="Arial" w:hAnsi="Arial" w:cs="Arial"/>
          <w:b/>
          <w:sz w:val="20"/>
          <w:szCs w:val="20"/>
        </w:rPr>
        <w:t>Garg et al., 2021</w:t>
      </w:r>
      <w:r w:rsidRPr="0090769E">
        <w:rPr>
          <w:rFonts w:ascii="Arial" w:hAnsi="Arial" w:cs="Arial"/>
          <w:sz w:val="20"/>
          <w:szCs w:val="20"/>
        </w:rPr>
        <w:t>).</w:t>
      </w:r>
    </w:p>
    <w:p w:rsidR="00B731C0" w:rsidRPr="0090769E" w:rsidRDefault="0067060A" w:rsidP="00B731C0">
      <w:pPr>
        <w:spacing w:before="120" w:after="120" w:line="276" w:lineRule="auto"/>
        <w:jc w:val="both"/>
        <w:rPr>
          <w:rFonts w:ascii="Arial" w:hAnsi="Arial" w:cs="Arial"/>
          <w:b/>
          <w:bCs/>
          <w:color w:val="000000" w:themeColor="text1"/>
          <w:sz w:val="20"/>
          <w:szCs w:val="20"/>
        </w:rPr>
      </w:pPr>
      <w:r w:rsidRPr="00705922">
        <w:rPr>
          <w:rFonts w:ascii="Arial" w:hAnsi="Arial" w:cs="Arial"/>
          <w:b/>
          <w:bCs/>
          <w:color w:val="000000" w:themeColor="text1"/>
        </w:rPr>
        <w:t>5.3</w:t>
      </w:r>
      <w:r w:rsidR="00705922" w:rsidRPr="00705922">
        <w:rPr>
          <w:rFonts w:ascii="Arial" w:hAnsi="Arial" w:cs="Arial"/>
          <w:b/>
          <w:bCs/>
          <w:color w:val="000000" w:themeColor="text1"/>
        </w:rPr>
        <w:t>TRANSGENIC APPROACH:</w:t>
      </w:r>
    </w:p>
    <w:p w:rsidR="00B731C0" w:rsidRPr="0090769E" w:rsidRDefault="00B731C0" w:rsidP="00B731C0">
      <w:pPr>
        <w:spacing w:before="120" w:after="120" w:line="276" w:lineRule="auto"/>
        <w:jc w:val="both"/>
        <w:rPr>
          <w:rFonts w:ascii="Arial" w:hAnsi="Arial" w:cs="Arial"/>
          <w:b/>
          <w:bCs/>
          <w:color w:val="000000" w:themeColor="text1"/>
          <w:sz w:val="20"/>
          <w:szCs w:val="20"/>
        </w:rPr>
      </w:pPr>
      <w:r w:rsidRPr="0090769E">
        <w:rPr>
          <w:rFonts w:ascii="Arial" w:hAnsi="Arial" w:cs="Arial"/>
          <w:sz w:val="20"/>
          <w:szCs w:val="20"/>
        </w:rPr>
        <w:t>Transgenic techniques in biofortification transfer alleles responsible for enhanced nutritional value from different species to target crops. This approach overcomes the limited genetic alternatives in traditional breeding confined to sexually compatible species (</w:t>
      </w:r>
      <w:r w:rsidRPr="0090769E">
        <w:rPr>
          <w:rFonts w:ascii="Arial" w:hAnsi="Arial" w:cs="Arial"/>
          <w:b/>
          <w:sz w:val="20"/>
          <w:szCs w:val="20"/>
        </w:rPr>
        <w:t>Brinch-Pedersen et al., 2007</w:t>
      </w:r>
      <w:r w:rsidRPr="0090769E">
        <w:rPr>
          <w:rFonts w:ascii="Arial" w:hAnsi="Arial" w:cs="Arial"/>
          <w:sz w:val="20"/>
          <w:szCs w:val="20"/>
        </w:rPr>
        <w:t>). Transgenesis allows the expression of genes regardless of their origin (</w:t>
      </w:r>
      <w:r w:rsidRPr="0090769E">
        <w:rPr>
          <w:rFonts w:ascii="Arial" w:hAnsi="Arial" w:cs="Arial"/>
          <w:b/>
          <w:sz w:val="20"/>
          <w:szCs w:val="20"/>
        </w:rPr>
        <w:t>Coca et al., 2006</w:t>
      </w:r>
      <w:r w:rsidRPr="0090769E">
        <w:rPr>
          <w:rFonts w:ascii="Arial" w:hAnsi="Arial" w:cs="Arial"/>
          <w:sz w:val="20"/>
          <w:szCs w:val="20"/>
        </w:rPr>
        <w:t>), making it the only method to create crops producing nutrients not naturally synthesized by them. This expands the gene pool and enables the transfer of multiple genes and regulatory elements simultaneously. Successful examples include nutrient-enriched rice varieties (</w:t>
      </w:r>
      <w:r w:rsidRPr="0090769E">
        <w:rPr>
          <w:rFonts w:ascii="Arial" w:hAnsi="Arial" w:cs="Arial"/>
          <w:b/>
          <w:sz w:val="20"/>
          <w:szCs w:val="20"/>
        </w:rPr>
        <w:t>Singh et al., 2017</w:t>
      </w:r>
      <w:r w:rsidRPr="0090769E">
        <w:rPr>
          <w:rFonts w:ascii="Arial" w:hAnsi="Arial" w:cs="Arial"/>
          <w:sz w:val="20"/>
          <w:szCs w:val="20"/>
        </w:rPr>
        <w:t>). However, some crops, like cereals and legumes resist alteration</w:t>
      </w:r>
      <w:r w:rsidR="003A0067">
        <w:rPr>
          <w:rFonts w:ascii="Arial" w:hAnsi="Arial" w:cs="Arial"/>
          <w:sz w:val="20"/>
          <w:szCs w:val="20"/>
        </w:rPr>
        <w:t xml:space="preserve"> </w:t>
      </w:r>
      <w:r w:rsidR="003A0067" w:rsidRPr="0090769E">
        <w:rPr>
          <w:rFonts w:ascii="Arial" w:hAnsi="Arial" w:cs="Arial"/>
          <w:sz w:val="20"/>
          <w:szCs w:val="20"/>
        </w:rPr>
        <w:t>(</w:t>
      </w:r>
      <w:r w:rsidR="003A0067" w:rsidRPr="0090769E">
        <w:rPr>
          <w:rFonts w:ascii="Arial" w:hAnsi="Arial" w:cs="Arial"/>
          <w:b/>
          <w:sz w:val="20"/>
          <w:szCs w:val="20"/>
        </w:rPr>
        <w:t>Yadav et al., 2020</w:t>
      </w:r>
      <w:r w:rsidR="003A0067" w:rsidRPr="0090769E">
        <w:rPr>
          <w:rFonts w:ascii="Arial" w:hAnsi="Arial" w:cs="Arial"/>
          <w:sz w:val="20"/>
          <w:szCs w:val="20"/>
        </w:rPr>
        <w:t>)</w:t>
      </w:r>
      <w:r w:rsidRPr="0090769E">
        <w:rPr>
          <w:rFonts w:ascii="Arial" w:hAnsi="Arial" w:cs="Arial"/>
          <w:sz w:val="20"/>
          <w:szCs w:val="20"/>
        </w:rPr>
        <w:t>. Transgenic techniques require significant time and resources for gene identification and introduction, and their widespread adoption is limited by high costs and concerns about cross-pollination, contamination, safety, and environmental impact, which hinder acceptance and uptake.</w:t>
      </w:r>
    </w:p>
    <w:p w:rsidR="00B731C0" w:rsidRPr="0090769E" w:rsidRDefault="0067060A" w:rsidP="00B731C0">
      <w:pPr>
        <w:spacing w:before="120" w:after="120" w:line="276" w:lineRule="auto"/>
        <w:jc w:val="both"/>
        <w:rPr>
          <w:rFonts w:ascii="Arial" w:hAnsi="Arial" w:cs="Arial"/>
          <w:b/>
          <w:bCs/>
          <w:color w:val="000000" w:themeColor="text1"/>
          <w:sz w:val="20"/>
          <w:szCs w:val="20"/>
        </w:rPr>
      </w:pPr>
      <w:r w:rsidRPr="00705922">
        <w:rPr>
          <w:rFonts w:ascii="Arial" w:hAnsi="Arial" w:cs="Arial"/>
          <w:b/>
          <w:bCs/>
          <w:color w:val="000000" w:themeColor="text1"/>
        </w:rPr>
        <w:t>5.4</w:t>
      </w:r>
      <w:r w:rsidR="003A0067">
        <w:rPr>
          <w:rFonts w:ascii="Arial" w:hAnsi="Arial" w:cs="Arial"/>
          <w:b/>
          <w:bCs/>
          <w:color w:val="000000" w:themeColor="text1"/>
        </w:rPr>
        <w:t xml:space="preserve"> </w:t>
      </w:r>
      <w:r w:rsidR="00705922" w:rsidRPr="00705922">
        <w:rPr>
          <w:rFonts w:ascii="Arial" w:hAnsi="Arial" w:cs="Arial"/>
          <w:b/>
          <w:bCs/>
          <w:color w:val="000000" w:themeColor="text1"/>
        </w:rPr>
        <w:t>MICROBIAL AIDED BIOFORTIFICATION</w:t>
      </w:r>
    </w:p>
    <w:p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Microbe-mediated fortification is a quick and straightforward method to enhance nutrient content in food crops, enriching them with essential elements like metal ions (Zn, Fe, Se), vitamins (A, B, C), and fatty acids (</w:t>
      </w:r>
      <w:r w:rsidRPr="0090769E">
        <w:rPr>
          <w:rFonts w:ascii="Arial" w:hAnsi="Arial" w:cs="Arial"/>
          <w:b/>
          <w:sz w:val="20"/>
          <w:szCs w:val="20"/>
        </w:rPr>
        <w:t>Kumari et al., 2023</w:t>
      </w:r>
      <w:r w:rsidRPr="0090769E">
        <w:rPr>
          <w:rFonts w:ascii="Arial" w:hAnsi="Arial" w:cs="Arial"/>
          <w:sz w:val="20"/>
          <w:szCs w:val="20"/>
        </w:rPr>
        <w:t>). While plants have developed ways to acquire vitamins, they often struggle to prevent micronutrient deficiency in nutrient-poor soils. Soil microorganisms involving Bacillus, Pseudomonas, Azotobacter, Rhizobium, and Azospirillum are plant growth-promoting microorganisms (PGPM), play a crucial role in nutrient cycling and mineral uptake by converting complex soil minerals into bioavailable forms, aiding crop biofortification (</w:t>
      </w:r>
      <w:r w:rsidRPr="0090769E">
        <w:rPr>
          <w:rFonts w:ascii="Arial" w:hAnsi="Arial" w:cs="Arial"/>
          <w:b/>
          <w:sz w:val="20"/>
          <w:szCs w:val="20"/>
        </w:rPr>
        <w:t>Gosal et al., 2010</w:t>
      </w:r>
      <w:r w:rsidRPr="0090769E">
        <w:rPr>
          <w:rFonts w:ascii="Arial" w:hAnsi="Arial" w:cs="Arial"/>
          <w:sz w:val="20"/>
          <w:szCs w:val="20"/>
        </w:rPr>
        <w:t>). Beneficial fungi like arbuscular mycorrhizal (AM) fungi, Trichoderma, and Penicillium enhance nutrient uptake by accessing minerals beyond the reach of plant roots (</w:t>
      </w:r>
      <w:r w:rsidRPr="0090769E">
        <w:rPr>
          <w:rFonts w:ascii="Arial" w:hAnsi="Arial" w:cs="Arial"/>
          <w:b/>
          <w:sz w:val="20"/>
          <w:szCs w:val="20"/>
        </w:rPr>
        <w:t>Mishra et al., 2023</w:t>
      </w:r>
      <w:r w:rsidRPr="0090769E">
        <w:rPr>
          <w:rFonts w:ascii="Arial" w:hAnsi="Arial" w:cs="Arial"/>
          <w:sz w:val="20"/>
          <w:szCs w:val="20"/>
        </w:rPr>
        <w:t>). Zinc-solubilizing bacteria (ZSB) in the rhizosphere improve plant nutrient absorption by dissolving complex zinc compounds, facilitating eco-friendly biofortification (</w:t>
      </w:r>
      <w:r w:rsidRPr="0090769E">
        <w:rPr>
          <w:rFonts w:ascii="Arial" w:hAnsi="Arial" w:cs="Arial"/>
          <w:b/>
          <w:sz w:val="20"/>
          <w:szCs w:val="20"/>
        </w:rPr>
        <w:t>Saravanan et al., 2007; Sharma et al., 2013; Shakeel et al., 2015; Upadhayay et al., 2022a</w:t>
      </w:r>
      <w:r w:rsidRPr="0090769E">
        <w:rPr>
          <w:rFonts w:ascii="Arial" w:hAnsi="Arial" w:cs="Arial"/>
          <w:sz w:val="20"/>
          <w:szCs w:val="20"/>
        </w:rPr>
        <w:t xml:space="preserve">). Bacterial strains such as </w:t>
      </w:r>
      <w:r w:rsidRPr="0090769E">
        <w:rPr>
          <w:rFonts w:ascii="Arial" w:hAnsi="Arial" w:cs="Arial"/>
          <w:i/>
          <w:sz w:val="20"/>
          <w:szCs w:val="20"/>
        </w:rPr>
        <w:t>Bacillus aryabhattai</w:t>
      </w:r>
      <w:r w:rsidRPr="0090769E">
        <w:rPr>
          <w:rFonts w:ascii="Arial" w:hAnsi="Arial" w:cs="Arial"/>
          <w:sz w:val="20"/>
          <w:szCs w:val="20"/>
        </w:rPr>
        <w:t xml:space="preserve">, </w:t>
      </w:r>
      <w:r w:rsidRPr="0090769E">
        <w:rPr>
          <w:rFonts w:ascii="Arial" w:hAnsi="Arial" w:cs="Arial"/>
          <w:i/>
          <w:sz w:val="20"/>
          <w:szCs w:val="20"/>
        </w:rPr>
        <w:t>Bacillus subtilis</w:t>
      </w:r>
      <w:r w:rsidRPr="0090769E">
        <w:rPr>
          <w:rFonts w:ascii="Arial" w:hAnsi="Arial" w:cs="Arial"/>
          <w:sz w:val="20"/>
          <w:szCs w:val="20"/>
        </w:rPr>
        <w:t xml:space="preserve">, </w:t>
      </w:r>
      <w:r w:rsidRPr="0090769E">
        <w:rPr>
          <w:rFonts w:ascii="Arial" w:hAnsi="Arial" w:cs="Arial"/>
          <w:i/>
          <w:sz w:val="20"/>
          <w:szCs w:val="20"/>
        </w:rPr>
        <w:t>Burkholderiacepacia</w:t>
      </w:r>
      <w:r w:rsidRPr="0090769E">
        <w:rPr>
          <w:rFonts w:ascii="Arial" w:hAnsi="Arial" w:cs="Arial"/>
          <w:sz w:val="20"/>
          <w:szCs w:val="20"/>
        </w:rPr>
        <w:t xml:space="preserve">, and </w:t>
      </w:r>
      <w:r w:rsidRPr="0090769E">
        <w:rPr>
          <w:rFonts w:ascii="Arial" w:hAnsi="Arial" w:cs="Arial"/>
          <w:i/>
          <w:sz w:val="20"/>
          <w:szCs w:val="20"/>
        </w:rPr>
        <w:t>Pantoearodasii</w:t>
      </w:r>
      <w:r w:rsidRPr="0090769E">
        <w:rPr>
          <w:rFonts w:ascii="Arial" w:hAnsi="Arial" w:cs="Arial"/>
          <w:sz w:val="20"/>
          <w:szCs w:val="20"/>
        </w:rPr>
        <w:t xml:space="preserve"> are effective bio-inoculants for zinc </w:t>
      </w:r>
      <w:r w:rsidRPr="0090769E">
        <w:rPr>
          <w:rFonts w:ascii="Arial" w:hAnsi="Arial" w:cs="Arial"/>
          <w:sz w:val="20"/>
          <w:szCs w:val="20"/>
        </w:rPr>
        <w:lastRenderedPageBreak/>
        <w:t xml:space="preserve">biofortification in wheat, maize, and rice. Zn- and P-solubilizing bacteria like </w:t>
      </w:r>
      <w:r w:rsidRPr="0090769E">
        <w:rPr>
          <w:rFonts w:ascii="Arial" w:hAnsi="Arial" w:cs="Arial"/>
          <w:i/>
          <w:sz w:val="20"/>
          <w:szCs w:val="20"/>
        </w:rPr>
        <w:t>Rhizobium radiobacter</w:t>
      </w:r>
      <w:r w:rsidRPr="0090769E">
        <w:rPr>
          <w:rFonts w:ascii="Arial" w:hAnsi="Arial" w:cs="Arial"/>
          <w:sz w:val="20"/>
          <w:szCs w:val="20"/>
        </w:rPr>
        <w:t xml:space="preserve"> (LB2) have improved zinc nutrition in lettuce, even in saline soils (</w:t>
      </w:r>
      <w:r w:rsidRPr="0090769E">
        <w:rPr>
          <w:rFonts w:ascii="Arial" w:hAnsi="Arial" w:cs="Arial"/>
          <w:b/>
          <w:sz w:val="20"/>
          <w:szCs w:val="20"/>
        </w:rPr>
        <w:t>Ramesh et al., 2014; Costerousse et al., 2017; Hussain et al., 2018; Mumtaz et al., 2020; Kushwaha et al., 2021; Upadhayay et al., 2022b</w:t>
      </w:r>
      <w:r w:rsidRPr="0090769E">
        <w:rPr>
          <w:rFonts w:ascii="Arial" w:hAnsi="Arial" w:cs="Arial"/>
          <w:sz w:val="20"/>
          <w:szCs w:val="20"/>
        </w:rPr>
        <w:t>). PGPMs produce siderophores, which chelate metal ions like iron, improving uptake, especially in stressed soils. Siderophore-producing bacteria such as Bacillus, Pseudomonas, Streptomyces, Azotobacter, Gluconacetobacter, and Azospirillum positively impact plant health (</w:t>
      </w:r>
      <w:r w:rsidRPr="0090769E">
        <w:rPr>
          <w:rFonts w:ascii="Arial" w:hAnsi="Arial" w:cs="Arial"/>
          <w:b/>
          <w:sz w:val="20"/>
          <w:szCs w:val="20"/>
        </w:rPr>
        <w:t>Delapor</w:t>
      </w:r>
      <w:r w:rsidR="00EF27FD">
        <w:rPr>
          <w:rFonts w:ascii="Arial" w:hAnsi="Arial" w:cs="Arial"/>
          <w:b/>
          <w:sz w:val="20"/>
          <w:szCs w:val="20"/>
        </w:rPr>
        <w:t>te-Quintana et al., 2020; Ghazy and</w:t>
      </w:r>
      <w:r w:rsidRPr="0090769E">
        <w:rPr>
          <w:rFonts w:ascii="Arial" w:hAnsi="Arial" w:cs="Arial"/>
          <w:b/>
          <w:sz w:val="20"/>
          <w:szCs w:val="20"/>
        </w:rPr>
        <w:t xml:space="preserve"> El-Nahrawy, 2021</w:t>
      </w:r>
      <w:r w:rsidRPr="0090769E">
        <w:rPr>
          <w:rFonts w:ascii="Arial" w:hAnsi="Arial" w:cs="Arial"/>
          <w:sz w:val="20"/>
          <w:szCs w:val="20"/>
        </w:rPr>
        <w:t>). Fungi like Cymbidium, Penicillium, Aspergillus, and Trichoderma also produce siderophores, enhancing iron uptake in the rhizosphere (</w:t>
      </w:r>
      <w:r w:rsidRPr="0090769E">
        <w:rPr>
          <w:rFonts w:ascii="Arial" w:hAnsi="Arial" w:cs="Arial"/>
          <w:b/>
          <w:sz w:val="20"/>
          <w:szCs w:val="20"/>
        </w:rPr>
        <w:t>Mukherjee et al., 2018; Chowdappa et al., 2020</w:t>
      </w:r>
      <w:r w:rsidRPr="0090769E">
        <w:rPr>
          <w:rFonts w:ascii="Arial" w:hAnsi="Arial" w:cs="Arial"/>
          <w:sz w:val="20"/>
          <w:szCs w:val="20"/>
        </w:rPr>
        <w:t xml:space="preserve">). In a study by </w:t>
      </w:r>
      <w:r w:rsidRPr="0090769E">
        <w:rPr>
          <w:rFonts w:ascii="Arial" w:hAnsi="Arial" w:cs="Arial"/>
          <w:b/>
          <w:sz w:val="20"/>
          <w:szCs w:val="20"/>
        </w:rPr>
        <w:t>Mushtaq et al. (2023)</w:t>
      </w:r>
      <w:r w:rsidRPr="0090769E">
        <w:rPr>
          <w:rFonts w:ascii="Arial" w:hAnsi="Arial" w:cs="Arial"/>
          <w:sz w:val="20"/>
          <w:szCs w:val="20"/>
        </w:rPr>
        <w:t xml:space="preserve">, </w:t>
      </w:r>
      <w:r w:rsidRPr="0090769E">
        <w:rPr>
          <w:rFonts w:ascii="Arial" w:hAnsi="Arial" w:cs="Arial"/>
          <w:i/>
          <w:sz w:val="20"/>
          <w:szCs w:val="20"/>
        </w:rPr>
        <w:t>Acinetobacter calcoaceticus</w:t>
      </w:r>
      <w:r w:rsidRPr="0090769E">
        <w:rPr>
          <w:rFonts w:ascii="Arial" w:hAnsi="Arial" w:cs="Arial"/>
          <w:sz w:val="20"/>
          <w:szCs w:val="20"/>
        </w:rPr>
        <w:t xml:space="preserve"> and </w:t>
      </w:r>
      <w:r w:rsidRPr="0090769E">
        <w:rPr>
          <w:rFonts w:ascii="Arial" w:hAnsi="Arial" w:cs="Arial"/>
          <w:i/>
          <w:sz w:val="20"/>
          <w:szCs w:val="20"/>
        </w:rPr>
        <w:t>Bacillus simplex</w:t>
      </w:r>
      <w:r w:rsidRPr="0090769E">
        <w:rPr>
          <w:rFonts w:ascii="Arial" w:hAnsi="Arial" w:cs="Arial"/>
          <w:sz w:val="20"/>
          <w:szCs w:val="20"/>
        </w:rPr>
        <w:t xml:space="preserve"> increased iron content in potato tubers by 68.24% compared to control plants, highlighting microbial-assisted biofortification's. </w:t>
      </w:r>
      <w:r w:rsidRPr="0090769E">
        <w:rPr>
          <w:rFonts w:ascii="Arial" w:hAnsi="Arial" w:cs="Arial"/>
          <w:b/>
          <w:sz w:val="20"/>
          <w:szCs w:val="20"/>
        </w:rPr>
        <w:t>Kartik et al. (2023)</w:t>
      </w:r>
      <w:r w:rsidRPr="0090769E">
        <w:rPr>
          <w:rFonts w:ascii="Arial" w:hAnsi="Arial" w:cs="Arial"/>
          <w:sz w:val="20"/>
          <w:szCs w:val="20"/>
        </w:rPr>
        <w:t xml:space="preserve"> found that siderophore-producing bacteria significantly enhanced rice plant growth, with iron mobilization in grains ranging from 53.88% to 89.05%, demonstrating significant improvements over uninoculated plants.</w:t>
      </w:r>
    </w:p>
    <w:p w:rsidR="00B731C0" w:rsidRPr="0090769E" w:rsidRDefault="00B731C0" w:rsidP="00B731C0">
      <w:pPr>
        <w:ind w:left="-1260"/>
        <w:jc w:val="both"/>
        <w:rPr>
          <w:rFonts w:ascii="Arial" w:hAnsi="Arial" w:cs="Arial"/>
          <w:b/>
          <w:bCs/>
          <w:sz w:val="20"/>
          <w:szCs w:val="20"/>
        </w:rPr>
      </w:pPr>
      <w:r w:rsidRPr="0090769E">
        <w:rPr>
          <w:rFonts w:ascii="Arial" w:hAnsi="Arial" w:cs="Arial"/>
          <w:b/>
          <w:bCs/>
          <w:sz w:val="20"/>
          <w:szCs w:val="20"/>
        </w:rPr>
        <w:t xml:space="preserve">                   Table 1: Benefits of Zn and Fe solubilizing bacteria in crop biofortification</w:t>
      </w:r>
    </w:p>
    <w:tbl>
      <w:tblPr>
        <w:tblStyle w:val="TableGrid"/>
        <w:tblW w:w="5000" w:type="pct"/>
        <w:tblLook w:val="04A0"/>
      </w:tblPr>
      <w:tblGrid>
        <w:gridCol w:w="530"/>
        <w:gridCol w:w="3452"/>
        <w:gridCol w:w="1148"/>
        <w:gridCol w:w="1385"/>
        <w:gridCol w:w="1039"/>
        <w:gridCol w:w="1688"/>
      </w:tblGrid>
      <w:tr w:rsidR="00B731C0" w:rsidRPr="0090769E" w:rsidTr="00386D2D">
        <w:trPr>
          <w:trHeight w:val="647"/>
        </w:trPr>
        <w:tc>
          <w:tcPr>
            <w:tcW w:w="442" w:type="pct"/>
          </w:tcPr>
          <w:p w:rsidR="00B731C0" w:rsidRPr="0090769E" w:rsidRDefault="00B731C0" w:rsidP="00386D2D">
            <w:pPr>
              <w:jc w:val="both"/>
              <w:rPr>
                <w:rFonts w:ascii="Arial" w:hAnsi="Arial" w:cs="Arial"/>
                <w:b/>
                <w:bCs/>
                <w:sz w:val="20"/>
              </w:rPr>
            </w:pPr>
            <w:r w:rsidRPr="0090769E">
              <w:rPr>
                <w:rFonts w:ascii="Arial" w:hAnsi="Arial" w:cs="Arial"/>
                <w:b/>
                <w:bCs/>
                <w:sz w:val="20"/>
              </w:rPr>
              <w:t xml:space="preserve">S. No. </w:t>
            </w:r>
          </w:p>
        </w:tc>
        <w:tc>
          <w:tcPr>
            <w:tcW w:w="1301" w:type="pct"/>
          </w:tcPr>
          <w:p w:rsidR="00B731C0" w:rsidRPr="0090769E" w:rsidRDefault="00B731C0" w:rsidP="00386D2D">
            <w:pPr>
              <w:jc w:val="both"/>
              <w:rPr>
                <w:rFonts w:ascii="Arial" w:hAnsi="Arial" w:cs="Arial"/>
                <w:b/>
                <w:bCs/>
                <w:sz w:val="20"/>
              </w:rPr>
            </w:pPr>
            <w:r w:rsidRPr="0090769E">
              <w:rPr>
                <w:rFonts w:ascii="Arial" w:hAnsi="Arial" w:cs="Arial"/>
                <w:b/>
                <w:bCs/>
                <w:sz w:val="20"/>
              </w:rPr>
              <w:t>Bacterial Treatment</w:t>
            </w:r>
          </w:p>
        </w:tc>
        <w:tc>
          <w:tcPr>
            <w:tcW w:w="680" w:type="pct"/>
          </w:tcPr>
          <w:p w:rsidR="00B731C0" w:rsidRPr="0090769E" w:rsidRDefault="00B731C0" w:rsidP="00386D2D">
            <w:pPr>
              <w:jc w:val="both"/>
              <w:rPr>
                <w:rFonts w:ascii="Arial" w:hAnsi="Arial" w:cs="Arial"/>
                <w:b/>
                <w:bCs/>
                <w:sz w:val="20"/>
              </w:rPr>
            </w:pPr>
            <w:r w:rsidRPr="0090769E">
              <w:rPr>
                <w:rFonts w:ascii="Arial" w:hAnsi="Arial" w:cs="Arial"/>
                <w:b/>
                <w:bCs/>
                <w:sz w:val="20"/>
              </w:rPr>
              <w:t>Crop</w:t>
            </w:r>
          </w:p>
        </w:tc>
        <w:tc>
          <w:tcPr>
            <w:tcW w:w="980" w:type="pct"/>
          </w:tcPr>
          <w:p w:rsidR="00B731C0" w:rsidRPr="0090769E" w:rsidRDefault="00B731C0" w:rsidP="00386D2D">
            <w:pPr>
              <w:jc w:val="both"/>
              <w:rPr>
                <w:rFonts w:ascii="Arial" w:hAnsi="Arial" w:cs="Arial"/>
                <w:b/>
                <w:bCs/>
                <w:sz w:val="20"/>
              </w:rPr>
            </w:pPr>
            <w:r w:rsidRPr="0090769E">
              <w:rPr>
                <w:rFonts w:ascii="Arial" w:hAnsi="Arial" w:cs="Arial"/>
                <w:b/>
                <w:bCs/>
                <w:sz w:val="20"/>
              </w:rPr>
              <w:t>Benefit to crop</w:t>
            </w:r>
          </w:p>
        </w:tc>
        <w:tc>
          <w:tcPr>
            <w:tcW w:w="658" w:type="pct"/>
          </w:tcPr>
          <w:p w:rsidR="00B731C0" w:rsidRPr="0090769E" w:rsidRDefault="00B731C0" w:rsidP="00386D2D">
            <w:pPr>
              <w:jc w:val="both"/>
              <w:rPr>
                <w:rFonts w:ascii="Arial" w:hAnsi="Arial" w:cs="Arial"/>
                <w:b/>
                <w:bCs/>
                <w:sz w:val="20"/>
              </w:rPr>
            </w:pPr>
            <w:r w:rsidRPr="0090769E">
              <w:rPr>
                <w:rFonts w:ascii="Arial" w:hAnsi="Arial" w:cs="Arial"/>
                <w:b/>
                <w:bCs/>
                <w:sz w:val="20"/>
              </w:rPr>
              <w:t>Amount of Zn/ Fe in edible part</w:t>
            </w:r>
          </w:p>
        </w:tc>
        <w:tc>
          <w:tcPr>
            <w:tcW w:w="939" w:type="pct"/>
          </w:tcPr>
          <w:p w:rsidR="00B731C0" w:rsidRPr="0090769E" w:rsidRDefault="00B731C0" w:rsidP="00386D2D">
            <w:pPr>
              <w:jc w:val="both"/>
              <w:rPr>
                <w:rFonts w:ascii="Arial" w:hAnsi="Arial" w:cs="Arial"/>
                <w:b/>
                <w:bCs/>
                <w:sz w:val="20"/>
              </w:rPr>
            </w:pPr>
            <w:r w:rsidRPr="0090769E">
              <w:rPr>
                <w:rFonts w:ascii="Arial" w:hAnsi="Arial" w:cs="Arial"/>
                <w:b/>
                <w:bCs/>
                <w:sz w:val="20"/>
              </w:rPr>
              <w:t>References</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sz w:val="20"/>
              </w:rPr>
            </w:pPr>
            <w:r w:rsidRPr="0090769E">
              <w:rPr>
                <w:rFonts w:ascii="Arial" w:hAnsi="Arial" w:cs="Arial"/>
                <w:i/>
                <w:iCs/>
                <w:sz w:val="20"/>
              </w:rPr>
              <w:t>Bacillus glycinifermentans</w:t>
            </w:r>
            <w:r w:rsidRPr="0090769E">
              <w:rPr>
                <w:rFonts w:ascii="Arial" w:hAnsi="Arial" w:cs="Arial"/>
                <w:sz w:val="20"/>
              </w:rPr>
              <w:t xml:space="preserve">CRS-9, </w:t>
            </w:r>
            <w:r w:rsidRPr="0090769E">
              <w:rPr>
                <w:rFonts w:ascii="Arial" w:hAnsi="Arial" w:cs="Arial"/>
                <w:i/>
                <w:iCs/>
                <w:sz w:val="20"/>
              </w:rPr>
              <w:t>Microbacteriumoxydans</w:t>
            </w:r>
            <w:r w:rsidRPr="0090769E">
              <w:rPr>
                <w:rFonts w:ascii="Arial" w:hAnsi="Arial" w:cs="Arial"/>
                <w:sz w:val="20"/>
              </w:rPr>
              <w:t xml:space="preserve"> CRS-17, </w:t>
            </w:r>
            <w:r w:rsidRPr="0090769E">
              <w:rPr>
                <w:rFonts w:ascii="Arial" w:hAnsi="Arial" w:cs="Arial"/>
                <w:i/>
                <w:iCs/>
                <w:sz w:val="20"/>
              </w:rPr>
              <w:t>Paenarthrobacternicotinovorans</w:t>
            </w:r>
            <w:r w:rsidRPr="0090769E">
              <w:rPr>
                <w:rFonts w:ascii="Arial" w:hAnsi="Arial" w:cs="Arial"/>
                <w:sz w:val="20"/>
              </w:rPr>
              <w:t xml:space="preserve">CRS-30, and </w:t>
            </w:r>
            <w:r w:rsidRPr="0090769E">
              <w:rPr>
                <w:rFonts w:ascii="Arial" w:hAnsi="Arial" w:cs="Arial"/>
                <w:i/>
                <w:iCs/>
                <w:sz w:val="20"/>
              </w:rPr>
              <w:t>Bacillus tequilensis</w:t>
            </w:r>
            <w:r w:rsidRPr="0090769E">
              <w:rPr>
                <w:rFonts w:ascii="Arial" w:hAnsi="Arial" w:cs="Arial"/>
                <w:sz w:val="20"/>
              </w:rPr>
              <w:t>CRS-38</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rPr>
              <w:t>Enhanced germination rates, vigor indices, plant biomass, grain yield, and zinc content in grains</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 xml:space="preserve">Zn: 54.25 μg/g </w:t>
            </w: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Yadav et al., (2022)</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rsidR="00B731C0" w:rsidRPr="0090769E" w:rsidRDefault="00B731C0" w:rsidP="00386D2D">
            <w:pPr>
              <w:jc w:val="both"/>
              <w:rPr>
                <w:rFonts w:ascii="Arial" w:hAnsi="Arial" w:cs="Arial"/>
                <w:sz w:val="20"/>
              </w:rPr>
            </w:pPr>
            <w:r w:rsidRPr="0090769E">
              <w:rPr>
                <w:rFonts w:ascii="Arial" w:hAnsi="Arial" w:cs="Arial"/>
                <w:i/>
                <w:iCs/>
                <w:sz w:val="20"/>
                <w:shd w:val="clear" w:color="auto" w:fill="FFFFFF"/>
              </w:rPr>
              <w:t>Pseudomonas jesenni</w:t>
            </w:r>
            <w:r w:rsidRPr="0090769E">
              <w:rPr>
                <w:rFonts w:ascii="Arial" w:hAnsi="Arial" w:cs="Arial"/>
                <w:sz w:val="20"/>
                <w:shd w:val="clear" w:color="auto" w:fill="FFFFFF"/>
              </w:rPr>
              <w:t xml:space="preserve"> MP1 and </w:t>
            </w:r>
            <w:r w:rsidRPr="0090769E">
              <w:rPr>
                <w:rFonts w:ascii="Arial" w:hAnsi="Arial" w:cs="Arial"/>
                <w:i/>
                <w:iCs/>
                <w:sz w:val="20"/>
                <w:shd w:val="clear" w:color="auto" w:fill="FFFFFF"/>
              </w:rPr>
              <w:t>P. palleroniana</w:t>
            </w:r>
            <w:r w:rsidRPr="0090769E">
              <w:rPr>
                <w:rFonts w:ascii="Arial" w:hAnsi="Arial" w:cs="Arial"/>
                <w:sz w:val="20"/>
                <w:shd w:val="clear" w:color="auto" w:fill="FFFFFF"/>
              </w:rPr>
              <w:t xml:space="preserve"> N26</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Kidney bean</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rPr>
              <w:t>Improves kidney bean yield, nutrient profile, and soil health</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Zn: 53.66 mg/kg</w:t>
            </w:r>
          </w:p>
          <w:p w:rsidR="00B731C0" w:rsidRPr="0090769E" w:rsidRDefault="00B731C0" w:rsidP="00386D2D">
            <w:pPr>
              <w:jc w:val="both"/>
              <w:rPr>
                <w:rFonts w:ascii="Arial" w:hAnsi="Arial" w:cs="Arial"/>
                <w:sz w:val="20"/>
              </w:rPr>
            </w:pPr>
            <w:r w:rsidRPr="0090769E">
              <w:rPr>
                <w:rFonts w:ascii="Arial" w:hAnsi="Arial" w:cs="Arial"/>
                <w:sz w:val="20"/>
              </w:rPr>
              <w:t>50.16 mg/kg</w:t>
            </w: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Khan et al., (2023)</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sz w:val="20"/>
              </w:rPr>
            </w:pPr>
            <w:r w:rsidRPr="0090769E">
              <w:rPr>
                <w:rFonts w:ascii="Arial" w:hAnsi="Arial" w:cs="Arial"/>
                <w:i/>
                <w:iCs/>
                <w:sz w:val="20"/>
              </w:rPr>
              <w:t>Burkholderiacepacia</w:t>
            </w:r>
            <w:r w:rsidRPr="0090769E">
              <w:rPr>
                <w:rFonts w:ascii="Arial" w:hAnsi="Arial" w:cs="Arial"/>
                <w:sz w:val="20"/>
              </w:rPr>
              <w:t xml:space="preserve"> BMRR126 and </w:t>
            </w:r>
            <w:r w:rsidRPr="0090769E">
              <w:rPr>
                <w:rFonts w:ascii="Arial" w:hAnsi="Arial" w:cs="Arial"/>
                <w:i/>
                <w:iCs/>
                <w:sz w:val="20"/>
              </w:rPr>
              <w:t>Pantoearodasii</w:t>
            </w:r>
            <w:r w:rsidRPr="0090769E">
              <w:rPr>
                <w:rFonts w:ascii="Arial" w:hAnsi="Arial" w:cs="Arial"/>
                <w:sz w:val="20"/>
              </w:rPr>
              <w:t>BMAR64</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Rice</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Resulted in the highest growth and productivity of the paddy crop</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Zn: 33.25 mg/kg</w:t>
            </w: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Upadhayay et al., (2022)</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rsidR="00B731C0" w:rsidRPr="0090769E" w:rsidRDefault="00B731C0" w:rsidP="00386D2D">
            <w:pPr>
              <w:jc w:val="both"/>
              <w:rPr>
                <w:rFonts w:ascii="Arial" w:hAnsi="Arial" w:cs="Arial"/>
                <w:sz w:val="20"/>
                <w:shd w:val="clear" w:color="auto" w:fill="FFFFFF"/>
              </w:rPr>
            </w:pPr>
            <w:r w:rsidRPr="0090769E">
              <w:rPr>
                <w:rFonts w:ascii="Arial" w:hAnsi="Arial" w:cs="Arial"/>
                <w:i/>
                <w:iCs/>
                <w:sz w:val="20"/>
                <w:shd w:val="clear" w:color="auto" w:fill="FFFFFF"/>
              </w:rPr>
              <w:t>Arthrobactor</w:t>
            </w:r>
            <w:r w:rsidRPr="0090769E">
              <w:rPr>
                <w:rFonts w:ascii="Arial" w:hAnsi="Arial" w:cs="Arial"/>
                <w:sz w:val="20"/>
                <w:shd w:val="clear" w:color="auto" w:fill="FFFFFF"/>
              </w:rPr>
              <w:t> sp.</w:t>
            </w:r>
          </w:p>
          <w:p w:rsidR="00B731C0" w:rsidRPr="0090769E" w:rsidRDefault="00B731C0" w:rsidP="00386D2D">
            <w:pPr>
              <w:jc w:val="both"/>
              <w:rPr>
                <w:rFonts w:ascii="Arial" w:hAnsi="Arial" w:cs="Arial"/>
                <w:sz w:val="20"/>
              </w:rPr>
            </w:pP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Soyabean</w:t>
            </w:r>
          </w:p>
          <w:p w:rsidR="00B731C0" w:rsidRPr="0090769E" w:rsidRDefault="00B731C0" w:rsidP="00386D2D">
            <w:pPr>
              <w:jc w:val="both"/>
              <w:rPr>
                <w:rFonts w:ascii="Arial" w:hAnsi="Arial" w:cs="Arial"/>
                <w:sz w:val="20"/>
              </w:rPr>
            </w:pP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Increased grain yield and also enhanced Fe concentration in grains</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 xml:space="preserve">Fe: 0.11 </w:t>
            </w:r>
            <w:r w:rsidRPr="0090769E">
              <w:rPr>
                <w:rFonts w:ascii="Arial" w:hAnsi="Arial" w:cs="Arial"/>
                <w:sz w:val="20"/>
                <w:shd w:val="clear" w:color="auto" w:fill="FFFFFF"/>
              </w:rPr>
              <w:t>mg/g</w:t>
            </w:r>
          </w:p>
          <w:p w:rsidR="00B731C0" w:rsidRPr="0090769E" w:rsidRDefault="00B731C0" w:rsidP="00386D2D">
            <w:pPr>
              <w:jc w:val="both"/>
              <w:rPr>
                <w:rFonts w:ascii="Arial" w:hAnsi="Arial" w:cs="Arial"/>
                <w:sz w:val="20"/>
              </w:rPr>
            </w:pP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Sharma et al., (2019)</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rsidR="00B731C0" w:rsidRPr="0090769E" w:rsidRDefault="00B731C0" w:rsidP="00386D2D">
            <w:pPr>
              <w:jc w:val="both"/>
              <w:rPr>
                <w:rFonts w:ascii="Arial" w:hAnsi="Arial" w:cs="Arial"/>
                <w:sz w:val="20"/>
              </w:rPr>
            </w:pPr>
            <w:r w:rsidRPr="0090769E">
              <w:rPr>
                <w:rFonts w:ascii="Arial" w:hAnsi="Arial" w:cs="Arial"/>
                <w:i/>
                <w:iCs/>
                <w:sz w:val="20"/>
                <w:shd w:val="clear" w:color="auto" w:fill="FFFFFF"/>
              </w:rPr>
              <w:t>Lysinibacillus fusiformis</w:t>
            </w:r>
            <w:r w:rsidRPr="0090769E">
              <w:rPr>
                <w:rFonts w:ascii="Arial" w:hAnsi="Arial" w:cs="Arial"/>
                <w:sz w:val="20"/>
                <w:shd w:val="clear" w:color="auto" w:fill="FFFFFF"/>
              </w:rPr>
              <w:t> </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Increased grain yield of wheat, enhanced Fe concentration of grains</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 xml:space="preserve">Fe: </w:t>
            </w:r>
            <w:r w:rsidRPr="0090769E">
              <w:rPr>
                <w:rFonts w:ascii="Arial" w:hAnsi="Arial" w:cs="Arial"/>
                <w:sz w:val="20"/>
                <w:shd w:val="clear" w:color="auto" w:fill="FFFFFF"/>
              </w:rPr>
              <w:t>0.222 mg/g </w:t>
            </w:r>
          </w:p>
          <w:p w:rsidR="00B731C0" w:rsidRPr="0090769E" w:rsidRDefault="00B731C0" w:rsidP="00386D2D">
            <w:pPr>
              <w:jc w:val="both"/>
              <w:rPr>
                <w:rFonts w:ascii="Arial" w:hAnsi="Arial" w:cs="Arial"/>
                <w:sz w:val="20"/>
              </w:rPr>
            </w:pP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Sharma et al., (2019)</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sz w:val="20"/>
              </w:rPr>
            </w:pPr>
            <w:r w:rsidRPr="0090769E">
              <w:rPr>
                <w:rFonts w:ascii="Arial" w:hAnsi="Arial" w:cs="Arial"/>
                <w:i/>
                <w:iCs/>
                <w:sz w:val="20"/>
              </w:rPr>
              <w:t>Bacillus mojavensis</w:t>
            </w:r>
            <w:r w:rsidRPr="0090769E">
              <w:rPr>
                <w:rFonts w:ascii="Arial" w:hAnsi="Arial" w:cs="Arial"/>
                <w:sz w:val="20"/>
              </w:rPr>
              <w:t xml:space="preserve"> RHPR20 and </w:t>
            </w:r>
            <w:r w:rsidRPr="0090769E">
              <w:rPr>
                <w:rFonts w:ascii="Arial" w:hAnsi="Arial" w:cs="Arial"/>
                <w:i/>
                <w:iCs/>
                <w:sz w:val="20"/>
              </w:rPr>
              <w:t>Bacillus cereus</w:t>
            </w:r>
            <w:r w:rsidRPr="0090769E">
              <w:rPr>
                <w:rFonts w:ascii="Arial" w:hAnsi="Arial" w:cs="Arial"/>
                <w:sz w:val="20"/>
              </w:rPr>
              <w:t xml:space="preserve"> MMRH22</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Sorghum</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rPr>
              <w:t xml:space="preserve">Significant increase in the plant height, leaves number, leaf area; root, shoot, and leaf weight; and the yield </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Fe: 87.5 ppm MMRH22 and 78.1 ppm RHPR20</w:t>
            </w:r>
          </w:p>
        </w:tc>
        <w:tc>
          <w:tcPr>
            <w:tcW w:w="939" w:type="pct"/>
          </w:tcPr>
          <w:p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Manasa et al., (2021)</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i/>
                <w:iCs/>
                <w:sz w:val="20"/>
              </w:rPr>
            </w:pPr>
            <w:r w:rsidRPr="0090769E">
              <w:rPr>
                <w:rStyle w:val="html-italic"/>
                <w:rFonts w:ascii="Arial" w:hAnsi="Arial" w:cs="Arial"/>
                <w:i/>
                <w:iCs/>
                <w:color w:val="222222"/>
                <w:sz w:val="20"/>
                <w:shd w:val="clear" w:color="auto" w:fill="FFFFFF"/>
              </w:rPr>
              <w:t>Pseudomonas bijieensis</w:t>
            </w:r>
            <w:r w:rsidRPr="0090769E">
              <w:rPr>
                <w:rFonts w:ascii="Arial" w:hAnsi="Arial" w:cs="Arial"/>
                <w:color w:val="222222"/>
                <w:sz w:val="20"/>
                <w:shd w:val="clear" w:color="auto" w:fill="FFFFFF"/>
              </w:rPr>
              <w:t> and </w:t>
            </w:r>
            <w:r w:rsidRPr="0090769E">
              <w:rPr>
                <w:rStyle w:val="html-italic"/>
                <w:rFonts w:ascii="Arial" w:hAnsi="Arial" w:cs="Arial"/>
                <w:i/>
                <w:iCs/>
                <w:color w:val="222222"/>
                <w:sz w:val="20"/>
                <w:shd w:val="clear" w:color="auto" w:fill="FFFFFF"/>
              </w:rPr>
              <w:t>Priestia megaterium</w:t>
            </w:r>
          </w:p>
        </w:tc>
        <w:tc>
          <w:tcPr>
            <w:tcW w:w="680" w:type="pct"/>
          </w:tcPr>
          <w:p w:rsidR="00B731C0" w:rsidRPr="0090769E" w:rsidRDefault="00B731C0" w:rsidP="00386D2D">
            <w:pPr>
              <w:jc w:val="both"/>
              <w:rPr>
                <w:rFonts w:ascii="Arial" w:hAnsi="Arial" w:cs="Arial"/>
                <w:sz w:val="20"/>
              </w:rPr>
            </w:pPr>
            <w:r w:rsidRPr="0090769E">
              <w:rPr>
                <w:rFonts w:ascii="Arial" w:hAnsi="Arial" w:cs="Arial"/>
                <w:color w:val="222222"/>
                <w:sz w:val="20"/>
                <w:shd w:val="clear" w:color="auto" w:fill="FFFFFF"/>
              </w:rPr>
              <w:t>Finger millet</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rPr>
              <w:t>Improve the shoot and root lengths and the plant and root dry weights, zinc content and NPK content in grains controls</w:t>
            </w:r>
          </w:p>
        </w:tc>
        <w:tc>
          <w:tcPr>
            <w:tcW w:w="658" w:type="pct"/>
          </w:tcPr>
          <w:p w:rsidR="00B731C0" w:rsidRPr="0090769E" w:rsidRDefault="00B731C0" w:rsidP="00386D2D">
            <w:pPr>
              <w:jc w:val="both"/>
              <w:rPr>
                <w:rFonts w:ascii="Arial" w:hAnsi="Arial" w:cs="Arial"/>
                <w:sz w:val="20"/>
              </w:rPr>
            </w:pPr>
            <w:r w:rsidRPr="0090769E">
              <w:rPr>
                <w:rFonts w:ascii="Arial" w:hAnsi="Arial" w:cs="Arial"/>
                <w:color w:val="222222"/>
                <w:sz w:val="20"/>
                <w:shd w:val="clear" w:color="auto" w:fill="FFFFFF"/>
              </w:rPr>
              <w:t>Zn: 2.73 mg</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Chaudhary et al., (2023)</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i/>
                <w:iCs/>
                <w:sz w:val="20"/>
              </w:rPr>
            </w:pPr>
            <w:r w:rsidRPr="0090769E">
              <w:rPr>
                <w:rFonts w:ascii="Arial" w:hAnsi="Arial" w:cs="Arial"/>
                <w:i/>
                <w:iCs/>
                <w:sz w:val="20"/>
              </w:rPr>
              <w:t>B. aryabhattai</w:t>
            </w:r>
            <w:r w:rsidRPr="0090769E">
              <w:rPr>
                <w:rFonts w:ascii="Arial" w:hAnsi="Arial" w:cs="Arial"/>
                <w:sz w:val="20"/>
              </w:rPr>
              <w:t xml:space="preserve"> ZM31 and </w:t>
            </w:r>
            <w:r w:rsidRPr="0090769E">
              <w:rPr>
                <w:rFonts w:ascii="Arial" w:hAnsi="Arial" w:cs="Arial"/>
                <w:i/>
                <w:iCs/>
                <w:sz w:val="20"/>
              </w:rPr>
              <w:t>B. subtilis</w:t>
            </w:r>
            <w:r w:rsidRPr="0090769E">
              <w:rPr>
                <w:rFonts w:ascii="Arial" w:hAnsi="Arial" w:cs="Arial"/>
                <w:sz w:val="20"/>
              </w:rPr>
              <w:t xml:space="preserve"> ZM6</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Maize</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rPr>
              <w:t>Increase nutrients acquisition and to promote growth and yield of maize</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52.0 mg/kg</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Mumtaz et al., (2020)</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i/>
                <w:iCs/>
                <w:sz w:val="20"/>
              </w:rPr>
            </w:pPr>
            <w:r w:rsidRPr="0090769E">
              <w:rPr>
                <w:rFonts w:ascii="Arial" w:hAnsi="Arial" w:cs="Arial"/>
                <w:i/>
                <w:iCs/>
                <w:color w:val="222222"/>
                <w:sz w:val="20"/>
                <w:shd w:val="clear" w:color="auto" w:fill="FFFFFF"/>
              </w:rPr>
              <w:t>Pseudomonas monteilii</w:t>
            </w:r>
            <w:r w:rsidRPr="0090769E">
              <w:rPr>
                <w:rFonts w:ascii="Arial" w:hAnsi="Arial" w:cs="Arial"/>
                <w:color w:val="222222"/>
                <w:sz w:val="20"/>
                <w:shd w:val="clear" w:color="auto" w:fill="FFFFFF"/>
              </w:rPr>
              <w:t> SRI-360</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 xml:space="preserve">Chickpea </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 xml:space="preserve">Improves yield traits including nodule number, nodule weight, shoot weight, root weight and grain yield </w:t>
            </w:r>
          </w:p>
        </w:tc>
        <w:tc>
          <w:tcPr>
            <w:tcW w:w="658" w:type="pct"/>
          </w:tcPr>
          <w:p w:rsidR="00B731C0" w:rsidRPr="0090769E" w:rsidRDefault="00B731C0" w:rsidP="00386D2D">
            <w:pPr>
              <w:jc w:val="both"/>
              <w:rPr>
                <w:rFonts w:ascii="Arial" w:hAnsi="Arial" w:cs="Arial"/>
                <w:sz w:val="20"/>
                <w:vertAlign w:val="superscript"/>
              </w:rPr>
            </w:pPr>
            <w:r w:rsidRPr="0090769E">
              <w:rPr>
                <w:rFonts w:ascii="Arial" w:hAnsi="Arial" w:cs="Arial"/>
                <w:sz w:val="20"/>
              </w:rPr>
              <w:t>Zn :3.9 mg/ 100 g</w:t>
            </w:r>
          </w:p>
          <w:p w:rsidR="00B731C0" w:rsidRPr="0090769E" w:rsidRDefault="00B731C0" w:rsidP="00386D2D">
            <w:pPr>
              <w:jc w:val="both"/>
              <w:rPr>
                <w:rFonts w:ascii="Arial" w:hAnsi="Arial" w:cs="Arial"/>
                <w:sz w:val="20"/>
              </w:rPr>
            </w:pPr>
            <w:r w:rsidRPr="0090769E">
              <w:rPr>
                <w:rFonts w:ascii="Arial" w:hAnsi="Arial" w:cs="Arial"/>
                <w:sz w:val="20"/>
              </w:rPr>
              <w:t>Fe: 6.1/100 g</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Gopalakrishnan et al., (2016)</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i/>
                <w:iCs/>
                <w:sz w:val="20"/>
              </w:rPr>
            </w:pPr>
            <w:r w:rsidRPr="0090769E">
              <w:rPr>
                <w:rFonts w:ascii="Arial" w:hAnsi="Arial" w:cs="Arial"/>
                <w:i/>
                <w:iCs/>
                <w:color w:val="222222"/>
                <w:sz w:val="20"/>
                <w:shd w:val="clear" w:color="auto" w:fill="FFFFFF"/>
              </w:rPr>
              <w:t>E. ludwigii</w:t>
            </w:r>
            <w:r w:rsidRPr="0090769E">
              <w:rPr>
                <w:rFonts w:ascii="Arial" w:hAnsi="Arial" w:cs="Arial"/>
                <w:color w:val="222222"/>
                <w:sz w:val="20"/>
                <w:shd w:val="clear" w:color="auto" w:fill="FFFFFF"/>
              </w:rPr>
              <w:t> SRI-229</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Pigeonpea</w:t>
            </w:r>
          </w:p>
        </w:tc>
        <w:tc>
          <w:tcPr>
            <w:tcW w:w="980" w:type="pct"/>
          </w:tcPr>
          <w:p w:rsidR="00B731C0" w:rsidRPr="0090769E" w:rsidRDefault="00B731C0" w:rsidP="00386D2D">
            <w:pPr>
              <w:jc w:val="both"/>
              <w:rPr>
                <w:rFonts w:ascii="Arial" w:hAnsi="Arial" w:cs="Arial"/>
                <w:sz w:val="20"/>
              </w:rPr>
            </w:pPr>
            <w:r w:rsidRPr="0090769E">
              <w:rPr>
                <w:rFonts w:ascii="Arial" w:hAnsi="Arial" w:cs="Arial"/>
                <w:sz w:val="20"/>
                <w:shd w:val="clear" w:color="auto" w:fill="FFFFFF"/>
              </w:rPr>
              <w:t>Improves yield traits including nodule number, nodule weight, shoot weight, root weight and grain yield</w:t>
            </w:r>
          </w:p>
        </w:tc>
        <w:tc>
          <w:tcPr>
            <w:tcW w:w="658" w:type="pct"/>
          </w:tcPr>
          <w:p w:rsidR="00B731C0" w:rsidRPr="0090769E" w:rsidRDefault="00B731C0" w:rsidP="00386D2D">
            <w:pPr>
              <w:jc w:val="both"/>
              <w:rPr>
                <w:rFonts w:ascii="Arial" w:hAnsi="Arial" w:cs="Arial"/>
                <w:sz w:val="20"/>
                <w:vertAlign w:val="superscript"/>
              </w:rPr>
            </w:pPr>
            <w:r w:rsidRPr="0090769E">
              <w:rPr>
                <w:rFonts w:ascii="Arial" w:hAnsi="Arial" w:cs="Arial"/>
                <w:sz w:val="20"/>
              </w:rPr>
              <w:t>Zn :3.8 mg/100g</w:t>
            </w:r>
          </w:p>
          <w:p w:rsidR="00B731C0" w:rsidRPr="0090769E" w:rsidRDefault="00B731C0" w:rsidP="00386D2D">
            <w:pPr>
              <w:jc w:val="both"/>
              <w:rPr>
                <w:rFonts w:ascii="Arial" w:hAnsi="Arial" w:cs="Arial"/>
                <w:sz w:val="20"/>
              </w:rPr>
            </w:pPr>
            <w:r w:rsidRPr="0090769E">
              <w:rPr>
                <w:rFonts w:ascii="Arial" w:hAnsi="Arial" w:cs="Arial"/>
                <w:sz w:val="20"/>
              </w:rPr>
              <w:t>Fe: 3.9 mg /100 g</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Gopalakrishnan et al., (2016)</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color w:val="222222"/>
                <w:sz w:val="20"/>
                <w:shd w:val="clear" w:color="auto" w:fill="FFFFFF"/>
              </w:rPr>
            </w:pPr>
            <w:r w:rsidRPr="0090769E">
              <w:rPr>
                <w:rFonts w:ascii="Arial" w:hAnsi="Arial" w:cs="Arial"/>
                <w:i/>
                <w:iCs/>
                <w:color w:val="333333"/>
                <w:sz w:val="20"/>
              </w:rPr>
              <w:t>Bacillus subtilis</w:t>
            </w:r>
            <w:r w:rsidRPr="0090769E">
              <w:rPr>
                <w:rFonts w:ascii="Arial" w:hAnsi="Arial" w:cs="Arial"/>
                <w:color w:val="333333"/>
                <w:sz w:val="20"/>
              </w:rPr>
              <w:t>+Fe</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Groundnut</w:t>
            </w:r>
          </w:p>
        </w:tc>
        <w:tc>
          <w:tcPr>
            <w:tcW w:w="980" w:type="pct"/>
          </w:tcPr>
          <w:p w:rsidR="00B731C0" w:rsidRPr="0090769E" w:rsidRDefault="00B731C0" w:rsidP="00386D2D">
            <w:pPr>
              <w:jc w:val="both"/>
              <w:rPr>
                <w:rFonts w:ascii="Arial" w:hAnsi="Arial" w:cs="Arial"/>
                <w:color w:val="222222"/>
                <w:sz w:val="20"/>
                <w:shd w:val="clear" w:color="auto" w:fill="FFFFFF"/>
              </w:rPr>
            </w:pPr>
            <w:r w:rsidRPr="0090769E">
              <w:rPr>
                <w:rFonts w:ascii="Arial" w:hAnsi="Arial" w:cs="Arial"/>
                <w:color w:val="333333"/>
                <w:sz w:val="20"/>
              </w:rPr>
              <w:t xml:space="preserve"> Increase growth, yield and nutrient contents </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Fe: 45.72%</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Sarwar et al., (2022)</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color w:val="333333"/>
                <w:sz w:val="20"/>
              </w:rPr>
            </w:pPr>
            <w:r w:rsidRPr="0090769E">
              <w:rPr>
                <w:rFonts w:ascii="Arial" w:hAnsi="Arial" w:cs="Arial"/>
                <w:i/>
                <w:iCs/>
                <w:color w:val="333333"/>
                <w:sz w:val="20"/>
              </w:rPr>
              <w:t>Exiguobacteriumaurantiacum</w:t>
            </w:r>
            <w:r w:rsidRPr="0090769E">
              <w:rPr>
                <w:rFonts w:ascii="Arial" w:hAnsi="Arial" w:cs="Arial"/>
                <w:color w:val="333333"/>
                <w:sz w:val="20"/>
              </w:rPr>
              <w:t xml:space="preserve"> MS-ZT10</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rsidR="00B731C0" w:rsidRPr="0090769E" w:rsidRDefault="00B731C0" w:rsidP="00386D2D">
            <w:pPr>
              <w:jc w:val="both"/>
              <w:rPr>
                <w:rFonts w:ascii="Arial" w:hAnsi="Arial" w:cs="Arial"/>
                <w:color w:val="333333"/>
                <w:sz w:val="20"/>
              </w:rPr>
            </w:pPr>
            <w:r w:rsidRPr="0090769E">
              <w:rPr>
                <w:rFonts w:ascii="Arial" w:hAnsi="Arial" w:cs="Arial"/>
                <w:color w:val="333333"/>
                <w:sz w:val="20"/>
              </w:rPr>
              <w:t>Enhanced micronutrient content in wheat varieties</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 xml:space="preserve">Zn: 18.2 ppm </w:t>
            </w:r>
          </w:p>
          <w:p w:rsidR="00B731C0" w:rsidRPr="0090769E" w:rsidRDefault="00B731C0" w:rsidP="00386D2D">
            <w:pPr>
              <w:jc w:val="both"/>
              <w:rPr>
                <w:rFonts w:ascii="Arial" w:hAnsi="Arial" w:cs="Arial"/>
                <w:sz w:val="20"/>
              </w:rPr>
            </w:pPr>
            <w:r w:rsidRPr="0090769E">
              <w:rPr>
                <w:rFonts w:ascii="Arial" w:hAnsi="Arial" w:cs="Arial"/>
                <w:sz w:val="20"/>
              </w:rPr>
              <w:t>Fe: 24.67 ppm</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Shaikh and Saraf, (2017)</w:t>
            </w:r>
          </w:p>
        </w:tc>
      </w:tr>
      <w:tr w:rsidR="00B731C0" w:rsidRPr="0090769E" w:rsidTr="00386D2D">
        <w:trPr>
          <w:trHeight w:val="973"/>
        </w:trPr>
        <w:tc>
          <w:tcPr>
            <w:tcW w:w="442" w:type="pct"/>
          </w:tcPr>
          <w:p w:rsidR="00B731C0" w:rsidRPr="0090769E" w:rsidRDefault="00B731C0" w:rsidP="00386D2D">
            <w:pPr>
              <w:pStyle w:val="ListParagraph"/>
              <w:numPr>
                <w:ilvl w:val="0"/>
                <w:numId w:val="39"/>
              </w:numPr>
              <w:jc w:val="both"/>
              <w:rPr>
                <w:rFonts w:ascii="Arial" w:hAnsi="Arial" w:cs="Arial"/>
                <w:b/>
                <w:bCs/>
                <w:sz w:val="20"/>
              </w:rPr>
            </w:pPr>
          </w:p>
        </w:tc>
        <w:tc>
          <w:tcPr>
            <w:tcW w:w="1301" w:type="pct"/>
          </w:tcPr>
          <w:p w:rsidR="00B731C0" w:rsidRPr="0090769E" w:rsidRDefault="00B731C0" w:rsidP="00386D2D">
            <w:pPr>
              <w:jc w:val="both"/>
              <w:rPr>
                <w:rFonts w:ascii="Arial" w:hAnsi="Arial" w:cs="Arial"/>
                <w:i/>
                <w:iCs/>
                <w:color w:val="333333"/>
                <w:sz w:val="20"/>
              </w:rPr>
            </w:pPr>
            <w:r w:rsidRPr="0090769E">
              <w:rPr>
                <w:rFonts w:ascii="Arial" w:hAnsi="Arial" w:cs="Arial"/>
                <w:i/>
                <w:iCs/>
                <w:color w:val="333333"/>
                <w:sz w:val="20"/>
              </w:rPr>
              <w:t>Alcaligenes sp., Bacillus sp., Pseudomonas sp. and Bacillus sp.</w:t>
            </w:r>
          </w:p>
        </w:tc>
        <w:tc>
          <w:tcPr>
            <w:tcW w:w="680" w:type="pct"/>
          </w:tcPr>
          <w:p w:rsidR="00B731C0" w:rsidRPr="0090769E" w:rsidRDefault="00B731C0" w:rsidP="00386D2D">
            <w:pPr>
              <w:jc w:val="both"/>
              <w:rPr>
                <w:rFonts w:ascii="Arial" w:hAnsi="Arial" w:cs="Arial"/>
                <w:sz w:val="20"/>
              </w:rPr>
            </w:pPr>
            <w:r w:rsidRPr="0090769E">
              <w:rPr>
                <w:rFonts w:ascii="Arial" w:hAnsi="Arial" w:cs="Arial"/>
                <w:sz w:val="20"/>
              </w:rPr>
              <w:t>Maize</w:t>
            </w:r>
          </w:p>
        </w:tc>
        <w:tc>
          <w:tcPr>
            <w:tcW w:w="980" w:type="pct"/>
          </w:tcPr>
          <w:p w:rsidR="00B731C0" w:rsidRPr="0090769E" w:rsidRDefault="00B731C0" w:rsidP="00386D2D">
            <w:pPr>
              <w:jc w:val="both"/>
              <w:rPr>
                <w:rFonts w:ascii="Arial" w:hAnsi="Arial" w:cs="Arial"/>
                <w:color w:val="333333"/>
                <w:sz w:val="20"/>
              </w:rPr>
            </w:pPr>
            <w:r w:rsidRPr="0090769E">
              <w:rPr>
                <w:rFonts w:ascii="Arial" w:hAnsi="Arial" w:cs="Arial"/>
                <w:color w:val="333333"/>
                <w:sz w:val="20"/>
              </w:rPr>
              <w:t>Increased  Zn contents in grain, cob-pith, stem and roots</w:t>
            </w:r>
          </w:p>
        </w:tc>
        <w:tc>
          <w:tcPr>
            <w:tcW w:w="658" w:type="pct"/>
          </w:tcPr>
          <w:p w:rsidR="00B731C0" w:rsidRPr="0090769E" w:rsidRDefault="00B731C0" w:rsidP="00386D2D">
            <w:pPr>
              <w:jc w:val="both"/>
              <w:rPr>
                <w:rFonts w:ascii="Arial" w:hAnsi="Arial" w:cs="Arial"/>
                <w:sz w:val="20"/>
              </w:rPr>
            </w:pPr>
            <w:r w:rsidRPr="0090769E">
              <w:rPr>
                <w:rFonts w:ascii="Arial" w:hAnsi="Arial" w:cs="Arial"/>
                <w:sz w:val="20"/>
              </w:rPr>
              <w:t>Zn: 7.30 ppm</w:t>
            </w:r>
          </w:p>
        </w:tc>
        <w:tc>
          <w:tcPr>
            <w:tcW w:w="939" w:type="pct"/>
          </w:tcPr>
          <w:p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Bashir et al., (2021)</w:t>
            </w:r>
          </w:p>
        </w:tc>
      </w:tr>
    </w:tbl>
    <w:p w:rsidR="00B731C0" w:rsidRPr="0090769E" w:rsidRDefault="00B731C0" w:rsidP="00B731C0">
      <w:pPr>
        <w:spacing w:before="120" w:after="120" w:line="276" w:lineRule="auto"/>
        <w:jc w:val="both"/>
        <w:rPr>
          <w:rFonts w:ascii="Arial" w:hAnsi="Arial" w:cs="Arial"/>
          <w:b/>
          <w:bCs/>
          <w:sz w:val="20"/>
          <w:szCs w:val="20"/>
        </w:rPr>
      </w:pPr>
    </w:p>
    <w:p w:rsidR="00B731C0" w:rsidRPr="0090769E" w:rsidRDefault="0067060A" w:rsidP="00B731C0">
      <w:pPr>
        <w:spacing w:before="120" w:after="120" w:line="276" w:lineRule="auto"/>
        <w:jc w:val="both"/>
        <w:rPr>
          <w:rFonts w:ascii="Arial" w:hAnsi="Arial" w:cs="Arial"/>
          <w:sz w:val="20"/>
          <w:szCs w:val="20"/>
        </w:rPr>
      </w:pPr>
      <w:bookmarkStart w:id="2" w:name="_Hlk147314486"/>
      <w:r w:rsidRPr="00705922">
        <w:rPr>
          <w:rFonts w:ascii="Arial" w:hAnsi="Arial" w:cs="Arial"/>
          <w:b/>
          <w:bCs/>
          <w:color w:val="000000" w:themeColor="text1"/>
        </w:rPr>
        <w:t>6.</w:t>
      </w:r>
      <w:r w:rsidR="00705922" w:rsidRPr="00705922">
        <w:rPr>
          <w:rFonts w:ascii="Arial" w:hAnsi="Arial" w:cs="Arial"/>
          <w:b/>
          <w:bCs/>
          <w:color w:val="000000" w:themeColor="text1"/>
        </w:rPr>
        <w:t>ENDOPHYTES AS PGPR AND BIOFERTILIZERS</w:t>
      </w:r>
      <w:bookmarkEnd w:id="2"/>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Plants host a diverse range of microbes, including epiphytes and endophytes. Endophytes, consisting of symbiotic bacteria and fungi, reside within plant tissues such as stems, roots, leaves, seeds, and fruits without harming the plant. They have been found in various plants and are categorized as transient or true endophytes. True endophytes are further divided into obligate (fully dependent on the plant) and facultative (partially dependent) types</w:t>
      </w:r>
      <w:r w:rsidRPr="0090769E">
        <w:rPr>
          <w:rFonts w:ascii="Arial" w:hAnsi="Arial" w:cs="Arial"/>
          <w:b/>
          <w:sz w:val="20"/>
          <w:szCs w:val="20"/>
        </w:rPr>
        <w:t xml:space="preserve"> (Choudhary et al., 2023</w:t>
      </w:r>
      <w:r w:rsidRPr="0090769E">
        <w:rPr>
          <w:rFonts w:ascii="Arial" w:hAnsi="Arial" w:cs="Arial"/>
          <w:sz w:val="20"/>
          <w:szCs w:val="20"/>
        </w:rPr>
        <w:t>). Endophytes are of particular interest due to their ability to produce bioactive compounds with applications in agriculture, pharmaceuticals, and biotechnology. They enhance plant health by improving nutrient absorption, producing phytohormones, and combating pathogens through antibiosis and enzyme activation (</w:t>
      </w:r>
      <w:r w:rsidRPr="0090769E">
        <w:rPr>
          <w:rFonts w:ascii="Arial" w:hAnsi="Arial" w:cs="Arial"/>
          <w:b/>
          <w:sz w:val="20"/>
          <w:szCs w:val="20"/>
        </w:rPr>
        <w:t>Choudhary et al., 2023</w:t>
      </w:r>
      <w:r w:rsidRPr="0090769E">
        <w:rPr>
          <w:rFonts w:ascii="Arial" w:hAnsi="Arial" w:cs="Arial"/>
          <w:sz w:val="20"/>
          <w:szCs w:val="20"/>
        </w:rPr>
        <w:t>). Their internal presence in plant tissues makes them more effective in promoting plant growth and suppressing diseases than rhizospheric microorganisms (</w:t>
      </w:r>
      <w:r w:rsidRPr="0090769E">
        <w:rPr>
          <w:rFonts w:ascii="Arial" w:hAnsi="Arial" w:cs="Arial"/>
          <w:b/>
          <w:sz w:val="20"/>
          <w:szCs w:val="20"/>
        </w:rPr>
        <w:t>Weyens et al., 2013</w:t>
      </w:r>
      <w:r w:rsidRPr="0090769E">
        <w:rPr>
          <w:rFonts w:ascii="Arial" w:hAnsi="Arial" w:cs="Arial"/>
          <w:sz w:val="20"/>
          <w:szCs w:val="20"/>
        </w:rPr>
        <w:t>). Bacterial and fungal endophytes are linked to enhanced iron (Fe) and zinc (Zn) biofortification in wheat and rice grains (</w:t>
      </w:r>
      <w:r w:rsidRPr="0090769E">
        <w:rPr>
          <w:rFonts w:ascii="Arial" w:hAnsi="Arial" w:cs="Arial"/>
          <w:b/>
          <w:sz w:val="20"/>
          <w:szCs w:val="20"/>
        </w:rPr>
        <w:t>Abaid-Ullah et al., 2015</w:t>
      </w:r>
      <w:r w:rsidRPr="0090769E">
        <w:rPr>
          <w:rFonts w:ascii="Arial" w:hAnsi="Arial" w:cs="Arial"/>
          <w:sz w:val="20"/>
          <w:szCs w:val="20"/>
        </w:rPr>
        <w:t>). Endophytes enhance plant growth through mechanisms such as solubilizing immobilized nutrients like phosphorus and zinc, fixing nitrogen, producing phytohormones (auxins, cytokinins, gibberellins), sequestering iron via siderophores, oxidizing sulfur, producing ACC deaminase, and generating volatile growth stimulants like acetoin and 2,3-butanediol. Indirectly, they promote growth through antibiosis, siderophore production, induced systemic resistance (ISR), resource competition, hydrogen cyanide (HCN) production, and releasing cell wall-degrading enzymes. These growth-promoting endophytes increase nutrient availability, indirectly enhancing crop growth and yield (</w:t>
      </w:r>
      <w:r w:rsidRPr="0090769E">
        <w:rPr>
          <w:rFonts w:ascii="Arial" w:hAnsi="Arial" w:cs="Arial"/>
          <w:b/>
          <w:sz w:val="20"/>
          <w:szCs w:val="20"/>
        </w:rPr>
        <w:t>Patle et al., 2018</w:t>
      </w:r>
      <w:r w:rsidRPr="0090769E">
        <w:rPr>
          <w:rFonts w:ascii="Arial" w:hAnsi="Arial" w:cs="Arial"/>
          <w:sz w:val="20"/>
          <w:szCs w:val="20"/>
        </w:rPr>
        <w:t xml:space="preserve">). </w:t>
      </w:r>
    </w:p>
    <w:p w:rsidR="00B731C0" w:rsidRPr="00705922" w:rsidRDefault="0067060A" w:rsidP="00B731C0">
      <w:pPr>
        <w:spacing w:after="0" w:line="276" w:lineRule="auto"/>
        <w:jc w:val="both"/>
        <w:rPr>
          <w:rFonts w:ascii="Arial" w:eastAsia="Times New Roman" w:hAnsi="Arial" w:cs="Arial"/>
          <w:color w:val="000000" w:themeColor="text1"/>
        </w:rPr>
      </w:pPr>
      <w:r w:rsidRPr="00705922">
        <w:rPr>
          <w:rFonts w:ascii="Arial" w:hAnsi="Arial" w:cs="Arial"/>
          <w:b/>
          <w:bCs/>
          <w:color w:val="000000" w:themeColor="text1"/>
        </w:rPr>
        <w:t>7.</w:t>
      </w:r>
      <w:r w:rsidR="00705922" w:rsidRPr="00705922">
        <w:rPr>
          <w:rFonts w:ascii="Arial" w:hAnsi="Arial" w:cs="Arial"/>
          <w:b/>
          <w:bCs/>
          <w:color w:val="000000" w:themeColor="text1"/>
        </w:rPr>
        <w:t>MICROBE INTERVENED MECHANISMS IMPLICATED IN PLANT GROWTH PROMOTION AND FOR UPTAKE AND TRANSLOCATION OF MICRONUTRIENTS IN PLANTS</w:t>
      </w:r>
    </w:p>
    <w:p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PGP microbes enhance plant growth through direct and indirect mechanisms (</w:t>
      </w:r>
      <w:r w:rsidRPr="0090769E">
        <w:rPr>
          <w:rFonts w:ascii="Arial" w:hAnsi="Arial" w:cs="Arial"/>
          <w:b/>
          <w:sz w:val="20"/>
          <w:szCs w:val="20"/>
        </w:rPr>
        <w:t>Figure 2</w:t>
      </w:r>
      <w:r w:rsidRPr="0090769E">
        <w:rPr>
          <w:rFonts w:ascii="Arial" w:hAnsi="Arial" w:cs="Arial"/>
          <w:sz w:val="20"/>
          <w:szCs w:val="20"/>
        </w:rPr>
        <w:t>). Directly, they assist in the acquisition of essential nutrients like nitrogen, phosphorus, potassium, zinc, and iron and regulate plant hormones such as auxin, gibberellin, cytokinin, and ethylene. Indirectly, they protect plants from pathogens like bacteria, fungi, and nematodes by producing antibiotics, releasing cell wall-degrading enzymes, modulating ethylene levels, inducing systemic resistance, reducing pathogen access to iron, and synthesizing pathogen-inhibiting volatile compounds. Organic acid synthesis is key to phosphate and zinc solubilization. Additionally, the metabolic activities of bacteria and environmental conditions impact zinc solubilization. While autotrophic bacteria are known for metal solubilization, recent research highlights heterotrophic bacteria's which can enhance plant productivity by increasing zinc and iron in edible plant parts (</w:t>
      </w:r>
      <w:r w:rsidRPr="0090769E">
        <w:rPr>
          <w:rFonts w:ascii="Arial" w:hAnsi="Arial" w:cs="Arial"/>
          <w:b/>
          <w:sz w:val="20"/>
          <w:szCs w:val="20"/>
        </w:rPr>
        <w:t>Upadhayay et al., 2018; Ramesh et al., 2014; Costerousse et al., 2017; Upadhayay et al., 2022b</w:t>
      </w:r>
      <w:r w:rsidRPr="0090769E">
        <w:rPr>
          <w:rFonts w:ascii="Arial" w:hAnsi="Arial" w:cs="Arial"/>
          <w:sz w:val="20"/>
          <w:szCs w:val="20"/>
        </w:rPr>
        <w:t xml:space="preserve">). </w:t>
      </w:r>
    </w:p>
    <w:p w:rsidR="00B731C0" w:rsidRPr="0090769E" w:rsidRDefault="00B731C0" w:rsidP="00B731C0">
      <w:pPr>
        <w:spacing w:before="120" w:after="120" w:line="276" w:lineRule="auto"/>
        <w:ind w:firstLine="720"/>
        <w:jc w:val="center"/>
        <w:rPr>
          <w:rFonts w:ascii="Arial" w:hAnsi="Arial" w:cs="Arial"/>
          <w:b/>
          <w:bCs/>
          <w:color w:val="000000" w:themeColor="text1"/>
          <w:sz w:val="20"/>
          <w:szCs w:val="20"/>
        </w:rPr>
      </w:pPr>
      <w:r w:rsidRPr="0090769E">
        <w:rPr>
          <w:rFonts w:ascii="Arial" w:hAnsi="Arial" w:cs="Arial"/>
          <w:b/>
          <w:bCs/>
          <w:noProof/>
          <w:color w:val="000000" w:themeColor="text1"/>
          <w:sz w:val="20"/>
          <w:szCs w:val="20"/>
          <w:lang w:val="en-US"/>
        </w:rPr>
        <w:lastRenderedPageBreak/>
        <w:drawing>
          <wp:inline distT="0" distB="0" distL="0" distR="0">
            <wp:extent cx="3505200" cy="2680204"/>
            <wp:effectExtent l="19050" t="0" r="0" b="0"/>
            <wp:docPr id="4" name="Picture 9" descr="A screenshot of a computer&#10;&#10;Description automatically generated">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680C6B3-E722-7EBA-D99B-10168F5BA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Description automatically generated">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680C6B3-E722-7EBA-D99B-10168F5BADA4}"/>
                        </a:ext>
                      </a:extLst>
                    </pic:cNvPr>
                    <pic:cNvPicPr>
                      <a:picLocks noChangeAspect="1"/>
                    </pic:cNvPicPr>
                  </pic:nvPicPr>
                  <pic:blipFill rotWithShape="1">
                    <a:blip r:embed="rId10"/>
                    <a:srcRect l="34167" t="24803" r="23333" b="17390"/>
                    <a:stretch/>
                  </pic:blipFill>
                  <pic:spPr>
                    <a:xfrm>
                      <a:off x="0" y="0"/>
                      <a:ext cx="3510126" cy="2683970"/>
                    </a:xfrm>
                    <a:prstGeom prst="rect">
                      <a:avLst/>
                    </a:prstGeom>
                  </pic:spPr>
                </pic:pic>
              </a:graphicData>
            </a:graphic>
          </wp:inline>
        </w:drawing>
      </w:r>
    </w:p>
    <w:p w:rsidR="00B731C0" w:rsidRPr="0090769E" w:rsidRDefault="00B731C0" w:rsidP="00B731C0">
      <w:pPr>
        <w:spacing w:after="0" w:line="276" w:lineRule="auto"/>
        <w:rPr>
          <w:rFonts w:ascii="Arial" w:hAnsi="Arial" w:cs="Arial"/>
          <w:b/>
          <w:bCs/>
          <w:color w:val="000000" w:themeColor="text1"/>
          <w:kern w:val="24"/>
          <w:sz w:val="20"/>
          <w:szCs w:val="20"/>
        </w:rPr>
      </w:pPr>
      <w:r w:rsidRPr="0090769E">
        <w:rPr>
          <w:rFonts w:ascii="Arial" w:hAnsi="Arial" w:cs="Arial"/>
          <w:b/>
          <w:bCs/>
          <w:color w:val="000000" w:themeColor="text1"/>
          <w:kern w:val="24"/>
          <w:sz w:val="20"/>
          <w:szCs w:val="20"/>
        </w:rPr>
        <w:t>Figure 2: - Representation of plant growth promotion by bacteria</w:t>
      </w:r>
    </w:p>
    <w:p w:rsidR="00B731C0" w:rsidRPr="0090769E" w:rsidRDefault="00B731C0" w:rsidP="00B731C0">
      <w:pPr>
        <w:spacing w:after="0" w:line="276" w:lineRule="auto"/>
        <w:rPr>
          <w:rFonts w:ascii="Arial" w:hAnsi="Arial" w:cs="Arial"/>
          <w:b/>
          <w:bCs/>
          <w:color w:val="000000" w:themeColor="text1"/>
          <w:kern w:val="24"/>
          <w:sz w:val="20"/>
          <w:szCs w:val="20"/>
        </w:rPr>
      </w:pPr>
      <w:r w:rsidRPr="0090769E">
        <w:rPr>
          <w:rFonts w:ascii="Arial" w:hAnsi="Arial" w:cs="Arial"/>
          <w:b/>
          <w:bCs/>
          <w:color w:val="000000" w:themeColor="text1"/>
          <w:kern w:val="24"/>
          <w:sz w:val="20"/>
          <w:szCs w:val="20"/>
        </w:rPr>
        <w:t>HCN - Hydrogen cyanide; EPS – Exopolysaccharide; ISR – Induced systemic resistance</w:t>
      </w:r>
    </w:p>
    <w:p w:rsidR="00B731C0" w:rsidRPr="0090769E" w:rsidRDefault="0067060A" w:rsidP="00B731C0">
      <w:pPr>
        <w:spacing w:before="120" w:after="120" w:line="276" w:lineRule="auto"/>
        <w:jc w:val="both"/>
        <w:rPr>
          <w:rFonts w:ascii="Arial" w:hAnsi="Arial" w:cs="Arial"/>
          <w:b/>
          <w:bCs/>
          <w:sz w:val="20"/>
          <w:szCs w:val="20"/>
        </w:rPr>
      </w:pPr>
      <w:r w:rsidRPr="00705922">
        <w:rPr>
          <w:rFonts w:ascii="Arial" w:hAnsi="Arial" w:cs="Arial"/>
          <w:b/>
          <w:bCs/>
          <w:color w:val="000000" w:themeColor="text1"/>
        </w:rPr>
        <w:t>7.1</w:t>
      </w:r>
      <w:r w:rsidR="00705922" w:rsidRPr="00705922">
        <w:rPr>
          <w:rFonts w:ascii="Arial" w:hAnsi="Arial" w:cs="Arial"/>
          <w:b/>
          <w:bCs/>
          <w:color w:val="000000" w:themeColor="text1"/>
        </w:rPr>
        <w:t>PRODUCTION OF SIDEROPHORE AND OTHER CHELATING AGENTS</w:t>
      </w:r>
    </w:p>
    <w:p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Siderophores are small molecules with three iron-binding groups, typically containing two oxygen atoms (or nitrogen) that form a six-coordinate complex with trivalent ferric iron. Fungi often produce hydroxamate-type siderophores, while bacterial siderophores typically have catecholate groups with stronger iron-binding affinity. Bacterial siderophores can also bind other metal ions but with lower affinity (</w:t>
      </w:r>
      <w:r w:rsidRPr="0090769E">
        <w:rPr>
          <w:rFonts w:ascii="Arial" w:hAnsi="Arial" w:cs="Arial"/>
          <w:b/>
          <w:sz w:val="20"/>
          <w:szCs w:val="20"/>
        </w:rPr>
        <w:t>Olanrewaju et al., 2017</w:t>
      </w:r>
      <w:r w:rsidRPr="0090769E">
        <w:rPr>
          <w:rFonts w:ascii="Arial" w:hAnsi="Arial" w:cs="Arial"/>
          <w:sz w:val="20"/>
          <w:szCs w:val="20"/>
        </w:rPr>
        <w:t>). Siderophores enhance iron solubility by forming siderophore-Fe complexes (</w:t>
      </w:r>
      <w:r w:rsidRPr="0090769E">
        <w:rPr>
          <w:rFonts w:ascii="Arial" w:hAnsi="Arial" w:cs="Arial"/>
          <w:b/>
          <w:sz w:val="20"/>
          <w:szCs w:val="20"/>
        </w:rPr>
        <w:t>Desai &amp; Archana, 2011</w:t>
      </w:r>
      <w:r w:rsidRPr="0090769E">
        <w:rPr>
          <w:rFonts w:ascii="Arial" w:hAnsi="Arial" w:cs="Arial"/>
          <w:sz w:val="20"/>
          <w:szCs w:val="20"/>
        </w:rPr>
        <w:t>) and restrict pathogen growth by outcompeting pathogen siderophores for iron (</w:t>
      </w:r>
      <w:r w:rsidRPr="0090769E">
        <w:rPr>
          <w:rFonts w:ascii="Arial" w:hAnsi="Arial" w:cs="Arial"/>
          <w:b/>
          <w:sz w:val="20"/>
          <w:szCs w:val="20"/>
        </w:rPr>
        <w:t>Singh et al., 2022</w:t>
      </w:r>
      <w:r w:rsidRPr="0090769E">
        <w:rPr>
          <w:rFonts w:ascii="Arial" w:hAnsi="Arial" w:cs="Arial"/>
          <w:sz w:val="20"/>
          <w:szCs w:val="20"/>
        </w:rPr>
        <w:t xml:space="preserve">). </w:t>
      </w:r>
      <w:r w:rsidRPr="0090769E">
        <w:rPr>
          <w:rFonts w:ascii="Arial" w:hAnsi="Arial" w:cs="Arial"/>
          <w:b/>
          <w:sz w:val="20"/>
          <w:szCs w:val="20"/>
        </w:rPr>
        <w:t>Sharma et al. (2003)</w:t>
      </w:r>
      <w:r w:rsidRPr="0090769E">
        <w:rPr>
          <w:rFonts w:ascii="Arial" w:hAnsi="Arial" w:cs="Arial"/>
          <w:sz w:val="20"/>
          <w:szCs w:val="20"/>
        </w:rPr>
        <w:t xml:space="preserve"> found that Pseudomonas strain GRP3 improved iron nutrition and chlorophyll content in </w:t>
      </w:r>
      <w:r w:rsidRPr="0090769E">
        <w:rPr>
          <w:rStyle w:val="Strong"/>
          <w:rFonts w:ascii="Arial" w:hAnsi="Arial" w:cs="Arial"/>
          <w:b w:val="0"/>
          <w:bCs w:val="0"/>
          <w:i/>
          <w:sz w:val="20"/>
          <w:szCs w:val="20"/>
        </w:rPr>
        <w:t>Vigna radiata</w:t>
      </w:r>
      <w:r w:rsidRPr="0090769E">
        <w:rPr>
          <w:rFonts w:ascii="Arial" w:hAnsi="Arial" w:cs="Arial"/>
          <w:sz w:val="20"/>
          <w:szCs w:val="20"/>
        </w:rPr>
        <w:t xml:space="preserve">. </w:t>
      </w:r>
      <w:r w:rsidRPr="0090769E">
        <w:rPr>
          <w:rFonts w:ascii="Arial" w:hAnsi="Arial" w:cs="Arial"/>
          <w:b/>
          <w:sz w:val="20"/>
          <w:szCs w:val="20"/>
        </w:rPr>
        <w:t>Karthik et al. (2017)</w:t>
      </w:r>
      <w:r w:rsidRPr="0090769E">
        <w:rPr>
          <w:rFonts w:ascii="Arial" w:hAnsi="Arial" w:cs="Arial"/>
          <w:sz w:val="20"/>
          <w:szCs w:val="20"/>
        </w:rPr>
        <w:t xml:space="preserve"> reported that 35% of leaf endophytic bacteria, including </w:t>
      </w:r>
      <w:r w:rsidRPr="0090769E">
        <w:rPr>
          <w:rStyle w:val="Strong"/>
          <w:rFonts w:ascii="Arial" w:hAnsi="Arial" w:cs="Arial"/>
          <w:b w:val="0"/>
          <w:bCs w:val="0"/>
          <w:sz w:val="20"/>
          <w:szCs w:val="20"/>
        </w:rPr>
        <w:t>Pantoea</w:t>
      </w:r>
      <w:r w:rsidRPr="0090769E">
        <w:rPr>
          <w:rFonts w:ascii="Arial" w:hAnsi="Arial" w:cs="Arial"/>
          <w:b/>
          <w:bCs/>
          <w:sz w:val="20"/>
          <w:szCs w:val="20"/>
        </w:rPr>
        <w:t xml:space="preserve">, </w:t>
      </w:r>
      <w:r w:rsidRPr="0090769E">
        <w:rPr>
          <w:rStyle w:val="Strong"/>
          <w:rFonts w:ascii="Arial" w:hAnsi="Arial" w:cs="Arial"/>
          <w:b w:val="0"/>
          <w:bCs w:val="0"/>
          <w:sz w:val="20"/>
          <w:szCs w:val="20"/>
        </w:rPr>
        <w:t>Pseudomonas</w:t>
      </w:r>
      <w:r w:rsidRPr="0090769E">
        <w:rPr>
          <w:rFonts w:ascii="Arial" w:hAnsi="Arial" w:cs="Arial"/>
          <w:b/>
          <w:bCs/>
          <w:sz w:val="20"/>
          <w:szCs w:val="20"/>
        </w:rPr>
        <w:t xml:space="preserve">, </w:t>
      </w:r>
      <w:r w:rsidRPr="0090769E">
        <w:rPr>
          <w:rStyle w:val="Strong"/>
          <w:rFonts w:ascii="Arial" w:hAnsi="Arial" w:cs="Arial"/>
          <w:b w:val="0"/>
          <w:bCs w:val="0"/>
          <w:sz w:val="20"/>
          <w:szCs w:val="20"/>
        </w:rPr>
        <w:t>Rhodococcus</w:t>
      </w:r>
      <w:r w:rsidRPr="0090769E">
        <w:rPr>
          <w:rFonts w:ascii="Arial" w:hAnsi="Arial" w:cs="Arial"/>
          <w:b/>
          <w:bCs/>
          <w:sz w:val="20"/>
          <w:szCs w:val="20"/>
        </w:rPr>
        <w:t xml:space="preserve">, </w:t>
      </w:r>
      <w:r w:rsidRPr="0090769E">
        <w:rPr>
          <w:rStyle w:val="Strong"/>
          <w:rFonts w:ascii="Arial" w:hAnsi="Arial" w:cs="Arial"/>
          <w:b w:val="0"/>
          <w:bCs w:val="0"/>
          <w:sz w:val="20"/>
          <w:szCs w:val="20"/>
        </w:rPr>
        <w:t>Serratia</w:t>
      </w:r>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sz w:val="20"/>
          <w:szCs w:val="20"/>
        </w:rPr>
        <w:t>Klebsiella</w:t>
      </w:r>
      <w:r w:rsidRPr="0090769E">
        <w:rPr>
          <w:rFonts w:ascii="Arial" w:hAnsi="Arial" w:cs="Arial"/>
          <w:sz w:val="20"/>
          <w:szCs w:val="20"/>
        </w:rPr>
        <w:t>, produced siderophores that boosted tomato growth. Furthermore zinc bioavailability is enhanced by Zn chelating agents, either synthetic or produced by plant roots and rhizosphere microbes (</w:t>
      </w:r>
      <w:r w:rsidRPr="0090769E">
        <w:rPr>
          <w:rFonts w:ascii="Arial" w:hAnsi="Arial" w:cs="Arial"/>
          <w:b/>
          <w:sz w:val="20"/>
          <w:szCs w:val="20"/>
        </w:rPr>
        <w:t>Obrador et al., 2003</w:t>
      </w:r>
      <w:r w:rsidRPr="0090769E">
        <w:rPr>
          <w:rFonts w:ascii="Arial" w:hAnsi="Arial" w:cs="Arial"/>
          <w:sz w:val="20"/>
          <w:szCs w:val="20"/>
        </w:rPr>
        <w:t>). These agents chelate Zn, increasing its uptake by reducing its soil reactivity (</w:t>
      </w:r>
      <w:r w:rsidRPr="0090769E">
        <w:rPr>
          <w:rFonts w:ascii="Arial" w:hAnsi="Arial" w:cs="Arial"/>
          <w:b/>
          <w:sz w:val="20"/>
          <w:szCs w:val="20"/>
        </w:rPr>
        <w:t>Tarkalson et al., 1998</w:t>
      </w:r>
      <w:r w:rsidRPr="0090769E">
        <w:rPr>
          <w:rFonts w:ascii="Arial" w:hAnsi="Arial" w:cs="Arial"/>
          <w:sz w:val="20"/>
          <w:szCs w:val="20"/>
        </w:rPr>
        <w:t xml:space="preserve">). Microbes like </w:t>
      </w:r>
      <w:r w:rsidRPr="0090769E">
        <w:rPr>
          <w:rStyle w:val="Strong"/>
          <w:rFonts w:ascii="Arial" w:hAnsi="Arial" w:cs="Arial"/>
          <w:b w:val="0"/>
          <w:bCs w:val="0"/>
          <w:i/>
          <w:sz w:val="20"/>
          <w:szCs w:val="20"/>
        </w:rPr>
        <w:t>Microbacteriumsaperdae</w:t>
      </w:r>
      <w:r w:rsidRPr="0090769E">
        <w:rPr>
          <w:rFonts w:ascii="Arial" w:hAnsi="Arial" w:cs="Arial"/>
          <w:b/>
          <w:bCs/>
          <w:sz w:val="20"/>
          <w:szCs w:val="20"/>
        </w:rPr>
        <w:t xml:space="preserve">, </w:t>
      </w:r>
      <w:r w:rsidRPr="0090769E">
        <w:rPr>
          <w:rStyle w:val="Strong"/>
          <w:rFonts w:ascii="Arial" w:hAnsi="Arial" w:cs="Arial"/>
          <w:b w:val="0"/>
          <w:bCs w:val="0"/>
          <w:i/>
          <w:sz w:val="20"/>
          <w:szCs w:val="20"/>
        </w:rPr>
        <w:t>Pseudomonas monteilii</w:t>
      </w:r>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i/>
          <w:sz w:val="20"/>
          <w:szCs w:val="20"/>
        </w:rPr>
        <w:t xml:space="preserve">Enterobacter sp. </w:t>
      </w:r>
      <w:r w:rsidRPr="0090769E">
        <w:rPr>
          <w:rFonts w:ascii="Arial" w:hAnsi="Arial" w:cs="Arial"/>
          <w:sz w:val="20"/>
          <w:szCs w:val="20"/>
        </w:rPr>
        <w:t xml:space="preserve">improve Zn uptake through chelation. </w:t>
      </w:r>
      <w:r w:rsidRPr="0090769E">
        <w:rPr>
          <w:rStyle w:val="Strong"/>
          <w:rFonts w:ascii="Arial" w:hAnsi="Arial" w:cs="Arial"/>
          <w:b w:val="0"/>
          <w:bCs w:val="0"/>
          <w:i/>
          <w:sz w:val="20"/>
          <w:szCs w:val="20"/>
        </w:rPr>
        <w:t>Azospirillumlipoferum</w:t>
      </w:r>
      <w:r w:rsidRPr="0090769E">
        <w:rPr>
          <w:rFonts w:ascii="Arial" w:hAnsi="Arial" w:cs="Arial"/>
          <w:b/>
          <w:bCs/>
          <w:sz w:val="20"/>
          <w:szCs w:val="20"/>
        </w:rPr>
        <w:t xml:space="preserve">, </w:t>
      </w:r>
      <w:r w:rsidRPr="0090769E">
        <w:rPr>
          <w:rStyle w:val="Strong"/>
          <w:rFonts w:ascii="Arial" w:hAnsi="Arial" w:cs="Arial"/>
          <w:b w:val="0"/>
          <w:bCs w:val="0"/>
          <w:sz w:val="20"/>
          <w:szCs w:val="20"/>
        </w:rPr>
        <w:t>Pseudomonas</w:t>
      </w:r>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sz w:val="20"/>
          <w:szCs w:val="20"/>
        </w:rPr>
        <w:t>Agrobacterium</w:t>
      </w:r>
      <w:r w:rsidRPr="0090769E">
        <w:rPr>
          <w:rFonts w:ascii="Arial" w:hAnsi="Arial" w:cs="Arial"/>
          <w:sz w:val="20"/>
          <w:szCs w:val="20"/>
        </w:rPr>
        <w:t xml:space="preserve"> act as biofertilizers, mobilizing Zn with chelating agents like EDTA (</w:t>
      </w:r>
      <w:r w:rsidRPr="0090769E">
        <w:rPr>
          <w:rFonts w:ascii="Arial" w:hAnsi="Arial" w:cs="Arial"/>
          <w:b/>
          <w:sz w:val="20"/>
          <w:szCs w:val="20"/>
        </w:rPr>
        <w:t>Tariq et al., 2007</w:t>
      </w:r>
      <w:r w:rsidRPr="0090769E">
        <w:rPr>
          <w:rFonts w:ascii="Arial" w:hAnsi="Arial" w:cs="Arial"/>
          <w:sz w:val="20"/>
          <w:szCs w:val="20"/>
        </w:rPr>
        <w:t xml:space="preserve">). </w:t>
      </w:r>
    </w:p>
    <w:p w:rsidR="00B731C0" w:rsidRPr="00705922" w:rsidRDefault="00E45A5F" w:rsidP="00B731C0">
      <w:pPr>
        <w:ind w:left="-1260"/>
        <w:jc w:val="both"/>
        <w:rPr>
          <w:rFonts w:ascii="Arial" w:hAnsi="Arial" w:cs="Arial"/>
          <w:b/>
          <w:bCs/>
        </w:rPr>
      </w:pPr>
      <w:r>
        <w:rPr>
          <w:rFonts w:ascii="Arial" w:hAnsi="Arial" w:cs="Arial"/>
          <w:b/>
          <w:bCs/>
        </w:rPr>
        <w:t xml:space="preserve">                   </w:t>
      </w:r>
      <w:r w:rsidR="0067060A" w:rsidRPr="00705922">
        <w:rPr>
          <w:rFonts w:ascii="Arial" w:hAnsi="Arial" w:cs="Arial"/>
          <w:b/>
          <w:bCs/>
        </w:rPr>
        <w:t>7.2</w:t>
      </w:r>
      <w:r w:rsidR="00705922" w:rsidRPr="00705922">
        <w:rPr>
          <w:rFonts w:ascii="Arial" w:hAnsi="Arial" w:cs="Arial"/>
          <w:b/>
          <w:bCs/>
        </w:rPr>
        <w:t xml:space="preserve">ZINC (ZN) SOLUBILIZATION </w:t>
      </w:r>
    </w:p>
    <w:p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 xml:space="preserve">Zinc is an essential micronutrient for plant growth. To increase zinc availability in the soil, Zn-solubilizing rhizobacteria are a valuable alternative. Bacteria such as </w:t>
      </w:r>
      <w:r w:rsidRPr="0090769E">
        <w:rPr>
          <w:rStyle w:val="Emphasis"/>
          <w:rFonts w:ascii="Arial" w:hAnsi="Arial" w:cs="Arial"/>
          <w:sz w:val="20"/>
          <w:szCs w:val="20"/>
        </w:rPr>
        <w:t>Pseudomonas protegens</w:t>
      </w:r>
      <w:r w:rsidRPr="0090769E">
        <w:rPr>
          <w:rFonts w:ascii="Arial" w:hAnsi="Arial" w:cs="Arial"/>
          <w:sz w:val="20"/>
          <w:szCs w:val="20"/>
        </w:rPr>
        <w:t xml:space="preserve"> (</w:t>
      </w:r>
      <w:r w:rsidRPr="0090769E">
        <w:rPr>
          <w:rFonts w:ascii="Arial" w:hAnsi="Arial" w:cs="Arial"/>
          <w:b/>
          <w:sz w:val="20"/>
          <w:szCs w:val="20"/>
        </w:rPr>
        <w:t>Yasmin et al., 2021</w:t>
      </w:r>
      <w:r w:rsidRPr="0090769E">
        <w:rPr>
          <w:rFonts w:ascii="Arial" w:hAnsi="Arial" w:cs="Arial"/>
          <w:sz w:val="20"/>
          <w:szCs w:val="20"/>
        </w:rPr>
        <w:t xml:space="preserve">), </w:t>
      </w:r>
      <w:r w:rsidRPr="0090769E">
        <w:rPr>
          <w:rStyle w:val="Emphasis"/>
          <w:rFonts w:ascii="Arial" w:hAnsi="Arial" w:cs="Arial"/>
          <w:sz w:val="20"/>
          <w:szCs w:val="20"/>
        </w:rPr>
        <w:t>Bacillus megaterium</w:t>
      </w:r>
      <w:r w:rsidRPr="0090769E">
        <w:rPr>
          <w:rFonts w:ascii="Arial" w:hAnsi="Arial" w:cs="Arial"/>
          <w:sz w:val="20"/>
          <w:szCs w:val="20"/>
        </w:rPr>
        <w:t xml:space="preserve"> (</w:t>
      </w:r>
      <w:r w:rsidRPr="0090769E">
        <w:rPr>
          <w:rFonts w:ascii="Arial" w:hAnsi="Arial" w:cs="Arial"/>
          <w:b/>
          <w:sz w:val="20"/>
          <w:szCs w:val="20"/>
        </w:rPr>
        <w:t>Bhatt and Maheshwari, 2020</w:t>
      </w:r>
      <w:r w:rsidRPr="0090769E">
        <w:rPr>
          <w:rFonts w:ascii="Arial" w:hAnsi="Arial" w:cs="Arial"/>
          <w:sz w:val="20"/>
          <w:szCs w:val="20"/>
        </w:rPr>
        <w:t xml:space="preserve">), </w:t>
      </w:r>
      <w:r w:rsidRPr="0090769E">
        <w:rPr>
          <w:rStyle w:val="Emphasis"/>
          <w:rFonts w:ascii="Arial" w:hAnsi="Arial" w:cs="Arial"/>
          <w:sz w:val="20"/>
          <w:szCs w:val="20"/>
        </w:rPr>
        <w:t>Enterobacter cloacae</w:t>
      </w:r>
      <w:r w:rsidRPr="0090769E">
        <w:rPr>
          <w:rFonts w:ascii="Arial" w:hAnsi="Arial" w:cs="Arial"/>
          <w:sz w:val="20"/>
          <w:szCs w:val="20"/>
        </w:rPr>
        <w:t xml:space="preserve"> (</w:t>
      </w:r>
      <w:r w:rsidRPr="0090769E">
        <w:rPr>
          <w:rFonts w:ascii="Arial" w:hAnsi="Arial" w:cs="Arial"/>
          <w:b/>
          <w:sz w:val="20"/>
          <w:szCs w:val="20"/>
        </w:rPr>
        <w:t>Krithika and Balachandar, 2016</w:t>
      </w:r>
      <w:r w:rsidRPr="0090769E">
        <w:rPr>
          <w:rFonts w:ascii="Arial" w:hAnsi="Arial" w:cs="Arial"/>
          <w:sz w:val="20"/>
          <w:szCs w:val="20"/>
        </w:rPr>
        <w:t xml:space="preserve">), </w:t>
      </w:r>
      <w:r w:rsidRPr="0090769E">
        <w:rPr>
          <w:rStyle w:val="Emphasis"/>
          <w:rFonts w:ascii="Arial" w:hAnsi="Arial" w:cs="Arial"/>
          <w:sz w:val="20"/>
          <w:szCs w:val="20"/>
        </w:rPr>
        <w:t>Bacillus altitudinis</w:t>
      </w:r>
      <w:r w:rsidRPr="0090769E">
        <w:rPr>
          <w:rFonts w:ascii="Arial" w:hAnsi="Arial" w:cs="Arial"/>
          <w:sz w:val="20"/>
          <w:szCs w:val="20"/>
        </w:rPr>
        <w:t xml:space="preserve"> (</w:t>
      </w:r>
      <w:r w:rsidRPr="0090769E">
        <w:rPr>
          <w:rFonts w:ascii="Arial" w:hAnsi="Arial" w:cs="Arial"/>
          <w:b/>
          <w:sz w:val="20"/>
          <w:szCs w:val="20"/>
        </w:rPr>
        <w:t>Kushwaha et al., 2021</w:t>
      </w:r>
      <w:r w:rsidRPr="0090769E">
        <w:rPr>
          <w:rFonts w:ascii="Arial" w:hAnsi="Arial" w:cs="Arial"/>
          <w:sz w:val="20"/>
          <w:szCs w:val="20"/>
        </w:rPr>
        <w:t xml:space="preserve">), and </w:t>
      </w:r>
      <w:r w:rsidRPr="0090769E">
        <w:rPr>
          <w:rStyle w:val="Emphasis"/>
          <w:rFonts w:ascii="Arial" w:hAnsi="Arial" w:cs="Arial"/>
          <w:sz w:val="20"/>
          <w:szCs w:val="20"/>
        </w:rPr>
        <w:t>Bacillus spp.</w:t>
      </w:r>
      <w:r w:rsidRPr="0090769E">
        <w:rPr>
          <w:rFonts w:ascii="Arial" w:hAnsi="Arial" w:cs="Arial"/>
          <w:sz w:val="20"/>
          <w:szCs w:val="20"/>
        </w:rPr>
        <w:t xml:space="preserve"> (</w:t>
      </w:r>
      <w:r w:rsidRPr="0090769E">
        <w:rPr>
          <w:rFonts w:ascii="Arial" w:hAnsi="Arial" w:cs="Arial"/>
          <w:b/>
          <w:sz w:val="20"/>
          <w:szCs w:val="20"/>
        </w:rPr>
        <w:t>Ramesh et al., 2014</w:t>
      </w:r>
      <w:r w:rsidRPr="0090769E">
        <w:rPr>
          <w:rFonts w:ascii="Arial" w:hAnsi="Arial" w:cs="Arial"/>
          <w:sz w:val="20"/>
          <w:szCs w:val="20"/>
        </w:rPr>
        <w:t>) have been identified as plant growth-promoting bacteria (PGPB) that produce plant hormones and growth factors, facilitating zinc availability to plants. The mechanisms of Zn-solubilizing bacteria include acidification via organic acids, metal-chelating siderophore synthesis, and oxidation-reduction activation (</w:t>
      </w:r>
      <w:r w:rsidRPr="0090769E">
        <w:rPr>
          <w:rFonts w:ascii="Arial" w:hAnsi="Arial" w:cs="Arial"/>
          <w:b/>
          <w:sz w:val="20"/>
          <w:szCs w:val="20"/>
        </w:rPr>
        <w:t>Upadhayay et al., 2022</w:t>
      </w:r>
      <w:r w:rsidRPr="0090769E">
        <w:rPr>
          <w:rFonts w:ascii="Arial" w:hAnsi="Arial" w:cs="Arial"/>
          <w:sz w:val="20"/>
          <w:szCs w:val="20"/>
        </w:rPr>
        <w:t xml:space="preserve">). Specifically, </w:t>
      </w:r>
      <w:r w:rsidRPr="0090769E">
        <w:rPr>
          <w:rStyle w:val="Emphasis"/>
          <w:rFonts w:ascii="Arial" w:hAnsi="Arial" w:cs="Arial"/>
          <w:sz w:val="20"/>
          <w:szCs w:val="20"/>
        </w:rPr>
        <w:t>Burkholderiacepacia</w:t>
      </w:r>
      <w:r w:rsidRPr="0090769E">
        <w:rPr>
          <w:rFonts w:ascii="Arial" w:hAnsi="Arial" w:cs="Arial"/>
          <w:sz w:val="20"/>
          <w:szCs w:val="20"/>
        </w:rPr>
        <w:t xml:space="preserve"> and </w:t>
      </w:r>
      <w:r w:rsidRPr="0090769E">
        <w:rPr>
          <w:rStyle w:val="Emphasis"/>
          <w:rFonts w:ascii="Arial" w:hAnsi="Arial" w:cs="Arial"/>
          <w:sz w:val="20"/>
          <w:szCs w:val="20"/>
        </w:rPr>
        <w:t>Pantoearodasii</w:t>
      </w:r>
      <w:r w:rsidRPr="0090769E">
        <w:rPr>
          <w:rFonts w:ascii="Arial" w:hAnsi="Arial" w:cs="Arial"/>
          <w:sz w:val="20"/>
          <w:szCs w:val="20"/>
        </w:rPr>
        <w:t xml:space="preserve"> exhibit halo zone formation on zinc-supplemented media, indicating acidic conditions favourable for zinc solubilization. In rice cultivation, these bacteria increased zinc content in grains, reaching 25.07 mg/kg and 33.25 mg/kg, enhancing zinc availability and uptake (</w:t>
      </w:r>
      <w:r w:rsidRPr="0090769E">
        <w:rPr>
          <w:rFonts w:ascii="Arial" w:hAnsi="Arial" w:cs="Arial"/>
          <w:b/>
          <w:sz w:val="20"/>
          <w:szCs w:val="20"/>
        </w:rPr>
        <w:t>Upadhayay et al., 2022b</w:t>
      </w:r>
      <w:r w:rsidRPr="0090769E">
        <w:rPr>
          <w:rFonts w:ascii="Arial" w:hAnsi="Arial" w:cs="Arial"/>
          <w:sz w:val="20"/>
          <w:szCs w:val="20"/>
        </w:rPr>
        <w:t xml:space="preserve">). </w:t>
      </w:r>
      <w:r w:rsidRPr="0090769E">
        <w:rPr>
          <w:rFonts w:ascii="Arial" w:hAnsi="Arial" w:cs="Arial"/>
          <w:b/>
          <w:sz w:val="20"/>
          <w:szCs w:val="20"/>
        </w:rPr>
        <w:t>Srithaworn et al. (2023)</w:t>
      </w:r>
      <w:r w:rsidRPr="0090769E">
        <w:rPr>
          <w:rFonts w:ascii="Arial" w:hAnsi="Arial" w:cs="Arial"/>
          <w:sz w:val="20"/>
          <w:szCs w:val="20"/>
        </w:rPr>
        <w:t xml:space="preserve"> evaluated </w:t>
      </w:r>
      <w:r w:rsidRPr="0090769E">
        <w:rPr>
          <w:rStyle w:val="Emphasis"/>
          <w:rFonts w:ascii="Arial" w:hAnsi="Arial" w:cs="Arial"/>
          <w:sz w:val="20"/>
          <w:szCs w:val="20"/>
        </w:rPr>
        <w:t>Priestia megaterium</w:t>
      </w:r>
      <w:r w:rsidRPr="0090769E">
        <w:rPr>
          <w:rFonts w:ascii="Arial" w:hAnsi="Arial" w:cs="Arial"/>
          <w:sz w:val="20"/>
          <w:szCs w:val="20"/>
        </w:rPr>
        <w:t xml:space="preserve"> and </w:t>
      </w:r>
      <w:r w:rsidRPr="0090769E">
        <w:rPr>
          <w:rStyle w:val="Emphasis"/>
          <w:rFonts w:ascii="Arial" w:hAnsi="Arial" w:cs="Arial"/>
          <w:sz w:val="20"/>
          <w:szCs w:val="20"/>
        </w:rPr>
        <w:t>Priestiaaryabhattai</w:t>
      </w:r>
      <w:r w:rsidRPr="0090769E">
        <w:rPr>
          <w:rFonts w:ascii="Arial" w:hAnsi="Arial" w:cs="Arial"/>
          <w:sz w:val="20"/>
          <w:szCs w:val="20"/>
        </w:rPr>
        <w:t xml:space="preserve"> for Zn solubilization, forming zones on agar medium. They solubilized Zn at rates of 1.32 to 2.84 for zinc oxide and 1.93 to 2.27 for zinc carbonate. Inoculation with these isolates increased soybean grain yield by 48.97% and 35.29%. </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lastRenderedPageBreak/>
        <w:t>7.3</w:t>
      </w:r>
      <w:r w:rsidR="00705922" w:rsidRPr="00705922">
        <w:rPr>
          <w:rFonts w:ascii="Arial" w:hAnsi="Arial" w:cs="Arial"/>
          <w:b/>
          <w:bCs/>
          <w:color w:val="000000" w:themeColor="text1"/>
        </w:rPr>
        <w:t>PRODUCTION OF HORMONAL COMPOUNDS</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Bacteria produce a variety of phytohormones, including auxins, cytokinins, and gibberellic acids, which are crucial for plant growth and regulation. Among these, indole-3-acetic acid (IAA) is the most active auxin, playing a vital role in plant physiological processes such as geotropism, phototropism, cell elongation, apical dominance, and root system development. IAA enhances root biomass, nutrient uptake, and nodule development, as well as regulates stomata size and density (</w:t>
      </w:r>
      <w:r w:rsidRPr="0090769E">
        <w:rPr>
          <w:rFonts w:ascii="Arial" w:hAnsi="Arial" w:cs="Arial"/>
          <w:b/>
          <w:sz w:val="20"/>
          <w:szCs w:val="20"/>
        </w:rPr>
        <w:t>Ahemad and Kibret, 2014</w:t>
      </w:r>
      <w:r w:rsidRPr="0090769E">
        <w:rPr>
          <w:rFonts w:ascii="Arial" w:hAnsi="Arial" w:cs="Arial"/>
          <w:sz w:val="20"/>
          <w:szCs w:val="20"/>
        </w:rPr>
        <w:t>). Most IAA is synthesized from the amino acid tryptophan, present in plant root exudates, through three biosynthetic pathways: the indole pyruvic acid (IPyA) pathway, the indole acetamide (IAM) pathway, and the indole acetaldoxime (IAOx)/indole acetonitrile (IAN) pathway (</w:t>
      </w:r>
      <w:r w:rsidRPr="0090769E">
        <w:rPr>
          <w:rFonts w:ascii="Arial" w:hAnsi="Arial" w:cs="Arial"/>
          <w:b/>
          <w:sz w:val="20"/>
          <w:szCs w:val="20"/>
        </w:rPr>
        <w:t>Duca et al., 2014</w:t>
      </w:r>
      <w:r w:rsidRPr="0090769E">
        <w:rPr>
          <w:rFonts w:ascii="Arial" w:hAnsi="Arial" w:cs="Arial"/>
          <w:sz w:val="20"/>
          <w:szCs w:val="20"/>
        </w:rPr>
        <w:t xml:space="preserve">). Research by </w:t>
      </w:r>
      <w:r w:rsidRPr="0090769E">
        <w:rPr>
          <w:rFonts w:ascii="Arial" w:hAnsi="Arial" w:cs="Arial"/>
          <w:b/>
          <w:sz w:val="20"/>
          <w:szCs w:val="20"/>
        </w:rPr>
        <w:t>Kuklinsky-Sobral et al. (2004)</w:t>
      </w:r>
      <w:r w:rsidRPr="0090769E">
        <w:rPr>
          <w:rFonts w:ascii="Arial" w:hAnsi="Arial" w:cs="Arial"/>
          <w:sz w:val="20"/>
          <w:szCs w:val="20"/>
        </w:rPr>
        <w:t xml:space="preserve"> revealed that endophytic bacteria from soybean cultivars can synthesize IAA</w:t>
      </w:r>
      <w:r w:rsidRPr="0090769E">
        <w:rPr>
          <w:rFonts w:ascii="Arial" w:hAnsi="Arial" w:cs="Arial"/>
          <w:b/>
          <w:bCs/>
          <w:i/>
          <w:iCs/>
          <w:sz w:val="20"/>
          <w:szCs w:val="20"/>
        </w:rPr>
        <w:t xml:space="preserve">. </w:t>
      </w:r>
      <w:r w:rsidRPr="0090769E">
        <w:rPr>
          <w:rStyle w:val="Strong"/>
          <w:rFonts w:ascii="Arial" w:eastAsiaTheme="majorEastAsia" w:hAnsi="Arial" w:cs="Arial"/>
          <w:b w:val="0"/>
          <w:bCs w:val="0"/>
          <w:i/>
          <w:iCs/>
          <w:sz w:val="20"/>
          <w:szCs w:val="20"/>
        </w:rPr>
        <w:t>Burkholderiavietnamiensis</w:t>
      </w:r>
      <w:r w:rsidRPr="0090769E">
        <w:rPr>
          <w:rFonts w:ascii="Arial" w:hAnsi="Arial" w:cs="Arial"/>
          <w:sz w:val="20"/>
          <w:szCs w:val="20"/>
        </w:rPr>
        <w:t>, a diazotrophic bacterium from wild cottonwood (</w:t>
      </w:r>
      <w:r w:rsidRPr="0090769E">
        <w:rPr>
          <w:rStyle w:val="Emphasis"/>
          <w:rFonts w:ascii="Arial" w:eastAsiaTheme="majorEastAsia" w:hAnsi="Arial" w:cs="Arial"/>
          <w:sz w:val="20"/>
          <w:szCs w:val="20"/>
        </w:rPr>
        <w:t>Populustrichocarpa</w:t>
      </w:r>
      <w:r w:rsidRPr="0090769E">
        <w:rPr>
          <w:rFonts w:ascii="Arial" w:hAnsi="Arial" w:cs="Arial"/>
          <w:sz w:val="20"/>
          <w:szCs w:val="20"/>
        </w:rPr>
        <w:t>), was found to synthesize IAA, leading to increased plant dry weight and nitrogen content (</w:t>
      </w:r>
      <w:r w:rsidRPr="0090769E">
        <w:rPr>
          <w:rFonts w:ascii="Arial" w:hAnsi="Arial" w:cs="Arial"/>
          <w:b/>
          <w:sz w:val="20"/>
          <w:szCs w:val="20"/>
        </w:rPr>
        <w:t>Xin et al., 2009</w:t>
      </w:r>
      <w:r w:rsidRPr="0090769E">
        <w:rPr>
          <w:rFonts w:ascii="Arial" w:hAnsi="Arial" w:cs="Arial"/>
          <w:sz w:val="20"/>
          <w:szCs w:val="20"/>
        </w:rPr>
        <w:t xml:space="preserve">). </w:t>
      </w:r>
      <w:r w:rsidRPr="0090769E">
        <w:rPr>
          <w:rFonts w:ascii="Arial" w:hAnsi="Arial" w:cs="Arial"/>
          <w:b/>
          <w:sz w:val="20"/>
          <w:szCs w:val="20"/>
        </w:rPr>
        <w:t>Khianngam et al. (2023)</w:t>
      </w:r>
      <w:r w:rsidRPr="0090769E">
        <w:rPr>
          <w:rFonts w:ascii="Arial" w:hAnsi="Arial" w:cs="Arial"/>
          <w:sz w:val="20"/>
          <w:szCs w:val="20"/>
        </w:rPr>
        <w:t xml:space="preserve"> identified two endophytes, </w:t>
      </w:r>
      <w:r w:rsidRPr="0090769E">
        <w:rPr>
          <w:rStyle w:val="Strong"/>
          <w:rFonts w:ascii="Arial" w:eastAsiaTheme="majorEastAsia" w:hAnsi="Arial" w:cs="Arial"/>
          <w:b w:val="0"/>
          <w:bCs w:val="0"/>
          <w:i/>
          <w:iCs/>
          <w:sz w:val="20"/>
          <w:szCs w:val="20"/>
        </w:rPr>
        <w:t>Enterobacter hormaechei</w:t>
      </w:r>
      <w:r w:rsidRPr="0090769E">
        <w:rPr>
          <w:rFonts w:ascii="Arial" w:hAnsi="Arial" w:cs="Arial"/>
          <w:sz w:val="20"/>
          <w:szCs w:val="20"/>
        </w:rPr>
        <w:t xml:space="preserve"> and </w:t>
      </w:r>
      <w:r w:rsidRPr="0090769E">
        <w:rPr>
          <w:rStyle w:val="Strong"/>
          <w:rFonts w:ascii="Arial" w:eastAsiaTheme="majorEastAsia" w:hAnsi="Arial" w:cs="Arial"/>
          <w:b w:val="0"/>
          <w:bCs w:val="0"/>
          <w:i/>
          <w:iCs/>
          <w:sz w:val="20"/>
          <w:szCs w:val="20"/>
        </w:rPr>
        <w:t>Bacillus aryabhattai</w:t>
      </w:r>
      <w:r w:rsidRPr="0090769E">
        <w:rPr>
          <w:rFonts w:ascii="Arial" w:hAnsi="Arial" w:cs="Arial"/>
          <w:sz w:val="20"/>
          <w:szCs w:val="20"/>
        </w:rPr>
        <w:t>, capable of producing significant IAA levels, eliminating the need for synthetic IAA and promoting sustainable agriculture. Gibberellins, another group of phytohormones, are tetracyclic diterpenoid carboxylic acids that regulate seed germination, seedling emergence, leaf and stem growth, flower development, and fruit size. They also promote root and stem growth and delay senescence (</w:t>
      </w:r>
      <w:r w:rsidRPr="0090769E">
        <w:rPr>
          <w:rFonts w:ascii="Arial" w:hAnsi="Arial" w:cs="Arial"/>
          <w:b/>
          <w:sz w:val="20"/>
          <w:szCs w:val="20"/>
        </w:rPr>
        <w:t>Rana et al., 2020</w:t>
      </w:r>
      <w:r w:rsidRPr="0090769E">
        <w:rPr>
          <w:rFonts w:ascii="Arial" w:hAnsi="Arial" w:cs="Arial"/>
          <w:sz w:val="20"/>
          <w:szCs w:val="20"/>
        </w:rPr>
        <w:t xml:space="preserve">). Several bacterial genera, such as </w:t>
      </w:r>
      <w:r w:rsidRPr="0090769E">
        <w:rPr>
          <w:rStyle w:val="Strong"/>
          <w:rFonts w:ascii="Arial" w:eastAsiaTheme="majorEastAsia" w:hAnsi="Arial" w:cs="Arial"/>
          <w:b w:val="0"/>
          <w:bCs w:val="0"/>
          <w:sz w:val="20"/>
          <w:szCs w:val="20"/>
        </w:rPr>
        <w:t>Azospirillum</w:t>
      </w:r>
      <w:r w:rsidRPr="0090769E">
        <w:rPr>
          <w:rFonts w:ascii="Arial" w:hAnsi="Arial" w:cs="Arial"/>
          <w:b/>
          <w:bCs/>
          <w:sz w:val="20"/>
          <w:szCs w:val="20"/>
        </w:rPr>
        <w:t xml:space="preserve">, </w:t>
      </w:r>
      <w:r w:rsidRPr="0090769E">
        <w:rPr>
          <w:rStyle w:val="Strong"/>
          <w:rFonts w:ascii="Arial" w:eastAsiaTheme="majorEastAsia" w:hAnsi="Arial" w:cs="Arial"/>
          <w:b w:val="0"/>
          <w:bCs w:val="0"/>
          <w:i/>
          <w:sz w:val="20"/>
          <w:szCs w:val="20"/>
        </w:rPr>
        <w:t>Achromobacterxylosoxidans</w:t>
      </w:r>
      <w:r w:rsidRPr="0090769E">
        <w:rPr>
          <w:rFonts w:ascii="Arial" w:hAnsi="Arial" w:cs="Arial"/>
          <w:b/>
          <w:bCs/>
          <w:sz w:val="20"/>
          <w:szCs w:val="20"/>
        </w:rPr>
        <w:t xml:space="preserve">, </w:t>
      </w:r>
      <w:r w:rsidRPr="0090769E">
        <w:rPr>
          <w:rStyle w:val="Strong"/>
          <w:rFonts w:ascii="Arial" w:eastAsiaTheme="majorEastAsia" w:hAnsi="Arial" w:cs="Arial"/>
          <w:b w:val="0"/>
          <w:bCs w:val="0"/>
          <w:i/>
          <w:sz w:val="20"/>
          <w:szCs w:val="20"/>
        </w:rPr>
        <w:t>Acetobacter diazotrophicus</w:t>
      </w:r>
      <w:r w:rsidRPr="0090769E">
        <w:rPr>
          <w:rFonts w:ascii="Arial" w:hAnsi="Arial" w:cs="Arial"/>
          <w:b/>
          <w:bCs/>
          <w:sz w:val="20"/>
          <w:szCs w:val="20"/>
        </w:rPr>
        <w:t xml:space="preserve">, </w:t>
      </w:r>
      <w:r w:rsidRPr="0090769E">
        <w:rPr>
          <w:rStyle w:val="Strong"/>
          <w:rFonts w:ascii="Arial" w:eastAsiaTheme="majorEastAsia" w:hAnsi="Arial" w:cs="Arial"/>
          <w:b w:val="0"/>
          <w:bCs w:val="0"/>
          <w:sz w:val="20"/>
          <w:szCs w:val="20"/>
        </w:rPr>
        <w:t>Bacillus</w:t>
      </w:r>
      <w:r w:rsidRPr="0090769E">
        <w:rPr>
          <w:rFonts w:ascii="Arial" w:hAnsi="Arial" w:cs="Arial"/>
          <w:b/>
          <w:bCs/>
          <w:sz w:val="20"/>
          <w:szCs w:val="20"/>
        </w:rPr>
        <w:t xml:space="preserve">, </w:t>
      </w:r>
      <w:r w:rsidRPr="0090769E">
        <w:rPr>
          <w:rStyle w:val="Strong"/>
          <w:rFonts w:ascii="Arial" w:eastAsiaTheme="majorEastAsia" w:hAnsi="Arial" w:cs="Arial"/>
          <w:b w:val="0"/>
          <w:bCs w:val="0"/>
          <w:i/>
          <w:sz w:val="20"/>
          <w:szCs w:val="20"/>
        </w:rPr>
        <w:t>Herbaspirillumseropedicae</w:t>
      </w:r>
      <w:r w:rsidRPr="0090769E">
        <w:rPr>
          <w:rFonts w:ascii="Arial" w:hAnsi="Arial" w:cs="Arial"/>
          <w:sz w:val="20"/>
          <w:szCs w:val="20"/>
        </w:rPr>
        <w:t xml:space="preserve">, and </w:t>
      </w:r>
      <w:r w:rsidRPr="0090769E">
        <w:rPr>
          <w:rStyle w:val="Strong"/>
          <w:rFonts w:ascii="Arial" w:eastAsiaTheme="majorEastAsia" w:hAnsi="Arial" w:cs="Arial"/>
          <w:b w:val="0"/>
          <w:bCs w:val="0"/>
          <w:sz w:val="20"/>
          <w:szCs w:val="20"/>
        </w:rPr>
        <w:t>Rhizobium</w:t>
      </w:r>
      <w:r w:rsidRPr="0090769E">
        <w:rPr>
          <w:rFonts w:ascii="Arial" w:hAnsi="Arial" w:cs="Arial"/>
          <w:sz w:val="20"/>
          <w:szCs w:val="20"/>
        </w:rPr>
        <w:t>, produce gibberellins (</w:t>
      </w:r>
      <w:r w:rsidRPr="0090769E">
        <w:rPr>
          <w:rFonts w:ascii="Arial" w:hAnsi="Arial" w:cs="Arial"/>
          <w:b/>
          <w:sz w:val="20"/>
          <w:szCs w:val="20"/>
        </w:rPr>
        <w:t>Gutiérrez-Mañero et al., 2001; Deka et al., 2015</w:t>
      </w:r>
      <w:r w:rsidRPr="0090769E">
        <w:rPr>
          <w:rFonts w:ascii="Arial" w:hAnsi="Arial" w:cs="Arial"/>
          <w:sz w:val="20"/>
          <w:szCs w:val="20"/>
        </w:rPr>
        <w:t>). Of the 136 known gibberellin structures, only four (GA1, GA3, GA4, and GA20) are found in bacteria, with GA1 and GA4 showing the highest activity (</w:t>
      </w:r>
      <w:r w:rsidRPr="0090769E">
        <w:rPr>
          <w:rFonts w:ascii="Arial" w:hAnsi="Arial" w:cs="Arial"/>
          <w:b/>
          <w:sz w:val="20"/>
          <w:szCs w:val="20"/>
        </w:rPr>
        <w:t>Nelson and Steber, 2016</w:t>
      </w:r>
      <w:r w:rsidRPr="0090769E">
        <w:rPr>
          <w:rFonts w:ascii="Arial" w:hAnsi="Arial" w:cs="Arial"/>
          <w:sz w:val="20"/>
          <w:szCs w:val="20"/>
        </w:rPr>
        <w:t xml:space="preserve">). This remarkable ability of bacteria to produce phytohormones highlights their potential to promote plant growth naturally, offering sustainable solutions for agriculture. </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7.4 </w:t>
      </w:r>
      <w:r w:rsidR="00705922" w:rsidRPr="00705922">
        <w:rPr>
          <w:rFonts w:ascii="Arial" w:hAnsi="Arial" w:cs="Arial"/>
          <w:b/>
          <w:bCs/>
          <w:color w:val="000000" w:themeColor="text1"/>
        </w:rPr>
        <w:t>ORGANIC ACIDS PRODUCTION IN ROOT EXUDATES</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Plant root exudates enhance nutrient solubility in the soil through various biochemical processes </w:t>
      </w:r>
      <w:r w:rsidRPr="0090769E">
        <w:rPr>
          <w:rFonts w:ascii="Arial" w:hAnsi="Arial" w:cs="Arial"/>
          <w:b/>
          <w:sz w:val="20"/>
          <w:szCs w:val="20"/>
        </w:rPr>
        <w:t>(Zhang et al., 2010)</w:t>
      </w:r>
      <w:r w:rsidRPr="0090769E">
        <w:rPr>
          <w:rFonts w:ascii="Arial" w:hAnsi="Arial" w:cs="Arial"/>
          <w:sz w:val="20"/>
          <w:szCs w:val="20"/>
        </w:rPr>
        <w:t>. Microorganisms influence root exudation patterns, affecting rhizosphere interactions (</w:t>
      </w:r>
      <w:r w:rsidRPr="0090769E">
        <w:rPr>
          <w:rFonts w:ascii="Arial" w:hAnsi="Arial" w:cs="Arial"/>
          <w:b/>
          <w:sz w:val="20"/>
          <w:szCs w:val="20"/>
        </w:rPr>
        <w:t>Da Silva et al., 2014</w:t>
      </w:r>
      <w:r w:rsidRPr="0090769E">
        <w:rPr>
          <w:rFonts w:ascii="Arial" w:hAnsi="Arial" w:cs="Arial"/>
          <w:sz w:val="20"/>
          <w:szCs w:val="20"/>
        </w:rPr>
        <w:t>). Organic acids, a key component of root exudates, play a significant role in metal solubilization (</w:t>
      </w:r>
      <w:r w:rsidRPr="0090769E">
        <w:rPr>
          <w:rFonts w:ascii="Arial" w:hAnsi="Arial" w:cs="Arial"/>
          <w:b/>
          <w:sz w:val="20"/>
          <w:szCs w:val="20"/>
        </w:rPr>
        <w:t>Luo et al., 2014</w:t>
      </w:r>
      <w:r w:rsidRPr="0090769E">
        <w:rPr>
          <w:rFonts w:ascii="Arial" w:hAnsi="Arial" w:cs="Arial"/>
          <w:sz w:val="20"/>
          <w:szCs w:val="20"/>
        </w:rPr>
        <w:t>). Soil pH strongly impacts micronutrient availability, with a one-unit pH increase drastically reducing zinc and iron solubility (</w:t>
      </w:r>
      <w:r w:rsidRPr="0090769E">
        <w:rPr>
          <w:rFonts w:ascii="Arial" w:hAnsi="Arial" w:cs="Arial"/>
          <w:b/>
          <w:sz w:val="20"/>
          <w:szCs w:val="20"/>
        </w:rPr>
        <w:t>Havlin et al., 2007</w:t>
      </w:r>
      <w:r w:rsidRPr="0090769E">
        <w:rPr>
          <w:rFonts w:ascii="Arial" w:hAnsi="Arial" w:cs="Arial"/>
          <w:sz w:val="20"/>
          <w:szCs w:val="20"/>
        </w:rPr>
        <w:t>). Microbial activity in the rhizosphere, particularly from organic acid-producing microbes, enhances nutrient availability, particularly phosphorus, potassium, and zinc (</w:t>
      </w:r>
      <w:r w:rsidRPr="0090769E">
        <w:rPr>
          <w:rFonts w:ascii="Arial" w:hAnsi="Arial" w:cs="Arial"/>
          <w:b/>
          <w:sz w:val="20"/>
          <w:szCs w:val="20"/>
        </w:rPr>
        <w:t>Sirohi et al., 2015</w:t>
      </w:r>
      <w:r w:rsidRPr="0090769E">
        <w:rPr>
          <w:rFonts w:ascii="Arial" w:hAnsi="Arial" w:cs="Arial"/>
          <w:sz w:val="20"/>
          <w:szCs w:val="20"/>
        </w:rPr>
        <w:t>). Inoculation with plant growth-promoting rhizobacteria alters root exudate patterns, boosting metal solubilization (</w:t>
      </w:r>
      <w:r w:rsidRPr="0090769E">
        <w:rPr>
          <w:rFonts w:ascii="Arial" w:hAnsi="Arial" w:cs="Arial"/>
          <w:b/>
          <w:sz w:val="20"/>
          <w:szCs w:val="20"/>
        </w:rPr>
        <w:t>Chen et al., 2014</w:t>
      </w:r>
      <w:r w:rsidRPr="0090769E">
        <w:rPr>
          <w:rFonts w:ascii="Arial" w:hAnsi="Arial" w:cs="Arial"/>
          <w:sz w:val="20"/>
          <w:szCs w:val="20"/>
        </w:rPr>
        <w:t>). Bacteria contribute to nutrient availability by acidifying the rhizosphere, similar to the role of organic acids. Phosphorus-solubilizing fungi and bacteria further enhance phosphorus availability by lowering soil pH (</w:t>
      </w:r>
      <w:r w:rsidRPr="0090769E">
        <w:rPr>
          <w:rFonts w:ascii="Arial" w:hAnsi="Arial" w:cs="Arial"/>
          <w:b/>
          <w:sz w:val="20"/>
          <w:szCs w:val="20"/>
        </w:rPr>
        <w:t>Asea et al., 1988</w:t>
      </w:r>
      <w:r w:rsidRPr="0090769E">
        <w:rPr>
          <w:rFonts w:ascii="Arial" w:hAnsi="Arial" w:cs="Arial"/>
          <w:sz w:val="20"/>
          <w:szCs w:val="20"/>
        </w:rPr>
        <w:t xml:space="preserve">). Studies show that bacterial inoculation, such as with </w:t>
      </w:r>
      <w:r w:rsidRPr="0090769E">
        <w:rPr>
          <w:rStyle w:val="Emphasis"/>
          <w:rFonts w:ascii="Arial" w:eastAsiaTheme="majorEastAsia" w:hAnsi="Arial" w:cs="Arial"/>
          <w:sz w:val="20"/>
          <w:szCs w:val="20"/>
        </w:rPr>
        <w:t>Arthrobacter</w:t>
      </w:r>
      <w:r w:rsidRPr="0090769E">
        <w:rPr>
          <w:rFonts w:ascii="Arial" w:hAnsi="Arial" w:cs="Arial"/>
          <w:sz w:val="20"/>
          <w:szCs w:val="20"/>
        </w:rPr>
        <w:t xml:space="preserve"> strains, increases zinc and iron levels in plants, likely due to changes in organic acid profiles (</w:t>
      </w:r>
      <w:r w:rsidRPr="0090769E">
        <w:rPr>
          <w:rFonts w:ascii="Arial" w:hAnsi="Arial" w:cs="Arial"/>
          <w:b/>
          <w:sz w:val="20"/>
          <w:szCs w:val="20"/>
        </w:rPr>
        <w:t>Singh et al., 2017</w:t>
      </w:r>
      <w:r w:rsidRPr="0090769E">
        <w:rPr>
          <w:rFonts w:ascii="Arial" w:hAnsi="Arial" w:cs="Arial"/>
          <w:sz w:val="20"/>
          <w:szCs w:val="20"/>
        </w:rPr>
        <w:t xml:space="preserve">). Similarly, strains like </w:t>
      </w:r>
      <w:r w:rsidRPr="0090769E">
        <w:rPr>
          <w:rStyle w:val="Emphasis"/>
          <w:rFonts w:ascii="Arial" w:eastAsiaTheme="majorEastAsia" w:hAnsi="Arial" w:cs="Arial"/>
          <w:sz w:val="20"/>
          <w:szCs w:val="20"/>
        </w:rPr>
        <w:t>Bacillus sp.</w:t>
      </w:r>
      <w:r w:rsidRPr="0090769E">
        <w:rPr>
          <w:rFonts w:ascii="Arial" w:hAnsi="Arial" w:cs="Arial"/>
          <w:sz w:val="20"/>
          <w:szCs w:val="20"/>
        </w:rPr>
        <w:t xml:space="preserve">, </w:t>
      </w:r>
      <w:r w:rsidRPr="0090769E">
        <w:rPr>
          <w:rStyle w:val="Emphasis"/>
          <w:rFonts w:ascii="Arial" w:eastAsiaTheme="majorEastAsia" w:hAnsi="Arial" w:cs="Arial"/>
          <w:sz w:val="20"/>
          <w:szCs w:val="20"/>
        </w:rPr>
        <w:t>Pseudomonas taiwenensis</w:t>
      </w:r>
      <w:r w:rsidRPr="0090769E">
        <w:rPr>
          <w:rFonts w:ascii="Arial" w:hAnsi="Arial" w:cs="Arial"/>
          <w:sz w:val="20"/>
          <w:szCs w:val="20"/>
        </w:rPr>
        <w:t xml:space="preserve">, and </w:t>
      </w:r>
      <w:r w:rsidRPr="0090769E">
        <w:rPr>
          <w:rStyle w:val="Emphasis"/>
          <w:rFonts w:ascii="Arial" w:eastAsiaTheme="majorEastAsia" w:hAnsi="Arial" w:cs="Arial"/>
          <w:sz w:val="20"/>
          <w:szCs w:val="20"/>
        </w:rPr>
        <w:t>B. aryabhattai</w:t>
      </w:r>
      <w:r w:rsidRPr="0090769E">
        <w:rPr>
          <w:rFonts w:ascii="Arial" w:hAnsi="Arial" w:cs="Arial"/>
          <w:sz w:val="20"/>
          <w:szCs w:val="20"/>
        </w:rPr>
        <w:t xml:space="preserve"> promote zinc solubilization, improving plant growth (</w:t>
      </w:r>
      <w:r w:rsidRPr="0090769E">
        <w:rPr>
          <w:rFonts w:ascii="Arial" w:hAnsi="Arial" w:cs="Arial"/>
          <w:b/>
          <w:sz w:val="20"/>
          <w:szCs w:val="20"/>
        </w:rPr>
        <w:t>Vidyashree et al., 2018</w:t>
      </w:r>
      <w:r w:rsidRPr="0090769E">
        <w:rPr>
          <w:rFonts w:ascii="Arial" w:hAnsi="Arial" w:cs="Arial"/>
          <w:sz w:val="20"/>
          <w:szCs w:val="20"/>
        </w:rPr>
        <w:t xml:space="preserve">). Organic acid release by </w:t>
      </w:r>
      <w:r w:rsidRPr="0090769E">
        <w:rPr>
          <w:rStyle w:val="Emphasis"/>
          <w:rFonts w:ascii="Arial" w:eastAsiaTheme="majorEastAsia" w:hAnsi="Arial" w:cs="Arial"/>
          <w:sz w:val="20"/>
          <w:szCs w:val="20"/>
        </w:rPr>
        <w:t>Enterobacter</w:t>
      </w:r>
      <w:r w:rsidRPr="0090769E">
        <w:rPr>
          <w:rFonts w:ascii="Arial" w:hAnsi="Arial" w:cs="Arial"/>
          <w:sz w:val="20"/>
          <w:szCs w:val="20"/>
        </w:rPr>
        <w:t xml:space="preserve"> has also been shown to enhance phosphorus uptake in cucumber plants (</w:t>
      </w:r>
      <w:r w:rsidRPr="0090769E">
        <w:rPr>
          <w:rFonts w:ascii="Arial" w:hAnsi="Arial" w:cs="Arial"/>
          <w:b/>
          <w:sz w:val="20"/>
          <w:szCs w:val="20"/>
        </w:rPr>
        <w:t>Zuluaga et al., 2023</w:t>
      </w:r>
      <w:r w:rsidRPr="0090769E">
        <w:rPr>
          <w:rFonts w:ascii="Arial" w:hAnsi="Arial" w:cs="Arial"/>
          <w:sz w:val="20"/>
          <w:szCs w:val="20"/>
        </w:rPr>
        <w:t xml:space="preserve">). </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7.5 </w:t>
      </w:r>
      <w:r w:rsidR="00705922" w:rsidRPr="00705922">
        <w:rPr>
          <w:rFonts w:ascii="Arial" w:hAnsi="Arial" w:cs="Arial"/>
          <w:b/>
          <w:bCs/>
          <w:color w:val="000000" w:themeColor="text1"/>
        </w:rPr>
        <w:t xml:space="preserve">CHANGES IN ROOT MORPHOLOGY AND ANATOMY </w:t>
      </w:r>
    </w:p>
    <w:p w:rsidR="00B731C0" w:rsidRPr="0090769E" w:rsidRDefault="00B731C0" w:rsidP="00B731C0">
      <w:pPr>
        <w:spacing w:before="120" w:after="120" w:line="276" w:lineRule="auto"/>
        <w:jc w:val="both"/>
        <w:rPr>
          <w:rFonts w:ascii="Arial" w:hAnsi="Arial" w:cs="Arial"/>
          <w:spacing w:val="2"/>
          <w:sz w:val="20"/>
          <w:szCs w:val="20"/>
        </w:rPr>
      </w:pPr>
      <w:r w:rsidRPr="0090769E">
        <w:rPr>
          <w:rFonts w:ascii="Arial" w:hAnsi="Arial" w:cs="Arial"/>
          <w:sz w:val="20"/>
          <w:szCs w:val="20"/>
        </w:rPr>
        <w:t>Plant growth-promoting rhizobacteria (PGPR) enhance root system functioning, improving crop resource use, stress tolerance, and soil structure (</w:t>
      </w:r>
      <w:r w:rsidRPr="0090769E">
        <w:rPr>
          <w:rFonts w:ascii="Arial" w:hAnsi="Arial" w:cs="Arial"/>
          <w:b/>
          <w:sz w:val="20"/>
          <w:szCs w:val="20"/>
        </w:rPr>
        <w:t>Grover et al., 2021</w:t>
      </w:r>
      <w:r w:rsidRPr="0090769E">
        <w:rPr>
          <w:rFonts w:ascii="Arial" w:hAnsi="Arial" w:cs="Arial"/>
          <w:sz w:val="20"/>
          <w:szCs w:val="20"/>
        </w:rPr>
        <w:t>). PGPR-mediated changes in root traits, like increased root hairs, surface area, and metal-mobilizing exudates, boost nutrient uptake (</w:t>
      </w:r>
      <w:r w:rsidRPr="0090769E">
        <w:rPr>
          <w:rFonts w:ascii="Arial" w:hAnsi="Arial" w:cs="Arial"/>
          <w:b/>
          <w:sz w:val="20"/>
          <w:szCs w:val="20"/>
        </w:rPr>
        <w:t>Genc et al., 2006</w:t>
      </w:r>
      <w:r w:rsidRPr="0090769E">
        <w:rPr>
          <w:rFonts w:ascii="Arial" w:hAnsi="Arial" w:cs="Arial"/>
          <w:sz w:val="20"/>
          <w:szCs w:val="20"/>
        </w:rPr>
        <w:t>). Zinc-efficient plants develop finer roots, enhancing Zn uptake (</w:t>
      </w:r>
      <w:r w:rsidRPr="0090769E">
        <w:rPr>
          <w:rFonts w:ascii="Arial" w:hAnsi="Arial" w:cs="Arial"/>
          <w:b/>
          <w:sz w:val="20"/>
          <w:szCs w:val="20"/>
        </w:rPr>
        <w:t>Chen et al., 2009</w:t>
      </w:r>
      <w:r w:rsidRPr="0090769E">
        <w:rPr>
          <w:rFonts w:ascii="Arial" w:hAnsi="Arial" w:cs="Arial"/>
          <w:sz w:val="20"/>
          <w:szCs w:val="20"/>
        </w:rPr>
        <w:t>). Inoculating wheat with Zn-solubilizing bacteria (</w:t>
      </w:r>
      <w:r w:rsidRPr="0090769E">
        <w:rPr>
          <w:rStyle w:val="Emphasis"/>
          <w:rFonts w:ascii="Arial" w:hAnsi="Arial" w:cs="Arial"/>
          <w:sz w:val="20"/>
          <w:szCs w:val="20"/>
        </w:rPr>
        <w:t>Bacillus subtilis</w:t>
      </w:r>
      <w:r w:rsidRPr="0090769E">
        <w:rPr>
          <w:rFonts w:ascii="Arial" w:hAnsi="Arial" w:cs="Arial"/>
          <w:sz w:val="20"/>
          <w:szCs w:val="20"/>
        </w:rPr>
        <w:t xml:space="preserve"> DS-178) doubles Zn grain </w:t>
      </w:r>
      <w:r w:rsidRPr="0090769E">
        <w:rPr>
          <w:rFonts w:ascii="Arial" w:hAnsi="Arial" w:cs="Arial"/>
          <w:sz w:val="20"/>
          <w:szCs w:val="20"/>
        </w:rPr>
        <w:lastRenderedPageBreak/>
        <w:t>accumulation, rivalling ZnSO</w:t>
      </w:r>
      <w:r w:rsidRPr="0090769E">
        <w:rPr>
          <w:rFonts w:ascii="Times New Roman" w:hAnsi="Times New Roman" w:cs="Arial"/>
          <w:sz w:val="20"/>
          <w:szCs w:val="20"/>
        </w:rPr>
        <w:t>₄</w:t>
      </w:r>
      <w:r w:rsidRPr="0090769E">
        <w:rPr>
          <w:rFonts w:ascii="Arial" w:hAnsi="Arial" w:cs="Arial"/>
          <w:sz w:val="20"/>
          <w:szCs w:val="20"/>
        </w:rPr>
        <w:t xml:space="preserve"> application (</w:t>
      </w:r>
      <w:r w:rsidRPr="0090769E">
        <w:rPr>
          <w:rFonts w:ascii="Arial" w:hAnsi="Arial" w:cs="Arial"/>
          <w:b/>
          <w:sz w:val="20"/>
          <w:szCs w:val="20"/>
        </w:rPr>
        <w:t>Singh et al., 2017a</w:t>
      </w:r>
      <w:r w:rsidRPr="0090769E">
        <w:rPr>
          <w:rFonts w:ascii="Arial" w:hAnsi="Arial" w:cs="Arial"/>
          <w:sz w:val="20"/>
          <w:szCs w:val="20"/>
        </w:rPr>
        <w:t>). Siderophore-producing bacteria (</w:t>
      </w:r>
      <w:r w:rsidRPr="0090769E">
        <w:rPr>
          <w:rStyle w:val="Emphasis"/>
          <w:rFonts w:ascii="Arial" w:hAnsi="Arial" w:cs="Arial"/>
          <w:sz w:val="20"/>
          <w:szCs w:val="20"/>
        </w:rPr>
        <w:t>Arthrobacter sulfonivorans</w:t>
      </w:r>
      <w:r w:rsidRPr="0090769E">
        <w:rPr>
          <w:rFonts w:ascii="Arial" w:hAnsi="Arial" w:cs="Arial"/>
          <w:sz w:val="20"/>
          <w:szCs w:val="20"/>
        </w:rPr>
        <w:t xml:space="preserve"> DS-68) improve root traits and Fe uptake (</w:t>
      </w:r>
      <w:r w:rsidRPr="0090769E">
        <w:rPr>
          <w:rFonts w:ascii="Arial" w:hAnsi="Arial" w:cs="Arial"/>
          <w:b/>
          <w:sz w:val="20"/>
          <w:szCs w:val="20"/>
        </w:rPr>
        <w:t>Singh, 2016</w:t>
      </w:r>
      <w:r w:rsidRPr="0090769E">
        <w:rPr>
          <w:rFonts w:ascii="Arial" w:hAnsi="Arial" w:cs="Arial"/>
          <w:sz w:val="20"/>
          <w:szCs w:val="20"/>
        </w:rPr>
        <w:t>). Microbial inoculants enhance root anatomy, including xylem and cortex dimensions, boosting nutrient absorption (</w:t>
      </w:r>
      <w:r w:rsidRPr="0090769E">
        <w:rPr>
          <w:rFonts w:ascii="Arial" w:hAnsi="Arial" w:cs="Arial"/>
          <w:b/>
          <w:sz w:val="20"/>
          <w:szCs w:val="20"/>
        </w:rPr>
        <w:t>Singh et al., 2017b</w:t>
      </w:r>
      <w:r w:rsidRPr="0090769E">
        <w:rPr>
          <w:rFonts w:ascii="Arial" w:hAnsi="Arial" w:cs="Arial"/>
          <w:sz w:val="20"/>
          <w:szCs w:val="20"/>
        </w:rPr>
        <w:t xml:space="preserve">). </w:t>
      </w:r>
      <w:r w:rsidRPr="0090769E">
        <w:rPr>
          <w:rFonts w:ascii="Arial" w:hAnsi="Arial" w:cs="Arial"/>
          <w:b/>
          <w:bCs/>
          <w:spacing w:val="2"/>
          <w:sz w:val="20"/>
          <w:szCs w:val="20"/>
        </w:rPr>
        <w:t xml:space="preserve">De </w:t>
      </w:r>
      <w:r w:rsidRPr="0090769E">
        <w:rPr>
          <w:rFonts w:ascii="Arial" w:hAnsi="Arial" w:cs="Arial"/>
          <w:b/>
          <w:bCs/>
          <w:i/>
          <w:iCs/>
          <w:spacing w:val="2"/>
          <w:sz w:val="20"/>
          <w:szCs w:val="20"/>
        </w:rPr>
        <w:t>et al</w:t>
      </w:r>
      <w:r w:rsidRPr="0090769E">
        <w:rPr>
          <w:rFonts w:ascii="Arial" w:hAnsi="Arial" w:cs="Arial"/>
          <w:b/>
          <w:bCs/>
          <w:spacing w:val="2"/>
          <w:sz w:val="20"/>
          <w:szCs w:val="20"/>
        </w:rPr>
        <w:t>. (2023)</w:t>
      </w:r>
      <w:r w:rsidRPr="0090769E">
        <w:rPr>
          <w:rFonts w:ascii="Arial" w:hAnsi="Arial" w:cs="Arial"/>
          <w:spacing w:val="2"/>
          <w:sz w:val="20"/>
          <w:szCs w:val="20"/>
        </w:rPr>
        <w:t xml:space="preserve"> reported that </w:t>
      </w:r>
      <w:r w:rsidRPr="0090769E">
        <w:rPr>
          <w:rFonts w:ascii="Arial" w:hAnsi="Arial" w:cs="Arial"/>
          <w:i/>
          <w:iCs/>
          <w:spacing w:val="2"/>
          <w:sz w:val="20"/>
          <w:szCs w:val="20"/>
        </w:rPr>
        <w:t>Trifolium repens</w:t>
      </w:r>
      <w:r w:rsidRPr="0090769E">
        <w:rPr>
          <w:rFonts w:ascii="Arial" w:hAnsi="Arial" w:cs="Arial"/>
          <w:spacing w:val="2"/>
          <w:sz w:val="20"/>
          <w:szCs w:val="20"/>
        </w:rPr>
        <w:t xml:space="preserve"> and </w:t>
      </w:r>
      <w:r w:rsidRPr="0090769E">
        <w:rPr>
          <w:rFonts w:ascii="Arial" w:hAnsi="Arial" w:cs="Arial"/>
          <w:i/>
          <w:iCs/>
          <w:spacing w:val="2"/>
          <w:sz w:val="20"/>
          <w:szCs w:val="20"/>
        </w:rPr>
        <w:t>Vicia sativa</w:t>
      </w:r>
      <w:r w:rsidRPr="0090769E">
        <w:rPr>
          <w:rFonts w:ascii="Arial" w:hAnsi="Arial" w:cs="Arial"/>
          <w:spacing w:val="2"/>
          <w:sz w:val="20"/>
          <w:szCs w:val="20"/>
        </w:rPr>
        <w:t>, when subjected to stress and concurrently inoculated with rhizobial bacteria, exhibited enhanced plant growth and increased root complexity compared to the control group.</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7.6 </w:t>
      </w:r>
      <w:r w:rsidR="00705922" w:rsidRPr="00705922">
        <w:rPr>
          <w:rFonts w:ascii="Arial" w:hAnsi="Arial" w:cs="Arial"/>
          <w:b/>
          <w:bCs/>
          <w:color w:val="000000" w:themeColor="text1"/>
        </w:rPr>
        <w:t xml:space="preserve">OVER EXPRESSION OF METAL TRANSPORTER: </w:t>
      </w:r>
    </w:p>
    <w:p w:rsidR="00B731C0" w:rsidRPr="0090769E" w:rsidRDefault="00B731C0" w:rsidP="00B731C0">
      <w:pPr>
        <w:spacing w:before="120" w:after="120" w:line="276" w:lineRule="auto"/>
        <w:jc w:val="both"/>
        <w:rPr>
          <w:rFonts w:ascii="Arial" w:hAnsi="Arial" w:cs="Arial"/>
          <w:color w:val="000000" w:themeColor="text1"/>
          <w:spacing w:val="2"/>
          <w:sz w:val="20"/>
          <w:szCs w:val="20"/>
        </w:rPr>
      </w:pPr>
      <w:r w:rsidRPr="0090769E">
        <w:rPr>
          <w:rFonts w:ascii="Arial" w:hAnsi="Arial" w:cs="Arial"/>
          <w:sz w:val="20"/>
          <w:szCs w:val="20"/>
        </w:rPr>
        <w:t>Micronutrient uptake and translocation are distinct processes, with some crop genotypes showing efficient uptake but poor movement of micronutrients to grains (</w:t>
      </w:r>
      <w:r w:rsidRPr="0090769E">
        <w:rPr>
          <w:rFonts w:ascii="Arial" w:hAnsi="Arial" w:cs="Arial"/>
          <w:b/>
          <w:sz w:val="20"/>
          <w:szCs w:val="20"/>
        </w:rPr>
        <w:t>Singh et al., 2018</w:t>
      </w:r>
      <w:r w:rsidRPr="0090769E">
        <w:rPr>
          <w:rFonts w:ascii="Arial" w:hAnsi="Arial" w:cs="Arial"/>
          <w:sz w:val="20"/>
          <w:szCs w:val="20"/>
        </w:rPr>
        <w:t>). Effective management of nutrient translocation is crucial for enhancing micronutrient content in edible plant parts. Metal transporters like the ZIP family, CDF family, and P-type ATPases play key roles in zinc and iron translocation, including xylem loading (</w:t>
      </w:r>
      <w:r w:rsidRPr="0090769E">
        <w:rPr>
          <w:rFonts w:ascii="Arial" w:hAnsi="Arial" w:cs="Arial"/>
          <w:b/>
          <w:sz w:val="20"/>
          <w:szCs w:val="20"/>
        </w:rPr>
        <w:t>Colangelo and Guerinot, 2006</w:t>
      </w:r>
      <w:r w:rsidRPr="0090769E">
        <w:rPr>
          <w:rFonts w:ascii="Arial" w:hAnsi="Arial" w:cs="Arial"/>
          <w:sz w:val="20"/>
          <w:szCs w:val="20"/>
        </w:rPr>
        <w:t>). Overexpression of ZIP proteins in crops like wild emmer wheat increased zinc accumulation (</w:t>
      </w:r>
      <w:r w:rsidRPr="0090769E">
        <w:rPr>
          <w:rFonts w:ascii="Arial" w:hAnsi="Arial" w:cs="Arial"/>
          <w:b/>
          <w:sz w:val="20"/>
          <w:szCs w:val="20"/>
        </w:rPr>
        <w:t>Durmaz et al., 2011</w:t>
      </w:r>
      <w:r w:rsidRPr="0090769E">
        <w:rPr>
          <w:rFonts w:ascii="Arial" w:hAnsi="Arial" w:cs="Arial"/>
          <w:sz w:val="20"/>
          <w:szCs w:val="20"/>
        </w:rPr>
        <w:t xml:space="preserve">). In rice, Zn-solubilizing </w:t>
      </w:r>
      <w:r w:rsidRPr="0090769E">
        <w:rPr>
          <w:rStyle w:val="Emphasis"/>
          <w:rFonts w:ascii="Arial" w:hAnsi="Arial" w:cs="Arial"/>
          <w:sz w:val="20"/>
          <w:szCs w:val="20"/>
        </w:rPr>
        <w:t>Enterobacter cloacae</w:t>
      </w:r>
      <w:r w:rsidRPr="0090769E">
        <w:rPr>
          <w:rFonts w:ascii="Arial" w:hAnsi="Arial" w:cs="Arial"/>
          <w:sz w:val="20"/>
          <w:szCs w:val="20"/>
        </w:rPr>
        <w:t xml:space="preserve"> ZSB14 enhanced the expression of OsZIP1 and OsZIP5 while reducing OsZIP4 expression (</w:t>
      </w:r>
      <w:r w:rsidRPr="0090769E">
        <w:rPr>
          <w:rFonts w:ascii="Arial" w:hAnsi="Arial" w:cs="Arial"/>
          <w:b/>
          <w:sz w:val="20"/>
          <w:szCs w:val="20"/>
        </w:rPr>
        <w:t>Krithika and Balachandar, 2016</w:t>
      </w:r>
      <w:r w:rsidRPr="0090769E">
        <w:rPr>
          <w:rFonts w:ascii="Arial" w:hAnsi="Arial" w:cs="Arial"/>
          <w:sz w:val="20"/>
          <w:szCs w:val="20"/>
        </w:rPr>
        <w:t xml:space="preserve">). </w:t>
      </w:r>
      <w:r w:rsidRPr="0090769E">
        <w:rPr>
          <w:rStyle w:val="Emphasis"/>
          <w:rFonts w:ascii="Arial" w:hAnsi="Arial" w:cs="Arial"/>
          <w:sz w:val="20"/>
          <w:szCs w:val="20"/>
        </w:rPr>
        <w:t>Rhizophagusirregularis</w:t>
      </w:r>
      <w:r w:rsidRPr="0090769E">
        <w:rPr>
          <w:rFonts w:ascii="Arial" w:hAnsi="Arial" w:cs="Arial"/>
          <w:sz w:val="20"/>
          <w:szCs w:val="20"/>
        </w:rPr>
        <w:t xml:space="preserve"> upregulated HvZIP13 in barley under Zn-deficient conditions, increasing grain Zn concentrations (</w:t>
      </w:r>
      <w:r w:rsidRPr="0090769E">
        <w:rPr>
          <w:rFonts w:ascii="Arial" w:hAnsi="Arial" w:cs="Arial"/>
          <w:b/>
          <w:sz w:val="20"/>
          <w:szCs w:val="20"/>
        </w:rPr>
        <w:t>Watts-Williams and Cavagnaro, 2018</w:t>
      </w:r>
      <w:r w:rsidRPr="0090769E">
        <w:rPr>
          <w:rFonts w:ascii="Arial" w:hAnsi="Arial" w:cs="Arial"/>
          <w:sz w:val="20"/>
          <w:szCs w:val="20"/>
        </w:rPr>
        <w:t xml:space="preserve">). Similarly, </w:t>
      </w:r>
      <w:r w:rsidRPr="0090769E">
        <w:rPr>
          <w:rStyle w:val="Emphasis"/>
          <w:rFonts w:ascii="Arial" w:hAnsi="Arial" w:cs="Arial"/>
          <w:sz w:val="20"/>
          <w:szCs w:val="20"/>
        </w:rPr>
        <w:t>Arthrobacter sp.</w:t>
      </w:r>
      <w:r w:rsidRPr="0090769E">
        <w:rPr>
          <w:rFonts w:ascii="Arial" w:hAnsi="Arial" w:cs="Arial"/>
          <w:sz w:val="20"/>
          <w:szCs w:val="20"/>
        </w:rPr>
        <w:t xml:space="preserve"> improved TaZIP3 and TaZIP7 expression in wheat roots and shoots, enhancing Zn translocation (</w:t>
      </w:r>
      <w:r w:rsidRPr="0090769E">
        <w:rPr>
          <w:rFonts w:ascii="Arial" w:hAnsi="Arial" w:cs="Arial"/>
          <w:b/>
          <w:sz w:val="20"/>
          <w:szCs w:val="20"/>
        </w:rPr>
        <w:t>Singh et al., 2017b</w:t>
      </w:r>
      <w:r w:rsidRPr="0090769E">
        <w:rPr>
          <w:rFonts w:ascii="Arial" w:hAnsi="Arial" w:cs="Arial"/>
          <w:sz w:val="20"/>
          <w:szCs w:val="20"/>
        </w:rPr>
        <w:t>).</w:t>
      </w:r>
    </w:p>
    <w:p w:rsidR="00B731C0" w:rsidRPr="00705922" w:rsidRDefault="0067060A" w:rsidP="00B731C0">
      <w:pPr>
        <w:spacing w:before="120" w:after="120" w:line="276" w:lineRule="auto"/>
        <w:jc w:val="both"/>
        <w:rPr>
          <w:rFonts w:ascii="Arial" w:hAnsi="Arial" w:cs="Arial"/>
          <w:color w:val="000000" w:themeColor="text1"/>
        </w:rPr>
      </w:pPr>
      <w:r w:rsidRPr="00705922">
        <w:rPr>
          <w:rFonts w:ascii="Arial" w:hAnsi="Arial" w:cs="Arial"/>
          <w:b/>
          <w:bCs/>
          <w:color w:val="000000" w:themeColor="text1"/>
        </w:rPr>
        <w:t xml:space="preserve">7.7 </w:t>
      </w:r>
      <w:r w:rsidR="00705922" w:rsidRPr="00705922">
        <w:rPr>
          <w:rFonts w:ascii="Arial" w:hAnsi="Arial" w:cs="Arial"/>
          <w:b/>
          <w:bCs/>
          <w:color w:val="000000" w:themeColor="text1"/>
        </w:rPr>
        <w:t>PHOSPHATE SOLUBILIZATION:</w:t>
      </w:r>
    </w:p>
    <w:p w:rsidR="00B731C0" w:rsidRPr="0090769E" w:rsidRDefault="00B731C0" w:rsidP="00B731C0">
      <w:pPr>
        <w:spacing w:before="100" w:beforeAutospacing="1" w:after="100" w:afterAutospacing="1" w:line="276" w:lineRule="auto"/>
        <w:jc w:val="both"/>
        <w:rPr>
          <w:rFonts w:ascii="Arial" w:eastAsia="Times New Roman" w:hAnsi="Arial" w:cs="Arial"/>
          <w:kern w:val="0"/>
          <w:sz w:val="20"/>
          <w:szCs w:val="20"/>
          <w:lang w:val="en-US"/>
        </w:rPr>
      </w:pPr>
      <w:r w:rsidRPr="0090769E">
        <w:rPr>
          <w:rFonts w:ascii="Arial" w:eastAsia="Times New Roman" w:hAnsi="Arial" w:cs="Arial"/>
          <w:kern w:val="0"/>
          <w:sz w:val="20"/>
          <w:szCs w:val="20"/>
          <w:lang w:val="en-US"/>
        </w:rPr>
        <w:t xml:space="preserve">Phosphorus (P) is essential for plant health, but much of it in soil is insoluble and inaccessible to plants. Phosphate-solubilizing bacteria, such as </w:t>
      </w:r>
      <w:r w:rsidRPr="0090769E">
        <w:rPr>
          <w:rFonts w:ascii="Arial" w:eastAsia="Times New Roman" w:hAnsi="Arial" w:cs="Arial"/>
          <w:i/>
          <w:iCs/>
          <w:kern w:val="0"/>
          <w:sz w:val="20"/>
          <w:szCs w:val="20"/>
          <w:lang w:val="en-US"/>
        </w:rPr>
        <w:t>Azospirillum</w:t>
      </w:r>
      <w:r w:rsidRPr="0090769E">
        <w:rPr>
          <w:rFonts w:ascii="Arial" w:eastAsia="Times New Roman" w:hAnsi="Arial" w:cs="Arial"/>
          <w:kern w:val="0"/>
          <w:sz w:val="20"/>
          <w:szCs w:val="20"/>
          <w:lang w:val="en-US"/>
        </w:rPr>
        <w:t xml:space="preserve">, </w:t>
      </w:r>
      <w:r w:rsidRPr="0090769E">
        <w:rPr>
          <w:rFonts w:ascii="Arial" w:eastAsia="Times New Roman" w:hAnsi="Arial" w:cs="Arial"/>
          <w:i/>
          <w:iCs/>
          <w:kern w:val="0"/>
          <w:sz w:val="20"/>
          <w:szCs w:val="20"/>
          <w:lang w:val="en-US"/>
        </w:rPr>
        <w:t>Bacillus</w:t>
      </w:r>
      <w:r w:rsidRPr="0090769E">
        <w:rPr>
          <w:rFonts w:ascii="Arial" w:eastAsia="Times New Roman" w:hAnsi="Arial" w:cs="Arial"/>
          <w:kern w:val="0"/>
          <w:sz w:val="20"/>
          <w:szCs w:val="20"/>
          <w:lang w:val="en-US"/>
        </w:rPr>
        <w:t xml:space="preserve">, </w:t>
      </w:r>
      <w:r w:rsidRPr="0090769E">
        <w:rPr>
          <w:rFonts w:ascii="Arial" w:eastAsia="Times New Roman" w:hAnsi="Arial" w:cs="Arial"/>
          <w:i/>
          <w:iCs/>
          <w:kern w:val="0"/>
          <w:sz w:val="20"/>
          <w:szCs w:val="20"/>
          <w:lang w:val="en-US"/>
        </w:rPr>
        <w:t>Pseudomonas</w:t>
      </w:r>
      <w:r w:rsidRPr="0090769E">
        <w:rPr>
          <w:rFonts w:ascii="Arial" w:eastAsia="Times New Roman" w:hAnsi="Arial" w:cs="Arial"/>
          <w:kern w:val="0"/>
          <w:sz w:val="20"/>
          <w:szCs w:val="20"/>
          <w:lang w:val="en-US"/>
        </w:rPr>
        <w:t xml:space="preserve">, and </w:t>
      </w:r>
      <w:r w:rsidRPr="0090769E">
        <w:rPr>
          <w:rFonts w:ascii="Arial" w:eastAsia="Times New Roman" w:hAnsi="Arial" w:cs="Arial"/>
          <w:i/>
          <w:iCs/>
          <w:kern w:val="0"/>
          <w:sz w:val="20"/>
          <w:szCs w:val="20"/>
          <w:lang w:val="en-US"/>
        </w:rPr>
        <w:t>Rhizobium</w:t>
      </w:r>
      <w:r w:rsidRPr="0090769E">
        <w:rPr>
          <w:rFonts w:ascii="Arial" w:eastAsia="Times New Roman" w:hAnsi="Arial" w:cs="Arial"/>
          <w:kern w:val="0"/>
          <w:sz w:val="20"/>
          <w:szCs w:val="20"/>
          <w:lang w:val="en-US"/>
        </w:rPr>
        <w:t>, convert these forms into bioavailable P through acidification, chelation, or enzymatic processes (</w:t>
      </w:r>
      <w:r w:rsidRPr="0090769E">
        <w:rPr>
          <w:rFonts w:ascii="Arial" w:eastAsia="Times New Roman" w:hAnsi="Arial" w:cs="Arial"/>
          <w:b/>
          <w:kern w:val="0"/>
          <w:sz w:val="20"/>
          <w:szCs w:val="20"/>
          <w:lang w:val="en-US"/>
        </w:rPr>
        <w:t>Richardson et al., 2009</w:t>
      </w:r>
      <w:r w:rsidRPr="0090769E">
        <w:rPr>
          <w:rFonts w:ascii="Arial" w:eastAsia="Times New Roman" w:hAnsi="Arial" w:cs="Arial"/>
          <w:kern w:val="0"/>
          <w:sz w:val="20"/>
          <w:szCs w:val="20"/>
          <w:lang w:val="en-US"/>
        </w:rPr>
        <w:t xml:space="preserve">). Endophytic bacteria, including </w:t>
      </w:r>
      <w:r w:rsidRPr="0090769E">
        <w:rPr>
          <w:rFonts w:ascii="Arial" w:eastAsia="Times New Roman" w:hAnsi="Arial" w:cs="Arial"/>
          <w:i/>
          <w:iCs/>
          <w:kern w:val="0"/>
          <w:sz w:val="20"/>
          <w:szCs w:val="20"/>
          <w:lang w:val="en-US"/>
        </w:rPr>
        <w:t>Achromobacterxiloxidans</w:t>
      </w:r>
      <w:r w:rsidRPr="0090769E">
        <w:rPr>
          <w:rFonts w:ascii="Arial" w:eastAsia="Times New Roman" w:hAnsi="Arial" w:cs="Arial"/>
          <w:kern w:val="0"/>
          <w:sz w:val="20"/>
          <w:szCs w:val="20"/>
          <w:lang w:val="en-US"/>
        </w:rPr>
        <w:t xml:space="preserve"> and </w:t>
      </w:r>
      <w:r w:rsidRPr="0090769E">
        <w:rPr>
          <w:rFonts w:ascii="Arial" w:eastAsia="Times New Roman" w:hAnsi="Arial" w:cs="Arial"/>
          <w:i/>
          <w:iCs/>
          <w:kern w:val="0"/>
          <w:sz w:val="20"/>
          <w:szCs w:val="20"/>
          <w:lang w:val="en-US"/>
        </w:rPr>
        <w:t>Bacillus pumilus</w:t>
      </w:r>
      <w:r w:rsidRPr="0090769E">
        <w:rPr>
          <w:rFonts w:ascii="Arial" w:eastAsia="Times New Roman" w:hAnsi="Arial" w:cs="Arial"/>
          <w:kern w:val="0"/>
          <w:sz w:val="20"/>
          <w:szCs w:val="20"/>
          <w:lang w:val="en-US"/>
        </w:rPr>
        <w:t>, effectively solubilize phosphates, as shown in sunflower and soybean studies (</w:t>
      </w:r>
      <w:r w:rsidRPr="0090769E">
        <w:rPr>
          <w:rFonts w:ascii="Arial" w:eastAsia="Times New Roman" w:hAnsi="Arial" w:cs="Arial"/>
          <w:b/>
          <w:kern w:val="0"/>
          <w:sz w:val="20"/>
          <w:szCs w:val="20"/>
          <w:lang w:val="en-US"/>
        </w:rPr>
        <w:t>Forchetti et al., 2007</w:t>
      </w:r>
      <w:r w:rsidRPr="0090769E">
        <w:rPr>
          <w:rFonts w:ascii="Arial" w:eastAsia="Times New Roman" w:hAnsi="Arial" w:cs="Arial"/>
          <w:kern w:val="0"/>
          <w:sz w:val="20"/>
          <w:szCs w:val="20"/>
          <w:lang w:val="en-US"/>
        </w:rPr>
        <w:t>). In maize, the use of phosphate-solubilizing bacteria reduced phosphorus fertilizer requirements by 50% without lowering yields (</w:t>
      </w:r>
      <w:r w:rsidRPr="0090769E">
        <w:rPr>
          <w:rFonts w:ascii="Arial" w:eastAsia="Times New Roman" w:hAnsi="Arial" w:cs="Arial"/>
          <w:b/>
          <w:kern w:val="0"/>
          <w:sz w:val="20"/>
          <w:szCs w:val="20"/>
          <w:lang w:val="en-US"/>
        </w:rPr>
        <w:t>Yazdani and Bahmanyar, 2009</w:t>
      </w:r>
      <w:r w:rsidRPr="0090769E">
        <w:rPr>
          <w:rFonts w:ascii="Arial" w:eastAsia="Times New Roman" w:hAnsi="Arial" w:cs="Arial"/>
          <w:kern w:val="0"/>
          <w:sz w:val="20"/>
          <w:szCs w:val="20"/>
          <w:lang w:val="en-US"/>
        </w:rPr>
        <w:t xml:space="preserve">). </w:t>
      </w:r>
      <w:r w:rsidRPr="0090769E">
        <w:rPr>
          <w:rFonts w:ascii="Arial" w:eastAsia="Times New Roman" w:hAnsi="Arial" w:cs="Arial"/>
          <w:b/>
          <w:kern w:val="0"/>
          <w:sz w:val="20"/>
          <w:szCs w:val="20"/>
          <w:lang w:val="en-US"/>
        </w:rPr>
        <w:t>Varga et al. (2020)</w:t>
      </w:r>
      <w:r w:rsidRPr="0090769E">
        <w:rPr>
          <w:rFonts w:ascii="Arial" w:eastAsia="Times New Roman" w:hAnsi="Arial" w:cs="Arial"/>
          <w:kern w:val="0"/>
          <w:sz w:val="20"/>
          <w:szCs w:val="20"/>
          <w:lang w:val="en-US"/>
        </w:rPr>
        <w:t xml:space="preserve"> visualized phosphate solubilization in poplar roots inoculated with endophytes using synchrotron X-ray fluorescence, revealing increased root biomass, novel proteins, and metabolic pathways linked to improved P uptake.</w:t>
      </w:r>
    </w:p>
    <w:p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7.8 </w:t>
      </w:r>
      <w:r w:rsidR="00705922" w:rsidRPr="00705922">
        <w:rPr>
          <w:rFonts w:ascii="Arial" w:hAnsi="Arial" w:cs="Arial"/>
          <w:b/>
          <w:bCs/>
          <w:color w:val="000000" w:themeColor="text1"/>
        </w:rPr>
        <w:t>BIOLOGICAL NITROGEN FIXATION:</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Plants acquire essential nitrogen (N) from soil as nitrite (NO</w:t>
      </w:r>
      <w:r w:rsidRPr="0090769E">
        <w:rPr>
          <w:rFonts w:cs="Arial"/>
          <w:sz w:val="20"/>
          <w:szCs w:val="20"/>
        </w:rPr>
        <w:t>₂⁻</w:t>
      </w:r>
      <w:r w:rsidRPr="0090769E">
        <w:rPr>
          <w:rFonts w:ascii="Arial" w:hAnsi="Arial" w:cs="Arial"/>
          <w:sz w:val="20"/>
          <w:szCs w:val="20"/>
        </w:rPr>
        <w:t>), nitrate (NO</w:t>
      </w:r>
      <w:r w:rsidRPr="0090769E">
        <w:rPr>
          <w:rFonts w:cs="Arial"/>
          <w:sz w:val="20"/>
          <w:szCs w:val="20"/>
        </w:rPr>
        <w:t>₃⁻</w:t>
      </w:r>
      <w:r w:rsidRPr="0090769E">
        <w:rPr>
          <w:rFonts w:ascii="Arial" w:hAnsi="Arial" w:cs="Arial"/>
          <w:sz w:val="20"/>
          <w:szCs w:val="20"/>
        </w:rPr>
        <w:t>), or ammonia (NH</w:t>
      </w:r>
      <w:r w:rsidRPr="0090769E">
        <w:rPr>
          <w:rFonts w:cs="Arial"/>
          <w:sz w:val="20"/>
          <w:szCs w:val="20"/>
        </w:rPr>
        <w:t>₄⁺</w:t>
      </w:r>
      <w:r w:rsidRPr="0090769E">
        <w:rPr>
          <w:rFonts w:ascii="Arial" w:hAnsi="Arial" w:cs="Arial"/>
          <w:sz w:val="20"/>
          <w:szCs w:val="20"/>
        </w:rPr>
        <w:t xml:space="preserve">), but these forms are often scarce, and chemical fertilizers are prone to losses through leaching. Leguminous plants like soybean, pea, and peanut establish symbiotic relationships with nitrogen-fixing bacteria (e.g., </w:t>
      </w:r>
      <w:r w:rsidRPr="0090769E">
        <w:rPr>
          <w:rStyle w:val="Emphasis"/>
          <w:rFonts w:ascii="Arial" w:eastAsiaTheme="majorEastAsia" w:hAnsi="Arial" w:cs="Arial"/>
          <w:i w:val="0"/>
          <w:sz w:val="20"/>
          <w:szCs w:val="20"/>
        </w:rPr>
        <w:t>Rhizobium</w:t>
      </w:r>
      <w:r w:rsidRPr="0090769E">
        <w:rPr>
          <w:rFonts w:ascii="Arial" w:hAnsi="Arial" w:cs="Arial"/>
          <w:sz w:val="20"/>
          <w:szCs w:val="20"/>
        </w:rPr>
        <w:t xml:space="preserve"> and </w:t>
      </w:r>
      <w:r w:rsidRPr="0090769E">
        <w:rPr>
          <w:rStyle w:val="Emphasis"/>
          <w:rFonts w:ascii="Arial" w:eastAsiaTheme="majorEastAsia" w:hAnsi="Arial" w:cs="Arial"/>
          <w:i w:val="0"/>
          <w:sz w:val="20"/>
          <w:szCs w:val="20"/>
        </w:rPr>
        <w:t>Bradyrhizobium</w:t>
      </w:r>
      <w:r w:rsidRPr="0090769E">
        <w:rPr>
          <w:rFonts w:ascii="Arial" w:hAnsi="Arial" w:cs="Arial"/>
          <w:sz w:val="20"/>
          <w:szCs w:val="20"/>
        </w:rPr>
        <w:t>), forming root nodules that convert atmospheric nitrogen (N</w:t>
      </w:r>
      <w:r w:rsidRPr="0090769E">
        <w:rPr>
          <w:rFonts w:cs="Arial"/>
          <w:sz w:val="20"/>
          <w:szCs w:val="20"/>
        </w:rPr>
        <w:t>₂</w:t>
      </w:r>
      <w:r w:rsidRPr="0090769E">
        <w:rPr>
          <w:rFonts w:ascii="Arial" w:hAnsi="Arial" w:cs="Arial"/>
          <w:sz w:val="20"/>
          <w:szCs w:val="20"/>
        </w:rPr>
        <w:t>) into ammonia, providing the plant with accessible nitrogen (</w:t>
      </w:r>
      <w:r w:rsidRPr="0090769E">
        <w:rPr>
          <w:rFonts w:ascii="Arial" w:hAnsi="Arial" w:cs="Arial"/>
          <w:b/>
          <w:sz w:val="20"/>
          <w:szCs w:val="20"/>
        </w:rPr>
        <w:t>Murray, 2011</w:t>
      </w:r>
      <w:r w:rsidRPr="0090769E">
        <w:rPr>
          <w:rFonts w:ascii="Arial" w:hAnsi="Arial" w:cs="Arial"/>
          <w:sz w:val="20"/>
          <w:szCs w:val="20"/>
        </w:rPr>
        <w:t>). Non-symbiotic, free-living N</w:t>
      </w:r>
      <w:r w:rsidRPr="0090769E">
        <w:rPr>
          <w:rFonts w:cs="Arial"/>
          <w:sz w:val="20"/>
          <w:szCs w:val="20"/>
        </w:rPr>
        <w:t>₂</w:t>
      </w:r>
      <w:r w:rsidRPr="0090769E">
        <w:rPr>
          <w:rFonts w:ascii="Arial" w:hAnsi="Arial" w:cs="Arial"/>
          <w:sz w:val="20"/>
          <w:szCs w:val="20"/>
        </w:rPr>
        <w:t xml:space="preserve">-fixing bacteria (e.g., </w:t>
      </w:r>
      <w:r w:rsidRPr="0090769E">
        <w:rPr>
          <w:rStyle w:val="Emphasis"/>
          <w:rFonts w:ascii="Arial" w:eastAsiaTheme="majorEastAsia" w:hAnsi="Arial" w:cs="Arial"/>
          <w:i w:val="0"/>
          <w:sz w:val="20"/>
          <w:szCs w:val="20"/>
        </w:rPr>
        <w:t>Azospirillum</w:t>
      </w:r>
      <w:r w:rsidRPr="0090769E">
        <w:rPr>
          <w:rFonts w:ascii="Arial" w:hAnsi="Arial" w:cs="Arial"/>
          <w:i/>
          <w:sz w:val="20"/>
          <w:szCs w:val="20"/>
        </w:rPr>
        <w:t xml:space="preserve">, </w:t>
      </w:r>
      <w:r w:rsidRPr="0090769E">
        <w:rPr>
          <w:rStyle w:val="Emphasis"/>
          <w:rFonts w:ascii="Arial" w:eastAsiaTheme="majorEastAsia" w:hAnsi="Arial" w:cs="Arial"/>
          <w:i w:val="0"/>
          <w:sz w:val="20"/>
          <w:szCs w:val="20"/>
        </w:rPr>
        <w:t>Azotobacter</w:t>
      </w:r>
      <w:r w:rsidRPr="0090769E">
        <w:rPr>
          <w:rFonts w:ascii="Arial" w:hAnsi="Arial" w:cs="Arial"/>
          <w:i/>
          <w:sz w:val="20"/>
          <w:szCs w:val="20"/>
        </w:rPr>
        <w:t xml:space="preserve">, </w:t>
      </w:r>
      <w:r w:rsidRPr="0090769E">
        <w:rPr>
          <w:rStyle w:val="Emphasis"/>
          <w:rFonts w:ascii="Arial" w:eastAsiaTheme="majorEastAsia" w:hAnsi="Arial" w:cs="Arial"/>
          <w:i w:val="0"/>
          <w:sz w:val="20"/>
          <w:szCs w:val="20"/>
        </w:rPr>
        <w:t>Bacillus polymyxa</w:t>
      </w:r>
      <w:r w:rsidRPr="0090769E">
        <w:rPr>
          <w:rFonts w:ascii="Arial" w:hAnsi="Arial" w:cs="Arial"/>
          <w:i/>
          <w:sz w:val="20"/>
          <w:szCs w:val="20"/>
        </w:rPr>
        <w:t xml:space="preserve">, </w:t>
      </w:r>
      <w:r w:rsidRPr="0090769E">
        <w:rPr>
          <w:rStyle w:val="Emphasis"/>
          <w:rFonts w:ascii="Arial" w:eastAsiaTheme="majorEastAsia" w:hAnsi="Arial" w:cs="Arial"/>
          <w:i w:val="0"/>
          <w:sz w:val="20"/>
          <w:szCs w:val="20"/>
        </w:rPr>
        <w:t>Burkholderia</w:t>
      </w:r>
      <w:r w:rsidRPr="0090769E">
        <w:rPr>
          <w:rFonts w:ascii="Arial" w:hAnsi="Arial" w:cs="Arial"/>
          <w:i/>
          <w:sz w:val="20"/>
          <w:szCs w:val="20"/>
        </w:rPr>
        <w:t xml:space="preserve">, </w:t>
      </w:r>
      <w:r w:rsidRPr="0090769E">
        <w:rPr>
          <w:rStyle w:val="Emphasis"/>
          <w:rFonts w:ascii="Arial" w:eastAsiaTheme="majorEastAsia" w:hAnsi="Arial" w:cs="Arial"/>
          <w:i w:val="0"/>
          <w:sz w:val="20"/>
          <w:szCs w:val="20"/>
        </w:rPr>
        <w:t>Herbaspirillum</w:t>
      </w:r>
      <w:r w:rsidRPr="0090769E">
        <w:rPr>
          <w:rFonts w:ascii="Arial" w:hAnsi="Arial" w:cs="Arial"/>
          <w:sz w:val="20"/>
          <w:szCs w:val="20"/>
        </w:rPr>
        <w:t>) act as plant growth-promoting rhizobacteria (PGPR) and enhance the growth and yield of crops like wheat, maize, and sugarcane (</w:t>
      </w:r>
      <w:r w:rsidRPr="0090769E">
        <w:rPr>
          <w:rFonts w:ascii="Arial" w:hAnsi="Arial" w:cs="Arial"/>
          <w:b/>
          <w:sz w:val="20"/>
          <w:szCs w:val="20"/>
        </w:rPr>
        <w:t>Malik et al., 1997</w:t>
      </w:r>
      <w:r w:rsidRPr="0090769E">
        <w:rPr>
          <w:rFonts w:ascii="Arial" w:hAnsi="Arial" w:cs="Arial"/>
          <w:sz w:val="20"/>
          <w:szCs w:val="20"/>
        </w:rPr>
        <w:t xml:space="preserve">). For instance, </w:t>
      </w:r>
      <w:r w:rsidRPr="0090769E">
        <w:rPr>
          <w:rStyle w:val="Emphasis"/>
          <w:rFonts w:ascii="Arial" w:eastAsiaTheme="majorEastAsia" w:hAnsi="Arial" w:cs="Arial"/>
          <w:sz w:val="20"/>
          <w:szCs w:val="20"/>
        </w:rPr>
        <w:t>Azoarcus</w:t>
      </w:r>
      <w:r w:rsidRPr="0090769E">
        <w:rPr>
          <w:rFonts w:ascii="Arial" w:hAnsi="Arial" w:cs="Arial"/>
          <w:i/>
          <w:sz w:val="20"/>
          <w:szCs w:val="20"/>
        </w:rPr>
        <w:t>sp.</w:t>
      </w:r>
      <w:r w:rsidRPr="0090769E">
        <w:rPr>
          <w:rFonts w:ascii="Arial" w:hAnsi="Arial" w:cs="Arial"/>
          <w:sz w:val="20"/>
          <w:szCs w:val="20"/>
        </w:rPr>
        <w:t xml:space="preserve"> support </w:t>
      </w:r>
      <w:r w:rsidRPr="0090769E">
        <w:rPr>
          <w:rStyle w:val="Emphasis"/>
          <w:rFonts w:ascii="Arial" w:eastAsiaTheme="majorEastAsia" w:hAnsi="Arial" w:cs="Arial"/>
          <w:i w:val="0"/>
          <w:sz w:val="20"/>
          <w:szCs w:val="20"/>
        </w:rPr>
        <w:t>Kallar</w:t>
      </w:r>
      <w:r w:rsidRPr="0090769E">
        <w:rPr>
          <w:rFonts w:ascii="Arial" w:hAnsi="Arial" w:cs="Arial"/>
          <w:sz w:val="20"/>
          <w:szCs w:val="20"/>
        </w:rPr>
        <w:t xml:space="preserve"> grass in N-deficient soils (</w:t>
      </w:r>
      <w:r w:rsidRPr="0090769E">
        <w:rPr>
          <w:rFonts w:ascii="Arial" w:hAnsi="Arial" w:cs="Arial"/>
          <w:b/>
          <w:sz w:val="20"/>
          <w:szCs w:val="20"/>
        </w:rPr>
        <w:t>Reinhold-Hurek et al., 1993</w:t>
      </w:r>
      <w:r w:rsidRPr="0090769E">
        <w:rPr>
          <w:rFonts w:ascii="Arial" w:hAnsi="Arial" w:cs="Arial"/>
          <w:sz w:val="20"/>
          <w:szCs w:val="20"/>
        </w:rPr>
        <w:t xml:space="preserve">), </w:t>
      </w:r>
      <w:r w:rsidRPr="0090769E">
        <w:rPr>
          <w:rStyle w:val="Emphasis"/>
          <w:rFonts w:ascii="Arial" w:eastAsiaTheme="majorEastAsia" w:hAnsi="Arial" w:cs="Arial"/>
          <w:sz w:val="20"/>
          <w:szCs w:val="20"/>
        </w:rPr>
        <w:t>Klebsiella sp.</w:t>
      </w:r>
      <w:r w:rsidRPr="0090769E">
        <w:rPr>
          <w:rFonts w:ascii="Arial" w:hAnsi="Arial" w:cs="Arial"/>
          <w:sz w:val="20"/>
          <w:szCs w:val="20"/>
        </w:rPr>
        <w:t xml:space="preserve"> improves maize and wheat yields (</w:t>
      </w:r>
      <w:r w:rsidRPr="0090769E">
        <w:rPr>
          <w:rFonts w:ascii="Arial" w:hAnsi="Arial" w:cs="Arial"/>
          <w:b/>
          <w:sz w:val="20"/>
          <w:szCs w:val="20"/>
        </w:rPr>
        <w:t>Riggs et al., 2001</w:t>
      </w:r>
      <w:r w:rsidRPr="0090769E">
        <w:rPr>
          <w:rFonts w:ascii="Arial" w:hAnsi="Arial" w:cs="Arial"/>
          <w:sz w:val="20"/>
          <w:szCs w:val="20"/>
        </w:rPr>
        <w:t>), and nitrogen-fixing endophytes mitigate N-deficiencies in sweet potato (</w:t>
      </w:r>
      <w:r w:rsidRPr="0090769E">
        <w:rPr>
          <w:rFonts w:ascii="Arial" w:hAnsi="Arial" w:cs="Arial"/>
          <w:b/>
          <w:sz w:val="20"/>
          <w:szCs w:val="20"/>
        </w:rPr>
        <w:t>Reiter et al., 2003</w:t>
      </w:r>
      <w:r w:rsidRPr="0090769E">
        <w:rPr>
          <w:rFonts w:ascii="Arial" w:hAnsi="Arial" w:cs="Arial"/>
          <w:sz w:val="20"/>
          <w:szCs w:val="20"/>
        </w:rPr>
        <w:t xml:space="preserve">). Similarly, </w:t>
      </w:r>
      <w:r w:rsidRPr="0090769E">
        <w:rPr>
          <w:rStyle w:val="Emphasis"/>
          <w:rFonts w:ascii="Arial" w:eastAsiaTheme="majorEastAsia" w:hAnsi="Arial" w:cs="Arial"/>
          <w:i w:val="0"/>
          <w:sz w:val="20"/>
          <w:szCs w:val="20"/>
        </w:rPr>
        <w:t>Burkholderia</w:t>
      </w:r>
      <w:r w:rsidRPr="0090769E">
        <w:rPr>
          <w:rFonts w:ascii="Arial" w:hAnsi="Arial" w:cs="Arial"/>
          <w:sz w:val="20"/>
          <w:szCs w:val="20"/>
        </w:rPr>
        <w:t>endophytes in grasses supply nitrogen via nitrogenase activity (</w:t>
      </w:r>
      <w:r w:rsidRPr="0090769E">
        <w:rPr>
          <w:rFonts w:ascii="Arial" w:hAnsi="Arial" w:cs="Arial"/>
          <w:b/>
          <w:sz w:val="20"/>
          <w:szCs w:val="20"/>
        </w:rPr>
        <w:t>Dalton et al., 2004</w:t>
      </w:r>
      <w:r w:rsidRPr="0090769E">
        <w:rPr>
          <w:rFonts w:ascii="Arial" w:hAnsi="Arial" w:cs="Arial"/>
          <w:sz w:val="20"/>
          <w:szCs w:val="20"/>
        </w:rPr>
        <w:t xml:space="preserve">). Recent studies highlight biofertilizer potential. </w:t>
      </w:r>
      <w:r w:rsidRPr="0090769E">
        <w:rPr>
          <w:rStyle w:val="Emphasis"/>
          <w:rFonts w:ascii="Arial" w:eastAsiaTheme="majorEastAsia" w:hAnsi="Arial" w:cs="Arial"/>
          <w:b/>
          <w:i w:val="0"/>
          <w:sz w:val="20"/>
          <w:szCs w:val="20"/>
        </w:rPr>
        <w:t xml:space="preserve">Zhang </w:t>
      </w:r>
      <w:r w:rsidRPr="0090769E">
        <w:rPr>
          <w:rStyle w:val="Emphasis"/>
          <w:rFonts w:ascii="Arial" w:eastAsiaTheme="majorEastAsia" w:hAnsi="Arial" w:cs="Arial"/>
          <w:b/>
          <w:sz w:val="20"/>
          <w:szCs w:val="20"/>
        </w:rPr>
        <w:t>et al.</w:t>
      </w:r>
      <w:r w:rsidRPr="0090769E">
        <w:rPr>
          <w:rFonts w:ascii="Arial" w:hAnsi="Arial" w:cs="Arial"/>
          <w:b/>
          <w:sz w:val="20"/>
          <w:szCs w:val="20"/>
        </w:rPr>
        <w:t xml:space="preserve"> (2022)</w:t>
      </w:r>
      <w:r w:rsidRPr="0090769E">
        <w:rPr>
          <w:rFonts w:ascii="Arial" w:hAnsi="Arial" w:cs="Arial"/>
          <w:sz w:val="20"/>
          <w:szCs w:val="20"/>
        </w:rPr>
        <w:t xml:space="preserve"> identified nitrogen-fixing endophytes in cassava with high nitrogenase activity, while </w:t>
      </w:r>
      <w:r w:rsidRPr="0090769E">
        <w:rPr>
          <w:rStyle w:val="Emphasis"/>
          <w:rFonts w:ascii="Arial" w:eastAsiaTheme="majorEastAsia" w:hAnsi="Arial" w:cs="Arial"/>
          <w:b/>
          <w:sz w:val="20"/>
          <w:szCs w:val="20"/>
        </w:rPr>
        <w:t>Devi et al.</w:t>
      </w:r>
      <w:r w:rsidRPr="0090769E">
        <w:rPr>
          <w:rFonts w:ascii="Arial" w:hAnsi="Arial" w:cs="Arial"/>
          <w:b/>
          <w:sz w:val="20"/>
          <w:szCs w:val="20"/>
        </w:rPr>
        <w:t xml:space="preserve"> (2022)</w:t>
      </w:r>
      <w:r w:rsidRPr="0090769E">
        <w:rPr>
          <w:rFonts w:ascii="Arial" w:hAnsi="Arial" w:cs="Arial"/>
          <w:sz w:val="20"/>
          <w:szCs w:val="20"/>
        </w:rPr>
        <w:t xml:space="preserve"> isolated strains like </w:t>
      </w:r>
      <w:r w:rsidRPr="0090769E">
        <w:rPr>
          <w:rStyle w:val="Emphasis"/>
          <w:rFonts w:ascii="Arial" w:eastAsiaTheme="majorEastAsia" w:hAnsi="Arial" w:cs="Arial"/>
          <w:sz w:val="20"/>
          <w:szCs w:val="20"/>
        </w:rPr>
        <w:t>Erwinia persicina</w:t>
      </w:r>
      <w:r w:rsidRPr="0090769E">
        <w:rPr>
          <w:rFonts w:ascii="Arial" w:hAnsi="Arial" w:cs="Arial"/>
          <w:sz w:val="20"/>
          <w:szCs w:val="20"/>
        </w:rPr>
        <w:t xml:space="preserve"> and </w:t>
      </w:r>
      <w:r w:rsidRPr="0090769E">
        <w:rPr>
          <w:rStyle w:val="Emphasis"/>
          <w:rFonts w:ascii="Arial" w:eastAsiaTheme="majorEastAsia" w:hAnsi="Arial" w:cs="Arial"/>
          <w:sz w:val="20"/>
          <w:szCs w:val="20"/>
        </w:rPr>
        <w:t>Halomonasaquamarina</w:t>
      </w:r>
      <w:r w:rsidRPr="0090769E">
        <w:rPr>
          <w:rFonts w:ascii="Arial" w:hAnsi="Arial" w:cs="Arial"/>
          <w:sz w:val="20"/>
          <w:szCs w:val="20"/>
        </w:rPr>
        <w:t xml:space="preserve"> that enhanced chili plant growth through nitrogen fixation and mineral solubilization. These findings emphasize the promise of nitrogen-fixing microbes in sustainable agriculture. </w:t>
      </w:r>
    </w:p>
    <w:p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lastRenderedPageBreak/>
        <w:t xml:space="preserve">7.9 POTASSIUM SOLUBILIZATION: </w:t>
      </w:r>
    </w:p>
    <w:p w:rsidR="00B731C0" w:rsidRPr="0090769E" w:rsidRDefault="00B731C0" w:rsidP="00B731C0">
      <w:pPr>
        <w:spacing w:before="120" w:after="120" w:line="276" w:lineRule="auto"/>
        <w:jc w:val="both"/>
        <w:rPr>
          <w:rFonts w:ascii="Arial" w:hAnsi="Arial" w:cs="Arial"/>
          <w:b/>
          <w:bCs/>
          <w:color w:val="000000" w:themeColor="text1"/>
          <w:sz w:val="20"/>
          <w:szCs w:val="20"/>
        </w:rPr>
      </w:pPr>
      <w:r w:rsidRPr="0090769E">
        <w:rPr>
          <w:rFonts w:ascii="Arial" w:hAnsi="Arial" w:cs="Arial"/>
          <w:sz w:val="20"/>
          <w:szCs w:val="20"/>
        </w:rPr>
        <w:t xml:space="preserve">Potassium-solubilizing microorganisms (KSMs) serve as biofertilizers, reducing pesticide use and enhancing crop yields. </w:t>
      </w:r>
      <w:r w:rsidRPr="0090769E">
        <w:rPr>
          <w:rStyle w:val="Emphasis"/>
          <w:rFonts w:ascii="Arial" w:hAnsi="Arial" w:cs="Arial"/>
          <w:b/>
          <w:i w:val="0"/>
          <w:sz w:val="20"/>
          <w:szCs w:val="20"/>
        </w:rPr>
        <w:t xml:space="preserve">Meena </w:t>
      </w:r>
      <w:r w:rsidRPr="0090769E">
        <w:rPr>
          <w:rStyle w:val="Emphasis"/>
          <w:rFonts w:ascii="Arial" w:hAnsi="Arial" w:cs="Arial"/>
          <w:b/>
          <w:sz w:val="20"/>
          <w:szCs w:val="20"/>
        </w:rPr>
        <w:t>et al.</w:t>
      </w:r>
      <w:r w:rsidRPr="0090769E">
        <w:rPr>
          <w:rFonts w:ascii="Arial" w:hAnsi="Arial" w:cs="Arial"/>
          <w:b/>
          <w:sz w:val="20"/>
          <w:szCs w:val="20"/>
        </w:rPr>
        <w:t xml:space="preserve"> (2016)</w:t>
      </w:r>
      <w:r w:rsidRPr="0090769E">
        <w:rPr>
          <w:rFonts w:ascii="Arial" w:hAnsi="Arial" w:cs="Arial"/>
          <w:sz w:val="20"/>
          <w:szCs w:val="20"/>
        </w:rPr>
        <w:t xml:space="preserve"> reported that KSMs increased potassium availability in soil from 84.8% to 127.9%. While less studied, fungi like </w:t>
      </w:r>
      <w:r w:rsidRPr="0090769E">
        <w:rPr>
          <w:rStyle w:val="Emphasis"/>
          <w:rFonts w:ascii="Arial" w:hAnsi="Arial" w:cs="Arial"/>
          <w:sz w:val="20"/>
          <w:szCs w:val="20"/>
        </w:rPr>
        <w:t>Penicillium pinophilum</w:t>
      </w:r>
      <w:r w:rsidRPr="0090769E">
        <w:rPr>
          <w:rFonts w:ascii="Arial" w:hAnsi="Arial" w:cs="Arial"/>
          <w:sz w:val="20"/>
          <w:szCs w:val="20"/>
        </w:rPr>
        <w:t xml:space="preserve"> and yeasts such as </w:t>
      </w:r>
      <w:r w:rsidRPr="0090769E">
        <w:rPr>
          <w:rStyle w:val="Emphasis"/>
          <w:rFonts w:ascii="Arial" w:hAnsi="Arial" w:cs="Arial"/>
          <w:sz w:val="20"/>
          <w:szCs w:val="20"/>
        </w:rPr>
        <w:t>Torulasporaglobosa</w:t>
      </w:r>
      <w:r w:rsidRPr="0090769E">
        <w:rPr>
          <w:rFonts w:ascii="Arial" w:hAnsi="Arial" w:cs="Arial"/>
          <w:sz w:val="20"/>
          <w:szCs w:val="20"/>
        </w:rPr>
        <w:t xml:space="preserve"> also act as effective K solubilizers, boosting pomegranate yields by 116.9% (</w:t>
      </w:r>
      <w:r w:rsidRPr="0090769E">
        <w:rPr>
          <w:rStyle w:val="Emphasis"/>
          <w:rFonts w:ascii="Arial" w:hAnsi="Arial" w:cs="Arial"/>
          <w:b/>
          <w:i w:val="0"/>
          <w:sz w:val="20"/>
          <w:szCs w:val="20"/>
        </w:rPr>
        <w:t xml:space="preserve">Maity </w:t>
      </w:r>
      <w:r w:rsidRPr="0090769E">
        <w:rPr>
          <w:rStyle w:val="Emphasis"/>
          <w:rFonts w:ascii="Arial" w:hAnsi="Arial" w:cs="Arial"/>
          <w:b/>
          <w:sz w:val="20"/>
          <w:szCs w:val="20"/>
        </w:rPr>
        <w:t>et al.</w:t>
      </w:r>
      <w:r w:rsidRPr="0090769E">
        <w:rPr>
          <w:rFonts w:ascii="Arial" w:hAnsi="Arial" w:cs="Arial"/>
          <w:b/>
          <w:sz w:val="20"/>
          <w:szCs w:val="20"/>
        </w:rPr>
        <w:t>, 2019</w:t>
      </w:r>
      <w:r w:rsidRPr="0090769E">
        <w:rPr>
          <w:rFonts w:ascii="Arial" w:hAnsi="Arial" w:cs="Arial"/>
          <w:sz w:val="20"/>
          <w:szCs w:val="20"/>
        </w:rPr>
        <w:t>). KSMs offer additional benefits, including phytohormone production (e.g., IAA, cytokinins), N fixation, P solubilization, ACC production, and pathogen control (</w:t>
      </w:r>
      <w:r w:rsidRPr="0090769E">
        <w:rPr>
          <w:rFonts w:ascii="Arial" w:hAnsi="Arial" w:cs="Arial"/>
          <w:b/>
          <w:sz w:val="20"/>
          <w:szCs w:val="20"/>
        </w:rPr>
        <w:t xml:space="preserve">Soumare et al., 2021; </w:t>
      </w:r>
      <w:r w:rsidRPr="0090769E">
        <w:rPr>
          <w:rStyle w:val="Emphasis"/>
          <w:rFonts w:ascii="Arial" w:hAnsi="Arial" w:cs="Arial"/>
          <w:b/>
          <w:i w:val="0"/>
          <w:sz w:val="20"/>
          <w:szCs w:val="20"/>
        </w:rPr>
        <w:t>Gopalakrishnan</w:t>
      </w:r>
      <w:r w:rsidRPr="0090769E">
        <w:rPr>
          <w:rStyle w:val="Emphasis"/>
          <w:rFonts w:ascii="Arial" w:hAnsi="Arial" w:cs="Arial"/>
          <w:b/>
          <w:sz w:val="20"/>
          <w:szCs w:val="20"/>
        </w:rPr>
        <w:t xml:space="preserve"> et al.</w:t>
      </w:r>
      <w:r w:rsidRPr="0090769E">
        <w:rPr>
          <w:rFonts w:ascii="Arial" w:hAnsi="Arial" w:cs="Arial"/>
          <w:b/>
          <w:sz w:val="20"/>
          <w:szCs w:val="20"/>
        </w:rPr>
        <w:t>, 2020</w:t>
      </w:r>
      <w:r w:rsidRPr="0090769E">
        <w:rPr>
          <w:rFonts w:ascii="Arial" w:hAnsi="Arial" w:cs="Arial"/>
          <w:sz w:val="20"/>
          <w:szCs w:val="20"/>
        </w:rPr>
        <w:t>).</w:t>
      </w:r>
    </w:p>
    <w:p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7.10 EXO POLYSACCHARIDES (EPS) PRODUCTION OR BIOFILM FORMATION: </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Exopolysaccharide (EPS)-producing bacteria play vital roles in plant-microbe interactions by enhancing biofilm formation, stress resilience, nutrient cycling, and enzyme activity while improving soil aggregation and plant defense responses (</w:t>
      </w:r>
      <w:r w:rsidRPr="0090769E">
        <w:rPr>
          <w:rStyle w:val="Emphasis"/>
          <w:rFonts w:ascii="Arial" w:eastAsiaTheme="majorEastAsia" w:hAnsi="Arial" w:cs="Arial"/>
          <w:b/>
          <w:i w:val="0"/>
          <w:sz w:val="20"/>
          <w:szCs w:val="20"/>
        </w:rPr>
        <w:t xml:space="preserve">Deka </w:t>
      </w:r>
      <w:r w:rsidRPr="0090769E">
        <w:rPr>
          <w:rStyle w:val="Emphasis"/>
          <w:rFonts w:ascii="Arial" w:eastAsiaTheme="majorEastAsia" w:hAnsi="Arial" w:cs="Arial"/>
          <w:b/>
          <w:sz w:val="20"/>
          <w:szCs w:val="20"/>
        </w:rPr>
        <w:t>et al</w:t>
      </w:r>
      <w:r w:rsidRPr="0090769E">
        <w:rPr>
          <w:rStyle w:val="Emphasis"/>
          <w:rFonts w:ascii="Arial" w:eastAsiaTheme="majorEastAsia" w:hAnsi="Arial" w:cs="Arial"/>
          <w:b/>
          <w:i w:val="0"/>
          <w:sz w:val="20"/>
          <w:szCs w:val="20"/>
        </w:rPr>
        <w:t>., 2019</w:t>
      </w:r>
      <w:r w:rsidRPr="0090769E">
        <w:rPr>
          <w:rFonts w:ascii="Arial" w:hAnsi="Arial" w:cs="Arial"/>
          <w:i/>
          <w:sz w:val="20"/>
          <w:szCs w:val="20"/>
        </w:rPr>
        <w:t xml:space="preserve">). </w:t>
      </w:r>
      <w:r w:rsidRPr="0090769E">
        <w:rPr>
          <w:rStyle w:val="Emphasis"/>
          <w:rFonts w:ascii="Arial" w:eastAsiaTheme="majorEastAsia" w:hAnsi="Arial" w:cs="Arial"/>
          <w:b/>
          <w:i w:val="0"/>
          <w:sz w:val="20"/>
          <w:szCs w:val="20"/>
        </w:rPr>
        <w:t xml:space="preserve">Dar </w:t>
      </w:r>
      <w:r w:rsidRPr="0090769E">
        <w:rPr>
          <w:rStyle w:val="Emphasis"/>
          <w:rFonts w:ascii="Arial" w:eastAsiaTheme="majorEastAsia" w:hAnsi="Arial" w:cs="Arial"/>
          <w:b/>
          <w:sz w:val="20"/>
          <w:szCs w:val="20"/>
        </w:rPr>
        <w:t>et al</w:t>
      </w:r>
      <w:r w:rsidRPr="0090769E">
        <w:rPr>
          <w:rStyle w:val="Emphasis"/>
          <w:rFonts w:ascii="Arial" w:eastAsiaTheme="majorEastAsia" w:hAnsi="Arial" w:cs="Arial"/>
          <w:b/>
          <w:i w:val="0"/>
          <w:sz w:val="20"/>
          <w:szCs w:val="20"/>
        </w:rPr>
        <w:t>.</w:t>
      </w:r>
      <w:r w:rsidRPr="0090769E">
        <w:rPr>
          <w:rFonts w:ascii="Arial" w:hAnsi="Arial" w:cs="Arial"/>
          <w:b/>
          <w:i/>
          <w:sz w:val="20"/>
          <w:szCs w:val="20"/>
        </w:rPr>
        <w:t xml:space="preserve"> (2021)</w:t>
      </w:r>
      <w:r w:rsidRPr="0090769E">
        <w:rPr>
          <w:rFonts w:ascii="Arial" w:hAnsi="Arial" w:cs="Arial"/>
          <w:sz w:val="20"/>
          <w:szCs w:val="20"/>
        </w:rPr>
        <w:t xml:space="preserve"> demonstrated that EPS-producing </w:t>
      </w:r>
      <w:r w:rsidRPr="0090769E">
        <w:rPr>
          <w:rStyle w:val="Emphasis"/>
          <w:rFonts w:ascii="Arial" w:eastAsiaTheme="majorEastAsia" w:hAnsi="Arial" w:cs="Arial"/>
          <w:sz w:val="20"/>
          <w:szCs w:val="20"/>
        </w:rPr>
        <w:t>Rhizobium phaseoli</w:t>
      </w:r>
      <w:r w:rsidRPr="0090769E">
        <w:rPr>
          <w:rFonts w:ascii="Arial" w:hAnsi="Arial" w:cs="Arial"/>
          <w:sz w:val="20"/>
          <w:szCs w:val="20"/>
        </w:rPr>
        <w:t xml:space="preserve"> and </w:t>
      </w:r>
      <w:r w:rsidRPr="0090769E">
        <w:rPr>
          <w:rStyle w:val="Emphasis"/>
          <w:rFonts w:ascii="Arial" w:eastAsiaTheme="majorEastAsia" w:hAnsi="Arial" w:cs="Arial"/>
          <w:sz w:val="20"/>
          <w:szCs w:val="20"/>
        </w:rPr>
        <w:t>Pseudomonas bathysetes</w:t>
      </w:r>
      <w:r w:rsidRPr="0090769E">
        <w:rPr>
          <w:rFonts w:ascii="Arial" w:hAnsi="Arial" w:cs="Arial"/>
          <w:sz w:val="20"/>
          <w:szCs w:val="20"/>
        </w:rPr>
        <w:t xml:space="preserve"> significantly boosted maize growth, yield, and soil properties. Similarly, </w:t>
      </w:r>
      <w:r w:rsidRPr="0090769E">
        <w:rPr>
          <w:rStyle w:val="Emphasis"/>
          <w:rFonts w:ascii="Arial" w:eastAsiaTheme="majorEastAsia" w:hAnsi="Arial" w:cs="Arial"/>
          <w:b/>
          <w:i w:val="0"/>
          <w:sz w:val="20"/>
          <w:szCs w:val="20"/>
        </w:rPr>
        <w:t xml:space="preserve">Prasad </w:t>
      </w:r>
      <w:r w:rsidRPr="0090769E">
        <w:rPr>
          <w:rStyle w:val="Emphasis"/>
          <w:rFonts w:ascii="Arial" w:eastAsiaTheme="majorEastAsia" w:hAnsi="Arial" w:cs="Arial"/>
          <w:b/>
          <w:sz w:val="20"/>
          <w:szCs w:val="20"/>
        </w:rPr>
        <w:t>et al.</w:t>
      </w:r>
      <w:r w:rsidRPr="0090769E">
        <w:rPr>
          <w:rFonts w:ascii="Arial" w:hAnsi="Arial" w:cs="Arial"/>
          <w:b/>
          <w:sz w:val="20"/>
          <w:szCs w:val="20"/>
        </w:rPr>
        <w:t xml:space="preserve"> (2022)</w:t>
      </w:r>
      <w:r w:rsidRPr="0090769E">
        <w:rPr>
          <w:rFonts w:ascii="Arial" w:hAnsi="Arial" w:cs="Arial"/>
          <w:sz w:val="20"/>
          <w:szCs w:val="20"/>
        </w:rPr>
        <w:t xml:space="preserve"> found that biofilm-forming bacteria, including </w:t>
      </w:r>
      <w:r w:rsidRPr="0090769E">
        <w:rPr>
          <w:rStyle w:val="Emphasis"/>
          <w:rFonts w:ascii="Arial" w:eastAsiaTheme="majorEastAsia" w:hAnsi="Arial" w:cs="Arial"/>
          <w:sz w:val="20"/>
          <w:szCs w:val="20"/>
        </w:rPr>
        <w:t>Pseudomonas azotoformans</w:t>
      </w:r>
      <w:r w:rsidRPr="0090769E">
        <w:rPr>
          <w:rFonts w:ascii="Arial" w:hAnsi="Arial" w:cs="Arial"/>
          <w:sz w:val="20"/>
          <w:szCs w:val="20"/>
        </w:rPr>
        <w:t xml:space="preserve"> and </w:t>
      </w:r>
      <w:r w:rsidRPr="0090769E">
        <w:rPr>
          <w:rStyle w:val="Emphasis"/>
          <w:rFonts w:ascii="Arial" w:eastAsiaTheme="majorEastAsia" w:hAnsi="Arial" w:cs="Arial"/>
          <w:sz w:val="20"/>
          <w:szCs w:val="20"/>
        </w:rPr>
        <w:t>Burkholderiaseminalis</w:t>
      </w:r>
      <w:r w:rsidRPr="0090769E">
        <w:rPr>
          <w:rFonts w:ascii="Arial" w:hAnsi="Arial" w:cs="Arial"/>
          <w:sz w:val="20"/>
          <w:szCs w:val="20"/>
        </w:rPr>
        <w:t>, enhanced wheat germination, growth, and yield through biopriming. These improvements were linked to key PGP traits like phytohormone production, phosphate solubilization, and EPS synthesis.</w:t>
      </w:r>
    </w:p>
    <w:p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7.11 BIOCONTROL </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Microbes play a crucial role in enhancing plant protection against diseases by producing secondary metabolites like flavonoids, peptides, alkaloids, and terpenoids with antifungal and antibacterial properties (</w:t>
      </w:r>
      <w:r w:rsidRPr="0090769E">
        <w:rPr>
          <w:rStyle w:val="Emphasis"/>
          <w:rFonts w:ascii="Arial" w:eastAsiaTheme="majorEastAsia" w:hAnsi="Arial" w:cs="Arial"/>
          <w:b/>
          <w:i w:val="0"/>
          <w:sz w:val="20"/>
          <w:szCs w:val="20"/>
        </w:rPr>
        <w:t>Lugtenberg</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2016</w:t>
      </w:r>
      <w:r w:rsidRPr="0090769E">
        <w:rPr>
          <w:rFonts w:ascii="Arial" w:hAnsi="Arial" w:cs="Arial"/>
          <w:sz w:val="20"/>
          <w:szCs w:val="20"/>
        </w:rPr>
        <w:t>). Enzymes such as chitinases, cellulases, and glucanases aid in degrading plant and fungal cell walls, reducing pathogen viability (</w:t>
      </w:r>
      <w:r w:rsidRPr="0090769E">
        <w:rPr>
          <w:rStyle w:val="Emphasis"/>
          <w:rFonts w:ascii="Arial" w:eastAsiaTheme="majorEastAsia" w:hAnsi="Arial" w:cs="Arial"/>
          <w:b/>
          <w:i w:val="0"/>
          <w:sz w:val="20"/>
          <w:szCs w:val="20"/>
        </w:rPr>
        <w:t>Fadiji and Babalola</w:t>
      </w:r>
      <w:r w:rsidRPr="0090769E">
        <w:rPr>
          <w:rStyle w:val="Emphasis"/>
          <w:rFonts w:ascii="Arial" w:eastAsiaTheme="majorEastAsia" w:hAnsi="Arial" w:cs="Arial"/>
          <w:b/>
          <w:sz w:val="20"/>
          <w:szCs w:val="20"/>
        </w:rPr>
        <w:t>, 2020</w:t>
      </w:r>
      <w:r w:rsidRPr="0090769E">
        <w:rPr>
          <w:rFonts w:ascii="Arial" w:hAnsi="Arial" w:cs="Arial"/>
          <w:sz w:val="20"/>
          <w:szCs w:val="20"/>
        </w:rPr>
        <w:t>). Additionally, many microbes produce ACC deaminase, mitigating the harmful effects of ethylene buildup during pathogen attacks (</w:t>
      </w:r>
      <w:r w:rsidRPr="0090769E">
        <w:rPr>
          <w:rStyle w:val="Emphasis"/>
          <w:rFonts w:ascii="Arial" w:eastAsiaTheme="majorEastAsia" w:hAnsi="Arial" w:cs="Arial"/>
          <w:b/>
          <w:i w:val="0"/>
          <w:sz w:val="20"/>
          <w:szCs w:val="20"/>
        </w:rPr>
        <w:t>Arshad</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2007</w:t>
      </w:r>
      <w:r w:rsidRPr="0090769E">
        <w:rPr>
          <w:rFonts w:ascii="Arial" w:hAnsi="Arial" w:cs="Arial"/>
          <w:sz w:val="20"/>
          <w:szCs w:val="20"/>
        </w:rPr>
        <w:t>). Induced systemic resistance (ISR) facilitated by microbes enhances plant defense and nutrient acquisition, including iron mobilization through MYB72-regulated phenolic secretion (</w:t>
      </w:r>
      <w:r w:rsidRPr="0090769E">
        <w:rPr>
          <w:rStyle w:val="Emphasis"/>
          <w:rFonts w:ascii="Arial" w:eastAsiaTheme="majorEastAsia" w:hAnsi="Arial" w:cs="Arial"/>
          <w:b/>
          <w:i w:val="0"/>
          <w:sz w:val="20"/>
          <w:szCs w:val="20"/>
        </w:rPr>
        <w:t xml:space="preserve">Romera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2019</w:t>
      </w:r>
      <w:r w:rsidRPr="0090769E">
        <w:rPr>
          <w:rFonts w:ascii="Arial" w:hAnsi="Arial" w:cs="Arial"/>
          <w:sz w:val="20"/>
          <w:szCs w:val="20"/>
        </w:rPr>
        <w:t xml:space="preserve">). Beneficial bacteria such as </w:t>
      </w:r>
      <w:r w:rsidRPr="0090769E">
        <w:rPr>
          <w:rStyle w:val="Emphasis"/>
          <w:rFonts w:ascii="Arial" w:eastAsiaTheme="majorEastAsia" w:hAnsi="Arial" w:cs="Arial"/>
          <w:sz w:val="20"/>
          <w:szCs w:val="20"/>
        </w:rPr>
        <w:t>Bacillus subtilis</w:t>
      </w:r>
      <w:r w:rsidRPr="0090769E">
        <w:rPr>
          <w:rFonts w:ascii="Arial" w:hAnsi="Arial" w:cs="Arial"/>
          <w:sz w:val="20"/>
          <w:szCs w:val="20"/>
        </w:rPr>
        <w:t xml:space="preserve">, </w:t>
      </w:r>
      <w:r w:rsidRPr="0090769E">
        <w:rPr>
          <w:rStyle w:val="Emphasis"/>
          <w:rFonts w:ascii="Arial" w:eastAsiaTheme="majorEastAsia" w:hAnsi="Arial" w:cs="Arial"/>
          <w:sz w:val="20"/>
          <w:szCs w:val="20"/>
        </w:rPr>
        <w:t>Pseudomonas protegens</w:t>
      </w:r>
      <w:r w:rsidRPr="0090769E">
        <w:rPr>
          <w:rFonts w:ascii="Arial" w:hAnsi="Arial" w:cs="Arial"/>
          <w:sz w:val="20"/>
          <w:szCs w:val="20"/>
        </w:rPr>
        <w:t xml:space="preserve">, and </w:t>
      </w:r>
      <w:r w:rsidRPr="0090769E">
        <w:rPr>
          <w:rStyle w:val="Emphasis"/>
          <w:rFonts w:ascii="Arial" w:eastAsiaTheme="majorEastAsia" w:hAnsi="Arial" w:cs="Arial"/>
          <w:sz w:val="20"/>
          <w:szCs w:val="20"/>
        </w:rPr>
        <w:t>Burkholderiapyrrocinia</w:t>
      </w:r>
      <w:r w:rsidRPr="0090769E">
        <w:rPr>
          <w:rFonts w:ascii="Arial" w:hAnsi="Arial" w:cs="Arial"/>
          <w:sz w:val="20"/>
          <w:szCs w:val="20"/>
        </w:rPr>
        <w:t xml:space="preserve"> demonstrate antagonistic activity against fungal pathogens like </w:t>
      </w:r>
      <w:r w:rsidRPr="0090769E">
        <w:rPr>
          <w:rStyle w:val="Emphasis"/>
          <w:rFonts w:ascii="Arial" w:eastAsiaTheme="majorEastAsia" w:hAnsi="Arial" w:cs="Arial"/>
          <w:sz w:val="20"/>
          <w:szCs w:val="20"/>
        </w:rPr>
        <w:t>Botrytis cinerea</w:t>
      </w:r>
      <w:r w:rsidRPr="0090769E">
        <w:rPr>
          <w:rFonts w:ascii="Arial" w:hAnsi="Arial" w:cs="Arial"/>
          <w:sz w:val="20"/>
          <w:szCs w:val="20"/>
        </w:rPr>
        <w:t xml:space="preserve"> and </w:t>
      </w:r>
      <w:r w:rsidRPr="0090769E">
        <w:rPr>
          <w:rStyle w:val="Emphasis"/>
          <w:rFonts w:ascii="Arial" w:eastAsiaTheme="majorEastAsia" w:hAnsi="Arial" w:cs="Arial"/>
          <w:sz w:val="20"/>
          <w:szCs w:val="20"/>
        </w:rPr>
        <w:t>Fusarium</w:t>
      </w:r>
      <w:r w:rsidRPr="0090769E">
        <w:rPr>
          <w:rFonts w:ascii="Arial" w:hAnsi="Arial" w:cs="Arial"/>
          <w:sz w:val="20"/>
          <w:szCs w:val="20"/>
        </w:rPr>
        <w:t xml:space="preserve"> species by producing antifungal compounds and volatile organic substances (</w:t>
      </w:r>
      <w:r w:rsidRPr="0090769E">
        <w:rPr>
          <w:rStyle w:val="Emphasis"/>
          <w:rFonts w:ascii="Arial" w:eastAsiaTheme="majorEastAsia" w:hAnsi="Arial" w:cs="Arial"/>
          <w:b/>
          <w:i w:val="0"/>
          <w:sz w:val="20"/>
          <w:szCs w:val="20"/>
        </w:rPr>
        <w:t xml:space="preserve">Baard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2023</w:t>
      </w:r>
      <w:r w:rsidRPr="0090769E">
        <w:rPr>
          <w:rFonts w:ascii="Arial" w:hAnsi="Arial" w:cs="Arial"/>
          <w:sz w:val="20"/>
          <w:szCs w:val="20"/>
        </w:rPr>
        <w:t>). Microbial applications in crops like potato, soybean, and tomato have significantly reduced disease severity while promoting plant growth, highlighting their potential as effective biocontrol agents (</w:t>
      </w:r>
      <w:r w:rsidRPr="0090769E">
        <w:rPr>
          <w:rStyle w:val="Emphasis"/>
          <w:rFonts w:ascii="Arial" w:eastAsiaTheme="majorEastAsia" w:hAnsi="Arial" w:cs="Arial"/>
          <w:b/>
          <w:i w:val="0"/>
          <w:sz w:val="20"/>
          <w:szCs w:val="20"/>
        </w:rPr>
        <w:t xml:space="preserve">Bahmani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2021</w:t>
      </w:r>
      <w:r w:rsidRPr="0090769E">
        <w:rPr>
          <w:rStyle w:val="Emphasis"/>
          <w:rFonts w:ascii="Arial" w:eastAsiaTheme="majorEastAsia" w:hAnsi="Arial" w:cs="Arial"/>
          <w:b/>
          <w:sz w:val="20"/>
          <w:szCs w:val="20"/>
        </w:rPr>
        <w:t xml:space="preserve">; </w:t>
      </w:r>
      <w:r w:rsidRPr="0090769E">
        <w:rPr>
          <w:rStyle w:val="Emphasis"/>
          <w:rFonts w:ascii="Arial" w:eastAsiaTheme="majorEastAsia" w:hAnsi="Arial" w:cs="Arial"/>
          <w:b/>
          <w:i w:val="0"/>
          <w:sz w:val="20"/>
          <w:szCs w:val="20"/>
        </w:rPr>
        <w:t>Win</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2022</w:t>
      </w:r>
      <w:r w:rsidRPr="0090769E">
        <w:rPr>
          <w:rFonts w:ascii="Arial" w:hAnsi="Arial" w:cs="Arial"/>
          <w:sz w:val="20"/>
          <w:szCs w:val="20"/>
        </w:rPr>
        <w:t>).</w:t>
      </w:r>
    </w:p>
    <w:p w:rsidR="00B731C0" w:rsidRPr="00705922" w:rsidRDefault="00705922" w:rsidP="00B731C0">
      <w:pPr>
        <w:pStyle w:val="NormalWeb"/>
        <w:spacing w:line="276" w:lineRule="auto"/>
        <w:jc w:val="both"/>
        <w:rPr>
          <w:rFonts w:ascii="Arial" w:hAnsi="Arial" w:cs="Arial"/>
          <w:b/>
          <w:sz w:val="22"/>
          <w:szCs w:val="22"/>
        </w:rPr>
      </w:pPr>
      <w:r w:rsidRPr="00705922">
        <w:rPr>
          <w:rFonts w:ascii="Arial" w:hAnsi="Arial" w:cs="Arial"/>
          <w:b/>
          <w:sz w:val="22"/>
          <w:szCs w:val="22"/>
        </w:rPr>
        <w:t>8. CONCLUSION</w:t>
      </w:r>
    </w:p>
    <w:p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Microbe-mediated biofortification presents a sustainable and eco-friendly strategy to combat micronutrient deficiencies, particularly iron and zinc shortages in plants and humans. By leveraging beneficial microorganisms, this approach enhances soil fertility, nutrient bioavailability, and crop nutritional quality. Unlike conventional methods, such as chemical fertilization and supplementation, microbial biofortification minimizes environmental impact while offering long-term benefits. Studies have demonstrated its efficacy in improving Fe and Zn uptake in staple crops, thereby contributing to global food security. However, challenges such as microbial strain stability, field-level efficacy, and scalability must be addressed for broader implementation. Integrating microbial biofortification with conventional breeding and agronomic practices can further enhance its effectiveness. Continued research and policy support are crucial to optimizing microbial formulations for diverse agroecosystems. Additionally, farmer awareness and adoption play a key role in realizing the full potential of this strategy. Overall, microbe-mediated biofortification holds immense promise for </w:t>
      </w:r>
      <w:r w:rsidRPr="0090769E">
        <w:rPr>
          <w:rFonts w:ascii="Arial" w:hAnsi="Arial" w:cs="Arial"/>
          <w:sz w:val="20"/>
          <w:szCs w:val="20"/>
        </w:rPr>
        <w:lastRenderedPageBreak/>
        <w:t>addressing malnutrition and improving agricultural productivity. Future advancements in microbial technology can further refine and expand this approach for global nutritional security.</w:t>
      </w:r>
    </w:p>
    <w:p w:rsidR="007F7605" w:rsidRPr="003B3CC5" w:rsidRDefault="003B3CC5" w:rsidP="007F7605">
      <w:pPr>
        <w:pStyle w:val="FirstParagraph"/>
        <w:spacing w:after="0"/>
        <w:rPr>
          <w:rFonts w:ascii="Arial" w:hAnsi="Arial" w:cs="Arial"/>
          <w:b/>
          <w:bCs/>
          <w:szCs w:val="22"/>
        </w:rPr>
      </w:pPr>
      <w:bookmarkStart w:id="3" w:name="_GoBack"/>
      <w:bookmarkEnd w:id="3"/>
      <w:r w:rsidRPr="003B3CC5">
        <w:rPr>
          <w:rFonts w:ascii="Arial" w:hAnsi="Arial" w:cs="Arial"/>
          <w:b/>
          <w:bCs/>
          <w:szCs w:val="22"/>
        </w:rPr>
        <w:t>DECLARATION OF INTERESTS</w:t>
      </w:r>
    </w:p>
    <w:p w:rsidR="007F7605" w:rsidRPr="0090769E" w:rsidRDefault="007F7605" w:rsidP="007F7605">
      <w:pPr>
        <w:pStyle w:val="FirstParagraph"/>
        <w:numPr>
          <w:ilvl w:val="0"/>
          <w:numId w:val="40"/>
        </w:numPr>
        <w:spacing w:before="0" w:after="0"/>
        <w:ind w:left="284" w:hanging="284"/>
        <w:jc w:val="both"/>
        <w:rPr>
          <w:rFonts w:ascii="Arial" w:hAnsi="Arial" w:cs="Arial"/>
          <w:sz w:val="20"/>
          <w:szCs w:val="20"/>
        </w:rPr>
      </w:pPr>
      <w:r w:rsidRPr="0090769E">
        <w:rPr>
          <w:rFonts w:ascii="Arial" w:hAnsi="Arial" w:cs="Arial"/>
          <w:sz w:val="20"/>
          <w:szCs w:val="20"/>
        </w:rPr>
        <w:t>The authors declare that they have no known competing financial interests or personal relationships that could have influenced the work reported in this paper.</w:t>
      </w:r>
    </w:p>
    <w:p w:rsidR="007F7605" w:rsidRPr="0090769E" w:rsidRDefault="007F7605" w:rsidP="007F7605">
      <w:pPr>
        <w:pStyle w:val="FirstParagraph"/>
        <w:numPr>
          <w:ilvl w:val="0"/>
          <w:numId w:val="40"/>
        </w:numPr>
        <w:spacing w:before="0"/>
        <w:ind w:left="284" w:hanging="284"/>
        <w:jc w:val="both"/>
        <w:rPr>
          <w:rFonts w:ascii="Arial" w:hAnsi="Arial" w:cs="Arial"/>
          <w:sz w:val="20"/>
          <w:szCs w:val="20"/>
        </w:rPr>
      </w:pPr>
      <w:r w:rsidRPr="0090769E">
        <w:rPr>
          <w:rFonts w:ascii="Arial" w:hAnsi="Arial" w:cs="Arial"/>
          <w:sz w:val="20"/>
          <w:szCs w:val="20"/>
        </w:rPr>
        <w:t xml:space="preserve">The authors declare the following financial interest or relationship that may be considered potential competing interests. </w:t>
      </w:r>
    </w:p>
    <w:p w:rsidR="007F7605" w:rsidRPr="003B3CC5" w:rsidRDefault="003B3CC5" w:rsidP="007F7605">
      <w:pPr>
        <w:jc w:val="both"/>
        <w:rPr>
          <w:rFonts w:ascii="Arial" w:hAnsi="Arial" w:cs="Arial"/>
          <w:b/>
          <w:bCs/>
        </w:rPr>
      </w:pPr>
      <w:r w:rsidRPr="003B3CC5">
        <w:rPr>
          <w:rFonts w:ascii="Arial" w:hAnsi="Arial" w:cs="Arial"/>
          <w:b/>
          <w:bCs/>
          <w:color w:val="222222"/>
          <w:shd w:val="clear" w:color="auto" w:fill="FFFFFF"/>
        </w:rPr>
        <w:t>DATA AVAILABILITY STATEMENT</w:t>
      </w:r>
    </w:p>
    <w:p w:rsidR="007F7605" w:rsidRDefault="007F7605" w:rsidP="007F7605">
      <w:pPr>
        <w:jc w:val="both"/>
        <w:rPr>
          <w:rFonts w:ascii="Arial" w:hAnsi="Arial" w:cs="Arial"/>
          <w:sz w:val="20"/>
          <w:szCs w:val="20"/>
        </w:rPr>
      </w:pPr>
      <w:r w:rsidRPr="0090769E">
        <w:rPr>
          <w:rFonts w:ascii="Arial" w:hAnsi="Arial" w:cs="Arial"/>
          <w:sz w:val="20"/>
          <w:szCs w:val="20"/>
        </w:rPr>
        <w:t>No datasets were generated or analysed during the current study.</w:t>
      </w:r>
    </w:p>
    <w:p w:rsidR="00AC2EC6" w:rsidRPr="003B3CC5" w:rsidRDefault="00AC2EC6" w:rsidP="007F7605">
      <w:pPr>
        <w:jc w:val="both"/>
        <w:rPr>
          <w:rFonts w:ascii="Arial" w:hAnsi="Arial" w:cs="Arial"/>
          <w:b/>
          <w:shd w:val="clear" w:color="auto" w:fill="FFFFFF"/>
        </w:rPr>
      </w:pPr>
      <w:r w:rsidRPr="003B3CC5">
        <w:rPr>
          <w:rFonts w:ascii="Arial" w:hAnsi="Arial" w:cs="Arial"/>
          <w:b/>
          <w:shd w:val="clear" w:color="auto" w:fill="FFFFFF"/>
        </w:rPr>
        <w:t>DISCLAIMER (ARTIFICIAL INTELLIGENCE)</w:t>
      </w:r>
    </w:p>
    <w:p w:rsidR="00AC2EC6" w:rsidRDefault="00AC2EC6" w:rsidP="007F7605">
      <w:pPr>
        <w:jc w:val="both"/>
        <w:rPr>
          <w:rFonts w:ascii="Arial" w:hAnsi="Arial" w:cs="Arial"/>
          <w:sz w:val="18"/>
          <w:szCs w:val="18"/>
          <w:shd w:val="clear" w:color="auto" w:fill="FFFFFF"/>
        </w:rPr>
      </w:pPr>
      <w:r>
        <w:rPr>
          <w:rFonts w:ascii="Arial" w:hAnsi="Arial" w:cs="Arial"/>
          <w:sz w:val="18"/>
          <w:szCs w:val="18"/>
          <w:shd w:val="clear" w:color="auto" w:fill="FFFFFF"/>
        </w:rPr>
        <w:t>Author(s)  hereby  declares  that  no  generative  AI technologies  such  as  Large  Language  Models (ChatGPT,   COPILOT,   etc.)   and   text-to-image generators have been used during the writing or editing of this manuscript.</w:t>
      </w:r>
    </w:p>
    <w:p w:rsidR="00AC2EC6" w:rsidRPr="00AC2EC6" w:rsidRDefault="00AC2EC6" w:rsidP="007F7605">
      <w:pPr>
        <w:jc w:val="both"/>
        <w:rPr>
          <w:rFonts w:ascii="Arial" w:hAnsi="Arial" w:cs="Arial"/>
          <w:b/>
          <w:sz w:val="20"/>
          <w:szCs w:val="20"/>
          <w:shd w:val="clear" w:color="auto" w:fill="FFFFFF"/>
        </w:rPr>
      </w:pPr>
      <w:r w:rsidRPr="00AC2EC6">
        <w:rPr>
          <w:rFonts w:ascii="Arial" w:hAnsi="Arial" w:cs="Arial"/>
          <w:b/>
          <w:sz w:val="20"/>
          <w:szCs w:val="20"/>
          <w:shd w:val="clear" w:color="auto" w:fill="FFFFFF"/>
        </w:rPr>
        <w:t>COMPETING INTERESTS</w:t>
      </w:r>
    </w:p>
    <w:p w:rsidR="00AC2EC6" w:rsidRPr="0090769E" w:rsidRDefault="00AC2EC6" w:rsidP="007F7605">
      <w:pPr>
        <w:jc w:val="both"/>
        <w:rPr>
          <w:rFonts w:ascii="Arial" w:hAnsi="Arial" w:cs="Arial"/>
          <w:i/>
          <w:iCs/>
          <w:sz w:val="20"/>
          <w:szCs w:val="20"/>
        </w:rPr>
      </w:pPr>
      <w:r>
        <w:rPr>
          <w:rFonts w:ascii="Arial" w:hAnsi="Arial" w:cs="Arial"/>
          <w:sz w:val="18"/>
          <w:szCs w:val="18"/>
          <w:shd w:val="clear" w:color="auto" w:fill="FFFFFF"/>
        </w:rPr>
        <w:t>Authors    have    declared    that    no    competing interests exist</w:t>
      </w:r>
    </w:p>
    <w:p w:rsidR="00027A0C" w:rsidRPr="003B3CC5" w:rsidRDefault="003B3CC5" w:rsidP="00F001A8">
      <w:pPr>
        <w:pStyle w:val="NormalWeb"/>
        <w:spacing w:line="276" w:lineRule="auto"/>
        <w:jc w:val="both"/>
        <w:rPr>
          <w:rFonts w:ascii="Arial" w:hAnsi="Arial" w:cs="Arial"/>
          <w:b/>
          <w:sz w:val="22"/>
          <w:szCs w:val="22"/>
        </w:rPr>
      </w:pPr>
      <w:r w:rsidRPr="003B3CC5">
        <w:rPr>
          <w:rFonts w:ascii="Arial" w:hAnsi="Arial" w:cs="Arial"/>
          <w:b/>
          <w:sz w:val="22"/>
          <w:szCs w:val="22"/>
        </w:rPr>
        <w:t xml:space="preserve">REFERENCES: </w:t>
      </w:r>
    </w:p>
    <w:p w:rsidR="00452776" w:rsidRPr="00452776" w:rsidRDefault="00452776" w:rsidP="00452776">
      <w:pPr>
        <w:widowControl w:val="0"/>
        <w:spacing w:before="280" w:after="120" w:line="312" w:lineRule="auto"/>
        <w:jc w:val="both"/>
        <w:rPr>
          <w:rFonts w:ascii="Arial" w:eastAsia="Calibri" w:hAnsi="Arial" w:cs="Arial"/>
          <w:kern w:val="0"/>
          <w:sz w:val="20"/>
          <w:szCs w:val="20"/>
          <w:lang w:eastAsia="en-IN"/>
        </w:rPr>
      </w:pPr>
      <w:r w:rsidRPr="00452776">
        <w:rPr>
          <w:rFonts w:ascii="Arial" w:eastAsia="Times New Roman" w:hAnsi="Arial" w:cs="Arial"/>
          <w:b/>
          <w:bCs/>
          <w:kern w:val="0"/>
          <w:sz w:val="20"/>
          <w:szCs w:val="20"/>
          <w:lang w:eastAsia="en-IN"/>
        </w:rPr>
        <w:t>A</w:t>
      </w:r>
      <w:r w:rsidRPr="00452776">
        <w:rPr>
          <w:rFonts w:ascii="Arial" w:eastAsia="Calibri" w:hAnsi="Arial" w:cs="Arial"/>
          <w:b/>
          <w:bCs/>
          <w:kern w:val="0"/>
          <w:sz w:val="20"/>
          <w:szCs w:val="20"/>
          <w:lang w:eastAsia="en-IN"/>
        </w:rPr>
        <w:t>baid-Ullah, M., Hassan, M. N., Jamil, M., Brader, G., Shah, M. K. N., Sessitsch, A. and Hafeez, F. Y. 2015.</w:t>
      </w:r>
      <w:r w:rsidRPr="00452776">
        <w:rPr>
          <w:rFonts w:ascii="Arial" w:eastAsia="Calibri" w:hAnsi="Arial" w:cs="Arial"/>
          <w:kern w:val="0"/>
          <w:sz w:val="20"/>
          <w:szCs w:val="20"/>
          <w:lang w:eastAsia="en-IN"/>
        </w:rPr>
        <w:t xml:space="preserve"> Plant growth promoting rhizobacteria: An alternate way to improve yield and quality of wheat (</w:t>
      </w:r>
      <w:r w:rsidRPr="00452776">
        <w:rPr>
          <w:rFonts w:ascii="Arial" w:eastAsia="Calibri" w:hAnsi="Arial" w:cs="Arial"/>
          <w:i/>
          <w:kern w:val="0"/>
          <w:sz w:val="20"/>
          <w:szCs w:val="20"/>
          <w:lang w:eastAsia="en-IN"/>
        </w:rPr>
        <w:t>Triticum aestivum</w:t>
      </w:r>
      <w:r w:rsidRPr="00452776">
        <w:rPr>
          <w:rFonts w:ascii="Arial" w:eastAsia="Calibri" w:hAnsi="Arial" w:cs="Arial"/>
          <w:kern w:val="0"/>
          <w:sz w:val="20"/>
          <w:szCs w:val="20"/>
          <w:lang w:eastAsia="en-IN"/>
        </w:rPr>
        <w:t xml:space="preserve">). </w:t>
      </w:r>
      <w:r w:rsidRPr="00452776">
        <w:rPr>
          <w:rFonts w:ascii="Arial" w:eastAsia="Calibri" w:hAnsi="Arial" w:cs="Arial"/>
          <w:i/>
          <w:iCs/>
          <w:kern w:val="0"/>
          <w:sz w:val="20"/>
          <w:szCs w:val="20"/>
          <w:lang w:eastAsia="en-IN"/>
        </w:rPr>
        <w:t>Int. J. Agric. 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17</w:t>
      </w:r>
      <w:r w:rsidRPr="00452776">
        <w:rPr>
          <w:rFonts w:ascii="Arial" w:eastAsia="Calibri" w:hAnsi="Arial" w:cs="Arial"/>
          <w:kern w:val="0"/>
          <w:sz w:val="20"/>
          <w:szCs w:val="20"/>
          <w:lang w:eastAsia="en-IN"/>
        </w:rPr>
        <w:t>: 51–60.</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Ahemad, M. and Kibret, M. 2014. </w:t>
      </w:r>
      <w:r w:rsidRPr="00452776">
        <w:rPr>
          <w:rFonts w:ascii="Arial" w:eastAsia="Times New Roman" w:hAnsi="Arial" w:cs="Arial"/>
          <w:kern w:val="0"/>
          <w:sz w:val="20"/>
          <w:szCs w:val="20"/>
          <w:lang w:val="en-US"/>
        </w:rPr>
        <w:t xml:space="preserve">Mechanisms and applications of plant growth promoting rhizobacteria: current perspective. </w:t>
      </w:r>
      <w:r w:rsidRPr="00452776">
        <w:rPr>
          <w:rFonts w:ascii="Arial" w:eastAsia="Times New Roman" w:hAnsi="Arial" w:cs="Arial"/>
          <w:i/>
          <w:kern w:val="0"/>
          <w:sz w:val="20"/>
          <w:szCs w:val="20"/>
          <w:lang w:val="en-US"/>
        </w:rPr>
        <w:t>J. King. Saud. Univ. Sci</w:t>
      </w:r>
      <w:r w:rsidRPr="00452776">
        <w:rPr>
          <w:rFonts w:ascii="Arial" w:eastAsia="Times New Roman" w:hAnsi="Arial" w:cs="Arial"/>
          <w:kern w:val="0"/>
          <w:sz w:val="20"/>
          <w:szCs w:val="20"/>
          <w:lang w:val="en-US"/>
        </w:rPr>
        <w:t>., 26: 1– 20.</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Allen, L., Benouist, B., Dary, O., and Hurrell, R. 2006</w:t>
      </w:r>
      <w:r w:rsidRPr="00452776">
        <w:rPr>
          <w:rFonts w:ascii="Arial" w:eastAsia="Calibri" w:hAnsi="Arial" w:cs="Arial"/>
          <w:kern w:val="0"/>
          <w:sz w:val="20"/>
          <w:szCs w:val="20"/>
          <w:lang w:eastAsia="en-IN"/>
        </w:rPr>
        <w:t>. Guidelines on food fortification with micronutrients. World Health Organization, Food and Agricultural Organization of the United Nations, Geneva, 376 p.</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Alloway, B. J. 2008.</w:t>
      </w:r>
      <w:r w:rsidRPr="00452776">
        <w:rPr>
          <w:rFonts w:ascii="Arial" w:eastAsia="Times New Roman" w:hAnsi="Arial" w:cs="Arial"/>
          <w:kern w:val="0"/>
          <w:sz w:val="20"/>
          <w:szCs w:val="20"/>
          <w:shd w:val="clear" w:color="auto" w:fill="FFFFFF"/>
          <w:lang w:val="en-US"/>
        </w:rPr>
        <w:t xml:space="preserve"> Zinc in soils and crop nutrition. </w:t>
      </w:r>
      <w:r w:rsidRPr="00452776">
        <w:rPr>
          <w:rFonts w:ascii="Arial" w:hAnsi="Arial" w:cs="Arial"/>
          <w:sz w:val="20"/>
          <w:szCs w:val="20"/>
        </w:rPr>
        <w:t xml:space="preserve">International Zinc Association </w:t>
      </w:r>
      <w:r w:rsidRPr="00452776">
        <w:rPr>
          <w:rFonts w:ascii="Arial" w:eastAsia="Times New Roman" w:hAnsi="Arial" w:cs="Arial"/>
          <w:kern w:val="0"/>
          <w:sz w:val="20"/>
          <w:szCs w:val="20"/>
          <w:shd w:val="clear" w:color="auto" w:fill="FFFFFF"/>
          <w:lang w:val="en-US"/>
        </w:rPr>
        <w:t>and International Fertilizer Industry Association. Brussels, Belgium and Paris, France. 139 p.</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Anand, M. R., Kumar, S., Kommireddy, P. and Murthy, K. N. K. 2019.</w:t>
      </w:r>
      <w:r w:rsidRPr="00452776">
        <w:rPr>
          <w:rFonts w:ascii="Arial" w:eastAsia="Calibri" w:hAnsi="Arial" w:cs="Arial"/>
          <w:kern w:val="0"/>
          <w:sz w:val="20"/>
          <w:szCs w:val="20"/>
          <w:lang w:eastAsia="en-IN"/>
        </w:rPr>
        <w:t xml:space="preserve"> Secondary and micronutrient management practices in organic farming-an overview. </w:t>
      </w:r>
      <w:r w:rsidRPr="00452776">
        <w:rPr>
          <w:rFonts w:ascii="Arial" w:eastAsia="Calibri" w:hAnsi="Arial" w:cs="Arial"/>
          <w:i/>
          <w:iCs/>
          <w:kern w:val="0"/>
          <w:sz w:val="20"/>
          <w:szCs w:val="20"/>
          <w:lang w:eastAsia="en-IN"/>
        </w:rPr>
        <w:t>Curr. Agric. Res. J.</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7</w:t>
      </w:r>
      <w:r w:rsidRPr="00452776">
        <w:rPr>
          <w:rFonts w:ascii="Arial" w:eastAsia="Calibri" w:hAnsi="Arial" w:cs="Arial"/>
          <w:kern w:val="0"/>
          <w:sz w:val="20"/>
          <w:szCs w:val="20"/>
          <w:lang w:eastAsia="en-IN"/>
        </w:rPr>
        <w:t>: 4–18.</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Andersson, M., Saltzman, A., Virk, P. S. and Pfeifer, W. 2017.</w:t>
      </w:r>
      <w:r w:rsidRPr="00452776">
        <w:rPr>
          <w:rFonts w:ascii="Arial" w:eastAsia="Calibri" w:hAnsi="Arial" w:cs="Arial"/>
          <w:kern w:val="0"/>
          <w:sz w:val="20"/>
          <w:szCs w:val="20"/>
          <w:lang w:eastAsia="en-IN"/>
        </w:rPr>
        <w:t xml:space="preserve"> Progress update: Crop development of biofortified staple food crops under Harvestplus. </w:t>
      </w:r>
      <w:r w:rsidRPr="00452776">
        <w:rPr>
          <w:rFonts w:ascii="Arial" w:eastAsia="Calibri" w:hAnsi="Arial" w:cs="Arial"/>
          <w:i/>
          <w:kern w:val="0"/>
          <w:sz w:val="20"/>
          <w:szCs w:val="20"/>
          <w:lang w:eastAsia="en-IN"/>
        </w:rPr>
        <w:t>African J. Food, Agric. Nutr. Dev.</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17</w:t>
      </w:r>
      <w:r w:rsidRPr="00452776">
        <w:rPr>
          <w:rFonts w:ascii="Arial" w:eastAsia="Calibri" w:hAnsi="Arial" w:cs="Arial"/>
          <w:kern w:val="0"/>
          <w:sz w:val="20"/>
          <w:szCs w:val="20"/>
          <w:lang w:eastAsia="en-IN"/>
        </w:rPr>
        <w:t xml:space="preserve">(2): 11905–11935. </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Arshad, M., Saleem, M., and Hussain, S. 2007.</w:t>
      </w:r>
      <w:r w:rsidRPr="00452776">
        <w:rPr>
          <w:rFonts w:ascii="Arial" w:eastAsia="Calibri" w:hAnsi="Arial" w:cs="Arial"/>
          <w:kern w:val="0"/>
          <w:sz w:val="20"/>
          <w:szCs w:val="20"/>
          <w:lang w:eastAsia="en-IN"/>
        </w:rPr>
        <w:t xml:space="preserve"> Perspectives of bacterial ACC deaminase in phytoremediation. </w:t>
      </w:r>
      <w:r w:rsidRPr="00452776">
        <w:rPr>
          <w:rFonts w:ascii="Arial" w:eastAsia="Calibri" w:hAnsi="Arial" w:cs="Arial"/>
          <w:i/>
          <w:kern w:val="0"/>
          <w:sz w:val="20"/>
          <w:szCs w:val="20"/>
          <w:lang w:eastAsia="en-IN"/>
        </w:rPr>
        <w:t>Trends Biotechnol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25</w:t>
      </w:r>
      <w:r w:rsidRPr="00452776">
        <w:rPr>
          <w:rFonts w:ascii="Arial" w:eastAsia="Calibri" w:hAnsi="Arial" w:cs="Arial"/>
          <w:kern w:val="0"/>
          <w:sz w:val="20"/>
          <w:szCs w:val="20"/>
          <w:lang w:eastAsia="en-IN"/>
        </w:rPr>
        <w:t xml:space="preserve">(8): 356–362. </w:t>
      </w:r>
      <w:hyperlink r:id="rId11" w:history="1">
        <w:r w:rsidRPr="00452776">
          <w:rPr>
            <w:rFonts w:ascii="Arial" w:eastAsia="Calibri" w:hAnsi="Arial" w:cs="Arial"/>
            <w:kern w:val="0"/>
            <w:sz w:val="20"/>
            <w:szCs w:val="20"/>
            <w:lang w:eastAsia="en-IN"/>
          </w:rPr>
          <w:t>https://doi.org/10.1016/j.tibtech.2007.05.005</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Asea, P. E. A., Kucey, R. M. N. and Stewart, J. W. B. 1988.</w:t>
      </w:r>
      <w:r w:rsidRPr="00452776">
        <w:rPr>
          <w:rFonts w:ascii="Arial" w:eastAsia="Calibri" w:hAnsi="Arial" w:cs="Arial"/>
          <w:kern w:val="0"/>
          <w:sz w:val="20"/>
          <w:szCs w:val="20"/>
          <w:lang w:eastAsia="en-IN"/>
        </w:rPr>
        <w:t xml:space="preserve"> Inorganic phosphate solubilization by two </w:t>
      </w:r>
      <w:r w:rsidRPr="00452776">
        <w:rPr>
          <w:rFonts w:ascii="Arial" w:eastAsia="Calibri" w:hAnsi="Arial" w:cs="Arial"/>
          <w:i/>
          <w:kern w:val="0"/>
          <w:sz w:val="20"/>
          <w:szCs w:val="20"/>
          <w:lang w:eastAsia="en-IN"/>
        </w:rPr>
        <w:t>Penicillium</w:t>
      </w:r>
      <w:r w:rsidRPr="00452776">
        <w:rPr>
          <w:rFonts w:ascii="Arial" w:eastAsia="Calibri" w:hAnsi="Arial" w:cs="Arial"/>
          <w:kern w:val="0"/>
          <w:sz w:val="20"/>
          <w:szCs w:val="20"/>
          <w:lang w:eastAsia="en-IN"/>
        </w:rPr>
        <w:t xml:space="preserve"> species in solution culture and soil. </w:t>
      </w:r>
      <w:r w:rsidRPr="00452776">
        <w:rPr>
          <w:rFonts w:ascii="Arial" w:eastAsia="Calibri" w:hAnsi="Arial" w:cs="Arial"/>
          <w:i/>
          <w:kern w:val="0"/>
          <w:sz w:val="20"/>
          <w:szCs w:val="20"/>
          <w:lang w:eastAsia="en-IN"/>
        </w:rPr>
        <w:t>Soil Biol. Biochem.</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20</w:t>
      </w:r>
      <w:r w:rsidRPr="00452776">
        <w:rPr>
          <w:rFonts w:ascii="Arial" w:eastAsia="Calibri" w:hAnsi="Arial" w:cs="Arial"/>
          <w:kern w:val="0"/>
          <w:sz w:val="20"/>
          <w:szCs w:val="20"/>
          <w:lang w:eastAsia="en-IN"/>
        </w:rPr>
        <w:t xml:space="preserve">(4): 459–464. </w:t>
      </w:r>
      <w:hyperlink r:id="rId12" w:history="1">
        <w:r w:rsidRPr="00452776">
          <w:rPr>
            <w:rFonts w:ascii="Arial" w:eastAsia="Calibri" w:hAnsi="Arial" w:cs="Arial"/>
            <w:kern w:val="0"/>
            <w:sz w:val="20"/>
            <w:szCs w:val="20"/>
            <w:lang w:eastAsia="en-IN"/>
          </w:rPr>
          <w:t>https://doi.org/10.1016/0038-0717(88)90058-2</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lastRenderedPageBreak/>
        <w:t xml:space="preserve">Baard, V., Bakare, O. O., Daniel, A. I., Nkomo, M., Gokul, A., Keyster, M. and Klein, A. 2023. </w:t>
      </w:r>
      <w:r w:rsidRPr="00452776">
        <w:rPr>
          <w:rFonts w:ascii="Arial" w:eastAsia="Times New Roman" w:hAnsi="Arial" w:cs="Arial"/>
          <w:kern w:val="0"/>
          <w:sz w:val="20"/>
          <w:szCs w:val="20"/>
          <w:lang w:val="en-US"/>
        </w:rPr>
        <w:t xml:space="preserve">Biocontrol potential of </w:t>
      </w:r>
      <w:r w:rsidRPr="00452776">
        <w:rPr>
          <w:rFonts w:ascii="Arial" w:eastAsia="Times New Roman" w:hAnsi="Arial" w:cs="Arial"/>
          <w:i/>
          <w:kern w:val="0"/>
          <w:sz w:val="20"/>
          <w:szCs w:val="20"/>
          <w:lang w:val="en-US"/>
        </w:rPr>
        <w:t xml:space="preserve">Bacillus subtilis </w:t>
      </w:r>
      <w:r w:rsidRPr="00452776">
        <w:rPr>
          <w:rFonts w:ascii="Arial" w:eastAsia="Times New Roman" w:hAnsi="Arial" w:cs="Arial"/>
          <w:kern w:val="0"/>
          <w:sz w:val="20"/>
          <w:szCs w:val="20"/>
          <w:lang w:val="en-US"/>
        </w:rPr>
        <w:t xml:space="preserve">and </w:t>
      </w:r>
      <w:r w:rsidRPr="00452776">
        <w:rPr>
          <w:rFonts w:ascii="Arial" w:eastAsia="Times New Roman" w:hAnsi="Arial" w:cs="Arial"/>
          <w:i/>
          <w:kern w:val="0"/>
          <w:sz w:val="20"/>
          <w:szCs w:val="20"/>
          <w:lang w:val="en-US"/>
        </w:rPr>
        <w:t>Bacillus tequilensis</w:t>
      </w:r>
      <w:r w:rsidRPr="00452776">
        <w:rPr>
          <w:rFonts w:ascii="Arial" w:eastAsia="Times New Roman" w:hAnsi="Arial" w:cs="Arial"/>
          <w:kern w:val="0"/>
          <w:sz w:val="20"/>
          <w:szCs w:val="20"/>
          <w:lang w:val="en-US"/>
        </w:rPr>
        <w:t xml:space="preserve">against four </w:t>
      </w:r>
      <w:r w:rsidRPr="00452776">
        <w:rPr>
          <w:rFonts w:ascii="Arial" w:eastAsia="Times New Roman" w:hAnsi="Arial" w:cs="Arial"/>
          <w:i/>
          <w:iCs/>
          <w:kern w:val="0"/>
          <w:sz w:val="20"/>
          <w:szCs w:val="20"/>
          <w:lang w:val="en-US"/>
        </w:rPr>
        <w:t xml:space="preserve">Fusarium </w:t>
      </w:r>
      <w:r w:rsidRPr="00452776">
        <w:rPr>
          <w:rFonts w:ascii="Arial" w:eastAsia="Times New Roman" w:hAnsi="Arial" w:cs="Arial"/>
          <w:kern w:val="0"/>
          <w:sz w:val="20"/>
          <w:szCs w:val="20"/>
          <w:lang w:val="en-US"/>
        </w:rPr>
        <w:t xml:space="preserve">species. </w:t>
      </w:r>
      <w:r w:rsidRPr="00452776">
        <w:rPr>
          <w:rFonts w:ascii="Arial" w:eastAsia="Times New Roman" w:hAnsi="Arial" w:cs="Arial"/>
          <w:i/>
          <w:kern w:val="0"/>
          <w:sz w:val="20"/>
          <w:szCs w:val="20"/>
          <w:lang w:val="en-US"/>
        </w:rPr>
        <w:t>Pathogens</w:t>
      </w:r>
      <w:r w:rsidRPr="00452776">
        <w:rPr>
          <w:rFonts w:ascii="Arial" w:eastAsia="Times New Roman" w:hAnsi="Arial" w:cs="Arial"/>
          <w:kern w:val="0"/>
          <w:sz w:val="20"/>
          <w:szCs w:val="20"/>
          <w:lang w:val="en-US"/>
        </w:rPr>
        <w:t xml:space="preserve">, </w:t>
      </w:r>
      <w:r w:rsidRPr="00452776">
        <w:rPr>
          <w:rFonts w:ascii="Arial" w:eastAsia="Times New Roman" w:hAnsi="Arial" w:cs="Arial"/>
          <w:iCs/>
          <w:kern w:val="0"/>
          <w:sz w:val="20"/>
          <w:szCs w:val="20"/>
          <w:lang w:val="en-US"/>
        </w:rPr>
        <w:t>12(2):</w:t>
      </w:r>
      <w:r w:rsidRPr="00452776">
        <w:rPr>
          <w:rFonts w:ascii="Arial" w:eastAsia="Times New Roman" w:hAnsi="Arial" w:cs="Arial"/>
          <w:kern w:val="0"/>
          <w:sz w:val="20"/>
          <w:szCs w:val="20"/>
          <w:lang w:val="en-US"/>
        </w:rPr>
        <w:t xml:space="preserve"> 254</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Bahmani, K., Hasanzadeh, N., Harighi, B. and Marefat, A. 2021</w:t>
      </w:r>
      <w:r w:rsidRPr="00452776">
        <w:rPr>
          <w:rFonts w:ascii="Arial" w:eastAsia="Times New Roman" w:hAnsi="Arial" w:cs="Arial"/>
          <w:kern w:val="0"/>
          <w:sz w:val="20"/>
          <w:szCs w:val="20"/>
          <w:lang w:val="en-US"/>
        </w:rPr>
        <w:t xml:space="preserve">. Isolation and identification of endophytic bacteria from potato tissues and their effects as biological control agents against bacterial wilt. </w:t>
      </w:r>
      <w:r w:rsidRPr="00452776">
        <w:rPr>
          <w:rFonts w:ascii="Arial" w:eastAsia="Times New Roman" w:hAnsi="Arial" w:cs="Arial"/>
          <w:i/>
          <w:kern w:val="0"/>
          <w:sz w:val="20"/>
          <w:szCs w:val="20"/>
          <w:lang w:val="en-US"/>
        </w:rPr>
        <w:t>Physiol. Mol. Plant Pathol.</w:t>
      </w:r>
      <w:r w:rsidRPr="00452776">
        <w:rPr>
          <w:rFonts w:ascii="Arial" w:eastAsia="Times New Roman" w:hAnsi="Arial" w:cs="Arial"/>
          <w:kern w:val="0"/>
          <w:sz w:val="20"/>
          <w:szCs w:val="20"/>
          <w:lang w:val="en-US"/>
        </w:rPr>
        <w:t xml:space="preserve">, </w:t>
      </w:r>
      <w:r w:rsidRPr="00452776">
        <w:rPr>
          <w:rFonts w:ascii="Arial" w:eastAsia="Times New Roman" w:hAnsi="Arial" w:cs="Arial"/>
          <w:iCs/>
          <w:kern w:val="0"/>
          <w:sz w:val="20"/>
          <w:szCs w:val="20"/>
          <w:lang w:val="en-US"/>
        </w:rPr>
        <w:t>116:</w:t>
      </w:r>
      <w:r w:rsidRPr="00452776">
        <w:rPr>
          <w:rFonts w:ascii="Arial" w:eastAsia="Times New Roman" w:hAnsi="Arial" w:cs="Arial"/>
          <w:kern w:val="0"/>
          <w:sz w:val="20"/>
          <w:szCs w:val="20"/>
          <w:lang w:val="en-US"/>
        </w:rPr>
        <w:t xml:space="preserve"> 101692.</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Bailey, R. L.</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West, K. P.and Black, R. E.2015</w:t>
      </w:r>
      <w:r w:rsidRPr="00452776">
        <w:rPr>
          <w:rFonts w:ascii="Arial" w:eastAsia="Calibri" w:hAnsi="Arial" w:cs="Arial"/>
          <w:kern w:val="0"/>
          <w:sz w:val="20"/>
          <w:szCs w:val="20"/>
          <w:lang w:eastAsia="en-IN"/>
        </w:rPr>
        <w:t xml:space="preserve">. The epidemiology of global micronutrient deficiencies. </w:t>
      </w:r>
      <w:r w:rsidRPr="00452776">
        <w:rPr>
          <w:rFonts w:ascii="Arial" w:eastAsia="Calibri" w:hAnsi="Arial" w:cs="Arial"/>
          <w:i/>
          <w:kern w:val="0"/>
          <w:sz w:val="20"/>
          <w:szCs w:val="20"/>
          <w:lang w:eastAsia="en-IN"/>
        </w:rPr>
        <w:t>Ann. Nutr. Metab.</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 xml:space="preserve">66 </w:t>
      </w:r>
      <w:r w:rsidRPr="00452776">
        <w:rPr>
          <w:rFonts w:ascii="Arial" w:eastAsia="Calibri" w:hAnsi="Arial" w:cs="Arial"/>
          <w:kern w:val="0"/>
          <w:sz w:val="20"/>
          <w:szCs w:val="20"/>
          <w:lang w:eastAsia="en-IN"/>
        </w:rPr>
        <w:t xml:space="preserve">(2): 22–33. </w:t>
      </w:r>
      <w:hyperlink r:id="rId13" w:history="1">
        <w:r w:rsidRPr="00452776">
          <w:rPr>
            <w:rFonts w:ascii="Arial" w:eastAsia="Calibri" w:hAnsi="Arial" w:cs="Arial"/>
            <w:kern w:val="0"/>
            <w:sz w:val="20"/>
            <w:szCs w:val="20"/>
            <w:lang w:eastAsia="en-IN"/>
          </w:rPr>
          <w:t>https://doi.org/10.1159/000371618</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Barker, A. V. and Pilbeam, D. J.2015</w:t>
      </w:r>
      <w:r w:rsidRPr="00452776">
        <w:rPr>
          <w:rFonts w:ascii="Arial" w:eastAsia="Calibri" w:hAnsi="Arial" w:cs="Arial"/>
          <w:kern w:val="0"/>
          <w:sz w:val="20"/>
          <w:szCs w:val="20"/>
          <w:lang w:eastAsia="en-IN"/>
        </w:rPr>
        <w:t>. </w:t>
      </w:r>
      <w:r w:rsidRPr="00452776">
        <w:rPr>
          <w:rFonts w:ascii="Arial" w:eastAsia="Calibri" w:hAnsi="Arial" w:cs="Arial"/>
          <w:iCs/>
          <w:kern w:val="0"/>
          <w:sz w:val="20"/>
          <w:szCs w:val="20"/>
          <w:lang w:eastAsia="en-IN"/>
        </w:rPr>
        <w:t>Handbook of plant nutrition</w:t>
      </w:r>
      <w:r w:rsidRPr="00452776">
        <w:rPr>
          <w:rFonts w:ascii="Arial" w:eastAsia="Calibri" w:hAnsi="Arial" w:cs="Arial"/>
          <w:kern w:val="0"/>
          <w:sz w:val="20"/>
          <w:szCs w:val="20"/>
          <w:lang w:eastAsia="en-IN"/>
        </w:rPr>
        <w:t>. CRC Press, New York. p 101.</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hAnsi="Arial" w:cs="Arial"/>
          <w:b/>
          <w:sz w:val="20"/>
          <w:szCs w:val="20"/>
          <w:shd w:val="clear" w:color="auto" w:fill="FFFFFF"/>
        </w:rPr>
        <w:t>Bashir, S., Basit, A., Abbas, R. N., Naeem, S., Bashir, S., Ahmed, N., and Li, Y. (2021).</w:t>
      </w:r>
      <w:r w:rsidRPr="00452776">
        <w:rPr>
          <w:rFonts w:ascii="Arial" w:hAnsi="Arial" w:cs="Arial"/>
          <w:sz w:val="20"/>
          <w:szCs w:val="20"/>
          <w:shd w:val="clear" w:color="auto" w:fill="FFFFFF"/>
        </w:rPr>
        <w:t xml:space="preserve"> Combined application of zinc-lysine chelate and zinc-solubilizing bacteria improves yield and grain biofortification of maize (</w:t>
      </w:r>
      <w:r w:rsidRPr="00452776">
        <w:rPr>
          <w:rFonts w:ascii="Arial" w:hAnsi="Arial" w:cs="Arial"/>
          <w:i/>
          <w:iCs/>
          <w:sz w:val="20"/>
          <w:szCs w:val="20"/>
          <w:shd w:val="clear" w:color="auto" w:fill="FFFFFF"/>
        </w:rPr>
        <w:t>Zea mays</w:t>
      </w:r>
      <w:r w:rsidRPr="00452776">
        <w:rPr>
          <w:rFonts w:ascii="Arial" w:hAnsi="Arial" w:cs="Arial"/>
          <w:sz w:val="20"/>
          <w:szCs w:val="20"/>
          <w:shd w:val="clear" w:color="auto" w:fill="FFFFFF"/>
        </w:rPr>
        <w:t xml:space="preserve"> L.). </w:t>
      </w:r>
      <w:r w:rsidRPr="00452776">
        <w:rPr>
          <w:rFonts w:ascii="Arial" w:hAnsi="Arial" w:cs="Arial"/>
          <w:i/>
          <w:iCs/>
          <w:sz w:val="20"/>
          <w:szCs w:val="20"/>
          <w:shd w:val="clear" w:color="auto" w:fill="FFFFFF"/>
        </w:rPr>
        <w:t>PLoS One</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16</w:t>
      </w:r>
      <w:r w:rsidRPr="00452776">
        <w:rPr>
          <w:rFonts w:ascii="Arial" w:hAnsi="Arial" w:cs="Arial"/>
          <w:sz w:val="20"/>
          <w:szCs w:val="20"/>
          <w:shd w:val="clear" w:color="auto" w:fill="FFFFFF"/>
        </w:rPr>
        <w:t>(7), e0254647.</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Bhatt, K. and Maheshwari, D.K. 2020. </w:t>
      </w:r>
      <w:r w:rsidRPr="00452776">
        <w:rPr>
          <w:rFonts w:ascii="Arial" w:eastAsia="Times New Roman" w:hAnsi="Arial" w:cs="Arial"/>
          <w:kern w:val="0"/>
          <w:sz w:val="20"/>
          <w:szCs w:val="20"/>
          <w:lang w:val="en-US"/>
        </w:rPr>
        <w:t>Zinc solubilizing bacteria (</w:t>
      </w:r>
      <w:r w:rsidRPr="00452776">
        <w:rPr>
          <w:rFonts w:ascii="Arial" w:eastAsia="Times New Roman" w:hAnsi="Arial" w:cs="Arial"/>
          <w:i/>
          <w:kern w:val="0"/>
          <w:sz w:val="20"/>
          <w:szCs w:val="20"/>
          <w:lang w:val="en-US"/>
        </w:rPr>
        <w:t>Bacillus megaterium</w:t>
      </w:r>
      <w:r w:rsidRPr="00452776">
        <w:rPr>
          <w:rFonts w:ascii="Arial" w:eastAsia="Times New Roman" w:hAnsi="Arial" w:cs="Arial"/>
          <w:kern w:val="0"/>
          <w:sz w:val="20"/>
          <w:szCs w:val="20"/>
          <w:lang w:val="en-US"/>
        </w:rPr>
        <w:t xml:space="preserve">) with multifarious plant growth promoting activities alleviates growth in </w:t>
      </w:r>
      <w:r w:rsidRPr="00452776">
        <w:rPr>
          <w:rFonts w:ascii="Arial" w:eastAsia="Times New Roman" w:hAnsi="Arial" w:cs="Arial"/>
          <w:i/>
          <w:kern w:val="0"/>
          <w:sz w:val="20"/>
          <w:szCs w:val="20"/>
          <w:lang w:val="en-US"/>
        </w:rPr>
        <w:t xml:space="preserve">Capsicum annuum </w:t>
      </w:r>
      <w:r w:rsidRPr="00452776">
        <w:rPr>
          <w:rFonts w:ascii="Arial" w:eastAsia="Times New Roman" w:hAnsi="Arial" w:cs="Arial"/>
          <w:kern w:val="0"/>
          <w:sz w:val="20"/>
          <w:szCs w:val="20"/>
          <w:lang w:val="en-US"/>
        </w:rPr>
        <w:t xml:space="preserve">L. </w:t>
      </w:r>
      <w:r w:rsidRPr="00452776">
        <w:rPr>
          <w:rFonts w:ascii="Arial" w:eastAsia="Times New Roman" w:hAnsi="Arial" w:cs="Arial"/>
          <w:i/>
          <w:iCs/>
          <w:kern w:val="0"/>
          <w:sz w:val="20"/>
          <w:szCs w:val="20"/>
          <w:lang w:val="en-US"/>
        </w:rPr>
        <w:t xml:space="preserve">3 </w:t>
      </w:r>
      <w:r w:rsidRPr="00452776">
        <w:rPr>
          <w:rFonts w:ascii="Arial" w:eastAsia="Times New Roman" w:hAnsi="Arial" w:cs="Arial"/>
          <w:i/>
          <w:kern w:val="0"/>
          <w:sz w:val="20"/>
          <w:szCs w:val="20"/>
          <w:lang w:val="en-US"/>
        </w:rPr>
        <w:t>Biotech</w:t>
      </w:r>
      <w:r w:rsidRPr="00452776">
        <w:rPr>
          <w:rFonts w:ascii="Arial" w:eastAsia="Times New Roman" w:hAnsi="Arial" w:cs="Arial"/>
          <w:kern w:val="0"/>
          <w:sz w:val="20"/>
          <w:szCs w:val="20"/>
          <w:lang w:val="en-US"/>
        </w:rPr>
        <w:t>., 10:36.</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Bouis, H. E. and Saltzman, A. 2017</w:t>
      </w:r>
      <w:r w:rsidRPr="00452776">
        <w:rPr>
          <w:rFonts w:ascii="Arial" w:eastAsia="Calibri" w:hAnsi="Arial" w:cs="Arial"/>
          <w:kern w:val="0"/>
          <w:sz w:val="20"/>
          <w:szCs w:val="20"/>
          <w:lang w:eastAsia="en-IN"/>
        </w:rPr>
        <w:t xml:space="preserve">. Improving nutrition through biofortification: A review. </w:t>
      </w:r>
      <w:r w:rsidRPr="00452776">
        <w:rPr>
          <w:rFonts w:ascii="Arial" w:eastAsia="Calibri" w:hAnsi="Arial" w:cs="Arial"/>
          <w:i/>
          <w:kern w:val="0"/>
          <w:sz w:val="20"/>
          <w:szCs w:val="20"/>
          <w:lang w:eastAsia="en-IN"/>
        </w:rPr>
        <w:t>Glob. Food Sec.</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12</w:t>
      </w:r>
      <w:r w:rsidRPr="00452776">
        <w:rPr>
          <w:rFonts w:ascii="Arial" w:eastAsia="Calibri" w:hAnsi="Arial" w:cs="Arial"/>
          <w:kern w:val="0"/>
          <w:sz w:val="20"/>
          <w:szCs w:val="20"/>
          <w:lang w:eastAsia="en-IN"/>
        </w:rPr>
        <w:t xml:space="preserve">: 49–58. </w:t>
      </w:r>
      <w:hyperlink r:id="rId14" w:history="1">
        <w:r w:rsidRPr="00452776">
          <w:rPr>
            <w:rFonts w:ascii="Arial" w:eastAsia="Calibri" w:hAnsi="Arial" w:cs="Arial"/>
            <w:kern w:val="0"/>
            <w:sz w:val="20"/>
            <w:szCs w:val="20"/>
            <w:lang w:eastAsia="en-IN"/>
          </w:rPr>
          <w:t>https://doi.org/10.1016/j.gfs.2017.01.009</w:t>
        </w:r>
      </w:hyperlink>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lang w:val="en-US"/>
        </w:rPr>
        <w:t>Briat, J.-F., Dubos, C. and Gaymard, F. 2015.</w:t>
      </w:r>
      <w:r w:rsidRPr="00452776">
        <w:rPr>
          <w:rFonts w:ascii="Arial" w:eastAsia="Times New Roman" w:hAnsi="Arial" w:cs="Arial"/>
          <w:kern w:val="0"/>
          <w:sz w:val="20"/>
          <w:szCs w:val="20"/>
          <w:lang w:val="en-US"/>
        </w:rPr>
        <w:t xml:space="preserve"> Iron nutrition, biomass production, and plant product quality. </w:t>
      </w:r>
      <w:r w:rsidRPr="00452776">
        <w:rPr>
          <w:rFonts w:ascii="Arial" w:eastAsia="Times New Roman" w:hAnsi="Arial" w:cs="Arial"/>
          <w:i/>
          <w:kern w:val="0"/>
          <w:sz w:val="20"/>
          <w:szCs w:val="20"/>
          <w:lang w:val="en-US"/>
        </w:rPr>
        <w:t>Trends Plant. Sci</w:t>
      </w:r>
      <w:r w:rsidRPr="00452776">
        <w:rPr>
          <w:rFonts w:ascii="Arial" w:eastAsia="Times New Roman" w:hAnsi="Arial" w:cs="Arial"/>
          <w:iCs/>
          <w:kern w:val="0"/>
          <w:sz w:val="20"/>
          <w:szCs w:val="20"/>
          <w:lang w:val="en-US"/>
        </w:rPr>
        <w:t>.,</w:t>
      </w:r>
      <w:r w:rsidRPr="00452776">
        <w:rPr>
          <w:rFonts w:ascii="Arial" w:eastAsia="Times New Roman" w:hAnsi="Arial" w:cs="Arial"/>
          <w:bCs/>
          <w:kern w:val="0"/>
          <w:sz w:val="20"/>
          <w:szCs w:val="20"/>
          <w:lang w:val="en-US"/>
        </w:rPr>
        <w:t>20:</w:t>
      </w:r>
      <w:r w:rsidRPr="00452776">
        <w:rPr>
          <w:rFonts w:ascii="Arial" w:eastAsia="Times New Roman" w:hAnsi="Arial" w:cs="Arial"/>
          <w:kern w:val="0"/>
          <w:sz w:val="20"/>
          <w:szCs w:val="20"/>
          <w:lang w:val="en-US"/>
        </w:rPr>
        <w:t xml:space="preserve"> 33–40. </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Brinch-Pedersen, H., Borg, S., Tauris, B. and Holm, P. B. 2007</w:t>
      </w:r>
      <w:r w:rsidRPr="00452776">
        <w:rPr>
          <w:rFonts w:ascii="Arial" w:eastAsia="Calibri" w:hAnsi="Arial" w:cs="Arial"/>
          <w:kern w:val="0"/>
          <w:sz w:val="20"/>
          <w:szCs w:val="20"/>
          <w:lang w:eastAsia="en-IN"/>
        </w:rPr>
        <w:t xml:space="preserve">. Molecular genetic approaches to increasing mineral availability and vitamin content of cereals. </w:t>
      </w:r>
      <w:r w:rsidRPr="00452776">
        <w:rPr>
          <w:rFonts w:ascii="Arial" w:eastAsia="Calibri" w:hAnsi="Arial" w:cs="Arial"/>
          <w:i/>
          <w:kern w:val="0"/>
          <w:sz w:val="20"/>
          <w:szCs w:val="20"/>
          <w:lang w:eastAsia="en-IN"/>
        </w:rPr>
        <w:t>J. Cereal Sci.</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46</w:t>
      </w:r>
      <w:r w:rsidRPr="00452776">
        <w:rPr>
          <w:rFonts w:ascii="Arial" w:eastAsia="Calibri" w:hAnsi="Arial" w:cs="Arial"/>
          <w:kern w:val="0"/>
          <w:sz w:val="20"/>
          <w:szCs w:val="20"/>
          <w:lang w:eastAsia="en-IN"/>
        </w:rPr>
        <w:t xml:space="preserve">(3): 308–326. </w:t>
      </w:r>
      <w:hyperlink r:id="rId15" w:history="1">
        <w:r w:rsidRPr="00452776">
          <w:rPr>
            <w:rFonts w:ascii="Arial" w:eastAsia="Calibri" w:hAnsi="Arial" w:cs="Arial"/>
            <w:kern w:val="0"/>
            <w:sz w:val="20"/>
            <w:szCs w:val="20"/>
            <w:lang w:eastAsia="en-IN"/>
          </w:rPr>
          <w:t>https://doi.org/10.1016/j.jcs.2007.02.004</w:t>
        </w:r>
      </w:hyperlink>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Broadley, M. R.</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White, P. J.</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Hammond, J. P.</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Zelko, I.and Lux, A.2007</w:t>
      </w:r>
      <w:r w:rsidRPr="00452776">
        <w:rPr>
          <w:rFonts w:ascii="Arial" w:eastAsia="Calibri" w:hAnsi="Arial" w:cs="Arial"/>
          <w:kern w:val="0"/>
          <w:sz w:val="20"/>
          <w:szCs w:val="20"/>
          <w:lang w:eastAsia="en-IN"/>
        </w:rPr>
        <w:t xml:space="preserve">. Zinc in plants. </w:t>
      </w:r>
      <w:r w:rsidRPr="00452776">
        <w:rPr>
          <w:rFonts w:ascii="Arial" w:eastAsia="Calibri" w:hAnsi="Arial" w:cs="Arial"/>
          <w:i/>
          <w:kern w:val="0"/>
          <w:sz w:val="20"/>
          <w:szCs w:val="20"/>
          <w:lang w:eastAsia="en-IN"/>
        </w:rPr>
        <w:t>New Phytol.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173</w:t>
      </w:r>
      <w:r w:rsidRPr="00452776">
        <w:rPr>
          <w:rFonts w:ascii="Arial" w:eastAsia="Calibri" w:hAnsi="Arial" w:cs="Arial"/>
          <w:kern w:val="0"/>
          <w:sz w:val="20"/>
          <w:szCs w:val="20"/>
          <w:lang w:eastAsia="en-IN"/>
        </w:rPr>
        <w:t xml:space="preserve">(4): 677–702. </w:t>
      </w:r>
      <w:hyperlink r:id="rId16" w:history="1">
        <w:r w:rsidRPr="00452776">
          <w:rPr>
            <w:rFonts w:ascii="Arial" w:eastAsia="Calibri" w:hAnsi="Arial" w:cs="Arial"/>
            <w:kern w:val="0"/>
            <w:sz w:val="20"/>
            <w:szCs w:val="20"/>
            <w:lang w:eastAsia="en-IN"/>
          </w:rPr>
          <w:t>https://doi.org/10.1111/j.1469-8137.2007.01996.x</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Chandra, A. K., Kumar, A., Bharati, A., Joshi, R., Agrawal, A. and Kumar, S. 2020.</w:t>
      </w:r>
      <w:r w:rsidRPr="00452776">
        <w:rPr>
          <w:rFonts w:ascii="Arial" w:eastAsia="Calibri" w:hAnsi="Arial" w:cs="Arial"/>
          <w:kern w:val="0"/>
          <w:sz w:val="20"/>
          <w:szCs w:val="20"/>
          <w:lang w:eastAsia="en-IN"/>
        </w:rPr>
        <w:t xml:space="preserve"> Microbial-assisted and genomic-assisted breeding: A two way approach for the improvement of nutritional quality traits in agricultural crops. </w:t>
      </w:r>
      <w:r w:rsidRPr="00452776">
        <w:rPr>
          <w:rFonts w:ascii="Arial" w:eastAsia="Calibri" w:hAnsi="Arial" w:cs="Arial"/>
          <w:i/>
          <w:kern w:val="0"/>
          <w:sz w:val="20"/>
          <w:szCs w:val="20"/>
          <w:lang w:eastAsia="en-IN"/>
        </w:rPr>
        <w:t>3 Biotech</w:t>
      </w:r>
      <w:r w:rsidRPr="00452776">
        <w:rPr>
          <w:rFonts w:ascii="Arial" w:eastAsia="Calibri" w:hAnsi="Arial" w:cs="Arial"/>
          <w:kern w:val="0"/>
          <w:sz w:val="20"/>
          <w:szCs w:val="20"/>
          <w:lang w:eastAsia="en-IN"/>
        </w:rPr>
        <w:t>, </w:t>
      </w:r>
      <w:r w:rsidRPr="00452776">
        <w:rPr>
          <w:rFonts w:ascii="Arial" w:eastAsia="Calibri" w:hAnsi="Arial" w:cs="Arial"/>
          <w:iCs/>
          <w:kern w:val="0"/>
          <w:sz w:val="20"/>
          <w:szCs w:val="20"/>
          <w:lang w:eastAsia="en-IN"/>
        </w:rPr>
        <w:t>10</w:t>
      </w:r>
      <w:r w:rsidRPr="00452776">
        <w:rPr>
          <w:rFonts w:ascii="Arial" w:eastAsia="Calibri" w:hAnsi="Arial" w:cs="Arial"/>
          <w:kern w:val="0"/>
          <w:sz w:val="20"/>
          <w:szCs w:val="20"/>
          <w:lang w:eastAsia="en-IN"/>
        </w:rPr>
        <w:t xml:space="preserve">(1): 2. </w:t>
      </w:r>
      <w:hyperlink r:id="rId17" w:history="1">
        <w:r w:rsidRPr="00452776">
          <w:rPr>
            <w:rFonts w:ascii="Arial" w:eastAsia="Calibri" w:hAnsi="Arial" w:cs="Arial"/>
            <w:kern w:val="0"/>
            <w:sz w:val="20"/>
            <w:szCs w:val="20"/>
            <w:lang w:eastAsia="en-IN"/>
          </w:rPr>
          <w:t>https://doi.org/10.1007/s13205-019-1994-z</w:t>
        </w:r>
      </w:hyperlink>
    </w:p>
    <w:p w:rsidR="00452776" w:rsidRPr="00452776" w:rsidRDefault="00452776" w:rsidP="00452776">
      <w:pPr>
        <w:widowControl w:val="0"/>
        <w:autoSpaceDE w:val="0"/>
        <w:autoSpaceDN w:val="0"/>
        <w:adjustRightInd w:val="0"/>
        <w:spacing w:before="280" w:after="120" w:line="324" w:lineRule="auto"/>
        <w:ind w:left="720" w:hanging="720"/>
        <w:jc w:val="both"/>
        <w:rPr>
          <w:rFonts w:ascii="Arial" w:hAnsi="Arial" w:cs="Arial"/>
          <w:sz w:val="20"/>
          <w:szCs w:val="20"/>
          <w:shd w:val="clear" w:color="auto" w:fill="FFFFFF"/>
        </w:rPr>
      </w:pPr>
      <w:r w:rsidRPr="00452776">
        <w:rPr>
          <w:rFonts w:ascii="Arial" w:hAnsi="Arial" w:cs="Arial"/>
          <w:b/>
          <w:bCs/>
          <w:sz w:val="20"/>
          <w:szCs w:val="20"/>
          <w:shd w:val="clear" w:color="auto" w:fill="FFFFFF"/>
        </w:rPr>
        <w:t xml:space="preserve">Chaudhary, R., Kumar, V., Gupta, S., Naik, B., Prasad, R., Mishra, S. and Kumar, V. 2023. </w:t>
      </w:r>
      <w:r w:rsidRPr="00452776">
        <w:rPr>
          <w:rFonts w:ascii="Arial" w:hAnsi="Arial" w:cs="Arial"/>
          <w:sz w:val="20"/>
          <w:szCs w:val="20"/>
          <w:shd w:val="clear" w:color="auto" w:fill="FFFFFF"/>
        </w:rPr>
        <w:t>Finger Millet (</w:t>
      </w:r>
      <w:r w:rsidRPr="00452776">
        <w:rPr>
          <w:rFonts w:ascii="Arial" w:hAnsi="Arial" w:cs="Arial"/>
          <w:i/>
          <w:iCs/>
          <w:sz w:val="20"/>
          <w:szCs w:val="20"/>
          <w:shd w:val="clear" w:color="auto" w:fill="FFFFFF"/>
        </w:rPr>
        <w:t>Eleusine coracana</w:t>
      </w:r>
      <w:r w:rsidRPr="00452776">
        <w:rPr>
          <w:rFonts w:ascii="Arial" w:hAnsi="Arial" w:cs="Arial"/>
          <w:sz w:val="20"/>
          <w:szCs w:val="20"/>
          <w:shd w:val="clear" w:color="auto" w:fill="FFFFFF"/>
        </w:rPr>
        <w:t>) Plant–Endophyte Dynamics: Plant Growth, Nutrient Uptake, and Zinc Biofortification. </w:t>
      </w:r>
      <w:r w:rsidRPr="00452776">
        <w:rPr>
          <w:rFonts w:ascii="Arial" w:hAnsi="Arial" w:cs="Arial"/>
          <w:i/>
          <w:iCs/>
          <w:sz w:val="20"/>
          <w:szCs w:val="20"/>
          <w:shd w:val="clear" w:color="auto" w:fill="FFFFFF"/>
        </w:rPr>
        <w:t>Microorganisms</w:t>
      </w:r>
      <w:r w:rsidRPr="00452776">
        <w:rPr>
          <w:rFonts w:ascii="Arial" w:hAnsi="Arial" w:cs="Arial"/>
          <w:sz w:val="20"/>
          <w:szCs w:val="20"/>
          <w:shd w:val="clear" w:color="auto" w:fill="FFFFFF"/>
        </w:rPr>
        <w:t>, 11(4): 973.</w:t>
      </w:r>
    </w:p>
    <w:p w:rsidR="00452776" w:rsidRPr="00452776" w:rsidRDefault="00452776" w:rsidP="00452776">
      <w:pPr>
        <w:widowControl w:val="0"/>
        <w:spacing w:before="280" w:after="120" w:line="324" w:lineRule="auto"/>
        <w:ind w:left="720" w:hanging="720"/>
        <w:jc w:val="both"/>
        <w:rPr>
          <w:rFonts w:ascii="Arial" w:hAnsi="Arial" w:cs="Arial"/>
          <w:sz w:val="20"/>
          <w:szCs w:val="20"/>
        </w:rPr>
      </w:pPr>
      <w:r w:rsidRPr="00452776">
        <w:rPr>
          <w:rFonts w:ascii="Arial" w:hAnsi="Arial" w:cs="Arial"/>
          <w:b/>
          <w:bCs/>
          <w:sz w:val="20"/>
          <w:szCs w:val="20"/>
        </w:rPr>
        <w:t>Chen, B., Shen, J., Zhang, X., Pan, F., Yang, X. and Feng, Y. 2014.</w:t>
      </w:r>
      <w:r w:rsidRPr="00452776">
        <w:rPr>
          <w:rFonts w:ascii="Arial" w:hAnsi="Arial" w:cs="Arial"/>
          <w:sz w:val="20"/>
          <w:szCs w:val="20"/>
        </w:rPr>
        <w:t xml:space="preserve"> The endophytic bacterium, </w:t>
      </w:r>
      <w:r w:rsidRPr="00452776">
        <w:rPr>
          <w:rFonts w:ascii="Arial" w:hAnsi="Arial" w:cs="Arial"/>
          <w:i/>
          <w:iCs/>
          <w:sz w:val="20"/>
          <w:szCs w:val="20"/>
        </w:rPr>
        <w:t>Sphingomonas </w:t>
      </w:r>
      <w:r w:rsidRPr="00452776">
        <w:rPr>
          <w:rFonts w:ascii="Arial" w:hAnsi="Arial" w:cs="Arial"/>
          <w:sz w:val="20"/>
          <w:szCs w:val="20"/>
        </w:rPr>
        <w:t>SaMR12, improves the potential for zinc phytoremediation by its host, </w:t>
      </w:r>
      <w:r w:rsidRPr="00452776">
        <w:rPr>
          <w:rFonts w:ascii="Arial" w:hAnsi="Arial" w:cs="Arial"/>
          <w:i/>
          <w:iCs/>
          <w:sz w:val="20"/>
          <w:szCs w:val="20"/>
        </w:rPr>
        <w:t>Sedum alfredii</w:t>
      </w:r>
      <w:r w:rsidRPr="00452776">
        <w:rPr>
          <w:rFonts w:ascii="Arial" w:hAnsi="Arial" w:cs="Arial"/>
          <w:sz w:val="20"/>
          <w:szCs w:val="20"/>
        </w:rPr>
        <w:t>. </w:t>
      </w:r>
      <w:r w:rsidRPr="00452776">
        <w:rPr>
          <w:rFonts w:ascii="Arial" w:hAnsi="Arial" w:cs="Arial"/>
          <w:i/>
          <w:iCs/>
          <w:sz w:val="20"/>
          <w:szCs w:val="20"/>
        </w:rPr>
        <w:t>Plos One</w:t>
      </w:r>
      <w:r w:rsidRPr="00452776">
        <w:rPr>
          <w:rFonts w:ascii="Arial" w:hAnsi="Arial" w:cs="Arial"/>
          <w:sz w:val="20"/>
          <w:szCs w:val="20"/>
        </w:rPr>
        <w:t xml:space="preserve">, 9: e106826. </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lastRenderedPageBreak/>
        <w:t xml:space="preserve">Chen, B., Zhang, Y., Rafiq, M. T., Khan, K. Y., Pan, F., Yang, X. and Feng, Y. 2014a. </w:t>
      </w:r>
      <w:r w:rsidRPr="00452776">
        <w:rPr>
          <w:rFonts w:ascii="Arial" w:eastAsia="Calibri" w:hAnsi="Arial" w:cs="Arial"/>
          <w:kern w:val="0"/>
          <w:sz w:val="20"/>
          <w:szCs w:val="20"/>
          <w:lang w:eastAsia="en-IN"/>
        </w:rPr>
        <w:t xml:space="preserve">Improvement of cadmium uptake and accumulation in </w:t>
      </w:r>
      <w:r w:rsidRPr="00452776">
        <w:rPr>
          <w:rFonts w:ascii="Arial" w:eastAsia="Calibri" w:hAnsi="Arial" w:cs="Arial"/>
          <w:i/>
          <w:kern w:val="0"/>
          <w:sz w:val="20"/>
          <w:szCs w:val="20"/>
          <w:lang w:eastAsia="en-IN"/>
        </w:rPr>
        <w:t>Sedum alfredii</w:t>
      </w:r>
      <w:r w:rsidRPr="00452776">
        <w:rPr>
          <w:rFonts w:ascii="Arial" w:eastAsia="Calibri" w:hAnsi="Arial" w:cs="Arial"/>
          <w:kern w:val="0"/>
          <w:sz w:val="20"/>
          <w:szCs w:val="20"/>
          <w:lang w:eastAsia="en-IN"/>
        </w:rPr>
        <w:t xml:space="preserve"> by endophytic bacteria </w:t>
      </w:r>
      <w:r w:rsidRPr="00452776">
        <w:rPr>
          <w:rFonts w:ascii="Arial" w:eastAsia="Calibri" w:hAnsi="Arial" w:cs="Arial"/>
          <w:i/>
          <w:kern w:val="0"/>
          <w:sz w:val="20"/>
          <w:szCs w:val="20"/>
          <w:lang w:eastAsia="en-IN"/>
        </w:rPr>
        <w:t>Sphingomonas</w:t>
      </w:r>
      <w:r w:rsidRPr="00452776">
        <w:rPr>
          <w:rFonts w:ascii="Arial" w:eastAsia="Calibri" w:hAnsi="Arial" w:cs="Arial"/>
          <w:kern w:val="0"/>
          <w:sz w:val="20"/>
          <w:szCs w:val="20"/>
          <w:lang w:eastAsia="en-IN"/>
        </w:rPr>
        <w:t xml:space="preserve"> SaMR12: Effects on plant growth and root exudates. </w:t>
      </w:r>
      <w:r w:rsidRPr="00452776">
        <w:rPr>
          <w:rFonts w:ascii="Arial" w:eastAsia="Calibri" w:hAnsi="Arial" w:cs="Arial"/>
          <w:i/>
          <w:kern w:val="0"/>
          <w:sz w:val="20"/>
          <w:szCs w:val="20"/>
          <w:lang w:eastAsia="en-IN"/>
        </w:rPr>
        <w:t>Chemosphere</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117</w:t>
      </w:r>
      <w:r w:rsidRPr="00452776">
        <w:rPr>
          <w:rFonts w:ascii="Arial" w:eastAsia="Calibri" w:hAnsi="Arial" w:cs="Arial"/>
          <w:kern w:val="0"/>
          <w:sz w:val="20"/>
          <w:szCs w:val="20"/>
          <w:lang w:eastAsia="en-IN"/>
        </w:rPr>
        <w:t xml:space="preserve">: 367–373. </w:t>
      </w:r>
      <w:hyperlink r:id="rId18" w:history="1">
        <w:r w:rsidRPr="00452776">
          <w:rPr>
            <w:rFonts w:ascii="Arial" w:eastAsia="Calibri" w:hAnsi="Arial" w:cs="Arial"/>
            <w:kern w:val="0"/>
            <w:sz w:val="20"/>
            <w:szCs w:val="20"/>
            <w:lang w:eastAsia="en-IN"/>
          </w:rPr>
          <w:t>https://doi.org/10.1016/j.chemosphere.2014.07.078</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Chen, W. R., He, Z. L., Yang, X. E. and Feng, Y. 2009. </w:t>
      </w:r>
      <w:r w:rsidRPr="00452776">
        <w:rPr>
          <w:rFonts w:ascii="Arial" w:eastAsia="Times New Roman" w:hAnsi="Arial" w:cs="Arial"/>
          <w:kern w:val="0"/>
          <w:sz w:val="20"/>
          <w:szCs w:val="20"/>
          <w:lang w:val="en-US"/>
        </w:rPr>
        <w:t xml:space="preserve">Zinc efficiency is correlated with root morphology, ultrastructure, and antioxidative enzymes in rice. </w:t>
      </w:r>
      <w:r w:rsidRPr="00452776">
        <w:rPr>
          <w:rFonts w:ascii="Arial" w:eastAsia="Times New Roman" w:hAnsi="Arial" w:cs="Arial"/>
          <w:i/>
          <w:kern w:val="0"/>
          <w:sz w:val="20"/>
          <w:szCs w:val="20"/>
          <w:lang w:val="en-US"/>
        </w:rPr>
        <w:t>J. Plant Nutr</w:t>
      </w:r>
      <w:r w:rsidRPr="00452776">
        <w:rPr>
          <w:rFonts w:ascii="Arial" w:eastAsia="Times New Roman" w:hAnsi="Arial" w:cs="Arial"/>
          <w:iCs/>
          <w:kern w:val="0"/>
          <w:sz w:val="20"/>
          <w:szCs w:val="20"/>
          <w:lang w:val="en-US"/>
        </w:rPr>
        <w:t xml:space="preserve">., </w:t>
      </w:r>
      <w:r w:rsidRPr="00452776">
        <w:rPr>
          <w:rFonts w:ascii="Arial" w:eastAsia="Times New Roman" w:hAnsi="Arial" w:cs="Arial"/>
          <w:kern w:val="0"/>
          <w:sz w:val="20"/>
          <w:szCs w:val="20"/>
          <w:lang w:val="en-US"/>
        </w:rPr>
        <w:t>32(2): 287–305.</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Choudhary, A. K. and Suri, V. K. 2014.</w:t>
      </w:r>
      <w:r w:rsidRPr="00452776">
        <w:rPr>
          <w:rFonts w:ascii="Arial" w:eastAsia="Calibri" w:hAnsi="Arial" w:cs="Arial"/>
          <w:kern w:val="0"/>
          <w:sz w:val="20"/>
          <w:szCs w:val="20"/>
          <w:lang w:eastAsia="en-IN"/>
        </w:rPr>
        <w:t xml:space="preserve"> Integrated nutrient-management technology for direct-seeded upland rice (</w:t>
      </w:r>
      <w:r w:rsidRPr="00452776">
        <w:rPr>
          <w:rFonts w:ascii="Arial" w:eastAsia="Calibri" w:hAnsi="Arial" w:cs="Arial"/>
          <w:i/>
          <w:iCs/>
          <w:kern w:val="0"/>
          <w:sz w:val="20"/>
          <w:szCs w:val="20"/>
          <w:lang w:eastAsia="en-IN"/>
        </w:rPr>
        <w:t>Oryza sativa</w:t>
      </w:r>
      <w:r w:rsidRPr="00452776">
        <w:rPr>
          <w:rFonts w:ascii="Arial" w:eastAsia="Calibri" w:hAnsi="Arial" w:cs="Arial"/>
          <w:kern w:val="0"/>
          <w:sz w:val="20"/>
          <w:szCs w:val="20"/>
          <w:lang w:eastAsia="en-IN"/>
        </w:rPr>
        <w:t>) in Northwestern Himalayas. </w:t>
      </w:r>
      <w:r w:rsidRPr="00452776">
        <w:rPr>
          <w:rFonts w:ascii="Arial" w:eastAsia="Calibri" w:hAnsi="Arial" w:cs="Arial"/>
          <w:i/>
          <w:kern w:val="0"/>
          <w:sz w:val="20"/>
          <w:szCs w:val="20"/>
          <w:lang w:eastAsia="en-IN"/>
        </w:rPr>
        <w:t>Commun. Soil Sci. Plant Anal.</w:t>
      </w:r>
      <w:r w:rsidRPr="00452776">
        <w:rPr>
          <w:rFonts w:ascii="Arial" w:eastAsia="Calibri" w:hAnsi="Arial" w:cs="Arial"/>
          <w:kern w:val="0"/>
          <w:sz w:val="20"/>
          <w:szCs w:val="20"/>
          <w:lang w:eastAsia="en-IN"/>
        </w:rPr>
        <w:t>, </w:t>
      </w:r>
      <w:r w:rsidRPr="00452776">
        <w:rPr>
          <w:rFonts w:ascii="Arial" w:eastAsia="Calibri" w:hAnsi="Arial" w:cs="Arial"/>
          <w:iCs/>
          <w:kern w:val="0"/>
          <w:sz w:val="20"/>
          <w:szCs w:val="20"/>
          <w:lang w:eastAsia="en-IN"/>
        </w:rPr>
        <w:t>45</w:t>
      </w:r>
      <w:r w:rsidRPr="00452776">
        <w:rPr>
          <w:rFonts w:ascii="Arial" w:eastAsia="Calibri" w:hAnsi="Arial" w:cs="Arial"/>
          <w:kern w:val="0"/>
          <w:sz w:val="20"/>
          <w:szCs w:val="20"/>
          <w:lang w:eastAsia="en-IN"/>
        </w:rPr>
        <w:t xml:space="preserve">(6); 777–784. </w:t>
      </w:r>
      <w:hyperlink r:id="rId19" w:history="1">
        <w:r w:rsidRPr="00452776">
          <w:rPr>
            <w:rFonts w:ascii="Arial" w:eastAsia="Calibri" w:hAnsi="Arial" w:cs="Arial"/>
            <w:kern w:val="0"/>
            <w:sz w:val="20"/>
            <w:szCs w:val="20"/>
            <w:lang w:eastAsia="en-IN"/>
          </w:rPr>
          <w:t>https://doi.org/10.1080/00103624.2013.861914</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Chowdappa, S., Jagannath, S., Konappa, N., Udayashankar, A. C. and Jogaiah, S. 2020.</w:t>
      </w:r>
      <w:r w:rsidRPr="00452776">
        <w:rPr>
          <w:rFonts w:ascii="Arial" w:eastAsia="Calibri" w:hAnsi="Arial" w:cs="Arial"/>
          <w:kern w:val="0"/>
          <w:sz w:val="20"/>
          <w:szCs w:val="20"/>
          <w:lang w:eastAsia="en-IN"/>
        </w:rPr>
        <w:t xml:space="preserve"> Detection and characterization of antibacterial siderophores secreted by endophytic fungi from </w:t>
      </w:r>
      <w:r w:rsidRPr="00452776">
        <w:rPr>
          <w:rFonts w:ascii="Arial" w:eastAsia="Calibri" w:hAnsi="Arial" w:cs="Arial"/>
          <w:i/>
          <w:kern w:val="0"/>
          <w:sz w:val="20"/>
          <w:szCs w:val="20"/>
          <w:lang w:eastAsia="en-IN"/>
        </w:rPr>
        <w:t>Cymbidium aloifolium</w:t>
      </w:r>
      <w:r w:rsidRPr="00452776">
        <w:rPr>
          <w:rFonts w:ascii="Arial" w:eastAsia="Calibri" w:hAnsi="Arial" w:cs="Arial"/>
          <w:kern w:val="0"/>
          <w:sz w:val="20"/>
          <w:szCs w:val="20"/>
          <w:lang w:eastAsia="en-IN"/>
        </w:rPr>
        <w:t xml:space="preserve">. </w:t>
      </w:r>
      <w:r w:rsidRPr="00452776">
        <w:rPr>
          <w:rFonts w:ascii="Arial" w:eastAsia="Calibri" w:hAnsi="Arial" w:cs="Arial"/>
          <w:i/>
          <w:kern w:val="0"/>
          <w:sz w:val="20"/>
          <w:szCs w:val="20"/>
          <w:lang w:eastAsia="en-IN"/>
        </w:rPr>
        <w:t>Biomolecules</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10</w:t>
      </w:r>
      <w:r w:rsidRPr="00452776">
        <w:rPr>
          <w:rFonts w:ascii="Arial" w:eastAsia="Calibri" w:hAnsi="Arial" w:cs="Arial"/>
          <w:kern w:val="0"/>
          <w:sz w:val="20"/>
          <w:szCs w:val="20"/>
          <w:lang w:eastAsia="en-IN"/>
        </w:rPr>
        <w:t xml:space="preserve">(10): 1412. </w:t>
      </w:r>
      <w:hyperlink r:id="rId20" w:history="1">
        <w:r w:rsidRPr="00452776">
          <w:rPr>
            <w:rFonts w:ascii="Arial" w:eastAsia="Calibri" w:hAnsi="Arial" w:cs="Arial"/>
            <w:kern w:val="0"/>
            <w:sz w:val="20"/>
            <w:szCs w:val="20"/>
            <w:lang w:eastAsia="en-IN"/>
          </w:rPr>
          <w:t>https://doi.org/10.3390/biom10101412</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Coca, M., Peñas, G., Gómez, J., Campo, S., Bortolotti, C., Messeguer, J. and Segundo, B. S. 2006.</w:t>
      </w:r>
      <w:r w:rsidRPr="00452776">
        <w:rPr>
          <w:rFonts w:ascii="Arial" w:eastAsia="Calibri" w:hAnsi="Arial" w:cs="Arial"/>
          <w:kern w:val="0"/>
          <w:sz w:val="20"/>
          <w:szCs w:val="20"/>
          <w:lang w:eastAsia="en-IN"/>
        </w:rPr>
        <w:t xml:space="preserve"> Enhanced resistance to the rice blast fungus </w:t>
      </w:r>
      <w:r w:rsidRPr="00452776">
        <w:rPr>
          <w:rFonts w:ascii="Arial" w:eastAsia="Calibri" w:hAnsi="Arial" w:cs="Arial"/>
          <w:i/>
          <w:iCs/>
          <w:kern w:val="0"/>
          <w:sz w:val="20"/>
          <w:szCs w:val="20"/>
          <w:lang w:eastAsia="en-IN"/>
        </w:rPr>
        <w:t>Magnaporthe grisea</w:t>
      </w:r>
      <w:r w:rsidRPr="00452776">
        <w:rPr>
          <w:rFonts w:ascii="Arial" w:eastAsia="Calibri" w:hAnsi="Arial" w:cs="Arial"/>
          <w:kern w:val="0"/>
          <w:sz w:val="20"/>
          <w:szCs w:val="20"/>
          <w:lang w:eastAsia="en-IN"/>
        </w:rPr>
        <w:t xml:space="preserve"> conferred by expression of a cecropin A gene in transgenic rice. </w:t>
      </w:r>
      <w:r w:rsidRPr="00452776">
        <w:rPr>
          <w:rFonts w:ascii="Arial" w:eastAsia="Calibri" w:hAnsi="Arial" w:cs="Arial"/>
          <w:i/>
          <w:kern w:val="0"/>
          <w:sz w:val="20"/>
          <w:szCs w:val="20"/>
          <w:lang w:eastAsia="en-IN"/>
        </w:rPr>
        <w:t>Planta</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223</w:t>
      </w:r>
      <w:r w:rsidRPr="00452776">
        <w:rPr>
          <w:rFonts w:ascii="Arial" w:eastAsia="Calibri" w:hAnsi="Arial" w:cs="Arial"/>
          <w:kern w:val="0"/>
          <w:sz w:val="20"/>
          <w:szCs w:val="20"/>
          <w:lang w:eastAsia="en-IN"/>
        </w:rPr>
        <w:t xml:space="preserve">(3): 392–406. </w:t>
      </w:r>
      <w:hyperlink r:id="rId21" w:history="1">
        <w:r w:rsidRPr="00452776">
          <w:rPr>
            <w:rFonts w:ascii="Arial" w:eastAsia="Calibri" w:hAnsi="Arial" w:cs="Arial"/>
            <w:kern w:val="0"/>
            <w:sz w:val="20"/>
            <w:szCs w:val="20"/>
            <w:lang w:eastAsia="en-IN"/>
          </w:rPr>
          <w:t>https://doi.org/10.1007/s00425-005-0069-z</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Colangelo, E. P. and Guerinot, M. L. 2006.</w:t>
      </w:r>
      <w:r w:rsidRPr="00452776">
        <w:rPr>
          <w:rFonts w:ascii="Arial" w:eastAsia="Calibri" w:hAnsi="Arial" w:cs="Arial"/>
          <w:kern w:val="0"/>
          <w:sz w:val="20"/>
          <w:szCs w:val="20"/>
          <w:lang w:eastAsia="en-IN"/>
        </w:rPr>
        <w:t xml:space="preserve"> Put the metal to the petal: Metal uptake and transport throughout plants. </w:t>
      </w:r>
      <w:r w:rsidRPr="00452776">
        <w:rPr>
          <w:rFonts w:ascii="Arial" w:eastAsia="Calibri" w:hAnsi="Arial" w:cs="Arial"/>
          <w:i/>
          <w:kern w:val="0"/>
          <w:sz w:val="20"/>
          <w:szCs w:val="20"/>
          <w:lang w:eastAsia="en-IN"/>
        </w:rPr>
        <w:t>Curr. Opin. Plant 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9</w:t>
      </w:r>
      <w:r w:rsidRPr="00452776">
        <w:rPr>
          <w:rFonts w:ascii="Arial" w:eastAsia="Calibri" w:hAnsi="Arial" w:cs="Arial"/>
          <w:kern w:val="0"/>
          <w:sz w:val="20"/>
          <w:szCs w:val="20"/>
          <w:lang w:eastAsia="en-IN"/>
        </w:rPr>
        <w:t xml:space="preserve">(3): 322–330. </w:t>
      </w:r>
      <w:hyperlink r:id="rId22" w:history="1">
        <w:r w:rsidRPr="00452776">
          <w:rPr>
            <w:rFonts w:ascii="Arial" w:eastAsia="Calibri" w:hAnsi="Arial" w:cs="Arial"/>
            <w:kern w:val="0"/>
            <w:sz w:val="20"/>
            <w:szCs w:val="20"/>
            <w:lang w:eastAsia="en-IN"/>
          </w:rPr>
          <w:t>https://doi.org/10.1016/j.pbi.2006.03.015</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Costerousse, B., Schönholzer-Mauclaire, L., Frossard, E. and Thonar, C. 2017.</w:t>
      </w:r>
      <w:r w:rsidRPr="00452776">
        <w:rPr>
          <w:rFonts w:ascii="Arial" w:eastAsia="Calibri" w:hAnsi="Arial" w:cs="Arial"/>
          <w:kern w:val="0"/>
          <w:sz w:val="20"/>
          <w:szCs w:val="20"/>
          <w:lang w:eastAsia="en-IN"/>
        </w:rPr>
        <w:t xml:space="preserve"> Identification of heterotrophic zinc mobilization processes among bacterial strains isolated from wheat rhizosphere (</w:t>
      </w:r>
      <w:r w:rsidRPr="00452776">
        <w:rPr>
          <w:rFonts w:ascii="Arial" w:eastAsia="Calibri" w:hAnsi="Arial" w:cs="Arial"/>
          <w:i/>
          <w:iCs/>
          <w:kern w:val="0"/>
          <w:sz w:val="20"/>
          <w:szCs w:val="20"/>
          <w:lang w:eastAsia="en-IN"/>
        </w:rPr>
        <w:t>Triticum aestivum</w:t>
      </w:r>
      <w:r w:rsidRPr="00452776">
        <w:rPr>
          <w:rFonts w:ascii="Arial" w:eastAsia="Calibri" w:hAnsi="Arial" w:cs="Arial"/>
          <w:kern w:val="0"/>
          <w:sz w:val="20"/>
          <w:szCs w:val="20"/>
          <w:lang w:eastAsia="en-IN"/>
        </w:rPr>
        <w:t xml:space="preserve"> l.). </w:t>
      </w:r>
      <w:r w:rsidRPr="00452776">
        <w:rPr>
          <w:rFonts w:ascii="Arial" w:eastAsia="Calibri" w:hAnsi="Arial" w:cs="Arial"/>
          <w:i/>
          <w:kern w:val="0"/>
          <w:sz w:val="20"/>
          <w:szCs w:val="20"/>
          <w:lang w:eastAsia="en-IN"/>
        </w:rPr>
        <w:t>Appl. Environ. Microbiol.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84</w:t>
      </w:r>
      <w:r w:rsidRPr="00452776">
        <w:rPr>
          <w:rFonts w:ascii="Arial" w:eastAsia="Calibri" w:hAnsi="Arial" w:cs="Arial"/>
          <w:kern w:val="0"/>
          <w:sz w:val="20"/>
          <w:szCs w:val="20"/>
          <w:lang w:eastAsia="en-IN"/>
        </w:rPr>
        <w:t xml:space="preserve">(1): e01715. </w:t>
      </w:r>
      <w:hyperlink r:id="rId23" w:history="1">
        <w:r w:rsidRPr="00452776">
          <w:rPr>
            <w:rFonts w:ascii="Arial" w:eastAsia="Calibri" w:hAnsi="Arial" w:cs="Arial"/>
            <w:kern w:val="0"/>
            <w:sz w:val="20"/>
            <w:szCs w:val="20"/>
            <w:lang w:eastAsia="en-IN"/>
          </w:rPr>
          <w:t>https://doi.org/10.1128/AEM.01715-17</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Cruet-Burgos, C., Cox, S., Ioerger, B. P., Perumal, R., Hu, Z., Herald, T. J., Bean, S. R. and Rhodes, D. H. 2020.</w:t>
      </w:r>
      <w:r w:rsidRPr="00452776">
        <w:rPr>
          <w:rFonts w:ascii="Arial" w:eastAsia="Calibri" w:hAnsi="Arial" w:cs="Arial"/>
          <w:kern w:val="0"/>
          <w:sz w:val="20"/>
          <w:szCs w:val="20"/>
          <w:lang w:eastAsia="en-IN"/>
        </w:rPr>
        <w:t xml:space="preserve"> Advancing provitamin A biofortification in sorghum: Genome-wide association studies of grain carotenoids in global germplasm. </w:t>
      </w:r>
      <w:r w:rsidRPr="00452776">
        <w:rPr>
          <w:rFonts w:ascii="Arial" w:eastAsia="Calibri" w:hAnsi="Arial" w:cs="Arial"/>
          <w:i/>
          <w:kern w:val="0"/>
          <w:sz w:val="20"/>
          <w:szCs w:val="20"/>
          <w:lang w:eastAsia="en-IN"/>
        </w:rPr>
        <w:t>Plant Genome</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13</w:t>
      </w:r>
      <w:r w:rsidRPr="00452776">
        <w:rPr>
          <w:rFonts w:ascii="Arial" w:eastAsia="Calibri" w:hAnsi="Arial" w:cs="Arial"/>
          <w:kern w:val="0"/>
          <w:sz w:val="20"/>
          <w:szCs w:val="20"/>
          <w:lang w:eastAsia="en-IN"/>
        </w:rPr>
        <w:t xml:space="preserve">(1): e20013. </w:t>
      </w:r>
      <w:hyperlink r:id="rId24" w:history="1">
        <w:r w:rsidRPr="00452776">
          <w:rPr>
            <w:rFonts w:ascii="Arial" w:eastAsia="Calibri" w:hAnsi="Arial" w:cs="Arial"/>
            <w:kern w:val="0"/>
            <w:sz w:val="20"/>
            <w:szCs w:val="20"/>
            <w:lang w:eastAsia="en-IN"/>
          </w:rPr>
          <w:t>https://doi.org/10.1002/tpg2.20013</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Da Silva Lima, L., Olivares, F. L., De Oliveira, R. R., Vega, M. R. G., Aguiar, N. O. and Canellas, L. P. 2014.</w:t>
      </w:r>
      <w:r w:rsidRPr="00452776">
        <w:rPr>
          <w:rFonts w:ascii="Arial" w:eastAsia="Calibri" w:hAnsi="Arial" w:cs="Arial"/>
          <w:kern w:val="0"/>
          <w:sz w:val="20"/>
          <w:szCs w:val="20"/>
          <w:lang w:eastAsia="en-IN"/>
        </w:rPr>
        <w:t xml:space="preserve"> Root exudate profiling of maize seedlings inoculated with </w:t>
      </w:r>
      <w:r w:rsidRPr="00452776">
        <w:rPr>
          <w:rFonts w:ascii="Arial" w:eastAsia="Calibri" w:hAnsi="Arial" w:cs="Arial"/>
          <w:i/>
          <w:kern w:val="0"/>
          <w:sz w:val="20"/>
          <w:szCs w:val="20"/>
          <w:lang w:eastAsia="en-IN"/>
        </w:rPr>
        <w:t>Herbaspirillumseropedicae</w:t>
      </w:r>
      <w:r w:rsidRPr="00452776">
        <w:rPr>
          <w:rFonts w:ascii="Arial" w:eastAsia="Calibri" w:hAnsi="Arial" w:cs="Arial"/>
          <w:kern w:val="0"/>
          <w:sz w:val="20"/>
          <w:szCs w:val="20"/>
          <w:lang w:eastAsia="en-IN"/>
        </w:rPr>
        <w:t xml:space="preserve"> and humic acids. </w:t>
      </w:r>
      <w:r w:rsidRPr="00452776">
        <w:rPr>
          <w:rFonts w:ascii="Arial" w:eastAsia="Calibri" w:hAnsi="Arial" w:cs="Arial"/>
          <w:i/>
          <w:kern w:val="0"/>
          <w:sz w:val="20"/>
          <w:szCs w:val="20"/>
          <w:lang w:eastAsia="en-IN"/>
        </w:rPr>
        <w:t>Chem. Biol. Technol. Agric.</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w:t>
      </w:r>
      <w:r w:rsidRPr="00452776">
        <w:rPr>
          <w:rFonts w:ascii="Arial" w:eastAsia="Calibri" w:hAnsi="Arial" w:cs="Arial"/>
          <w:kern w:val="0"/>
          <w:sz w:val="20"/>
          <w:szCs w:val="20"/>
          <w:lang w:eastAsia="en-IN"/>
        </w:rPr>
        <w:t>(1): 1.</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Times New Roman" w:hAnsi="Arial" w:cs="Arial"/>
          <w:b/>
          <w:kern w:val="0"/>
          <w:sz w:val="20"/>
          <w:szCs w:val="20"/>
          <w:lang w:val="en-US"/>
        </w:rPr>
        <w:t xml:space="preserve">Dalton, D.A., Kramer, S., Azios, N., Fusaro, S., Cahill, E. and Kennedy, C. 2004. </w:t>
      </w:r>
      <w:r w:rsidRPr="00452776">
        <w:rPr>
          <w:rFonts w:ascii="Arial" w:eastAsia="Times New Roman" w:hAnsi="Arial" w:cs="Arial"/>
          <w:kern w:val="0"/>
          <w:sz w:val="20"/>
          <w:szCs w:val="20"/>
          <w:lang w:val="en-US"/>
        </w:rPr>
        <w:t>Endophytic nitrogen fixation in dune grasses (</w:t>
      </w:r>
      <w:r w:rsidRPr="00452776">
        <w:rPr>
          <w:rFonts w:ascii="Arial" w:eastAsia="Times New Roman" w:hAnsi="Arial" w:cs="Arial"/>
          <w:i/>
          <w:kern w:val="0"/>
          <w:sz w:val="20"/>
          <w:szCs w:val="20"/>
          <w:lang w:val="en-US"/>
        </w:rPr>
        <w:t>Ammophilaarenaria</w:t>
      </w:r>
      <w:r w:rsidRPr="00452776">
        <w:rPr>
          <w:rFonts w:ascii="Arial" w:eastAsia="Times New Roman" w:hAnsi="Arial" w:cs="Arial"/>
          <w:kern w:val="0"/>
          <w:sz w:val="20"/>
          <w:szCs w:val="20"/>
          <w:lang w:val="en-US"/>
        </w:rPr>
        <w:t xml:space="preserve">and </w:t>
      </w:r>
      <w:r w:rsidRPr="00452776">
        <w:rPr>
          <w:rFonts w:ascii="Arial" w:eastAsia="Times New Roman" w:hAnsi="Arial" w:cs="Arial"/>
          <w:i/>
          <w:kern w:val="0"/>
          <w:sz w:val="20"/>
          <w:szCs w:val="20"/>
          <w:lang w:val="en-US"/>
        </w:rPr>
        <w:t>Elymus mollis</w:t>
      </w:r>
      <w:r w:rsidRPr="00452776">
        <w:rPr>
          <w:rFonts w:ascii="Arial" w:eastAsia="Times New Roman" w:hAnsi="Arial" w:cs="Arial"/>
          <w:kern w:val="0"/>
          <w:sz w:val="20"/>
          <w:szCs w:val="20"/>
          <w:lang w:val="en-US"/>
        </w:rPr>
        <w:t xml:space="preserve">) from Oregon. </w:t>
      </w:r>
      <w:r w:rsidRPr="00452776">
        <w:rPr>
          <w:rFonts w:ascii="Arial" w:eastAsia="Times New Roman" w:hAnsi="Arial" w:cs="Arial"/>
          <w:i/>
          <w:kern w:val="0"/>
          <w:sz w:val="20"/>
          <w:szCs w:val="20"/>
          <w:lang w:val="en-US"/>
        </w:rPr>
        <w:t>FEMS (Fed. Eur. Microbiol. Soc.) Microbiol. Ecol</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49: 469-479.</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Dar, A., Zahir, Z. A., Iqbal, M., Mehmood, A., Javed, A., Hussain, A., Bushra. and Ahmad, M. 2021.</w:t>
      </w:r>
      <w:r w:rsidRPr="00452776">
        <w:rPr>
          <w:rFonts w:ascii="Arial" w:eastAsia="Calibri" w:hAnsi="Arial" w:cs="Arial"/>
          <w:kern w:val="0"/>
          <w:sz w:val="20"/>
          <w:szCs w:val="20"/>
          <w:lang w:eastAsia="en-IN"/>
        </w:rPr>
        <w:t xml:space="preserve"> Efficacy of rhizobacterial exopolysaccharides in improving plant growth, physiology, </w:t>
      </w:r>
      <w:r w:rsidRPr="00452776">
        <w:rPr>
          <w:rFonts w:ascii="Arial" w:eastAsia="Calibri" w:hAnsi="Arial" w:cs="Arial"/>
          <w:kern w:val="0"/>
          <w:sz w:val="20"/>
          <w:szCs w:val="20"/>
          <w:lang w:eastAsia="en-IN"/>
        </w:rPr>
        <w:lastRenderedPageBreak/>
        <w:t>and soil properties. </w:t>
      </w:r>
      <w:r w:rsidRPr="00452776">
        <w:rPr>
          <w:rFonts w:ascii="Arial" w:eastAsia="Calibri" w:hAnsi="Arial" w:cs="Arial"/>
          <w:i/>
          <w:kern w:val="0"/>
          <w:sz w:val="20"/>
          <w:szCs w:val="20"/>
          <w:lang w:eastAsia="en-IN"/>
        </w:rPr>
        <w:t>Environ. Monit. Assess.</w:t>
      </w:r>
      <w:r w:rsidRPr="00452776">
        <w:rPr>
          <w:rFonts w:ascii="Arial" w:eastAsia="Calibri" w:hAnsi="Arial" w:cs="Arial"/>
          <w:kern w:val="0"/>
          <w:sz w:val="20"/>
          <w:szCs w:val="20"/>
          <w:lang w:eastAsia="en-IN"/>
        </w:rPr>
        <w:t>, </w:t>
      </w:r>
      <w:r w:rsidRPr="00452776">
        <w:rPr>
          <w:rFonts w:ascii="Arial" w:eastAsia="Calibri" w:hAnsi="Arial" w:cs="Arial"/>
          <w:iCs/>
          <w:kern w:val="0"/>
          <w:sz w:val="20"/>
          <w:szCs w:val="20"/>
          <w:lang w:eastAsia="en-IN"/>
        </w:rPr>
        <w:t>193</w:t>
      </w:r>
      <w:r w:rsidRPr="00452776">
        <w:rPr>
          <w:rFonts w:ascii="Arial" w:eastAsia="Calibri" w:hAnsi="Arial" w:cs="Arial"/>
          <w:kern w:val="0"/>
          <w:sz w:val="20"/>
          <w:szCs w:val="20"/>
          <w:lang w:eastAsia="en-IN"/>
        </w:rPr>
        <w:t xml:space="preserve">(8): 515. </w:t>
      </w:r>
      <w:hyperlink r:id="rId25" w:history="1">
        <w:r w:rsidRPr="00452776">
          <w:rPr>
            <w:rFonts w:ascii="Arial" w:eastAsia="Calibri" w:hAnsi="Arial" w:cs="Arial"/>
            <w:kern w:val="0"/>
            <w:sz w:val="20"/>
            <w:szCs w:val="20"/>
            <w:lang w:eastAsia="en-IN"/>
          </w:rPr>
          <w:t>https://doi.org/10.1007/s10661-021-09286-6</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De Lara-Del Rey, I. A. and Pérez-Fernández, M. A. 2023. </w:t>
      </w:r>
      <w:r w:rsidRPr="00452776">
        <w:rPr>
          <w:rFonts w:ascii="Arial" w:eastAsia="Times New Roman" w:hAnsi="Arial" w:cs="Arial"/>
          <w:kern w:val="0"/>
          <w:sz w:val="20"/>
          <w:szCs w:val="20"/>
          <w:lang w:val="en-US"/>
        </w:rPr>
        <w:t xml:space="preserve">Regulatory Effect of Light and Rhizobial Inoculation on the Root Architecture and Plant Performance of Pasture Legumes. </w:t>
      </w:r>
      <w:r w:rsidRPr="00452776">
        <w:rPr>
          <w:rFonts w:ascii="Arial" w:eastAsia="Times New Roman" w:hAnsi="Arial" w:cs="Arial"/>
          <w:i/>
          <w:kern w:val="0"/>
          <w:sz w:val="20"/>
          <w:szCs w:val="20"/>
          <w:lang w:val="en-US"/>
        </w:rPr>
        <w:t>Agronomy</w:t>
      </w:r>
      <w:r w:rsidRPr="00452776">
        <w:rPr>
          <w:rFonts w:ascii="Arial" w:eastAsia="Times New Roman" w:hAnsi="Arial" w:cs="Arial"/>
          <w:kern w:val="0"/>
          <w:sz w:val="20"/>
          <w:szCs w:val="20"/>
          <w:lang w:val="en-US"/>
        </w:rPr>
        <w:t>, 13(8): 2058.</w:t>
      </w:r>
    </w:p>
    <w:p w:rsidR="00452776" w:rsidRPr="00452776" w:rsidRDefault="00452776" w:rsidP="00452776">
      <w:pPr>
        <w:widowControl w:val="0"/>
        <w:autoSpaceDE w:val="0"/>
        <w:autoSpaceDN w:val="0"/>
        <w:spacing w:before="280" w:after="120" w:line="324" w:lineRule="auto"/>
        <w:ind w:left="720" w:hanging="720"/>
        <w:jc w:val="both"/>
        <w:rPr>
          <w:rFonts w:ascii="Arial" w:hAnsi="Arial" w:cs="Arial"/>
          <w:sz w:val="20"/>
          <w:szCs w:val="20"/>
        </w:rPr>
      </w:pPr>
      <w:r w:rsidRPr="00452776">
        <w:rPr>
          <w:rFonts w:ascii="Arial" w:hAnsi="Arial" w:cs="Arial"/>
          <w:b/>
          <w:bCs/>
          <w:sz w:val="20"/>
          <w:szCs w:val="20"/>
        </w:rPr>
        <w:t>Deka, H., Deka, S. and Baruah, C. 2015.</w:t>
      </w:r>
      <w:r w:rsidRPr="00452776">
        <w:rPr>
          <w:rFonts w:ascii="Arial" w:hAnsi="Arial" w:cs="Arial"/>
          <w:sz w:val="20"/>
          <w:szCs w:val="20"/>
        </w:rPr>
        <w:t xml:space="preserve"> Plant growth promoting rhizobacteria for value addition: mechanism of action. </w:t>
      </w:r>
      <w:r w:rsidRPr="00452776">
        <w:rPr>
          <w:rFonts w:ascii="Arial" w:hAnsi="Arial" w:cs="Arial"/>
          <w:i/>
          <w:iCs/>
          <w:sz w:val="20"/>
          <w:szCs w:val="20"/>
        </w:rPr>
        <w:t>In: ‘</w:t>
      </w:r>
      <w:r w:rsidRPr="00452776">
        <w:rPr>
          <w:rFonts w:ascii="Arial" w:hAnsi="Arial" w:cs="Arial"/>
          <w:i/>
          <w:iCs/>
          <w:sz w:val="20"/>
          <w:szCs w:val="20"/>
          <w:lang w:val="en-US"/>
        </w:rPr>
        <w:t>Egamberdieva, D., Shrivastava, S., Varma, A. (</w:t>
      </w:r>
      <w:r w:rsidRPr="00452776">
        <w:rPr>
          <w:rFonts w:ascii="Arial" w:hAnsi="Arial" w:cs="Arial"/>
          <w:i/>
          <w:iCs/>
          <w:sz w:val="20"/>
          <w:szCs w:val="20"/>
        </w:rPr>
        <w:t>E</w:t>
      </w:r>
      <w:r w:rsidRPr="00452776">
        <w:rPr>
          <w:rFonts w:ascii="Arial" w:hAnsi="Arial" w:cs="Arial"/>
          <w:i/>
          <w:iCs/>
          <w:sz w:val="20"/>
          <w:szCs w:val="20"/>
          <w:lang w:val="en-US"/>
        </w:rPr>
        <w:t>ds</w:t>
      </w:r>
      <w:r w:rsidRPr="00452776">
        <w:rPr>
          <w:rFonts w:ascii="Arial" w:hAnsi="Arial" w:cs="Arial"/>
          <w:i/>
          <w:iCs/>
          <w:sz w:val="20"/>
          <w:szCs w:val="20"/>
        </w:rPr>
        <w:t>.</w:t>
      </w:r>
      <w:r w:rsidRPr="00452776">
        <w:rPr>
          <w:rFonts w:ascii="Arial" w:hAnsi="Arial" w:cs="Arial"/>
          <w:i/>
          <w:iCs/>
          <w:sz w:val="20"/>
          <w:szCs w:val="20"/>
          <w:lang w:val="en-US"/>
        </w:rPr>
        <w:t xml:space="preserve">) </w:t>
      </w:r>
      <w:r w:rsidRPr="00452776">
        <w:rPr>
          <w:rFonts w:ascii="Arial" w:hAnsi="Arial" w:cs="Arial"/>
          <w:i/>
          <w:iCs/>
          <w:sz w:val="20"/>
          <w:szCs w:val="20"/>
        </w:rPr>
        <w:t>Plant-growth promoting rhizobacteria (PGPR) and medicinal plants’</w:t>
      </w:r>
      <w:r w:rsidRPr="00452776">
        <w:rPr>
          <w:rFonts w:ascii="Arial" w:hAnsi="Arial" w:cs="Arial"/>
          <w:sz w:val="20"/>
          <w:szCs w:val="20"/>
        </w:rPr>
        <w:t>. Springer, New York. pp 305–321.</w:t>
      </w:r>
    </w:p>
    <w:p w:rsidR="00452776" w:rsidRPr="00452776" w:rsidRDefault="00452776" w:rsidP="00452776">
      <w:pPr>
        <w:widowControl w:val="0"/>
        <w:autoSpaceDE w:val="0"/>
        <w:autoSpaceDN w:val="0"/>
        <w:spacing w:before="280" w:after="120" w:line="324" w:lineRule="auto"/>
        <w:ind w:left="720" w:hanging="720"/>
        <w:jc w:val="both"/>
        <w:rPr>
          <w:rFonts w:ascii="Arial" w:hAnsi="Arial" w:cs="Arial"/>
          <w:sz w:val="20"/>
          <w:szCs w:val="20"/>
        </w:rPr>
      </w:pPr>
      <w:r w:rsidRPr="00452776">
        <w:rPr>
          <w:rFonts w:ascii="Arial" w:hAnsi="Arial" w:cs="Arial"/>
          <w:b/>
          <w:bCs/>
          <w:sz w:val="20"/>
          <w:szCs w:val="20"/>
        </w:rPr>
        <w:t>Deka, P., Goswami, G., Das, P., Gautom, T., Chowdhury, N., Boro, R. C. and Barooah, M. 2019.</w:t>
      </w:r>
      <w:r w:rsidRPr="00452776">
        <w:rPr>
          <w:rFonts w:ascii="Arial" w:hAnsi="Arial" w:cs="Arial"/>
          <w:sz w:val="20"/>
          <w:szCs w:val="20"/>
        </w:rPr>
        <w:t xml:space="preserve"> Bacterial exopolysaccharide promotes acid tolerance in </w:t>
      </w:r>
      <w:r w:rsidRPr="00452776">
        <w:rPr>
          <w:rFonts w:ascii="Arial" w:hAnsi="Arial" w:cs="Arial"/>
          <w:i/>
          <w:iCs/>
          <w:sz w:val="20"/>
          <w:szCs w:val="20"/>
        </w:rPr>
        <w:t>Bacillus amyloliquefaciens</w:t>
      </w:r>
      <w:r w:rsidRPr="00452776">
        <w:rPr>
          <w:rFonts w:ascii="Arial" w:hAnsi="Arial" w:cs="Arial"/>
          <w:sz w:val="20"/>
          <w:szCs w:val="20"/>
        </w:rPr>
        <w:t xml:space="preserve"> and improves soil aggregation. </w:t>
      </w:r>
      <w:r w:rsidRPr="00452776">
        <w:rPr>
          <w:rFonts w:ascii="Arial" w:hAnsi="Arial" w:cs="Arial"/>
          <w:i/>
          <w:iCs/>
          <w:sz w:val="20"/>
          <w:szCs w:val="20"/>
        </w:rPr>
        <w:t>Mol. Biol. Rep</w:t>
      </w:r>
      <w:r w:rsidRPr="00452776">
        <w:rPr>
          <w:rFonts w:ascii="Arial" w:hAnsi="Arial" w:cs="Arial"/>
          <w:sz w:val="20"/>
          <w:szCs w:val="20"/>
        </w:rPr>
        <w:t>., 46(1): 1079–1091.</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Delaporte-Quintana, P., Lovaisa, N. C., Rapisarda, V. A. and Pedraza, R. O. 2020.</w:t>
      </w:r>
      <w:r w:rsidRPr="00452776">
        <w:rPr>
          <w:rFonts w:ascii="Arial" w:eastAsia="Calibri" w:hAnsi="Arial" w:cs="Arial"/>
          <w:kern w:val="0"/>
          <w:sz w:val="20"/>
          <w:szCs w:val="20"/>
          <w:lang w:eastAsia="en-IN"/>
        </w:rPr>
        <w:t xml:space="preserve"> The plant growth promoting bacteria </w:t>
      </w:r>
      <w:r w:rsidRPr="00452776">
        <w:rPr>
          <w:rFonts w:ascii="Arial" w:eastAsia="Calibri" w:hAnsi="Arial" w:cs="Arial"/>
          <w:i/>
          <w:kern w:val="0"/>
          <w:sz w:val="20"/>
          <w:szCs w:val="20"/>
          <w:lang w:eastAsia="en-IN"/>
        </w:rPr>
        <w:t>Gluconacetobacterdiazotrophicus</w:t>
      </w:r>
      <w:r w:rsidRPr="00452776">
        <w:rPr>
          <w:rFonts w:ascii="Arial" w:eastAsia="Calibri" w:hAnsi="Arial" w:cs="Arial"/>
          <w:kern w:val="0"/>
          <w:sz w:val="20"/>
          <w:szCs w:val="20"/>
          <w:lang w:eastAsia="en-IN"/>
        </w:rPr>
        <w:t xml:space="preserve"> and </w:t>
      </w:r>
      <w:r w:rsidRPr="00452776">
        <w:rPr>
          <w:rFonts w:ascii="Arial" w:eastAsia="Calibri" w:hAnsi="Arial" w:cs="Arial"/>
          <w:i/>
          <w:kern w:val="0"/>
          <w:sz w:val="20"/>
          <w:szCs w:val="20"/>
          <w:lang w:eastAsia="en-IN"/>
        </w:rPr>
        <w:t>Azospirillumbrasilense</w:t>
      </w:r>
      <w:r w:rsidRPr="00452776">
        <w:rPr>
          <w:rFonts w:ascii="Arial" w:eastAsia="Calibri" w:hAnsi="Arial" w:cs="Arial"/>
          <w:kern w:val="0"/>
          <w:sz w:val="20"/>
          <w:szCs w:val="20"/>
          <w:lang w:eastAsia="en-IN"/>
        </w:rPr>
        <w:t xml:space="preserve"> contribute to the iron nutrition of strawberry plants through siderophores production. </w:t>
      </w:r>
      <w:r w:rsidRPr="00452776">
        <w:rPr>
          <w:rFonts w:ascii="Arial" w:eastAsia="Calibri" w:hAnsi="Arial" w:cs="Arial"/>
          <w:i/>
          <w:kern w:val="0"/>
          <w:sz w:val="20"/>
          <w:szCs w:val="20"/>
          <w:lang w:eastAsia="en-IN"/>
        </w:rPr>
        <w:t>Plant Growth Regul.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91</w:t>
      </w:r>
      <w:r w:rsidRPr="00452776">
        <w:rPr>
          <w:rFonts w:ascii="Arial" w:eastAsia="Calibri" w:hAnsi="Arial" w:cs="Arial"/>
          <w:kern w:val="0"/>
          <w:sz w:val="20"/>
          <w:szCs w:val="20"/>
          <w:lang w:eastAsia="en-IN"/>
        </w:rPr>
        <w:t xml:space="preserve">(2): 185–199. </w:t>
      </w:r>
      <w:hyperlink r:id="rId26" w:history="1">
        <w:r w:rsidRPr="00452776">
          <w:rPr>
            <w:rFonts w:ascii="Arial" w:eastAsia="Calibri" w:hAnsi="Arial" w:cs="Arial"/>
            <w:kern w:val="0"/>
            <w:sz w:val="20"/>
            <w:szCs w:val="20"/>
            <w:lang w:eastAsia="en-IN"/>
          </w:rPr>
          <w:t>https://doi.org/10.1007/s10725-020-00598-0</w:t>
        </w:r>
      </w:hyperlink>
    </w:p>
    <w:p w:rsidR="00452776" w:rsidRPr="00452776" w:rsidRDefault="00452776" w:rsidP="00452776">
      <w:pPr>
        <w:widowControl w:val="0"/>
        <w:spacing w:before="280" w:after="120" w:line="324" w:lineRule="auto"/>
        <w:ind w:left="720" w:hanging="720"/>
        <w:jc w:val="both"/>
        <w:rPr>
          <w:rFonts w:ascii="Arial" w:eastAsia="Times New Roman" w:hAnsi="Arial" w:cs="Arial"/>
          <w:bCs/>
          <w:kern w:val="0"/>
          <w:sz w:val="20"/>
          <w:szCs w:val="20"/>
          <w:lang w:val="en-US"/>
        </w:rPr>
      </w:pPr>
      <w:r w:rsidRPr="00452776">
        <w:rPr>
          <w:rFonts w:ascii="Arial" w:eastAsia="Times New Roman" w:hAnsi="Arial" w:cs="Arial"/>
          <w:b/>
          <w:kern w:val="0"/>
          <w:sz w:val="20"/>
          <w:szCs w:val="20"/>
          <w:lang w:val="en-US"/>
        </w:rPr>
        <w:t xml:space="preserve">Desai, A. and Archana, G. 2011. </w:t>
      </w:r>
      <w:r w:rsidRPr="00452776">
        <w:rPr>
          <w:rFonts w:ascii="Arial" w:eastAsia="Times New Roman" w:hAnsi="Arial" w:cs="Arial"/>
          <w:bCs/>
          <w:kern w:val="0"/>
          <w:sz w:val="20"/>
          <w:szCs w:val="20"/>
          <w:lang w:val="en-US"/>
        </w:rPr>
        <w:t xml:space="preserve">Role of Siderophores in Crop Improvement. </w:t>
      </w:r>
      <w:r w:rsidRPr="00452776">
        <w:rPr>
          <w:rFonts w:ascii="Arial" w:eastAsia="Times New Roman" w:hAnsi="Arial" w:cs="Arial"/>
          <w:bCs/>
          <w:i/>
          <w:iCs/>
          <w:kern w:val="0"/>
          <w:sz w:val="20"/>
          <w:szCs w:val="20"/>
          <w:lang w:val="en-US"/>
        </w:rPr>
        <w:t>In: ‘Maheshwari, D. (Eds.) Bacteria in Agrobiology: Plant Nutrient Management’</w:t>
      </w:r>
      <w:r w:rsidRPr="00452776">
        <w:rPr>
          <w:rFonts w:ascii="Arial" w:eastAsia="Times New Roman" w:hAnsi="Arial" w:cs="Arial"/>
          <w:bCs/>
          <w:kern w:val="0"/>
          <w:sz w:val="20"/>
          <w:szCs w:val="20"/>
          <w:lang w:val="en-US"/>
        </w:rPr>
        <w:t>. Springer, Berlin, Heidelberg. pp 109-139.</w:t>
      </w:r>
    </w:p>
    <w:p w:rsidR="00452776" w:rsidRPr="00452776" w:rsidRDefault="00452776" w:rsidP="00452776">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Devi, R., Kaur, T., Kour, D., Yadav, A. N. and Suman, A. 2022. </w:t>
      </w:r>
      <w:r w:rsidRPr="00452776">
        <w:rPr>
          <w:rFonts w:ascii="Arial" w:eastAsia="Times New Roman" w:hAnsi="Arial" w:cs="Arial"/>
          <w:kern w:val="0"/>
          <w:sz w:val="20"/>
          <w:szCs w:val="20"/>
          <w:lang w:val="en-US"/>
        </w:rPr>
        <w:t>Potential applications of mineral solubilizing rhizospheric and nitrogen fixing endophytic bacteria as microbial consortium for the growth promotion of chilli (</w:t>
      </w:r>
      <w:r w:rsidRPr="00452776">
        <w:rPr>
          <w:rFonts w:ascii="Arial" w:eastAsia="Times New Roman" w:hAnsi="Arial" w:cs="Arial"/>
          <w:i/>
          <w:kern w:val="0"/>
          <w:sz w:val="20"/>
          <w:szCs w:val="20"/>
          <w:lang w:val="en-US"/>
        </w:rPr>
        <w:t xml:space="preserve">Capsicum annum </w:t>
      </w:r>
      <w:r w:rsidRPr="00452776">
        <w:rPr>
          <w:rFonts w:ascii="Arial" w:eastAsia="Times New Roman" w:hAnsi="Arial" w:cs="Arial"/>
          <w:kern w:val="0"/>
          <w:sz w:val="20"/>
          <w:szCs w:val="20"/>
          <w:lang w:val="en-US"/>
        </w:rPr>
        <w:t xml:space="preserve">L.). </w:t>
      </w:r>
      <w:r w:rsidRPr="00452776">
        <w:rPr>
          <w:rFonts w:ascii="Arial" w:eastAsia="Times New Roman" w:hAnsi="Arial" w:cs="Arial"/>
          <w:i/>
          <w:kern w:val="0"/>
          <w:sz w:val="20"/>
          <w:szCs w:val="20"/>
          <w:lang w:val="en-US"/>
        </w:rPr>
        <w:t>Biologia</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77(10): 2933-2943.</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Dong, O. X. and Ronald, P. C. 2019.</w:t>
      </w:r>
      <w:r w:rsidRPr="00452776">
        <w:rPr>
          <w:rFonts w:ascii="Arial" w:eastAsia="Calibri" w:hAnsi="Arial" w:cs="Arial"/>
          <w:kern w:val="0"/>
          <w:sz w:val="20"/>
          <w:szCs w:val="20"/>
          <w:lang w:eastAsia="en-IN"/>
        </w:rPr>
        <w:t xml:space="preserve"> Genetic engineering for disease resistance in plants: Recent progress and future perspectives. </w:t>
      </w:r>
      <w:r w:rsidRPr="00452776">
        <w:rPr>
          <w:rFonts w:ascii="Arial" w:eastAsia="Calibri" w:hAnsi="Arial" w:cs="Arial"/>
          <w:i/>
          <w:kern w:val="0"/>
          <w:sz w:val="20"/>
          <w:szCs w:val="20"/>
          <w:lang w:eastAsia="en-IN"/>
        </w:rPr>
        <w:t>Plant Physiol.</w:t>
      </w:r>
      <w:r w:rsidRPr="00452776">
        <w:rPr>
          <w:rFonts w:ascii="Arial" w:eastAsia="Calibri" w:hAnsi="Arial" w:cs="Arial"/>
          <w:kern w:val="0"/>
          <w:sz w:val="20"/>
          <w:szCs w:val="20"/>
          <w:lang w:eastAsia="en-IN"/>
        </w:rPr>
        <w:t>, </w:t>
      </w:r>
      <w:r w:rsidRPr="00452776">
        <w:rPr>
          <w:rFonts w:ascii="Arial" w:eastAsia="Calibri" w:hAnsi="Arial" w:cs="Arial"/>
          <w:iCs/>
          <w:kern w:val="0"/>
          <w:sz w:val="20"/>
          <w:szCs w:val="20"/>
          <w:lang w:eastAsia="en-IN"/>
        </w:rPr>
        <w:t>180</w:t>
      </w:r>
      <w:r w:rsidRPr="00452776">
        <w:rPr>
          <w:rFonts w:ascii="Arial" w:eastAsia="Calibri" w:hAnsi="Arial" w:cs="Arial"/>
          <w:kern w:val="0"/>
          <w:sz w:val="20"/>
          <w:szCs w:val="20"/>
          <w:lang w:eastAsia="en-IN"/>
        </w:rPr>
        <w:t xml:space="preserve">(1): 26–38. </w:t>
      </w:r>
      <w:hyperlink r:id="rId27" w:history="1">
        <w:r w:rsidRPr="00452776">
          <w:rPr>
            <w:rFonts w:ascii="Arial" w:eastAsia="Calibri" w:hAnsi="Arial" w:cs="Arial"/>
            <w:kern w:val="0"/>
            <w:sz w:val="20"/>
            <w:szCs w:val="20"/>
            <w:lang w:eastAsia="en-IN"/>
          </w:rPr>
          <w:t>https://doi.org/10.1104/pp.18.01224</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Duca, D., Lorv, J., Patten, C. L., Rose, D. and Glick, B. R. 2014.</w:t>
      </w:r>
      <w:r w:rsidRPr="00452776">
        <w:rPr>
          <w:rFonts w:ascii="Arial" w:eastAsia="Calibri" w:hAnsi="Arial" w:cs="Arial"/>
          <w:kern w:val="0"/>
          <w:sz w:val="20"/>
          <w:szCs w:val="20"/>
          <w:lang w:eastAsia="en-IN"/>
        </w:rPr>
        <w:t xml:space="preserve"> Indole-3-acetic acid in plant–microbe interactions. </w:t>
      </w:r>
      <w:r w:rsidRPr="00452776">
        <w:rPr>
          <w:rFonts w:ascii="Arial" w:eastAsia="Calibri" w:hAnsi="Arial" w:cs="Arial"/>
          <w:i/>
          <w:kern w:val="0"/>
          <w:sz w:val="20"/>
          <w:szCs w:val="20"/>
          <w:lang w:eastAsia="en-IN"/>
        </w:rPr>
        <w:t>Antonie Van Leeuwenhoek</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106</w:t>
      </w:r>
      <w:r w:rsidRPr="00452776">
        <w:rPr>
          <w:rFonts w:ascii="Arial" w:eastAsia="Calibri" w:hAnsi="Arial" w:cs="Arial"/>
          <w:kern w:val="0"/>
          <w:sz w:val="20"/>
          <w:szCs w:val="20"/>
          <w:lang w:eastAsia="en-IN"/>
        </w:rPr>
        <w:t xml:space="preserve">(1): 85–125. </w:t>
      </w:r>
      <w:hyperlink r:id="rId28" w:history="1">
        <w:r w:rsidRPr="00452776">
          <w:rPr>
            <w:rFonts w:ascii="Arial" w:eastAsia="Calibri" w:hAnsi="Arial" w:cs="Arial"/>
            <w:kern w:val="0"/>
            <w:sz w:val="20"/>
            <w:szCs w:val="20"/>
            <w:lang w:eastAsia="en-IN"/>
          </w:rPr>
          <w:t>https://doi.org/10.1007/s10482-013-0095-y</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Durmaz, E., Coruh, C., Dinler, G., Grusak, M. A., Peleg, Z., Saranga, Y., Fahima, T., Yazici, A., Ozturk, L. and Cakmak, I. 2011. </w:t>
      </w:r>
      <w:r w:rsidRPr="00452776">
        <w:rPr>
          <w:rFonts w:ascii="Arial" w:eastAsia="Times New Roman" w:hAnsi="Arial" w:cs="Arial"/>
          <w:kern w:val="0"/>
          <w:sz w:val="20"/>
          <w:szCs w:val="20"/>
          <w:lang w:val="en-US"/>
        </w:rPr>
        <w:t xml:space="preserve">Expression and cellular localization of ZIP1 transporter under zinc deficiency in wild emmer wheat. </w:t>
      </w:r>
      <w:r w:rsidRPr="00452776">
        <w:rPr>
          <w:rFonts w:ascii="Arial" w:eastAsia="Times New Roman" w:hAnsi="Arial" w:cs="Arial"/>
          <w:i/>
          <w:kern w:val="0"/>
          <w:sz w:val="20"/>
          <w:szCs w:val="20"/>
          <w:lang w:val="en-US"/>
        </w:rPr>
        <w:t>Plant Mol. Biol. Report</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29(3):582–596.</w:t>
      </w:r>
    </w:p>
    <w:p w:rsidR="00452776" w:rsidRPr="00452776" w:rsidRDefault="00452776" w:rsidP="00452776">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Fadiji, A. E. and Babalola, O. O. 2020. </w:t>
      </w:r>
      <w:r w:rsidRPr="00452776">
        <w:rPr>
          <w:rFonts w:ascii="Arial" w:eastAsia="Times New Roman" w:hAnsi="Arial" w:cs="Arial"/>
          <w:kern w:val="0"/>
          <w:sz w:val="20"/>
          <w:szCs w:val="20"/>
          <w:lang w:val="en-US"/>
        </w:rPr>
        <w:t xml:space="preserve">Elucidating mechanisms of endophytes used in plant protection and other bioactivities with multifunctional prospects. </w:t>
      </w:r>
      <w:r w:rsidRPr="00452776">
        <w:rPr>
          <w:rFonts w:ascii="Arial" w:eastAsia="Times New Roman" w:hAnsi="Arial" w:cs="Arial"/>
          <w:i/>
          <w:kern w:val="0"/>
          <w:sz w:val="20"/>
          <w:szCs w:val="20"/>
          <w:lang w:val="en-US"/>
        </w:rPr>
        <w:t>Front. Bioeng. Biotechnol.</w:t>
      </w:r>
      <w:r w:rsidRPr="00452776">
        <w:rPr>
          <w:rFonts w:ascii="Arial" w:eastAsia="Times New Roman" w:hAnsi="Arial" w:cs="Arial"/>
          <w:kern w:val="0"/>
          <w:sz w:val="20"/>
          <w:szCs w:val="20"/>
          <w:lang w:val="en-US"/>
        </w:rPr>
        <w:t xml:space="preserve">, </w:t>
      </w:r>
      <w:r w:rsidRPr="00452776">
        <w:rPr>
          <w:rFonts w:ascii="Arial" w:eastAsia="Times New Roman" w:hAnsi="Arial" w:cs="Arial"/>
          <w:iCs/>
          <w:kern w:val="0"/>
          <w:sz w:val="20"/>
          <w:szCs w:val="20"/>
          <w:lang w:val="en-US"/>
        </w:rPr>
        <w:t>8:</w:t>
      </w:r>
      <w:r w:rsidRPr="00452776">
        <w:rPr>
          <w:rFonts w:ascii="Arial" w:eastAsia="Times New Roman" w:hAnsi="Arial" w:cs="Arial"/>
          <w:kern w:val="0"/>
          <w:sz w:val="20"/>
          <w:szCs w:val="20"/>
          <w:lang w:val="en-US"/>
        </w:rPr>
        <w:t xml:space="preserve"> 467.</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Forchetti, G., Masciarelli, O. M., Alemano, S. A., Alvarez, D. A. and Abdala, G. 2007.</w:t>
      </w:r>
      <w:r w:rsidRPr="00452776">
        <w:rPr>
          <w:rFonts w:ascii="Arial" w:eastAsia="Calibri" w:hAnsi="Arial" w:cs="Arial"/>
          <w:kern w:val="0"/>
          <w:sz w:val="20"/>
          <w:szCs w:val="20"/>
          <w:lang w:eastAsia="en-IN"/>
        </w:rPr>
        <w:t xml:space="preserve"> Endophytic bacteria in sunflower (</w:t>
      </w:r>
      <w:r w:rsidRPr="00452776">
        <w:rPr>
          <w:rFonts w:ascii="Arial" w:eastAsia="Calibri" w:hAnsi="Arial" w:cs="Arial"/>
          <w:i/>
          <w:kern w:val="0"/>
          <w:sz w:val="20"/>
          <w:szCs w:val="20"/>
          <w:lang w:eastAsia="en-IN"/>
        </w:rPr>
        <w:t>Helianthus annuus</w:t>
      </w:r>
      <w:r w:rsidRPr="00452776">
        <w:rPr>
          <w:rFonts w:ascii="Arial" w:eastAsia="Calibri" w:hAnsi="Arial" w:cs="Arial"/>
          <w:kern w:val="0"/>
          <w:sz w:val="20"/>
          <w:szCs w:val="20"/>
          <w:lang w:eastAsia="en-IN"/>
        </w:rPr>
        <w:t xml:space="preserve"> L.): Isolation, characterization, and production of </w:t>
      </w:r>
      <w:r w:rsidRPr="00452776">
        <w:rPr>
          <w:rFonts w:ascii="Arial" w:eastAsia="Calibri" w:hAnsi="Arial" w:cs="Arial"/>
          <w:kern w:val="0"/>
          <w:sz w:val="20"/>
          <w:szCs w:val="20"/>
          <w:lang w:eastAsia="en-IN"/>
        </w:rPr>
        <w:lastRenderedPageBreak/>
        <w:t xml:space="preserve">jasmonates and abscisic acid in culture medium [App]. </w:t>
      </w:r>
      <w:r w:rsidRPr="00452776">
        <w:rPr>
          <w:rFonts w:ascii="Arial" w:eastAsia="Calibri" w:hAnsi="Arial" w:cs="Arial"/>
          <w:i/>
          <w:kern w:val="0"/>
          <w:sz w:val="20"/>
          <w:szCs w:val="20"/>
          <w:lang w:eastAsia="en-IN"/>
        </w:rPr>
        <w:t>Appl. Microbiol. Biotechnol.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76</w:t>
      </w:r>
      <w:r w:rsidRPr="00452776">
        <w:rPr>
          <w:rFonts w:ascii="Arial" w:eastAsia="Calibri" w:hAnsi="Arial" w:cs="Arial"/>
          <w:kern w:val="0"/>
          <w:sz w:val="20"/>
          <w:szCs w:val="20"/>
          <w:lang w:eastAsia="en-IN"/>
        </w:rPr>
        <w:t xml:space="preserve">(5): 1145–1152. </w:t>
      </w:r>
      <w:hyperlink r:id="rId29" w:history="1">
        <w:r w:rsidRPr="00452776">
          <w:rPr>
            <w:rFonts w:ascii="Arial" w:eastAsia="Calibri" w:hAnsi="Arial" w:cs="Arial"/>
            <w:kern w:val="0"/>
            <w:sz w:val="20"/>
            <w:szCs w:val="20"/>
            <w:lang w:eastAsia="en-IN"/>
          </w:rPr>
          <w:t>https://doi.org/10.1007/s00253-007-1077-7</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 xml:space="preserve">Garg, M., Sharma, A., Vats, S., Tiwari, V., Kumari, A., Mishra, V. and Krishania, M. 2021. </w:t>
      </w:r>
      <w:r w:rsidRPr="00452776">
        <w:rPr>
          <w:rFonts w:ascii="Arial" w:eastAsia="Calibri" w:hAnsi="Arial" w:cs="Arial"/>
          <w:kern w:val="0"/>
          <w:sz w:val="20"/>
          <w:szCs w:val="20"/>
          <w:lang w:eastAsia="en-IN"/>
        </w:rPr>
        <w:t xml:space="preserve">Vitamins in cereals: A critical review of content, health effects, processing losses, bioaccessibility, fortification, and biofortification strategies for their improvement. </w:t>
      </w:r>
      <w:r w:rsidRPr="00452776">
        <w:rPr>
          <w:rFonts w:ascii="Arial" w:eastAsia="Calibri" w:hAnsi="Arial" w:cs="Arial"/>
          <w:i/>
          <w:kern w:val="0"/>
          <w:sz w:val="20"/>
          <w:szCs w:val="20"/>
          <w:lang w:eastAsia="en-IN"/>
        </w:rPr>
        <w:t>Front. Nutr.</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8</w:t>
      </w:r>
      <w:r w:rsidRPr="00452776">
        <w:rPr>
          <w:rFonts w:ascii="Arial" w:eastAsia="Calibri" w:hAnsi="Arial" w:cs="Arial"/>
          <w:kern w:val="0"/>
          <w:sz w:val="20"/>
          <w:szCs w:val="20"/>
          <w:lang w:eastAsia="en-IN"/>
        </w:rPr>
        <w:t xml:space="preserve">: 586815. </w:t>
      </w:r>
      <w:hyperlink r:id="rId30" w:history="1">
        <w:r w:rsidRPr="00452776">
          <w:rPr>
            <w:rFonts w:ascii="Arial" w:eastAsia="Calibri" w:hAnsi="Arial" w:cs="Arial"/>
            <w:kern w:val="0"/>
            <w:sz w:val="20"/>
            <w:szCs w:val="20"/>
            <w:lang w:eastAsia="en-IN"/>
          </w:rPr>
          <w:t>https://doi.org/10.3389/fnut.2021.586815</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Garg, M.</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Sharma, N.</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Sharma, S.</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Kapoor, P.</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Kumar, A.</w:t>
      </w:r>
      <w:r w:rsidRPr="00452776">
        <w:rPr>
          <w:rFonts w:ascii="Arial" w:eastAsia="Calibri" w:hAnsi="Arial" w:cs="Arial"/>
          <w:kern w:val="0"/>
          <w:sz w:val="20"/>
          <w:szCs w:val="20"/>
          <w:lang w:eastAsia="en-IN"/>
        </w:rPr>
        <w:t xml:space="preserve">, </w:t>
      </w:r>
      <w:r w:rsidRPr="00452776">
        <w:rPr>
          <w:rFonts w:ascii="Arial" w:eastAsia="Calibri" w:hAnsi="Arial" w:cs="Arial"/>
          <w:b/>
          <w:bCs/>
          <w:kern w:val="0"/>
          <w:sz w:val="20"/>
          <w:szCs w:val="20"/>
          <w:lang w:eastAsia="en-IN"/>
        </w:rPr>
        <w:t>Chunduri, V.and Arora, P.2018</w:t>
      </w:r>
      <w:r w:rsidRPr="00452776">
        <w:rPr>
          <w:rFonts w:ascii="Arial" w:eastAsia="Calibri" w:hAnsi="Arial" w:cs="Arial"/>
          <w:kern w:val="0"/>
          <w:sz w:val="20"/>
          <w:szCs w:val="20"/>
          <w:lang w:eastAsia="en-IN"/>
        </w:rPr>
        <w:t xml:space="preserve">. Biofortified crops generated by breeding, agronomy, and transgenic approaches are improving lives of millions of people around the world. </w:t>
      </w:r>
      <w:r w:rsidRPr="00452776">
        <w:rPr>
          <w:rFonts w:ascii="Arial" w:eastAsia="Calibri" w:hAnsi="Arial" w:cs="Arial"/>
          <w:i/>
          <w:kern w:val="0"/>
          <w:sz w:val="20"/>
          <w:szCs w:val="20"/>
          <w:lang w:eastAsia="en-IN"/>
        </w:rPr>
        <w:t>Front. Nutr.</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5</w:t>
      </w:r>
      <w:r w:rsidRPr="00452776">
        <w:rPr>
          <w:rFonts w:ascii="Arial" w:eastAsia="Calibri" w:hAnsi="Arial" w:cs="Arial"/>
          <w:kern w:val="0"/>
          <w:sz w:val="20"/>
          <w:szCs w:val="20"/>
          <w:lang w:eastAsia="en-IN"/>
        </w:rPr>
        <w:t xml:space="preserve">: 12. </w:t>
      </w:r>
      <w:hyperlink r:id="rId31" w:history="1">
        <w:r w:rsidRPr="00452776">
          <w:rPr>
            <w:rFonts w:ascii="Arial" w:eastAsia="Calibri" w:hAnsi="Arial" w:cs="Arial"/>
            <w:kern w:val="0"/>
            <w:sz w:val="20"/>
            <w:szCs w:val="20"/>
            <w:lang w:eastAsia="en-IN"/>
          </w:rPr>
          <w:t>https://doi.org/10.3389/fnut.2018.00012</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Genc, Y., McDonald, G. K. and Graham, R. D. 2006.</w:t>
      </w:r>
      <w:r w:rsidRPr="00452776">
        <w:rPr>
          <w:rFonts w:ascii="Arial" w:eastAsia="Calibri" w:hAnsi="Arial" w:cs="Arial"/>
          <w:kern w:val="0"/>
          <w:sz w:val="20"/>
          <w:szCs w:val="20"/>
          <w:lang w:eastAsia="en-IN"/>
        </w:rPr>
        <w:t xml:space="preserve"> Contribution of different mechanisms to zinc efficiency in bread wheat during early vegetative stage. </w:t>
      </w:r>
      <w:r w:rsidRPr="00452776">
        <w:rPr>
          <w:rFonts w:ascii="Arial" w:eastAsia="Calibri" w:hAnsi="Arial" w:cs="Arial"/>
          <w:i/>
          <w:kern w:val="0"/>
          <w:sz w:val="20"/>
          <w:szCs w:val="20"/>
          <w:lang w:eastAsia="en-IN"/>
        </w:rPr>
        <w:t>Plant Soil.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281</w:t>
      </w:r>
      <w:r w:rsidRPr="00452776">
        <w:rPr>
          <w:rFonts w:ascii="Arial" w:eastAsia="Calibri" w:hAnsi="Arial" w:cs="Arial"/>
          <w:kern w:val="0"/>
          <w:sz w:val="20"/>
          <w:szCs w:val="20"/>
          <w:lang w:eastAsia="en-IN"/>
        </w:rPr>
        <w:t xml:space="preserve">(1–2): 353–367. </w:t>
      </w:r>
      <w:hyperlink r:id="rId32" w:history="1">
        <w:r w:rsidRPr="00452776">
          <w:rPr>
            <w:rFonts w:ascii="Arial" w:eastAsia="Calibri" w:hAnsi="Arial" w:cs="Arial"/>
            <w:kern w:val="0"/>
            <w:sz w:val="20"/>
            <w:szCs w:val="20"/>
            <w:lang w:eastAsia="en-IN"/>
          </w:rPr>
          <w:t>https://doi.org/10.1007/s11104-005-4725-7</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Ghazy, N. and El-Nahrawy, S. 2021.</w:t>
      </w:r>
      <w:r w:rsidRPr="00452776">
        <w:rPr>
          <w:rFonts w:ascii="Arial" w:eastAsia="Calibri" w:hAnsi="Arial" w:cs="Arial"/>
          <w:kern w:val="0"/>
          <w:sz w:val="20"/>
          <w:szCs w:val="20"/>
          <w:lang w:eastAsia="en-IN"/>
        </w:rPr>
        <w:t xml:space="preserve"> Siderophore production by </w:t>
      </w:r>
      <w:r w:rsidRPr="00452776">
        <w:rPr>
          <w:rFonts w:ascii="Arial" w:eastAsia="Calibri" w:hAnsi="Arial" w:cs="Arial"/>
          <w:i/>
          <w:iCs/>
          <w:kern w:val="0"/>
          <w:sz w:val="20"/>
          <w:szCs w:val="20"/>
          <w:lang w:eastAsia="en-IN"/>
        </w:rPr>
        <w:t>Bacillus subtilis</w:t>
      </w:r>
      <w:r w:rsidRPr="00452776">
        <w:rPr>
          <w:rFonts w:ascii="Arial" w:eastAsia="Calibri" w:hAnsi="Arial" w:cs="Arial"/>
          <w:kern w:val="0"/>
          <w:sz w:val="20"/>
          <w:szCs w:val="20"/>
          <w:lang w:eastAsia="en-IN"/>
        </w:rPr>
        <w:t xml:space="preserve"> MF497446 and </w:t>
      </w:r>
      <w:r w:rsidRPr="00452776">
        <w:rPr>
          <w:rFonts w:ascii="Arial" w:eastAsia="Calibri" w:hAnsi="Arial" w:cs="Arial"/>
          <w:i/>
          <w:iCs/>
          <w:kern w:val="0"/>
          <w:sz w:val="20"/>
          <w:szCs w:val="20"/>
          <w:lang w:eastAsia="en-IN"/>
        </w:rPr>
        <w:t>Pseudomonas koreensis</w:t>
      </w:r>
      <w:r w:rsidRPr="00452776">
        <w:rPr>
          <w:rFonts w:ascii="Arial" w:eastAsia="Calibri" w:hAnsi="Arial" w:cs="Arial"/>
          <w:kern w:val="0"/>
          <w:sz w:val="20"/>
          <w:szCs w:val="20"/>
          <w:lang w:eastAsia="en-IN"/>
        </w:rPr>
        <w:t xml:space="preserve"> MG209738 and their efficacy in controlling </w:t>
      </w:r>
      <w:r w:rsidRPr="00452776">
        <w:rPr>
          <w:rFonts w:ascii="Arial" w:eastAsia="Calibri" w:hAnsi="Arial" w:cs="Arial"/>
          <w:i/>
          <w:iCs/>
          <w:kern w:val="0"/>
          <w:sz w:val="20"/>
          <w:szCs w:val="20"/>
          <w:lang w:eastAsia="en-IN"/>
        </w:rPr>
        <w:t>Cephalosporium maydis</w:t>
      </w:r>
      <w:r w:rsidRPr="00452776">
        <w:rPr>
          <w:rFonts w:ascii="Arial" w:eastAsia="Calibri" w:hAnsi="Arial" w:cs="Arial"/>
          <w:kern w:val="0"/>
          <w:sz w:val="20"/>
          <w:szCs w:val="20"/>
          <w:lang w:eastAsia="en-IN"/>
        </w:rPr>
        <w:t xml:space="preserve"> in maize plant. </w:t>
      </w:r>
      <w:r w:rsidRPr="00452776">
        <w:rPr>
          <w:rFonts w:ascii="Arial" w:eastAsia="Calibri" w:hAnsi="Arial" w:cs="Arial"/>
          <w:i/>
          <w:kern w:val="0"/>
          <w:sz w:val="20"/>
          <w:szCs w:val="20"/>
          <w:lang w:eastAsia="en-IN"/>
        </w:rPr>
        <w:t>Arch. Microbiol.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203</w:t>
      </w:r>
      <w:r w:rsidRPr="00452776">
        <w:rPr>
          <w:rFonts w:ascii="Arial" w:eastAsia="Calibri" w:hAnsi="Arial" w:cs="Arial"/>
          <w:kern w:val="0"/>
          <w:sz w:val="20"/>
          <w:szCs w:val="20"/>
          <w:lang w:eastAsia="en-IN"/>
        </w:rPr>
        <w:t xml:space="preserve">(3): 1195–1209. </w:t>
      </w:r>
      <w:hyperlink r:id="rId33" w:history="1">
        <w:r w:rsidRPr="00452776">
          <w:rPr>
            <w:rFonts w:ascii="Arial" w:eastAsia="Calibri" w:hAnsi="Arial" w:cs="Arial"/>
            <w:kern w:val="0"/>
            <w:sz w:val="20"/>
            <w:szCs w:val="20"/>
            <w:lang w:eastAsia="en-IN"/>
          </w:rPr>
          <w:t>https://doi.org/10.1007/s00203-020-02113-5</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Giri, A., Heckathorn, S., Mishra, S. and Krause, C. 2017.</w:t>
      </w:r>
      <w:r w:rsidRPr="00452776">
        <w:rPr>
          <w:rFonts w:ascii="Arial" w:eastAsia="Calibri" w:hAnsi="Arial" w:cs="Arial"/>
          <w:kern w:val="0"/>
          <w:sz w:val="20"/>
          <w:szCs w:val="20"/>
          <w:lang w:eastAsia="en-IN"/>
        </w:rPr>
        <w:t xml:space="preserve"> Heat stress decreases levels of nutrient uptake and assimilation proteins in tomato roots. </w:t>
      </w:r>
      <w:r w:rsidRPr="00452776">
        <w:rPr>
          <w:rFonts w:ascii="Arial" w:eastAsia="Calibri" w:hAnsi="Arial" w:cs="Arial"/>
          <w:i/>
          <w:kern w:val="0"/>
          <w:sz w:val="20"/>
          <w:szCs w:val="20"/>
          <w:lang w:eastAsia="en-IN"/>
        </w:rPr>
        <w:t>Plants</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6</w:t>
      </w:r>
      <w:r w:rsidRPr="00452776">
        <w:rPr>
          <w:rFonts w:ascii="Arial" w:eastAsia="Calibri" w:hAnsi="Arial" w:cs="Arial"/>
          <w:kern w:val="0"/>
          <w:sz w:val="20"/>
          <w:szCs w:val="20"/>
          <w:lang w:eastAsia="en-IN"/>
        </w:rPr>
        <w:t>(1): 6. </w:t>
      </w:r>
      <w:hyperlink r:id="rId34" w:history="1">
        <w:r w:rsidRPr="00452776">
          <w:rPr>
            <w:rFonts w:ascii="Arial" w:eastAsia="Calibri" w:hAnsi="Arial" w:cs="Arial"/>
            <w:kern w:val="0"/>
            <w:sz w:val="20"/>
            <w:szCs w:val="20"/>
            <w:lang w:eastAsia="en-IN"/>
          </w:rPr>
          <w:t>https://doi.org/10.3390/plants6010006</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Gomez-Coronado, F., Poblaciones, M. J., Almeida, A. S. and Cakmak, I. 2016</w:t>
      </w:r>
      <w:r w:rsidRPr="00452776">
        <w:rPr>
          <w:rFonts w:ascii="Arial" w:eastAsia="Calibri" w:hAnsi="Arial" w:cs="Arial"/>
          <w:kern w:val="0"/>
          <w:sz w:val="20"/>
          <w:szCs w:val="20"/>
          <w:lang w:eastAsia="en-IN"/>
        </w:rPr>
        <w:t xml:space="preserve">. Zinc (Zn) concentration of bread wheat grown under Mediterranean conditions as affected by genotype and soil/foliar Zn application. </w:t>
      </w:r>
      <w:r w:rsidRPr="00452776">
        <w:rPr>
          <w:rFonts w:ascii="Arial" w:eastAsia="Calibri" w:hAnsi="Arial" w:cs="Arial"/>
          <w:i/>
          <w:kern w:val="0"/>
          <w:sz w:val="20"/>
          <w:szCs w:val="20"/>
          <w:lang w:eastAsia="en-IN"/>
        </w:rPr>
        <w:t>Plant Soil.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401</w:t>
      </w:r>
      <w:r w:rsidRPr="00452776">
        <w:rPr>
          <w:rFonts w:ascii="Arial" w:eastAsia="Calibri" w:hAnsi="Arial" w:cs="Arial"/>
          <w:kern w:val="0"/>
          <w:sz w:val="20"/>
          <w:szCs w:val="20"/>
          <w:lang w:eastAsia="en-IN"/>
        </w:rPr>
        <w:t xml:space="preserve">(1–2): 331–346. </w:t>
      </w:r>
      <w:hyperlink r:id="rId35" w:history="1">
        <w:r w:rsidRPr="00452776">
          <w:rPr>
            <w:rFonts w:ascii="Arial" w:eastAsia="Calibri" w:hAnsi="Arial" w:cs="Arial"/>
            <w:kern w:val="0"/>
            <w:sz w:val="20"/>
            <w:szCs w:val="20"/>
            <w:lang w:eastAsia="en-IN"/>
          </w:rPr>
          <w:t>https://doi.org/10.1007/s11104-015-2758-0</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Gopalakrishnan, S., Srinivas, V. and Prasanna, S. L. 2020. </w:t>
      </w:r>
      <w:r w:rsidRPr="00452776">
        <w:rPr>
          <w:rFonts w:ascii="Arial" w:eastAsia="Times New Roman" w:hAnsi="Arial" w:cs="Arial"/>
          <w:kern w:val="0"/>
          <w:sz w:val="20"/>
          <w:szCs w:val="20"/>
          <w:lang w:val="en-US"/>
        </w:rPr>
        <w:t xml:space="preserve">Streptomyces. </w:t>
      </w:r>
      <w:r w:rsidRPr="00452776">
        <w:rPr>
          <w:rFonts w:ascii="Arial" w:eastAsia="Times New Roman" w:hAnsi="Arial" w:cs="Arial"/>
          <w:i/>
          <w:iCs/>
          <w:kern w:val="0"/>
          <w:sz w:val="20"/>
          <w:szCs w:val="20"/>
          <w:lang w:val="en-US"/>
        </w:rPr>
        <w:t>In: ‘Amaresan N, Kumar, M. S., Annapurna, K., Kumar, K. and Sankaranarayanan, A (Eds.) Beneficial Microbes in Agro-Ecology</w:t>
      </w:r>
      <w:r w:rsidRPr="00452776">
        <w:rPr>
          <w:rFonts w:ascii="Arial" w:eastAsia="Times New Roman" w:hAnsi="Arial" w:cs="Arial"/>
          <w:kern w:val="0"/>
          <w:sz w:val="20"/>
          <w:szCs w:val="20"/>
          <w:lang w:val="en-US"/>
        </w:rPr>
        <w:t>’. Academic Press, Amsterdam. pp 55–71.</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hAnsi="Arial" w:cs="Arial"/>
          <w:b/>
          <w:sz w:val="20"/>
          <w:szCs w:val="20"/>
          <w:shd w:val="clear" w:color="auto" w:fill="FFFFFF"/>
        </w:rPr>
        <w:t>Gopalakrishnan, S., Vadlamudi, S., Samineni, S., &amp; Sameer Kumar, C. (2016)</w:t>
      </w:r>
      <w:r w:rsidRPr="00452776">
        <w:rPr>
          <w:rFonts w:ascii="Arial" w:hAnsi="Arial" w:cs="Arial"/>
          <w:sz w:val="20"/>
          <w:szCs w:val="20"/>
          <w:shd w:val="clear" w:color="auto" w:fill="FFFFFF"/>
        </w:rPr>
        <w:t>. Plant growth-promotion and biofortification of chickpea and pigeonpea through inoculation of biocontrol potential bacteria, isolated from organic soils. </w:t>
      </w:r>
      <w:r w:rsidRPr="00452776">
        <w:rPr>
          <w:rFonts w:ascii="Arial" w:hAnsi="Arial" w:cs="Arial"/>
          <w:i/>
          <w:iCs/>
          <w:sz w:val="20"/>
          <w:szCs w:val="20"/>
          <w:shd w:val="clear" w:color="auto" w:fill="FFFFFF"/>
        </w:rPr>
        <w:t>Springerplus</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5</w:t>
      </w:r>
      <w:r w:rsidRPr="00452776">
        <w:rPr>
          <w:rFonts w:ascii="Arial" w:hAnsi="Arial" w:cs="Arial"/>
          <w:sz w:val="20"/>
          <w:szCs w:val="20"/>
          <w:shd w:val="clear" w:color="auto" w:fill="FFFFFF"/>
        </w:rPr>
        <w:t>, 1-11.</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Gosal, S., Karlupia, A., Gosal, S., Chhibba, I. and Varma, A. 2010.</w:t>
      </w:r>
      <w:r w:rsidRPr="00452776">
        <w:rPr>
          <w:rFonts w:ascii="Arial" w:eastAsia="Calibri" w:hAnsi="Arial" w:cs="Arial"/>
          <w:kern w:val="0"/>
          <w:sz w:val="20"/>
          <w:szCs w:val="20"/>
          <w:lang w:eastAsia="en-IN"/>
        </w:rPr>
        <w:t xml:space="preserve">Biotization with </w:t>
      </w:r>
      <w:r w:rsidRPr="00452776">
        <w:rPr>
          <w:rFonts w:ascii="Arial" w:eastAsia="Calibri" w:hAnsi="Arial" w:cs="Arial"/>
          <w:i/>
          <w:kern w:val="0"/>
          <w:sz w:val="20"/>
          <w:szCs w:val="20"/>
          <w:lang w:eastAsia="en-IN"/>
        </w:rPr>
        <w:t>Piriformosporaindica</w:t>
      </w:r>
      <w:r w:rsidRPr="00452776">
        <w:rPr>
          <w:rFonts w:ascii="Arial" w:eastAsia="Calibri" w:hAnsi="Arial" w:cs="Arial"/>
          <w:kern w:val="0"/>
          <w:sz w:val="20"/>
          <w:szCs w:val="20"/>
          <w:lang w:eastAsia="en-IN"/>
        </w:rPr>
        <w:t xml:space="preserve"> and </w:t>
      </w:r>
      <w:r w:rsidRPr="00452776">
        <w:rPr>
          <w:rFonts w:ascii="Arial" w:eastAsia="Calibri" w:hAnsi="Arial" w:cs="Arial"/>
          <w:i/>
          <w:kern w:val="0"/>
          <w:sz w:val="20"/>
          <w:szCs w:val="20"/>
          <w:lang w:eastAsia="en-IN"/>
        </w:rPr>
        <w:t>Pseudomonas fluorescens</w:t>
      </w:r>
      <w:r w:rsidRPr="00452776">
        <w:rPr>
          <w:rFonts w:ascii="Arial" w:eastAsia="Calibri" w:hAnsi="Arial" w:cs="Arial"/>
          <w:kern w:val="0"/>
          <w:sz w:val="20"/>
          <w:szCs w:val="20"/>
          <w:lang w:eastAsia="en-IN"/>
        </w:rPr>
        <w:t xml:space="preserve"> improves survival rate, nutrient acquisition, field performance and saponin content of micropropagated</w:t>
      </w:r>
      <w:r w:rsidRPr="00452776">
        <w:rPr>
          <w:rFonts w:ascii="Arial" w:eastAsia="Calibri" w:hAnsi="Arial" w:cs="Arial"/>
          <w:i/>
          <w:kern w:val="0"/>
          <w:sz w:val="20"/>
          <w:szCs w:val="20"/>
          <w:lang w:eastAsia="en-IN"/>
        </w:rPr>
        <w:t>Chlorophytum</w:t>
      </w:r>
      <w:r w:rsidRPr="00452776">
        <w:rPr>
          <w:rFonts w:ascii="Arial" w:eastAsia="Calibri" w:hAnsi="Arial" w:cs="Arial"/>
          <w:kern w:val="0"/>
          <w:sz w:val="20"/>
          <w:szCs w:val="20"/>
          <w:lang w:eastAsia="en-IN"/>
        </w:rPr>
        <w:t xml:space="preserve"> sp. </w:t>
      </w:r>
      <w:r w:rsidRPr="00452776">
        <w:rPr>
          <w:rFonts w:ascii="Arial" w:eastAsia="Calibri" w:hAnsi="Arial" w:cs="Arial"/>
          <w:i/>
          <w:iCs/>
          <w:kern w:val="0"/>
          <w:sz w:val="20"/>
          <w:szCs w:val="20"/>
          <w:lang w:eastAsia="en-IN"/>
        </w:rPr>
        <w:t>Indian J. Biotech.</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9</w:t>
      </w:r>
      <w:r w:rsidRPr="00452776">
        <w:rPr>
          <w:rFonts w:ascii="Arial" w:eastAsia="Calibri" w:hAnsi="Arial" w:cs="Arial"/>
          <w:kern w:val="0"/>
          <w:sz w:val="20"/>
          <w:szCs w:val="20"/>
          <w:lang w:eastAsia="en-IN"/>
        </w:rPr>
        <w:t>: 289–297.</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 xml:space="preserve">Grover, M., Bodhankar, S., Sharma, A., Sharma, P., Singh, J. and Nain, L. 2021. </w:t>
      </w:r>
      <w:r w:rsidRPr="00452776">
        <w:rPr>
          <w:rFonts w:ascii="Arial" w:eastAsia="Calibri" w:hAnsi="Arial" w:cs="Arial"/>
          <w:kern w:val="0"/>
          <w:sz w:val="20"/>
          <w:szCs w:val="20"/>
          <w:lang w:eastAsia="en-IN"/>
        </w:rPr>
        <w:t xml:space="preserve">PGPR mediated alterations in root traits: Way toward sustainable crop production. </w:t>
      </w:r>
      <w:r w:rsidRPr="00452776">
        <w:rPr>
          <w:rFonts w:ascii="Arial" w:eastAsia="Calibri" w:hAnsi="Arial" w:cs="Arial"/>
          <w:i/>
          <w:kern w:val="0"/>
          <w:sz w:val="20"/>
          <w:szCs w:val="20"/>
          <w:lang w:eastAsia="en-IN"/>
        </w:rPr>
        <w:t>Front. Sustain. Food Syst.</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lastRenderedPageBreak/>
        <w:t>4</w:t>
      </w:r>
      <w:r w:rsidRPr="00452776">
        <w:rPr>
          <w:rFonts w:ascii="Arial" w:eastAsia="Calibri" w:hAnsi="Arial" w:cs="Arial"/>
          <w:kern w:val="0"/>
          <w:sz w:val="20"/>
          <w:szCs w:val="20"/>
          <w:lang w:eastAsia="en-IN"/>
        </w:rPr>
        <w:t xml:space="preserve">: 618230. </w:t>
      </w:r>
      <w:hyperlink r:id="rId36" w:history="1">
        <w:r w:rsidRPr="00452776">
          <w:rPr>
            <w:rFonts w:ascii="Arial" w:eastAsia="Calibri" w:hAnsi="Arial" w:cs="Arial"/>
            <w:kern w:val="0"/>
            <w:sz w:val="20"/>
            <w:szCs w:val="20"/>
            <w:lang w:eastAsia="en-IN"/>
          </w:rPr>
          <w:t>https://doi.org/10.3389/fsufs.2020.618230</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Gutie´rrez-Man˜ero, F.J., Ramos-Solano, B., Probanza, A., Mehouachi, J.R., Tadeo, F. and Talon, M. 2001. </w:t>
      </w:r>
      <w:r w:rsidRPr="00452776">
        <w:rPr>
          <w:rFonts w:ascii="Arial" w:eastAsia="Times New Roman" w:hAnsi="Arial" w:cs="Arial"/>
          <w:kern w:val="0"/>
          <w:sz w:val="20"/>
          <w:szCs w:val="20"/>
          <w:lang w:val="en-US"/>
        </w:rPr>
        <w:t xml:space="preserve">The plant-growth-promoting rhizobacteria </w:t>
      </w:r>
      <w:r w:rsidRPr="00452776">
        <w:rPr>
          <w:rFonts w:ascii="Arial" w:eastAsia="Times New Roman" w:hAnsi="Arial" w:cs="Arial"/>
          <w:i/>
          <w:kern w:val="0"/>
          <w:sz w:val="20"/>
          <w:szCs w:val="20"/>
          <w:lang w:val="en-US"/>
        </w:rPr>
        <w:t xml:space="preserve">Bacillus pumilus </w:t>
      </w:r>
      <w:r w:rsidRPr="00452776">
        <w:rPr>
          <w:rFonts w:ascii="Arial" w:eastAsia="Times New Roman" w:hAnsi="Arial" w:cs="Arial"/>
          <w:kern w:val="0"/>
          <w:sz w:val="20"/>
          <w:szCs w:val="20"/>
          <w:lang w:val="en-US"/>
        </w:rPr>
        <w:t xml:space="preserve">and </w:t>
      </w:r>
      <w:r w:rsidRPr="00452776">
        <w:rPr>
          <w:rFonts w:ascii="Arial" w:eastAsia="Times New Roman" w:hAnsi="Arial" w:cs="Arial"/>
          <w:i/>
          <w:kern w:val="0"/>
          <w:sz w:val="20"/>
          <w:szCs w:val="20"/>
          <w:lang w:val="en-US"/>
        </w:rPr>
        <w:t xml:space="preserve">Bacillus licheniformis </w:t>
      </w:r>
      <w:r w:rsidRPr="00452776">
        <w:rPr>
          <w:rFonts w:ascii="Arial" w:eastAsia="Times New Roman" w:hAnsi="Arial" w:cs="Arial"/>
          <w:kern w:val="0"/>
          <w:sz w:val="20"/>
          <w:szCs w:val="20"/>
          <w:lang w:val="en-US"/>
        </w:rPr>
        <w:t xml:space="preserve">produce high amounts of physiologically active gibberellins. </w:t>
      </w:r>
      <w:r w:rsidRPr="00452776">
        <w:rPr>
          <w:rFonts w:ascii="Arial" w:eastAsia="Times New Roman" w:hAnsi="Arial" w:cs="Arial"/>
          <w:i/>
          <w:kern w:val="0"/>
          <w:sz w:val="20"/>
          <w:szCs w:val="20"/>
          <w:lang w:val="en-US"/>
        </w:rPr>
        <w:t>Physiol. Plant</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111: 206–2.</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Haider, M. U., Farooq, M., Nawaz, A. and Hussain, M. 2018a</w:t>
      </w:r>
      <w:r w:rsidRPr="00452776">
        <w:rPr>
          <w:rFonts w:ascii="Arial" w:eastAsia="Calibri" w:hAnsi="Arial" w:cs="Arial"/>
          <w:kern w:val="0"/>
          <w:sz w:val="20"/>
          <w:szCs w:val="20"/>
          <w:lang w:eastAsia="en-IN"/>
        </w:rPr>
        <w:t xml:space="preserve">. Foliage applied zinc ensures better growth, yield and grain biofortification of mungbean. </w:t>
      </w:r>
      <w:r w:rsidRPr="00452776">
        <w:rPr>
          <w:rFonts w:ascii="Arial" w:eastAsia="Calibri" w:hAnsi="Arial" w:cs="Arial"/>
          <w:i/>
          <w:kern w:val="0"/>
          <w:sz w:val="20"/>
          <w:szCs w:val="20"/>
          <w:lang w:eastAsia="en-IN"/>
        </w:rPr>
        <w:t>Int. J. Agric. 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20</w:t>
      </w:r>
      <w:r w:rsidRPr="00452776">
        <w:rPr>
          <w:rFonts w:ascii="Arial" w:eastAsia="Calibri" w:hAnsi="Arial" w:cs="Arial"/>
          <w:kern w:val="0"/>
          <w:sz w:val="20"/>
          <w:szCs w:val="20"/>
          <w:lang w:eastAsia="en-IN"/>
        </w:rPr>
        <w:t xml:space="preserve">: 2817–2822. </w:t>
      </w:r>
      <w:hyperlink r:id="rId37" w:history="1">
        <w:r w:rsidRPr="00452776">
          <w:rPr>
            <w:rFonts w:ascii="Arial" w:eastAsia="Calibri" w:hAnsi="Arial" w:cs="Arial"/>
            <w:kern w:val="0"/>
            <w:sz w:val="20"/>
            <w:szCs w:val="20"/>
            <w:lang w:eastAsia="en-IN"/>
          </w:rPr>
          <w:t>https://doi.org/10.17957/IJAB/15.0840</w:t>
        </w:r>
      </w:hyperlink>
    </w:p>
    <w:p w:rsidR="00452776" w:rsidRPr="00452776" w:rsidRDefault="00452776" w:rsidP="00452776">
      <w:pPr>
        <w:widowControl w:val="0"/>
        <w:spacing w:before="280" w:after="120" w:line="324" w:lineRule="auto"/>
        <w:ind w:left="720" w:hanging="720"/>
        <w:jc w:val="both"/>
        <w:rPr>
          <w:rFonts w:ascii="Arial" w:hAnsi="Arial" w:cs="Arial"/>
          <w:sz w:val="20"/>
          <w:szCs w:val="20"/>
        </w:rPr>
      </w:pPr>
      <w:r w:rsidRPr="00452776">
        <w:rPr>
          <w:rFonts w:ascii="Arial" w:eastAsia="Calibri" w:hAnsi="Arial" w:cs="Arial"/>
          <w:b/>
          <w:bCs/>
          <w:kern w:val="0"/>
          <w:sz w:val="20"/>
          <w:szCs w:val="20"/>
          <w:lang w:eastAsia="en-IN"/>
        </w:rPr>
        <w:t>Haider, M. U., Hussain, M., Farooq, M. and Nawaz, A. 2018b.</w:t>
      </w:r>
      <w:r w:rsidRPr="00452776">
        <w:rPr>
          <w:rFonts w:ascii="Arial" w:eastAsia="Calibri" w:hAnsi="Arial" w:cs="Arial"/>
          <w:kern w:val="0"/>
          <w:sz w:val="20"/>
          <w:szCs w:val="20"/>
          <w:lang w:eastAsia="en-IN"/>
        </w:rPr>
        <w:t xml:space="preserve"> Soil application of zinc improves the growth, yield and grain zinc biofortification of mungbean. </w:t>
      </w:r>
      <w:r w:rsidRPr="00452776">
        <w:rPr>
          <w:rFonts w:ascii="Arial" w:eastAsia="Calibri" w:hAnsi="Arial" w:cs="Arial"/>
          <w:i/>
          <w:kern w:val="0"/>
          <w:sz w:val="20"/>
          <w:szCs w:val="20"/>
          <w:lang w:eastAsia="en-IN"/>
        </w:rPr>
        <w:t>Soil Environ</w:t>
      </w:r>
      <w:r w:rsidRPr="00452776">
        <w:rPr>
          <w:rFonts w:ascii="Arial" w:eastAsia="Calibri" w:hAnsi="Arial" w:cs="Arial"/>
          <w:iCs/>
          <w:kern w:val="0"/>
          <w:sz w:val="20"/>
          <w:szCs w:val="20"/>
          <w:lang w:eastAsia="en-IN"/>
        </w:rPr>
        <w:t>.</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37</w:t>
      </w:r>
      <w:r w:rsidRPr="00452776">
        <w:rPr>
          <w:rFonts w:ascii="Arial" w:eastAsia="Calibri" w:hAnsi="Arial" w:cs="Arial"/>
          <w:kern w:val="0"/>
          <w:sz w:val="20"/>
          <w:szCs w:val="20"/>
          <w:lang w:eastAsia="en-IN"/>
        </w:rPr>
        <w:t xml:space="preserve">: 123–128. </w:t>
      </w:r>
      <w:hyperlink r:id="rId38" w:history="1">
        <w:r w:rsidRPr="00452776">
          <w:rPr>
            <w:rFonts w:ascii="Arial" w:eastAsia="Calibri" w:hAnsi="Arial" w:cs="Arial"/>
            <w:kern w:val="0"/>
            <w:sz w:val="20"/>
            <w:szCs w:val="20"/>
            <w:lang w:eastAsia="en-IN"/>
          </w:rPr>
          <w:t>https://doi.org/10.25252/SE/18/71610</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Havlin, J. L., Beaton, J. D., Tisdale, S. L. and Nelson, W, L.2007. </w:t>
      </w:r>
      <w:r w:rsidRPr="00452776">
        <w:rPr>
          <w:rFonts w:ascii="Arial" w:eastAsia="Times New Roman" w:hAnsi="Arial" w:cs="Arial"/>
          <w:kern w:val="0"/>
          <w:sz w:val="20"/>
          <w:szCs w:val="20"/>
          <w:lang w:val="en-US"/>
        </w:rPr>
        <w:t>Soil fertility and fertilizers: an introduction to nutrient management. Prentice Hall, Upper Saddle River, New Jersey. pp 244–289.</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Huang, S., Wang, P., Yamaji, N. and Ma, J. F. 2020</w:t>
      </w:r>
      <w:r w:rsidRPr="00452776">
        <w:rPr>
          <w:rFonts w:ascii="Arial" w:eastAsia="Calibri" w:hAnsi="Arial" w:cs="Arial"/>
          <w:kern w:val="0"/>
          <w:sz w:val="20"/>
          <w:szCs w:val="20"/>
          <w:lang w:eastAsia="en-IN"/>
        </w:rPr>
        <w:t xml:space="preserve">. Plant nutrition for human nutrition: Hints from rice research and future perspectives. </w:t>
      </w:r>
      <w:r w:rsidRPr="00452776">
        <w:rPr>
          <w:rFonts w:ascii="Arial" w:eastAsia="Calibri" w:hAnsi="Arial" w:cs="Arial"/>
          <w:i/>
          <w:kern w:val="0"/>
          <w:sz w:val="20"/>
          <w:szCs w:val="20"/>
          <w:lang w:eastAsia="en-IN"/>
        </w:rPr>
        <w:t>Mol. Plant</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13</w:t>
      </w:r>
      <w:r w:rsidRPr="00452776">
        <w:rPr>
          <w:rFonts w:ascii="Arial" w:eastAsia="Calibri" w:hAnsi="Arial" w:cs="Arial"/>
          <w:kern w:val="0"/>
          <w:sz w:val="20"/>
          <w:szCs w:val="20"/>
          <w:lang w:eastAsia="en-IN"/>
        </w:rPr>
        <w:t xml:space="preserve">(6): 825–835. </w:t>
      </w:r>
      <w:hyperlink r:id="rId39" w:history="1">
        <w:r w:rsidRPr="00452776">
          <w:rPr>
            <w:rFonts w:ascii="Arial" w:eastAsia="Calibri" w:hAnsi="Arial" w:cs="Arial"/>
            <w:kern w:val="0"/>
            <w:sz w:val="20"/>
            <w:szCs w:val="20"/>
            <w:lang w:eastAsia="en-IN"/>
          </w:rPr>
          <w:t>https://doi.org/10.1016/j.molp.2020.05.007</w:t>
        </w:r>
      </w:hyperlink>
    </w:p>
    <w:p w:rsidR="00452776" w:rsidRPr="00452776" w:rsidRDefault="00452776" w:rsidP="00452776">
      <w:pPr>
        <w:widowControl w:val="0"/>
        <w:spacing w:before="280" w:after="120" w:line="312" w:lineRule="auto"/>
        <w:ind w:left="720" w:hanging="720"/>
        <w:jc w:val="both"/>
        <w:rPr>
          <w:rFonts w:ascii="Arial" w:hAnsi="Arial" w:cs="Arial"/>
          <w:sz w:val="20"/>
          <w:szCs w:val="20"/>
          <w:lang w:val="en-GB"/>
        </w:rPr>
      </w:pPr>
      <w:r w:rsidRPr="00452776">
        <w:rPr>
          <w:rFonts w:ascii="Arial" w:eastAsia="Calibri" w:hAnsi="Arial" w:cs="Arial"/>
          <w:b/>
          <w:bCs/>
          <w:kern w:val="0"/>
          <w:sz w:val="20"/>
          <w:szCs w:val="20"/>
          <w:lang w:eastAsia="en-IN"/>
        </w:rPr>
        <w:t>Hussain, A., Zahir, Z. A., Asghar, H. N., Ahmad, M., Jamil, M. and Naveed, M. 2018.</w:t>
      </w:r>
      <w:r w:rsidRPr="00452776">
        <w:rPr>
          <w:rFonts w:ascii="Arial" w:eastAsia="Calibri" w:hAnsi="Arial" w:cs="Arial"/>
          <w:kern w:val="0"/>
          <w:sz w:val="20"/>
          <w:szCs w:val="20"/>
          <w:lang w:eastAsia="en-IN"/>
        </w:rPr>
        <w:t xml:space="preserve"> Zinc Solubilizing Bacteria for Zinc Biofortification in Cereals: A Step Toward Sustainable Nutritional Security. </w:t>
      </w:r>
      <w:r w:rsidRPr="00452776">
        <w:rPr>
          <w:rFonts w:ascii="Arial" w:eastAsia="Calibri" w:hAnsi="Arial" w:cs="Arial"/>
          <w:i/>
          <w:iCs/>
          <w:kern w:val="0"/>
          <w:sz w:val="20"/>
          <w:szCs w:val="20"/>
          <w:lang w:eastAsia="en-IN"/>
        </w:rPr>
        <w:t>In: ‘Meena, V. (Eds.) Role of Rhizospheric Microbes in Soil’</w:t>
      </w:r>
      <w:r w:rsidRPr="00452776">
        <w:rPr>
          <w:rFonts w:ascii="Arial" w:eastAsia="Calibri" w:hAnsi="Arial" w:cs="Arial"/>
          <w:kern w:val="0"/>
          <w:sz w:val="20"/>
          <w:szCs w:val="20"/>
          <w:lang w:eastAsia="en-IN"/>
        </w:rPr>
        <w:t>. Springer, Singapore. pp 203–227.</w:t>
      </w:r>
      <w:r w:rsidRPr="00452776">
        <w:rPr>
          <w:rFonts w:ascii="Arial" w:hAnsi="Arial" w:cs="Arial"/>
          <w:sz w:val="20"/>
          <w:szCs w:val="20"/>
          <w:lang w:val="en-GB"/>
        </w:rPr>
        <w:t xml:space="preserve"> </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Izquierdo, P., Astudillo, C., Blair, M. W., Iqbal, A. M., Raatz, B. and Cichy, K. A. 2018.</w:t>
      </w:r>
      <w:r w:rsidRPr="00452776">
        <w:rPr>
          <w:rFonts w:ascii="Arial" w:eastAsia="Calibri" w:hAnsi="Arial" w:cs="Arial"/>
          <w:kern w:val="0"/>
          <w:sz w:val="20"/>
          <w:szCs w:val="20"/>
          <w:lang w:eastAsia="en-IN"/>
        </w:rPr>
        <w:t xml:space="preserve"> Meta-QTL analysis of seed iron and zinc concentration and content in common bean (</w:t>
      </w:r>
      <w:r w:rsidRPr="00452776">
        <w:rPr>
          <w:rFonts w:ascii="Arial" w:eastAsia="Calibri" w:hAnsi="Arial" w:cs="Arial"/>
          <w:i/>
          <w:iCs/>
          <w:kern w:val="0"/>
          <w:sz w:val="20"/>
          <w:szCs w:val="20"/>
          <w:lang w:eastAsia="en-IN"/>
        </w:rPr>
        <w:t>Phaseolus vulgaris</w:t>
      </w:r>
      <w:r w:rsidRPr="00452776">
        <w:rPr>
          <w:rFonts w:ascii="Arial" w:eastAsia="Calibri" w:hAnsi="Arial" w:cs="Arial"/>
          <w:kern w:val="0"/>
          <w:sz w:val="20"/>
          <w:szCs w:val="20"/>
          <w:lang w:eastAsia="en-IN"/>
        </w:rPr>
        <w:t xml:space="preserve"> L.). </w:t>
      </w:r>
      <w:r w:rsidRPr="00452776">
        <w:rPr>
          <w:rFonts w:ascii="Arial" w:eastAsia="Calibri" w:hAnsi="Arial" w:cs="Arial"/>
          <w:i/>
          <w:kern w:val="0"/>
          <w:sz w:val="20"/>
          <w:szCs w:val="20"/>
          <w:lang w:eastAsia="en-IN"/>
        </w:rPr>
        <w:t>Theor. Appl. Genet.</w:t>
      </w:r>
      <w:r w:rsidRPr="00452776">
        <w:rPr>
          <w:rFonts w:ascii="Arial" w:eastAsia="Calibri" w:hAnsi="Arial" w:cs="Arial"/>
          <w:iCs/>
          <w:kern w:val="0"/>
          <w:sz w:val="20"/>
          <w:szCs w:val="20"/>
          <w:lang w:eastAsia="en-IN"/>
        </w:rPr>
        <w:t>,131</w:t>
      </w:r>
      <w:r w:rsidRPr="00452776">
        <w:rPr>
          <w:rFonts w:ascii="Arial" w:eastAsia="Calibri" w:hAnsi="Arial" w:cs="Arial"/>
          <w:kern w:val="0"/>
          <w:sz w:val="20"/>
          <w:szCs w:val="20"/>
          <w:lang w:eastAsia="en-IN"/>
        </w:rPr>
        <w:t xml:space="preserve">(8): 1645–1658. </w:t>
      </w:r>
      <w:hyperlink r:id="rId40" w:history="1">
        <w:r w:rsidRPr="00452776">
          <w:rPr>
            <w:rFonts w:ascii="Arial" w:eastAsia="Calibri" w:hAnsi="Arial" w:cs="Arial"/>
            <w:kern w:val="0"/>
            <w:sz w:val="20"/>
            <w:szCs w:val="20"/>
            <w:lang w:eastAsia="en-IN"/>
          </w:rPr>
          <w:t>https://doi.org/10.1007/s00122-018-3104-8</w:t>
        </w:r>
      </w:hyperlink>
      <w:r w:rsidRPr="00452776">
        <w:rPr>
          <w:rFonts w:ascii="Arial" w:eastAsia="Calibri" w:hAnsi="Arial" w:cs="Arial"/>
          <w:kern w:val="0"/>
          <w:sz w:val="20"/>
          <w:szCs w:val="20"/>
          <w:lang w:eastAsia="en-IN"/>
        </w:rPr>
        <w:t xml:space="preserve">, </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hAnsi="Arial" w:cs="Arial"/>
          <w:b/>
          <w:sz w:val="20"/>
          <w:szCs w:val="20"/>
          <w:lang w:val="en-GB"/>
        </w:rPr>
        <w:t>Jinjala, V. R., Gudadhe, N. N., Tripathi, S., Chudasama, S. D. and Ninama, A. R. (2024).</w:t>
      </w:r>
      <w:r w:rsidRPr="00452776">
        <w:rPr>
          <w:rFonts w:ascii="Arial" w:hAnsi="Arial" w:cs="Arial"/>
          <w:sz w:val="20"/>
          <w:szCs w:val="20"/>
          <w:lang w:val="en-GB"/>
        </w:rPr>
        <w:t xml:space="preserve"> Influence of Iron and Zinc Biofortification on Growth and Yield of Drilled Rice (</w:t>
      </w:r>
      <w:r w:rsidRPr="00452776">
        <w:rPr>
          <w:rFonts w:ascii="Arial" w:hAnsi="Arial" w:cs="Arial"/>
          <w:i/>
          <w:sz w:val="20"/>
          <w:szCs w:val="20"/>
          <w:lang w:val="en-GB"/>
        </w:rPr>
        <w:t>Oryza Sativa</w:t>
      </w:r>
      <w:r w:rsidRPr="00452776">
        <w:rPr>
          <w:rFonts w:ascii="Arial" w:hAnsi="Arial" w:cs="Arial"/>
          <w:sz w:val="20"/>
          <w:szCs w:val="20"/>
          <w:lang w:val="en-GB"/>
        </w:rPr>
        <w:t xml:space="preserve"> L.). Asian Journal of Soil Science and Plant Nutrition, 10(4), 141–156. https://doi.org/10.9734/ajsspn/2024/v10i4390</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hAnsi="Arial" w:cs="Arial"/>
          <w:b/>
          <w:sz w:val="20"/>
          <w:szCs w:val="20"/>
          <w:lang w:val="en-GB"/>
        </w:rPr>
        <w:t>Jinjala, V. R., Gudadhe, N. N., Tripathi, S., Chudasama, S. D. and Ninama, A. R. (2024).</w:t>
      </w:r>
      <w:r w:rsidRPr="00452776">
        <w:rPr>
          <w:rFonts w:ascii="Arial" w:hAnsi="Arial" w:cs="Arial"/>
          <w:sz w:val="20"/>
          <w:szCs w:val="20"/>
          <w:lang w:val="en-GB"/>
        </w:rPr>
        <w:t xml:space="preserve"> Influence of Iron and Zinc Biofortification on Growth and Yield of Drilled Rice (</w:t>
      </w:r>
      <w:r w:rsidRPr="00452776">
        <w:rPr>
          <w:rFonts w:ascii="Arial" w:hAnsi="Arial" w:cs="Arial"/>
          <w:i/>
          <w:sz w:val="20"/>
          <w:szCs w:val="20"/>
          <w:lang w:val="en-GB"/>
        </w:rPr>
        <w:t>Oryza Sativa</w:t>
      </w:r>
      <w:r w:rsidRPr="00452776">
        <w:rPr>
          <w:rFonts w:ascii="Arial" w:hAnsi="Arial" w:cs="Arial"/>
          <w:sz w:val="20"/>
          <w:szCs w:val="20"/>
          <w:lang w:val="en-GB"/>
        </w:rPr>
        <w:t xml:space="preserve"> L.). Asian Journal of Soil Science and Plant Nutrition, 10(4), 141–156. https://doi.org/10.9734/ajsspn/2024/v10i4390</w:t>
      </w:r>
    </w:p>
    <w:p w:rsidR="00452776" w:rsidRPr="00452776" w:rsidRDefault="00452776" w:rsidP="00452776">
      <w:pPr>
        <w:widowControl w:val="0"/>
        <w:spacing w:before="26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Kalra, T., Tomar, P. C. and Arora, K. 2020.</w:t>
      </w:r>
      <w:r w:rsidRPr="00452776">
        <w:rPr>
          <w:rFonts w:ascii="Arial" w:eastAsia="Calibri" w:hAnsi="Arial" w:cs="Arial"/>
          <w:kern w:val="0"/>
          <w:sz w:val="20"/>
          <w:szCs w:val="20"/>
          <w:lang w:eastAsia="en-IN"/>
        </w:rPr>
        <w:t xml:space="preserve"> Micronutrient encapsulation using nanotechnology: Nanofertilizers. </w:t>
      </w:r>
      <w:r w:rsidRPr="00452776">
        <w:rPr>
          <w:rFonts w:ascii="Arial" w:eastAsia="Calibri" w:hAnsi="Arial" w:cs="Arial"/>
          <w:i/>
          <w:kern w:val="0"/>
          <w:sz w:val="20"/>
          <w:szCs w:val="20"/>
          <w:lang w:eastAsia="en-IN"/>
        </w:rPr>
        <w:t>Plant Arch.</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20</w:t>
      </w:r>
      <w:r w:rsidRPr="00452776">
        <w:rPr>
          <w:rFonts w:ascii="Arial" w:eastAsia="Calibri" w:hAnsi="Arial" w:cs="Arial"/>
          <w:kern w:val="0"/>
          <w:sz w:val="20"/>
          <w:szCs w:val="20"/>
          <w:lang w:eastAsia="en-IN"/>
        </w:rPr>
        <w:t>: 1748–1753.</w:t>
      </w:r>
    </w:p>
    <w:p w:rsidR="00452776" w:rsidRPr="00452776" w:rsidRDefault="00452776" w:rsidP="00452776">
      <w:pPr>
        <w:widowControl w:val="0"/>
        <w:spacing w:before="26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Karthik, M., Pushpakanth, P., Krishnamoorthy, R. and Senthilkumar, M. 2017.</w:t>
      </w:r>
      <w:r w:rsidRPr="00452776">
        <w:rPr>
          <w:rFonts w:ascii="Arial" w:eastAsia="Calibri" w:hAnsi="Arial" w:cs="Arial"/>
          <w:kern w:val="0"/>
          <w:sz w:val="20"/>
          <w:szCs w:val="20"/>
          <w:lang w:eastAsia="en-IN"/>
        </w:rPr>
        <w:t xml:space="preserve"> Endophytic </w:t>
      </w:r>
      <w:r w:rsidRPr="00452776">
        <w:rPr>
          <w:rFonts w:ascii="Arial" w:eastAsia="Calibri" w:hAnsi="Arial" w:cs="Arial"/>
          <w:kern w:val="0"/>
          <w:sz w:val="20"/>
          <w:szCs w:val="20"/>
          <w:lang w:eastAsia="en-IN"/>
        </w:rPr>
        <w:lastRenderedPageBreak/>
        <w:t xml:space="preserve">bacteria associated with banana cultivars and their inoculation effect on plant growth. </w:t>
      </w:r>
      <w:r w:rsidRPr="00452776">
        <w:rPr>
          <w:rFonts w:ascii="Arial" w:eastAsia="Calibri" w:hAnsi="Arial" w:cs="Arial"/>
          <w:i/>
          <w:kern w:val="0"/>
          <w:sz w:val="20"/>
          <w:szCs w:val="20"/>
          <w:lang w:eastAsia="en-IN"/>
        </w:rPr>
        <w:t>J. Hortic. Sci. Biotechnol.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92</w:t>
      </w:r>
      <w:r w:rsidRPr="00452776">
        <w:rPr>
          <w:rFonts w:ascii="Arial" w:eastAsia="Calibri" w:hAnsi="Arial" w:cs="Arial"/>
          <w:kern w:val="0"/>
          <w:sz w:val="20"/>
          <w:szCs w:val="20"/>
          <w:lang w:eastAsia="en-IN"/>
        </w:rPr>
        <w:t xml:space="preserve">(6): 568–576. </w:t>
      </w:r>
      <w:hyperlink r:id="rId41" w:history="1">
        <w:r w:rsidRPr="00452776">
          <w:rPr>
            <w:rFonts w:ascii="Arial" w:eastAsia="Calibri" w:hAnsi="Arial" w:cs="Arial"/>
            <w:kern w:val="0"/>
            <w:sz w:val="20"/>
            <w:szCs w:val="20"/>
            <w:lang w:eastAsia="en-IN"/>
          </w:rPr>
          <w:t>https://doi.org/10.1080/14620316.2017.1310600</w:t>
        </w:r>
      </w:hyperlink>
      <w:r w:rsidRPr="00452776">
        <w:rPr>
          <w:rFonts w:ascii="Arial" w:eastAsia="Times New Roman" w:hAnsi="Arial" w:cs="Arial"/>
          <w:kern w:val="0"/>
          <w:sz w:val="20"/>
          <w:szCs w:val="20"/>
          <w:lang w:val="en-US"/>
        </w:rPr>
        <w:t>.</w:t>
      </w:r>
    </w:p>
    <w:p w:rsidR="00452776" w:rsidRPr="00452776" w:rsidRDefault="00452776" w:rsidP="00452776">
      <w:pPr>
        <w:widowControl w:val="0"/>
        <w:spacing w:before="26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Kartik, V. P., Chandwani, S. and Amaresan, N. 2023.</w:t>
      </w:r>
      <w:r w:rsidRPr="00452776">
        <w:rPr>
          <w:rFonts w:ascii="Arial" w:eastAsia="Calibri" w:hAnsi="Arial" w:cs="Arial"/>
          <w:kern w:val="0"/>
          <w:sz w:val="20"/>
          <w:szCs w:val="20"/>
          <w:lang w:eastAsia="en-IN"/>
        </w:rPr>
        <w:t xml:space="preserve"> Augmenting the bioavailability of iron in rice grains from field soils through the application of iron-solubilizing bacteria. </w:t>
      </w:r>
      <w:r w:rsidRPr="00452776">
        <w:rPr>
          <w:rFonts w:ascii="Arial" w:eastAsia="Calibri" w:hAnsi="Arial" w:cs="Arial"/>
          <w:i/>
          <w:kern w:val="0"/>
          <w:sz w:val="20"/>
          <w:szCs w:val="20"/>
          <w:lang w:eastAsia="en-IN"/>
        </w:rPr>
        <w:t>Lett. Appl. Microbiol.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76(</w:t>
      </w:r>
      <w:r w:rsidRPr="00452776">
        <w:rPr>
          <w:rFonts w:ascii="Arial" w:eastAsia="Calibri" w:hAnsi="Arial" w:cs="Arial"/>
          <w:kern w:val="0"/>
          <w:sz w:val="20"/>
          <w:szCs w:val="20"/>
          <w:lang w:eastAsia="en-IN"/>
        </w:rPr>
        <w:t xml:space="preserve">1): ovac038. </w:t>
      </w:r>
      <w:hyperlink r:id="rId42" w:history="1">
        <w:r w:rsidRPr="00452776">
          <w:rPr>
            <w:rFonts w:ascii="Arial" w:eastAsia="Calibri" w:hAnsi="Arial" w:cs="Arial"/>
            <w:kern w:val="0"/>
            <w:sz w:val="20"/>
            <w:szCs w:val="20"/>
            <w:lang w:eastAsia="en-IN"/>
          </w:rPr>
          <w:t>https://doi.org/10.1093/lambio/ovac038</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 xml:space="preserve">Kaur, T., Sehgal, S. K., Singh, S., Sharma, S., Dhaliwal, S. S. and Sharma, V. 2021. </w:t>
      </w:r>
      <w:r w:rsidRPr="00452776">
        <w:rPr>
          <w:rFonts w:ascii="Arial" w:eastAsia="Calibri" w:hAnsi="Arial" w:cs="Arial"/>
          <w:kern w:val="0"/>
          <w:sz w:val="20"/>
          <w:szCs w:val="20"/>
          <w:lang w:eastAsia="en-IN"/>
        </w:rPr>
        <w:t xml:space="preserve">Assessment of seasonal variability in soil nutrients and its impact on soil quality under different land use systems of lower shiwalik foothills of Himalaya, India. </w:t>
      </w:r>
      <w:r w:rsidRPr="00452776">
        <w:rPr>
          <w:rFonts w:ascii="Arial" w:eastAsia="Calibri" w:hAnsi="Arial" w:cs="Arial"/>
          <w:i/>
          <w:kern w:val="0"/>
          <w:sz w:val="20"/>
          <w:szCs w:val="20"/>
          <w:lang w:eastAsia="en-IN"/>
        </w:rPr>
        <w:t>Sustainability</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13</w:t>
      </w:r>
      <w:r w:rsidRPr="00452776">
        <w:rPr>
          <w:rFonts w:ascii="Arial" w:eastAsia="Calibri" w:hAnsi="Arial" w:cs="Arial"/>
          <w:kern w:val="0"/>
          <w:sz w:val="20"/>
          <w:szCs w:val="20"/>
          <w:lang w:eastAsia="en-IN"/>
        </w:rPr>
        <w:t xml:space="preserve">(3): 1398. </w:t>
      </w:r>
      <w:hyperlink r:id="rId43" w:history="1">
        <w:r w:rsidRPr="00452776">
          <w:rPr>
            <w:rFonts w:ascii="Arial" w:eastAsia="Calibri" w:hAnsi="Arial" w:cs="Arial"/>
            <w:kern w:val="0"/>
            <w:sz w:val="20"/>
            <w:szCs w:val="20"/>
            <w:lang w:eastAsia="en-IN"/>
          </w:rPr>
          <w:t>https://doi.org/10.3390/su13031398</w:t>
        </w:r>
      </w:hyperlink>
    </w:p>
    <w:p w:rsidR="00452776" w:rsidRPr="00452776" w:rsidRDefault="00452776" w:rsidP="00452776">
      <w:pPr>
        <w:widowControl w:val="0"/>
        <w:spacing w:before="260" w:after="120" w:line="312" w:lineRule="auto"/>
        <w:ind w:left="720" w:hanging="720"/>
        <w:jc w:val="both"/>
        <w:rPr>
          <w:rFonts w:ascii="Arial" w:eastAsia="Calibri" w:hAnsi="Arial" w:cs="Arial"/>
          <w:kern w:val="0"/>
          <w:sz w:val="20"/>
          <w:szCs w:val="20"/>
          <w:lang w:eastAsia="en-IN"/>
        </w:rPr>
      </w:pPr>
      <w:r w:rsidRPr="00452776">
        <w:rPr>
          <w:rFonts w:ascii="Arial" w:hAnsi="Arial" w:cs="Arial"/>
          <w:b/>
          <w:sz w:val="20"/>
          <w:szCs w:val="20"/>
          <w:shd w:val="clear" w:color="auto" w:fill="FFFFFF"/>
        </w:rPr>
        <w:t>Khan, A., Singh, A. V., Pareek, N., Arya, P., Upadhayay, V. K., Kumar Jugran, A., and Goel, R. (2023)</w:t>
      </w:r>
      <w:r w:rsidRPr="00452776">
        <w:rPr>
          <w:rFonts w:ascii="Arial" w:hAnsi="Arial" w:cs="Arial"/>
          <w:sz w:val="20"/>
          <w:szCs w:val="20"/>
          <w:shd w:val="clear" w:color="auto" w:fill="FFFFFF"/>
        </w:rPr>
        <w:t xml:space="preserve">. Credibility assessment of cold adaptive </w:t>
      </w:r>
      <w:r w:rsidRPr="00452776">
        <w:rPr>
          <w:rFonts w:ascii="Arial" w:hAnsi="Arial" w:cs="Arial"/>
          <w:i/>
          <w:iCs/>
          <w:sz w:val="20"/>
          <w:szCs w:val="20"/>
          <w:shd w:val="clear" w:color="auto" w:fill="FFFFFF"/>
        </w:rPr>
        <w:t>Pseudomonas jesenni</w:t>
      </w:r>
      <w:r w:rsidRPr="00452776">
        <w:rPr>
          <w:rFonts w:ascii="Arial" w:hAnsi="Arial" w:cs="Arial"/>
          <w:sz w:val="20"/>
          <w:szCs w:val="20"/>
          <w:shd w:val="clear" w:color="auto" w:fill="FFFFFF"/>
        </w:rPr>
        <w:t xml:space="preserve"> MP1 and </w:t>
      </w:r>
      <w:r w:rsidRPr="00452776">
        <w:rPr>
          <w:rFonts w:ascii="Arial" w:hAnsi="Arial" w:cs="Arial"/>
          <w:i/>
          <w:iCs/>
          <w:sz w:val="20"/>
          <w:szCs w:val="20"/>
          <w:shd w:val="clear" w:color="auto" w:fill="FFFFFF"/>
        </w:rPr>
        <w:t>P. palleroniana</w:t>
      </w:r>
      <w:r w:rsidRPr="00452776">
        <w:rPr>
          <w:rFonts w:ascii="Arial" w:hAnsi="Arial" w:cs="Arial"/>
          <w:sz w:val="20"/>
          <w:szCs w:val="20"/>
          <w:shd w:val="clear" w:color="auto" w:fill="FFFFFF"/>
        </w:rPr>
        <w:t xml:space="preserve"> N26 on growth, rhizosphere dynamics, nutrient status, and yield of the kidney bean cultivated in Indian Central Himalaya. </w:t>
      </w:r>
      <w:r w:rsidRPr="00452776">
        <w:rPr>
          <w:rFonts w:ascii="Arial" w:hAnsi="Arial" w:cs="Arial"/>
          <w:i/>
          <w:iCs/>
          <w:sz w:val="20"/>
          <w:szCs w:val="20"/>
          <w:shd w:val="clear" w:color="auto" w:fill="FFFFFF"/>
        </w:rPr>
        <w:t>Frontiers in Plant Science</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14</w:t>
      </w:r>
      <w:r w:rsidRPr="00452776">
        <w:rPr>
          <w:rFonts w:ascii="Arial" w:hAnsi="Arial" w:cs="Arial"/>
          <w:sz w:val="20"/>
          <w:szCs w:val="20"/>
          <w:shd w:val="clear" w:color="auto" w:fill="FFFFFF"/>
        </w:rPr>
        <w:t>, 1042053.</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bookmarkStart w:id="4" w:name="_Hlk148387431"/>
      <w:r w:rsidRPr="00452776">
        <w:rPr>
          <w:rFonts w:ascii="Arial" w:eastAsia="Calibri" w:hAnsi="Arial" w:cs="Arial"/>
          <w:b/>
          <w:bCs/>
          <w:kern w:val="0"/>
          <w:sz w:val="20"/>
          <w:szCs w:val="20"/>
          <w:lang w:eastAsia="en-IN"/>
        </w:rPr>
        <w:t>Khianngam, S., Meetum, P., Chiangmai, P. N. and Tanasupawat, S. 2023.</w:t>
      </w:r>
      <w:r w:rsidRPr="00452776">
        <w:rPr>
          <w:rFonts w:ascii="Arial" w:eastAsia="Calibri" w:hAnsi="Arial" w:cs="Arial"/>
          <w:kern w:val="0"/>
          <w:sz w:val="20"/>
          <w:szCs w:val="20"/>
          <w:lang w:eastAsia="en-IN"/>
        </w:rPr>
        <w:t xml:space="preserve"> Identification and optimisation of indole-3-acetic acid production of endophytic bacteria and their effects on plant growth. </w:t>
      </w:r>
      <w:r w:rsidRPr="00452776">
        <w:rPr>
          <w:rFonts w:ascii="Arial" w:eastAsia="Calibri" w:hAnsi="Arial" w:cs="Arial"/>
          <w:i/>
          <w:kern w:val="0"/>
          <w:sz w:val="20"/>
          <w:szCs w:val="20"/>
          <w:lang w:eastAsia="en-IN"/>
        </w:rPr>
        <w:t>Trop. Life Sci. Res.</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34</w:t>
      </w:r>
      <w:r w:rsidRPr="00452776">
        <w:rPr>
          <w:rFonts w:ascii="Arial" w:eastAsia="Calibri" w:hAnsi="Arial" w:cs="Arial"/>
          <w:kern w:val="0"/>
          <w:sz w:val="20"/>
          <w:szCs w:val="20"/>
          <w:lang w:eastAsia="en-IN"/>
        </w:rPr>
        <w:t xml:space="preserve">(1): 219–239. </w:t>
      </w:r>
      <w:hyperlink r:id="rId44" w:history="1">
        <w:r w:rsidRPr="00452776">
          <w:rPr>
            <w:rFonts w:ascii="Arial" w:eastAsia="Calibri" w:hAnsi="Arial" w:cs="Arial"/>
            <w:kern w:val="0"/>
            <w:sz w:val="20"/>
            <w:szCs w:val="20"/>
            <w:lang w:eastAsia="en-IN"/>
          </w:rPr>
          <w:t>https://doi.org/10.21315/tlsr2023.34.1.12</w:t>
        </w:r>
      </w:hyperlink>
    </w:p>
    <w:bookmarkEnd w:id="4"/>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Kobayashi, T. and Nishizawa, N. K. 2012.</w:t>
      </w:r>
      <w:r w:rsidRPr="00452776">
        <w:rPr>
          <w:rFonts w:ascii="Arial" w:eastAsia="Calibri" w:hAnsi="Arial" w:cs="Arial"/>
          <w:kern w:val="0"/>
          <w:sz w:val="20"/>
          <w:szCs w:val="20"/>
          <w:lang w:eastAsia="en-IN"/>
        </w:rPr>
        <w:t xml:space="preserve"> Iron uptake, translocation, and regulation in higher plants. </w:t>
      </w:r>
      <w:r w:rsidRPr="00452776">
        <w:rPr>
          <w:rFonts w:ascii="Arial" w:eastAsia="Calibri" w:hAnsi="Arial" w:cs="Arial"/>
          <w:i/>
          <w:kern w:val="0"/>
          <w:sz w:val="20"/>
          <w:szCs w:val="20"/>
          <w:lang w:eastAsia="en-IN"/>
        </w:rPr>
        <w:t>Ann. Rev. Plant 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63</w:t>
      </w:r>
      <w:r w:rsidRPr="00452776">
        <w:rPr>
          <w:rFonts w:ascii="Arial" w:eastAsia="Calibri" w:hAnsi="Arial" w:cs="Arial"/>
          <w:kern w:val="0"/>
          <w:sz w:val="20"/>
          <w:szCs w:val="20"/>
          <w:lang w:eastAsia="en-IN"/>
        </w:rPr>
        <w:t xml:space="preserve">: 131–152. </w:t>
      </w:r>
      <w:hyperlink r:id="rId45" w:history="1">
        <w:r w:rsidRPr="00452776">
          <w:rPr>
            <w:rFonts w:ascii="Arial" w:eastAsia="Calibri" w:hAnsi="Arial" w:cs="Arial"/>
            <w:kern w:val="0"/>
            <w:sz w:val="20"/>
            <w:szCs w:val="20"/>
            <w:lang w:eastAsia="en-IN"/>
          </w:rPr>
          <w:t>https://doi.org/10.1146/annurev-arplant-042811-105522</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Koç, E. and Karayiğit, B. 2022. </w:t>
      </w:r>
      <w:r w:rsidRPr="00452776">
        <w:rPr>
          <w:rFonts w:ascii="Arial" w:eastAsia="Times New Roman" w:hAnsi="Arial" w:cs="Arial"/>
          <w:kern w:val="0"/>
          <w:sz w:val="20"/>
          <w:szCs w:val="20"/>
          <w:lang w:val="en-US"/>
        </w:rPr>
        <w:t xml:space="preserve">Assessment of biofortification approaches used to improve micronutrient-dense plants that are a sustainable solution to combat hidden hunger. </w:t>
      </w:r>
      <w:r w:rsidRPr="00452776">
        <w:rPr>
          <w:rFonts w:ascii="Arial" w:eastAsia="Times New Roman" w:hAnsi="Arial" w:cs="Arial"/>
          <w:i/>
          <w:kern w:val="0"/>
          <w:sz w:val="20"/>
          <w:szCs w:val="20"/>
          <w:lang w:val="en-US"/>
        </w:rPr>
        <w:t>J. Soil Sci. Plant Nutr.</w:t>
      </w:r>
      <w:r w:rsidRPr="00452776">
        <w:rPr>
          <w:rFonts w:ascii="Arial" w:eastAsia="Times New Roman" w:hAnsi="Arial" w:cs="Arial"/>
          <w:kern w:val="0"/>
          <w:sz w:val="20"/>
          <w:szCs w:val="20"/>
          <w:lang w:val="en-US"/>
        </w:rPr>
        <w:t xml:space="preserve">, </w:t>
      </w:r>
      <w:r w:rsidRPr="00452776">
        <w:rPr>
          <w:rFonts w:ascii="Arial" w:eastAsia="Times New Roman" w:hAnsi="Arial" w:cs="Arial"/>
          <w:iCs/>
          <w:kern w:val="0"/>
          <w:sz w:val="20"/>
          <w:szCs w:val="20"/>
          <w:lang w:val="en-US"/>
        </w:rPr>
        <w:t>22(1):</w:t>
      </w:r>
      <w:r w:rsidRPr="00452776">
        <w:rPr>
          <w:rFonts w:ascii="Arial" w:eastAsia="Times New Roman" w:hAnsi="Arial" w:cs="Arial"/>
          <w:kern w:val="0"/>
          <w:sz w:val="20"/>
          <w:szCs w:val="20"/>
          <w:lang w:val="en-US"/>
        </w:rPr>
        <w:t xml:space="preserve"> 475-500.</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hAnsi="Arial" w:cs="Arial"/>
          <w:b/>
          <w:sz w:val="20"/>
          <w:szCs w:val="20"/>
          <w:shd w:val="clear" w:color="auto" w:fill="FFFFFF"/>
        </w:rPr>
        <w:t>Krithika, S., Prasad, G. and Balachandar, D. (2016)</w:t>
      </w:r>
      <w:r w:rsidRPr="00452776">
        <w:rPr>
          <w:rFonts w:ascii="Arial" w:hAnsi="Arial" w:cs="Arial"/>
          <w:sz w:val="20"/>
          <w:szCs w:val="20"/>
          <w:shd w:val="clear" w:color="auto" w:fill="FFFFFF"/>
        </w:rPr>
        <w:t>. Zinc solubilizing potential of Enterobacter cloacae strain ZSB14 in three different semi-arid tropical soils. </w:t>
      </w:r>
      <w:r w:rsidRPr="00452776">
        <w:rPr>
          <w:rFonts w:ascii="Arial" w:hAnsi="Arial" w:cs="Arial"/>
          <w:i/>
          <w:iCs/>
          <w:sz w:val="20"/>
          <w:szCs w:val="20"/>
          <w:shd w:val="clear" w:color="auto" w:fill="FFFFFF"/>
        </w:rPr>
        <w:t>International Journal of Plant and Soil Science</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11</w:t>
      </w:r>
      <w:r w:rsidRPr="00452776">
        <w:rPr>
          <w:rFonts w:ascii="Arial" w:hAnsi="Arial" w:cs="Arial"/>
          <w:sz w:val="20"/>
          <w:szCs w:val="20"/>
          <w:shd w:val="clear" w:color="auto" w:fill="FFFFFF"/>
        </w:rPr>
        <w:t>, 1-12.</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Kuklinsky-Sobral, J., Arau´jo, W.L., Mendes, R., Geraldi, I.O., Pizzirani- Kleiner, A.A. and Azevedo, J.L. 2004. </w:t>
      </w:r>
      <w:r w:rsidRPr="00452776">
        <w:rPr>
          <w:rFonts w:ascii="Arial" w:eastAsia="Times New Roman" w:hAnsi="Arial" w:cs="Arial"/>
          <w:kern w:val="0"/>
          <w:sz w:val="20"/>
          <w:szCs w:val="20"/>
          <w:lang w:val="en-US"/>
        </w:rPr>
        <w:t xml:space="preserve">Isolation and characterization of soybean- associated bacteria and their potential for plant growth promotion. </w:t>
      </w:r>
      <w:r w:rsidRPr="00452776">
        <w:rPr>
          <w:rFonts w:ascii="Arial" w:eastAsia="Times New Roman" w:hAnsi="Arial" w:cs="Arial"/>
          <w:i/>
          <w:kern w:val="0"/>
          <w:sz w:val="20"/>
          <w:szCs w:val="20"/>
          <w:lang w:val="en-US"/>
        </w:rPr>
        <w:t>Environ. Microbiol.</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6: 1244–1251.</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Kumar, A., Choudhary, A.K., Pooniya, V., Suri, V.K. and Singh, U. 2016.</w:t>
      </w:r>
      <w:r w:rsidRPr="00452776">
        <w:rPr>
          <w:rFonts w:ascii="Arial" w:eastAsia="Calibri" w:hAnsi="Arial" w:cs="Arial"/>
          <w:kern w:val="0"/>
          <w:sz w:val="20"/>
          <w:szCs w:val="20"/>
          <w:lang w:eastAsia="en-IN"/>
        </w:rPr>
        <w:t xml:space="preserve"> Soil Factors Associated with Micronutrient Acquisition in Crops- Biofortification Perspective. </w:t>
      </w:r>
      <w:r w:rsidRPr="00452776">
        <w:rPr>
          <w:rFonts w:ascii="Arial" w:eastAsia="Calibri" w:hAnsi="Arial" w:cs="Arial"/>
          <w:i/>
          <w:iCs/>
          <w:kern w:val="0"/>
          <w:sz w:val="20"/>
          <w:szCs w:val="20"/>
          <w:lang w:eastAsia="en-IN"/>
        </w:rPr>
        <w:t>In: ‘Singh, U., Praharaj, C., Singh, S., Singh, N. (Eds.) Biofortification of Food Crops’</w:t>
      </w:r>
      <w:r w:rsidRPr="00452776">
        <w:rPr>
          <w:rFonts w:ascii="Arial" w:eastAsia="Calibri" w:hAnsi="Arial" w:cs="Arial"/>
          <w:kern w:val="0"/>
          <w:sz w:val="20"/>
          <w:szCs w:val="20"/>
          <w:lang w:eastAsia="en-IN"/>
        </w:rPr>
        <w:t xml:space="preserve">. Springer, New Delhi. pp 159–176. </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Kumar, A., Sharma, E., Marley, A., Samaan, M. A. and Brookes, M. J. 2022.</w:t>
      </w:r>
      <w:r w:rsidRPr="00452776">
        <w:rPr>
          <w:rFonts w:ascii="Arial" w:eastAsia="Times New Roman" w:hAnsi="Arial" w:cs="Arial"/>
          <w:kern w:val="0"/>
          <w:sz w:val="20"/>
          <w:szCs w:val="20"/>
          <w:shd w:val="clear" w:color="auto" w:fill="FFFFFF"/>
          <w:lang w:val="en-US"/>
        </w:rPr>
        <w:t xml:space="preserve"> Iron deficiency anemia: pathophysiology, assessment, practical management. </w:t>
      </w:r>
      <w:r w:rsidRPr="00452776">
        <w:rPr>
          <w:rFonts w:ascii="Arial" w:eastAsia="Times New Roman" w:hAnsi="Arial" w:cs="Arial"/>
          <w:i/>
          <w:iCs/>
          <w:kern w:val="0"/>
          <w:sz w:val="20"/>
          <w:szCs w:val="20"/>
          <w:shd w:val="clear" w:color="auto" w:fill="FFFFFF"/>
          <w:lang w:val="en-US"/>
        </w:rPr>
        <w:t>BMJ Open Gastroenterol.</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iCs/>
          <w:kern w:val="0"/>
          <w:sz w:val="20"/>
          <w:szCs w:val="20"/>
          <w:shd w:val="clear" w:color="auto" w:fill="FFFFFF"/>
          <w:lang w:val="en-US"/>
        </w:rPr>
        <w:t>9</w:t>
      </w:r>
      <w:r w:rsidRPr="00452776">
        <w:rPr>
          <w:rFonts w:ascii="Arial" w:eastAsia="Times New Roman" w:hAnsi="Arial" w:cs="Arial"/>
          <w:bCs/>
          <w:kern w:val="0"/>
          <w:sz w:val="20"/>
          <w:szCs w:val="20"/>
          <w:shd w:val="clear" w:color="auto" w:fill="FFFFFF"/>
          <w:lang w:val="en-US"/>
        </w:rPr>
        <w:t>(1):</w:t>
      </w:r>
      <w:r w:rsidRPr="00452776">
        <w:rPr>
          <w:rFonts w:ascii="Arial" w:eastAsia="Times New Roman" w:hAnsi="Arial" w:cs="Arial"/>
          <w:kern w:val="0"/>
          <w:sz w:val="20"/>
          <w:szCs w:val="20"/>
          <w:shd w:val="clear" w:color="auto" w:fill="FFFFFF"/>
          <w:lang w:val="en-US"/>
        </w:rPr>
        <w:t xml:space="preserve"> 000759.</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 xml:space="preserve">Kumar, S., De Pauw, R. M., Kumar, S., Kumar, J., Kumar, S. and Pandey, M. P. 2023. </w:t>
      </w:r>
      <w:r w:rsidRPr="00452776">
        <w:rPr>
          <w:rFonts w:ascii="Arial" w:eastAsia="Calibri" w:hAnsi="Arial" w:cs="Arial"/>
          <w:kern w:val="0"/>
          <w:sz w:val="20"/>
          <w:szCs w:val="20"/>
          <w:lang w:eastAsia="en-IN"/>
        </w:rPr>
        <w:t xml:space="preserve">Breeding </w:t>
      </w:r>
      <w:r w:rsidRPr="00452776">
        <w:rPr>
          <w:rFonts w:ascii="Arial" w:eastAsia="Calibri" w:hAnsi="Arial" w:cs="Arial"/>
          <w:kern w:val="0"/>
          <w:sz w:val="20"/>
          <w:szCs w:val="20"/>
          <w:lang w:eastAsia="en-IN"/>
        </w:rPr>
        <w:lastRenderedPageBreak/>
        <w:t xml:space="preserve">and adoption of biofortified crops and their nutritional impact on human health. </w:t>
      </w:r>
      <w:r w:rsidRPr="00452776">
        <w:rPr>
          <w:rFonts w:ascii="Arial" w:eastAsia="Calibri" w:hAnsi="Arial" w:cs="Arial"/>
          <w:i/>
          <w:kern w:val="0"/>
          <w:sz w:val="20"/>
          <w:szCs w:val="20"/>
          <w:lang w:eastAsia="en-IN"/>
        </w:rPr>
        <w:t>Ann. N. Y. Acad. Sci.</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1520</w:t>
      </w:r>
      <w:r w:rsidRPr="00452776">
        <w:rPr>
          <w:rFonts w:ascii="Arial" w:eastAsia="Calibri" w:hAnsi="Arial" w:cs="Arial"/>
          <w:kern w:val="0"/>
          <w:sz w:val="20"/>
          <w:szCs w:val="20"/>
          <w:lang w:eastAsia="en-IN"/>
        </w:rPr>
        <w:t xml:space="preserve">(1): 5–19. </w:t>
      </w:r>
      <w:hyperlink r:id="rId46" w:history="1">
        <w:r w:rsidRPr="00452776">
          <w:rPr>
            <w:rFonts w:ascii="Arial" w:eastAsia="Calibri" w:hAnsi="Arial" w:cs="Arial"/>
            <w:kern w:val="0"/>
            <w:sz w:val="20"/>
            <w:szCs w:val="20"/>
            <w:lang w:eastAsia="en-IN"/>
          </w:rPr>
          <w:t>https://doi.org/10.1111/nyas.14936</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Kumari, K., Patra, A., Sahu, K.P., Dilawari, R. and Mehta, S. 2023.</w:t>
      </w:r>
      <w:r w:rsidRPr="00452776">
        <w:rPr>
          <w:rFonts w:ascii="Arial" w:eastAsia="Calibri" w:hAnsi="Arial" w:cs="Arial"/>
          <w:kern w:val="0"/>
          <w:sz w:val="20"/>
          <w:szCs w:val="20"/>
          <w:lang w:eastAsia="en-IN"/>
        </w:rPr>
        <w:t xml:space="preserve"> Nutritional Biofortification of Crops by Microbes. </w:t>
      </w:r>
      <w:r w:rsidRPr="00452776">
        <w:rPr>
          <w:rFonts w:ascii="Arial" w:eastAsia="Calibri" w:hAnsi="Arial" w:cs="Arial"/>
          <w:i/>
          <w:iCs/>
          <w:kern w:val="0"/>
          <w:sz w:val="20"/>
          <w:szCs w:val="20"/>
          <w:lang w:eastAsia="en-IN"/>
        </w:rPr>
        <w:t>In: ‘Singh, N., Chattopadhyay, A., Lichtfouse, E. (Eds.) Sustainable Agriculture Reviews 60’</w:t>
      </w:r>
      <w:r w:rsidRPr="00452776">
        <w:rPr>
          <w:rFonts w:ascii="Arial" w:eastAsia="Calibri" w:hAnsi="Arial" w:cs="Arial"/>
          <w:kern w:val="0"/>
          <w:sz w:val="20"/>
          <w:szCs w:val="20"/>
          <w:lang w:eastAsia="en-IN"/>
        </w:rPr>
        <w:t xml:space="preserve">. Springer, Cham, </w:t>
      </w:r>
      <w:r w:rsidRPr="00452776">
        <w:rPr>
          <w:rFonts w:ascii="Arial" w:hAnsi="Arial" w:cs="Arial"/>
          <w:sz w:val="20"/>
          <w:szCs w:val="20"/>
        </w:rPr>
        <w:t xml:space="preserve">Switzerland. pp 269–292. </w:t>
      </w:r>
      <w:hyperlink r:id="rId47" w:history="1">
        <w:r w:rsidRPr="00452776">
          <w:rPr>
            <w:rFonts w:ascii="Arial" w:eastAsia="Calibri" w:hAnsi="Arial" w:cs="Arial"/>
            <w:kern w:val="0"/>
            <w:sz w:val="20"/>
            <w:szCs w:val="20"/>
            <w:lang w:eastAsia="en-IN"/>
          </w:rPr>
          <w:t>https://doi.org/10.1007/978-3-031-24181-9_11</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Kushwaha, P., Srivastava, R., Pandiyan, K., Singh, A., Chakdar, H., Kashyap, P. L., Bhardwaj, A. K., Murugan, K., Karthikeyan, N., Bagul, S. Y., Srivastava, A. K. and Saxena, A. K. 2021.</w:t>
      </w:r>
      <w:r w:rsidRPr="00452776">
        <w:rPr>
          <w:rFonts w:ascii="Arial" w:eastAsia="Calibri" w:hAnsi="Arial" w:cs="Arial"/>
          <w:kern w:val="0"/>
          <w:sz w:val="20"/>
          <w:szCs w:val="20"/>
          <w:lang w:eastAsia="en-IN"/>
        </w:rPr>
        <w:t xml:space="preserve"> Enhancement in plant growth and zinc biofortification of chickpea (</w:t>
      </w:r>
      <w:r w:rsidRPr="00452776">
        <w:rPr>
          <w:rFonts w:ascii="Arial" w:eastAsia="Calibri" w:hAnsi="Arial" w:cs="Arial"/>
          <w:i/>
          <w:kern w:val="0"/>
          <w:sz w:val="20"/>
          <w:szCs w:val="20"/>
          <w:lang w:eastAsia="en-IN"/>
        </w:rPr>
        <w:t>Cicer arietinum</w:t>
      </w:r>
      <w:r w:rsidRPr="00452776">
        <w:rPr>
          <w:rFonts w:ascii="Arial" w:eastAsia="Calibri" w:hAnsi="Arial" w:cs="Arial"/>
          <w:kern w:val="0"/>
          <w:sz w:val="20"/>
          <w:szCs w:val="20"/>
          <w:lang w:eastAsia="en-IN"/>
        </w:rPr>
        <w:t xml:space="preserve"> l.) by </w:t>
      </w:r>
      <w:r w:rsidRPr="00452776">
        <w:rPr>
          <w:rFonts w:ascii="Arial" w:eastAsia="Calibri" w:hAnsi="Arial" w:cs="Arial"/>
          <w:i/>
          <w:iCs/>
          <w:kern w:val="0"/>
          <w:sz w:val="20"/>
          <w:szCs w:val="20"/>
          <w:lang w:eastAsia="en-IN"/>
        </w:rPr>
        <w:t>Bacillus altitudinis</w:t>
      </w:r>
      <w:r w:rsidRPr="00452776">
        <w:rPr>
          <w:rFonts w:ascii="Arial" w:eastAsia="Calibri" w:hAnsi="Arial" w:cs="Arial"/>
          <w:kern w:val="0"/>
          <w:sz w:val="20"/>
          <w:szCs w:val="20"/>
          <w:lang w:eastAsia="en-IN"/>
        </w:rPr>
        <w:t xml:space="preserve">. </w:t>
      </w:r>
      <w:r w:rsidRPr="00452776">
        <w:rPr>
          <w:rFonts w:ascii="Arial" w:eastAsia="Calibri" w:hAnsi="Arial" w:cs="Arial"/>
          <w:i/>
          <w:kern w:val="0"/>
          <w:sz w:val="20"/>
          <w:szCs w:val="20"/>
          <w:lang w:eastAsia="en-IN"/>
        </w:rPr>
        <w:t>J. Soil Sci. Plant Nutr.</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21</w:t>
      </w:r>
      <w:r w:rsidRPr="00452776">
        <w:rPr>
          <w:rFonts w:ascii="Arial" w:eastAsia="Calibri" w:hAnsi="Arial" w:cs="Arial"/>
          <w:kern w:val="0"/>
          <w:sz w:val="20"/>
          <w:szCs w:val="20"/>
          <w:lang w:eastAsia="en-IN"/>
        </w:rPr>
        <w:t xml:space="preserve">(2): 922–935. </w:t>
      </w:r>
      <w:hyperlink r:id="rId48" w:history="1">
        <w:r w:rsidRPr="00452776">
          <w:rPr>
            <w:rFonts w:ascii="Arial" w:eastAsia="Calibri" w:hAnsi="Arial" w:cs="Arial"/>
            <w:kern w:val="0"/>
            <w:sz w:val="20"/>
            <w:szCs w:val="20"/>
            <w:lang w:eastAsia="en-IN"/>
          </w:rPr>
          <w:t>https://doi.org/10.1007/s42729-021-00411-5</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Low, J. W., Mwanga, R. O. M., Andrade, M., Carey, E. and Ball, A. M. 2017.</w:t>
      </w:r>
      <w:r w:rsidRPr="00452776">
        <w:rPr>
          <w:rFonts w:ascii="Arial" w:eastAsia="Calibri" w:hAnsi="Arial" w:cs="Arial"/>
          <w:kern w:val="0"/>
          <w:sz w:val="20"/>
          <w:szCs w:val="20"/>
          <w:lang w:eastAsia="en-IN"/>
        </w:rPr>
        <w:t xml:space="preserve"> Tackling vitamin A deficiency with biofortified sweet potato in sub-Saharan Africa. </w:t>
      </w:r>
      <w:r w:rsidRPr="00452776">
        <w:rPr>
          <w:rFonts w:ascii="Arial" w:eastAsia="Calibri" w:hAnsi="Arial" w:cs="Arial"/>
          <w:i/>
          <w:kern w:val="0"/>
          <w:sz w:val="20"/>
          <w:szCs w:val="20"/>
          <w:lang w:eastAsia="en-IN"/>
        </w:rPr>
        <w:t>Glob. Food Sec.</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14</w:t>
      </w:r>
      <w:r w:rsidRPr="00452776">
        <w:rPr>
          <w:rFonts w:ascii="Arial" w:eastAsia="Calibri" w:hAnsi="Arial" w:cs="Arial"/>
          <w:kern w:val="0"/>
          <w:sz w:val="20"/>
          <w:szCs w:val="20"/>
          <w:lang w:eastAsia="en-IN"/>
        </w:rPr>
        <w:t xml:space="preserve">: 23–30. </w:t>
      </w:r>
      <w:hyperlink r:id="rId49" w:history="1">
        <w:r w:rsidRPr="00452776">
          <w:rPr>
            <w:rFonts w:ascii="Arial" w:eastAsia="Calibri" w:hAnsi="Arial" w:cs="Arial"/>
            <w:kern w:val="0"/>
            <w:sz w:val="20"/>
            <w:szCs w:val="20"/>
            <w:lang w:eastAsia="en-IN"/>
          </w:rPr>
          <w:t>https://doi.org/10.1016/j.gfs.2017.01.004</w:t>
        </w:r>
      </w:hyperlink>
      <w:r w:rsidRPr="00452776">
        <w:rPr>
          <w:rFonts w:ascii="Arial" w:eastAsia="Calibri" w:hAnsi="Arial" w:cs="Arial"/>
          <w:kern w:val="0"/>
          <w:sz w:val="20"/>
          <w:szCs w:val="20"/>
          <w:lang w:eastAsia="en-IN"/>
        </w:rPr>
        <w:t xml:space="preserve">, PubMed: </w:t>
      </w:r>
      <w:hyperlink r:id="rId50" w:history="1">
        <w:r w:rsidRPr="00452776">
          <w:rPr>
            <w:rFonts w:ascii="Arial" w:eastAsia="Calibri" w:hAnsi="Arial" w:cs="Arial"/>
            <w:kern w:val="0"/>
            <w:sz w:val="20"/>
            <w:szCs w:val="20"/>
            <w:lang w:eastAsia="en-IN"/>
          </w:rPr>
          <w:t>28989861</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Lucena, J. J. and Hernandez-Apaolaza, L. 2017.</w:t>
      </w:r>
      <w:r w:rsidRPr="00452776">
        <w:rPr>
          <w:rFonts w:ascii="Arial" w:eastAsia="Calibri" w:hAnsi="Arial" w:cs="Arial"/>
          <w:kern w:val="0"/>
          <w:sz w:val="20"/>
          <w:szCs w:val="20"/>
          <w:lang w:eastAsia="en-IN"/>
        </w:rPr>
        <w:t xml:space="preserve"> Iron nutrition in plants: An overview. </w:t>
      </w:r>
      <w:r w:rsidRPr="00452776">
        <w:rPr>
          <w:rFonts w:ascii="Arial" w:eastAsia="Calibri" w:hAnsi="Arial" w:cs="Arial"/>
          <w:i/>
          <w:kern w:val="0"/>
          <w:sz w:val="20"/>
          <w:szCs w:val="20"/>
          <w:lang w:eastAsia="en-IN"/>
        </w:rPr>
        <w:t>Plant Soil.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418</w:t>
      </w:r>
      <w:r w:rsidRPr="00452776">
        <w:rPr>
          <w:rFonts w:ascii="Arial" w:eastAsia="Calibri" w:hAnsi="Arial" w:cs="Arial"/>
          <w:kern w:val="0"/>
          <w:sz w:val="20"/>
          <w:szCs w:val="20"/>
          <w:lang w:eastAsia="en-IN"/>
        </w:rPr>
        <w:t xml:space="preserve">(1–2): 1–4. </w:t>
      </w:r>
      <w:hyperlink r:id="rId51" w:history="1">
        <w:r w:rsidRPr="00452776">
          <w:rPr>
            <w:rFonts w:ascii="Arial" w:eastAsia="Calibri" w:hAnsi="Arial" w:cs="Arial"/>
            <w:kern w:val="0"/>
            <w:sz w:val="20"/>
            <w:szCs w:val="20"/>
            <w:lang w:eastAsia="en-IN"/>
          </w:rPr>
          <w:t>https://doi.org/10.1007/s11104-017-3316-8</w:t>
        </w:r>
      </w:hyperlink>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Lugtenberg, B. J., Caradus, J. R. and Johnson, L. J. 2016. </w:t>
      </w:r>
      <w:r w:rsidRPr="00452776">
        <w:rPr>
          <w:rFonts w:ascii="Arial" w:eastAsia="Times New Roman" w:hAnsi="Arial" w:cs="Arial"/>
          <w:kern w:val="0"/>
          <w:sz w:val="20"/>
          <w:szCs w:val="20"/>
          <w:lang w:val="en-US"/>
        </w:rPr>
        <w:t>Fungal endophytes for sustainable crop production</w:t>
      </w:r>
      <w:r w:rsidRPr="00452776">
        <w:rPr>
          <w:rFonts w:ascii="Arial" w:eastAsia="Times New Roman" w:hAnsi="Arial" w:cs="Arial"/>
          <w:i/>
          <w:kern w:val="0"/>
          <w:sz w:val="20"/>
          <w:szCs w:val="20"/>
          <w:lang w:val="en-US"/>
        </w:rPr>
        <w:t>. FEMS Microbiol. Ecol.</w:t>
      </w:r>
      <w:r w:rsidRPr="00452776">
        <w:rPr>
          <w:rFonts w:ascii="Arial" w:eastAsia="Times New Roman" w:hAnsi="Arial" w:cs="Arial"/>
          <w:iCs/>
          <w:kern w:val="0"/>
          <w:sz w:val="20"/>
          <w:szCs w:val="20"/>
          <w:lang w:val="en-US"/>
        </w:rPr>
        <w:t>,</w:t>
      </w:r>
      <w:r w:rsidRPr="00452776">
        <w:rPr>
          <w:rFonts w:ascii="Arial" w:eastAsia="Times New Roman" w:hAnsi="Arial" w:cs="Arial"/>
          <w:kern w:val="0"/>
          <w:sz w:val="20"/>
          <w:szCs w:val="20"/>
          <w:lang w:val="en-US"/>
        </w:rPr>
        <w:t>92: 1–17.</w:t>
      </w:r>
    </w:p>
    <w:p w:rsidR="00452776" w:rsidRPr="00452776" w:rsidRDefault="00452776" w:rsidP="00452776">
      <w:pPr>
        <w:widowControl w:val="0"/>
        <w:spacing w:before="280" w:after="120" w:line="312" w:lineRule="auto"/>
        <w:ind w:left="720" w:hanging="720"/>
        <w:jc w:val="both"/>
        <w:rPr>
          <w:rFonts w:ascii="Arial" w:eastAsia="Calibri" w:hAnsi="Arial" w:cs="Arial"/>
          <w:spacing w:val="-4"/>
          <w:kern w:val="0"/>
          <w:sz w:val="20"/>
          <w:szCs w:val="20"/>
          <w:lang w:eastAsia="en-IN"/>
        </w:rPr>
      </w:pPr>
      <w:r w:rsidRPr="00452776">
        <w:rPr>
          <w:rFonts w:ascii="Arial" w:eastAsia="Calibri" w:hAnsi="Arial" w:cs="Arial"/>
          <w:b/>
          <w:bCs/>
          <w:spacing w:val="-4"/>
          <w:kern w:val="0"/>
          <w:sz w:val="20"/>
          <w:szCs w:val="20"/>
          <w:lang w:eastAsia="en-IN"/>
        </w:rPr>
        <w:t>Luo, Q., Sun, L., Hu, X. and Zhou, R. 2014.</w:t>
      </w:r>
      <w:r w:rsidRPr="00452776">
        <w:rPr>
          <w:rFonts w:ascii="Arial" w:eastAsia="Calibri" w:hAnsi="Arial" w:cs="Arial"/>
          <w:spacing w:val="-4"/>
          <w:kern w:val="0"/>
          <w:sz w:val="20"/>
          <w:szCs w:val="20"/>
          <w:lang w:eastAsia="en-IN"/>
        </w:rPr>
        <w:t xml:space="preserve"> The variation of root exudates from the hyperaccumulator </w:t>
      </w:r>
      <w:r w:rsidRPr="00452776">
        <w:rPr>
          <w:rFonts w:ascii="Arial" w:eastAsia="Calibri" w:hAnsi="Arial" w:cs="Arial"/>
          <w:i/>
          <w:spacing w:val="-4"/>
          <w:kern w:val="0"/>
          <w:sz w:val="20"/>
          <w:szCs w:val="20"/>
          <w:lang w:eastAsia="en-IN"/>
        </w:rPr>
        <w:t>Sedum alfredii</w:t>
      </w:r>
      <w:r w:rsidRPr="00452776">
        <w:rPr>
          <w:rFonts w:ascii="Arial" w:eastAsia="Calibri" w:hAnsi="Arial" w:cs="Arial"/>
          <w:spacing w:val="-4"/>
          <w:kern w:val="0"/>
          <w:sz w:val="20"/>
          <w:szCs w:val="20"/>
          <w:lang w:eastAsia="en-IN"/>
        </w:rPr>
        <w:t xml:space="preserve"> under cadmium stress: Metabonomics Analysis. </w:t>
      </w:r>
      <w:r w:rsidRPr="00452776">
        <w:rPr>
          <w:rFonts w:ascii="Arial" w:eastAsia="Calibri" w:hAnsi="Arial" w:cs="Arial"/>
          <w:i/>
          <w:spacing w:val="-4"/>
          <w:kern w:val="0"/>
          <w:sz w:val="20"/>
          <w:szCs w:val="20"/>
          <w:lang w:eastAsia="en-IN"/>
        </w:rPr>
        <w:t>PLoS One</w:t>
      </w:r>
      <w:r w:rsidRPr="00452776">
        <w:rPr>
          <w:rFonts w:ascii="Arial" w:eastAsia="Calibri" w:hAnsi="Arial" w:cs="Arial"/>
          <w:spacing w:val="-4"/>
          <w:kern w:val="0"/>
          <w:sz w:val="20"/>
          <w:szCs w:val="20"/>
          <w:lang w:eastAsia="en-IN"/>
        </w:rPr>
        <w:t xml:space="preserve">, </w:t>
      </w:r>
      <w:r w:rsidRPr="00452776">
        <w:rPr>
          <w:rFonts w:ascii="Arial" w:eastAsia="Calibri" w:hAnsi="Arial" w:cs="Arial"/>
          <w:iCs/>
          <w:spacing w:val="-4"/>
          <w:kern w:val="0"/>
          <w:sz w:val="20"/>
          <w:szCs w:val="20"/>
          <w:lang w:eastAsia="en-IN"/>
        </w:rPr>
        <w:t>9</w:t>
      </w:r>
      <w:r w:rsidRPr="00452776">
        <w:rPr>
          <w:rFonts w:ascii="Arial" w:eastAsia="Calibri" w:hAnsi="Arial" w:cs="Arial"/>
          <w:spacing w:val="-4"/>
          <w:kern w:val="0"/>
          <w:sz w:val="20"/>
          <w:szCs w:val="20"/>
          <w:lang w:eastAsia="en-IN"/>
        </w:rPr>
        <w:t xml:space="preserve">(12): e115581. </w:t>
      </w:r>
      <w:hyperlink r:id="rId52" w:history="1">
        <w:r w:rsidRPr="00452776">
          <w:rPr>
            <w:rFonts w:ascii="Arial" w:eastAsia="Calibri" w:hAnsi="Arial" w:cs="Arial"/>
            <w:spacing w:val="-4"/>
            <w:kern w:val="0"/>
            <w:sz w:val="20"/>
            <w:szCs w:val="20"/>
            <w:lang w:eastAsia="en-IN"/>
          </w:rPr>
          <w:t>https://doi.org/10.1371/journal.pone.0115581</w:t>
        </w:r>
      </w:hyperlink>
    </w:p>
    <w:p w:rsidR="00452776" w:rsidRPr="00452776" w:rsidRDefault="00452776" w:rsidP="00452776">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Maity, A., Belgamwar, R. and Polshettiwar, V. 2019. </w:t>
      </w:r>
      <w:r w:rsidRPr="00452776">
        <w:rPr>
          <w:rFonts w:ascii="Arial" w:eastAsia="Times New Roman" w:hAnsi="Arial" w:cs="Arial"/>
          <w:kern w:val="0"/>
          <w:sz w:val="20"/>
          <w:szCs w:val="20"/>
          <w:lang w:val="en-US"/>
        </w:rPr>
        <w:t xml:space="preserve">Facile synthesis to tune size, textural properties and fiber density of dendritic fibrous nanosilica for applications in </w:t>
      </w:r>
      <w:r w:rsidRPr="00452776">
        <w:rPr>
          <w:rFonts w:ascii="Arial" w:eastAsia="Times New Roman" w:hAnsi="Arial" w:cs="Arial"/>
          <w:kern w:val="0"/>
          <w:position w:val="2"/>
          <w:sz w:val="20"/>
          <w:szCs w:val="20"/>
          <w:lang w:val="en-US"/>
        </w:rPr>
        <w:t>catalysis and CO</w:t>
      </w:r>
      <w:r w:rsidRPr="00452776">
        <w:rPr>
          <w:rFonts w:ascii="Arial" w:eastAsia="Times New Roman" w:hAnsi="Arial" w:cs="Arial"/>
          <w:kern w:val="0"/>
          <w:sz w:val="20"/>
          <w:szCs w:val="20"/>
          <w:vertAlign w:val="subscript"/>
          <w:lang w:val="en-US"/>
        </w:rPr>
        <w:t>2</w:t>
      </w:r>
      <w:r w:rsidRPr="00452776">
        <w:rPr>
          <w:rFonts w:ascii="Arial" w:eastAsia="Times New Roman" w:hAnsi="Arial" w:cs="Arial"/>
          <w:kern w:val="0"/>
          <w:position w:val="2"/>
          <w:sz w:val="20"/>
          <w:szCs w:val="20"/>
          <w:lang w:val="en-US"/>
        </w:rPr>
        <w:t xml:space="preserve">capture. </w:t>
      </w:r>
      <w:r w:rsidRPr="00452776">
        <w:rPr>
          <w:rFonts w:ascii="Arial" w:eastAsia="Times New Roman" w:hAnsi="Arial" w:cs="Arial"/>
          <w:i/>
          <w:kern w:val="0"/>
          <w:position w:val="2"/>
          <w:sz w:val="20"/>
          <w:szCs w:val="20"/>
          <w:lang w:val="en-US"/>
        </w:rPr>
        <w:t>Nat. Protoc.</w:t>
      </w:r>
      <w:r w:rsidRPr="00452776">
        <w:rPr>
          <w:rFonts w:ascii="Arial" w:eastAsia="Times New Roman" w:hAnsi="Arial" w:cs="Arial"/>
          <w:iCs/>
          <w:kern w:val="0"/>
          <w:position w:val="2"/>
          <w:sz w:val="20"/>
          <w:szCs w:val="20"/>
          <w:lang w:val="en-US"/>
        </w:rPr>
        <w:t>,</w:t>
      </w:r>
      <w:r w:rsidRPr="00452776">
        <w:rPr>
          <w:rFonts w:ascii="Arial" w:eastAsia="Times New Roman" w:hAnsi="Arial" w:cs="Arial"/>
          <w:kern w:val="0"/>
          <w:position w:val="2"/>
          <w:sz w:val="20"/>
          <w:szCs w:val="20"/>
          <w:lang w:val="en-US"/>
        </w:rPr>
        <w:t>14: 2177–2204.</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Malik, K. A. and Maqbool, A. 2020.</w:t>
      </w:r>
      <w:r w:rsidRPr="00452776">
        <w:rPr>
          <w:rFonts w:ascii="Arial" w:eastAsia="Times New Roman" w:hAnsi="Arial" w:cs="Arial"/>
          <w:kern w:val="0"/>
          <w:sz w:val="20"/>
          <w:szCs w:val="20"/>
          <w:shd w:val="clear" w:color="auto" w:fill="FFFFFF"/>
          <w:lang w:val="en-US"/>
        </w:rPr>
        <w:t xml:space="preserve"> Transgenic crops for biofortification. </w:t>
      </w:r>
      <w:r w:rsidRPr="00452776">
        <w:rPr>
          <w:rFonts w:ascii="Arial" w:eastAsia="Times New Roman" w:hAnsi="Arial" w:cs="Arial"/>
          <w:i/>
          <w:iCs/>
          <w:kern w:val="0"/>
          <w:sz w:val="20"/>
          <w:szCs w:val="20"/>
          <w:shd w:val="clear" w:color="auto" w:fill="FFFFFF"/>
          <w:lang w:val="en-US"/>
        </w:rPr>
        <w:t>Front. Sustain. Food Syst.</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iCs/>
          <w:kern w:val="0"/>
          <w:sz w:val="20"/>
          <w:szCs w:val="20"/>
          <w:shd w:val="clear" w:color="auto" w:fill="FFFFFF"/>
          <w:lang w:val="en-US"/>
        </w:rPr>
        <w:t>4</w:t>
      </w:r>
      <w:r w:rsidRPr="00452776">
        <w:rPr>
          <w:rFonts w:ascii="Arial" w:eastAsia="Times New Roman" w:hAnsi="Arial" w:cs="Arial"/>
          <w:bCs/>
          <w:kern w:val="0"/>
          <w:sz w:val="20"/>
          <w:szCs w:val="20"/>
          <w:shd w:val="clear" w:color="auto" w:fill="FFFFFF"/>
          <w:lang w:val="en-US"/>
        </w:rPr>
        <w:t>:</w:t>
      </w:r>
      <w:r w:rsidRPr="00452776">
        <w:rPr>
          <w:rFonts w:ascii="Arial" w:eastAsia="Times New Roman" w:hAnsi="Arial" w:cs="Arial"/>
          <w:kern w:val="0"/>
          <w:sz w:val="20"/>
          <w:szCs w:val="20"/>
          <w:shd w:val="clear" w:color="auto" w:fill="FFFFFF"/>
          <w:lang w:val="en-US"/>
        </w:rPr>
        <w:t xml:space="preserve"> 571402.</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 xml:space="preserve">Malik, K. A., Bilal, R., Mehnaz, S., Rasul, G., Mirza, M. S. and Ali, S. 1997. </w:t>
      </w:r>
      <w:r w:rsidRPr="00452776">
        <w:rPr>
          <w:rFonts w:ascii="Arial" w:eastAsia="Calibri" w:hAnsi="Arial" w:cs="Arial"/>
          <w:kern w:val="0"/>
          <w:sz w:val="20"/>
          <w:szCs w:val="20"/>
          <w:lang w:eastAsia="en-IN"/>
        </w:rPr>
        <w:t xml:space="preserve">Association of nitrogen fixing plant promoting rhizobacteria (PGPR) with kallar grass and rice. </w:t>
      </w:r>
      <w:r w:rsidRPr="00452776">
        <w:rPr>
          <w:rFonts w:ascii="Arial" w:eastAsia="Calibri" w:hAnsi="Arial" w:cs="Arial"/>
          <w:i/>
          <w:kern w:val="0"/>
          <w:sz w:val="20"/>
          <w:szCs w:val="20"/>
          <w:lang w:eastAsia="en-IN"/>
        </w:rPr>
        <w:t>Plant Soil.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194</w:t>
      </w:r>
      <w:r w:rsidRPr="00452776">
        <w:rPr>
          <w:rFonts w:ascii="Arial" w:eastAsia="Calibri" w:hAnsi="Arial" w:cs="Arial"/>
          <w:kern w:val="0"/>
          <w:sz w:val="20"/>
          <w:szCs w:val="20"/>
          <w:lang w:eastAsia="en-IN"/>
        </w:rPr>
        <w:t xml:space="preserve">(1/2): 37–44. </w:t>
      </w:r>
      <w:hyperlink r:id="rId53" w:history="1">
        <w:r w:rsidRPr="00452776">
          <w:rPr>
            <w:rFonts w:ascii="Arial" w:eastAsia="Calibri" w:hAnsi="Arial" w:cs="Arial"/>
            <w:kern w:val="0"/>
            <w:sz w:val="20"/>
            <w:szCs w:val="20"/>
            <w:lang w:eastAsia="en-IN"/>
          </w:rPr>
          <w:t>https://doi.org/10.1023/A:1004295714181</w:t>
        </w:r>
      </w:hyperlink>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hAnsi="Arial" w:cs="Arial"/>
          <w:b/>
          <w:sz w:val="20"/>
          <w:szCs w:val="20"/>
          <w:shd w:val="clear" w:color="auto" w:fill="FFFFFF"/>
        </w:rPr>
        <w:t>Manasa, M., Ravinder, P., Gopalakrishnan, S., Srinivas, V., Sayyed, R. Z., El Enshasy, H. A. and Hameeda, B. (2021)</w:t>
      </w:r>
      <w:r w:rsidRPr="00452776">
        <w:rPr>
          <w:rFonts w:ascii="Arial" w:hAnsi="Arial" w:cs="Arial"/>
          <w:sz w:val="20"/>
          <w:szCs w:val="20"/>
          <w:shd w:val="clear" w:color="auto" w:fill="FFFFFF"/>
        </w:rPr>
        <w:t xml:space="preserve">. Co-inoculation of </w:t>
      </w:r>
      <w:r w:rsidRPr="00452776">
        <w:rPr>
          <w:rFonts w:ascii="Arial" w:hAnsi="Arial" w:cs="Arial"/>
          <w:i/>
          <w:iCs/>
          <w:sz w:val="20"/>
          <w:szCs w:val="20"/>
          <w:shd w:val="clear" w:color="auto" w:fill="FFFFFF"/>
        </w:rPr>
        <w:t>Bacillus</w:t>
      </w:r>
      <w:r w:rsidRPr="00452776">
        <w:rPr>
          <w:rFonts w:ascii="Arial" w:hAnsi="Arial" w:cs="Arial"/>
          <w:sz w:val="20"/>
          <w:szCs w:val="20"/>
          <w:shd w:val="clear" w:color="auto" w:fill="FFFFFF"/>
        </w:rPr>
        <w:t xml:space="preserve"> spp. for growth promotion and iron fortification in sorghum. </w:t>
      </w:r>
      <w:r w:rsidRPr="00452776">
        <w:rPr>
          <w:rFonts w:ascii="Arial" w:hAnsi="Arial" w:cs="Arial"/>
          <w:i/>
          <w:iCs/>
          <w:sz w:val="20"/>
          <w:szCs w:val="20"/>
          <w:shd w:val="clear" w:color="auto" w:fill="FFFFFF"/>
        </w:rPr>
        <w:t>Sustainability</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13</w:t>
      </w:r>
      <w:r w:rsidRPr="00452776">
        <w:rPr>
          <w:rFonts w:ascii="Arial" w:hAnsi="Arial" w:cs="Arial"/>
          <w:sz w:val="20"/>
          <w:szCs w:val="20"/>
          <w:shd w:val="clear" w:color="auto" w:fill="FFFFFF"/>
        </w:rPr>
        <w:t>(21), 12091.</w:t>
      </w:r>
    </w:p>
    <w:p w:rsidR="00452776" w:rsidRPr="00452776" w:rsidRDefault="00452776" w:rsidP="00452776">
      <w:pPr>
        <w:widowControl w:val="0"/>
        <w:spacing w:before="280" w:after="120" w:line="312"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Medina-Lozano, I. and Díaz, A. 2021.</w:t>
      </w:r>
      <w:r w:rsidRPr="00452776">
        <w:rPr>
          <w:rFonts w:ascii="Arial" w:eastAsia="Calibri" w:hAnsi="Arial" w:cs="Arial"/>
          <w:kern w:val="0"/>
          <w:sz w:val="20"/>
          <w:szCs w:val="20"/>
          <w:lang w:eastAsia="en-IN"/>
        </w:rPr>
        <w:t xml:space="preserve"> Nutritional value and phytochemical content of crop landraces and traditional varieties. In E. Breed and A. (Eds.), </w:t>
      </w:r>
      <w:r w:rsidRPr="00452776">
        <w:rPr>
          <w:rFonts w:ascii="Arial" w:eastAsia="Calibri" w:hAnsi="Arial" w:cs="Arial"/>
          <w:i/>
          <w:kern w:val="0"/>
          <w:sz w:val="20"/>
          <w:szCs w:val="20"/>
          <w:lang w:eastAsia="en-IN"/>
        </w:rPr>
        <w:t>Landraces—Traditional variety and natural</w:t>
      </w:r>
      <w:r w:rsidRPr="00452776">
        <w:rPr>
          <w:rFonts w:ascii="Arial" w:eastAsia="Calibri" w:hAnsi="Arial" w:cs="Arial"/>
          <w:kern w:val="0"/>
          <w:sz w:val="20"/>
          <w:szCs w:val="20"/>
          <w:lang w:eastAsia="en-IN"/>
        </w:rPr>
        <w:t>. 95–116. IntechOpen, ISBN 978-1-83968-718-1.</w:t>
      </w:r>
    </w:p>
    <w:p w:rsidR="00452776" w:rsidRPr="00452776" w:rsidRDefault="00452776" w:rsidP="00452776">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lastRenderedPageBreak/>
        <w:t xml:space="preserve">Meena, V. S., Bahadur, I., Maurya, B. R., Kumar, A., Meena, R. K., Meena, S. K. and Verma, J. P. 2016. </w:t>
      </w:r>
      <w:r w:rsidRPr="00452776">
        <w:rPr>
          <w:rFonts w:ascii="Arial" w:eastAsia="Times New Roman" w:hAnsi="Arial" w:cs="Arial"/>
          <w:kern w:val="0"/>
          <w:sz w:val="20"/>
          <w:szCs w:val="20"/>
          <w:lang w:val="en-US"/>
        </w:rPr>
        <w:t>Potassium-solubilizing microorganism in evergreen agriculture: An overview. ‘</w:t>
      </w:r>
      <w:r w:rsidRPr="00452776">
        <w:rPr>
          <w:rFonts w:ascii="Arial" w:eastAsia="Times New Roman" w:hAnsi="Arial" w:cs="Arial"/>
          <w:i/>
          <w:iCs/>
          <w:kern w:val="0"/>
          <w:sz w:val="20"/>
          <w:szCs w:val="20"/>
          <w:lang w:val="en-US"/>
        </w:rPr>
        <w:t>In Meena V S, Maurya B R, Verma J P, Meena R S (eds.) Potassium Solubilizing Microorganisms for Sustainable Agriculture’</w:t>
      </w:r>
      <w:r w:rsidRPr="00452776">
        <w:rPr>
          <w:rFonts w:ascii="Arial" w:eastAsia="Times New Roman" w:hAnsi="Arial" w:cs="Arial"/>
          <w:kern w:val="0"/>
          <w:sz w:val="20"/>
          <w:szCs w:val="20"/>
          <w:lang w:val="en-US"/>
        </w:rPr>
        <w:t>. Springer, New Delhi. pp 1–20.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rPr>
      </w:pPr>
      <w:r w:rsidRPr="00452776">
        <w:rPr>
          <w:rFonts w:ascii="Arial" w:eastAsia="Times New Roman" w:hAnsi="Arial" w:cs="Arial"/>
          <w:b/>
          <w:kern w:val="0"/>
          <w:sz w:val="20"/>
          <w:szCs w:val="20"/>
        </w:rPr>
        <w:t>Melnick, R.L., Suárez, C., Bailey, B.A. and Backman, P.A. 2011.</w:t>
      </w:r>
      <w:r w:rsidRPr="00452776">
        <w:rPr>
          <w:rFonts w:ascii="Arial" w:eastAsia="Times New Roman" w:hAnsi="Arial" w:cs="Arial"/>
          <w:kern w:val="0"/>
          <w:sz w:val="20"/>
          <w:szCs w:val="20"/>
        </w:rPr>
        <w:t xml:space="preserve"> Isolation of endophytic endospore forming bacteria from </w:t>
      </w:r>
      <w:r w:rsidRPr="00452776">
        <w:rPr>
          <w:rFonts w:ascii="Arial" w:eastAsia="Times New Roman" w:hAnsi="Arial" w:cs="Arial"/>
          <w:i/>
          <w:kern w:val="0"/>
          <w:sz w:val="20"/>
          <w:szCs w:val="20"/>
        </w:rPr>
        <w:t xml:space="preserve">Theobroma cacao </w:t>
      </w:r>
      <w:r w:rsidRPr="00452776">
        <w:rPr>
          <w:rFonts w:ascii="Arial" w:eastAsia="Times New Roman" w:hAnsi="Arial" w:cs="Arial"/>
          <w:kern w:val="0"/>
          <w:sz w:val="20"/>
          <w:szCs w:val="20"/>
        </w:rPr>
        <w:t xml:space="preserve">as potential biological control agents of cacao diseases. </w:t>
      </w:r>
      <w:r w:rsidRPr="00452776">
        <w:rPr>
          <w:rFonts w:ascii="Arial" w:eastAsia="Times New Roman" w:hAnsi="Arial" w:cs="Arial"/>
          <w:i/>
          <w:kern w:val="0"/>
          <w:sz w:val="20"/>
          <w:szCs w:val="20"/>
        </w:rPr>
        <w:t xml:space="preserve">Biol. Control, </w:t>
      </w:r>
      <w:r w:rsidRPr="00452776">
        <w:rPr>
          <w:rFonts w:ascii="Arial" w:eastAsia="Times New Roman" w:hAnsi="Arial" w:cs="Arial"/>
          <w:bCs/>
          <w:kern w:val="0"/>
          <w:sz w:val="20"/>
          <w:szCs w:val="20"/>
        </w:rPr>
        <w:t>57</w:t>
      </w:r>
      <w:r w:rsidRPr="00452776">
        <w:rPr>
          <w:rFonts w:ascii="Arial" w:eastAsia="Times New Roman" w:hAnsi="Arial" w:cs="Arial"/>
          <w:kern w:val="0"/>
          <w:sz w:val="20"/>
          <w:szCs w:val="20"/>
        </w:rPr>
        <w:t>(3):236-245.</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Mishra, P., Mishra, J., and Arora, N. K. 2023.</w:t>
      </w:r>
      <w:r w:rsidRPr="00452776">
        <w:rPr>
          <w:rFonts w:ascii="Arial" w:eastAsia="Calibri" w:hAnsi="Arial" w:cs="Arial"/>
          <w:kern w:val="0"/>
          <w:sz w:val="20"/>
          <w:szCs w:val="20"/>
          <w:lang w:eastAsia="en-IN"/>
        </w:rPr>
        <w:t xml:space="preserve"> Biofortification revisited: Addressing the role of beneficial soil microbes for enhancing trace elements concentration in staple crops. </w:t>
      </w:r>
      <w:r w:rsidRPr="00452776">
        <w:rPr>
          <w:rFonts w:ascii="Arial" w:eastAsia="Calibri" w:hAnsi="Arial" w:cs="Arial"/>
          <w:i/>
          <w:kern w:val="0"/>
          <w:sz w:val="20"/>
          <w:szCs w:val="20"/>
          <w:lang w:eastAsia="en-IN"/>
        </w:rPr>
        <w:t>Microbiol. Res.</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275</w:t>
      </w:r>
      <w:r w:rsidRPr="00452776">
        <w:rPr>
          <w:rFonts w:ascii="Arial" w:eastAsia="Calibri" w:hAnsi="Arial" w:cs="Arial"/>
          <w:kern w:val="0"/>
          <w:sz w:val="20"/>
          <w:szCs w:val="20"/>
          <w:lang w:eastAsia="en-IN"/>
        </w:rPr>
        <w:t>: 127442. https://doi.org/10.1016/j.micres.2023.127442</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Monreal, C. M., DeRosa, M., Mallubhotla, S. C., Bindraban, P. S. and Dimkpa, C. O. 2016.</w:t>
      </w:r>
      <w:r w:rsidRPr="00452776">
        <w:rPr>
          <w:rFonts w:ascii="Arial" w:eastAsia="Calibri" w:hAnsi="Arial" w:cs="Arial"/>
          <w:kern w:val="0"/>
          <w:sz w:val="20"/>
          <w:szCs w:val="20"/>
          <w:lang w:eastAsia="en-IN"/>
        </w:rPr>
        <w:t xml:space="preserve"> Nanotechnologies for increasing the crop use efficiency of fertilizer-micronutrients. </w:t>
      </w:r>
      <w:r w:rsidRPr="00452776">
        <w:rPr>
          <w:rFonts w:ascii="Arial" w:eastAsia="Calibri" w:hAnsi="Arial" w:cs="Arial"/>
          <w:i/>
          <w:kern w:val="0"/>
          <w:sz w:val="20"/>
          <w:szCs w:val="20"/>
          <w:lang w:eastAsia="en-IN"/>
        </w:rPr>
        <w:t>Biol. Fertil. Soils.</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52</w:t>
      </w:r>
      <w:r w:rsidRPr="00452776">
        <w:rPr>
          <w:rFonts w:ascii="Arial" w:eastAsia="Calibri" w:hAnsi="Arial" w:cs="Arial"/>
          <w:kern w:val="0"/>
          <w:sz w:val="20"/>
          <w:szCs w:val="20"/>
          <w:lang w:eastAsia="en-IN"/>
        </w:rPr>
        <w:t>(3): 423–437. https://doi.org/10.1007/s00374-015-1073-5</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Montoya, M., Vallejo, A., Recio, J., Guardia, G. and Alvarez, J. M. 2020.</w:t>
      </w:r>
      <w:r w:rsidRPr="00452776">
        <w:rPr>
          <w:rFonts w:ascii="Arial" w:eastAsia="Calibri" w:hAnsi="Arial" w:cs="Arial"/>
          <w:kern w:val="0"/>
          <w:sz w:val="20"/>
          <w:szCs w:val="20"/>
          <w:lang w:eastAsia="en-IN"/>
        </w:rPr>
        <w:t xml:space="preserve"> Zinc–nitrogen interaction effect on wheat biofortification and nutrient use efficiency. </w:t>
      </w:r>
      <w:r w:rsidRPr="00452776">
        <w:rPr>
          <w:rFonts w:ascii="Arial" w:eastAsia="Calibri" w:hAnsi="Arial" w:cs="Arial"/>
          <w:i/>
          <w:kern w:val="0"/>
          <w:sz w:val="20"/>
          <w:szCs w:val="20"/>
          <w:lang w:eastAsia="en-IN"/>
        </w:rPr>
        <w:t>J. Plant Nutr. and Soil Science</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183</w:t>
      </w:r>
      <w:r w:rsidRPr="00452776">
        <w:rPr>
          <w:rFonts w:ascii="Arial" w:eastAsia="Calibri" w:hAnsi="Arial" w:cs="Arial"/>
          <w:kern w:val="0"/>
          <w:sz w:val="20"/>
          <w:szCs w:val="20"/>
          <w:lang w:eastAsia="en-IN"/>
        </w:rPr>
        <w:t>(2): 169–179. https://doi.org/10.1002/jpln.201900339</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bCs/>
          <w:kern w:val="0"/>
          <w:sz w:val="20"/>
          <w:szCs w:val="20"/>
        </w:rPr>
        <w:t>Mukherjee, P.K., Hurley, J.F., Taylor, J.T., Puckhaber, L., Lehner, S., Druzhinina, I., Schumacher, R. and Kenerley, C.M. 2018</w:t>
      </w:r>
      <w:r w:rsidRPr="00452776">
        <w:rPr>
          <w:rFonts w:ascii="Arial" w:eastAsia="Times New Roman" w:hAnsi="Arial" w:cs="Arial"/>
          <w:kern w:val="0"/>
          <w:sz w:val="20"/>
          <w:szCs w:val="20"/>
        </w:rPr>
        <w:t>. Ferricrocin, the intracellular siderophore of Trichoderma virens, is involved in growth, conidiation, gliotoxin biosynthesis and induction of systemic resistance in maize. </w:t>
      </w:r>
      <w:r w:rsidRPr="00452776">
        <w:rPr>
          <w:rFonts w:ascii="Arial" w:eastAsia="Times New Roman" w:hAnsi="Arial" w:cs="Arial"/>
          <w:i/>
          <w:iCs/>
          <w:kern w:val="0"/>
          <w:sz w:val="20"/>
          <w:szCs w:val="20"/>
        </w:rPr>
        <w:t>Biochem. Biophys. Res. Commun.</w:t>
      </w:r>
      <w:r w:rsidRPr="00452776">
        <w:rPr>
          <w:rFonts w:ascii="Arial" w:eastAsia="Times New Roman" w:hAnsi="Arial" w:cs="Arial"/>
          <w:kern w:val="0"/>
          <w:sz w:val="20"/>
          <w:szCs w:val="20"/>
        </w:rPr>
        <w:t>, </w:t>
      </w:r>
      <w:r w:rsidRPr="00452776">
        <w:rPr>
          <w:rFonts w:ascii="Arial" w:eastAsia="Times New Roman" w:hAnsi="Arial" w:cs="Arial"/>
          <w:i/>
          <w:iCs/>
          <w:kern w:val="0"/>
          <w:sz w:val="20"/>
          <w:szCs w:val="20"/>
        </w:rPr>
        <w:t>505</w:t>
      </w:r>
      <w:r w:rsidRPr="00452776">
        <w:rPr>
          <w:rFonts w:ascii="Arial" w:eastAsia="Times New Roman" w:hAnsi="Arial" w:cs="Arial"/>
          <w:kern w:val="0"/>
          <w:sz w:val="20"/>
          <w:szCs w:val="20"/>
        </w:rPr>
        <w:t>(2): 606-611.</w:t>
      </w:r>
    </w:p>
    <w:p w:rsidR="00452776" w:rsidRPr="00452776" w:rsidRDefault="00452776" w:rsidP="00452776">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452776">
        <w:rPr>
          <w:rFonts w:ascii="Arial" w:hAnsi="Arial" w:cs="Arial"/>
          <w:b/>
          <w:bCs/>
          <w:kern w:val="0"/>
          <w:sz w:val="20"/>
          <w:szCs w:val="20"/>
        </w:rPr>
        <w:t xml:space="preserve">Mumtaz, M. Z., Ahmad, M., Jamil, M. and Hussain, T. 2017. </w:t>
      </w:r>
      <w:r w:rsidRPr="00452776">
        <w:rPr>
          <w:rFonts w:ascii="Arial" w:hAnsi="Arial" w:cs="Arial"/>
          <w:kern w:val="0"/>
          <w:sz w:val="20"/>
          <w:szCs w:val="20"/>
        </w:rPr>
        <w:t xml:space="preserve">Zinc solubilizing </w:t>
      </w:r>
      <w:r w:rsidRPr="00452776">
        <w:rPr>
          <w:rFonts w:ascii="Arial" w:hAnsi="Arial" w:cs="Arial"/>
          <w:i/>
          <w:iCs/>
          <w:kern w:val="0"/>
          <w:sz w:val="20"/>
          <w:szCs w:val="20"/>
        </w:rPr>
        <w:t xml:space="preserve">Bacillus </w:t>
      </w:r>
      <w:r w:rsidRPr="00452776">
        <w:rPr>
          <w:rFonts w:ascii="Arial" w:hAnsi="Arial" w:cs="Arial"/>
          <w:kern w:val="0"/>
          <w:sz w:val="20"/>
          <w:szCs w:val="20"/>
        </w:rPr>
        <w:t xml:space="preserve">spp. potential candidates for biofortification in maize. </w:t>
      </w:r>
      <w:r w:rsidRPr="00452776">
        <w:rPr>
          <w:rFonts w:ascii="Arial" w:hAnsi="Arial" w:cs="Arial"/>
          <w:i/>
          <w:iCs/>
          <w:kern w:val="0"/>
          <w:sz w:val="20"/>
          <w:szCs w:val="20"/>
        </w:rPr>
        <w:t>Microbiol.Res</w:t>
      </w:r>
      <w:r w:rsidRPr="00452776">
        <w:rPr>
          <w:rFonts w:ascii="Arial" w:hAnsi="Arial" w:cs="Arial"/>
          <w:kern w:val="0"/>
          <w:sz w:val="20"/>
          <w:szCs w:val="20"/>
        </w:rPr>
        <w:t>., 202: 51-60.</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Mumtaz, M. Z., Malik, A., Nazli, F., Latif, M., Zaheer, A. and Ali, Q. 2020.</w:t>
      </w:r>
      <w:r w:rsidRPr="00452776">
        <w:rPr>
          <w:rFonts w:ascii="Arial" w:eastAsia="Calibri" w:hAnsi="Arial" w:cs="Arial"/>
          <w:kern w:val="0"/>
          <w:sz w:val="20"/>
          <w:szCs w:val="20"/>
          <w:lang w:eastAsia="en-IN"/>
        </w:rPr>
        <w:t xml:space="preserve"> Potential of zinc solubilizing </w:t>
      </w:r>
      <w:r w:rsidRPr="00452776">
        <w:rPr>
          <w:rFonts w:ascii="Arial" w:eastAsia="Calibri" w:hAnsi="Arial" w:cs="Arial"/>
          <w:i/>
          <w:iCs/>
          <w:kern w:val="0"/>
          <w:sz w:val="20"/>
          <w:szCs w:val="20"/>
          <w:lang w:eastAsia="en-IN"/>
        </w:rPr>
        <w:t xml:space="preserve">Bacillus </w:t>
      </w:r>
      <w:r w:rsidRPr="00452776">
        <w:rPr>
          <w:rFonts w:ascii="Arial" w:eastAsia="Calibri" w:hAnsi="Arial" w:cs="Arial"/>
          <w:kern w:val="0"/>
          <w:sz w:val="20"/>
          <w:szCs w:val="20"/>
          <w:lang w:eastAsia="en-IN"/>
        </w:rPr>
        <w:t>strains to improve growth, yield, and quality of maize (</w:t>
      </w:r>
      <w:r w:rsidRPr="00452776">
        <w:rPr>
          <w:rFonts w:ascii="Arial" w:eastAsia="Calibri" w:hAnsi="Arial" w:cs="Arial"/>
          <w:i/>
          <w:iCs/>
          <w:kern w:val="0"/>
          <w:sz w:val="20"/>
          <w:szCs w:val="20"/>
          <w:lang w:eastAsia="en-IN"/>
        </w:rPr>
        <w:t>Zea mays</w:t>
      </w:r>
      <w:r w:rsidRPr="00452776">
        <w:rPr>
          <w:rFonts w:ascii="Arial" w:eastAsia="Calibri" w:hAnsi="Arial" w:cs="Arial"/>
          <w:kern w:val="0"/>
          <w:sz w:val="20"/>
          <w:szCs w:val="20"/>
          <w:lang w:eastAsia="en-IN"/>
        </w:rPr>
        <w:t xml:space="preserve">). </w:t>
      </w:r>
      <w:r w:rsidRPr="00452776">
        <w:rPr>
          <w:rFonts w:ascii="Arial" w:eastAsia="Calibri" w:hAnsi="Arial" w:cs="Arial"/>
          <w:i/>
          <w:kern w:val="0"/>
          <w:sz w:val="20"/>
          <w:szCs w:val="20"/>
          <w:lang w:eastAsia="en-IN"/>
        </w:rPr>
        <w:t>Int J Agric Biol.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24</w:t>
      </w:r>
      <w:r w:rsidRPr="00452776">
        <w:rPr>
          <w:rFonts w:ascii="Arial" w:eastAsia="Calibri" w:hAnsi="Arial" w:cs="Arial"/>
          <w:kern w:val="0"/>
          <w:sz w:val="20"/>
          <w:szCs w:val="20"/>
          <w:lang w:eastAsia="en-IN"/>
        </w:rPr>
        <w:t>: 691–698. https://doi.org/10.17957/IJAB/15.1488</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Murray, J. D.2011</w:t>
      </w:r>
      <w:r w:rsidRPr="00452776">
        <w:rPr>
          <w:rFonts w:ascii="Arial" w:eastAsia="Calibri" w:hAnsi="Arial" w:cs="Arial"/>
          <w:kern w:val="0"/>
          <w:sz w:val="20"/>
          <w:szCs w:val="20"/>
          <w:lang w:eastAsia="en-IN"/>
        </w:rPr>
        <w:t xml:space="preserve">. Invasion by invitation: Rhizobial infection in legumes. </w:t>
      </w:r>
      <w:r w:rsidRPr="00452776">
        <w:rPr>
          <w:rFonts w:ascii="Arial" w:eastAsia="Calibri" w:hAnsi="Arial" w:cs="Arial"/>
          <w:i/>
          <w:kern w:val="0"/>
          <w:sz w:val="20"/>
          <w:szCs w:val="20"/>
          <w:lang w:eastAsia="en-IN"/>
        </w:rPr>
        <w:t>Mol Plant–Microbe Interact.,</w:t>
      </w:r>
      <w:r w:rsidRPr="00452776">
        <w:rPr>
          <w:rFonts w:ascii="Arial" w:eastAsia="Calibri" w:hAnsi="Arial" w:cs="Arial"/>
          <w:iCs/>
          <w:kern w:val="0"/>
          <w:sz w:val="20"/>
          <w:szCs w:val="20"/>
          <w:lang w:eastAsia="en-IN"/>
        </w:rPr>
        <w:t>24</w:t>
      </w:r>
      <w:r w:rsidRPr="00452776">
        <w:rPr>
          <w:rFonts w:ascii="Arial" w:eastAsia="Calibri" w:hAnsi="Arial" w:cs="Arial"/>
          <w:kern w:val="0"/>
          <w:sz w:val="20"/>
          <w:szCs w:val="20"/>
          <w:lang w:eastAsia="en-IN"/>
        </w:rPr>
        <w:t>(6): 631–639. https://doi.org/10.1094/MPMI-08-10-0181</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Mushtaq, Z., Al-Ashkar, I., Habib-Ur-Rahman, M., Sabagh, A. E. and Ilić, P. 2023.</w:t>
      </w:r>
      <w:r w:rsidRPr="00452776">
        <w:rPr>
          <w:rFonts w:ascii="Arial" w:eastAsia="Calibri" w:hAnsi="Arial" w:cs="Arial"/>
          <w:kern w:val="0"/>
          <w:sz w:val="20"/>
          <w:szCs w:val="20"/>
          <w:lang w:eastAsia="en-IN"/>
        </w:rPr>
        <w:t xml:space="preserve"> Biofortification of iron in potato through rhizobacteria and plant growth regulator. </w:t>
      </w:r>
      <w:r w:rsidRPr="00452776">
        <w:rPr>
          <w:rFonts w:ascii="Arial" w:eastAsia="Calibri" w:hAnsi="Arial" w:cs="Arial"/>
          <w:i/>
          <w:kern w:val="0"/>
          <w:sz w:val="20"/>
          <w:szCs w:val="20"/>
          <w:lang w:eastAsia="en-IN"/>
        </w:rPr>
        <w:t>Potato Research</w:t>
      </w:r>
      <w:r w:rsidRPr="00452776">
        <w:rPr>
          <w:rFonts w:ascii="Arial" w:eastAsia="Calibri" w:hAnsi="Arial" w:cs="Arial"/>
          <w:kern w:val="0"/>
          <w:sz w:val="20"/>
          <w:szCs w:val="20"/>
          <w:lang w:eastAsia="en-IN"/>
        </w:rPr>
        <w:t xml:space="preserve">, 1–9. </w:t>
      </w:r>
      <w:hyperlink r:id="rId54" w:history="1">
        <w:r w:rsidRPr="00452776">
          <w:rPr>
            <w:rStyle w:val="Hyperlink"/>
            <w:rFonts w:ascii="Arial" w:eastAsia="Calibri" w:hAnsi="Arial" w:cs="Arial"/>
            <w:color w:val="auto"/>
            <w:kern w:val="0"/>
            <w:sz w:val="20"/>
            <w:szCs w:val="20"/>
            <w:lang w:eastAsia="en-IN"/>
          </w:rPr>
          <w:t>https://doi.org/10.1007/s11540-023-09667-z</w:t>
        </w:r>
      </w:hyperlink>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hAnsi="Arial" w:cs="Arial"/>
          <w:b/>
          <w:sz w:val="20"/>
          <w:szCs w:val="20"/>
          <w:shd w:val="clear" w:color="auto" w:fill="FFFFFF"/>
        </w:rPr>
        <w:t>Naik, B., Kumar, V., Rizwanuddin, S., Mishra, S., Kumar, V., Saris, P. E. J. and Rustagi, S. (2024)</w:t>
      </w:r>
      <w:r w:rsidRPr="00452776">
        <w:rPr>
          <w:rFonts w:ascii="Arial" w:hAnsi="Arial" w:cs="Arial"/>
          <w:sz w:val="20"/>
          <w:szCs w:val="20"/>
          <w:shd w:val="clear" w:color="auto" w:fill="FFFFFF"/>
        </w:rPr>
        <w:t>. Biofortification as a solution for addressing nutrient deficiencies and malnutrition. </w:t>
      </w:r>
      <w:r w:rsidRPr="00452776">
        <w:rPr>
          <w:rFonts w:ascii="Arial" w:hAnsi="Arial" w:cs="Arial"/>
          <w:i/>
          <w:iCs/>
          <w:sz w:val="20"/>
          <w:szCs w:val="20"/>
          <w:shd w:val="clear" w:color="auto" w:fill="FFFFFF"/>
        </w:rPr>
        <w:t>Heliyon</w:t>
      </w:r>
      <w:r w:rsidRPr="00452776">
        <w:rPr>
          <w:rFonts w:ascii="Arial" w:hAnsi="Arial" w:cs="Arial"/>
          <w:sz w:val="20"/>
          <w:szCs w:val="20"/>
          <w:shd w:val="clear" w:color="auto" w:fill="FFFFFF"/>
        </w:rPr>
        <w:t>.</w:t>
      </w:r>
    </w:p>
    <w:p w:rsidR="00452776" w:rsidRPr="00452776" w:rsidRDefault="00452776" w:rsidP="00452776">
      <w:pPr>
        <w:rPr>
          <w:rFonts w:ascii="Arial" w:hAnsi="Arial" w:cs="Arial"/>
          <w:sz w:val="20"/>
          <w:szCs w:val="20"/>
          <w:shd w:val="clear" w:color="auto" w:fill="FFFFFF"/>
        </w:rPr>
      </w:pPr>
      <w:r w:rsidRPr="00452776">
        <w:rPr>
          <w:rFonts w:ascii="Arial" w:hAnsi="Arial" w:cs="Arial"/>
          <w:sz w:val="20"/>
          <w:szCs w:val="20"/>
          <w:shd w:val="clear" w:color="auto" w:fill="FFFFFF"/>
        </w:rPr>
        <w:t>Naik, B., Kumar, V., Rizwanuddin, S., Mishra, S., Kumar, V., Saris, P. E. J. and  Rustagi, S. (2024). Biofortification as a solution for addressing nutrient deficiencies and malnutrition. </w:t>
      </w:r>
      <w:r w:rsidRPr="00452776">
        <w:rPr>
          <w:rFonts w:ascii="Arial" w:hAnsi="Arial" w:cs="Arial"/>
          <w:i/>
          <w:iCs/>
          <w:sz w:val="20"/>
          <w:szCs w:val="20"/>
          <w:shd w:val="clear" w:color="auto" w:fill="FFFFFF"/>
        </w:rPr>
        <w:t>Heliyon</w:t>
      </w:r>
      <w:r w:rsidRPr="00452776">
        <w:rPr>
          <w:rFonts w:ascii="Arial" w:hAnsi="Arial" w:cs="Arial"/>
          <w:sz w:val="20"/>
          <w:szCs w:val="20"/>
          <w:shd w:val="clear" w:color="auto" w:fill="FFFFFF"/>
        </w:rPr>
        <w:t>.</w:t>
      </w:r>
    </w:p>
    <w:p w:rsidR="00452776" w:rsidRPr="00452776" w:rsidRDefault="00452776" w:rsidP="00452776">
      <w:pPr>
        <w:widowControl w:val="0"/>
        <w:autoSpaceDE w:val="0"/>
        <w:autoSpaceDN w:val="0"/>
        <w:adjustRightInd w:val="0"/>
        <w:spacing w:before="280" w:after="120" w:line="324" w:lineRule="auto"/>
        <w:ind w:left="720" w:hanging="720"/>
        <w:jc w:val="both"/>
        <w:rPr>
          <w:rFonts w:ascii="Arial" w:eastAsia="Times New Roman" w:hAnsi="Arial" w:cs="Arial"/>
          <w:kern w:val="0"/>
          <w:sz w:val="20"/>
          <w:szCs w:val="20"/>
          <w:shd w:val="clear" w:color="auto" w:fill="FFFFFF"/>
        </w:rPr>
      </w:pPr>
      <w:r w:rsidRPr="00452776">
        <w:rPr>
          <w:rFonts w:ascii="Arial" w:eastAsia="Times New Roman" w:hAnsi="Arial" w:cs="Arial"/>
          <w:b/>
          <w:bCs/>
          <w:kern w:val="0"/>
          <w:sz w:val="20"/>
          <w:szCs w:val="20"/>
        </w:rPr>
        <w:t>Nakandalage, N., Nicolas, M., Norton, R. M., Hirotsu, N., Milham, P. J. and Seneweera, S. 2016.</w:t>
      </w:r>
      <w:r w:rsidRPr="00452776">
        <w:rPr>
          <w:rFonts w:ascii="Arial" w:eastAsia="Times New Roman" w:hAnsi="Arial" w:cs="Arial"/>
          <w:kern w:val="0"/>
          <w:sz w:val="20"/>
          <w:szCs w:val="20"/>
        </w:rPr>
        <w:t xml:space="preserve"> </w:t>
      </w:r>
      <w:r w:rsidRPr="00452776">
        <w:rPr>
          <w:rFonts w:ascii="Arial" w:eastAsia="Times New Roman" w:hAnsi="Arial" w:cs="Arial"/>
          <w:kern w:val="0"/>
          <w:sz w:val="20"/>
          <w:szCs w:val="20"/>
        </w:rPr>
        <w:lastRenderedPageBreak/>
        <w:t xml:space="preserve">Improving rice zinc biofortification success rates through genetic and crop management approaches in a changing environment. </w:t>
      </w:r>
      <w:r w:rsidRPr="00452776">
        <w:rPr>
          <w:rFonts w:ascii="Arial" w:eastAsia="Times New Roman" w:hAnsi="Arial" w:cs="Arial"/>
          <w:i/>
          <w:iCs/>
          <w:kern w:val="0"/>
          <w:sz w:val="20"/>
          <w:szCs w:val="20"/>
        </w:rPr>
        <w:t>Front. Plant Sci</w:t>
      </w:r>
      <w:r w:rsidRPr="00452776">
        <w:rPr>
          <w:rFonts w:ascii="Arial" w:eastAsia="Times New Roman" w:hAnsi="Arial" w:cs="Arial"/>
          <w:kern w:val="0"/>
          <w:sz w:val="20"/>
          <w:szCs w:val="20"/>
        </w:rPr>
        <w:t>. 7: 764.</w:t>
      </w:r>
    </w:p>
    <w:p w:rsidR="00452776" w:rsidRPr="00452776" w:rsidRDefault="00452776" w:rsidP="00452776">
      <w:pPr>
        <w:widowControl w:val="0"/>
        <w:spacing w:before="280" w:after="120" w:line="307"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Neenu, S. and Ramesh, K. 2020</w:t>
      </w:r>
      <w:r w:rsidRPr="00452776">
        <w:rPr>
          <w:rFonts w:ascii="Arial" w:eastAsia="Calibri" w:hAnsi="Arial" w:cs="Arial"/>
          <w:kern w:val="0"/>
          <w:sz w:val="20"/>
          <w:szCs w:val="20"/>
          <w:lang w:eastAsia="en-IN"/>
        </w:rPr>
        <w:t xml:space="preserve">. </w:t>
      </w:r>
      <w:r w:rsidRPr="00452776">
        <w:rPr>
          <w:rFonts w:ascii="Arial" w:eastAsia="Calibri" w:hAnsi="Arial" w:cs="Arial"/>
          <w:i/>
          <w:kern w:val="0"/>
          <w:sz w:val="20"/>
          <w:szCs w:val="20"/>
          <w:lang w:eastAsia="en-IN"/>
        </w:rPr>
        <w:t>Weather–micronutrient interactions in soil and plants–A critical review</w:t>
      </w:r>
      <w:r w:rsidRPr="00452776">
        <w:rPr>
          <w:rFonts w:ascii="Arial" w:eastAsia="Calibri" w:hAnsi="Arial" w:cs="Arial"/>
          <w:kern w:val="0"/>
          <w:sz w:val="20"/>
          <w:szCs w:val="20"/>
          <w:lang w:eastAsia="en-IN"/>
        </w:rPr>
        <w:t>.</w:t>
      </w:r>
    </w:p>
    <w:p w:rsidR="00452776" w:rsidRPr="00452776" w:rsidRDefault="00452776" w:rsidP="00452776">
      <w:pPr>
        <w:widowControl w:val="0"/>
        <w:autoSpaceDE w:val="0"/>
        <w:autoSpaceDN w:val="0"/>
        <w:spacing w:before="280" w:after="120" w:line="307"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Nelson, S.K. and Steber, C.M. 2016</w:t>
      </w:r>
      <w:r w:rsidRPr="00452776">
        <w:rPr>
          <w:rFonts w:ascii="Arial" w:eastAsia="Times New Roman" w:hAnsi="Arial" w:cs="Arial"/>
          <w:kern w:val="0"/>
          <w:sz w:val="20"/>
          <w:szCs w:val="20"/>
          <w:lang w:val="en-US"/>
        </w:rPr>
        <w:t xml:space="preserve">.Gibberellin hormone signal perception: down-regulating DELLA repressors of plant growth and development. </w:t>
      </w:r>
      <w:r w:rsidRPr="00452776">
        <w:rPr>
          <w:rFonts w:ascii="Arial" w:eastAsia="Times New Roman" w:hAnsi="Arial" w:cs="Arial"/>
          <w:i/>
          <w:kern w:val="0"/>
          <w:sz w:val="20"/>
          <w:szCs w:val="20"/>
          <w:lang w:val="en-US"/>
        </w:rPr>
        <w:t xml:space="preserve">Annu. Plant Rev., </w:t>
      </w:r>
      <w:r w:rsidRPr="00452776">
        <w:rPr>
          <w:rFonts w:ascii="Arial" w:eastAsia="Times New Roman" w:hAnsi="Arial" w:cs="Arial"/>
          <w:kern w:val="0"/>
          <w:sz w:val="20"/>
          <w:szCs w:val="20"/>
          <w:lang w:val="en-US"/>
        </w:rPr>
        <w:t>49:153–188.</w:t>
      </w:r>
    </w:p>
    <w:p w:rsidR="00452776" w:rsidRPr="00452776" w:rsidRDefault="00452776" w:rsidP="00452776">
      <w:pPr>
        <w:widowControl w:val="0"/>
        <w:spacing w:before="280" w:after="120" w:line="307"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Obrador, A., Novillo, J. and Alvarez, J. M. 2003.</w:t>
      </w:r>
      <w:r w:rsidRPr="00452776">
        <w:rPr>
          <w:rFonts w:ascii="Arial" w:eastAsia="Calibri" w:hAnsi="Arial" w:cs="Arial"/>
          <w:kern w:val="0"/>
          <w:sz w:val="20"/>
          <w:szCs w:val="20"/>
          <w:lang w:eastAsia="en-IN"/>
        </w:rPr>
        <w:t xml:space="preserve"> Mobility and availability to plants of two zinc sources applied to a calcareous soil. </w:t>
      </w:r>
      <w:r w:rsidRPr="00452776">
        <w:rPr>
          <w:rFonts w:ascii="Arial" w:eastAsia="Calibri" w:hAnsi="Arial" w:cs="Arial"/>
          <w:i/>
          <w:kern w:val="0"/>
          <w:sz w:val="20"/>
          <w:szCs w:val="20"/>
          <w:lang w:eastAsia="en-IN"/>
        </w:rPr>
        <w:t>Soil Sci Soc Am J.</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67(</w:t>
      </w:r>
      <w:r w:rsidRPr="00452776">
        <w:rPr>
          <w:rFonts w:ascii="Arial" w:eastAsia="Calibri" w:hAnsi="Arial" w:cs="Arial"/>
          <w:kern w:val="0"/>
          <w:sz w:val="20"/>
          <w:szCs w:val="20"/>
          <w:lang w:eastAsia="en-IN"/>
        </w:rPr>
        <w:t>2): 564–572. https://doi.org/10.2136/sssaj2003.5640</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eastAsia="en-IN"/>
        </w:rPr>
      </w:pPr>
      <w:r w:rsidRPr="00452776">
        <w:rPr>
          <w:rFonts w:ascii="Arial" w:eastAsia="Calibri" w:hAnsi="Arial" w:cs="Arial"/>
          <w:b/>
          <w:bCs/>
          <w:kern w:val="0"/>
          <w:sz w:val="20"/>
          <w:szCs w:val="20"/>
          <w:lang w:eastAsia="en-IN"/>
        </w:rPr>
        <w:t>Olanrewaju, O. S., Glick, B. R., and Babalola, O. O. 2017.</w:t>
      </w:r>
      <w:r w:rsidRPr="00452776">
        <w:rPr>
          <w:rFonts w:ascii="Arial" w:eastAsia="Calibri" w:hAnsi="Arial" w:cs="Arial"/>
          <w:kern w:val="0"/>
          <w:sz w:val="20"/>
          <w:szCs w:val="20"/>
          <w:lang w:eastAsia="en-IN"/>
        </w:rPr>
        <w:t xml:space="preserve"> Mechanisms of action of plant growth promoting bacteria. </w:t>
      </w:r>
      <w:r w:rsidRPr="00452776">
        <w:rPr>
          <w:rFonts w:ascii="Arial" w:eastAsia="Calibri" w:hAnsi="Arial" w:cs="Arial"/>
          <w:i/>
          <w:kern w:val="0"/>
          <w:sz w:val="20"/>
          <w:szCs w:val="20"/>
          <w:lang w:eastAsia="en-IN"/>
        </w:rPr>
        <w:t>World J. Microbiol. Biotechnol.</w:t>
      </w:r>
      <w:r w:rsidRPr="00452776">
        <w:rPr>
          <w:rFonts w:ascii="Arial" w:eastAsia="Calibri" w:hAnsi="Arial" w:cs="Arial"/>
          <w:kern w:val="0"/>
          <w:sz w:val="20"/>
          <w:szCs w:val="20"/>
          <w:lang w:eastAsia="en-IN"/>
        </w:rPr>
        <w:t xml:space="preserve">, </w:t>
      </w:r>
      <w:r w:rsidRPr="00452776">
        <w:rPr>
          <w:rFonts w:ascii="Arial" w:eastAsia="Calibri" w:hAnsi="Arial" w:cs="Arial"/>
          <w:iCs/>
          <w:kern w:val="0"/>
          <w:sz w:val="20"/>
          <w:szCs w:val="20"/>
          <w:lang w:eastAsia="en-IN"/>
        </w:rPr>
        <w:t>33</w:t>
      </w:r>
      <w:r w:rsidRPr="00452776">
        <w:rPr>
          <w:rFonts w:ascii="Arial" w:eastAsia="Calibri" w:hAnsi="Arial" w:cs="Arial"/>
          <w:kern w:val="0"/>
          <w:sz w:val="20"/>
          <w:szCs w:val="20"/>
          <w:lang w:eastAsia="en-IN"/>
        </w:rPr>
        <w:t>(11): 197. https://doi.org/10.1007/s11274-017-2364-9</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rPr>
      </w:pPr>
      <w:r w:rsidRPr="00452776">
        <w:rPr>
          <w:rFonts w:ascii="Arial" w:eastAsia="Times New Roman" w:hAnsi="Arial" w:cs="Arial"/>
          <w:b/>
          <w:bCs/>
          <w:kern w:val="0"/>
          <w:sz w:val="20"/>
          <w:szCs w:val="20"/>
        </w:rPr>
        <w:t>Palmer, C. M. and Guerinot, M. L. 2009.</w:t>
      </w:r>
      <w:r w:rsidRPr="00452776">
        <w:rPr>
          <w:rFonts w:ascii="Arial" w:eastAsia="Times New Roman" w:hAnsi="Arial" w:cs="Arial"/>
          <w:kern w:val="0"/>
          <w:sz w:val="20"/>
          <w:szCs w:val="20"/>
        </w:rPr>
        <w:t xml:space="preserve"> Facing the challenges of Cu, Fe and Zn homeostasis in plants. </w:t>
      </w:r>
      <w:r w:rsidRPr="00452776">
        <w:rPr>
          <w:rFonts w:ascii="Arial" w:eastAsia="Times New Roman" w:hAnsi="Arial" w:cs="Arial"/>
          <w:i/>
          <w:iCs/>
          <w:kern w:val="0"/>
          <w:sz w:val="20"/>
          <w:szCs w:val="20"/>
        </w:rPr>
        <w:t>Nat. Chem. Biol</w:t>
      </w:r>
      <w:r w:rsidRPr="00452776">
        <w:rPr>
          <w:rFonts w:ascii="Arial" w:eastAsia="Times New Roman" w:hAnsi="Arial" w:cs="Arial"/>
          <w:kern w:val="0"/>
          <w:sz w:val="20"/>
          <w:szCs w:val="20"/>
        </w:rPr>
        <w:t xml:space="preserve">. </w:t>
      </w:r>
      <w:r w:rsidRPr="00452776">
        <w:rPr>
          <w:rFonts w:ascii="Arial" w:eastAsia="Times New Roman" w:hAnsi="Arial" w:cs="Arial"/>
          <w:bCs/>
          <w:kern w:val="0"/>
          <w:sz w:val="20"/>
          <w:szCs w:val="20"/>
        </w:rPr>
        <w:t>5(</w:t>
      </w:r>
      <w:r w:rsidRPr="00452776">
        <w:rPr>
          <w:rFonts w:ascii="Arial" w:eastAsia="Times New Roman" w:hAnsi="Arial" w:cs="Arial"/>
          <w:kern w:val="0"/>
          <w:sz w:val="20"/>
          <w:szCs w:val="20"/>
        </w:rPr>
        <w:t>5): 333.</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Patle, P. N., Navnage</w:t>
      </w:r>
      <w:r w:rsidRPr="00452776">
        <w:rPr>
          <w:rFonts w:ascii="Arial" w:eastAsia="Calibri" w:hAnsi="Arial" w:cs="Arial"/>
          <w:b/>
          <w:bCs/>
          <w:kern w:val="0"/>
          <w:sz w:val="20"/>
          <w:szCs w:val="20"/>
          <w:lang w:eastAsia="en-IN"/>
        </w:rPr>
        <w:t xml:space="preserve">, </w:t>
      </w:r>
      <w:r w:rsidRPr="00452776">
        <w:rPr>
          <w:rFonts w:ascii="Arial" w:eastAsia="Times New Roman" w:hAnsi="Arial" w:cs="Arial"/>
          <w:b/>
          <w:bCs/>
          <w:kern w:val="0"/>
          <w:sz w:val="20"/>
          <w:szCs w:val="20"/>
          <w:lang w:eastAsia="en-IN"/>
        </w:rPr>
        <w:t>N. P. and Ramteke, P. R. 2018.</w:t>
      </w:r>
      <w:r w:rsidRPr="00452776">
        <w:rPr>
          <w:rFonts w:ascii="Arial" w:eastAsia="Times New Roman" w:hAnsi="Arial" w:cs="Arial"/>
          <w:kern w:val="0"/>
          <w:sz w:val="20"/>
          <w:szCs w:val="20"/>
          <w:lang w:eastAsia="en-IN"/>
        </w:rPr>
        <w:t xml:space="preserve"> Endophytes in plant system: Roles in growth promotion, mechanism and their potentiality in achieving agriculture sustainability. </w:t>
      </w:r>
      <w:r w:rsidRPr="00452776">
        <w:rPr>
          <w:rFonts w:ascii="Arial" w:eastAsia="Calibri" w:hAnsi="Arial" w:cs="Arial"/>
          <w:i/>
          <w:iCs/>
          <w:kern w:val="0"/>
          <w:sz w:val="20"/>
          <w:szCs w:val="20"/>
          <w:lang w:eastAsia="en-IN"/>
        </w:rPr>
        <w:t>Int. J. Chem. Stud</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6</w:t>
      </w:r>
      <w:r w:rsidRPr="00452776">
        <w:rPr>
          <w:rFonts w:ascii="Arial" w:eastAsia="Times New Roman" w:hAnsi="Arial" w:cs="Arial"/>
          <w:kern w:val="0"/>
          <w:sz w:val="20"/>
          <w:szCs w:val="20"/>
          <w:lang w:eastAsia="en-IN"/>
        </w:rPr>
        <w:t>(1): 270–274.</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hAnsi="Arial" w:cs="Arial"/>
          <w:b/>
          <w:bCs/>
          <w:sz w:val="20"/>
          <w:szCs w:val="20"/>
          <w:shd w:val="clear" w:color="auto" w:fill="FFFFFF"/>
        </w:rPr>
        <w:t>Pingali, P., 2023</w:t>
      </w:r>
      <w:r w:rsidRPr="00452776">
        <w:rPr>
          <w:rFonts w:ascii="Arial" w:hAnsi="Arial" w:cs="Arial"/>
          <w:sz w:val="20"/>
          <w:szCs w:val="20"/>
          <w:shd w:val="clear" w:color="auto" w:fill="FFFFFF"/>
        </w:rPr>
        <w:t>. Are the lessons from the green revolution relevant for agricultural growth and food security in the twenty-first century. </w:t>
      </w:r>
      <w:r w:rsidRPr="00452776">
        <w:rPr>
          <w:rFonts w:ascii="Arial" w:hAnsi="Arial" w:cs="Arial"/>
          <w:i/>
          <w:iCs/>
          <w:sz w:val="20"/>
          <w:szCs w:val="20"/>
          <w:shd w:val="clear" w:color="auto" w:fill="FFFFFF"/>
        </w:rPr>
        <w:t>Agricultural Development in Asia and Africa; Springer: Singapore</w:t>
      </w:r>
      <w:r w:rsidRPr="00452776">
        <w:rPr>
          <w:rFonts w:ascii="Arial" w:hAnsi="Arial" w:cs="Arial"/>
          <w:sz w:val="20"/>
          <w:szCs w:val="20"/>
          <w:shd w:val="clear" w:color="auto" w:fill="FFFFFF"/>
        </w:rPr>
        <w:t>, pp.21-32.</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Praharaj, S., Skalicky, M., Maitra, S., Bhadra, P., Shankar, T., Brestic, M., Hejnak, V., Vachova, P. and Hossain, A. 2021.</w:t>
      </w:r>
      <w:r w:rsidRPr="00452776">
        <w:rPr>
          <w:rFonts w:ascii="Arial" w:eastAsia="Times New Roman" w:hAnsi="Arial" w:cs="Arial"/>
          <w:kern w:val="0"/>
          <w:sz w:val="20"/>
          <w:szCs w:val="20"/>
          <w:lang w:eastAsia="en-IN"/>
        </w:rPr>
        <w:t xml:space="preserve"> Zinc biofortification in food crops could alleviate the zinc malnutrition in human health. </w:t>
      </w:r>
      <w:r w:rsidRPr="00452776">
        <w:rPr>
          <w:rFonts w:ascii="Arial" w:eastAsia="Times New Roman" w:hAnsi="Arial" w:cs="Arial"/>
          <w:i/>
          <w:kern w:val="0"/>
          <w:sz w:val="20"/>
          <w:szCs w:val="20"/>
          <w:lang w:eastAsia="en-IN"/>
        </w:rPr>
        <w:t>Molecules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26</w:t>
      </w:r>
      <w:r w:rsidRPr="00452776">
        <w:rPr>
          <w:rFonts w:ascii="Arial" w:eastAsia="Times New Roman" w:hAnsi="Arial" w:cs="Arial"/>
          <w:kern w:val="0"/>
          <w:sz w:val="20"/>
          <w:szCs w:val="20"/>
          <w:lang w:eastAsia="en-IN"/>
        </w:rPr>
        <w:t>(12): 3509. https://doi.org/10.3390/molecules26123509</w:t>
      </w:r>
    </w:p>
    <w:p w:rsidR="00452776" w:rsidRPr="00452776" w:rsidRDefault="00452776" w:rsidP="00452776">
      <w:pPr>
        <w:widowControl w:val="0"/>
        <w:spacing w:before="280" w:after="120" w:line="324" w:lineRule="auto"/>
        <w:ind w:left="720" w:hanging="720"/>
        <w:jc w:val="both"/>
        <w:rPr>
          <w:rFonts w:ascii="Arial" w:eastAsia="Calibri" w:hAnsi="Arial" w:cs="Arial"/>
          <w:kern w:val="0"/>
          <w:sz w:val="20"/>
          <w:szCs w:val="20"/>
          <w:lang w:val="en-US"/>
        </w:rPr>
      </w:pPr>
      <w:r w:rsidRPr="00452776">
        <w:rPr>
          <w:rFonts w:ascii="Arial" w:eastAsia="Calibri" w:hAnsi="Arial" w:cs="Arial"/>
          <w:b/>
          <w:bCs/>
          <w:kern w:val="0"/>
          <w:sz w:val="20"/>
          <w:szCs w:val="20"/>
          <w:lang w:val="en-US"/>
        </w:rPr>
        <w:t xml:space="preserve">Prasad, A. A. and Babu, S. 2017. </w:t>
      </w:r>
      <w:r w:rsidRPr="00452776">
        <w:rPr>
          <w:rFonts w:ascii="Arial" w:eastAsia="Calibri" w:hAnsi="Arial" w:cs="Arial"/>
          <w:kern w:val="0"/>
          <w:sz w:val="20"/>
          <w:szCs w:val="20"/>
          <w:lang w:val="en-US"/>
        </w:rPr>
        <w:t xml:space="preserve">Compatibility of </w:t>
      </w:r>
      <w:r w:rsidRPr="00452776">
        <w:rPr>
          <w:rFonts w:ascii="Arial" w:eastAsia="Calibri" w:hAnsi="Arial" w:cs="Arial"/>
          <w:i/>
          <w:iCs/>
          <w:kern w:val="0"/>
          <w:sz w:val="20"/>
          <w:szCs w:val="20"/>
          <w:lang w:val="en-US"/>
        </w:rPr>
        <w:t xml:space="preserve">Azospirillum brasilense </w:t>
      </w:r>
      <w:r w:rsidRPr="00452776">
        <w:rPr>
          <w:rFonts w:ascii="Arial" w:eastAsia="Calibri" w:hAnsi="Arial" w:cs="Arial"/>
          <w:kern w:val="0"/>
          <w:sz w:val="20"/>
          <w:szCs w:val="20"/>
          <w:lang w:val="en-US"/>
        </w:rPr>
        <w:t xml:space="preserve">and </w:t>
      </w:r>
      <w:r w:rsidRPr="00452776">
        <w:rPr>
          <w:rFonts w:ascii="Arial" w:eastAsia="Calibri" w:hAnsi="Arial" w:cs="Arial"/>
          <w:i/>
          <w:iCs/>
          <w:kern w:val="0"/>
          <w:sz w:val="20"/>
          <w:szCs w:val="20"/>
          <w:lang w:val="en-US"/>
        </w:rPr>
        <w:t xml:space="preserve">Pseudomonas fluorescens </w:t>
      </w:r>
      <w:r w:rsidRPr="00452776">
        <w:rPr>
          <w:rFonts w:ascii="Arial" w:eastAsia="Calibri" w:hAnsi="Arial" w:cs="Arial"/>
          <w:kern w:val="0"/>
          <w:sz w:val="20"/>
          <w:szCs w:val="20"/>
          <w:lang w:val="en-US"/>
        </w:rPr>
        <w:t>in growth promotion of groundnut (</w:t>
      </w:r>
      <w:r w:rsidRPr="00452776">
        <w:rPr>
          <w:rFonts w:ascii="Arial" w:eastAsia="Calibri" w:hAnsi="Arial" w:cs="Arial"/>
          <w:i/>
          <w:iCs/>
          <w:kern w:val="0"/>
          <w:sz w:val="20"/>
          <w:szCs w:val="20"/>
          <w:lang w:val="en-US"/>
        </w:rPr>
        <w:t xml:space="preserve">Arachishypogea </w:t>
      </w:r>
      <w:r w:rsidRPr="00452776">
        <w:rPr>
          <w:rFonts w:ascii="Arial" w:eastAsia="Calibri" w:hAnsi="Arial" w:cs="Arial"/>
          <w:kern w:val="0"/>
          <w:sz w:val="20"/>
          <w:szCs w:val="20"/>
          <w:lang w:val="en-US"/>
        </w:rPr>
        <w:t xml:space="preserve">L.). </w:t>
      </w:r>
      <w:r w:rsidRPr="00452776">
        <w:rPr>
          <w:rFonts w:ascii="Arial" w:eastAsia="Calibri" w:hAnsi="Arial" w:cs="Arial"/>
          <w:i/>
          <w:iCs/>
          <w:kern w:val="0"/>
          <w:sz w:val="20"/>
          <w:szCs w:val="20"/>
          <w:lang w:val="en-US"/>
        </w:rPr>
        <w:t>An. Acad. Bras. Cienc</w:t>
      </w:r>
      <w:r w:rsidRPr="00452776">
        <w:rPr>
          <w:rFonts w:ascii="Arial" w:eastAsia="Calibri" w:hAnsi="Arial" w:cs="Arial"/>
          <w:kern w:val="0"/>
          <w:sz w:val="20"/>
          <w:szCs w:val="20"/>
          <w:lang w:val="en-US"/>
        </w:rPr>
        <w:t>. 89(2): 1027-1040.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Prasad, J. K., Dey, R. and Raghuwanshi, R. 2022. </w:t>
      </w:r>
      <w:r w:rsidRPr="00452776">
        <w:rPr>
          <w:rFonts w:ascii="Arial" w:eastAsia="Times New Roman" w:hAnsi="Arial" w:cs="Arial"/>
          <w:kern w:val="0"/>
          <w:sz w:val="20"/>
          <w:szCs w:val="20"/>
          <w:lang w:eastAsia="en-IN"/>
        </w:rPr>
        <w:t>Exopolysaccharide-producing rhizospheric bacteria enhance yield via promoting wheat (</w:t>
      </w:r>
      <w:r w:rsidRPr="00452776">
        <w:rPr>
          <w:rFonts w:ascii="Arial" w:eastAsia="Times New Roman" w:hAnsi="Arial" w:cs="Arial"/>
          <w:i/>
          <w:iCs/>
          <w:kern w:val="0"/>
          <w:sz w:val="20"/>
          <w:szCs w:val="20"/>
          <w:lang w:eastAsia="en-IN"/>
        </w:rPr>
        <w:t>Triticum aestivum</w:t>
      </w:r>
      <w:r w:rsidRPr="00452776">
        <w:rPr>
          <w:rFonts w:ascii="Arial" w:eastAsia="Times New Roman" w:hAnsi="Arial" w:cs="Arial"/>
          <w:kern w:val="0"/>
          <w:sz w:val="20"/>
          <w:szCs w:val="20"/>
          <w:lang w:eastAsia="en-IN"/>
        </w:rPr>
        <w:t xml:space="preserve"> L.) growth at early stages. </w:t>
      </w:r>
      <w:r w:rsidRPr="00452776">
        <w:rPr>
          <w:rFonts w:ascii="Arial" w:eastAsia="Times New Roman" w:hAnsi="Arial" w:cs="Arial"/>
          <w:i/>
          <w:kern w:val="0"/>
          <w:sz w:val="20"/>
          <w:szCs w:val="20"/>
          <w:lang w:eastAsia="en-IN"/>
        </w:rPr>
        <w:t>Microbiology</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91</w:t>
      </w:r>
      <w:r w:rsidRPr="00452776">
        <w:rPr>
          <w:rFonts w:ascii="Arial" w:eastAsia="Times New Roman" w:hAnsi="Arial" w:cs="Arial"/>
          <w:kern w:val="0"/>
          <w:sz w:val="20"/>
          <w:szCs w:val="20"/>
          <w:lang w:eastAsia="en-IN"/>
        </w:rPr>
        <w:t>(6): 757–769. https://doi.org/10.1134/S0026261721102622</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Calibri" w:hAnsi="Arial" w:cs="Arial"/>
          <w:b/>
          <w:bCs/>
          <w:kern w:val="0"/>
          <w:sz w:val="20"/>
          <w:szCs w:val="20"/>
          <w:shd w:val="clear" w:color="auto" w:fill="FFFFFF"/>
          <w:lang w:eastAsia="en-IN"/>
        </w:rPr>
        <w:t>Prasanna, B.M., Palacios-Rojas, N., Hossain, F., Muthusamy, V., Menkir, A., Dhliwayo, T., Ndhlela, T., San Vicente, F., Nair, S.K., Vivek, B.S. and Zhang, X. 2020.</w:t>
      </w:r>
      <w:r w:rsidRPr="00452776">
        <w:rPr>
          <w:rFonts w:ascii="Arial" w:eastAsia="Calibri" w:hAnsi="Arial" w:cs="Arial"/>
          <w:kern w:val="0"/>
          <w:sz w:val="20"/>
          <w:szCs w:val="20"/>
          <w:shd w:val="clear" w:color="auto" w:fill="FFFFFF"/>
          <w:lang w:eastAsia="en-IN"/>
        </w:rPr>
        <w:t xml:space="preserve"> Molecular breeding for nutritionally enriched maize: status and prospects. </w:t>
      </w:r>
      <w:r w:rsidRPr="00452776">
        <w:rPr>
          <w:rFonts w:ascii="Arial" w:eastAsia="Calibri" w:hAnsi="Arial" w:cs="Arial"/>
          <w:i/>
          <w:iCs/>
          <w:kern w:val="0"/>
          <w:sz w:val="20"/>
          <w:szCs w:val="20"/>
          <w:shd w:val="clear" w:color="auto" w:fill="FFFFFF"/>
          <w:lang w:eastAsia="en-IN"/>
        </w:rPr>
        <w:t>Front. Genet</w:t>
      </w:r>
      <w:r w:rsidRPr="00452776">
        <w:rPr>
          <w:rFonts w:ascii="Arial" w:eastAsia="Calibri" w:hAnsi="Arial" w:cs="Arial"/>
          <w:kern w:val="0"/>
          <w:sz w:val="20"/>
          <w:szCs w:val="20"/>
          <w:shd w:val="clear" w:color="auto" w:fill="FFFFFF"/>
          <w:lang w:eastAsia="en-IN"/>
        </w:rPr>
        <w:t>., 10: 1392.</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Ramesh, A., Sharma, S. K., Sharma, M. P., Yadav, N. and Joshi, O. P. 2014.</w:t>
      </w:r>
      <w:r w:rsidRPr="00452776">
        <w:rPr>
          <w:rFonts w:ascii="Arial" w:eastAsia="Times New Roman" w:hAnsi="Arial" w:cs="Arial"/>
          <w:kern w:val="0"/>
          <w:sz w:val="20"/>
          <w:szCs w:val="20"/>
          <w:lang w:eastAsia="en-IN"/>
        </w:rPr>
        <w:t xml:space="preserve"> Inoculation of zinc </w:t>
      </w:r>
      <w:r w:rsidRPr="00452776">
        <w:rPr>
          <w:rFonts w:ascii="Arial" w:eastAsia="Times New Roman" w:hAnsi="Arial" w:cs="Arial"/>
          <w:kern w:val="0"/>
          <w:sz w:val="20"/>
          <w:szCs w:val="20"/>
          <w:lang w:eastAsia="en-IN"/>
        </w:rPr>
        <w:lastRenderedPageBreak/>
        <w:t xml:space="preserve">solubilizing </w:t>
      </w:r>
      <w:r w:rsidRPr="00452776">
        <w:rPr>
          <w:rFonts w:ascii="Arial" w:eastAsia="Times New Roman" w:hAnsi="Arial" w:cs="Arial"/>
          <w:i/>
          <w:iCs/>
          <w:kern w:val="0"/>
          <w:sz w:val="20"/>
          <w:szCs w:val="20"/>
          <w:lang w:eastAsia="en-IN"/>
        </w:rPr>
        <w:t>bacillus aryabhattai</w:t>
      </w:r>
      <w:r w:rsidRPr="00452776">
        <w:rPr>
          <w:rFonts w:ascii="Arial" w:eastAsia="Times New Roman" w:hAnsi="Arial" w:cs="Arial"/>
          <w:kern w:val="0"/>
          <w:sz w:val="20"/>
          <w:szCs w:val="20"/>
          <w:lang w:eastAsia="en-IN"/>
        </w:rPr>
        <w:t xml:space="preserve"> strains for improved growth, mobilization and biofortification of zinc in soybean and wheat cultivated in vertisols of central India. </w:t>
      </w:r>
      <w:r w:rsidRPr="00452776">
        <w:rPr>
          <w:rFonts w:ascii="Arial" w:eastAsia="Times New Roman" w:hAnsi="Arial" w:cs="Arial"/>
          <w:i/>
          <w:kern w:val="0"/>
          <w:sz w:val="20"/>
          <w:szCs w:val="20"/>
          <w:lang w:eastAsia="en-IN"/>
        </w:rPr>
        <w:t>Appl. Soil Ecol.</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73</w:t>
      </w:r>
      <w:r w:rsidRPr="00452776">
        <w:rPr>
          <w:rFonts w:ascii="Arial" w:eastAsia="Times New Roman" w:hAnsi="Arial" w:cs="Arial"/>
          <w:kern w:val="0"/>
          <w:sz w:val="20"/>
          <w:szCs w:val="20"/>
          <w:lang w:eastAsia="en-IN"/>
        </w:rPr>
        <w:t>: 87–96. https://doi.org/10.1016/j.apsoil.2013.08.009</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Rana, K. L., Kour, D., Kaur, T., Devi, R., Yadav, A. N., Yadav, N., Dhaliwal, H. S. and Saxena, A. K. 2020.</w:t>
      </w:r>
      <w:r w:rsidRPr="00452776">
        <w:rPr>
          <w:rFonts w:ascii="Arial" w:eastAsia="Times New Roman" w:hAnsi="Arial" w:cs="Arial"/>
          <w:kern w:val="0"/>
          <w:sz w:val="20"/>
          <w:szCs w:val="20"/>
          <w:lang w:eastAsia="en-IN"/>
        </w:rPr>
        <w:t xml:space="preserve"> Endophytic microbes: Biodiversity, plant growth-promoting mechanisms and potential applications for agricultural sustainability. </w:t>
      </w:r>
      <w:r w:rsidRPr="00452776">
        <w:rPr>
          <w:rFonts w:ascii="Arial" w:eastAsia="Times New Roman" w:hAnsi="Arial" w:cs="Arial"/>
          <w:i/>
          <w:kern w:val="0"/>
          <w:sz w:val="20"/>
          <w:szCs w:val="20"/>
          <w:lang w:eastAsia="en-IN"/>
        </w:rPr>
        <w:t>Antonie van Leeuwenhoek</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113</w:t>
      </w:r>
      <w:r w:rsidRPr="00452776">
        <w:rPr>
          <w:rFonts w:ascii="Arial" w:eastAsia="Times New Roman" w:hAnsi="Arial" w:cs="Arial"/>
          <w:kern w:val="0"/>
          <w:sz w:val="20"/>
          <w:szCs w:val="20"/>
          <w:lang w:eastAsia="en-IN"/>
        </w:rPr>
        <w:t>(8): 1075–1107. https://doi.org/10.1007/s10482-020-01429-y</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Rashid, A. (1994)</w:t>
      </w:r>
      <w:r w:rsidRPr="00452776">
        <w:rPr>
          <w:rFonts w:ascii="Arial" w:eastAsia="Times New Roman" w:hAnsi="Arial" w:cs="Arial"/>
          <w:kern w:val="0"/>
          <w:sz w:val="20"/>
          <w:szCs w:val="20"/>
          <w:shd w:val="clear" w:color="auto" w:fill="FFFFFF"/>
          <w:lang w:val="en-US"/>
        </w:rPr>
        <w:t>. Nutrient indexing of cotton in Multan district and boron and zinc nutrition of cotton. </w:t>
      </w:r>
      <w:r w:rsidRPr="00452776">
        <w:rPr>
          <w:rFonts w:ascii="Arial" w:eastAsia="Times New Roman" w:hAnsi="Arial" w:cs="Arial"/>
          <w:i/>
          <w:iCs/>
          <w:kern w:val="0"/>
          <w:sz w:val="20"/>
          <w:szCs w:val="20"/>
          <w:shd w:val="clear" w:color="auto" w:fill="FFFFFF"/>
          <w:lang w:val="en-US"/>
        </w:rPr>
        <w:t>Micronut. Project annual report</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iCs/>
          <w:kern w:val="0"/>
          <w:sz w:val="20"/>
          <w:szCs w:val="20"/>
          <w:shd w:val="clear" w:color="auto" w:fill="FFFFFF"/>
          <w:lang w:val="en-US"/>
        </w:rPr>
        <w:t>95</w:t>
      </w:r>
      <w:r w:rsidRPr="00452776">
        <w:rPr>
          <w:rFonts w:ascii="Arial" w:eastAsia="Times New Roman" w:hAnsi="Arial" w:cs="Arial"/>
          <w:kern w:val="0"/>
          <w:sz w:val="20"/>
          <w:szCs w:val="20"/>
          <w:shd w:val="clear" w:color="auto" w:fill="FFFFFF"/>
          <w:lang w:val="en-US"/>
        </w:rPr>
        <w:t>: 76.</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Reinhold-Hurek, B., Hurek, T., Gillis, M., Hoste, B., Vancanneyt, M., Kersters, K. and De Ley, J. 1993.</w:t>
      </w:r>
      <w:r w:rsidRPr="00452776">
        <w:rPr>
          <w:rFonts w:ascii="Arial" w:eastAsia="Calibri" w:hAnsi="Arial" w:cs="Arial"/>
          <w:i/>
          <w:iCs/>
          <w:kern w:val="0"/>
          <w:sz w:val="20"/>
          <w:szCs w:val="20"/>
          <w:lang w:eastAsia="en-IN"/>
        </w:rPr>
        <w:t>Azoarcus</w:t>
      </w:r>
      <w:r w:rsidRPr="00452776">
        <w:rPr>
          <w:rFonts w:ascii="Arial" w:eastAsia="Calibri" w:hAnsi="Arial" w:cs="Arial"/>
          <w:kern w:val="0"/>
          <w:sz w:val="20"/>
          <w:szCs w:val="20"/>
          <w:lang w:eastAsia="en-IN"/>
        </w:rPr>
        <w:t xml:space="preserve"> gen. nov., nitrogen-fixing proteobacteria associated with roots of Kallar grass (Leptochloafusca (L.) Kunth), and description of two species, </w:t>
      </w:r>
      <w:r w:rsidRPr="00452776">
        <w:rPr>
          <w:rFonts w:ascii="Arial" w:eastAsia="Calibri" w:hAnsi="Arial" w:cs="Arial"/>
          <w:i/>
          <w:iCs/>
          <w:kern w:val="0"/>
          <w:sz w:val="20"/>
          <w:szCs w:val="20"/>
          <w:lang w:eastAsia="en-IN"/>
        </w:rPr>
        <w:t>Azoarcusindigens</w:t>
      </w:r>
      <w:r w:rsidRPr="00452776">
        <w:rPr>
          <w:rFonts w:ascii="Arial" w:eastAsia="Calibri" w:hAnsi="Arial" w:cs="Arial"/>
          <w:kern w:val="0"/>
          <w:sz w:val="20"/>
          <w:szCs w:val="20"/>
          <w:lang w:eastAsia="en-IN"/>
        </w:rPr>
        <w:t xml:space="preserve"> sp</w:t>
      </w:r>
      <w:r w:rsidRPr="00452776">
        <w:rPr>
          <w:rFonts w:ascii="Arial" w:eastAsia="Calibri" w:hAnsi="Arial" w:cs="Arial"/>
          <w:i/>
          <w:iCs/>
          <w:kern w:val="0"/>
          <w:sz w:val="20"/>
          <w:szCs w:val="20"/>
          <w:lang w:eastAsia="en-IN"/>
        </w:rPr>
        <w:t>. nov.</w:t>
      </w:r>
      <w:r w:rsidRPr="00452776">
        <w:rPr>
          <w:rFonts w:ascii="Arial" w:eastAsia="Calibri" w:hAnsi="Arial" w:cs="Arial"/>
          <w:kern w:val="0"/>
          <w:sz w:val="20"/>
          <w:szCs w:val="20"/>
          <w:lang w:eastAsia="en-IN"/>
        </w:rPr>
        <w:t xml:space="preserve"> and </w:t>
      </w:r>
      <w:r w:rsidRPr="00452776">
        <w:rPr>
          <w:rFonts w:ascii="Arial" w:eastAsia="Calibri" w:hAnsi="Arial" w:cs="Arial"/>
          <w:i/>
          <w:iCs/>
          <w:kern w:val="0"/>
          <w:sz w:val="20"/>
          <w:szCs w:val="20"/>
          <w:lang w:eastAsia="en-IN"/>
        </w:rPr>
        <w:t>Azoarcuscommunis</w:t>
      </w:r>
      <w:r w:rsidRPr="00452776">
        <w:rPr>
          <w:rFonts w:ascii="Arial" w:eastAsia="Calibri" w:hAnsi="Arial" w:cs="Arial"/>
          <w:kern w:val="0"/>
          <w:sz w:val="20"/>
          <w:szCs w:val="20"/>
          <w:lang w:eastAsia="en-IN"/>
        </w:rPr>
        <w:t xml:space="preserve"> sp. </w:t>
      </w:r>
      <w:r w:rsidRPr="00452776">
        <w:rPr>
          <w:rFonts w:ascii="Arial" w:eastAsia="Calibri" w:hAnsi="Arial" w:cs="Arial"/>
          <w:i/>
          <w:iCs/>
          <w:kern w:val="0"/>
          <w:sz w:val="20"/>
          <w:szCs w:val="20"/>
          <w:lang w:eastAsia="en-IN"/>
        </w:rPr>
        <w:t>nov</w:t>
      </w:r>
      <w:r w:rsidRPr="00452776">
        <w:rPr>
          <w:rFonts w:ascii="Arial" w:eastAsia="Calibri" w:hAnsi="Arial" w:cs="Arial"/>
          <w:kern w:val="0"/>
          <w:sz w:val="20"/>
          <w:szCs w:val="20"/>
          <w:lang w:eastAsia="en-IN"/>
        </w:rPr>
        <w:t>.</w:t>
      </w:r>
      <w:r w:rsidRPr="00452776">
        <w:rPr>
          <w:rFonts w:ascii="Arial" w:eastAsia="Times New Roman" w:hAnsi="Arial" w:cs="Arial"/>
          <w:i/>
          <w:kern w:val="0"/>
          <w:sz w:val="20"/>
          <w:szCs w:val="20"/>
          <w:lang w:eastAsia="en-IN"/>
        </w:rPr>
        <w:t>Int. j. syst.</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43</w:t>
      </w:r>
      <w:r w:rsidRPr="00452776">
        <w:rPr>
          <w:rFonts w:ascii="Arial" w:eastAsia="Times New Roman" w:hAnsi="Arial" w:cs="Arial"/>
          <w:kern w:val="0"/>
          <w:sz w:val="20"/>
          <w:szCs w:val="20"/>
          <w:lang w:eastAsia="en-IN"/>
        </w:rPr>
        <w:t>(3): 574–584. https://doi.org/10.1099/00207713-43-3-574</w:t>
      </w:r>
    </w:p>
    <w:p w:rsidR="00452776" w:rsidRPr="00452776" w:rsidRDefault="00452776" w:rsidP="00452776">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Reiter, B., Bürgmann, H., Burg, K. and Sessitsch, A. 2003. </w:t>
      </w:r>
      <w:r w:rsidRPr="00452776">
        <w:rPr>
          <w:rFonts w:ascii="Arial" w:eastAsia="Times New Roman" w:hAnsi="Arial" w:cs="Arial"/>
          <w:kern w:val="0"/>
          <w:sz w:val="20"/>
          <w:szCs w:val="20"/>
          <w:lang w:val="en-US"/>
        </w:rPr>
        <w:t xml:space="preserve">Endophytic </w:t>
      </w:r>
      <w:r w:rsidRPr="00452776">
        <w:rPr>
          <w:rFonts w:ascii="Arial" w:eastAsia="Times New Roman" w:hAnsi="Arial" w:cs="Arial"/>
          <w:i/>
          <w:kern w:val="0"/>
          <w:sz w:val="20"/>
          <w:szCs w:val="20"/>
          <w:lang w:val="en-US"/>
        </w:rPr>
        <w:t>nifH</w:t>
      </w:r>
      <w:r w:rsidRPr="00452776">
        <w:rPr>
          <w:rFonts w:ascii="Arial" w:eastAsia="Times New Roman" w:hAnsi="Arial" w:cs="Arial"/>
          <w:kern w:val="0"/>
          <w:sz w:val="20"/>
          <w:szCs w:val="20"/>
          <w:lang w:val="en-US"/>
        </w:rPr>
        <w:t xml:space="preserve">gene diversity in African sweet potato. </w:t>
      </w:r>
      <w:r w:rsidRPr="00452776">
        <w:rPr>
          <w:rFonts w:ascii="Arial" w:eastAsia="Times New Roman" w:hAnsi="Arial" w:cs="Arial"/>
          <w:i/>
          <w:kern w:val="0"/>
          <w:sz w:val="20"/>
          <w:szCs w:val="20"/>
          <w:lang w:val="en-US"/>
        </w:rPr>
        <w:t xml:space="preserve">Can. J. Microbiol. </w:t>
      </w:r>
      <w:r w:rsidRPr="00452776">
        <w:rPr>
          <w:rFonts w:ascii="Arial" w:eastAsia="Times New Roman" w:hAnsi="Arial" w:cs="Arial"/>
          <w:kern w:val="0"/>
          <w:sz w:val="20"/>
          <w:szCs w:val="20"/>
          <w:lang w:val="en-US"/>
        </w:rPr>
        <w:t>49: 549-555.</w:t>
      </w:r>
    </w:p>
    <w:p w:rsidR="00452776" w:rsidRPr="00452776" w:rsidRDefault="00452776" w:rsidP="00452776">
      <w:pPr>
        <w:widowControl w:val="0"/>
        <w:spacing w:before="280" w:after="120" w:line="324" w:lineRule="auto"/>
        <w:ind w:left="720" w:hanging="720"/>
        <w:jc w:val="both"/>
        <w:rPr>
          <w:rFonts w:ascii="Arial" w:hAnsi="Arial" w:cs="Arial"/>
          <w:sz w:val="20"/>
          <w:szCs w:val="20"/>
          <w:shd w:val="clear" w:color="auto" w:fill="FFFFFF"/>
        </w:rPr>
      </w:pPr>
      <w:bookmarkStart w:id="5" w:name="_Hlk147237123"/>
      <w:r w:rsidRPr="00452776">
        <w:rPr>
          <w:rFonts w:ascii="Arial" w:hAnsi="Arial" w:cs="Arial"/>
          <w:b/>
          <w:bCs/>
          <w:sz w:val="20"/>
          <w:szCs w:val="20"/>
          <w:shd w:val="clear" w:color="auto" w:fill="FFFFFF"/>
        </w:rPr>
        <w:t>Richardson, A. E. and Simpson, R. J. 2011.</w:t>
      </w:r>
      <w:r w:rsidRPr="00452776">
        <w:rPr>
          <w:rFonts w:ascii="Arial" w:hAnsi="Arial" w:cs="Arial"/>
          <w:sz w:val="20"/>
          <w:szCs w:val="20"/>
          <w:shd w:val="clear" w:color="auto" w:fill="FFFFFF"/>
        </w:rPr>
        <w:t xml:space="preserve"> Soil microorganisms mediating phosphorus availability update on microbial phosphorus. </w:t>
      </w:r>
      <w:r w:rsidRPr="00452776">
        <w:rPr>
          <w:rFonts w:ascii="Arial" w:hAnsi="Arial" w:cs="Arial"/>
          <w:i/>
          <w:iCs/>
          <w:sz w:val="20"/>
          <w:szCs w:val="20"/>
          <w:shd w:val="clear" w:color="auto" w:fill="FFFFFF"/>
        </w:rPr>
        <w:t>Plant Physiol.</w:t>
      </w:r>
      <w:r w:rsidRPr="00452776">
        <w:rPr>
          <w:rFonts w:ascii="Arial" w:hAnsi="Arial" w:cs="Arial"/>
          <w:sz w:val="20"/>
          <w:szCs w:val="20"/>
          <w:shd w:val="clear" w:color="auto" w:fill="FFFFFF"/>
        </w:rPr>
        <w:t>, 156(3): 989-996.</w:t>
      </w:r>
    </w:p>
    <w:bookmarkEnd w:id="5"/>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Riggs, P. J., Chelius, M. K., Iniguez, A. L., Kaeppler, S. M. and Triplett, E. W. 2001. </w:t>
      </w:r>
      <w:r w:rsidRPr="00452776">
        <w:rPr>
          <w:rFonts w:ascii="Arial" w:eastAsia="Times New Roman" w:hAnsi="Arial" w:cs="Arial"/>
          <w:kern w:val="0"/>
          <w:sz w:val="20"/>
          <w:szCs w:val="20"/>
          <w:lang w:val="en-US"/>
        </w:rPr>
        <w:t xml:space="preserve">Enhanced maize productivity by inoculation with diazotrophic bacteria. </w:t>
      </w:r>
      <w:r w:rsidRPr="00452776">
        <w:rPr>
          <w:rFonts w:ascii="Arial" w:eastAsia="Times New Roman" w:hAnsi="Arial" w:cs="Arial"/>
          <w:i/>
          <w:kern w:val="0"/>
          <w:sz w:val="20"/>
          <w:szCs w:val="20"/>
          <w:lang w:val="en-US"/>
        </w:rPr>
        <w:t xml:space="preserve">Aust. J. Plant Physiol., </w:t>
      </w:r>
      <w:r w:rsidRPr="00452776">
        <w:rPr>
          <w:rFonts w:ascii="Arial" w:eastAsia="Times New Roman" w:hAnsi="Arial" w:cs="Arial"/>
          <w:kern w:val="0"/>
          <w:sz w:val="20"/>
          <w:szCs w:val="20"/>
          <w:lang w:val="en-US"/>
        </w:rPr>
        <w:t>28: 829-836.</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Romera, F. J., García, M. J., Lucena, C., Martínez-Medina, A., Aparicio, M. A., Ramos, J., Alcántara, E., Angulo, M., and Pérez-Vicente, R. 2019.</w:t>
      </w:r>
      <w:r w:rsidRPr="00452776">
        <w:rPr>
          <w:rFonts w:ascii="Arial" w:eastAsia="Times New Roman" w:hAnsi="Arial" w:cs="Arial"/>
          <w:kern w:val="0"/>
          <w:sz w:val="20"/>
          <w:szCs w:val="20"/>
          <w:lang w:eastAsia="en-IN"/>
        </w:rPr>
        <w:t xml:space="preserve"> Induced systemic resistance (ISR) and Fe deficiency responses in dicot plants. </w:t>
      </w:r>
      <w:r w:rsidRPr="00452776">
        <w:rPr>
          <w:rFonts w:ascii="Arial" w:eastAsia="Times New Roman" w:hAnsi="Arial" w:cs="Arial"/>
          <w:i/>
          <w:kern w:val="0"/>
          <w:sz w:val="20"/>
          <w:szCs w:val="20"/>
          <w:lang w:eastAsia="en-IN"/>
        </w:rPr>
        <w:t>Front. Plant Sci.</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10</w:t>
      </w:r>
      <w:r w:rsidRPr="00452776">
        <w:rPr>
          <w:rFonts w:ascii="Arial" w:eastAsia="Times New Roman" w:hAnsi="Arial" w:cs="Arial"/>
          <w:kern w:val="0"/>
          <w:sz w:val="20"/>
          <w:szCs w:val="20"/>
          <w:lang w:eastAsia="en-IN"/>
        </w:rPr>
        <w:t xml:space="preserve">: 287. </w:t>
      </w:r>
      <w:hyperlink r:id="rId55" w:history="1">
        <w:r w:rsidRPr="00452776">
          <w:rPr>
            <w:rFonts w:ascii="Arial" w:eastAsia="Times New Roman" w:hAnsi="Arial" w:cs="Arial"/>
            <w:kern w:val="0"/>
            <w:sz w:val="20"/>
            <w:szCs w:val="20"/>
            <w:lang w:eastAsia="en-IN"/>
          </w:rPr>
          <w:t>https://doi.org/10.3389/fpls.2019.00287</w:t>
        </w:r>
      </w:hyperlink>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Sainger, M., Chaudhary, D., Dahiya, S., Jaiwal, R. and Jaiwal, P. K. 2015. </w:t>
      </w:r>
      <w:r w:rsidRPr="00452776">
        <w:rPr>
          <w:rFonts w:ascii="Arial" w:eastAsia="Times New Roman" w:hAnsi="Arial" w:cs="Arial"/>
          <w:kern w:val="0"/>
          <w:sz w:val="20"/>
          <w:szCs w:val="20"/>
          <w:lang w:eastAsia="en-IN"/>
        </w:rPr>
        <w:t>Development of an efficient in vitro plant regeneration system amenable to Agrobacterium-mediated transformation of a recalcitrant grain legume black-gram (</w:t>
      </w:r>
      <w:r w:rsidRPr="00452776">
        <w:rPr>
          <w:rFonts w:ascii="Arial" w:eastAsia="Times New Roman" w:hAnsi="Arial" w:cs="Arial"/>
          <w:i/>
          <w:iCs/>
          <w:kern w:val="0"/>
          <w:sz w:val="20"/>
          <w:szCs w:val="20"/>
          <w:lang w:eastAsia="en-IN"/>
        </w:rPr>
        <w:t>Vigna mungo</w:t>
      </w:r>
      <w:r w:rsidRPr="00452776">
        <w:rPr>
          <w:rFonts w:ascii="Arial" w:eastAsia="Times New Roman" w:hAnsi="Arial" w:cs="Arial"/>
          <w:kern w:val="0"/>
          <w:sz w:val="20"/>
          <w:szCs w:val="20"/>
          <w:lang w:eastAsia="en-IN"/>
        </w:rPr>
        <w:t xml:space="preserve"> L. Hepper). </w:t>
      </w:r>
      <w:r w:rsidRPr="00452776">
        <w:rPr>
          <w:rFonts w:ascii="Arial" w:eastAsia="Times New Roman" w:hAnsi="Arial" w:cs="Arial"/>
          <w:i/>
          <w:kern w:val="0"/>
          <w:sz w:val="20"/>
          <w:szCs w:val="20"/>
          <w:lang w:eastAsia="en-IN"/>
        </w:rPr>
        <w:t>Physiol. Mol. Biol. Plants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21</w:t>
      </w:r>
      <w:r w:rsidRPr="00452776">
        <w:rPr>
          <w:rFonts w:ascii="Arial" w:eastAsia="Times New Roman" w:hAnsi="Arial" w:cs="Arial"/>
          <w:kern w:val="0"/>
          <w:sz w:val="20"/>
          <w:szCs w:val="20"/>
          <w:lang w:eastAsia="en-IN"/>
        </w:rPr>
        <w:t>(4): 505–517. https://doi.org/10.1007/s12298-015-0315-1</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Saravanan, V. S., Madhaiyan, M. and Thangaraju, M. 2007. </w:t>
      </w:r>
      <w:r w:rsidRPr="00452776">
        <w:rPr>
          <w:rFonts w:ascii="Arial" w:eastAsia="Times New Roman" w:hAnsi="Arial" w:cs="Arial"/>
          <w:kern w:val="0"/>
          <w:sz w:val="20"/>
          <w:szCs w:val="20"/>
          <w:lang w:eastAsia="en-IN"/>
        </w:rPr>
        <w:t xml:space="preserve">Solubilization of zinc compounds by the diazotrophic, plant growth promoting bacterium </w:t>
      </w:r>
      <w:r w:rsidRPr="00452776">
        <w:rPr>
          <w:rFonts w:ascii="Arial" w:eastAsia="Times New Roman" w:hAnsi="Arial" w:cs="Arial"/>
          <w:i/>
          <w:iCs/>
          <w:kern w:val="0"/>
          <w:sz w:val="20"/>
          <w:szCs w:val="20"/>
          <w:lang w:eastAsia="en-IN"/>
        </w:rPr>
        <w:t>Gluconacetobacterdiazotrophicus.</w:t>
      </w:r>
      <w:r w:rsidRPr="00452776">
        <w:rPr>
          <w:rFonts w:ascii="Arial" w:eastAsia="Times New Roman" w:hAnsi="Arial" w:cs="Arial"/>
          <w:i/>
          <w:kern w:val="0"/>
          <w:sz w:val="20"/>
          <w:szCs w:val="20"/>
          <w:lang w:eastAsia="en-IN"/>
        </w:rPr>
        <w:t>Chemosphere</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66</w:t>
      </w:r>
      <w:r w:rsidRPr="00452776">
        <w:rPr>
          <w:rFonts w:ascii="Arial" w:eastAsia="Times New Roman" w:hAnsi="Arial" w:cs="Arial"/>
          <w:kern w:val="0"/>
          <w:sz w:val="20"/>
          <w:szCs w:val="20"/>
          <w:lang w:eastAsia="en-IN"/>
        </w:rPr>
        <w:t xml:space="preserve">(9): 1794–1798. </w:t>
      </w:r>
      <w:hyperlink r:id="rId56" w:history="1">
        <w:r w:rsidRPr="00452776">
          <w:rPr>
            <w:rStyle w:val="Hyperlink"/>
            <w:rFonts w:ascii="Arial" w:eastAsia="Times New Roman" w:hAnsi="Arial" w:cs="Arial"/>
            <w:color w:val="auto"/>
            <w:kern w:val="0"/>
            <w:sz w:val="20"/>
            <w:szCs w:val="20"/>
            <w:lang w:eastAsia="en-IN"/>
          </w:rPr>
          <w:t>https://doi.org/10.1016/j.chemosphere.2006.07.067</w:t>
        </w:r>
      </w:hyperlink>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hAnsi="Arial" w:cs="Arial"/>
          <w:b/>
          <w:sz w:val="20"/>
          <w:szCs w:val="20"/>
          <w:shd w:val="clear" w:color="auto" w:fill="FFFFFF"/>
        </w:rPr>
        <w:t>Sarwar, S., Khaliq, A., Yousra, M., and Sultan, T. (2022)</w:t>
      </w:r>
      <w:r w:rsidRPr="00452776">
        <w:rPr>
          <w:rFonts w:ascii="Arial" w:hAnsi="Arial" w:cs="Arial"/>
          <w:sz w:val="20"/>
          <w:szCs w:val="20"/>
          <w:shd w:val="clear" w:color="auto" w:fill="FFFFFF"/>
        </w:rPr>
        <w:t>. Iron biofortification potential of siderophore producing rhizobacterial strains for improving growth, yield and iron contents of groundnut. </w:t>
      </w:r>
      <w:r w:rsidRPr="00452776">
        <w:rPr>
          <w:rFonts w:ascii="Arial" w:hAnsi="Arial" w:cs="Arial"/>
          <w:i/>
          <w:iCs/>
          <w:sz w:val="20"/>
          <w:szCs w:val="20"/>
          <w:shd w:val="clear" w:color="auto" w:fill="FFFFFF"/>
        </w:rPr>
        <w:t>Journal of Plant Nutrition</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45</w:t>
      </w:r>
      <w:r w:rsidRPr="00452776">
        <w:rPr>
          <w:rFonts w:ascii="Arial" w:hAnsi="Arial" w:cs="Arial"/>
          <w:sz w:val="20"/>
          <w:szCs w:val="20"/>
          <w:shd w:val="clear" w:color="auto" w:fill="FFFFFF"/>
        </w:rPr>
        <w:t>(15), 2332-2347.</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hAnsi="Arial" w:cs="Arial"/>
          <w:b/>
          <w:sz w:val="20"/>
          <w:szCs w:val="20"/>
          <w:shd w:val="clear" w:color="auto" w:fill="FFFFFF"/>
        </w:rPr>
        <w:lastRenderedPageBreak/>
        <w:t>Shaikh, S. and Saraf, M. (2017)</w:t>
      </w:r>
      <w:r w:rsidRPr="00452776">
        <w:rPr>
          <w:rFonts w:ascii="Arial" w:hAnsi="Arial" w:cs="Arial"/>
          <w:sz w:val="20"/>
          <w:szCs w:val="20"/>
          <w:shd w:val="clear" w:color="auto" w:fill="FFFFFF"/>
        </w:rPr>
        <w:t>. Biofortification of Triticum aestivum through the inoculation of zinc solubilizing plant growth promoting rhizobacteria in field experiment. </w:t>
      </w:r>
      <w:r w:rsidRPr="00452776">
        <w:rPr>
          <w:rFonts w:ascii="Arial" w:hAnsi="Arial" w:cs="Arial"/>
          <w:i/>
          <w:iCs/>
          <w:sz w:val="20"/>
          <w:szCs w:val="20"/>
          <w:shd w:val="clear" w:color="auto" w:fill="FFFFFF"/>
        </w:rPr>
        <w:t>Biocatalysis and Agricultural Biotechnology</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9</w:t>
      </w:r>
      <w:r w:rsidRPr="00452776">
        <w:rPr>
          <w:rFonts w:ascii="Arial" w:hAnsi="Arial" w:cs="Arial"/>
          <w:sz w:val="20"/>
          <w:szCs w:val="20"/>
          <w:shd w:val="clear" w:color="auto" w:fill="FFFFFF"/>
        </w:rPr>
        <w:t>, 120-126.</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Shakeel, M., Rais, A., Hassan, M. N. and Hafeez, F. Y. 2015.</w:t>
      </w:r>
      <w:r w:rsidRPr="00452776">
        <w:rPr>
          <w:rFonts w:ascii="Arial" w:eastAsia="Times New Roman" w:hAnsi="Arial" w:cs="Arial"/>
          <w:kern w:val="0"/>
          <w:sz w:val="20"/>
          <w:szCs w:val="20"/>
          <w:lang w:eastAsia="en-IN"/>
        </w:rPr>
        <w:t xml:space="preserve"> Root associated bacillus sp. improves growth, yield and zinc translocation for basmati rice (</w:t>
      </w:r>
      <w:r w:rsidRPr="00452776">
        <w:rPr>
          <w:rFonts w:ascii="Arial" w:eastAsia="Times New Roman" w:hAnsi="Arial" w:cs="Arial"/>
          <w:i/>
          <w:kern w:val="0"/>
          <w:sz w:val="20"/>
          <w:szCs w:val="20"/>
          <w:lang w:eastAsia="en-IN"/>
        </w:rPr>
        <w:t>Oryza sativa</w:t>
      </w:r>
      <w:r w:rsidRPr="00452776">
        <w:rPr>
          <w:rFonts w:ascii="Arial" w:eastAsia="Times New Roman" w:hAnsi="Arial" w:cs="Arial"/>
          <w:kern w:val="0"/>
          <w:sz w:val="20"/>
          <w:szCs w:val="20"/>
          <w:lang w:eastAsia="en-IN"/>
        </w:rPr>
        <w:t xml:space="preserve">) varieties. </w:t>
      </w:r>
      <w:r w:rsidRPr="00452776">
        <w:rPr>
          <w:rFonts w:ascii="Arial" w:eastAsia="Times New Roman" w:hAnsi="Arial" w:cs="Arial"/>
          <w:i/>
          <w:kern w:val="0"/>
          <w:sz w:val="20"/>
          <w:szCs w:val="20"/>
          <w:lang w:eastAsia="en-IN"/>
        </w:rPr>
        <w:t>Front. microbiol.</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6</w:t>
      </w:r>
      <w:r w:rsidRPr="00452776">
        <w:rPr>
          <w:rFonts w:ascii="Arial" w:eastAsia="Times New Roman" w:hAnsi="Arial" w:cs="Arial"/>
          <w:kern w:val="0"/>
          <w:sz w:val="20"/>
          <w:szCs w:val="20"/>
          <w:lang w:eastAsia="en-IN"/>
        </w:rPr>
        <w:t>: 1286. https://doi.org/10.3389/fmicb.2015.01286</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Shariatipour</w:t>
      </w:r>
      <w:r w:rsidRPr="00452776">
        <w:rPr>
          <w:rFonts w:ascii="Arial" w:eastAsia="Calibri" w:hAnsi="Arial" w:cs="Arial"/>
          <w:b/>
          <w:bCs/>
          <w:kern w:val="0"/>
          <w:sz w:val="20"/>
          <w:szCs w:val="20"/>
          <w:lang w:eastAsia="en-IN"/>
        </w:rPr>
        <w:t xml:space="preserve">, </w:t>
      </w:r>
      <w:r w:rsidRPr="00452776">
        <w:rPr>
          <w:rFonts w:ascii="Arial" w:eastAsia="Times New Roman" w:hAnsi="Arial" w:cs="Arial"/>
          <w:b/>
          <w:bCs/>
          <w:kern w:val="0"/>
          <w:sz w:val="20"/>
          <w:szCs w:val="20"/>
          <w:lang w:eastAsia="en-IN"/>
        </w:rPr>
        <w:t>N. and Heidari, B. 2020.</w:t>
      </w:r>
      <w:r w:rsidRPr="00452776">
        <w:rPr>
          <w:rFonts w:ascii="Arial" w:eastAsia="Times New Roman" w:hAnsi="Arial" w:cs="Arial"/>
          <w:kern w:val="0"/>
          <w:sz w:val="20"/>
          <w:szCs w:val="20"/>
          <w:lang w:eastAsia="en-IN"/>
        </w:rPr>
        <w:t xml:space="preserve"> Genetic-based biofortification of staple food crops to meet zinc and iron deficiency-related challenges. </w:t>
      </w:r>
      <w:r w:rsidRPr="00452776">
        <w:rPr>
          <w:rFonts w:ascii="Arial" w:eastAsia="Times New Roman" w:hAnsi="Arial" w:cs="Arial"/>
          <w:i/>
          <w:kern w:val="0"/>
          <w:sz w:val="20"/>
          <w:szCs w:val="20"/>
          <w:lang w:eastAsia="en-IN"/>
        </w:rPr>
        <w:t>Plant micronutrients: Deficiency and toxicity management</w:t>
      </w:r>
      <w:r w:rsidRPr="00452776">
        <w:rPr>
          <w:rFonts w:ascii="Arial" w:eastAsia="Times New Roman" w:hAnsi="Arial" w:cs="Arial"/>
          <w:kern w:val="0"/>
          <w:sz w:val="20"/>
          <w:szCs w:val="20"/>
          <w:lang w:eastAsia="en-IN"/>
        </w:rPr>
        <w:t>, 173–223.</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Sharma, A., Johri, B. N., Sharma, A. K. and Glick, B. R. 2003.</w:t>
      </w:r>
      <w:r w:rsidRPr="00452776">
        <w:rPr>
          <w:rFonts w:ascii="Arial" w:eastAsia="Times New Roman" w:hAnsi="Arial" w:cs="Arial"/>
          <w:kern w:val="0"/>
          <w:sz w:val="20"/>
          <w:szCs w:val="20"/>
          <w:lang w:eastAsia="en-IN"/>
        </w:rPr>
        <w:t xml:space="preserve"> Plant growth-promoting bacterium pseudomonas sp. strain GRP3 influences iron acquisition in mung bean (</w:t>
      </w:r>
      <w:r w:rsidRPr="00452776">
        <w:rPr>
          <w:rFonts w:ascii="Arial" w:eastAsia="Times New Roman" w:hAnsi="Arial" w:cs="Arial"/>
          <w:i/>
          <w:iCs/>
          <w:kern w:val="0"/>
          <w:sz w:val="20"/>
          <w:szCs w:val="20"/>
          <w:lang w:eastAsia="en-IN"/>
        </w:rPr>
        <w:t xml:space="preserve">Vigna radiata </w:t>
      </w:r>
      <w:r w:rsidRPr="00452776">
        <w:rPr>
          <w:rFonts w:ascii="Arial" w:eastAsia="Times New Roman" w:hAnsi="Arial" w:cs="Arial"/>
          <w:kern w:val="0"/>
          <w:sz w:val="20"/>
          <w:szCs w:val="20"/>
          <w:lang w:eastAsia="en-IN"/>
        </w:rPr>
        <w:t>L. Wilzeck). </w:t>
      </w:r>
      <w:r w:rsidRPr="00452776">
        <w:rPr>
          <w:rFonts w:ascii="Arial" w:eastAsia="Times New Roman" w:hAnsi="Arial" w:cs="Arial"/>
          <w:i/>
          <w:kern w:val="0"/>
          <w:sz w:val="20"/>
          <w:szCs w:val="20"/>
          <w:lang w:eastAsia="en-IN"/>
        </w:rPr>
        <w:t>Soil Biol. Biochem.</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35</w:t>
      </w:r>
      <w:r w:rsidRPr="00452776">
        <w:rPr>
          <w:rFonts w:ascii="Arial" w:eastAsia="Times New Roman" w:hAnsi="Arial" w:cs="Arial"/>
          <w:kern w:val="0"/>
          <w:sz w:val="20"/>
          <w:szCs w:val="20"/>
          <w:lang w:eastAsia="en-IN"/>
        </w:rPr>
        <w:t>(7): 887–894. https://doi.org/10.1016/S0038-0717(03)00119-6</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Sharma, A., Patni, B., Shankhdhar, D. and Shankhdhar, S. C. 2013.</w:t>
      </w:r>
      <w:r w:rsidRPr="00452776">
        <w:rPr>
          <w:rFonts w:ascii="Arial" w:eastAsia="Times New Roman" w:hAnsi="Arial" w:cs="Arial"/>
          <w:kern w:val="0"/>
          <w:sz w:val="20"/>
          <w:szCs w:val="20"/>
          <w:lang w:eastAsia="en-IN"/>
        </w:rPr>
        <w:t xml:space="preserve"> Zinc – An indispensable micronutrient. </w:t>
      </w:r>
      <w:r w:rsidRPr="00452776">
        <w:rPr>
          <w:rFonts w:ascii="Arial" w:eastAsia="Times New Roman" w:hAnsi="Arial" w:cs="Arial"/>
          <w:i/>
          <w:kern w:val="0"/>
          <w:sz w:val="20"/>
          <w:szCs w:val="20"/>
          <w:lang w:eastAsia="en-IN"/>
        </w:rPr>
        <w:t>Physiol. Mol. Biol. Plants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19</w:t>
      </w:r>
      <w:r w:rsidRPr="00452776">
        <w:rPr>
          <w:rFonts w:ascii="Arial" w:eastAsia="Times New Roman" w:hAnsi="Arial" w:cs="Arial"/>
          <w:kern w:val="0"/>
          <w:sz w:val="20"/>
          <w:szCs w:val="20"/>
          <w:lang w:eastAsia="en-IN"/>
        </w:rPr>
        <w:t xml:space="preserve">(1): 11–20. </w:t>
      </w:r>
      <w:hyperlink r:id="rId57" w:history="1">
        <w:r w:rsidRPr="00452776">
          <w:rPr>
            <w:rStyle w:val="Hyperlink"/>
            <w:rFonts w:ascii="Arial" w:eastAsia="Times New Roman" w:hAnsi="Arial" w:cs="Arial"/>
            <w:color w:val="auto"/>
            <w:kern w:val="0"/>
            <w:sz w:val="20"/>
            <w:szCs w:val="20"/>
            <w:lang w:eastAsia="en-IN"/>
          </w:rPr>
          <w:t>https://doi.org/10.1007/s12298-012-0139-1</w:t>
        </w:r>
      </w:hyperlink>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Sharma, A., Patni, B., Shankhdhar, D. and Shankhdhar, S. C. 2013.</w:t>
      </w:r>
      <w:r w:rsidRPr="00452776">
        <w:rPr>
          <w:rFonts w:ascii="Arial" w:eastAsia="Times New Roman" w:hAnsi="Arial" w:cs="Arial"/>
          <w:kern w:val="0"/>
          <w:sz w:val="20"/>
          <w:szCs w:val="20"/>
          <w:lang w:eastAsia="en-IN"/>
        </w:rPr>
        <w:t xml:space="preserve"> Zinc – An indispensable micronutrient. </w:t>
      </w:r>
      <w:r w:rsidRPr="00452776">
        <w:rPr>
          <w:rFonts w:ascii="Arial" w:eastAsia="Times New Roman" w:hAnsi="Arial" w:cs="Arial"/>
          <w:i/>
          <w:kern w:val="0"/>
          <w:sz w:val="20"/>
          <w:szCs w:val="20"/>
          <w:lang w:eastAsia="en-IN"/>
        </w:rPr>
        <w:t>Physiol. Mol. Biol. Plants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19</w:t>
      </w:r>
      <w:r w:rsidRPr="00452776">
        <w:rPr>
          <w:rFonts w:ascii="Arial" w:eastAsia="Times New Roman" w:hAnsi="Arial" w:cs="Arial"/>
          <w:kern w:val="0"/>
          <w:sz w:val="20"/>
          <w:szCs w:val="20"/>
          <w:lang w:eastAsia="en-IN"/>
        </w:rPr>
        <w:t>(1): 11–20. https://doi.org/10.1007/s12298-012-0139-1</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Sharma, A., Patni, B., Shankhdhar, D. and Shankhdhar, S. C. 2013.</w:t>
      </w:r>
      <w:r w:rsidRPr="00452776">
        <w:rPr>
          <w:rFonts w:ascii="Arial" w:eastAsia="Times New Roman" w:hAnsi="Arial" w:cs="Arial"/>
          <w:kern w:val="0"/>
          <w:sz w:val="20"/>
          <w:szCs w:val="20"/>
          <w:lang w:eastAsia="en-IN"/>
        </w:rPr>
        <w:t xml:space="preserve"> Zinc – An indispensable micronutrient. </w:t>
      </w:r>
      <w:r w:rsidRPr="00452776">
        <w:rPr>
          <w:rFonts w:ascii="Arial" w:eastAsia="Times New Roman" w:hAnsi="Arial" w:cs="Arial"/>
          <w:i/>
          <w:kern w:val="0"/>
          <w:sz w:val="20"/>
          <w:szCs w:val="20"/>
          <w:lang w:eastAsia="en-IN"/>
        </w:rPr>
        <w:t>Physiol. Mol. Biol. Plants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19</w:t>
      </w:r>
      <w:r w:rsidRPr="00452776">
        <w:rPr>
          <w:rFonts w:ascii="Arial" w:eastAsia="Times New Roman" w:hAnsi="Arial" w:cs="Arial"/>
          <w:kern w:val="0"/>
          <w:sz w:val="20"/>
          <w:szCs w:val="20"/>
          <w:lang w:eastAsia="en-IN"/>
        </w:rPr>
        <w:t>(1): 11–20. https://doi.org/10.1007/s12298-012-0139-1</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hAnsi="Arial" w:cs="Arial"/>
          <w:b/>
          <w:sz w:val="20"/>
          <w:szCs w:val="20"/>
          <w:shd w:val="clear" w:color="auto" w:fill="FFFFFF"/>
        </w:rPr>
        <w:t>Sharma, S., Chandra, S., Kumar, A., Bindraban, P., Saxena, A. K., Pande, V. and Pandey, R. (2019)</w:t>
      </w:r>
      <w:r w:rsidRPr="00452776">
        <w:rPr>
          <w:rFonts w:ascii="Arial" w:hAnsi="Arial" w:cs="Arial"/>
          <w:sz w:val="20"/>
          <w:szCs w:val="20"/>
          <w:shd w:val="clear" w:color="auto" w:fill="FFFFFF"/>
        </w:rPr>
        <w:t>. Foliar application of iron fortified bacteriosiderophore improves growth and grain Fe concentration in wheat and soybean. </w:t>
      </w:r>
      <w:r w:rsidRPr="00452776">
        <w:rPr>
          <w:rFonts w:ascii="Arial" w:hAnsi="Arial" w:cs="Arial"/>
          <w:i/>
          <w:iCs/>
          <w:sz w:val="20"/>
          <w:szCs w:val="20"/>
          <w:shd w:val="clear" w:color="auto" w:fill="FFFFFF"/>
        </w:rPr>
        <w:t>Indian journal of microbiology</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59</w:t>
      </w:r>
      <w:r w:rsidRPr="00452776">
        <w:rPr>
          <w:rFonts w:ascii="Arial" w:hAnsi="Arial" w:cs="Arial"/>
          <w:sz w:val="20"/>
          <w:szCs w:val="20"/>
          <w:shd w:val="clear" w:color="auto" w:fill="FFFFFF"/>
        </w:rPr>
        <w:t>, 344-350.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Shekari, F., Mohammadi, H., Pourmohammad, A., Avanes, A. and Benam, M. B. K. 2015.</w:t>
      </w:r>
      <w:r w:rsidRPr="00452776">
        <w:rPr>
          <w:rFonts w:ascii="Arial" w:eastAsia="Times New Roman" w:hAnsi="Arial" w:cs="Arial"/>
          <w:iCs/>
          <w:kern w:val="0"/>
          <w:sz w:val="20"/>
          <w:szCs w:val="20"/>
          <w:lang w:eastAsia="en-IN"/>
        </w:rPr>
        <w:t>Spring wheat yielding and the content of protein and zinc in its grain depending on zinc fertilisation.</w:t>
      </w:r>
      <w:r w:rsidRPr="00452776">
        <w:rPr>
          <w:rFonts w:ascii="Arial" w:eastAsia="Times New Roman" w:hAnsi="Arial" w:cs="Arial"/>
          <w:i/>
          <w:iCs/>
          <w:kern w:val="0"/>
          <w:sz w:val="20"/>
          <w:szCs w:val="20"/>
          <w:lang w:eastAsia="en-IN"/>
        </w:rPr>
        <w:t>Electron. J. Pol. Agric. Univ.</w:t>
      </w:r>
      <w:r w:rsidRPr="00452776">
        <w:rPr>
          <w:rFonts w:ascii="Arial" w:eastAsia="Times New Roman" w:hAnsi="Arial" w:cs="Arial"/>
          <w:kern w:val="0"/>
          <w:sz w:val="20"/>
          <w:szCs w:val="20"/>
          <w:lang w:eastAsia="en-IN"/>
        </w:rPr>
        <w:t xml:space="preserve"> 18:1–12.</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Shukla, A. K., Behera, S. K., Prakash, C., Tripathi, A., Patra, A. K., Dwivedi, B. S. and Singh, A. K. (2021).</w:t>
      </w:r>
      <w:r w:rsidRPr="00452776">
        <w:rPr>
          <w:rFonts w:ascii="Arial" w:eastAsia="Times New Roman" w:hAnsi="Arial" w:cs="Arial"/>
          <w:kern w:val="0"/>
          <w:sz w:val="20"/>
          <w:szCs w:val="20"/>
          <w:shd w:val="clear" w:color="auto" w:fill="FFFFFF"/>
          <w:lang w:val="en-US"/>
        </w:rPr>
        <w:t xml:space="preserve"> Deficiency of phyto-available sulphur, zinc, boron, iron, copper and manganese in soils of India. </w:t>
      </w:r>
      <w:r w:rsidRPr="00452776">
        <w:rPr>
          <w:rFonts w:ascii="Arial" w:eastAsia="Times New Roman" w:hAnsi="Arial" w:cs="Arial"/>
          <w:i/>
          <w:iCs/>
          <w:kern w:val="0"/>
          <w:sz w:val="20"/>
          <w:szCs w:val="20"/>
          <w:shd w:val="clear" w:color="auto" w:fill="FFFFFF"/>
          <w:lang w:val="en-US"/>
        </w:rPr>
        <w:t>Sci. Rep.</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iCs/>
          <w:kern w:val="0"/>
          <w:sz w:val="20"/>
          <w:szCs w:val="20"/>
          <w:shd w:val="clear" w:color="auto" w:fill="FFFFFF"/>
          <w:lang w:val="en-US"/>
        </w:rPr>
        <w:t>11</w:t>
      </w:r>
      <w:r w:rsidRPr="00452776">
        <w:rPr>
          <w:rFonts w:ascii="Arial" w:eastAsia="Times New Roman" w:hAnsi="Arial" w:cs="Arial"/>
          <w:bCs/>
          <w:kern w:val="0"/>
          <w:sz w:val="20"/>
          <w:szCs w:val="20"/>
          <w:shd w:val="clear" w:color="auto" w:fill="FFFFFF"/>
          <w:lang w:val="en-US"/>
        </w:rPr>
        <w:t>(1):</w:t>
      </w:r>
      <w:r w:rsidRPr="00452776">
        <w:rPr>
          <w:rFonts w:ascii="Arial" w:eastAsia="Times New Roman" w:hAnsi="Arial" w:cs="Arial"/>
          <w:kern w:val="0"/>
          <w:sz w:val="20"/>
          <w:szCs w:val="20"/>
          <w:shd w:val="clear" w:color="auto" w:fill="FFFFFF"/>
          <w:lang w:val="en-US"/>
        </w:rPr>
        <w:t>1-13.</w:t>
      </w:r>
    </w:p>
    <w:p w:rsidR="00452776" w:rsidRPr="00452776" w:rsidRDefault="00452776" w:rsidP="00452776">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452776">
        <w:rPr>
          <w:rFonts w:ascii="Arial" w:hAnsi="Arial" w:cs="Arial"/>
          <w:b/>
          <w:bCs/>
          <w:kern w:val="0"/>
          <w:sz w:val="20"/>
          <w:szCs w:val="20"/>
        </w:rPr>
        <w:t>Singh D., Rajawat M. V. S., Kaushik R., Prasanna R. and Saxena A.K. 2017b</w:t>
      </w:r>
      <w:r w:rsidRPr="00452776">
        <w:rPr>
          <w:rFonts w:ascii="Arial" w:hAnsi="Arial" w:cs="Arial"/>
          <w:kern w:val="0"/>
          <w:sz w:val="20"/>
          <w:szCs w:val="20"/>
        </w:rPr>
        <w:t xml:space="preserve">. Beneficial role of endophytes in biofortification of Zn in wheat genotypes varying in nutrient use efficiency grown in soils sufficient and deficient in Zn. </w:t>
      </w:r>
      <w:r w:rsidRPr="00452776">
        <w:rPr>
          <w:rFonts w:ascii="Arial" w:hAnsi="Arial" w:cs="Arial"/>
          <w:i/>
          <w:iCs/>
          <w:kern w:val="0"/>
          <w:sz w:val="20"/>
          <w:szCs w:val="20"/>
        </w:rPr>
        <w:t>Plant Soil</w:t>
      </w:r>
      <w:r w:rsidRPr="00452776">
        <w:rPr>
          <w:rFonts w:ascii="Arial" w:hAnsi="Arial" w:cs="Arial"/>
          <w:kern w:val="0"/>
          <w:sz w:val="20"/>
          <w:szCs w:val="20"/>
        </w:rPr>
        <w:t xml:space="preserve">. </w:t>
      </w:r>
      <w:r w:rsidRPr="00452776">
        <w:rPr>
          <w:rFonts w:ascii="Arial" w:hAnsi="Arial" w:cs="Arial"/>
          <w:kern w:val="0"/>
          <w:sz w:val="20"/>
          <w:szCs w:val="20"/>
          <w:shd w:val="clear" w:color="auto" w:fill="FFFFFF"/>
        </w:rPr>
        <w:t>31(4): 19-21.</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Singh, D. 2016</w:t>
      </w:r>
      <w:r w:rsidRPr="00452776">
        <w:rPr>
          <w:rFonts w:ascii="Arial" w:eastAsia="Times New Roman" w:hAnsi="Arial" w:cs="Arial"/>
          <w:kern w:val="0"/>
          <w:sz w:val="20"/>
          <w:szCs w:val="20"/>
          <w:lang w:val="en-US"/>
        </w:rPr>
        <w:t xml:space="preserve">. Enhancement of uptake and translocation of micronutrients in wheat by using </w:t>
      </w:r>
      <w:r w:rsidRPr="00452776">
        <w:rPr>
          <w:rFonts w:ascii="Arial" w:eastAsia="Times New Roman" w:hAnsi="Arial" w:cs="Arial"/>
          <w:kern w:val="0"/>
          <w:sz w:val="20"/>
          <w:szCs w:val="20"/>
          <w:lang w:val="en-US"/>
        </w:rPr>
        <w:lastRenderedPageBreak/>
        <w:t>endophytes. Thesis, Doctor of Philosophy, IARI Post Graduate School, New Delhi.</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shd w:val="clear" w:color="auto" w:fill="FFFFFF"/>
        </w:rPr>
      </w:pPr>
      <w:r w:rsidRPr="00452776">
        <w:rPr>
          <w:rFonts w:ascii="Arial" w:eastAsia="Times New Roman" w:hAnsi="Arial" w:cs="Arial"/>
          <w:b/>
          <w:kern w:val="0"/>
          <w:sz w:val="20"/>
          <w:szCs w:val="20"/>
          <w:shd w:val="clear" w:color="auto" w:fill="FFFFFF"/>
        </w:rPr>
        <w:t>Singh, D. and Prasanna, R. 2020.</w:t>
      </w:r>
      <w:r w:rsidRPr="00452776">
        <w:rPr>
          <w:rFonts w:ascii="Arial" w:eastAsia="Times New Roman" w:hAnsi="Arial" w:cs="Arial"/>
          <w:kern w:val="0"/>
          <w:sz w:val="20"/>
          <w:szCs w:val="20"/>
          <w:shd w:val="clear" w:color="auto" w:fill="FFFFFF"/>
        </w:rPr>
        <w:t xml:space="preserve"> Potential of microbes in the biofortification of Zn and Fe in dietary food grains. A review. </w:t>
      </w:r>
      <w:r w:rsidRPr="00452776">
        <w:rPr>
          <w:rFonts w:ascii="Arial" w:eastAsia="Times New Roman" w:hAnsi="Arial" w:cs="Arial"/>
          <w:i/>
          <w:iCs/>
          <w:kern w:val="0"/>
          <w:sz w:val="20"/>
          <w:szCs w:val="20"/>
          <w:shd w:val="clear" w:color="auto" w:fill="FFFFFF"/>
        </w:rPr>
        <w:t>Agron. Sustain. Develop.</w:t>
      </w:r>
      <w:r w:rsidRPr="00452776">
        <w:rPr>
          <w:rFonts w:ascii="Arial" w:eastAsia="Times New Roman" w:hAnsi="Arial" w:cs="Arial"/>
          <w:kern w:val="0"/>
          <w:sz w:val="20"/>
          <w:szCs w:val="20"/>
          <w:shd w:val="clear" w:color="auto" w:fill="FFFFFF"/>
        </w:rPr>
        <w:t>, </w:t>
      </w:r>
      <w:r w:rsidRPr="00452776">
        <w:rPr>
          <w:rFonts w:ascii="Arial" w:eastAsia="Times New Roman" w:hAnsi="Arial" w:cs="Arial"/>
          <w:bCs/>
          <w:iCs/>
          <w:kern w:val="0"/>
          <w:sz w:val="20"/>
          <w:szCs w:val="20"/>
          <w:shd w:val="clear" w:color="auto" w:fill="FFFFFF"/>
        </w:rPr>
        <w:t>40</w:t>
      </w:r>
      <w:r w:rsidRPr="00452776">
        <w:rPr>
          <w:rFonts w:ascii="Arial" w:eastAsia="Times New Roman" w:hAnsi="Arial" w:cs="Arial"/>
          <w:kern w:val="0"/>
          <w:sz w:val="20"/>
          <w:szCs w:val="20"/>
          <w:shd w:val="clear" w:color="auto" w:fill="FFFFFF"/>
        </w:rPr>
        <w:t>: 1-21.</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Singh, D., Geat, N., Rajawat, M. V. S., Mahajan, M. M., Prasanna, R., Singh, S., Kaushik, R., Singh, R. N., Kumar, K. and Saxena, A. K. 2017a. </w:t>
      </w:r>
      <w:r w:rsidRPr="00452776">
        <w:rPr>
          <w:rFonts w:ascii="Arial" w:eastAsia="Times New Roman" w:hAnsi="Arial" w:cs="Arial"/>
          <w:kern w:val="0"/>
          <w:sz w:val="20"/>
          <w:szCs w:val="20"/>
          <w:lang w:val="en-US"/>
        </w:rPr>
        <w:t xml:space="preserve">Deciphering the mechanisms of endophyte-mediated biofortification of Fe and Zn in wheat. </w:t>
      </w:r>
      <w:r w:rsidRPr="00452776">
        <w:rPr>
          <w:rFonts w:ascii="Arial" w:eastAsia="Times New Roman" w:hAnsi="Arial" w:cs="Arial"/>
          <w:i/>
          <w:kern w:val="0"/>
          <w:sz w:val="20"/>
          <w:szCs w:val="20"/>
          <w:lang w:val="en-US"/>
        </w:rPr>
        <w:t>J. Plant Growth Regul</w:t>
      </w:r>
      <w:r w:rsidRPr="00452776">
        <w:rPr>
          <w:rFonts w:ascii="Arial" w:eastAsia="Times New Roman" w:hAnsi="Arial" w:cs="Arial"/>
          <w:kern w:val="0"/>
          <w:sz w:val="20"/>
          <w:szCs w:val="20"/>
          <w:lang w:val="en-US"/>
        </w:rPr>
        <w:t>., 37(1):174–182.</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Singh, D., Geat, N., Rajawat, M. V.S., Prasanna, R., Kar, A., Singh, A. M. and Saxena, A. K. 2018. </w:t>
      </w:r>
      <w:r w:rsidRPr="00452776">
        <w:rPr>
          <w:rFonts w:ascii="Arial" w:eastAsia="Times New Roman" w:hAnsi="Arial" w:cs="Arial"/>
          <w:kern w:val="0"/>
          <w:sz w:val="20"/>
          <w:szCs w:val="20"/>
          <w:lang w:val="en-US"/>
        </w:rPr>
        <w:t xml:space="preserve">Prospecting endophytes from different Fe or Zn accumulating wheat genotypes for their influence as inoculants on plant growth, yield, and micronutrient content. </w:t>
      </w:r>
      <w:r w:rsidRPr="00452776">
        <w:rPr>
          <w:rFonts w:ascii="Arial" w:eastAsia="Times New Roman" w:hAnsi="Arial" w:cs="Arial"/>
          <w:i/>
          <w:kern w:val="0"/>
          <w:sz w:val="20"/>
          <w:szCs w:val="20"/>
          <w:lang w:val="en-US"/>
        </w:rPr>
        <w:t>Ann. Microbiol.,</w:t>
      </w:r>
      <w:r w:rsidRPr="00452776">
        <w:rPr>
          <w:rFonts w:ascii="Arial" w:eastAsia="Times New Roman" w:hAnsi="Arial" w:cs="Arial"/>
          <w:kern w:val="0"/>
          <w:sz w:val="20"/>
          <w:szCs w:val="20"/>
          <w:lang w:val="en-US"/>
        </w:rPr>
        <w:t>68(12):815–833.</w:t>
      </w:r>
    </w:p>
    <w:p w:rsidR="00452776" w:rsidRPr="00452776" w:rsidRDefault="00452776" w:rsidP="00452776">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452776">
        <w:rPr>
          <w:rFonts w:ascii="Arial" w:hAnsi="Arial" w:cs="Arial"/>
          <w:b/>
          <w:bCs/>
          <w:sz w:val="20"/>
          <w:szCs w:val="20"/>
          <w:shd w:val="clear" w:color="auto" w:fill="FFFFFF"/>
        </w:rPr>
        <w:t>Singh, J., Singh, A. V., Upadhayay, V. K., Khan, A. and Chandra, R. 2022.</w:t>
      </w:r>
      <w:r w:rsidRPr="00452776">
        <w:rPr>
          <w:rFonts w:ascii="Arial" w:hAnsi="Arial" w:cs="Arial"/>
          <w:sz w:val="20"/>
          <w:szCs w:val="20"/>
          <w:shd w:val="clear" w:color="auto" w:fill="FFFFFF"/>
        </w:rPr>
        <w:t xml:space="preserve"> Prolific contribution of </w:t>
      </w:r>
      <w:r w:rsidRPr="00452776">
        <w:rPr>
          <w:rFonts w:ascii="Arial" w:hAnsi="Arial" w:cs="Arial"/>
          <w:i/>
          <w:iCs/>
          <w:sz w:val="20"/>
          <w:szCs w:val="20"/>
          <w:shd w:val="clear" w:color="auto" w:fill="FFFFFF"/>
        </w:rPr>
        <w:t>Pseudomonas protegens</w:t>
      </w:r>
      <w:r w:rsidRPr="00452776">
        <w:rPr>
          <w:rFonts w:ascii="Arial" w:hAnsi="Arial" w:cs="Arial"/>
          <w:sz w:val="20"/>
          <w:szCs w:val="20"/>
          <w:shd w:val="clear" w:color="auto" w:fill="FFFFFF"/>
        </w:rPr>
        <w:t xml:space="preserve"> in Zn biofortification of wheat by modulating multifaceted physiological response under saline and non-saline conditions. </w:t>
      </w:r>
      <w:r w:rsidRPr="00452776">
        <w:rPr>
          <w:rFonts w:ascii="Arial" w:hAnsi="Arial" w:cs="Arial"/>
          <w:i/>
          <w:iCs/>
          <w:sz w:val="20"/>
          <w:szCs w:val="20"/>
        </w:rPr>
        <w:t>World J.</w:t>
      </w:r>
      <w:r w:rsidRPr="00452776">
        <w:rPr>
          <w:rFonts w:ascii="Arial" w:hAnsi="Arial" w:cs="Arial"/>
          <w:i/>
          <w:iCs/>
          <w:sz w:val="20"/>
          <w:szCs w:val="20"/>
          <w:shd w:val="clear" w:color="auto" w:fill="FFFFFF"/>
        </w:rPr>
        <w:t> </w:t>
      </w:r>
      <w:r w:rsidRPr="00452776">
        <w:rPr>
          <w:rFonts w:ascii="Arial" w:hAnsi="Arial" w:cs="Arial"/>
          <w:i/>
          <w:iCs/>
          <w:sz w:val="20"/>
          <w:szCs w:val="20"/>
        </w:rPr>
        <w:t>Microbiol.</w:t>
      </w:r>
      <w:r w:rsidRPr="00452776">
        <w:rPr>
          <w:rFonts w:ascii="Arial" w:hAnsi="Arial" w:cs="Arial"/>
          <w:i/>
          <w:iCs/>
          <w:sz w:val="20"/>
          <w:szCs w:val="20"/>
          <w:shd w:val="clear" w:color="auto" w:fill="FFFFFF"/>
        </w:rPr>
        <w:t> </w:t>
      </w:r>
      <w:r w:rsidRPr="00452776">
        <w:rPr>
          <w:rFonts w:ascii="Arial" w:hAnsi="Arial" w:cs="Arial"/>
          <w:i/>
          <w:iCs/>
          <w:sz w:val="20"/>
          <w:szCs w:val="20"/>
        </w:rPr>
        <w:t>Biotechnol</w:t>
      </w:r>
      <w:r w:rsidRPr="00452776">
        <w:rPr>
          <w:rFonts w:ascii="Arial" w:hAnsi="Arial" w:cs="Arial"/>
          <w:sz w:val="20"/>
          <w:szCs w:val="20"/>
          <w:shd w:val="clear" w:color="auto" w:fill="FFFFFF"/>
        </w:rPr>
        <w:t>., 38(12): 227.</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Singh, M. V.2008</w:t>
      </w:r>
      <w:r w:rsidRPr="00452776">
        <w:rPr>
          <w:rFonts w:ascii="Arial" w:eastAsia="Times New Roman" w:hAnsi="Arial" w:cs="Arial"/>
          <w:kern w:val="0"/>
          <w:sz w:val="20"/>
          <w:szCs w:val="20"/>
          <w:lang w:eastAsia="en-IN"/>
        </w:rPr>
        <w:t xml:space="preserve">. Micronutrient deficiencies in crops and soils in India. In B. J. Alloway (Ed.), </w:t>
      </w:r>
      <w:r w:rsidRPr="00452776">
        <w:rPr>
          <w:rFonts w:ascii="Arial" w:eastAsia="Times New Roman" w:hAnsi="Arial" w:cs="Arial"/>
          <w:i/>
          <w:kern w:val="0"/>
          <w:sz w:val="20"/>
          <w:szCs w:val="20"/>
          <w:lang w:eastAsia="en-IN"/>
        </w:rPr>
        <w:t>Micronutrient deficiencies in global crop production</w:t>
      </w:r>
      <w:r w:rsidRPr="00452776">
        <w:rPr>
          <w:rFonts w:ascii="Arial" w:eastAsia="Times New Roman" w:hAnsi="Arial" w:cs="Arial"/>
          <w:kern w:val="0"/>
          <w:sz w:val="20"/>
          <w:szCs w:val="20"/>
          <w:lang w:eastAsia="en-IN"/>
        </w:rPr>
        <w:t>. Springer. https://doi.org/10.1007/978-1-4020-6860-7_4</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Singh, S. P., Gruissem, W. and Bhullar, N. K. 2017.</w:t>
      </w:r>
      <w:r w:rsidRPr="00452776">
        <w:rPr>
          <w:rFonts w:ascii="Arial" w:eastAsia="Times New Roman" w:hAnsi="Arial" w:cs="Arial"/>
          <w:kern w:val="0"/>
          <w:sz w:val="20"/>
          <w:szCs w:val="20"/>
          <w:lang w:eastAsia="en-IN"/>
        </w:rPr>
        <w:t xml:space="preserve"> Single genetic locus improvement of iron, zinc and β-carotene content in rice grains. </w:t>
      </w:r>
      <w:r w:rsidRPr="00452776">
        <w:rPr>
          <w:rFonts w:ascii="Arial" w:eastAsia="Times New Roman" w:hAnsi="Arial" w:cs="Arial"/>
          <w:i/>
          <w:kern w:val="0"/>
          <w:sz w:val="20"/>
          <w:szCs w:val="20"/>
          <w:lang w:eastAsia="en-IN"/>
        </w:rPr>
        <w:t>Sci. Rep.</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7</w:t>
      </w:r>
      <w:r w:rsidRPr="00452776">
        <w:rPr>
          <w:rFonts w:ascii="Arial" w:eastAsia="Times New Roman" w:hAnsi="Arial" w:cs="Arial"/>
          <w:kern w:val="0"/>
          <w:sz w:val="20"/>
          <w:szCs w:val="20"/>
          <w:lang w:eastAsia="en-IN"/>
        </w:rPr>
        <w:t xml:space="preserve">(1): 6883. </w:t>
      </w:r>
      <w:hyperlink r:id="rId58" w:history="1">
        <w:r w:rsidRPr="00452776">
          <w:rPr>
            <w:rStyle w:val="Hyperlink"/>
            <w:rFonts w:ascii="Arial" w:eastAsia="Times New Roman" w:hAnsi="Arial" w:cs="Arial"/>
            <w:color w:val="auto"/>
            <w:kern w:val="0"/>
            <w:sz w:val="20"/>
            <w:szCs w:val="20"/>
            <w:lang w:eastAsia="en-IN"/>
          </w:rPr>
          <w:t>https://doi.org/10.1038/s41598-017-07198-</w:t>
        </w:r>
      </w:hyperlink>
      <w:r w:rsidRPr="00452776">
        <w:rPr>
          <w:rFonts w:ascii="Arial" w:eastAsia="Times New Roman" w:hAnsi="Arial" w:cs="Arial"/>
          <w:kern w:val="0"/>
          <w:sz w:val="20"/>
          <w:szCs w:val="20"/>
          <w:lang w:eastAsia="en-IN"/>
        </w:rPr>
        <w:t>5</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Singh, S. P., Gruissem, W. and Bhullar, N. K. 2017.</w:t>
      </w:r>
      <w:r w:rsidRPr="00452776">
        <w:rPr>
          <w:rFonts w:ascii="Arial" w:eastAsia="Times New Roman" w:hAnsi="Arial" w:cs="Arial"/>
          <w:kern w:val="0"/>
          <w:sz w:val="20"/>
          <w:szCs w:val="20"/>
          <w:lang w:eastAsia="en-IN"/>
        </w:rPr>
        <w:t xml:space="preserve"> Single genetic locus improvement of iron, zinc and β-carotene content in rice grains. </w:t>
      </w:r>
      <w:r w:rsidRPr="00452776">
        <w:rPr>
          <w:rFonts w:ascii="Arial" w:eastAsia="Times New Roman" w:hAnsi="Arial" w:cs="Arial"/>
          <w:i/>
          <w:kern w:val="0"/>
          <w:sz w:val="20"/>
          <w:szCs w:val="20"/>
          <w:lang w:eastAsia="en-IN"/>
        </w:rPr>
        <w:t>Sci. Rep.</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7</w:t>
      </w:r>
      <w:r w:rsidRPr="00452776">
        <w:rPr>
          <w:rFonts w:ascii="Arial" w:eastAsia="Times New Roman" w:hAnsi="Arial" w:cs="Arial"/>
          <w:kern w:val="0"/>
          <w:sz w:val="20"/>
          <w:szCs w:val="20"/>
          <w:lang w:eastAsia="en-IN"/>
        </w:rPr>
        <w:t xml:space="preserve">(1): 6883. </w:t>
      </w:r>
      <w:hyperlink r:id="rId59" w:history="1">
        <w:r w:rsidRPr="00452776">
          <w:rPr>
            <w:rStyle w:val="Hyperlink"/>
            <w:rFonts w:ascii="Arial" w:eastAsia="Times New Roman" w:hAnsi="Arial" w:cs="Arial"/>
            <w:color w:val="auto"/>
            <w:kern w:val="0"/>
            <w:sz w:val="20"/>
            <w:szCs w:val="20"/>
            <w:lang w:eastAsia="en-IN"/>
          </w:rPr>
          <w:t>https://doi.org/10.1038/s41598-017-07198-</w:t>
        </w:r>
      </w:hyperlink>
      <w:r w:rsidRPr="00452776">
        <w:rPr>
          <w:rFonts w:ascii="Arial" w:eastAsia="Times New Roman" w:hAnsi="Arial" w:cs="Arial"/>
          <w:kern w:val="0"/>
          <w:sz w:val="20"/>
          <w:szCs w:val="20"/>
          <w:lang w:eastAsia="en-IN"/>
        </w:rPr>
        <w:t>5</w:t>
      </w:r>
    </w:p>
    <w:p w:rsidR="00452776" w:rsidRPr="00452776" w:rsidRDefault="00452776" w:rsidP="00452776">
      <w:pPr>
        <w:pStyle w:val="BodyText"/>
        <w:spacing w:before="280" w:after="120" w:line="324" w:lineRule="auto"/>
        <w:ind w:left="720" w:hanging="720"/>
        <w:jc w:val="both"/>
        <w:rPr>
          <w:rFonts w:ascii="Arial" w:hAnsi="Arial" w:cs="Arial"/>
          <w:sz w:val="20"/>
          <w:szCs w:val="20"/>
        </w:rPr>
      </w:pPr>
      <w:r w:rsidRPr="00452776">
        <w:rPr>
          <w:rFonts w:ascii="Arial" w:hAnsi="Arial" w:cs="Arial"/>
          <w:b/>
          <w:sz w:val="20"/>
          <w:szCs w:val="20"/>
        </w:rPr>
        <w:t xml:space="preserve">Sirohi, G., Upadhyay, A., Srivastava, P. S. and Srivastava, S.2015. </w:t>
      </w:r>
      <w:r w:rsidRPr="00452776">
        <w:rPr>
          <w:rFonts w:ascii="Arial" w:hAnsi="Arial" w:cs="Arial"/>
          <w:sz w:val="20"/>
          <w:szCs w:val="20"/>
        </w:rPr>
        <w:t xml:space="preserve">PGPR mediated zinc biofertilization of soil and its impact on growth and productivity of wheat. </w:t>
      </w:r>
      <w:r w:rsidRPr="00452776">
        <w:rPr>
          <w:rFonts w:ascii="Arial" w:hAnsi="Arial" w:cs="Arial"/>
          <w:i/>
          <w:sz w:val="20"/>
          <w:szCs w:val="20"/>
        </w:rPr>
        <w:t>J. Soil Sci. Plant Nutr</w:t>
      </w:r>
      <w:r w:rsidRPr="00452776">
        <w:rPr>
          <w:rFonts w:ascii="Arial" w:hAnsi="Arial" w:cs="Arial"/>
          <w:sz w:val="20"/>
          <w:szCs w:val="20"/>
        </w:rPr>
        <w:t xml:space="preserve">.,15(1):202–216. </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Soumare, A., Diedhiou, A. G., Arora, N. K., Al-Ani, L. K. T., Ngom, M., Fall, S., Hafidi, M., Ouhdouch, Y., Kouisni, L. and Sy, M. O. 2021</w:t>
      </w:r>
      <w:r w:rsidRPr="00452776">
        <w:rPr>
          <w:rFonts w:ascii="Arial" w:eastAsia="Times New Roman" w:hAnsi="Arial" w:cs="Arial"/>
          <w:kern w:val="0"/>
          <w:sz w:val="20"/>
          <w:szCs w:val="20"/>
          <w:lang w:val="en-US"/>
        </w:rPr>
        <w:t xml:space="preserve">. Potential role and utilization of plant growth promoting microbes in plant tissue culture. </w:t>
      </w:r>
      <w:r w:rsidRPr="00452776">
        <w:rPr>
          <w:rFonts w:ascii="Arial" w:eastAsia="Times New Roman" w:hAnsi="Arial" w:cs="Arial"/>
          <w:i/>
          <w:kern w:val="0"/>
          <w:sz w:val="20"/>
          <w:szCs w:val="20"/>
          <w:lang w:val="en-US"/>
        </w:rPr>
        <w:t xml:space="preserve">Front. Microbiol., </w:t>
      </w:r>
      <w:r w:rsidRPr="00452776">
        <w:rPr>
          <w:rFonts w:ascii="Arial" w:eastAsia="Times New Roman" w:hAnsi="Arial" w:cs="Arial"/>
          <w:kern w:val="0"/>
          <w:sz w:val="20"/>
          <w:szCs w:val="20"/>
          <w:lang w:val="en-US"/>
        </w:rPr>
        <w:t>12: 649878.</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Srithaworn, M., Jaroenthanyakorn, J., Tangjitjaroenkun, J., Suriyachadkun, C. and Chunhachart, O. 2023. </w:t>
      </w:r>
      <w:r w:rsidRPr="00452776">
        <w:rPr>
          <w:rFonts w:ascii="Arial" w:eastAsia="Times New Roman" w:hAnsi="Arial" w:cs="Arial"/>
          <w:kern w:val="0"/>
          <w:sz w:val="20"/>
          <w:szCs w:val="20"/>
          <w:lang w:val="en-US"/>
        </w:rPr>
        <w:t>Zinc solubilizing bacteria and their potential as bioinoculant for growth promotion of green soybean (</w:t>
      </w:r>
      <w:r w:rsidRPr="00452776">
        <w:rPr>
          <w:rFonts w:ascii="Arial" w:eastAsia="Times New Roman" w:hAnsi="Arial" w:cs="Arial"/>
          <w:i/>
          <w:kern w:val="0"/>
          <w:sz w:val="20"/>
          <w:szCs w:val="20"/>
          <w:lang w:val="en-US"/>
        </w:rPr>
        <w:t xml:space="preserve">Glycine max </w:t>
      </w:r>
      <w:r w:rsidRPr="00452776">
        <w:rPr>
          <w:rFonts w:ascii="Arial" w:eastAsia="Times New Roman" w:hAnsi="Arial" w:cs="Arial"/>
          <w:kern w:val="0"/>
          <w:sz w:val="20"/>
          <w:szCs w:val="20"/>
          <w:lang w:val="en-US"/>
        </w:rPr>
        <w:t xml:space="preserve">L. Merr.). </w:t>
      </w:r>
      <w:r w:rsidRPr="00452776">
        <w:rPr>
          <w:rFonts w:ascii="Arial" w:eastAsia="Times New Roman" w:hAnsi="Arial" w:cs="Arial"/>
          <w:i/>
          <w:kern w:val="0"/>
          <w:sz w:val="20"/>
          <w:szCs w:val="20"/>
          <w:lang w:val="en-US"/>
        </w:rPr>
        <w:t>Peer J.</w:t>
      </w:r>
      <w:r w:rsidRPr="00452776">
        <w:rPr>
          <w:rFonts w:ascii="Arial" w:eastAsia="Times New Roman" w:hAnsi="Arial" w:cs="Arial"/>
          <w:kern w:val="0"/>
          <w:sz w:val="20"/>
          <w:szCs w:val="20"/>
          <w:lang w:val="en-US"/>
        </w:rPr>
        <w:t>, 11, e15128.</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Subbaiah, L. V., Prasad, T. N. V. K. V., Krishna, T. G., Sudhakar, P., Reddy, B. R. and Pradeep, T. 2016.</w:t>
      </w:r>
      <w:r w:rsidRPr="00452776">
        <w:rPr>
          <w:rFonts w:ascii="Arial" w:eastAsia="Times New Roman" w:hAnsi="Arial" w:cs="Arial"/>
          <w:kern w:val="0"/>
          <w:sz w:val="20"/>
          <w:szCs w:val="20"/>
          <w:lang w:eastAsia="en-IN"/>
        </w:rPr>
        <w:t xml:space="preserve"> Novel effects of nanoparticulate delivery of zinc on growth, productivity, and zinc </w:t>
      </w:r>
      <w:r w:rsidRPr="00452776">
        <w:rPr>
          <w:rFonts w:ascii="Arial" w:eastAsia="Times New Roman" w:hAnsi="Arial" w:cs="Arial"/>
          <w:kern w:val="0"/>
          <w:sz w:val="20"/>
          <w:szCs w:val="20"/>
          <w:lang w:eastAsia="en-IN"/>
        </w:rPr>
        <w:lastRenderedPageBreak/>
        <w:t>biofortification in maize (</w:t>
      </w:r>
      <w:r w:rsidRPr="00452776">
        <w:rPr>
          <w:rFonts w:ascii="Arial" w:eastAsia="Times New Roman" w:hAnsi="Arial" w:cs="Arial"/>
          <w:i/>
          <w:iCs/>
          <w:kern w:val="0"/>
          <w:sz w:val="20"/>
          <w:szCs w:val="20"/>
          <w:lang w:eastAsia="en-IN"/>
        </w:rPr>
        <w:t>Zea mays</w:t>
      </w:r>
      <w:r w:rsidRPr="00452776">
        <w:rPr>
          <w:rFonts w:ascii="Arial" w:eastAsia="Times New Roman" w:hAnsi="Arial" w:cs="Arial"/>
          <w:kern w:val="0"/>
          <w:sz w:val="20"/>
          <w:szCs w:val="20"/>
          <w:lang w:eastAsia="en-IN"/>
        </w:rPr>
        <w:t xml:space="preserve"> L.). </w:t>
      </w:r>
      <w:r w:rsidRPr="00452776">
        <w:rPr>
          <w:rFonts w:ascii="Arial" w:eastAsia="Times New Roman" w:hAnsi="Arial" w:cs="Arial"/>
          <w:i/>
          <w:kern w:val="0"/>
          <w:sz w:val="20"/>
          <w:szCs w:val="20"/>
          <w:lang w:eastAsia="en-IN"/>
        </w:rPr>
        <w:t>J. Agric. Food Chem.</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64</w:t>
      </w:r>
      <w:r w:rsidRPr="00452776">
        <w:rPr>
          <w:rFonts w:ascii="Arial" w:eastAsia="Times New Roman" w:hAnsi="Arial" w:cs="Arial"/>
          <w:kern w:val="0"/>
          <w:sz w:val="20"/>
          <w:szCs w:val="20"/>
          <w:lang w:eastAsia="en-IN"/>
        </w:rPr>
        <w:t>(19): 3778–3788. https://doi.org/10.1021/acs.jafc.6b00838</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shd w:val="clear" w:color="auto" w:fill="FFFFFF"/>
          <w:lang w:val="en-US"/>
        </w:rPr>
      </w:pPr>
      <w:r w:rsidRPr="00452776">
        <w:rPr>
          <w:rFonts w:ascii="Arial" w:eastAsia="Times New Roman" w:hAnsi="Arial" w:cs="Arial"/>
          <w:b/>
          <w:kern w:val="0"/>
          <w:sz w:val="20"/>
          <w:szCs w:val="20"/>
          <w:shd w:val="clear" w:color="auto" w:fill="FFFFFF"/>
          <w:lang w:val="en-US"/>
        </w:rPr>
        <w:t>Sun, Z., Yue, Z., Liu, H., Ma, K., and Li, C. 2021.</w:t>
      </w:r>
      <w:r w:rsidRPr="00452776">
        <w:rPr>
          <w:rFonts w:ascii="Arial" w:eastAsia="Times New Roman" w:hAnsi="Arial" w:cs="Arial"/>
          <w:kern w:val="0"/>
          <w:sz w:val="20"/>
          <w:szCs w:val="20"/>
          <w:shd w:val="clear" w:color="auto" w:fill="FFFFFF"/>
          <w:lang w:val="en-US"/>
        </w:rPr>
        <w:t xml:space="preserve"> Microbial-assisted wheat iron biofortification using endophytic </w:t>
      </w:r>
      <w:r w:rsidRPr="00452776">
        <w:rPr>
          <w:rFonts w:ascii="Arial" w:eastAsia="Times New Roman" w:hAnsi="Arial" w:cs="Arial"/>
          <w:i/>
          <w:kern w:val="0"/>
          <w:sz w:val="20"/>
          <w:szCs w:val="20"/>
          <w:shd w:val="clear" w:color="auto" w:fill="FFFFFF"/>
          <w:lang w:val="en-US"/>
        </w:rPr>
        <w:t>Bacillus altitudinis</w:t>
      </w:r>
      <w:r w:rsidRPr="00452776">
        <w:rPr>
          <w:rFonts w:ascii="Arial" w:eastAsia="Times New Roman" w:hAnsi="Arial" w:cs="Arial"/>
          <w:kern w:val="0"/>
          <w:sz w:val="20"/>
          <w:szCs w:val="20"/>
          <w:shd w:val="clear" w:color="auto" w:fill="FFFFFF"/>
          <w:lang w:val="en-US"/>
        </w:rPr>
        <w:t xml:space="preserve"> WR10. </w:t>
      </w:r>
      <w:r w:rsidRPr="00452776">
        <w:rPr>
          <w:rFonts w:ascii="Arial" w:eastAsia="Times New Roman" w:hAnsi="Arial" w:cs="Arial"/>
          <w:i/>
          <w:iCs/>
          <w:kern w:val="0"/>
          <w:sz w:val="20"/>
          <w:szCs w:val="20"/>
          <w:shd w:val="clear" w:color="auto" w:fill="FFFFFF"/>
          <w:lang w:val="en-US"/>
        </w:rPr>
        <w:t>Front. Nutr.</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kern w:val="0"/>
          <w:sz w:val="20"/>
          <w:szCs w:val="20"/>
          <w:shd w:val="clear" w:color="auto" w:fill="FFFFFF"/>
          <w:lang w:val="en-US"/>
        </w:rPr>
        <w:t>8</w:t>
      </w:r>
      <w:r w:rsidRPr="00452776">
        <w:rPr>
          <w:rFonts w:ascii="Arial" w:eastAsia="Times New Roman" w:hAnsi="Arial" w:cs="Arial"/>
          <w:kern w:val="0"/>
          <w:sz w:val="20"/>
          <w:szCs w:val="20"/>
          <w:shd w:val="clear" w:color="auto" w:fill="FFFFFF"/>
          <w:lang w:val="en-US"/>
        </w:rPr>
        <w:t>: 704030.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Tariq, M., Hameed, S., Malik, K. A. and Hafeez, F. Y. 2007.</w:t>
      </w:r>
      <w:r w:rsidRPr="00452776">
        <w:rPr>
          <w:rFonts w:ascii="Arial" w:eastAsia="Times New Roman" w:hAnsi="Arial" w:cs="Arial"/>
          <w:kern w:val="0"/>
          <w:sz w:val="20"/>
          <w:szCs w:val="20"/>
          <w:lang w:eastAsia="en-IN"/>
        </w:rPr>
        <w:t xml:space="preserve"> Plant root associated bacteria for zinc mobilization in rice. </w:t>
      </w:r>
      <w:r w:rsidRPr="00452776">
        <w:rPr>
          <w:rFonts w:ascii="Arial" w:eastAsia="Times New Roman" w:hAnsi="Arial" w:cs="Arial"/>
          <w:i/>
          <w:kern w:val="0"/>
          <w:sz w:val="20"/>
          <w:szCs w:val="20"/>
          <w:lang w:eastAsia="en-IN"/>
        </w:rPr>
        <w:t>Pak. J. Bot.</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39</w:t>
      </w:r>
      <w:r w:rsidRPr="00452776">
        <w:rPr>
          <w:rFonts w:ascii="Arial" w:eastAsia="Times New Roman" w:hAnsi="Arial" w:cs="Arial"/>
          <w:kern w:val="0"/>
          <w:sz w:val="20"/>
          <w:szCs w:val="20"/>
          <w:lang w:eastAsia="en-IN"/>
        </w:rPr>
        <w:t>: 245–253.</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Tarkalson, D. D., Jolley, V. D., Robbins, C. W. and Terry, R. E. and </w:t>
      </w:r>
      <w:r w:rsidRPr="00452776">
        <w:rPr>
          <w:rFonts w:ascii="Arial" w:eastAsia="Calibri" w:hAnsi="Arial" w:cs="Arial"/>
          <w:b/>
          <w:bCs/>
          <w:kern w:val="0"/>
          <w:sz w:val="20"/>
          <w:szCs w:val="20"/>
          <w:lang w:eastAsia="en-IN"/>
        </w:rPr>
        <w:t>1998</w:t>
      </w:r>
      <w:r w:rsidRPr="00452776">
        <w:rPr>
          <w:rFonts w:ascii="Arial" w:eastAsia="Times New Roman" w:hAnsi="Arial" w:cs="Arial"/>
          <w:b/>
          <w:bCs/>
          <w:kern w:val="0"/>
          <w:sz w:val="20"/>
          <w:szCs w:val="20"/>
          <w:lang w:eastAsia="en-IN"/>
        </w:rPr>
        <w:t>.</w:t>
      </w:r>
      <w:r w:rsidRPr="00452776">
        <w:rPr>
          <w:rFonts w:ascii="Arial" w:eastAsia="Calibri" w:hAnsi="Arial" w:cs="Arial"/>
          <w:kern w:val="0"/>
          <w:sz w:val="20"/>
          <w:szCs w:val="20"/>
          <w:lang w:eastAsia="en-IN"/>
        </w:rPr>
        <w:t>Mycorrhizal colonization and nutrient uptake of dry bean in manure and compost manure treated subsoil and untreated topsoil and subsoil</w:t>
      </w:r>
      <w:r w:rsidRPr="00452776">
        <w:rPr>
          <w:rFonts w:ascii="Arial" w:eastAsia="Times New Roman" w:hAnsi="Arial" w:cs="Arial"/>
          <w:kern w:val="0"/>
          <w:sz w:val="20"/>
          <w:szCs w:val="20"/>
          <w:lang w:eastAsia="en-IN"/>
        </w:rPr>
        <w:t xml:space="preserve">. </w:t>
      </w:r>
      <w:r w:rsidRPr="00452776">
        <w:rPr>
          <w:rFonts w:ascii="Arial" w:eastAsia="Calibri" w:hAnsi="Arial" w:cs="Arial"/>
          <w:i/>
          <w:iCs/>
          <w:kern w:val="0"/>
          <w:sz w:val="20"/>
          <w:szCs w:val="20"/>
          <w:lang w:eastAsia="en-IN"/>
        </w:rPr>
        <w:t>J. Plant Nutr.</w:t>
      </w:r>
      <w:r w:rsidRPr="00452776">
        <w:rPr>
          <w:rFonts w:ascii="Arial" w:eastAsia="Times New Roman" w:hAnsi="Arial" w:cs="Arial"/>
          <w:i/>
          <w:iCs/>
          <w:kern w:val="0"/>
          <w:sz w:val="20"/>
          <w:szCs w:val="20"/>
          <w:lang w:eastAsia="en-IN"/>
        </w:rPr>
        <w:t>,</w:t>
      </w:r>
      <w:r w:rsidRPr="00452776">
        <w:rPr>
          <w:rFonts w:ascii="Arial" w:eastAsia="Calibri" w:hAnsi="Arial" w:cs="Arial"/>
          <w:kern w:val="0"/>
          <w:sz w:val="20"/>
          <w:szCs w:val="20"/>
          <w:lang w:eastAsia="en-IN"/>
        </w:rPr>
        <w:t>21</w:t>
      </w:r>
      <w:r w:rsidRPr="00452776">
        <w:rPr>
          <w:rFonts w:ascii="Arial" w:eastAsia="Times New Roman" w:hAnsi="Arial" w:cs="Arial"/>
          <w:kern w:val="0"/>
          <w:sz w:val="20"/>
          <w:szCs w:val="20"/>
          <w:lang w:eastAsia="en-IN"/>
        </w:rPr>
        <w:t>(</w:t>
      </w:r>
      <w:r w:rsidRPr="00452776">
        <w:rPr>
          <w:rFonts w:ascii="Arial" w:eastAsia="Calibri" w:hAnsi="Arial" w:cs="Arial"/>
          <w:kern w:val="0"/>
          <w:sz w:val="20"/>
          <w:szCs w:val="20"/>
          <w:lang w:eastAsia="en-IN"/>
        </w:rPr>
        <w:t>9</w:t>
      </w:r>
      <w:r w:rsidRPr="00452776">
        <w:rPr>
          <w:rFonts w:ascii="Arial" w:eastAsia="Times New Roman" w:hAnsi="Arial" w:cs="Arial"/>
          <w:kern w:val="0"/>
          <w:sz w:val="20"/>
          <w:szCs w:val="20"/>
          <w:lang w:eastAsia="en-IN"/>
        </w:rPr>
        <w:t xml:space="preserve">): </w:t>
      </w:r>
      <w:r w:rsidRPr="00452776">
        <w:rPr>
          <w:rFonts w:ascii="Arial" w:eastAsia="Calibri" w:hAnsi="Arial" w:cs="Arial"/>
          <w:kern w:val="0"/>
          <w:sz w:val="20"/>
          <w:szCs w:val="20"/>
          <w:lang w:eastAsia="en-IN"/>
        </w:rPr>
        <w:t>1867</w:t>
      </w:r>
      <w:r w:rsidRPr="00452776">
        <w:rPr>
          <w:rFonts w:ascii="Arial" w:eastAsia="Times New Roman" w:hAnsi="Arial" w:cs="Arial"/>
          <w:kern w:val="0"/>
          <w:sz w:val="20"/>
          <w:szCs w:val="20"/>
          <w:lang w:eastAsia="en-IN"/>
        </w:rPr>
        <w:t>–</w:t>
      </w:r>
      <w:r w:rsidRPr="00452776">
        <w:rPr>
          <w:rFonts w:ascii="Arial" w:eastAsia="Calibri" w:hAnsi="Arial" w:cs="Arial"/>
          <w:kern w:val="0"/>
          <w:sz w:val="20"/>
          <w:szCs w:val="20"/>
          <w:lang w:eastAsia="en-IN"/>
        </w:rPr>
        <w:t>1878</w:t>
      </w:r>
      <w:r w:rsidRPr="00452776">
        <w:rPr>
          <w:rFonts w:ascii="Arial" w:eastAsia="Times New Roman" w:hAnsi="Arial" w:cs="Arial"/>
          <w:kern w:val="0"/>
          <w:sz w:val="20"/>
          <w:szCs w:val="20"/>
          <w:lang w:eastAsia="en-IN"/>
        </w:rPr>
        <w:t>. https://doi.org/10.1080/01904169809365529</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Toxqui, L. and Vaquero, M. P. 2015.</w:t>
      </w:r>
      <w:r w:rsidRPr="00452776">
        <w:rPr>
          <w:rFonts w:ascii="Arial" w:eastAsia="Times New Roman" w:hAnsi="Arial" w:cs="Arial"/>
          <w:kern w:val="0"/>
          <w:sz w:val="20"/>
          <w:szCs w:val="20"/>
          <w:lang w:eastAsia="en-IN"/>
        </w:rPr>
        <w:t xml:space="preserve"> Chronic iron deficiency as an emerging risk factor for osteoporosis: A hypothesis. </w:t>
      </w:r>
      <w:r w:rsidRPr="00452776">
        <w:rPr>
          <w:rFonts w:ascii="Arial" w:eastAsia="Times New Roman" w:hAnsi="Arial" w:cs="Arial"/>
          <w:i/>
          <w:kern w:val="0"/>
          <w:sz w:val="20"/>
          <w:szCs w:val="20"/>
          <w:lang w:eastAsia="en-IN"/>
        </w:rPr>
        <w:t>Nutrients</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7</w:t>
      </w:r>
      <w:r w:rsidRPr="00452776">
        <w:rPr>
          <w:rFonts w:ascii="Arial" w:eastAsia="Times New Roman" w:hAnsi="Arial" w:cs="Arial"/>
          <w:kern w:val="0"/>
          <w:sz w:val="20"/>
          <w:szCs w:val="20"/>
          <w:lang w:eastAsia="en-IN"/>
        </w:rPr>
        <w:t>(4): 2324–2344. https://doi.org/10.3390/nu7042324</w:t>
      </w:r>
    </w:p>
    <w:p w:rsidR="00452776" w:rsidRPr="00452776" w:rsidRDefault="00452776" w:rsidP="00452776">
      <w:pPr>
        <w:widowControl w:val="0"/>
        <w:spacing w:before="280" w:after="120" w:line="324" w:lineRule="auto"/>
        <w:ind w:left="720" w:hanging="720"/>
        <w:jc w:val="both"/>
        <w:rPr>
          <w:rFonts w:ascii="Arial" w:hAnsi="Arial" w:cs="Arial"/>
          <w:sz w:val="20"/>
          <w:szCs w:val="20"/>
          <w:shd w:val="clear" w:color="auto" w:fill="FFFFFF"/>
        </w:rPr>
      </w:pPr>
      <w:r w:rsidRPr="00452776">
        <w:rPr>
          <w:rFonts w:ascii="Arial" w:hAnsi="Arial" w:cs="Arial"/>
          <w:b/>
          <w:bCs/>
          <w:sz w:val="20"/>
          <w:szCs w:val="20"/>
          <w:shd w:val="clear" w:color="auto" w:fill="FFFFFF"/>
        </w:rPr>
        <w:t>Upadhayay, V. K., Khan, A., Singh, J. and Singh, A. V. 2022</w:t>
      </w:r>
      <w:r w:rsidRPr="00452776">
        <w:rPr>
          <w:rFonts w:ascii="Arial" w:hAnsi="Arial" w:cs="Arial"/>
          <w:sz w:val="20"/>
          <w:szCs w:val="20"/>
          <w:shd w:val="clear" w:color="auto" w:fill="FFFFFF"/>
        </w:rPr>
        <w:t xml:space="preserve">. Bacterial assisted improved Zn consignment in root and shoot of rice plant by zinc solubilizing </w:t>
      </w:r>
      <w:r w:rsidRPr="00452776">
        <w:rPr>
          <w:rFonts w:ascii="Arial" w:hAnsi="Arial" w:cs="Arial"/>
          <w:i/>
          <w:iCs/>
          <w:sz w:val="20"/>
          <w:szCs w:val="20"/>
          <w:shd w:val="clear" w:color="auto" w:fill="FFFFFF"/>
        </w:rPr>
        <w:t>Serratia marcescence</w:t>
      </w:r>
      <w:r w:rsidRPr="00452776">
        <w:rPr>
          <w:rFonts w:ascii="Arial" w:hAnsi="Arial" w:cs="Arial"/>
          <w:sz w:val="20"/>
          <w:szCs w:val="20"/>
          <w:shd w:val="clear" w:color="auto" w:fill="FFFFFF"/>
        </w:rPr>
        <w:t xml:space="preserve"> bearing plant probiotic traits. </w:t>
      </w:r>
      <w:r w:rsidRPr="00452776">
        <w:rPr>
          <w:rFonts w:ascii="Arial" w:hAnsi="Arial" w:cs="Arial"/>
          <w:i/>
          <w:iCs/>
          <w:sz w:val="20"/>
          <w:szCs w:val="20"/>
          <w:shd w:val="clear" w:color="auto" w:fill="FFFFFF"/>
        </w:rPr>
        <w:t>Adv. Biores</w:t>
      </w:r>
      <w:r w:rsidRPr="00452776">
        <w:rPr>
          <w:rFonts w:ascii="Arial" w:hAnsi="Arial" w:cs="Arial"/>
          <w:sz w:val="20"/>
          <w:szCs w:val="20"/>
          <w:shd w:val="clear" w:color="auto" w:fill="FFFFFF"/>
        </w:rPr>
        <w:t>, 13(1): 1-08.</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Upadhayay, V. K., Singh, A. V. and Khan, A. 2022a.</w:t>
      </w:r>
      <w:r w:rsidRPr="00452776">
        <w:rPr>
          <w:rFonts w:ascii="Arial" w:eastAsia="Times New Roman" w:hAnsi="Arial" w:cs="Arial"/>
          <w:kern w:val="0"/>
          <w:sz w:val="20"/>
          <w:szCs w:val="20"/>
          <w:lang w:eastAsia="en-IN"/>
        </w:rPr>
        <w:t xml:space="preserve"> Cross talk between zinc-solubilizing bacteria and plants: A short tale of bacterial-assisted zinc biofortification. </w:t>
      </w:r>
      <w:r w:rsidRPr="00452776">
        <w:rPr>
          <w:rFonts w:ascii="Arial" w:eastAsia="Times New Roman" w:hAnsi="Arial" w:cs="Arial"/>
          <w:i/>
          <w:kern w:val="0"/>
          <w:sz w:val="20"/>
          <w:szCs w:val="20"/>
          <w:lang w:eastAsia="en-IN"/>
        </w:rPr>
        <w:t>Front. Soil Sci.</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w:t>
      </w:r>
      <w:r w:rsidRPr="00452776">
        <w:rPr>
          <w:rFonts w:ascii="Arial" w:eastAsia="Calibri" w:hAnsi="Arial" w:cs="Arial"/>
          <w:iCs/>
          <w:kern w:val="0"/>
          <w:sz w:val="20"/>
          <w:szCs w:val="20"/>
          <w:shd w:val="clear" w:color="auto" w:fill="FFFFFF"/>
          <w:lang w:eastAsia="en-IN"/>
        </w:rPr>
        <w:t>: 788170</w:t>
      </w:r>
      <w:r w:rsidRPr="00452776">
        <w:rPr>
          <w:rFonts w:ascii="Arial" w:eastAsia="Times New Roman" w:hAnsi="Arial" w:cs="Arial"/>
          <w:kern w:val="0"/>
          <w:sz w:val="20"/>
          <w:szCs w:val="20"/>
          <w:lang w:eastAsia="en-IN"/>
        </w:rPr>
        <w:t>. https://doi.org/10.3389/fsoil.2021.788170</w:t>
      </w:r>
    </w:p>
    <w:p w:rsidR="00452776" w:rsidRPr="00452776" w:rsidRDefault="00452776" w:rsidP="00452776">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452776">
        <w:rPr>
          <w:rFonts w:ascii="Arial" w:hAnsi="Arial" w:cs="Arial"/>
          <w:b/>
          <w:bCs/>
          <w:kern w:val="0"/>
          <w:sz w:val="20"/>
          <w:szCs w:val="20"/>
        </w:rPr>
        <w:t>Upadhayay, V. K., Singh, A. V. and Pareek, N. 2018</w:t>
      </w:r>
      <w:r w:rsidRPr="00452776">
        <w:rPr>
          <w:rFonts w:ascii="Arial" w:hAnsi="Arial" w:cs="Arial"/>
          <w:kern w:val="0"/>
          <w:sz w:val="20"/>
          <w:szCs w:val="20"/>
        </w:rPr>
        <w:t xml:space="preserve">.An insight in decoding the multifarious and splendid role of microorganisms in crop biofortification. </w:t>
      </w:r>
      <w:r w:rsidRPr="00452776">
        <w:rPr>
          <w:rFonts w:ascii="Arial" w:hAnsi="Arial" w:cs="Arial"/>
          <w:i/>
          <w:iCs/>
          <w:kern w:val="0"/>
          <w:sz w:val="20"/>
          <w:szCs w:val="20"/>
        </w:rPr>
        <w:t>Int. J. Curr. Microbiol</w:t>
      </w:r>
      <w:r w:rsidRPr="00452776">
        <w:rPr>
          <w:rFonts w:ascii="Arial" w:hAnsi="Arial" w:cs="Arial"/>
          <w:kern w:val="0"/>
          <w:sz w:val="20"/>
          <w:szCs w:val="20"/>
        </w:rPr>
        <w:t>., 7(06): 2407-2418</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Upadhayay, V. K., Singh, A. V., Khan, A., Singh, J., Pareek, N. and Raghav, A. 2022b.</w:t>
      </w:r>
      <w:r w:rsidRPr="00452776">
        <w:rPr>
          <w:rFonts w:ascii="Arial" w:eastAsia="Times New Roman" w:hAnsi="Arial" w:cs="Arial"/>
          <w:kern w:val="0"/>
          <w:sz w:val="20"/>
          <w:szCs w:val="20"/>
          <w:lang w:eastAsia="en-IN"/>
        </w:rPr>
        <w:t xml:space="preserve"> FE-SEM/EDX based zinc mobilization analysis of </w:t>
      </w:r>
      <w:r w:rsidRPr="00452776">
        <w:rPr>
          <w:rFonts w:ascii="Arial" w:eastAsia="Times New Roman" w:hAnsi="Arial" w:cs="Arial"/>
          <w:i/>
          <w:kern w:val="0"/>
          <w:sz w:val="20"/>
          <w:szCs w:val="20"/>
          <w:lang w:eastAsia="en-IN"/>
        </w:rPr>
        <w:t>Burkholderiacepacia</w:t>
      </w:r>
      <w:r w:rsidRPr="00452776">
        <w:rPr>
          <w:rFonts w:ascii="Arial" w:eastAsia="Times New Roman" w:hAnsi="Arial" w:cs="Arial"/>
          <w:kern w:val="0"/>
          <w:sz w:val="20"/>
          <w:szCs w:val="20"/>
          <w:lang w:eastAsia="en-IN"/>
        </w:rPr>
        <w:t xml:space="preserve"> and </w:t>
      </w:r>
      <w:r w:rsidRPr="00452776">
        <w:rPr>
          <w:rFonts w:ascii="Arial" w:eastAsia="Times New Roman" w:hAnsi="Arial" w:cs="Arial"/>
          <w:i/>
          <w:kern w:val="0"/>
          <w:sz w:val="20"/>
          <w:szCs w:val="20"/>
          <w:lang w:eastAsia="en-IN"/>
        </w:rPr>
        <w:t>Pantoearodasii</w:t>
      </w:r>
      <w:r w:rsidRPr="00452776">
        <w:rPr>
          <w:rFonts w:ascii="Arial" w:eastAsia="Times New Roman" w:hAnsi="Arial" w:cs="Arial"/>
          <w:kern w:val="0"/>
          <w:sz w:val="20"/>
          <w:szCs w:val="20"/>
          <w:lang w:eastAsia="en-IN"/>
        </w:rPr>
        <w:t xml:space="preserve"> and their functional annotation in crop productivity, soil quality, and zinc biofortification of paddy. </w:t>
      </w:r>
      <w:r w:rsidRPr="00452776">
        <w:rPr>
          <w:rFonts w:ascii="Arial" w:eastAsia="Times New Roman" w:hAnsi="Arial" w:cs="Arial"/>
          <w:i/>
          <w:kern w:val="0"/>
          <w:sz w:val="20"/>
          <w:szCs w:val="20"/>
          <w:lang w:eastAsia="en-IN"/>
        </w:rPr>
        <w:t>Front. Microbiol.</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13:</w:t>
      </w:r>
      <w:r w:rsidRPr="00452776">
        <w:rPr>
          <w:rFonts w:ascii="Arial" w:eastAsia="Times New Roman" w:hAnsi="Arial" w:cs="Arial"/>
          <w:kern w:val="0"/>
          <w:sz w:val="20"/>
          <w:szCs w:val="20"/>
          <w:lang w:eastAsia="en-IN"/>
        </w:rPr>
        <w:t xml:space="preserve">852192. </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shd w:val="clear" w:color="auto" w:fill="FFFFFF"/>
          <w:lang w:val="en-US"/>
        </w:rPr>
        <w:t>Van Der Straeten, D., Bhullar, N. K., De Steur, H., Gruissem, W., MacKenzie, D., Pfeiffer, W. and Bouis, H. 2020</w:t>
      </w:r>
      <w:r w:rsidRPr="00452776">
        <w:rPr>
          <w:rFonts w:ascii="Arial" w:eastAsia="Times New Roman" w:hAnsi="Arial" w:cs="Arial"/>
          <w:kern w:val="0"/>
          <w:sz w:val="20"/>
          <w:szCs w:val="20"/>
          <w:shd w:val="clear" w:color="auto" w:fill="FFFFFF"/>
          <w:lang w:val="en-US"/>
        </w:rPr>
        <w:t>. Multiplying the efficiency and impact of biofortification through metabolic engineering. </w:t>
      </w:r>
      <w:r w:rsidRPr="00452776">
        <w:rPr>
          <w:rFonts w:ascii="Arial" w:eastAsia="Times New Roman" w:hAnsi="Arial" w:cs="Arial"/>
          <w:i/>
          <w:iCs/>
          <w:kern w:val="0"/>
          <w:sz w:val="20"/>
          <w:szCs w:val="20"/>
          <w:shd w:val="clear" w:color="auto" w:fill="FFFFFF"/>
          <w:lang w:val="en-US"/>
        </w:rPr>
        <w:t>Nat. Commun.</w:t>
      </w:r>
      <w:r w:rsidRPr="00452776">
        <w:rPr>
          <w:rFonts w:ascii="Arial" w:eastAsia="Times New Roman" w:hAnsi="Arial" w:cs="Arial"/>
          <w:kern w:val="0"/>
          <w:sz w:val="20"/>
          <w:szCs w:val="20"/>
          <w:shd w:val="clear" w:color="auto" w:fill="FFFFFF"/>
          <w:lang w:val="en-US"/>
        </w:rPr>
        <w:t>, </w:t>
      </w:r>
      <w:r w:rsidRPr="00452776">
        <w:rPr>
          <w:rFonts w:ascii="Arial" w:eastAsia="Times New Roman" w:hAnsi="Arial" w:cs="Arial"/>
          <w:bCs/>
          <w:iCs/>
          <w:kern w:val="0"/>
          <w:sz w:val="20"/>
          <w:szCs w:val="20"/>
          <w:shd w:val="clear" w:color="auto" w:fill="FFFFFF"/>
          <w:lang w:val="en-US"/>
        </w:rPr>
        <w:t>11</w:t>
      </w:r>
      <w:r w:rsidRPr="00452776">
        <w:rPr>
          <w:rFonts w:ascii="Arial" w:eastAsia="Times New Roman" w:hAnsi="Arial" w:cs="Arial"/>
          <w:kern w:val="0"/>
          <w:sz w:val="20"/>
          <w:szCs w:val="20"/>
          <w:shd w:val="clear" w:color="auto" w:fill="FFFFFF"/>
          <w:lang w:val="en-US"/>
        </w:rPr>
        <w:t>(1): 1-10.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Varga, T., Hixson, K. K., Ahkami, A. H., Sher, A. W., Barnes, M. E., Chu, R. K., Battu, A. K., Nicora, C. D., Winkler, T. E., Reno, L. R., Fakra, S. C., Antipova, O., Parkinson, D. Y., Hall, J. R. and Doty, S. L. 2020.</w:t>
      </w:r>
      <w:r w:rsidRPr="00452776">
        <w:rPr>
          <w:rFonts w:ascii="Arial" w:eastAsia="Times New Roman" w:hAnsi="Arial" w:cs="Arial"/>
          <w:kern w:val="0"/>
          <w:sz w:val="20"/>
          <w:szCs w:val="20"/>
          <w:lang w:eastAsia="en-IN"/>
        </w:rPr>
        <w:t xml:space="preserve"> Endophyte-promoted phosphorus solubilization in Populus. </w:t>
      </w:r>
      <w:r w:rsidRPr="00452776">
        <w:rPr>
          <w:rFonts w:ascii="Arial" w:eastAsia="Times New Roman" w:hAnsi="Arial" w:cs="Arial"/>
          <w:i/>
          <w:kern w:val="0"/>
          <w:sz w:val="20"/>
          <w:szCs w:val="20"/>
          <w:lang w:eastAsia="en-IN"/>
        </w:rPr>
        <w:t>Front. Plant Sci.</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11:</w:t>
      </w:r>
      <w:r w:rsidRPr="00452776">
        <w:rPr>
          <w:rFonts w:ascii="Arial" w:eastAsia="Times New Roman" w:hAnsi="Arial" w:cs="Arial"/>
          <w:kern w:val="0"/>
          <w:sz w:val="20"/>
          <w:szCs w:val="20"/>
          <w:lang w:eastAsia="en-IN"/>
        </w:rPr>
        <w:t>567918. https://doi.org/10.3389/fpls.2020.567918</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Vidyashree, D. N., Muthuraju, R., Panneerselvam, P. and Mitra, D. 2018.</w:t>
      </w:r>
      <w:r w:rsidRPr="00452776">
        <w:rPr>
          <w:rFonts w:ascii="Arial" w:eastAsia="Times New Roman" w:hAnsi="Arial" w:cs="Arial"/>
          <w:kern w:val="0"/>
          <w:sz w:val="20"/>
          <w:szCs w:val="20"/>
          <w:lang w:eastAsia="en-IN"/>
        </w:rPr>
        <w:t xml:space="preserve"> Organic acids production by zinc solubilizing bacterial isolates. </w:t>
      </w:r>
      <w:r w:rsidRPr="00452776">
        <w:rPr>
          <w:rFonts w:ascii="Arial" w:eastAsia="Times New Roman" w:hAnsi="Arial" w:cs="Arial"/>
          <w:i/>
          <w:kern w:val="0"/>
          <w:sz w:val="20"/>
          <w:szCs w:val="20"/>
          <w:lang w:eastAsia="en-IN"/>
        </w:rPr>
        <w:t>Int. J. Curr. Microbiol. Appl. Sci.</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7</w:t>
      </w:r>
      <w:r w:rsidRPr="00452776">
        <w:rPr>
          <w:rFonts w:ascii="Arial" w:eastAsia="Times New Roman" w:hAnsi="Arial" w:cs="Arial"/>
          <w:kern w:val="0"/>
          <w:sz w:val="20"/>
          <w:szCs w:val="20"/>
          <w:lang w:eastAsia="en-IN"/>
        </w:rPr>
        <w:t>(10): 626–633. https://doi.org/10.20546/ijcmas.2018.710.070</w:t>
      </w:r>
    </w:p>
    <w:p w:rsidR="00452776" w:rsidRPr="00452776" w:rsidRDefault="00452776" w:rsidP="00452776">
      <w:pPr>
        <w:widowControl w:val="0"/>
        <w:spacing w:before="280" w:after="120" w:line="312"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lastRenderedPageBreak/>
        <w:t>Wakeel, A., Farooq, M., Bashir, K. and Ozturk, L. 2018.</w:t>
      </w:r>
      <w:r w:rsidRPr="00452776">
        <w:rPr>
          <w:rFonts w:ascii="Arial" w:eastAsia="Times New Roman" w:hAnsi="Arial" w:cs="Arial"/>
          <w:kern w:val="0"/>
          <w:sz w:val="20"/>
          <w:szCs w:val="20"/>
          <w:lang w:eastAsia="en-IN"/>
        </w:rPr>
        <w:t xml:space="preserve"> Plant micronutrient use efficiency. In M. A.Houssain, T. Kamiya, </w:t>
      </w:r>
      <w:r w:rsidRPr="00452776">
        <w:rPr>
          <w:rFonts w:ascii="Arial" w:eastAsia="Calibri" w:hAnsi="Arial" w:cs="Arial"/>
          <w:kern w:val="0"/>
          <w:sz w:val="20"/>
          <w:szCs w:val="20"/>
          <w:lang w:eastAsia="en-IN"/>
        </w:rPr>
        <w:t xml:space="preserve">L. S. Phan </w:t>
      </w:r>
      <w:r w:rsidRPr="00452776">
        <w:rPr>
          <w:rFonts w:ascii="Arial" w:eastAsia="Times New Roman" w:hAnsi="Arial" w:cs="Arial"/>
          <w:kern w:val="0"/>
          <w:sz w:val="20"/>
          <w:szCs w:val="20"/>
          <w:lang w:eastAsia="en-IN"/>
        </w:rPr>
        <w:t xml:space="preserve">Tran and T. Fujiwara (Eds.), </w:t>
      </w:r>
      <w:r w:rsidRPr="00452776">
        <w:rPr>
          <w:rFonts w:ascii="Arial" w:eastAsia="Times New Roman" w:hAnsi="Arial" w:cs="Arial"/>
          <w:i/>
          <w:kern w:val="0"/>
          <w:sz w:val="20"/>
          <w:szCs w:val="20"/>
          <w:lang w:eastAsia="en-IN"/>
        </w:rPr>
        <w:t>Micronutrient malnutrition and biofortification: Recent advances and future perspectives</w:t>
      </w:r>
      <w:r w:rsidRPr="00452776">
        <w:rPr>
          <w:rFonts w:ascii="Arial" w:eastAsia="Times New Roman" w:hAnsi="Arial" w:cs="Arial"/>
          <w:kern w:val="0"/>
          <w:sz w:val="20"/>
          <w:szCs w:val="20"/>
          <w:lang w:eastAsia="en-IN"/>
        </w:rPr>
        <w:t xml:space="preserve"> Academic Press. 225–243.</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Wang, Y., Yang, X., Zhang, X., Dong, L., Zhang, J., Wei, Y., Feng, Y. and Lu, L. 2014. </w:t>
      </w:r>
      <w:r w:rsidRPr="00452776">
        <w:rPr>
          <w:rFonts w:ascii="Arial" w:eastAsia="Times New Roman" w:hAnsi="Arial" w:cs="Arial"/>
          <w:kern w:val="0"/>
          <w:sz w:val="20"/>
          <w:szCs w:val="20"/>
          <w:lang w:val="en-US"/>
        </w:rPr>
        <w:t>Improved plant growth and Zn accumulation in grains of rice (</w:t>
      </w:r>
      <w:r w:rsidRPr="00452776">
        <w:rPr>
          <w:rFonts w:ascii="Arial" w:eastAsia="Times New Roman" w:hAnsi="Arial" w:cs="Arial"/>
          <w:i/>
          <w:kern w:val="0"/>
          <w:sz w:val="20"/>
          <w:szCs w:val="20"/>
          <w:lang w:val="en-US"/>
        </w:rPr>
        <w:t xml:space="preserve">Oryza sativa </w:t>
      </w:r>
      <w:r w:rsidRPr="00452776">
        <w:rPr>
          <w:rFonts w:ascii="Arial" w:eastAsia="Times New Roman" w:hAnsi="Arial" w:cs="Arial"/>
          <w:kern w:val="0"/>
          <w:sz w:val="20"/>
          <w:szCs w:val="20"/>
          <w:lang w:val="en-US"/>
        </w:rPr>
        <w:t xml:space="preserve">L.) by inoculation of endophytic microbes isolated from a Zn hyperaccumulator, </w:t>
      </w:r>
      <w:r w:rsidRPr="00452776">
        <w:rPr>
          <w:rFonts w:ascii="Arial" w:eastAsia="Times New Roman" w:hAnsi="Arial" w:cs="Arial"/>
          <w:i/>
          <w:kern w:val="0"/>
          <w:sz w:val="20"/>
          <w:szCs w:val="20"/>
          <w:lang w:val="en-US"/>
        </w:rPr>
        <w:t xml:space="preserve">Sedum alfredii </w:t>
      </w:r>
      <w:r w:rsidRPr="00452776">
        <w:rPr>
          <w:rFonts w:ascii="Arial" w:eastAsia="Times New Roman" w:hAnsi="Arial" w:cs="Arial"/>
          <w:kern w:val="0"/>
          <w:sz w:val="20"/>
          <w:szCs w:val="20"/>
          <w:lang w:val="en-US"/>
        </w:rPr>
        <w:t xml:space="preserve">H. </w:t>
      </w:r>
      <w:r w:rsidRPr="00452776">
        <w:rPr>
          <w:rFonts w:ascii="Arial" w:eastAsia="Times New Roman" w:hAnsi="Arial" w:cs="Arial"/>
          <w:i/>
          <w:kern w:val="0"/>
          <w:sz w:val="20"/>
          <w:szCs w:val="20"/>
          <w:lang w:val="en-US"/>
        </w:rPr>
        <w:t xml:space="preserve">J. Agric. Food Chem., </w:t>
      </w:r>
      <w:r w:rsidRPr="00452776">
        <w:rPr>
          <w:rFonts w:ascii="Arial" w:eastAsia="Times New Roman" w:hAnsi="Arial" w:cs="Arial"/>
          <w:kern w:val="0"/>
          <w:sz w:val="20"/>
          <w:szCs w:val="20"/>
          <w:lang w:val="en-US"/>
        </w:rPr>
        <w:t>62:1783– 1791.</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bCs/>
          <w:kern w:val="0"/>
          <w:sz w:val="20"/>
          <w:szCs w:val="20"/>
          <w:lang w:eastAsia="en-IN"/>
        </w:rPr>
        <w:t>Wani, A. L., Parveen, N., Ansari, M. O., Ahmad, M. F., Jameel, S. and Shadab, G. G. H. A. 2017.</w:t>
      </w:r>
      <w:r w:rsidRPr="00452776">
        <w:rPr>
          <w:rFonts w:ascii="Arial" w:eastAsia="Times New Roman" w:hAnsi="Arial" w:cs="Arial"/>
          <w:kern w:val="0"/>
          <w:sz w:val="20"/>
          <w:szCs w:val="20"/>
          <w:lang w:eastAsia="en-IN"/>
        </w:rPr>
        <w:t xml:space="preserve"> Zinc: An element of extensive medical importance. </w:t>
      </w:r>
      <w:r w:rsidRPr="00452776">
        <w:rPr>
          <w:rFonts w:ascii="Arial" w:eastAsia="Times New Roman" w:hAnsi="Arial" w:cs="Arial"/>
          <w:i/>
          <w:kern w:val="0"/>
          <w:sz w:val="20"/>
          <w:szCs w:val="20"/>
          <w:lang w:eastAsia="en-IN"/>
        </w:rPr>
        <w:t>Curr. Med. Res. Pract.</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7</w:t>
      </w:r>
      <w:r w:rsidRPr="00452776">
        <w:rPr>
          <w:rFonts w:ascii="Arial" w:eastAsia="Times New Roman" w:hAnsi="Arial" w:cs="Arial"/>
          <w:kern w:val="0"/>
          <w:sz w:val="20"/>
          <w:szCs w:val="20"/>
          <w:lang w:eastAsia="en-IN"/>
        </w:rPr>
        <w:t>(3): 90–98. https://doi.org/10.1016/j.cmrp.2017.02.006</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Watts-Williams, S. J. and Cavagnaro, T. R. 2018. </w:t>
      </w:r>
      <w:r w:rsidRPr="00452776">
        <w:rPr>
          <w:rFonts w:ascii="Arial" w:eastAsia="Times New Roman" w:hAnsi="Arial" w:cs="Arial"/>
          <w:kern w:val="0"/>
          <w:sz w:val="20"/>
          <w:szCs w:val="20"/>
          <w:lang w:val="en-US"/>
        </w:rPr>
        <w:t>Arbuscular mycorrhizal fungi increase grain zinc concentration and modify the expression of root ZIP transporter genes in a modern barley (</w:t>
      </w:r>
      <w:r w:rsidRPr="00452776">
        <w:rPr>
          <w:rFonts w:ascii="Arial" w:eastAsia="Times New Roman" w:hAnsi="Arial" w:cs="Arial"/>
          <w:i/>
          <w:kern w:val="0"/>
          <w:sz w:val="20"/>
          <w:szCs w:val="20"/>
          <w:lang w:val="en-US"/>
        </w:rPr>
        <w:t>Hordeum vulgare</w:t>
      </w:r>
      <w:r w:rsidRPr="00452776">
        <w:rPr>
          <w:rFonts w:ascii="Arial" w:eastAsia="Times New Roman" w:hAnsi="Arial" w:cs="Arial"/>
          <w:kern w:val="0"/>
          <w:sz w:val="20"/>
          <w:szCs w:val="20"/>
          <w:lang w:val="en-US"/>
        </w:rPr>
        <w:t xml:space="preserve">) cultivar. </w:t>
      </w:r>
      <w:r w:rsidRPr="00452776">
        <w:rPr>
          <w:rFonts w:ascii="Arial" w:eastAsia="Times New Roman" w:hAnsi="Arial" w:cs="Arial"/>
          <w:i/>
          <w:kern w:val="0"/>
          <w:sz w:val="20"/>
          <w:szCs w:val="20"/>
          <w:lang w:val="en-US"/>
        </w:rPr>
        <w:t xml:space="preserve">Plant Sci., </w:t>
      </w:r>
      <w:r w:rsidRPr="00452776">
        <w:rPr>
          <w:rFonts w:ascii="Arial" w:eastAsia="Times New Roman" w:hAnsi="Arial" w:cs="Arial"/>
          <w:kern w:val="0"/>
          <w:sz w:val="20"/>
          <w:szCs w:val="20"/>
          <w:lang w:val="en-US"/>
        </w:rPr>
        <w:t>274:163–170.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Weyens, N., Beckers, B., Schellingen, K., Ceulemans, R., Croes, S., Janssen, J., Haenen, S., Witters, N. and Vangronsveld, J. 2013.</w:t>
      </w:r>
      <w:r w:rsidRPr="00452776">
        <w:rPr>
          <w:rFonts w:ascii="Arial" w:eastAsia="Calibri" w:hAnsi="Arial" w:cs="Arial"/>
          <w:kern w:val="0"/>
          <w:sz w:val="20"/>
          <w:szCs w:val="20"/>
          <w:lang w:eastAsia="en-IN"/>
        </w:rPr>
        <w:t>Plant associated bacteria and their role in the success or failure of metal phytoextraction projects: First observations of a field related experiment</w:t>
      </w:r>
      <w:r w:rsidRPr="00452776">
        <w:rPr>
          <w:rFonts w:ascii="Arial" w:eastAsia="Times New Roman" w:hAnsi="Arial" w:cs="Arial"/>
          <w:kern w:val="0"/>
          <w:sz w:val="20"/>
          <w:szCs w:val="20"/>
          <w:lang w:eastAsia="en-IN"/>
        </w:rPr>
        <w:t xml:space="preserve">. </w:t>
      </w:r>
      <w:r w:rsidRPr="00452776">
        <w:rPr>
          <w:rFonts w:ascii="Arial" w:eastAsia="Times New Roman" w:hAnsi="Arial" w:cs="Arial"/>
          <w:i/>
          <w:kern w:val="0"/>
          <w:sz w:val="20"/>
          <w:szCs w:val="20"/>
          <w:lang w:eastAsia="en-IN"/>
        </w:rPr>
        <w:t>Microb. Biotechnol</w:t>
      </w:r>
      <w:r w:rsidRPr="00452776">
        <w:rPr>
          <w:rFonts w:ascii="Arial" w:eastAsia="Times New Roman" w:hAnsi="Arial" w:cs="Arial"/>
          <w:kern w:val="0"/>
          <w:sz w:val="20"/>
          <w:szCs w:val="20"/>
          <w:lang w:eastAsia="en-IN"/>
        </w:rPr>
        <w:t xml:space="preserve">. Biotech Publishing, </w:t>
      </w:r>
      <w:r w:rsidRPr="00452776">
        <w:rPr>
          <w:rFonts w:ascii="Arial" w:eastAsia="Times New Roman" w:hAnsi="Arial" w:cs="Arial"/>
          <w:iCs/>
          <w:kern w:val="0"/>
          <w:sz w:val="20"/>
          <w:szCs w:val="20"/>
          <w:lang w:eastAsia="en-IN"/>
        </w:rPr>
        <w:t>6</w:t>
      </w:r>
      <w:r w:rsidRPr="00452776">
        <w:rPr>
          <w:rFonts w:ascii="Arial" w:eastAsia="Times New Roman" w:hAnsi="Arial" w:cs="Arial"/>
          <w:kern w:val="0"/>
          <w:sz w:val="20"/>
          <w:szCs w:val="20"/>
          <w:lang w:eastAsia="en-IN"/>
        </w:rPr>
        <w:t>(3): 288–299. https://doi.org/10.1111/1751-7915.12038</w:t>
      </w:r>
    </w:p>
    <w:p w:rsidR="00452776" w:rsidRPr="00452776" w:rsidRDefault="00452776" w:rsidP="00452776">
      <w:pPr>
        <w:widowControl w:val="0"/>
        <w:spacing w:before="280" w:after="120" w:line="324" w:lineRule="auto"/>
        <w:ind w:left="720" w:hanging="720"/>
        <w:jc w:val="both"/>
        <w:rPr>
          <w:rFonts w:ascii="Arial" w:hAnsi="Arial" w:cs="Arial"/>
          <w:sz w:val="20"/>
          <w:szCs w:val="20"/>
          <w:lang w:val="en-US"/>
        </w:rPr>
      </w:pPr>
      <w:r w:rsidRPr="00452776">
        <w:rPr>
          <w:rFonts w:ascii="Arial" w:hAnsi="Arial" w:cs="Arial"/>
          <w:b/>
          <w:bCs/>
          <w:sz w:val="20"/>
          <w:szCs w:val="20"/>
          <w:lang w:val="en-US"/>
        </w:rPr>
        <w:t xml:space="preserve">Win, K. T., Kobayashi, M., Tanaka, F., Takeuchi, K., Oo, A. Z. and Jiang, </w:t>
      </w:r>
      <w:r w:rsidRPr="00452776">
        <w:rPr>
          <w:rFonts w:ascii="Arial" w:hAnsi="Arial" w:cs="Arial"/>
          <w:b/>
          <w:sz w:val="20"/>
          <w:szCs w:val="20"/>
          <w:lang w:val="en-US"/>
        </w:rPr>
        <w:t xml:space="preserve">C. J. 2022. </w:t>
      </w:r>
      <w:r w:rsidRPr="00452776">
        <w:rPr>
          <w:rFonts w:ascii="Arial" w:hAnsi="Arial" w:cs="Arial"/>
          <w:sz w:val="20"/>
          <w:szCs w:val="20"/>
          <w:lang w:val="en-US"/>
        </w:rPr>
        <w:t xml:space="preserve">Identification of Pseudomonas strains for the biological control of soybean red crown root rot. </w:t>
      </w:r>
      <w:r w:rsidRPr="00452776">
        <w:rPr>
          <w:rFonts w:ascii="Arial" w:hAnsi="Arial" w:cs="Arial"/>
          <w:i/>
          <w:sz w:val="20"/>
          <w:szCs w:val="20"/>
          <w:lang w:val="en-US"/>
        </w:rPr>
        <w:t>Sci. Rep.</w:t>
      </w:r>
      <w:r w:rsidRPr="00452776">
        <w:rPr>
          <w:rFonts w:ascii="Arial" w:hAnsi="Arial" w:cs="Arial"/>
          <w:sz w:val="20"/>
          <w:szCs w:val="20"/>
          <w:lang w:val="en-US"/>
        </w:rPr>
        <w:t xml:space="preserve">, </w:t>
      </w:r>
      <w:r w:rsidRPr="00452776">
        <w:rPr>
          <w:rFonts w:ascii="Arial" w:hAnsi="Arial" w:cs="Arial"/>
          <w:iCs/>
          <w:sz w:val="20"/>
          <w:szCs w:val="20"/>
          <w:lang w:val="en-US"/>
        </w:rPr>
        <w:t>12(</w:t>
      </w:r>
      <w:r w:rsidRPr="00452776">
        <w:rPr>
          <w:rFonts w:ascii="Arial" w:hAnsi="Arial" w:cs="Arial"/>
          <w:sz w:val="20"/>
          <w:szCs w:val="20"/>
          <w:lang w:val="en-US"/>
        </w:rPr>
        <w:t>1):14510.</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World Health Organization. 2008. </w:t>
      </w:r>
      <w:r w:rsidRPr="00452776">
        <w:rPr>
          <w:rFonts w:ascii="Arial" w:eastAsia="Times New Roman" w:hAnsi="Arial" w:cs="Arial"/>
          <w:i/>
          <w:kern w:val="0"/>
          <w:sz w:val="20"/>
          <w:szCs w:val="20"/>
          <w:lang w:eastAsia="en-IN"/>
        </w:rPr>
        <w:t>Worldwide prevalence of anaemia 1993–2005: WHO global database on anaemia</w:t>
      </w:r>
      <w:r w:rsidRPr="00452776">
        <w:rPr>
          <w:rFonts w:ascii="Arial" w:eastAsia="Times New Roman" w:hAnsi="Arial" w:cs="Arial"/>
          <w:kern w:val="0"/>
          <w:sz w:val="20"/>
          <w:szCs w:val="20"/>
          <w:lang w:eastAsia="en-IN"/>
        </w:rPr>
        <w:t>. WHO Press.</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Xin, G., Zhang, G., Kang, J. W., Staley, J. T. and Doty, S. L. 2009.</w:t>
      </w:r>
      <w:r w:rsidRPr="00452776">
        <w:rPr>
          <w:rFonts w:ascii="Arial" w:eastAsia="Times New Roman" w:hAnsi="Arial" w:cs="Arial"/>
          <w:kern w:val="0"/>
          <w:sz w:val="20"/>
          <w:szCs w:val="20"/>
          <w:lang w:eastAsia="en-IN"/>
        </w:rPr>
        <w:t xml:space="preserve"> A diazotrophic, indole-3-acetic acid-producing endophyte from wild cottonwood. </w:t>
      </w:r>
      <w:r w:rsidRPr="00452776">
        <w:rPr>
          <w:rFonts w:ascii="Arial" w:eastAsia="Times New Roman" w:hAnsi="Arial" w:cs="Arial"/>
          <w:i/>
          <w:kern w:val="0"/>
          <w:sz w:val="20"/>
          <w:szCs w:val="20"/>
          <w:lang w:eastAsia="en-IN"/>
        </w:rPr>
        <w:t>Biol. Fertil. Soils.</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45</w:t>
      </w:r>
      <w:r w:rsidRPr="00452776">
        <w:rPr>
          <w:rFonts w:ascii="Arial" w:eastAsia="Times New Roman" w:hAnsi="Arial" w:cs="Arial"/>
          <w:kern w:val="0"/>
          <w:sz w:val="20"/>
          <w:szCs w:val="20"/>
          <w:lang w:eastAsia="en-IN"/>
        </w:rPr>
        <w:t xml:space="preserve">(6): 669–674. </w:t>
      </w:r>
      <w:hyperlink r:id="rId60" w:history="1">
        <w:r w:rsidRPr="00452776">
          <w:rPr>
            <w:rFonts w:ascii="Arial" w:eastAsia="Times New Roman" w:hAnsi="Arial" w:cs="Arial"/>
            <w:kern w:val="0"/>
            <w:sz w:val="20"/>
            <w:szCs w:val="20"/>
            <w:lang w:eastAsia="en-IN"/>
          </w:rPr>
          <w:t>https://doi.org/10.1007/s00374-009-0377-8</w:t>
        </w:r>
      </w:hyperlink>
    </w:p>
    <w:p w:rsidR="00452776" w:rsidRPr="00452776" w:rsidRDefault="00452776" w:rsidP="00452776">
      <w:pPr>
        <w:widowControl w:val="0"/>
        <w:spacing w:before="280" w:after="120" w:line="336"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Yadav, H., Malik, K., Kumar, S. and Jaiwal, P. K. 2020. </w:t>
      </w:r>
      <w:r w:rsidRPr="00452776">
        <w:rPr>
          <w:rFonts w:ascii="Arial" w:eastAsia="Times New Roman" w:hAnsi="Arial" w:cs="Arial"/>
          <w:kern w:val="0"/>
          <w:sz w:val="20"/>
          <w:szCs w:val="20"/>
          <w:lang w:eastAsia="en-IN"/>
        </w:rPr>
        <w:t>Comparative regeneration in six bread wheat (</w:t>
      </w:r>
      <w:r w:rsidRPr="00452776">
        <w:rPr>
          <w:rFonts w:ascii="Arial" w:eastAsia="Times New Roman" w:hAnsi="Arial" w:cs="Arial"/>
          <w:i/>
          <w:iCs/>
          <w:kern w:val="0"/>
          <w:sz w:val="20"/>
          <w:szCs w:val="20"/>
          <w:lang w:eastAsia="en-IN"/>
        </w:rPr>
        <w:t>Triticum aestivum</w:t>
      </w:r>
      <w:r w:rsidRPr="00452776">
        <w:rPr>
          <w:rFonts w:ascii="Arial" w:eastAsia="Times New Roman" w:hAnsi="Arial" w:cs="Arial"/>
          <w:kern w:val="0"/>
          <w:sz w:val="20"/>
          <w:szCs w:val="20"/>
          <w:lang w:eastAsia="en-IN"/>
        </w:rPr>
        <w:t xml:space="preserve"> L.) varieties from immature and mature scutella for developing efficient and genotype-independent protocol prerequisite for genetic improvement of wheat. </w:t>
      </w:r>
      <w:r w:rsidRPr="00452776">
        <w:rPr>
          <w:rFonts w:ascii="Arial" w:eastAsia="Times New Roman" w:hAnsi="Arial" w:cs="Arial"/>
          <w:i/>
          <w:kern w:val="0"/>
          <w:sz w:val="20"/>
          <w:szCs w:val="20"/>
          <w:lang w:eastAsia="en-IN"/>
        </w:rPr>
        <w:t>In Vitro Cell. Dev. Biol. Plant.</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56</w:t>
      </w:r>
      <w:r w:rsidRPr="00452776">
        <w:rPr>
          <w:rFonts w:ascii="Arial" w:eastAsia="Times New Roman" w:hAnsi="Arial" w:cs="Arial"/>
          <w:kern w:val="0"/>
          <w:sz w:val="20"/>
          <w:szCs w:val="20"/>
          <w:lang w:eastAsia="en-IN"/>
        </w:rPr>
        <w:t>(5): 610–617. https://doi.org/10.1007/s11627-020-10070-3</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hAnsi="Arial" w:cs="Arial"/>
          <w:b/>
          <w:sz w:val="20"/>
          <w:szCs w:val="20"/>
          <w:shd w:val="clear" w:color="auto" w:fill="FFFFFF"/>
        </w:rPr>
        <w:t>Yadav, R. C., Sharma, S. K., Varma, A., Rajawat, M. V. S., Khan, M. S., Sharma, P. K. and Saxena, A. K. (2022).</w:t>
      </w:r>
      <w:r w:rsidRPr="00452776">
        <w:rPr>
          <w:rFonts w:ascii="Arial" w:hAnsi="Arial" w:cs="Arial"/>
          <w:sz w:val="20"/>
          <w:szCs w:val="20"/>
          <w:shd w:val="clear" w:color="auto" w:fill="FFFFFF"/>
        </w:rPr>
        <w:t xml:space="preserve"> Modulation in biofertilization and biofortification of wheat crop by inoculation of zinc-solubilizing rhizobacteria. </w:t>
      </w:r>
      <w:r w:rsidRPr="00452776">
        <w:rPr>
          <w:rFonts w:ascii="Arial" w:hAnsi="Arial" w:cs="Arial"/>
          <w:i/>
          <w:iCs/>
          <w:sz w:val="20"/>
          <w:szCs w:val="20"/>
          <w:shd w:val="clear" w:color="auto" w:fill="FFFFFF"/>
        </w:rPr>
        <w:t>Frontiers in Plant Science</w:t>
      </w:r>
      <w:r w:rsidRPr="00452776">
        <w:rPr>
          <w:rFonts w:ascii="Arial" w:hAnsi="Arial" w:cs="Arial"/>
          <w:sz w:val="20"/>
          <w:szCs w:val="20"/>
          <w:shd w:val="clear" w:color="auto" w:fill="FFFFFF"/>
        </w:rPr>
        <w:t>, </w:t>
      </w:r>
      <w:r w:rsidRPr="00452776">
        <w:rPr>
          <w:rFonts w:ascii="Arial" w:hAnsi="Arial" w:cs="Arial"/>
          <w:i/>
          <w:iCs/>
          <w:sz w:val="20"/>
          <w:szCs w:val="20"/>
          <w:shd w:val="clear" w:color="auto" w:fill="FFFFFF"/>
        </w:rPr>
        <w:t>13</w:t>
      </w:r>
      <w:r w:rsidRPr="00452776">
        <w:rPr>
          <w:rFonts w:ascii="Arial" w:hAnsi="Arial" w:cs="Arial"/>
          <w:sz w:val="20"/>
          <w:szCs w:val="20"/>
          <w:shd w:val="clear" w:color="auto" w:fill="FFFFFF"/>
        </w:rPr>
        <w:t>, 777771.</w:t>
      </w:r>
    </w:p>
    <w:p w:rsidR="00452776" w:rsidRPr="00452776" w:rsidRDefault="00452776" w:rsidP="00452776">
      <w:pPr>
        <w:widowControl w:val="0"/>
        <w:autoSpaceDE w:val="0"/>
        <w:autoSpaceDN w:val="0"/>
        <w:spacing w:before="280" w:after="120" w:line="336"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Yasmin, R., Hussain, S., Rasool, M.H., Siddique, M.H. and Muzammil, S. 2021. </w:t>
      </w:r>
      <w:r w:rsidRPr="00452776">
        <w:rPr>
          <w:rFonts w:ascii="Arial" w:eastAsia="Times New Roman" w:hAnsi="Arial" w:cs="Arial"/>
          <w:kern w:val="0"/>
          <w:sz w:val="20"/>
          <w:szCs w:val="20"/>
          <w:lang w:val="en-US"/>
        </w:rPr>
        <w:t>Isolation, characterization of Zn solubilizing bacterium (</w:t>
      </w:r>
      <w:r w:rsidRPr="00452776">
        <w:rPr>
          <w:rFonts w:ascii="Arial" w:eastAsia="Times New Roman" w:hAnsi="Arial" w:cs="Arial"/>
          <w:i/>
          <w:kern w:val="0"/>
          <w:sz w:val="20"/>
          <w:szCs w:val="20"/>
          <w:lang w:val="en-US"/>
        </w:rPr>
        <w:t xml:space="preserve">Pseudomonas protegens RY2) </w:t>
      </w:r>
      <w:r w:rsidRPr="00452776">
        <w:rPr>
          <w:rFonts w:ascii="Arial" w:eastAsia="Times New Roman" w:hAnsi="Arial" w:cs="Arial"/>
          <w:kern w:val="0"/>
          <w:sz w:val="20"/>
          <w:szCs w:val="20"/>
          <w:lang w:val="en-US"/>
        </w:rPr>
        <w:t>and its contribution in growth of chickpea (</w:t>
      </w:r>
      <w:r w:rsidRPr="00452776">
        <w:rPr>
          <w:rFonts w:ascii="Arial" w:eastAsia="Times New Roman" w:hAnsi="Arial" w:cs="Arial"/>
          <w:i/>
          <w:kern w:val="0"/>
          <w:sz w:val="20"/>
          <w:szCs w:val="20"/>
          <w:lang w:val="en-US"/>
        </w:rPr>
        <w:t xml:space="preserve">Cicer arietinum </w:t>
      </w:r>
      <w:r w:rsidRPr="00452776">
        <w:rPr>
          <w:rFonts w:ascii="Arial" w:eastAsia="Times New Roman" w:hAnsi="Arial" w:cs="Arial"/>
          <w:kern w:val="0"/>
          <w:sz w:val="20"/>
          <w:szCs w:val="20"/>
          <w:lang w:val="en-US"/>
        </w:rPr>
        <w:t xml:space="preserve">L) as deciphered by improved growth </w:t>
      </w:r>
      <w:r w:rsidRPr="00452776">
        <w:rPr>
          <w:rFonts w:ascii="Arial" w:eastAsia="Times New Roman" w:hAnsi="Arial" w:cs="Arial"/>
          <w:kern w:val="0"/>
          <w:sz w:val="20"/>
          <w:szCs w:val="20"/>
          <w:lang w:val="en-US"/>
        </w:rPr>
        <w:lastRenderedPageBreak/>
        <w:t xml:space="preserve">parameters and Zn content. </w:t>
      </w:r>
      <w:r w:rsidRPr="00452776">
        <w:rPr>
          <w:rFonts w:ascii="Arial" w:eastAsia="Times New Roman" w:hAnsi="Arial" w:cs="Arial"/>
          <w:i/>
          <w:kern w:val="0"/>
          <w:sz w:val="20"/>
          <w:szCs w:val="20"/>
          <w:lang w:val="en-US"/>
        </w:rPr>
        <w:t>Dose-Response</w:t>
      </w:r>
      <w:r w:rsidRPr="00452776">
        <w:rPr>
          <w:rFonts w:ascii="Arial" w:eastAsia="Times New Roman" w:hAnsi="Arial" w:cs="Arial"/>
          <w:kern w:val="0"/>
          <w:sz w:val="20"/>
          <w:szCs w:val="20"/>
          <w:lang w:val="en-US"/>
        </w:rPr>
        <w:t>, 19(3):1- 12.</w:t>
      </w:r>
    </w:p>
    <w:p w:rsidR="00452776" w:rsidRPr="00452776" w:rsidRDefault="00452776" w:rsidP="0045277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452776">
        <w:rPr>
          <w:rFonts w:ascii="Arial" w:eastAsia="Times New Roman" w:hAnsi="Arial" w:cs="Arial"/>
          <w:b/>
          <w:kern w:val="0"/>
          <w:sz w:val="20"/>
          <w:szCs w:val="20"/>
          <w:lang w:val="en-US"/>
        </w:rPr>
        <w:t xml:space="preserve">Yazdani, M. and Bahmanyar, M. 2009. </w:t>
      </w:r>
      <w:r w:rsidRPr="00452776">
        <w:rPr>
          <w:rFonts w:ascii="Arial" w:eastAsia="Times New Roman" w:hAnsi="Arial" w:cs="Arial"/>
          <w:kern w:val="0"/>
          <w:sz w:val="20"/>
          <w:szCs w:val="20"/>
          <w:lang w:val="en-US"/>
        </w:rPr>
        <w:t>Effect of phosphate solubilisation microorganisms (PSM) and plant growth promoting rhizobacteria (PGPR) on yield and yield components of corn (</w:t>
      </w:r>
      <w:r w:rsidRPr="00452776">
        <w:rPr>
          <w:rFonts w:ascii="Arial" w:eastAsia="Times New Roman" w:hAnsi="Arial" w:cs="Arial"/>
          <w:i/>
          <w:kern w:val="0"/>
          <w:sz w:val="20"/>
          <w:szCs w:val="20"/>
          <w:lang w:val="en-US"/>
        </w:rPr>
        <w:t xml:space="preserve">Zea mays </w:t>
      </w:r>
      <w:r w:rsidRPr="00452776">
        <w:rPr>
          <w:rFonts w:ascii="Arial" w:eastAsia="Times New Roman" w:hAnsi="Arial" w:cs="Arial"/>
          <w:kern w:val="0"/>
          <w:sz w:val="20"/>
          <w:szCs w:val="20"/>
          <w:lang w:val="en-US"/>
        </w:rPr>
        <w:t xml:space="preserve">L.). </w:t>
      </w:r>
      <w:r w:rsidRPr="00452776">
        <w:rPr>
          <w:rFonts w:ascii="Arial" w:eastAsia="Times New Roman" w:hAnsi="Arial" w:cs="Arial"/>
          <w:i/>
          <w:kern w:val="0"/>
          <w:sz w:val="20"/>
          <w:szCs w:val="20"/>
          <w:lang w:val="en-US"/>
        </w:rPr>
        <w:t xml:space="preserve">World Acad. Sci. Eng. Technol., </w:t>
      </w:r>
      <w:r w:rsidRPr="00452776">
        <w:rPr>
          <w:rFonts w:ascii="Arial" w:eastAsia="Times New Roman" w:hAnsi="Arial" w:cs="Arial"/>
          <w:kern w:val="0"/>
          <w:sz w:val="20"/>
          <w:szCs w:val="20"/>
          <w:lang w:val="en-US"/>
        </w:rPr>
        <w:t>49: 90-92.</w:t>
      </w:r>
    </w:p>
    <w:p w:rsidR="00452776" w:rsidRPr="00452776" w:rsidRDefault="00452776" w:rsidP="00452776">
      <w:pPr>
        <w:widowControl w:val="0"/>
        <w:spacing w:before="280" w:after="120" w:line="324" w:lineRule="auto"/>
        <w:ind w:left="720" w:hanging="720"/>
        <w:jc w:val="both"/>
        <w:rPr>
          <w:rFonts w:ascii="Arial" w:eastAsia="Times New Roman" w:hAnsi="Arial" w:cs="Arial"/>
          <w:spacing w:val="-2"/>
          <w:kern w:val="0"/>
          <w:sz w:val="20"/>
          <w:szCs w:val="20"/>
          <w:lang w:eastAsia="en-IN"/>
        </w:rPr>
      </w:pPr>
      <w:r w:rsidRPr="00452776">
        <w:rPr>
          <w:rFonts w:ascii="Arial" w:eastAsia="Calibri" w:hAnsi="Arial" w:cs="Arial"/>
          <w:b/>
          <w:bCs/>
          <w:spacing w:val="-2"/>
          <w:kern w:val="0"/>
          <w:sz w:val="20"/>
          <w:szCs w:val="20"/>
          <w:lang w:eastAsia="en-IN"/>
        </w:rPr>
        <w:t>Zhang, F.</w:t>
      </w:r>
      <w:r w:rsidRPr="00452776">
        <w:rPr>
          <w:rFonts w:ascii="Arial" w:eastAsia="Times New Roman" w:hAnsi="Arial" w:cs="Arial"/>
          <w:b/>
          <w:bCs/>
          <w:spacing w:val="-2"/>
          <w:kern w:val="0"/>
          <w:sz w:val="20"/>
          <w:szCs w:val="20"/>
          <w:lang w:eastAsia="en-IN"/>
        </w:rPr>
        <w:t xml:space="preserve">, </w:t>
      </w:r>
      <w:r w:rsidRPr="00452776">
        <w:rPr>
          <w:rFonts w:ascii="Arial" w:eastAsia="Calibri" w:hAnsi="Arial" w:cs="Arial"/>
          <w:b/>
          <w:bCs/>
          <w:spacing w:val="-2"/>
          <w:kern w:val="0"/>
          <w:sz w:val="20"/>
          <w:szCs w:val="20"/>
          <w:lang w:eastAsia="en-IN"/>
        </w:rPr>
        <w:t>Shen, J.</w:t>
      </w:r>
      <w:r w:rsidRPr="00452776">
        <w:rPr>
          <w:rFonts w:ascii="Arial" w:eastAsia="Times New Roman" w:hAnsi="Arial" w:cs="Arial"/>
          <w:b/>
          <w:bCs/>
          <w:spacing w:val="-2"/>
          <w:kern w:val="0"/>
          <w:sz w:val="20"/>
          <w:szCs w:val="20"/>
          <w:lang w:eastAsia="en-IN"/>
        </w:rPr>
        <w:t xml:space="preserve">, </w:t>
      </w:r>
      <w:r w:rsidRPr="00452776">
        <w:rPr>
          <w:rFonts w:ascii="Arial" w:eastAsia="Calibri" w:hAnsi="Arial" w:cs="Arial"/>
          <w:b/>
          <w:bCs/>
          <w:spacing w:val="-2"/>
          <w:kern w:val="0"/>
          <w:sz w:val="20"/>
          <w:szCs w:val="20"/>
          <w:lang w:eastAsia="en-IN"/>
        </w:rPr>
        <w:t>Zhang, J.</w:t>
      </w:r>
      <w:r w:rsidRPr="00452776">
        <w:rPr>
          <w:rFonts w:ascii="Arial" w:eastAsia="Times New Roman" w:hAnsi="Arial" w:cs="Arial"/>
          <w:b/>
          <w:bCs/>
          <w:spacing w:val="-2"/>
          <w:kern w:val="0"/>
          <w:sz w:val="20"/>
          <w:szCs w:val="20"/>
          <w:lang w:eastAsia="en-IN"/>
        </w:rPr>
        <w:t xml:space="preserve">, </w:t>
      </w:r>
      <w:r w:rsidRPr="00452776">
        <w:rPr>
          <w:rFonts w:ascii="Arial" w:eastAsia="Calibri" w:hAnsi="Arial" w:cs="Arial"/>
          <w:b/>
          <w:bCs/>
          <w:spacing w:val="-2"/>
          <w:kern w:val="0"/>
          <w:sz w:val="20"/>
          <w:szCs w:val="20"/>
          <w:lang w:eastAsia="en-IN"/>
        </w:rPr>
        <w:t>Zuo, Y.</w:t>
      </w:r>
      <w:r w:rsidRPr="00452776">
        <w:rPr>
          <w:rFonts w:ascii="Arial" w:eastAsia="Times New Roman" w:hAnsi="Arial" w:cs="Arial"/>
          <w:b/>
          <w:bCs/>
          <w:spacing w:val="-2"/>
          <w:kern w:val="0"/>
          <w:sz w:val="20"/>
          <w:szCs w:val="20"/>
          <w:lang w:eastAsia="en-IN"/>
        </w:rPr>
        <w:t xml:space="preserve">, </w:t>
      </w:r>
      <w:r w:rsidRPr="00452776">
        <w:rPr>
          <w:rFonts w:ascii="Arial" w:eastAsia="Calibri" w:hAnsi="Arial" w:cs="Arial"/>
          <w:b/>
          <w:bCs/>
          <w:spacing w:val="-2"/>
          <w:kern w:val="0"/>
          <w:sz w:val="20"/>
          <w:szCs w:val="20"/>
          <w:lang w:eastAsia="en-IN"/>
        </w:rPr>
        <w:t>Li, L.</w:t>
      </w:r>
      <w:r w:rsidRPr="00452776">
        <w:rPr>
          <w:rFonts w:ascii="Arial" w:eastAsia="Times New Roman" w:hAnsi="Arial" w:cs="Arial"/>
          <w:b/>
          <w:bCs/>
          <w:spacing w:val="-2"/>
          <w:kern w:val="0"/>
          <w:sz w:val="20"/>
          <w:szCs w:val="20"/>
          <w:lang w:eastAsia="en-IN"/>
        </w:rPr>
        <w:t xml:space="preserve"> and </w:t>
      </w:r>
      <w:r w:rsidRPr="00452776">
        <w:rPr>
          <w:rFonts w:ascii="Arial" w:eastAsia="Calibri" w:hAnsi="Arial" w:cs="Arial"/>
          <w:b/>
          <w:bCs/>
          <w:spacing w:val="-2"/>
          <w:kern w:val="0"/>
          <w:sz w:val="20"/>
          <w:szCs w:val="20"/>
          <w:lang w:eastAsia="en-IN"/>
        </w:rPr>
        <w:t>Chen, X.2010</w:t>
      </w:r>
      <w:r w:rsidRPr="00452776">
        <w:rPr>
          <w:rFonts w:ascii="Arial" w:eastAsia="Times New Roman" w:hAnsi="Arial" w:cs="Arial"/>
          <w:b/>
          <w:bCs/>
          <w:spacing w:val="-2"/>
          <w:kern w:val="0"/>
          <w:sz w:val="20"/>
          <w:szCs w:val="20"/>
          <w:lang w:eastAsia="en-IN"/>
        </w:rPr>
        <w:t>.</w:t>
      </w:r>
      <w:r w:rsidRPr="00452776">
        <w:rPr>
          <w:rFonts w:ascii="Arial" w:eastAsia="Calibri" w:hAnsi="Arial" w:cs="Arial"/>
          <w:spacing w:val="-2"/>
          <w:kern w:val="0"/>
          <w:sz w:val="20"/>
          <w:szCs w:val="20"/>
          <w:lang w:eastAsia="en-IN"/>
        </w:rPr>
        <w:t>Rhizosphere Processes and Management for Improving Nutrient Use Efficiency and Crop Productivity.</w:t>
      </w:r>
      <w:r w:rsidRPr="00452776">
        <w:rPr>
          <w:rFonts w:ascii="Arial" w:eastAsia="Calibri" w:hAnsi="Arial" w:cs="Arial"/>
          <w:i/>
          <w:iCs/>
          <w:spacing w:val="-2"/>
          <w:kern w:val="0"/>
          <w:sz w:val="20"/>
          <w:szCs w:val="20"/>
          <w:lang w:eastAsia="en-IN"/>
        </w:rPr>
        <w:t>Adv. Agron.,</w:t>
      </w:r>
      <w:r w:rsidRPr="00452776">
        <w:rPr>
          <w:rFonts w:ascii="Arial" w:eastAsia="Calibri" w:hAnsi="Arial" w:cs="Arial"/>
          <w:spacing w:val="-2"/>
          <w:kern w:val="0"/>
          <w:sz w:val="20"/>
          <w:szCs w:val="20"/>
          <w:lang w:eastAsia="en-IN"/>
        </w:rPr>
        <w:t>1</w:t>
      </w:r>
      <w:r w:rsidRPr="00452776">
        <w:rPr>
          <w:rFonts w:ascii="Arial" w:eastAsia="Times New Roman" w:hAnsi="Arial" w:cs="Arial"/>
          <w:spacing w:val="-2"/>
          <w:kern w:val="0"/>
          <w:sz w:val="20"/>
          <w:szCs w:val="20"/>
          <w:lang w:eastAsia="en-IN"/>
        </w:rPr>
        <w:t>–</w:t>
      </w:r>
      <w:r w:rsidRPr="00452776">
        <w:rPr>
          <w:rFonts w:ascii="Arial" w:eastAsia="Calibri" w:hAnsi="Arial" w:cs="Arial"/>
          <w:spacing w:val="-2"/>
          <w:kern w:val="0"/>
          <w:sz w:val="20"/>
          <w:szCs w:val="20"/>
          <w:lang w:eastAsia="en-IN"/>
        </w:rPr>
        <w:t>32</w:t>
      </w:r>
      <w:r w:rsidRPr="00452776">
        <w:rPr>
          <w:rFonts w:ascii="Arial" w:eastAsia="Times New Roman" w:hAnsi="Arial" w:cs="Arial"/>
          <w:spacing w:val="-2"/>
          <w:kern w:val="0"/>
          <w:sz w:val="20"/>
          <w:szCs w:val="20"/>
          <w:lang w:eastAsia="en-IN"/>
        </w:rPr>
        <w:t>. https://doi.org/10.1016/S0065-2113(10)07001-X</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 xml:space="preserve">Zhang, X., Tong, J., Dong, M., Akhtar, K. and He, B. 2022. </w:t>
      </w:r>
      <w:r w:rsidRPr="00452776">
        <w:rPr>
          <w:rFonts w:ascii="Arial" w:eastAsia="Times New Roman" w:hAnsi="Arial" w:cs="Arial"/>
          <w:kern w:val="0"/>
          <w:sz w:val="20"/>
          <w:szCs w:val="20"/>
          <w:lang w:eastAsia="en-IN"/>
        </w:rPr>
        <w:t xml:space="preserve">Isolation, identification and characterization of nitrogen fixing endophytic bacteria and their effects on cassava production. </w:t>
      </w:r>
      <w:r w:rsidRPr="00452776">
        <w:rPr>
          <w:rFonts w:ascii="Arial" w:eastAsia="Times New Roman" w:hAnsi="Arial" w:cs="Arial"/>
          <w:i/>
          <w:kern w:val="0"/>
          <w:sz w:val="20"/>
          <w:szCs w:val="20"/>
          <w:lang w:eastAsia="en-IN"/>
        </w:rPr>
        <w:t>Peer J.</w:t>
      </w:r>
      <w:r w:rsidRPr="00452776">
        <w:rPr>
          <w:rFonts w:ascii="Arial" w:eastAsia="Times New Roman" w:hAnsi="Arial" w:cs="Arial"/>
          <w:kern w:val="0"/>
          <w:sz w:val="20"/>
          <w:szCs w:val="20"/>
          <w:lang w:eastAsia="en-IN"/>
        </w:rPr>
        <w:t xml:space="preserve">, </w:t>
      </w:r>
      <w:r w:rsidRPr="00452776">
        <w:rPr>
          <w:rFonts w:ascii="Arial" w:eastAsia="Times New Roman" w:hAnsi="Arial" w:cs="Arial"/>
          <w:iCs/>
          <w:kern w:val="0"/>
          <w:sz w:val="20"/>
          <w:szCs w:val="20"/>
          <w:lang w:eastAsia="en-IN"/>
        </w:rPr>
        <w:t>10</w:t>
      </w:r>
      <w:r w:rsidRPr="00452776">
        <w:rPr>
          <w:rFonts w:ascii="Arial" w:eastAsia="Times New Roman" w:hAnsi="Arial" w:cs="Arial"/>
          <w:kern w:val="0"/>
          <w:sz w:val="20"/>
          <w:szCs w:val="20"/>
          <w:lang w:eastAsia="en-IN"/>
        </w:rPr>
        <w:t>: e12677. https://doi.org/10.7717/peerj.12677</w:t>
      </w:r>
    </w:p>
    <w:p w:rsidR="00452776" w:rsidRPr="00452776" w:rsidRDefault="00452776" w:rsidP="00452776">
      <w:pPr>
        <w:widowControl w:val="0"/>
        <w:spacing w:before="280" w:after="120" w:line="324" w:lineRule="auto"/>
        <w:ind w:left="720" w:hanging="720"/>
        <w:jc w:val="both"/>
        <w:rPr>
          <w:rFonts w:ascii="Arial" w:eastAsia="Times New Roman" w:hAnsi="Arial" w:cs="Arial"/>
          <w:kern w:val="0"/>
          <w:sz w:val="20"/>
          <w:szCs w:val="20"/>
          <w:lang w:eastAsia="en-IN"/>
        </w:rPr>
      </w:pPr>
      <w:r w:rsidRPr="00452776">
        <w:rPr>
          <w:rFonts w:ascii="Arial" w:eastAsia="Times New Roman" w:hAnsi="Arial" w:cs="Arial"/>
          <w:b/>
          <w:bCs/>
          <w:kern w:val="0"/>
          <w:sz w:val="20"/>
          <w:szCs w:val="20"/>
          <w:lang w:eastAsia="en-IN"/>
        </w:rPr>
        <w:t>Zhang, Y. Y., Wu, W. and Liu, H. 2019.</w:t>
      </w:r>
      <w:r w:rsidRPr="00452776">
        <w:rPr>
          <w:rFonts w:ascii="Arial" w:eastAsia="Times New Roman" w:hAnsi="Arial" w:cs="Arial"/>
          <w:kern w:val="0"/>
          <w:sz w:val="20"/>
          <w:szCs w:val="20"/>
          <w:lang w:eastAsia="en-IN"/>
        </w:rPr>
        <w:t xml:space="preserve"> Factors affecting variations of soil pH in different horizons in hilly regions. </w:t>
      </w:r>
      <w:r w:rsidRPr="00452776">
        <w:rPr>
          <w:rFonts w:ascii="Arial" w:eastAsia="Times New Roman" w:hAnsi="Arial" w:cs="Arial"/>
          <w:i/>
          <w:kern w:val="0"/>
          <w:sz w:val="20"/>
          <w:szCs w:val="20"/>
          <w:lang w:eastAsia="en-IN"/>
        </w:rPr>
        <w:t>PLoS ONE</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14</w:t>
      </w:r>
      <w:r w:rsidRPr="00452776">
        <w:rPr>
          <w:rFonts w:ascii="Arial" w:eastAsia="Times New Roman" w:hAnsi="Arial" w:cs="Arial"/>
          <w:kern w:val="0"/>
          <w:sz w:val="20"/>
          <w:szCs w:val="20"/>
          <w:lang w:eastAsia="en-IN"/>
        </w:rPr>
        <w:t>(6): e0218563. https://doi.org/10.1371/journal.pone.0218563</w:t>
      </w:r>
    </w:p>
    <w:p w:rsidR="00452776" w:rsidRPr="00452776" w:rsidRDefault="00452776" w:rsidP="00452776">
      <w:pPr>
        <w:widowControl w:val="0"/>
        <w:spacing w:before="280" w:after="120" w:line="324" w:lineRule="auto"/>
        <w:ind w:left="720" w:hanging="720"/>
        <w:jc w:val="both"/>
        <w:rPr>
          <w:rFonts w:ascii="Arial" w:hAnsi="Arial" w:cs="Arial"/>
          <w:sz w:val="20"/>
          <w:szCs w:val="20"/>
        </w:rPr>
      </w:pPr>
      <w:r w:rsidRPr="00452776">
        <w:rPr>
          <w:rFonts w:ascii="Arial" w:eastAsia="Times New Roman" w:hAnsi="Arial" w:cs="Arial"/>
          <w:b/>
          <w:bCs/>
          <w:kern w:val="0"/>
          <w:sz w:val="20"/>
          <w:szCs w:val="20"/>
          <w:lang w:eastAsia="en-IN"/>
        </w:rPr>
        <w:t>Zuluaga, M. Y. A., de Oliveira, A. L. M., Valentinuzzi, F., Jayme, N. S., Monterisi, S., Fattorini, R., Cesco, S. and Pii, Y. 2023.</w:t>
      </w:r>
      <w:r w:rsidRPr="00452776">
        <w:rPr>
          <w:rFonts w:ascii="Arial" w:eastAsia="Times New Roman" w:hAnsi="Arial" w:cs="Arial"/>
          <w:kern w:val="0"/>
          <w:sz w:val="20"/>
          <w:szCs w:val="20"/>
          <w:lang w:eastAsia="en-IN"/>
        </w:rPr>
        <w:t xml:space="preserve"> An insight into the role of the organic acids produced by Enterobacter sp. strain 15S in solubilizing tricalcium phosphate: In situ study on cucumber. </w:t>
      </w:r>
      <w:r w:rsidRPr="00452776">
        <w:rPr>
          <w:rFonts w:ascii="Arial" w:eastAsia="Times New Roman" w:hAnsi="Arial" w:cs="Arial"/>
          <w:i/>
          <w:kern w:val="0"/>
          <w:sz w:val="20"/>
          <w:szCs w:val="20"/>
          <w:lang w:eastAsia="en-IN"/>
        </w:rPr>
        <w:t>BMC Microbiol.</w:t>
      </w:r>
      <w:r w:rsidRPr="00452776">
        <w:rPr>
          <w:rFonts w:ascii="Arial" w:eastAsia="Times New Roman" w:hAnsi="Arial" w:cs="Arial"/>
          <w:kern w:val="0"/>
          <w:sz w:val="20"/>
          <w:szCs w:val="20"/>
          <w:lang w:eastAsia="en-IN"/>
        </w:rPr>
        <w:t>, </w:t>
      </w:r>
      <w:r w:rsidRPr="00452776">
        <w:rPr>
          <w:rFonts w:ascii="Arial" w:eastAsia="Times New Roman" w:hAnsi="Arial" w:cs="Arial"/>
          <w:iCs/>
          <w:kern w:val="0"/>
          <w:sz w:val="20"/>
          <w:szCs w:val="20"/>
          <w:lang w:eastAsia="en-IN"/>
        </w:rPr>
        <w:t>23</w:t>
      </w:r>
      <w:r w:rsidRPr="00452776">
        <w:rPr>
          <w:rFonts w:ascii="Arial" w:eastAsia="Times New Roman" w:hAnsi="Arial" w:cs="Arial"/>
          <w:kern w:val="0"/>
          <w:sz w:val="20"/>
          <w:szCs w:val="20"/>
          <w:lang w:eastAsia="en-IN"/>
        </w:rPr>
        <w:t xml:space="preserve">(1): 184. </w:t>
      </w:r>
      <w:hyperlink r:id="rId61" w:history="1">
        <w:r w:rsidRPr="00452776">
          <w:rPr>
            <w:rFonts w:ascii="Arial" w:eastAsia="Times New Roman" w:hAnsi="Arial" w:cs="Arial"/>
            <w:kern w:val="0"/>
            <w:sz w:val="20"/>
            <w:szCs w:val="20"/>
            <w:lang w:eastAsia="en-IN"/>
          </w:rPr>
          <w:t>https://doi.org/10.1186/s12866-023-02918-6</w:t>
        </w:r>
      </w:hyperlink>
    </w:p>
    <w:p w:rsidR="00A45F53" w:rsidRPr="00452776" w:rsidRDefault="00A45F53" w:rsidP="00484C40">
      <w:pPr>
        <w:widowControl w:val="0"/>
        <w:spacing w:before="280" w:after="120" w:line="324" w:lineRule="auto"/>
        <w:ind w:left="720" w:hanging="720"/>
        <w:jc w:val="both"/>
        <w:rPr>
          <w:rFonts w:ascii="Arial" w:eastAsia="Calibri" w:hAnsi="Arial" w:cs="Arial"/>
          <w:kern w:val="0"/>
          <w:sz w:val="20"/>
          <w:szCs w:val="20"/>
          <w:lang w:eastAsia="en-IN"/>
        </w:rPr>
      </w:pPr>
    </w:p>
    <w:sectPr w:rsidR="00A45F53" w:rsidRPr="00452776" w:rsidSect="00A415DC">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BE1" w:rsidRDefault="00C52BE1" w:rsidP="00F1751F">
      <w:pPr>
        <w:spacing w:after="0" w:line="240" w:lineRule="auto"/>
      </w:pPr>
      <w:r>
        <w:separator/>
      </w:r>
    </w:p>
  </w:endnote>
  <w:endnote w:type="continuationSeparator" w:id="1">
    <w:p w:rsidR="00C52BE1" w:rsidRDefault="00C52BE1" w:rsidP="00F17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F17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F17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F17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BE1" w:rsidRDefault="00C52BE1" w:rsidP="00F1751F">
      <w:pPr>
        <w:spacing w:after="0" w:line="240" w:lineRule="auto"/>
      </w:pPr>
      <w:r>
        <w:separator/>
      </w:r>
    </w:p>
  </w:footnote>
  <w:footnote w:type="continuationSeparator" w:id="1">
    <w:p w:rsidR="00C52BE1" w:rsidRDefault="00C52BE1" w:rsidP="00F17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0F3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0F3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F" w:rsidRDefault="000F3B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185"/>
    <w:multiLevelType w:val="hybridMultilevel"/>
    <w:tmpl w:val="338ABD36"/>
    <w:lvl w:ilvl="0" w:tplc="4009000F">
      <w:start w:val="1"/>
      <w:numFmt w:val="decimal"/>
      <w:lvlText w:val="%1."/>
      <w:lvlJc w:val="lef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
    <w:nsid w:val="058439E8"/>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CE566D"/>
    <w:multiLevelType w:val="hybridMultilevel"/>
    <w:tmpl w:val="5FC0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448A"/>
    <w:multiLevelType w:val="hybridMultilevel"/>
    <w:tmpl w:val="4B0433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C00F78"/>
    <w:multiLevelType w:val="hybridMultilevel"/>
    <w:tmpl w:val="E6943BA4"/>
    <w:lvl w:ilvl="0" w:tplc="58A413CA">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2263"/>
    <w:multiLevelType w:val="hybridMultilevel"/>
    <w:tmpl w:val="9518583C"/>
    <w:lvl w:ilvl="0" w:tplc="887EE17A">
      <w:start w:val="1"/>
      <w:numFmt w:val="upperLetter"/>
      <w:lvlText w:val="%1)"/>
      <w:lvlJc w:val="left"/>
      <w:pPr>
        <w:ind w:left="720" w:hanging="360"/>
      </w:pPr>
      <w:rPr>
        <w:rFonts w:hint="default"/>
        <w:b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A45EB6"/>
    <w:multiLevelType w:val="hybridMultilevel"/>
    <w:tmpl w:val="5042826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7E44AE"/>
    <w:multiLevelType w:val="hybridMultilevel"/>
    <w:tmpl w:val="5C7EB6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8110BFB"/>
    <w:multiLevelType w:val="multilevel"/>
    <w:tmpl w:val="ACCA4C72"/>
    <w:lvl w:ilvl="0">
      <w:start w:val="2"/>
      <w:numFmt w:val="decimal"/>
      <w:lvlText w:val="%1."/>
      <w:lvlJc w:val="left"/>
      <w:pPr>
        <w:ind w:left="360" w:hanging="360"/>
      </w:pPr>
      <w:rPr>
        <w:rFonts w:hint="default"/>
        <w:b/>
        <w:color w:val="000000" w:themeColor="text1"/>
      </w:rPr>
    </w:lvl>
    <w:lvl w:ilvl="1">
      <w:start w:val="6"/>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9">
    <w:nsid w:val="1ACC295C"/>
    <w:multiLevelType w:val="hybridMultilevel"/>
    <w:tmpl w:val="BA10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6426A"/>
    <w:multiLevelType w:val="hybridMultilevel"/>
    <w:tmpl w:val="5054242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06575C"/>
    <w:multiLevelType w:val="hybridMultilevel"/>
    <w:tmpl w:val="4FBEB50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A633C0"/>
    <w:multiLevelType w:val="hybridMultilevel"/>
    <w:tmpl w:val="2362CC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AD7998"/>
    <w:multiLevelType w:val="hybridMultilevel"/>
    <w:tmpl w:val="780AA1BA"/>
    <w:lvl w:ilvl="0" w:tplc="C94E71C2">
      <w:start w:val="1"/>
      <w:numFmt w:val="lowerLetter"/>
      <w:lvlText w:val="%1)"/>
      <w:lvlJc w:val="left"/>
      <w:pPr>
        <w:ind w:left="780" w:hanging="360"/>
      </w:pPr>
      <w:rPr>
        <w:rFonts w:hint="default"/>
        <w:sz w:val="23"/>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4">
    <w:nsid w:val="2DC945E6"/>
    <w:multiLevelType w:val="hybridMultilevel"/>
    <w:tmpl w:val="782E07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CF7EFC"/>
    <w:multiLevelType w:val="hybridMultilevel"/>
    <w:tmpl w:val="D54E9044"/>
    <w:lvl w:ilvl="0" w:tplc="ED9E5E6C">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0858BB"/>
    <w:multiLevelType w:val="hybridMultilevel"/>
    <w:tmpl w:val="69F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35C5E"/>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19830C1"/>
    <w:multiLevelType w:val="hybridMultilevel"/>
    <w:tmpl w:val="3E584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2207A2E"/>
    <w:multiLevelType w:val="hybridMultilevel"/>
    <w:tmpl w:val="38741F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4807E1"/>
    <w:multiLevelType w:val="multilevel"/>
    <w:tmpl w:val="DC8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592D12"/>
    <w:multiLevelType w:val="hybridMultilevel"/>
    <w:tmpl w:val="ABE052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F1F2021"/>
    <w:multiLevelType w:val="hybridMultilevel"/>
    <w:tmpl w:val="E4621986"/>
    <w:lvl w:ilvl="0" w:tplc="64D0E9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17F29B8"/>
    <w:multiLevelType w:val="hybridMultilevel"/>
    <w:tmpl w:val="89A4EF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231EA7"/>
    <w:multiLevelType w:val="hybridMultilevel"/>
    <w:tmpl w:val="2280FE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1A7087"/>
    <w:multiLevelType w:val="multilevel"/>
    <w:tmpl w:val="575E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FD74B6"/>
    <w:multiLevelType w:val="multilevel"/>
    <w:tmpl w:val="E87EED5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FDB192E"/>
    <w:multiLevelType w:val="hybridMultilevel"/>
    <w:tmpl w:val="5B1CC73C"/>
    <w:lvl w:ilvl="0" w:tplc="F3B60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6F2F77"/>
    <w:multiLevelType w:val="hybridMultilevel"/>
    <w:tmpl w:val="5C7EB6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3E63483"/>
    <w:multiLevelType w:val="hybridMultilevel"/>
    <w:tmpl w:val="9432BE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6C3AD1"/>
    <w:multiLevelType w:val="hybridMultilevel"/>
    <w:tmpl w:val="CBBEAE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90C32"/>
    <w:multiLevelType w:val="hybridMultilevel"/>
    <w:tmpl w:val="0E5E99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9A1150D"/>
    <w:multiLevelType w:val="hybridMultilevel"/>
    <w:tmpl w:val="F2C404A8"/>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A2720A8"/>
    <w:multiLevelType w:val="hybridMultilevel"/>
    <w:tmpl w:val="1376E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E6277A3"/>
    <w:multiLevelType w:val="hybridMultilevel"/>
    <w:tmpl w:val="124E8B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26B3C2F"/>
    <w:multiLevelType w:val="hybridMultilevel"/>
    <w:tmpl w:val="2A32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C31DE"/>
    <w:multiLevelType w:val="hybridMultilevel"/>
    <w:tmpl w:val="8716E0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50C2B60"/>
    <w:multiLevelType w:val="hybridMultilevel"/>
    <w:tmpl w:val="6B12F8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6404520"/>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92D7DC9"/>
    <w:multiLevelType w:val="hybridMultilevel"/>
    <w:tmpl w:val="A1363E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B4F691C"/>
    <w:multiLevelType w:val="hybridMultilevel"/>
    <w:tmpl w:val="7EDAEF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DDD6D77"/>
    <w:multiLevelType w:val="hybridMultilevel"/>
    <w:tmpl w:val="96129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0"/>
  </w:num>
  <w:num w:numId="3">
    <w:abstractNumId w:val="2"/>
  </w:num>
  <w:num w:numId="4">
    <w:abstractNumId w:val="1"/>
  </w:num>
  <w:num w:numId="5">
    <w:abstractNumId w:val="27"/>
  </w:num>
  <w:num w:numId="6">
    <w:abstractNumId w:val="3"/>
  </w:num>
  <w:num w:numId="7">
    <w:abstractNumId w:val="33"/>
  </w:num>
  <w:num w:numId="8">
    <w:abstractNumId w:val="14"/>
  </w:num>
  <w:num w:numId="9">
    <w:abstractNumId w:val="17"/>
  </w:num>
  <w:num w:numId="10">
    <w:abstractNumId w:val="38"/>
  </w:num>
  <w:num w:numId="11">
    <w:abstractNumId w:val="13"/>
  </w:num>
  <w:num w:numId="12">
    <w:abstractNumId w:val="5"/>
  </w:num>
  <w:num w:numId="13">
    <w:abstractNumId w:val="22"/>
  </w:num>
  <w:num w:numId="14">
    <w:abstractNumId w:val="21"/>
  </w:num>
  <w:num w:numId="15">
    <w:abstractNumId w:val="18"/>
  </w:num>
  <w:num w:numId="16">
    <w:abstractNumId w:val="0"/>
  </w:num>
  <w:num w:numId="17">
    <w:abstractNumId w:val="32"/>
  </w:num>
  <w:num w:numId="18">
    <w:abstractNumId w:val="40"/>
  </w:num>
  <w:num w:numId="19">
    <w:abstractNumId w:val="29"/>
  </w:num>
  <w:num w:numId="20">
    <w:abstractNumId w:val="37"/>
  </w:num>
  <w:num w:numId="21">
    <w:abstractNumId w:val="19"/>
  </w:num>
  <w:num w:numId="22">
    <w:abstractNumId w:val="41"/>
  </w:num>
  <w:num w:numId="23">
    <w:abstractNumId w:val="8"/>
  </w:num>
  <w:num w:numId="24">
    <w:abstractNumId w:val="15"/>
  </w:num>
  <w:num w:numId="25">
    <w:abstractNumId w:val="34"/>
  </w:num>
  <w:num w:numId="26">
    <w:abstractNumId w:val="31"/>
  </w:num>
  <w:num w:numId="27">
    <w:abstractNumId w:val="39"/>
  </w:num>
  <w:num w:numId="28">
    <w:abstractNumId w:val="23"/>
  </w:num>
  <w:num w:numId="29">
    <w:abstractNumId w:val="28"/>
  </w:num>
  <w:num w:numId="30">
    <w:abstractNumId w:val="10"/>
  </w:num>
  <w:num w:numId="31">
    <w:abstractNumId w:val="7"/>
  </w:num>
  <w:num w:numId="32">
    <w:abstractNumId w:val="6"/>
  </w:num>
  <w:num w:numId="33">
    <w:abstractNumId w:val="12"/>
  </w:num>
  <w:num w:numId="34">
    <w:abstractNumId w:val="36"/>
  </w:num>
  <w:num w:numId="35">
    <w:abstractNumId w:val="24"/>
  </w:num>
  <w:num w:numId="36">
    <w:abstractNumId w:val="11"/>
  </w:num>
  <w:num w:numId="37">
    <w:abstractNumId w:val="25"/>
  </w:num>
  <w:num w:numId="38">
    <w:abstractNumId w:val="20"/>
  </w:num>
  <w:num w:numId="39">
    <w:abstractNumId w:val="35"/>
  </w:num>
  <w:num w:numId="40">
    <w:abstractNumId w:val="9"/>
  </w:num>
  <w:num w:numId="41">
    <w:abstractNumId w:val="4"/>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731521"/>
    <w:rsid w:val="0000371C"/>
    <w:rsid w:val="000137C5"/>
    <w:rsid w:val="00014CDD"/>
    <w:rsid w:val="00027A0C"/>
    <w:rsid w:val="00045E6E"/>
    <w:rsid w:val="00051D0A"/>
    <w:rsid w:val="000F29EB"/>
    <w:rsid w:val="000F3B9E"/>
    <w:rsid w:val="00100761"/>
    <w:rsid w:val="001032E5"/>
    <w:rsid w:val="00115CE9"/>
    <w:rsid w:val="00120661"/>
    <w:rsid w:val="001418BC"/>
    <w:rsid w:val="00153582"/>
    <w:rsid w:val="0015534F"/>
    <w:rsid w:val="0017051F"/>
    <w:rsid w:val="001752A2"/>
    <w:rsid w:val="001842D1"/>
    <w:rsid w:val="00193D26"/>
    <w:rsid w:val="00196235"/>
    <w:rsid w:val="001A507F"/>
    <w:rsid w:val="001A5DC6"/>
    <w:rsid w:val="001B41E3"/>
    <w:rsid w:val="001D1914"/>
    <w:rsid w:val="001E36C5"/>
    <w:rsid w:val="00237DCA"/>
    <w:rsid w:val="002413C2"/>
    <w:rsid w:val="00260EF4"/>
    <w:rsid w:val="00264ECB"/>
    <w:rsid w:val="00286C12"/>
    <w:rsid w:val="00287026"/>
    <w:rsid w:val="00287DAC"/>
    <w:rsid w:val="002D08F5"/>
    <w:rsid w:val="002D56F9"/>
    <w:rsid w:val="002F0058"/>
    <w:rsid w:val="003156C6"/>
    <w:rsid w:val="00341D96"/>
    <w:rsid w:val="0034324C"/>
    <w:rsid w:val="00344494"/>
    <w:rsid w:val="00360257"/>
    <w:rsid w:val="00361D94"/>
    <w:rsid w:val="00384990"/>
    <w:rsid w:val="00393E56"/>
    <w:rsid w:val="003A0067"/>
    <w:rsid w:val="003A2F00"/>
    <w:rsid w:val="003B3CC5"/>
    <w:rsid w:val="00452776"/>
    <w:rsid w:val="00462B61"/>
    <w:rsid w:val="00480B31"/>
    <w:rsid w:val="00483233"/>
    <w:rsid w:val="00484C40"/>
    <w:rsid w:val="00496055"/>
    <w:rsid w:val="004A1D21"/>
    <w:rsid w:val="004B1277"/>
    <w:rsid w:val="004B570B"/>
    <w:rsid w:val="004D3A62"/>
    <w:rsid w:val="004E2D45"/>
    <w:rsid w:val="004E3C3F"/>
    <w:rsid w:val="004E5FAE"/>
    <w:rsid w:val="004E63ED"/>
    <w:rsid w:val="004F3F47"/>
    <w:rsid w:val="004F4209"/>
    <w:rsid w:val="00516190"/>
    <w:rsid w:val="00517F3A"/>
    <w:rsid w:val="005258CE"/>
    <w:rsid w:val="00546ED0"/>
    <w:rsid w:val="00550B8F"/>
    <w:rsid w:val="00553D76"/>
    <w:rsid w:val="005A72B4"/>
    <w:rsid w:val="005D0642"/>
    <w:rsid w:val="005D2924"/>
    <w:rsid w:val="005D5129"/>
    <w:rsid w:val="00603779"/>
    <w:rsid w:val="006040A5"/>
    <w:rsid w:val="0061773D"/>
    <w:rsid w:val="00621E63"/>
    <w:rsid w:val="00625E77"/>
    <w:rsid w:val="0062735E"/>
    <w:rsid w:val="0066091A"/>
    <w:rsid w:val="0066359E"/>
    <w:rsid w:val="00664CAE"/>
    <w:rsid w:val="0067060A"/>
    <w:rsid w:val="00690573"/>
    <w:rsid w:val="006C26D2"/>
    <w:rsid w:val="006E2CC8"/>
    <w:rsid w:val="006F2F13"/>
    <w:rsid w:val="00705922"/>
    <w:rsid w:val="00707287"/>
    <w:rsid w:val="007140F9"/>
    <w:rsid w:val="00714DC1"/>
    <w:rsid w:val="007277DA"/>
    <w:rsid w:val="00731521"/>
    <w:rsid w:val="00736843"/>
    <w:rsid w:val="00743730"/>
    <w:rsid w:val="00754688"/>
    <w:rsid w:val="007725D8"/>
    <w:rsid w:val="007C2982"/>
    <w:rsid w:val="007D1308"/>
    <w:rsid w:val="007D5218"/>
    <w:rsid w:val="007D66EB"/>
    <w:rsid w:val="007F7605"/>
    <w:rsid w:val="0087032C"/>
    <w:rsid w:val="00871C43"/>
    <w:rsid w:val="0087407D"/>
    <w:rsid w:val="008760A7"/>
    <w:rsid w:val="00886EA3"/>
    <w:rsid w:val="00887DA0"/>
    <w:rsid w:val="00890F3D"/>
    <w:rsid w:val="008B24A7"/>
    <w:rsid w:val="008B5093"/>
    <w:rsid w:val="008C028D"/>
    <w:rsid w:val="008C1238"/>
    <w:rsid w:val="008E1CB9"/>
    <w:rsid w:val="008F41EE"/>
    <w:rsid w:val="00900B60"/>
    <w:rsid w:val="0090769E"/>
    <w:rsid w:val="009120EB"/>
    <w:rsid w:val="00926450"/>
    <w:rsid w:val="009269FE"/>
    <w:rsid w:val="00933DB1"/>
    <w:rsid w:val="00982398"/>
    <w:rsid w:val="009824D0"/>
    <w:rsid w:val="009A3538"/>
    <w:rsid w:val="009B3FB2"/>
    <w:rsid w:val="009B4699"/>
    <w:rsid w:val="009C6A8C"/>
    <w:rsid w:val="00A0373E"/>
    <w:rsid w:val="00A1263D"/>
    <w:rsid w:val="00A13DB2"/>
    <w:rsid w:val="00A24E04"/>
    <w:rsid w:val="00A415DC"/>
    <w:rsid w:val="00A45F53"/>
    <w:rsid w:val="00A53AB5"/>
    <w:rsid w:val="00A61634"/>
    <w:rsid w:val="00A6685E"/>
    <w:rsid w:val="00A813A3"/>
    <w:rsid w:val="00A827F3"/>
    <w:rsid w:val="00A9650F"/>
    <w:rsid w:val="00AA7147"/>
    <w:rsid w:val="00AB0710"/>
    <w:rsid w:val="00AC2EC6"/>
    <w:rsid w:val="00AD10C0"/>
    <w:rsid w:val="00AE0FB2"/>
    <w:rsid w:val="00AE1BBE"/>
    <w:rsid w:val="00B26AF2"/>
    <w:rsid w:val="00B4025C"/>
    <w:rsid w:val="00B42B8D"/>
    <w:rsid w:val="00B44CC5"/>
    <w:rsid w:val="00B51B79"/>
    <w:rsid w:val="00B612C8"/>
    <w:rsid w:val="00B7069F"/>
    <w:rsid w:val="00B731C0"/>
    <w:rsid w:val="00B83749"/>
    <w:rsid w:val="00B97407"/>
    <w:rsid w:val="00BB021B"/>
    <w:rsid w:val="00BB473A"/>
    <w:rsid w:val="00BC3249"/>
    <w:rsid w:val="00BC43EF"/>
    <w:rsid w:val="00BC75BE"/>
    <w:rsid w:val="00BC796F"/>
    <w:rsid w:val="00BF2489"/>
    <w:rsid w:val="00BF4189"/>
    <w:rsid w:val="00C043D0"/>
    <w:rsid w:val="00C111CB"/>
    <w:rsid w:val="00C174C6"/>
    <w:rsid w:val="00C30174"/>
    <w:rsid w:val="00C31D82"/>
    <w:rsid w:val="00C5174D"/>
    <w:rsid w:val="00C51831"/>
    <w:rsid w:val="00C52BE1"/>
    <w:rsid w:val="00C56968"/>
    <w:rsid w:val="00C60803"/>
    <w:rsid w:val="00C64402"/>
    <w:rsid w:val="00C83A51"/>
    <w:rsid w:val="00C860E6"/>
    <w:rsid w:val="00C868A9"/>
    <w:rsid w:val="00C95037"/>
    <w:rsid w:val="00CA284F"/>
    <w:rsid w:val="00CD4EF8"/>
    <w:rsid w:val="00D00535"/>
    <w:rsid w:val="00D15BEE"/>
    <w:rsid w:val="00D17AA8"/>
    <w:rsid w:val="00D56A17"/>
    <w:rsid w:val="00D95628"/>
    <w:rsid w:val="00DA01FE"/>
    <w:rsid w:val="00DB0288"/>
    <w:rsid w:val="00DC5358"/>
    <w:rsid w:val="00DD1898"/>
    <w:rsid w:val="00DD210D"/>
    <w:rsid w:val="00DD37CF"/>
    <w:rsid w:val="00DF0E2A"/>
    <w:rsid w:val="00E03437"/>
    <w:rsid w:val="00E20820"/>
    <w:rsid w:val="00E45A5F"/>
    <w:rsid w:val="00E76F69"/>
    <w:rsid w:val="00EB05AF"/>
    <w:rsid w:val="00EB2A6F"/>
    <w:rsid w:val="00EE09FD"/>
    <w:rsid w:val="00EF27FD"/>
    <w:rsid w:val="00EF62F9"/>
    <w:rsid w:val="00F001A8"/>
    <w:rsid w:val="00F03C66"/>
    <w:rsid w:val="00F12F13"/>
    <w:rsid w:val="00F1751F"/>
    <w:rsid w:val="00F23ABD"/>
    <w:rsid w:val="00F618D9"/>
    <w:rsid w:val="00F702E2"/>
    <w:rsid w:val="00F935DD"/>
    <w:rsid w:val="00FB7D4A"/>
    <w:rsid w:val="00FD49AD"/>
    <w:rsid w:val="00FD4F73"/>
    <w:rsid w:val="00FF111A"/>
    <w:rsid w:val="00FF4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DC"/>
  </w:style>
  <w:style w:type="paragraph" w:styleId="Heading1">
    <w:name w:val="heading 1"/>
    <w:basedOn w:val="Normal"/>
    <w:next w:val="Normal"/>
    <w:link w:val="Heading1Char"/>
    <w:uiPriority w:val="9"/>
    <w:qFormat/>
    <w:rsid w:val="007315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315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152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152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3152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31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2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3152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152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152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3152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31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521"/>
    <w:rPr>
      <w:rFonts w:eastAsiaTheme="majorEastAsia" w:cstheme="majorBidi"/>
      <w:color w:val="272727" w:themeColor="text1" w:themeTint="D8"/>
    </w:rPr>
  </w:style>
  <w:style w:type="paragraph" w:styleId="Title">
    <w:name w:val="Title"/>
    <w:basedOn w:val="Normal"/>
    <w:next w:val="Normal"/>
    <w:link w:val="TitleChar"/>
    <w:uiPriority w:val="10"/>
    <w:qFormat/>
    <w:rsid w:val="0073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521"/>
    <w:pPr>
      <w:spacing w:before="160"/>
      <w:jc w:val="center"/>
    </w:pPr>
    <w:rPr>
      <w:i/>
      <w:iCs/>
      <w:color w:val="404040" w:themeColor="text1" w:themeTint="BF"/>
    </w:rPr>
  </w:style>
  <w:style w:type="character" w:customStyle="1" w:styleId="QuoteChar">
    <w:name w:val="Quote Char"/>
    <w:basedOn w:val="DefaultParagraphFont"/>
    <w:link w:val="Quote"/>
    <w:uiPriority w:val="29"/>
    <w:rsid w:val="00731521"/>
    <w:rPr>
      <w:i/>
      <w:iCs/>
      <w:color w:val="404040" w:themeColor="text1" w:themeTint="BF"/>
    </w:rPr>
  </w:style>
  <w:style w:type="paragraph" w:styleId="ListParagraph">
    <w:name w:val="List Paragraph"/>
    <w:basedOn w:val="Normal"/>
    <w:uiPriority w:val="34"/>
    <w:qFormat/>
    <w:rsid w:val="00731521"/>
    <w:pPr>
      <w:ind w:left="720"/>
      <w:contextualSpacing/>
    </w:pPr>
  </w:style>
  <w:style w:type="character" w:styleId="IntenseEmphasis">
    <w:name w:val="Intense Emphasis"/>
    <w:basedOn w:val="DefaultParagraphFont"/>
    <w:uiPriority w:val="21"/>
    <w:qFormat/>
    <w:rsid w:val="00731521"/>
    <w:rPr>
      <w:i/>
      <w:iCs/>
      <w:color w:val="2E74B5" w:themeColor="accent1" w:themeShade="BF"/>
    </w:rPr>
  </w:style>
  <w:style w:type="paragraph" w:styleId="IntenseQuote">
    <w:name w:val="Intense Quote"/>
    <w:basedOn w:val="Normal"/>
    <w:next w:val="Normal"/>
    <w:link w:val="IntenseQuoteChar"/>
    <w:uiPriority w:val="30"/>
    <w:qFormat/>
    <w:rsid w:val="007315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31521"/>
    <w:rPr>
      <w:i/>
      <w:iCs/>
      <w:color w:val="2E74B5" w:themeColor="accent1" w:themeShade="BF"/>
    </w:rPr>
  </w:style>
  <w:style w:type="character" w:styleId="IntenseReference">
    <w:name w:val="Intense Reference"/>
    <w:basedOn w:val="DefaultParagraphFont"/>
    <w:uiPriority w:val="32"/>
    <w:qFormat/>
    <w:rsid w:val="00731521"/>
    <w:rPr>
      <w:b/>
      <w:bCs/>
      <w:smallCaps/>
      <w:color w:val="2E74B5" w:themeColor="accent1" w:themeShade="BF"/>
      <w:spacing w:val="5"/>
    </w:rPr>
  </w:style>
  <w:style w:type="character" w:styleId="Hyperlink">
    <w:name w:val="Hyperlink"/>
    <w:basedOn w:val="DefaultParagraphFont"/>
    <w:unhideWhenUsed/>
    <w:rsid w:val="00731521"/>
    <w:rPr>
      <w:color w:val="0000FF"/>
      <w:u w:val="single"/>
    </w:rPr>
  </w:style>
  <w:style w:type="character" w:customStyle="1" w:styleId="UnresolvedMention1">
    <w:name w:val="Unresolved Mention1"/>
    <w:basedOn w:val="DefaultParagraphFont"/>
    <w:uiPriority w:val="99"/>
    <w:semiHidden/>
    <w:unhideWhenUsed/>
    <w:rsid w:val="00731521"/>
    <w:rPr>
      <w:color w:val="605E5C"/>
      <w:shd w:val="clear" w:color="auto" w:fill="E1DFDD"/>
    </w:rPr>
  </w:style>
  <w:style w:type="paragraph" w:styleId="NormalWeb">
    <w:name w:val="Normal (Web)"/>
    <w:basedOn w:val="Normal"/>
    <w:uiPriority w:val="99"/>
    <w:unhideWhenUsed/>
    <w:rsid w:val="0073152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CommentReference">
    <w:name w:val="annotation reference"/>
    <w:basedOn w:val="DefaultParagraphFont"/>
    <w:uiPriority w:val="99"/>
    <w:semiHidden/>
    <w:unhideWhenUsed/>
    <w:rsid w:val="00731521"/>
    <w:rPr>
      <w:sz w:val="16"/>
      <w:szCs w:val="16"/>
    </w:rPr>
  </w:style>
  <w:style w:type="paragraph" w:styleId="CommentText">
    <w:name w:val="annotation text"/>
    <w:basedOn w:val="Normal"/>
    <w:link w:val="CommentTextChar"/>
    <w:uiPriority w:val="99"/>
    <w:semiHidden/>
    <w:unhideWhenUsed/>
    <w:rsid w:val="00731521"/>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731521"/>
    <w:rPr>
      <w:sz w:val="20"/>
      <w:szCs w:val="20"/>
      <w:lang w:val="en-US"/>
    </w:rPr>
  </w:style>
  <w:style w:type="paragraph" w:styleId="CommentSubject">
    <w:name w:val="annotation subject"/>
    <w:basedOn w:val="CommentText"/>
    <w:next w:val="CommentText"/>
    <w:link w:val="CommentSubjectChar"/>
    <w:uiPriority w:val="99"/>
    <w:semiHidden/>
    <w:unhideWhenUsed/>
    <w:rsid w:val="00731521"/>
    <w:rPr>
      <w:b/>
      <w:bCs/>
    </w:rPr>
  </w:style>
  <w:style w:type="character" w:customStyle="1" w:styleId="CommentSubjectChar">
    <w:name w:val="Comment Subject Char"/>
    <w:basedOn w:val="CommentTextChar"/>
    <w:link w:val="CommentSubject"/>
    <w:uiPriority w:val="99"/>
    <w:semiHidden/>
    <w:rsid w:val="00731521"/>
    <w:rPr>
      <w:b/>
      <w:bCs/>
      <w:sz w:val="20"/>
      <w:szCs w:val="20"/>
      <w:lang w:val="en-US"/>
    </w:rPr>
  </w:style>
  <w:style w:type="paragraph" w:styleId="BalloonText">
    <w:name w:val="Balloon Text"/>
    <w:basedOn w:val="Normal"/>
    <w:link w:val="BalloonTextChar"/>
    <w:uiPriority w:val="99"/>
    <w:semiHidden/>
    <w:unhideWhenUsed/>
    <w:rsid w:val="0073152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31521"/>
    <w:rPr>
      <w:rFonts w:ascii="Tahoma" w:hAnsi="Tahoma" w:cs="Tahoma"/>
      <w:sz w:val="16"/>
      <w:szCs w:val="16"/>
      <w:lang w:val="en-US"/>
    </w:rPr>
  </w:style>
  <w:style w:type="paragraph" w:styleId="Revision">
    <w:name w:val="Revision"/>
    <w:hidden/>
    <w:uiPriority w:val="99"/>
    <w:semiHidden/>
    <w:rsid w:val="00731521"/>
    <w:pPr>
      <w:spacing w:after="0" w:line="240" w:lineRule="auto"/>
    </w:pPr>
    <w:rPr>
      <w:lang w:val="en-US"/>
    </w:rPr>
  </w:style>
  <w:style w:type="paragraph" w:styleId="Header">
    <w:name w:val="header"/>
    <w:basedOn w:val="Normal"/>
    <w:link w:val="HeaderChar"/>
    <w:uiPriority w:val="99"/>
    <w:unhideWhenUsed/>
    <w:rsid w:val="0073152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31521"/>
    <w:rPr>
      <w:lang w:val="en-US"/>
    </w:rPr>
  </w:style>
  <w:style w:type="paragraph" w:styleId="Footer">
    <w:name w:val="footer"/>
    <w:basedOn w:val="Normal"/>
    <w:link w:val="FooterChar"/>
    <w:uiPriority w:val="99"/>
    <w:unhideWhenUsed/>
    <w:rsid w:val="0073152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31521"/>
    <w:rPr>
      <w:lang w:val="en-US"/>
    </w:rPr>
  </w:style>
  <w:style w:type="character" w:styleId="Strong">
    <w:name w:val="Strong"/>
    <w:basedOn w:val="DefaultParagraphFont"/>
    <w:uiPriority w:val="22"/>
    <w:qFormat/>
    <w:rsid w:val="00933DB1"/>
    <w:rPr>
      <w:b/>
      <w:bCs/>
    </w:rPr>
  </w:style>
  <w:style w:type="character" w:styleId="Emphasis">
    <w:name w:val="Emphasis"/>
    <w:basedOn w:val="DefaultParagraphFont"/>
    <w:uiPriority w:val="20"/>
    <w:qFormat/>
    <w:rsid w:val="004E5FAE"/>
    <w:rPr>
      <w:i/>
      <w:iCs/>
    </w:rPr>
  </w:style>
  <w:style w:type="character" w:customStyle="1" w:styleId="overflow-hidden">
    <w:name w:val="overflow-hidden"/>
    <w:basedOn w:val="DefaultParagraphFont"/>
    <w:rsid w:val="00115CE9"/>
  </w:style>
  <w:style w:type="table" w:styleId="TableGrid">
    <w:name w:val="Table Grid"/>
    <w:basedOn w:val="TableNormal"/>
    <w:uiPriority w:val="59"/>
    <w:rsid w:val="00027A0C"/>
    <w:pPr>
      <w:spacing w:after="0" w:line="240" w:lineRule="auto"/>
    </w:pPr>
    <w:rPr>
      <w:kern w:val="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italic">
    <w:name w:val="html-italic"/>
    <w:basedOn w:val="DefaultParagraphFont"/>
    <w:rsid w:val="00027A0C"/>
  </w:style>
  <w:style w:type="paragraph" w:styleId="BodyText">
    <w:name w:val="Body Text"/>
    <w:basedOn w:val="Normal"/>
    <w:link w:val="BodyTextChar"/>
    <w:uiPriority w:val="1"/>
    <w:qFormat/>
    <w:rsid w:val="00264ECB"/>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64ECB"/>
    <w:rPr>
      <w:rFonts w:ascii="Times New Roman" w:eastAsia="Times New Roman" w:hAnsi="Times New Roman" w:cs="Times New Roman"/>
      <w:kern w:val="0"/>
      <w:sz w:val="24"/>
      <w:szCs w:val="24"/>
      <w:lang w:val="en-US"/>
    </w:rPr>
  </w:style>
  <w:style w:type="paragraph" w:customStyle="1" w:styleId="FirstParagraph">
    <w:name w:val="First Paragraph"/>
    <w:basedOn w:val="BodyText"/>
    <w:next w:val="BodyText"/>
    <w:qFormat/>
    <w:rsid w:val="007F7605"/>
    <w:pPr>
      <w:widowControl/>
      <w:autoSpaceDE/>
      <w:autoSpaceDN/>
      <w:spacing w:before="180" w:after="180"/>
    </w:pPr>
    <w:rPr>
      <w:rFonts w:asciiTheme="minorHAnsi" w:eastAsiaTheme="minorHAnsi" w:hAnsiTheme="minorHAnsi" w:cstheme="minorBidi"/>
      <w:sz w:val="22"/>
    </w:rPr>
  </w:style>
  <w:style w:type="character" w:customStyle="1" w:styleId="UnresolvedMention">
    <w:name w:val="Unresolved Mention"/>
    <w:basedOn w:val="DefaultParagraphFont"/>
    <w:uiPriority w:val="99"/>
    <w:semiHidden/>
    <w:unhideWhenUsed/>
    <w:rsid w:val="0038499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38002">
      <w:bodyDiv w:val="1"/>
      <w:marLeft w:val="0"/>
      <w:marRight w:val="0"/>
      <w:marTop w:val="0"/>
      <w:marBottom w:val="0"/>
      <w:divBdr>
        <w:top w:val="none" w:sz="0" w:space="0" w:color="auto"/>
        <w:left w:val="none" w:sz="0" w:space="0" w:color="auto"/>
        <w:bottom w:val="none" w:sz="0" w:space="0" w:color="auto"/>
        <w:right w:val="none" w:sz="0" w:space="0" w:color="auto"/>
      </w:divBdr>
    </w:div>
    <w:div w:id="28143768">
      <w:bodyDiv w:val="1"/>
      <w:marLeft w:val="0"/>
      <w:marRight w:val="0"/>
      <w:marTop w:val="0"/>
      <w:marBottom w:val="0"/>
      <w:divBdr>
        <w:top w:val="none" w:sz="0" w:space="0" w:color="auto"/>
        <w:left w:val="none" w:sz="0" w:space="0" w:color="auto"/>
        <w:bottom w:val="none" w:sz="0" w:space="0" w:color="auto"/>
        <w:right w:val="none" w:sz="0" w:space="0" w:color="auto"/>
      </w:divBdr>
    </w:div>
    <w:div w:id="82075548">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22965338">
      <w:bodyDiv w:val="1"/>
      <w:marLeft w:val="0"/>
      <w:marRight w:val="0"/>
      <w:marTop w:val="0"/>
      <w:marBottom w:val="0"/>
      <w:divBdr>
        <w:top w:val="none" w:sz="0" w:space="0" w:color="auto"/>
        <w:left w:val="none" w:sz="0" w:space="0" w:color="auto"/>
        <w:bottom w:val="none" w:sz="0" w:space="0" w:color="auto"/>
        <w:right w:val="none" w:sz="0" w:space="0" w:color="auto"/>
      </w:divBdr>
    </w:div>
    <w:div w:id="404256802">
      <w:bodyDiv w:val="1"/>
      <w:marLeft w:val="0"/>
      <w:marRight w:val="0"/>
      <w:marTop w:val="0"/>
      <w:marBottom w:val="0"/>
      <w:divBdr>
        <w:top w:val="none" w:sz="0" w:space="0" w:color="auto"/>
        <w:left w:val="none" w:sz="0" w:space="0" w:color="auto"/>
        <w:bottom w:val="none" w:sz="0" w:space="0" w:color="auto"/>
        <w:right w:val="none" w:sz="0" w:space="0" w:color="auto"/>
      </w:divBdr>
    </w:div>
    <w:div w:id="578293662">
      <w:bodyDiv w:val="1"/>
      <w:marLeft w:val="0"/>
      <w:marRight w:val="0"/>
      <w:marTop w:val="0"/>
      <w:marBottom w:val="0"/>
      <w:divBdr>
        <w:top w:val="none" w:sz="0" w:space="0" w:color="auto"/>
        <w:left w:val="none" w:sz="0" w:space="0" w:color="auto"/>
        <w:bottom w:val="none" w:sz="0" w:space="0" w:color="auto"/>
        <w:right w:val="none" w:sz="0" w:space="0" w:color="auto"/>
      </w:divBdr>
    </w:div>
    <w:div w:id="590164175">
      <w:bodyDiv w:val="1"/>
      <w:marLeft w:val="0"/>
      <w:marRight w:val="0"/>
      <w:marTop w:val="0"/>
      <w:marBottom w:val="0"/>
      <w:divBdr>
        <w:top w:val="none" w:sz="0" w:space="0" w:color="auto"/>
        <w:left w:val="none" w:sz="0" w:space="0" w:color="auto"/>
        <w:bottom w:val="none" w:sz="0" w:space="0" w:color="auto"/>
        <w:right w:val="none" w:sz="0" w:space="0" w:color="auto"/>
      </w:divBdr>
    </w:div>
    <w:div w:id="596865324">
      <w:bodyDiv w:val="1"/>
      <w:marLeft w:val="0"/>
      <w:marRight w:val="0"/>
      <w:marTop w:val="0"/>
      <w:marBottom w:val="0"/>
      <w:divBdr>
        <w:top w:val="none" w:sz="0" w:space="0" w:color="auto"/>
        <w:left w:val="none" w:sz="0" w:space="0" w:color="auto"/>
        <w:bottom w:val="none" w:sz="0" w:space="0" w:color="auto"/>
        <w:right w:val="none" w:sz="0" w:space="0" w:color="auto"/>
      </w:divBdr>
    </w:div>
    <w:div w:id="649942882">
      <w:bodyDiv w:val="1"/>
      <w:marLeft w:val="0"/>
      <w:marRight w:val="0"/>
      <w:marTop w:val="0"/>
      <w:marBottom w:val="0"/>
      <w:divBdr>
        <w:top w:val="none" w:sz="0" w:space="0" w:color="auto"/>
        <w:left w:val="none" w:sz="0" w:space="0" w:color="auto"/>
        <w:bottom w:val="none" w:sz="0" w:space="0" w:color="auto"/>
        <w:right w:val="none" w:sz="0" w:space="0" w:color="auto"/>
      </w:divBdr>
    </w:div>
    <w:div w:id="682710972">
      <w:bodyDiv w:val="1"/>
      <w:marLeft w:val="0"/>
      <w:marRight w:val="0"/>
      <w:marTop w:val="0"/>
      <w:marBottom w:val="0"/>
      <w:divBdr>
        <w:top w:val="none" w:sz="0" w:space="0" w:color="auto"/>
        <w:left w:val="none" w:sz="0" w:space="0" w:color="auto"/>
        <w:bottom w:val="none" w:sz="0" w:space="0" w:color="auto"/>
        <w:right w:val="none" w:sz="0" w:space="0" w:color="auto"/>
      </w:divBdr>
      <w:divsChild>
        <w:div w:id="943532597">
          <w:marLeft w:val="0"/>
          <w:marRight w:val="0"/>
          <w:marTop w:val="0"/>
          <w:marBottom w:val="0"/>
          <w:divBdr>
            <w:top w:val="none" w:sz="0" w:space="0" w:color="auto"/>
            <w:left w:val="none" w:sz="0" w:space="0" w:color="auto"/>
            <w:bottom w:val="none" w:sz="0" w:space="0" w:color="auto"/>
            <w:right w:val="none" w:sz="0" w:space="0" w:color="auto"/>
          </w:divBdr>
          <w:divsChild>
            <w:div w:id="1145052170">
              <w:marLeft w:val="0"/>
              <w:marRight w:val="0"/>
              <w:marTop w:val="0"/>
              <w:marBottom w:val="0"/>
              <w:divBdr>
                <w:top w:val="none" w:sz="0" w:space="0" w:color="auto"/>
                <w:left w:val="none" w:sz="0" w:space="0" w:color="auto"/>
                <w:bottom w:val="none" w:sz="0" w:space="0" w:color="auto"/>
                <w:right w:val="none" w:sz="0" w:space="0" w:color="auto"/>
              </w:divBdr>
              <w:divsChild>
                <w:div w:id="1392657034">
                  <w:marLeft w:val="0"/>
                  <w:marRight w:val="0"/>
                  <w:marTop w:val="0"/>
                  <w:marBottom w:val="0"/>
                  <w:divBdr>
                    <w:top w:val="none" w:sz="0" w:space="0" w:color="auto"/>
                    <w:left w:val="none" w:sz="0" w:space="0" w:color="auto"/>
                    <w:bottom w:val="none" w:sz="0" w:space="0" w:color="auto"/>
                    <w:right w:val="none" w:sz="0" w:space="0" w:color="auto"/>
                  </w:divBdr>
                  <w:divsChild>
                    <w:div w:id="7228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7898">
          <w:marLeft w:val="0"/>
          <w:marRight w:val="0"/>
          <w:marTop w:val="0"/>
          <w:marBottom w:val="0"/>
          <w:divBdr>
            <w:top w:val="none" w:sz="0" w:space="0" w:color="auto"/>
            <w:left w:val="none" w:sz="0" w:space="0" w:color="auto"/>
            <w:bottom w:val="none" w:sz="0" w:space="0" w:color="auto"/>
            <w:right w:val="none" w:sz="0" w:space="0" w:color="auto"/>
          </w:divBdr>
          <w:divsChild>
            <w:div w:id="732122703">
              <w:marLeft w:val="0"/>
              <w:marRight w:val="0"/>
              <w:marTop w:val="0"/>
              <w:marBottom w:val="0"/>
              <w:divBdr>
                <w:top w:val="none" w:sz="0" w:space="0" w:color="auto"/>
                <w:left w:val="none" w:sz="0" w:space="0" w:color="auto"/>
                <w:bottom w:val="none" w:sz="0" w:space="0" w:color="auto"/>
                <w:right w:val="none" w:sz="0" w:space="0" w:color="auto"/>
              </w:divBdr>
              <w:divsChild>
                <w:div w:id="2009670426">
                  <w:marLeft w:val="0"/>
                  <w:marRight w:val="0"/>
                  <w:marTop w:val="0"/>
                  <w:marBottom w:val="0"/>
                  <w:divBdr>
                    <w:top w:val="none" w:sz="0" w:space="0" w:color="auto"/>
                    <w:left w:val="none" w:sz="0" w:space="0" w:color="auto"/>
                    <w:bottom w:val="none" w:sz="0" w:space="0" w:color="auto"/>
                    <w:right w:val="none" w:sz="0" w:space="0" w:color="auto"/>
                  </w:divBdr>
                  <w:divsChild>
                    <w:div w:id="12261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31217">
      <w:bodyDiv w:val="1"/>
      <w:marLeft w:val="0"/>
      <w:marRight w:val="0"/>
      <w:marTop w:val="0"/>
      <w:marBottom w:val="0"/>
      <w:divBdr>
        <w:top w:val="none" w:sz="0" w:space="0" w:color="auto"/>
        <w:left w:val="none" w:sz="0" w:space="0" w:color="auto"/>
        <w:bottom w:val="none" w:sz="0" w:space="0" w:color="auto"/>
        <w:right w:val="none" w:sz="0" w:space="0" w:color="auto"/>
      </w:divBdr>
      <w:divsChild>
        <w:div w:id="1167745168">
          <w:marLeft w:val="0"/>
          <w:marRight w:val="0"/>
          <w:marTop w:val="0"/>
          <w:marBottom w:val="0"/>
          <w:divBdr>
            <w:top w:val="none" w:sz="0" w:space="0" w:color="auto"/>
            <w:left w:val="none" w:sz="0" w:space="0" w:color="auto"/>
            <w:bottom w:val="none" w:sz="0" w:space="0" w:color="auto"/>
            <w:right w:val="none" w:sz="0" w:space="0" w:color="auto"/>
          </w:divBdr>
          <w:divsChild>
            <w:div w:id="1702364145">
              <w:marLeft w:val="0"/>
              <w:marRight w:val="0"/>
              <w:marTop w:val="0"/>
              <w:marBottom w:val="0"/>
              <w:divBdr>
                <w:top w:val="none" w:sz="0" w:space="0" w:color="auto"/>
                <w:left w:val="none" w:sz="0" w:space="0" w:color="auto"/>
                <w:bottom w:val="none" w:sz="0" w:space="0" w:color="auto"/>
                <w:right w:val="none" w:sz="0" w:space="0" w:color="auto"/>
              </w:divBdr>
              <w:divsChild>
                <w:div w:id="539246375">
                  <w:marLeft w:val="0"/>
                  <w:marRight w:val="0"/>
                  <w:marTop w:val="0"/>
                  <w:marBottom w:val="0"/>
                  <w:divBdr>
                    <w:top w:val="none" w:sz="0" w:space="0" w:color="auto"/>
                    <w:left w:val="none" w:sz="0" w:space="0" w:color="auto"/>
                    <w:bottom w:val="none" w:sz="0" w:space="0" w:color="auto"/>
                    <w:right w:val="none" w:sz="0" w:space="0" w:color="auto"/>
                  </w:divBdr>
                  <w:divsChild>
                    <w:div w:id="1711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293">
          <w:marLeft w:val="0"/>
          <w:marRight w:val="0"/>
          <w:marTop w:val="0"/>
          <w:marBottom w:val="0"/>
          <w:divBdr>
            <w:top w:val="none" w:sz="0" w:space="0" w:color="auto"/>
            <w:left w:val="none" w:sz="0" w:space="0" w:color="auto"/>
            <w:bottom w:val="none" w:sz="0" w:space="0" w:color="auto"/>
            <w:right w:val="none" w:sz="0" w:space="0" w:color="auto"/>
          </w:divBdr>
          <w:divsChild>
            <w:div w:id="230699403">
              <w:marLeft w:val="0"/>
              <w:marRight w:val="0"/>
              <w:marTop w:val="0"/>
              <w:marBottom w:val="0"/>
              <w:divBdr>
                <w:top w:val="none" w:sz="0" w:space="0" w:color="auto"/>
                <w:left w:val="none" w:sz="0" w:space="0" w:color="auto"/>
                <w:bottom w:val="none" w:sz="0" w:space="0" w:color="auto"/>
                <w:right w:val="none" w:sz="0" w:space="0" w:color="auto"/>
              </w:divBdr>
              <w:divsChild>
                <w:div w:id="242181698">
                  <w:marLeft w:val="0"/>
                  <w:marRight w:val="0"/>
                  <w:marTop w:val="0"/>
                  <w:marBottom w:val="0"/>
                  <w:divBdr>
                    <w:top w:val="none" w:sz="0" w:space="0" w:color="auto"/>
                    <w:left w:val="none" w:sz="0" w:space="0" w:color="auto"/>
                    <w:bottom w:val="none" w:sz="0" w:space="0" w:color="auto"/>
                    <w:right w:val="none" w:sz="0" w:space="0" w:color="auto"/>
                  </w:divBdr>
                  <w:divsChild>
                    <w:div w:id="6249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72954">
      <w:bodyDiv w:val="1"/>
      <w:marLeft w:val="0"/>
      <w:marRight w:val="0"/>
      <w:marTop w:val="0"/>
      <w:marBottom w:val="0"/>
      <w:divBdr>
        <w:top w:val="none" w:sz="0" w:space="0" w:color="auto"/>
        <w:left w:val="none" w:sz="0" w:space="0" w:color="auto"/>
        <w:bottom w:val="none" w:sz="0" w:space="0" w:color="auto"/>
        <w:right w:val="none" w:sz="0" w:space="0" w:color="auto"/>
      </w:divBdr>
    </w:div>
    <w:div w:id="953287088">
      <w:bodyDiv w:val="1"/>
      <w:marLeft w:val="0"/>
      <w:marRight w:val="0"/>
      <w:marTop w:val="0"/>
      <w:marBottom w:val="0"/>
      <w:divBdr>
        <w:top w:val="none" w:sz="0" w:space="0" w:color="auto"/>
        <w:left w:val="none" w:sz="0" w:space="0" w:color="auto"/>
        <w:bottom w:val="none" w:sz="0" w:space="0" w:color="auto"/>
        <w:right w:val="none" w:sz="0" w:space="0" w:color="auto"/>
      </w:divBdr>
      <w:divsChild>
        <w:div w:id="1723210198">
          <w:marLeft w:val="0"/>
          <w:marRight w:val="0"/>
          <w:marTop w:val="0"/>
          <w:marBottom w:val="0"/>
          <w:divBdr>
            <w:top w:val="none" w:sz="0" w:space="0" w:color="auto"/>
            <w:left w:val="none" w:sz="0" w:space="0" w:color="auto"/>
            <w:bottom w:val="none" w:sz="0" w:space="0" w:color="auto"/>
            <w:right w:val="none" w:sz="0" w:space="0" w:color="auto"/>
          </w:divBdr>
          <w:divsChild>
            <w:div w:id="1316186002">
              <w:marLeft w:val="0"/>
              <w:marRight w:val="0"/>
              <w:marTop w:val="0"/>
              <w:marBottom w:val="0"/>
              <w:divBdr>
                <w:top w:val="none" w:sz="0" w:space="0" w:color="auto"/>
                <w:left w:val="none" w:sz="0" w:space="0" w:color="auto"/>
                <w:bottom w:val="none" w:sz="0" w:space="0" w:color="auto"/>
                <w:right w:val="none" w:sz="0" w:space="0" w:color="auto"/>
              </w:divBdr>
              <w:divsChild>
                <w:div w:id="288783801">
                  <w:marLeft w:val="0"/>
                  <w:marRight w:val="0"/>
                  <w:marTop w:val="0"/>
                  <w:marBottom w:val="0"/>
                  <w:divBdr>
                    <w:top w:val="none" w:sz="0" w:space="0" w:color="auto"/>
                    <w:left w:val="none" w:sz="0" w:space="0" w:color="auto"/>
                    <w:bottom w:val="none" w:sz="0" w:space="0" w:color="auto"/>
                    <w:right w:val="none" w:sz="0" w:space="0" w:color="auto"/>
                  </w:divBdr>
                  <w:divsChild>
                    <w:div w:id="882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661">
          <w:marLeft w:val="0"/>
          <w:marRight w:val="0"/>
          <w:marTop w:val="0"/>
          <w:marBottom w:val="0"/>
          <w:divBdr>
            <w:top w:val="none" w:sz="0" w:space="0" w:color="auto"/>
            <w:left w:val="none" w:sz="0" w:space="0" w:color="auto"/>
            <w:bottom w:val="none" w:sz="0" w:space="0" w:color="auto"/>
            <w:right w:val="none" w:sz="0" w:space="0" w:color="auto"/>
          </w:divBdr>
          <w:divsChild>
            <w:div w:id="1843927648">
              <w:marLeft w:val="0"/>
              <w:marRight w:val="0"/>
              <w:marTop w:val="0"/>
              <w:marBottom w:val="0"/>
              <w:divBdr>
                <w:top w:val="none" w:sz="0" w:space="0" w:color="auto"/>
                <w:left w:val="none" w:sz="0" w:space="0" w:color="auto"/>
                <w:bottom w:val="none" w:sz="0" w:space="0" w:color="auto"/>
                <w:right w:val="none" w:sz="0" w:space="0" w:color="auto"/>
              </w:divBdr>
              <w:divsChild>
                <w:div w:id="317730145">
                  <w:marLeft w:val="0"/>
                  <w:marRight w:val="0"/>
                  <w:marTop w:val="0"/>
                  <w:marBottom w:val="0"/>
                  <w:divBdr>
                    <w:top w:val="none" w:sz="0" w:space="0" w:color="auto"/>
                    <w:left w:val="none" w:sz="0" w:space="0" w:color="auto"/>
                    <w:bottom w:val="none" w:sz="0" w:space="0" w:color="auto"/>
                    <w:right w:val="none" w:sz="0" w:space="0" w:color="auto"/>
                  </w:divBdr>
                  <w:divsChild>
                    <w:div w:id="936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6454">
      <w:bodyDiv w:val="1"/>
      <w:marLeft w:val="0"/>
      <w:marRight w:val="0"/>
      <w:marTop w:val="0"/>
      <w:marBottom w:val="0"/>
      <w:divBdr>
        <w:top w:val="none" w:sz="0" w:space="0" w:color="auto"/>
        <w:left w:val="none" w:sz="0" w:space="0" w:color="auto"/>
        <w:bottom w:val="none" w:sz="0" w:space="0" w:color="auto"/>
        <w:right w:val="none" w:sz="0" w:space="0" w:color="auto"/>
      </w:divBdr>
    </w:div>
    <w:div w:id="1154220793">
      <w:bodyDiv w:val="1"/>
      <w:marLeft w:val="0"/>
      <w:marRight w:val="0"/>
      <w:marTop w:val="0"/>
      <w:marBottom w:val="0"/>
      <w:divBdr>
        <w:top w:val="none" w:sz="0" w:space="0" w:color="auto"/>
        <w:left w:val="none" w:sz="0" w:space="0" w:color="auto"/>
        <w:bottom w:val="none" w:sz="0" w:space="0" w:color="auto"/>
        <w:right w:val="none" w:sz="0" w:space="0" w:color="auto"/>
      </w:divBdr>
    </w:div>
    <w:div w:id="1181629964">
      <w:bodyDiv w:val="1"/>
      <w:marLeft w:val="0"/>
      <w:marRight w:val="0"/>
      <w:marTop w:val="0"/>
      <w:marBottom w:val="0"/>
      <w:divBdr>
        <w:top w:val="none" w:sz="0" w:space="0" w:color="auto"/>
        <w:left w:val="none" w:sz="0" w:space="0" w:color="auto"/>
        <w:bottom w:val="none" w:sz="0" w:space="0" w:color="auto"/>
        <w:right w:val="none" w:sz="0" w:space="0" w:color="auto"/>
      </w:divBdr>
    </w:div>
    <w:div w:id="1238444228">
      <w:bodyDiv w:val="1"/>
      <w:marLeft w:val="0"/>
      <w:marRight w:val="0"/>
      <w:marTop w:val="0"/>
      <w:marBottom w:val="0"/>
      <w:divBdr>
        <w:top w:val="none" w:sz="0" w:space="0" w:color="auto"/>
        <w:left w:val="none" w:sz="0" w:space="0" w:color="auto"/>
        <w:bottom w:val="none" w:sz="0" w:space="0" w:color="auto"/>
        <w:right w:val="none" w:sz="0" w:space="0" w:color="auto"/>
      </w:divBdr>
    </w:div>
    <w:div w:id="1400399931">
      <w:bodyDiv w:val="1"/>
      <w:marLeft w:val="0"/>
      <w:marRight w:val="0"/>
      <w:marTop w:val="0"/>
      <w:marBottom w:val="0"/>
      <w:divBdr>
        <w:top w:val="none" w:sz="0" w:space="0" w:color="auto"/>
        <w:left w:val="none" w:sz="0" w:space="0" w:color="auto"/>
        <w:bottom w:val="none" w:sz="0" w:space="0" w:color="auto"/>
        <w:right w:val="none" w:sz="0" w:space="0" w:color="auto"/>
      </w:divBdr>
    </w:div>
    <w:div w:id="1563255405">
      <w:bodyDiv w:val="1"/>
      <w:marLeft w:val="0"/>
      <w:marRight w:val="0"/>
      <w:marTop w:val="0"/>
      <w:marBottom w:val="0"/>
      <w:divBdr>
        <w:top w:val="none" w:sz="0" w:space="0" w:color="auto"/>
        <w:left w:val="none" w:sz="0" w:space="0" w:color="auto"/>
        <w:bottom w:val="none" w:sz="0" w:space="0" w:color="auto"/>
        <w:right w:val="none" w:sz="0" w:space="0" w:color="auto"/>
      </w:divBdr>
    </w:div>
    <w:div w:id="1734810015">
      <w:bodyDiv w:val="1"/>
      <w:marLeft w:val="0"/>
      <w:marRight w:val="0"/>
      <w:marTop w:val="0"/>
      <w:marBottom w:val="0"/>
      <w:divBdr>
        <w:top w:val="none" w:sz="0" w:space="0" w:color="auto"/>
        <w:left w:val="none" w:sz="0" w:space="0" w:color="auto"/>
        <w:bottom w:val="none" w:sz="0" w:space="0" w:color="auto"/>
        <w:right w:val="none" w:sz="0" w:space="0" w:color="auto"/>
      </w:divBdr>
    </w:div>
    <w:div w:id="1851529879">
      <w:bodyDiv w:val="1"/>
      <w:marLeft w:val="0"/>
      <w:marRight w:val="0"/>
      <w:marTop w:val="0"/>
      <w:marBottom w:val="0"/>
      <w:divBdr>
        <w:top w:val="none" w:sz="0" w:space="0" w:color="auto"/>
        <w:left w:val="none" w:sz="0" w:space="0" w:color="auto"/>
        <w:bottom w:val="none" w:sz="0" w:space="0" w:color="auto"/>
        <w:right w:val="none" w:sz="0" w:space="0" w:color="auto"/>
      </w:divBdr>
    </w:div>
    <w:div w:id="1863396652">
      <w:bodyDiv w:val="1"/>
      <w:marLeft w:val="0"/>
      <w:marRight w:val="0"/>
      <w:marTop w:val="0"/>
      <w:marBottom w:val="0"/>
      <w:divBdr>
        <w:top w:val="none" w:sz="0" w:space="0" w:color="auto"/>
        <w:left w:val="none" w:sz="0" w:space="0" w:color="auto"/>
        <w:bottom w:val="none" w:sz="0" w:space="0" w:color="auto"/>
        <w:right w:val="none" w:sz="0" w:space="0" w:color="auto"/>
      </w:divBdr>
    </w:div>
    <w:div w:id="1973753534">
      <w:bodyDiv w:val="1"/>
      <w:marLeft w:val="0"/>
      <w:marRight w:val="0"/>
      <w:marTop w:val="0"/>
      <w:marBottom w:val="0"/>
      <w:divBdr>
        <w:top w:val="none" w:sz="0" w:space="0" w:color="auto"/>
        <w:left w:val="none" w:sz="0" w:space="0" w:color="auto"/>
        <w:bottom w:val="none" w:sz="0" w:space="0" w:color="auto"/>
        <w:right w:val="none" w:sz="0" w:space="0" w:color="auto"/>
      </w:divBdr>
    </w:div>
    <w:div w:id="2091003211">
      <w:bodyDiv w:val="1"/>
      <w:marLeft w:val="0"/>
      <w:marRight w:val="0"/>
      <w:marTop w:val="0"/>
      <w:marBottom w:val="0"/>
      <w:divBdr>
        <w:top w:val="none" w:sz="0" w:space="0" w:color="auto"/>
        <w:left w:val="none" w:sz="0" w:space="0" w:color="auto"/>
        <w:bottom w:val="none" w:sz="0" w:space="0" w:color="auto"/>
        <w:right w:val="none" w:sz="0" w:space="0" w:color="auto"/>
      </w:divBdr>
    </w:div>
    <w:div w:id="21007887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958">
          <w:marLeft w:val="0"/>
          <w:marRight w:val="0"/>
          <w:marTop w:val="0"/>
          <w:marBottom w:val="0"/>
          <w:divBdr>
            <w:top w:val="none" w:sz="0" w:space="0" w:color="auto"/>
            <w:left w:val="none" w:sz="0" w:space="0" w:color="auto"/>
            <w:bottom w:val="none" w:sz="0" w:space="0" w:color="auto"/>
            <w:right w:val="none" w:sz="0" w:space="0" w:color="auto"/>
          </w:divBdr>
          <w:divsChild>
            <w:div w:id="150566118">
              <w:marLeft w:val="0"/>
              <w:marRight w:val="0"/>
              <w:marTop w:val="0"/>
              <w:marBottom w:val="0"/>
              <w:divBdr>
                <w:top w:val="none" w:sz="0" w:space="0" w:color="auto"/>
                <w:left w:val="none" w:sz="0" w:space="0" w:color="auto"/>
                <w:bottom w:val="none" w:sz="0" w:space="0" w:color="auto"/>
                <w:right w:val="none" w:sz="0" w:space="0" w:color="auto"/>
              </w:divBdr>
              <w:divsChild>
                <w:div w:id="523203442">
                  <w:marLeft w:val="0"/>
                  <w:marRight w:val="0"/>
                  <w:marTop w:val="0"/>
                  <w:marBottom w:val="0"/>
                  <w:divBdr>
                    <w:top w:val="none" w:sz="0" w:space="0" w:color="auto"/>
                    <w:left w:val="none" w:sz="0" w:space="0" w:color="auto"/>
                    <w:bottom w:val="none" w:sz="0" w:space="0" w:color="auto"/>
                    <w:right w:val="none" w:sz="0" w:space="0" w:color="auto"/>
                  </w:divBdr>
                  <w:divsChild>
                    <w:div w:id="6419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557">
          <w:marLeft w:val="0"/>
          <w:marRight w:val="0"/>
          <w:marTop w:val="0"/>
          <w:marBottom w:val="0"/>
          <w:divBdr>
            <w:top w:val="none" w:sz="0" w:space="0" w:color="auto"/>
            <w:left w:val="none" w:sz="0" w:space="0" w:color="auto"/>
            <w:bottom w:val="none" w:sz="0" w:space="0" w:color="auto"/>
            <w:right w:val="none" w:sz="0" w:space="0" w:color="auto"/>
          </w:divBdr>
          <w:divsChild>
            <w:div w:id="692654825">
              <w:marLeft w:val="0"/>
              <w:marRight w:val="0"/>
              <w:marTop w:val="0"/>
              <w:marBottom w:val="0"/>
              <w:divBdr>
                <w:top w:val="none" w:sz="0" w:space="0" w:color="auto"/>
                <w:left w:val="none" w:sz="0" w:space="0" w:color="auto"/>
                <w:bottom w:val="none" w:sz="0" w:space="0" w:color="auto"/>
                <w:right w:val="none" w:sz="0" w:space="0" w:color="auto"/>
              </w:divBdr>
              <w:divsChild>
                <w:div w:id="1607955632">
                  <w:marLeft w:val="0"/>
                  <w:marRight w:val="0"/>
                  <w:marTop w:val="0"/>
                  <w:marBottom w:val="0"/>
                  <w:divBdr>
                    <w:top w:val="none" w:sz="0" w:space="0" w:color="auto"/>
                    <w:left w:val="none" w:sz="0" w:space="0" w:color="auto"/>
                    <w:bottom w:val="none" w:sz="0" w:space="0" w:color="auto"/>
                    <w:right w:val="none" w:sz="0" w:space="0" w:color="auto"/>
                  </w:divBdr>
                  <w:divsChild>
                    <w:div w:id="2133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9/000371618" TargetMode="External"/><Relationship Id="rId18" Type="http://schemas.openxmlformats.org/officeDocument/2006/relationships/hyperlink" Target="https://doi.org/10.1016/j.chemosphere.2014.07.078" TargetMode="External"/><Relationship Id="rId26" Type="http://schemas.openxmlformats.org/officeDocument/2006/relationships/hyperlink" Target="https://doi.org/10.1007/s10725-020-00598-0" TargetMode="External"/><Relationship Id="rId39" Type="http://schemas.openxmlformats.org/officeDocument/2006/relationships/hyperlink" Target="https://doi.org/10.1016/j.molp.2020.05.007" TargetMode="External"/><Relationship Id="rId21" Type="http://schemas.openxmlformats.org/officeDocument/2006/relationships/hyperlink" Target="https://doi.org/10.1007/s00425-005-0069-z" TargetMode="External"/><Relationship Id="rId34" Type="http://schemas.openxmlformats.org/officeDocument/2006/relationships/hyperlink" Target="https://doi.org/10.3390/plants6010006" TargetMode="External"/><Relationship Id="rId42" Type="http://schemas.openxmlformats.org/officeDocument/2006/relationships/hyperlink" Target="https://doi.org/10.1093/lambio/ovac038" TargetMode="External"/><Relationship Id="rId47" Type="http://schemas.openxmlformats.org/officeDocument/2006/relationships/hyperlink" Target="https://doi.org/10.1007/978-3-031-24181-9_11" TargetMode="External"/><Relationship Id="rId50" Type="http://schemas.openxmlformats.org/officeDocument/2006/relationships/hyperlink" Target="http://www.ncbi.nlm.nih.gov/pubmed/28989861" TargetMode="External"/><Relationship Id="rId55" Type="http://schemas.openxmlformats.org/officeDocument/2006/relationships/hyperlink" Target="https://doi.org/10.3389/fpls.2019.00287"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www.frontiersin.org/articles/10.3389/fpls.2021.647341/full" TargetMode="External"/><Relationship Id="rId2" Type="http://schemas.openxmlformats.org/officeDocument/2006/relationships/styles" Target="styles.xml"/><Relationship Id="rId16" Type="http://schemas.openxmlformats.org/officeDocument/2006/relationships/hyperlink" Target="https://doi.org/10.1111/j.1469-8137.2007.01996.x" TargetMode="External"/><Relationship Id="rId29" Type="http://schemas.openxmlformats.org/officeDocument/2006/relationships/hyperlink" Target="https://doi.org/10.1007/s00253-007-107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ibtech.2007.05.005" TargetMode="External"/><Relationship Id="rId24" Type="http://schemas.openxmlformats.org/officeDocument/2006/relationships/hyperlink" Target="https://doi.org/10.1002/tpg2.20013" TargetMode="External"/><Relationship Id="rId32" Type="http://schemas.openxmlformats.org/officeDocument/2006/relationships/hyperlink" Target="https://doi.org/10.1007/s11104-005-4725-7" TargetMode="External"/><Relationship Id="rId37" Type="http://schemas.openxmlformats.org/officeDocument/2006/relationships/hyperlink" Target="https://doi.org/10.17957/ijab/15.0840" TargetMode="External"/><Relationship Id="rId40" Type="http://schemas.openxmlformats.org/officeDocument/2006/relationships/hyperlink" Target="https://doi.org/10.1007/s00122-018-3104-8" TargetMode="External"/><Relationship Id="rId45" Type="http://schemas.openxmlformats.org/officeDocument/2006/relationships/hyperlink" Target="https://doi.org/10.1146/annurev-arplant-042811-105522" TargetMode="External"/><Relationship Id="rId53" Type="http://schemas.openxmlformats.org/officeDocument/2006/relationships/hyperlink" Target="https://doi.org/10.1023/a:1004295714181" TargetMode="External"/><Relationship Id="rId58" Type="http://schemas.openxmlformats.org/officeDocument/2006/relationships/hyperlink" Target="https://doi.org/10.1038/s41598-017-07198-"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jcs.2007.02.004" TargetMode="External"/><Relationship Id="rId23" Type="http://schemas.openxmlformats.org/officeDocument/2006/relationships/hyperlink" Target="https://doi.org/10.1128/aem.01715-17" TargetMode="External"/><Relationship Id="rId28" Type="http://schemas.openxmlformats.org/officeDocument/2006/relationships/hyperlink" Target="https://doi.org/10.1007/s10482-013-0095-y" TargetMode="External"/><Relationship Id="rId36" Type="http://schemas.openxmlformats.org/officeDocument/2006/relationships/hyperlink" Target="https://doi.org/10.3389/fsufs.2020.618230" TargetMode="External"/><Relationship Id="rId49" Type="http://schemas.openxmlformats.org/officeDocument/2006/relationships/hyperlink" Target="https://doi.org/10.1016/j.gfs.2017.01.004" TargetMode="External"/><Relationship Id="rId57" Type="http://schemas.openxmlformats.org/officeDocument/2006/relationships/hyperlink" Target="https://doi.org/10.1007/s12298-012-0139-1" TargetMode="External"/><Relationship Id="rId61" Type="http://schemas.openxmlformats.org/officeDocument/2006/relationships/hyperlink" Target="https://doi.org/10.1186/s12866-023-02918-6" TargetMode="External"/><Relationship Id="rId10" Type="http://schemas.openxmlformats.org/officeDocument/2006/relationships/image" Target="media/image2.png"/><Relationship Id="rId19" Type="http://schemas.openxmlformats.org/officeDocument/2006/relationships/hyperlink" Target="https://doi.org/10.1080/00103624.2013.861914" TargetMode="External"/><Relationship Id="rId31" Type="http://schemas.openxmlformats.org/officeDocument/2006/relationships/hyperlink" Target="https://doi.org/10.3389/fnut.2018.00012" TargetMode="External"/><Relationship Id="rId44" Type="http://schemas.openxmlformats.org/officeDocument/2006/relationships/hyperlink" Target="https://doi.org/10.21315/tlsr2023.34.1.12" TargetMode="External"/><Relationship Id="rId52" Type="http://schemas.openxmlformats.org/officeDocument/2006/relationships/hyperlink" Target="https://doi.org/10.1371/journal.pone.0115581" TargetMode="External"/><Relationship Id="rId60" Type="http://schemas.openxmlformats.org/officeDocument/2006/relationships/hyperlink" Target="https://doi.org/10.1007/s00374-009-0377-8"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16/j.gfs.2017.01.009" TargetMode="External"/><Relationship Id="rId22" Type="http://schemas.openxmlformats.org/officeDocument/2006/relationships/hyperlink" Target="https://doi.org/10.1016/j.pbi.2006.03.015" TargetMode="External"/><Relationship Id="rId27" Type="http://schemas.openxmlformats.org/officeDocument/2006/relationships/hyperlink" Target="https://doi.org/10.1104/pp.18.01224" TargetMode="External"/><Relationship Id="rId30" Type="http://schemas.openxmlformats.org/officeDocument/2006/relationships/hyperlink" Target="https://doi.org/10.3389/fnut.2021.586815" TargetMode="External"/><Relationship Id="rId35" Type="http://schemas.openxmlformats.org/officeDocument/2006/relationships/hyperlink" Target="https://doi.org/10.1007/s11104-015-2758-0" TargetMode="External"/><Relationship Id="rId43" Type="http://schemas.openxmlformats.org/officeDocument/2006/relationships/hyperlink" Target="https://doi.org/10.3390/su13031398" TargetMode="External"/><Relationship Id="rId48" Type="http://schemas.openxmlformats.org/officeDocument/2006/relationships/hyperlink" Target="https://doi.org/10.1007/s42729-021-00411-5" TargetMode="External"/><Relationship Id="rId56" Type="http://schemas.openxmlformats.org/officeDocument/2006/relationships/hyperlink" Target="https://doi.org/10.1016/j.chemosphere.2006.07.067"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frontiersin.org/articles/10.3389/fpls.2021.647341/full" TargetMode="External"/><Relationship Id="rId51" Type="http://schemas.openxmlformats.org/officeDocument/2006/relationships/hyperlink" Target="https://doi.org/10.1007/s11104-017-3316-8" TargetMode="External"/><Relationship Id="rId3" Type="http://schemas.openxmlformats.org/officeDocument/2006/relationships/settings" Target="settings.xml"/><Relationship Id="rId12" Type="http://schemas.openxmlformats.org/officeDocument/2006/relationships/hyperlink" Target="https://doi.org/10.1016/0038-0717(88)90058-2" TargetMode="External"/><Relationship Id="rId17" Type="http://schemas.openxmlformats.org/officeDocument/2006/relationships/hyperlink" Target="https://doi.org/10.1007/s13205-019-1994-z" TargetMode="External"/><Relationship Id="rId25" Type="http://schemas.openxmlformats.org/officeDocument/2006/relationships/hyperlink" Target="https://doi.org/10.1007/s10661-021-09286-6" TargetMode="External"/><Relationship Id="rId33" Type="http://schemas.openxmlformats.org/officeDocument/2006/relationships/hyperlink" Target="https://doi.org/10.1007/s00203-020-02113-5" TargetMode="External"/><Relationship Id="rId38" Type="http://schemas.openxmlformats.org/officeDocument/2006/relationships/hyperlink" Target="https://doi.org/10.25252/se/18/71610" TargetMode="External"/><Relationship Id="rId46" Type="http://schemas.openxmlformats.org/officeDocument/2006/relationships/hyperlink" Target="https://doi.org/10.1111/nyas.14936" TargetMode="External"/><Relationship Id="rId59" Type="http://schemas.openxmlformats.org/officeDocument/2006/relationships/hyperlink" Target="https://doi.org/10.1038/s41598-017-07198-" TargetMode="External"/><Relationship Id="rId67" Type="http://schemas.openxmlformats.org/officeDocument/2006/relationships/footer" Target="footer3.xml"/><Relationship Id="rId20" Type="http://schemas.openxmlformats.org/officeDocument/2006/relationships/hyperlink" Target="https://doi.org/10.3390/biom10101412" TargetMode="External"/><Relationship Id="rId41" Type="http://schemas.openxmlformats.org/officeDocument/2006/relationships/hyperlink" Target="https://doi.org/10.1080/14620316.2017.1310600" TargetMode="External"/><Relationship Id="rId54" Type="http://schemas.openxmlformats.org/officeDocument/2006/relationships/hyperlink" Target="https://doi.org/10.1007/s11540-023-09667-z"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27</Pages>
  <Words>12388</Words>
  <Characters>70612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 LNU</dc:creator>
  <cp:lastModifiedBy>DELL</cp:lastModifiedBy>
  <cp:revision>6</cp:revision>
  <dcterms:created xsi:type="dcterms:W3CDTF">2025-07-07T17:03:00Z</dcterms:created>
  <dcterms:modified xsi:type="dcterms:W3CDTF">2025-07-08T07:19:00Z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2024-07-03T06:03:03Z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e02474f2-d22d-4911-bbb1-bb58ef383039</vt:lpwstr>
  </property>
  <property fmtid="{D5CDD505-2E9C-101B-9397-08002B2CF9AE}" pid="7" name="MSIP_Label_defa4170-0d19-0005-0004-bc88714345d2_ActionId">
    <vt:lpwstr>d275aa28-2fbc-4908-b8d7-a607abc9a3fb</vt:lpwstr>
  </property>
  <property fmtid="{D5CDD505-2E9C-101B-9397-08002B2CF9AE}" pid="8" name="MSIP_Label_defa4170-0d19-0005-0004-bc88714345d2_ContentBits">
    <vt:lpwstr>0</vt:lpwstr>
  </property>
</Properties>
</file>