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68E4F4" w14:textId="77777777" w:rsidR="00A91E21" w:rsidRDefault="00A91E21" w:rsidP="00A91E21">
      <w:pPr>
        <w:pStyle w:val="Title"/>
        <w:spacing w:after="0"/>
        <w:jc w:val="both"/>
        <w:rPr>
          <w:rFonts w:ascii="Arial" w:hAnsi="Arial" w:cs="Arial"/>
        </w:rPr>
      </w:pPr>
    </w:p>
    <w:p w14:paraId="1324465A" w14:textId="77777777" w:rsidR="00A91E21" w:rsidRPr="00163BC4" w:rsidRDefault="00A91E21" w:rsidP="00A91E21">
      <w:pPr>
        <w:pStyle w:val="Author"/>
        <w:spacing w:line="240" w:lineRule="auto"/>
        <w:rPr>
          <w:rFonts w:ascii="Arial" w:hAnsi="Arial" w:cs="Arial"/>
          <w:bCs/>
          <w:iCs/>
          <w:kern w:val="28"/>
          <w:sz w:val="36"/>
        </w:rPr>
      </w:pPr>
      <w:r w:rsidRPr="00530AE7">
        <w:rPr>
          <w:rFonts w:ascii="Arial" w:hAnsi="Arial" w:cs="Arial"/>
          <w:sz w:val="36"/>
          <w:szCs w:val="36"/>
        </w:rPr>
        <w:t>Effect of Organic Acid Concentration and Leaching Time on the Efficiency of Nickel and Zinc</w:t>
      </w:r>
      <w:r w:rsidR="00351F36">
        <w:rPr>
          <w:rFonts w:ascii="Arial" w:hAnsi="Arial" w:cs="Arial"/>
          <w:sz w:val="36"/>
          <w:szCs w:val="36"/>
        </w:rPr>
        <w:t xml:space="preserve"> </w:t>
      </w:r>
      <w:r w:rsidR="00351F36" w:rsidRPr="00530AE7">
        <w:rPr>
          <w:rFonts w:ascii="Arial" w:hAnsi="Arial" w:cs="Arial"/>
          <w:sz w:val="36"/>
          <w:szCs w:val="36"/>
        </w:rPr>
        <w:t>Recovery</w:t>
      </w:r>
      <w:r w:rsidRPr="00530AE7">
        <w:rPr>
          <w:rFonts w:ascii="Arial" w:hAnsi="Arial" w:cs="Arial"/>
          <w:sz w:val="36"/>
          <w:szCs w:val="36"/>
        </w:rPr>
        <w:t xml:space="preserve"> from Waste Printed Circuit Boards of Mobile Phones</w:t>
      </w:r>
      <w:r>
        <w:rPr>
          <w:rFonts w:ascii="Arial" w:hAnsi="Arial" w:cs="Arial"/>
          <w:bCs/>
          <w:iCs/>
          <w:kern w:val="28"/>
          <w:sz w:val="36"/>
        </w:rPr>
        <w:t xml:space="preserve"> </w:t>
      </w:r>
    </w:p>
    <w:p w14:paraId="71AB98C6" w14:textId="77777777" w:rsidR="00A91E21" w:rsidRPr="00790ADA" w:rsidRDefault="00A91E21" w:rsidP="00A91E21">
      <w:pPr>
        <w:pStyle w:val="Author"/>
        <w:spacing w:line="240" w:lineRule="auto"/>
        <w:jc w:val="both"/>
        <w:rPr>
          <w:rFonts w:ascii="Arial" w:hAnsi="Arial" w:cs="Arial"/>
          <w:sz w:val="36"/>
        </w:rPr>
      </w:pPr>
    </w:p>
    <w:p w14:paraId="0759E0F5" w14:textId="77777777" w:rsidR="0072473A" w:rsidRDefault="0072473A" w:rsidP="000F4E4B">
      <w:pPr>
        <w:spacing w:after="0" w:line="240" w:lineRule="auto"/>
        <w:jc w:val="right"/>
        <w:rPr>
          <w:rFonts w:ascii="Arial" w:hAnsi="Arial" w:cs="Arial"/>
          <w:i/>
          <w:sz w:val="20"/>
          <w:szCs w:val="20"/>
          <w:lang w:val="en-GB"/>
        </w:rPr>
      </w:pPr>
    </w:p>
    <w:p w14:paraId="0F2A521E" w14:textId="77777777" w:rsidR="0072473A" w:rsidRPr="004516EA" w:rsidRDefault="0072473A" w:rsidP="000F4E4B">
      <w:pPr>
        <w:spacing w:after="0" w:line="240" w:lineRule="auto"/>
        <w:jc w:val="right"/>
        <w:rPr>
          <w:rFonts w:ascii="Arial" w:hAnsi="Arial" w:cs="Arial"/>
          <w:i/>
          <w:sz w:val="20"/>
          <w:szCs w:val="20"/>
          <w:lang w:val="en-GB"/>
        </w:rPr>
      </w:pPr>
    </w:p>
    <w:p w14:paraId="792382E1" w14:textId="659CFAF3" w:rsidR="00A91E21" w:rsidRDefault="00A91E21" w:rsidP="000F4E4B">
      <w:pPr>
        <w:pStyle w:val="Copyright"/>
        <w:spacing w:after="0" w:line="240" w:lineRule="auto"/>
        <w:jc w:val="both"/>
        <w:rPr>
          <w:rFonts w:ascii="Arial" w:hAnsi="Arial" w:cs="Arial"/>
        </w:rPr>
      </w:pPr>
      <w:proofErr w:type="gramStart"/>
      <w:r>
        <w:rPr>
          <w:rFonts w:ascii="Arial" w:hAnsi="Arial" w:cs="Arial"/>
        </w:rPr>
        <w:t>.</w:t>
      </w:r>
      <w:r w:rsidRPr="00FB3A86">
        <w:rPr>
          <w:rFonts w:ascii="Arial" w:hAnsi="Arial" w:cs="Arial"/>
        </w:rPr>
        <w:t>ABSTRACT</w:t>
      </w:r>
      <w:proofErr w:type="gramEnd"/>
    </w:p>
    <w:p w14:paraId="6260DE28" w14:textId="77777777" w:rsidR="00A91E21" w:rsidRDefault="00A91E21" w:rsidP="00A91E21">
      <w:pPr>
        <w:pStyle w:val="AbstHead"/>
        <w:spacing w:after="0"/>
        <w:jc w:val="both"/>
        <w:rPr>
          <w:rFonts w:ascii="Arial" w:hAnsi="Arial" w:cs="Arial"/>
        </w:rPr>
      </w:pPr>
    </w:p>
    <w:p w14:paraId="03021707" w14:textId="77777777" w:rsidR="0072473A" w:rsidRPr="00FB3A86" w:rsidRDefault="0072473A" w:rsidP="00A91E21">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A91E21" w:rsidRPr="005E623C" w14:paraId="7AFAB17F" w14:textId="77777777" w:rsidTr="004C0B53">
        <w:tc>
          <w:tcPr>
            <w:tcW w:w="9576" w:type="dxa"/>
            <w:shd w:val="clear" w:color="auto" w:fill="F2F2F2"/>
          </w:tcPr>
          <w:p w14:paraId="39379E71" w14:textId="73355104" w:rsidR="00A91E21" w:rsidRPr="005E623C" w:rsidRDefault="00A91E21" w:rsidP="004C0B53">
            <w:pPr>
              <w:pStyle w:val="Body"/>
              <w:spacing w:after="0"/>
              <w:rPr>
                <w:rFonts w:ascii="Arial" w:eastAsia="Calibri" w:hAnsi="Arial" w:cs="Arial"/>
              </w:rPr>
            </w:pPr>
            <w:r w:rsidRPr="005E623C">
              <w:rPr>
                <w:rFonts w:ascii="Arial" w:eastAsia="Calibri" w:hAnsi="Arial" w:cs="Arial"/>
                <w:b/>
              </w:rPr>
              <w:t xml:space="preserve">Aims: </w:t>
            </w:r>
            <w:r w:rsidRPr="005E623C">
              <w:rPr>
                <w:rFonts w:ascii="Arial" w:hAnsi="Arial" w:cs="Arial"/>
                <w:bCs/>
              </w:rPr>
              <w:t xml:space="preserve">The present work evaluated the effect of organic acid concentration and reaction </w:t>
            </w:r>
            <w:r w:rsidR="00E27270">
              <w:rPr>
                <w:rFonts w:ascii="Arial" w:hAnsi="Arial" w:cs="Arial"/>
                <w:bCs/>
              </w:rPr>
              <w:t>time on the recovery of Zn</w:t>
            </w:r>
            <w:r w:rsidRPr="005E623C">
              <w:rPr>
                <w:rFonts w:ascii="Arial" w:hAnsi="Arial" w:cs="Arial"/>
                <w:bCs/>
              </w:rPr>
              <w:t xml:space="preserve"> and Ni from waste printed circuit boards of cell phone.</w:t>
            </w:r>
          </w:p>
          <w:p w14:paraId="25C61CD6" w14:textId="77777777" w:rsidR="00A91E21" w:rsidRPr="005E623C" w:rsidRDefault="00A91E21" w:rsidP="004C0B53">
            <w:pPr>
              <w:pStyle w:val="Body"/>
              <w:spacing w:after="0"/>
              <w:rPr>
                <w:rFonts w:ascii="Arial" w:eastAsia="Calibri" w:hAnsi="Arial" w:cs="Arial"/>
              </w:rPr>
            </w:pPr>
            <w:r w:rsidRPr="005E623C">
              <w:rPr>
                <w:rFonts w:ascii="Arial" w:eastAsia="Calibri" w:hAnsi="Arial" w:cs="Arial"/>
                <w:b/>
              </w:rPr>
              <w:t>Study design:</w:t>
            </w:r>
            <w:r w:rsidRPr="005E623C">
              <w:rPr>
                <w:rFonts w:ascii="Arial" w:eastAsia="Calibri" w:hAnsi="Arial" w:cs="Arial"/>
              </w:rPr>
              <w:t xml:space="preserve">  A survey research design was adopted.</w:t>
            </w:r>
          </w:p>
          <w:p w14:paraId="3C4CF1AB" w14:textId="77777777" w:rsidR="00A91E21" w:rsidRPr="005E623C" w:rsidRDefault="00A91E21" w:rsidP="004C0B53">
            <w:pPr>
              <w:pStyle w:val="Body"/>
              <w:spacing w:after="0"/>
              <w:rPr>
                <w:rFonts w:ascii="Arial" w:eastAsia="Calibri" w:hAnsi="Arial" w:cs="Arial"/>
              </w:rPr>
            </w:pPr>
            <w:r w:rsidRPr="005E623C">
              <w:rPr>
                <w:rFonts w:ascii="Arial" w:eastAsia="Calibri" w:hAnsi="Arial" w:cs="Arial"/>
                <w:b/>
              </w:rPr>
              <w:t>Place and Duration of Study:</w:t>
            </w:r>
            <w:r w:rsidRPr="005E623C">
              <w:rPr>
                <w:rFonts w:ascii="Arial" w:eastAsia="Calibri" w:hAnsi="Arial" w:cs="Arial"/>
              </w:rPr>
              <w:t xml:space="preserve"> </w:t>
            </w:r>
            <w:r w:rsidRPr="005E623C">
              <w:rPr>
                <w:rFonts w:ascii="Arial" w:hAnsi="Arial" w:cs="Arial"/>
              </w:rPr>
              <w:t>Materials and Energy Technology Lab in Projects Development institute (PRODA) Enugu Nigeria</w:t>
            </w:r>
            <w:r w:rsidRPr="005E623C">
              <w:rPr>
                <w:rFonts w:ascii="Arial" w:eastAsia="Calibri" w:hAnsi="Arial" w:cs="Arial"/>
              </w:rPr>
              <w:t>, between March 2021 and December 2024.</w:t>
            </w:r>
          </w:p>
          <w:p w14:paraId="6EE0023D" w14:textId="77777777" w:rsidR="00A91E21" w:rsidRPr="005E623C" w:rsidRDefault="00A91E21" w:rsidP="004C0B53">
            <w:pPr>
              <w:pStyle w:val="Body"/>
              <w:spacing w:after="0"/>
              <w:rPr>
                <w:rFonts w:ascii="Arial" w:eastAsia="Calibri" w:hAnsi="Arial" w:cs="Arial"/>
              </w:rPr>
            </w:pPr>
            <w:r w:rsidRPr="005E623C">
              <w:rPr>
                <w:rFonts w:ascii="Arial" w:eastAsia="Calibri" w:hAnsi="Arial" w:cs="Arial"/>
                <w:b/>
                <w:bCs/>
              </w:rPr>
              <w:t>Methodology:</w:t>
            </w:r>
            <w:r w:rsidRPr="005E623C">
              <w:rPr>
                <w:rFonts w:ascii="Arial" w:eastAsia="Calibri" w:hAnsi="Arial" w:cs="Arial"/>
              </w:rPr>
              <w:t xml:space="preserve"> Cables and plastics were removed from circuit boards, and metals were extracted using heat, washed, dried, and treated in sodium hydroxide before being crushed and characterized using SEM-EDX and XRD. Acid leaching was then conducted using varying acid concentrations (1M, 2M, 3M, 4M and 5M) and times (2hrs, 3hrs, 4hrs, 5hrs and 6hrs) to compare metal recovery efficiency. Leachates were filtered and analyzed with atomic absorption spectrophotometry to quantify metal content following standard procedures.  </w:t>
            </w:r>
          </w:p>
          <w:p w14:paraId="22C2C530" w14:textId="049795FE" w:rsidR="00A91E21" w:rsidRPr="005E623C" w:rsidRDefault="00A91E21" w:rsidP="004C0B53">
            <w:pPr>
              <w:pStyle w:val="Body"/>
              <w:spacing w:after="0"/>
              <w:rPr>
                <w:rFonts w:ascii="Arial" w:eastAsia="Calibri" w:hAnsi="Arial" w:cs="Arial"/>
                <w:b/>
                <w:bCs/>
              </w:rPr>
            </w:pPr>
            <w:r w:rsidRPr="005E623C">
              <w:rPr>
                <w:rFonts w:ascii="Arial" w:eastAsia="Calibri" w:hAnsi="Arial" w:cs="Arial"/>
                <w:b/>
                <w:bCs/>
              </w:rPr>
              <w:t>Results:</w:t>
            </w:r>
            <w:r w:rsidRPr="005E623C">
              <w:rPr>
                <w:rFonts w:ascii="Arial" w:eastAsia="Calibri" w:hAnsi="Arial" w:cs="Arial"/>
              </w:rPr>
              <w:t xml:space="preserve"> The SEM-EDX and XRD result indicates a copper-zinc-nickel alloy, likely a type of brass or nickel silver. The morphology shows an irregular surface, possibly with some porosity or particle clusters with some trace elements as impurities. </w:t>
            </w:r>
            <w:r w:rsidR="005E623C" w:rsidRPr="005E623C">
              <w:rPr>
                <w:rFonts w:ascii="Arial" w:eastAsia="Calibri" w:hAnsi="Arial" w:cs="Arial"/>
              </w:rPr>
              <w:t xml:space="preserve">Zn and Ni were successfully recovered from waste PCB of cell phone when leached with oxalic acid for 2 hours recording the highest recovery efficiency of 14.90% and 37.5% as leaching time was varied. Then citric acid (15.75%), malic acid (12.95%) and the combination of citric, malic and oxalic acids (6.39%) were recorded as highest efficiencies at 2 hours when Ni was leached. At varied concentration, </w:t>
            </w:r>
            <w:r w:rsidR="005E623C" w:rsidRPr="005E623C">
              <w:rPr>
                <w:rFonts w:ascii="Arial" w:hAnsi="Arial" w:cs="Arial"/>
              </w:rPr>
              <w:t>oxalic acid had the highest efficiency in the recovery of Zn and Ni (</w:t>
            </w:r>
            <w:r w:rsidR="005E623C" w:rsidRPr="005E623C">
              <w:rPr>
                <w:rFonts w:ascii="Arial" w:hAnsi="Arial" w:cs="Arial"/>
                <w:lang w:eastAsia="en-GB"/>
              </w:rPr>
              <w:t xml:space="preserve">53.12 % and 88.91 %) </w:t>
            </w:r>
            <w:r w:rsidR="005E623C" w:rsidRPr="005E623C">
              <w:rPr>
                <w:rFonts w:ascii="Arial" w:hAnsi="Arial" w:cs="Arial"/>
              </w:rPr>
              <w:t>as compared to other acids and their combination.</w:t>
            </w:r>
          </w:p>
          <w:p w14:paraId="251392FD" w14:textId="77777777" w:rsidR="00A91E21" w:rsidRPr="005E623C" w:rsidRDefault="00A91E21" w:rsidP="003F0558">
            <w:pPr>
              <w:pStyle w:val="Body"/>
              <w:spacing w:after="0"/>
              <w:rPr>
                <w:rFonts w:ascii="Arial" w:eastAsia="Calibri" w:hAnsi="Arial" w:cs="Arial"/>
              </w:rPr>
            </w:pPr>
            <w:r w:rsidRPr="005E623C">
              <w:rPr>
                <w:rFonts w:ascii="Arial" w:eastAsia="Calibri" w:hAnsi="Arial" w:cs="Arial"/>
                <w:b/>
                <w:bCs/>
              </w:rPr>
              <w:t>Conclusion:</w:t>
            </w:r>
            <w:r w:rsidRPr="005E623C">
              <w:rPr>
                <w:rFonts w:ascii="Arial" w:eastAsia="Calibri" w:hAnsi="Arial" w:cs="Arial"/>
              </w:rPr>
              <w:t xml:space="preserve"> </w:t>
            </w:r>
            <w:r w:rsidR="003F0558" w:rsidRPr="005E623C">
              <w:rPr>
                <w:rFonts w:ascii="Arial" w:eastAsia="Calibri" w:hAnsi="Arial" w:cs="Arial"/>
              </w:rPr>
              <w:t>T</w:t>
            </w:r>
            <w:r w:rsidRPr="005E623C">
              <w:rPr>
                <w:rFonts w:ascii="Arial" w:eastAsia="Calibri" w:hAnsi="Arial" w:cs="Arial"/>
              </w:rPr>
              <w:t>he impact of concentration on leach</w:t>
            </w:r>
            <w:r w:rsidR="003F0558" w:rsidRPr="005E623C">
              <w:rPr>
                <w:rFonts w:ascii="Arial" w:eastAsia="Calibri" w:hAnsi="Arial" w:cs="Arial"/>
              </w:rPr>
              <w:t xml:space="preserve">ing efficiency was higher </w:t>
            </w:r>
            <w:r w:rsidRPr="005E623C">
              <w:rPr>
                <w:rFonts w:ascii="Arial" w:eastAsia="Calibri" w:hAnsi="Arial" w:cs="Arial"/>
              </w:rPr>
              <w:t xml:space="preserve">compared </w:t>
            </w:r>
            <w:r w:rsidR="003F0558" w:rsidRPr="005E623C">
              <w:rPr>
                <w:rFonts w:ascii="Arial" w:eastAsia="Calibri" w:hAnsi="Arial" w:cs="Arial"/>
              </w:rPr>
              <w:t xml:space="preserve">to </w:t>
            </w:r>
            <w:r w:rsidRPr="005E623C">
              <w:rPr>
                <w:rFonts w:ascii="Arial" w:eastAsia="Calibri" w:hAnsi="Arial" w:cs="Arial"/>
              </w:rPr>
              <w:t>the impact observed when time was varied. It is suggested that leaching with different degrees of oxidant be carried out to enhance the efficiency of the other acids.</w:t>
            </w:r>
          </w:p>
        </w:tc>
      </w:tr>
    </w:tbl>
    <w:p w14:paraId="7E78612D" w14:textId="77777777" w:rsidR="00A91E21" w:rsidRDefault="00A91E21" w:rsidP="00A91E21">
      <w:pPr>
        <w:pStyle w:val="Body"/>
        <w:spacing w:after="0"/>
        <w:rPr>
          <w:rFonts w:ascii="Arial" w:hAnsi="Arial" w:cs="Arial"/>
          <w:i/>
        </w:rPr>
      </w:pPr>
    </w:p>
    <w:p w14:paraId="6B34E7EB" w14:textId="77777777" w:rsidR="006719C8" w:rsidRPr="000952A5" w:rsidRDefault="006719C8" w:rsidP="006719C8">
      <w:pPr>
        <w:jc w:val="both"/>
        <w:rPr>
          <w:rFonts w:ascii="Arial" w:hAnsi="Arial" w:cs="Arial"/>
          <w:sz w:val="20"/>
          <w:szCs w:val="24"/>
        </w:rPr>
      </w:pPr>
      <w:r w:rsidRPr="000952A5">
        <w:rPr>
          <w:rFonts w:ascii="Arial" w:hAnsi="Arial" w:cs="Arial"/>
          <w:sz w:val="20"/>
          <w:szCs w:val="24"/>
        </w:rPr>
        <w:t>Keywords</w:t>
      </w:r>
      <w:r w:rsidRPr="000952A5">
        <w:rPr>
          <w:rFonts w:ascii="Arial" w:hAnsi="Arial" w:cs="Arial"/>
          <w:i/>
          <w:sz w:val="20"/>
          <w:szCs w:val="24"/>
        </w:rPr>
        <w:t xml:space="preserve">: </w:t>
      </w:r>
      <w:r w:rsidRPr="000952A5">
        <w:rPr>
          <w:rFonts w:ascii="Arial" w:hAnsi="Arial" w:cs="Arial"/>
          <w:b/>
          <w:sz w:val="20"/>
          <w:szCs w:val="24"/>
        </w:rPr>
        <w:t>printed circuit board; acid leaching; base metal; e- waste; kinetics</w:t>
      </w:r>
    </w:p>
    <w:p w14:paraId="67B203DA" w14:textId="77777777" w:rsidR="006719C8" w:rsidRPr="000952A5" w:rsidRDefault="006719C8" w:rsidP="000952A5">
      <w:pPr>
        <w:pStyle w:val="ListParagraph"/>
        <w:numPr>
          <w:ilvl w:val="0"/>
          <w:numId w:val="1"/>
        </w:numPr>
        <w:spacing w:line="360" w:lineRule="auto"/>
        <w:ind w:left="360"/>
        <w:rPr>
          <w:rFonts w:ascii="Arial" w:hAnsi="Arial" w:cs="Arial"/>
          <w:b/>
          <w:bCs/>
          <w:szCs w:val="24"/>
        </w:rPr>
      </w:pPr>
      <w:r w:rsidRPr="000952A5">
        <w:rPr>
          <w:rFonts w:ascii="Arial" w:hAnsi="Arial" w:cs="Arial"/>
          <w:b/>
          <w:bCs/>
          <w:szCs w:val="24"/>
        </w:rPr>
        <w:t>INTRODUCTION</w:t>
      </w:r>
    </w:p>
    <w:p w14:paraId="334AA82C" w14:textId="3877FCF8" w:rsidR="001E119A" w:rsidRPr="005E623C" w:rsidRDefault="001E119A" w:rsidP="002E2ECE">
      <w:pPr>
        <w:spacing w:line="360" w:lineRule="auto"/>
        <w:ind w:left="360"/>
        <w:jc w:val="both"/>
        <w:rPr>
          <w:rFonts w:ascii="Arial" w:hAnsi="Arial" w:cs="Arial"/>
          <w:bCs/>
          <w:sz w:val="20"/>
          <w:szCs w:val="24"/>
        </w:rPr>
      </w:pPr>
      <w:r w:rsidRPr="000952A5">
        <w:rPr>
          <w:rFonts w:ascii="Arial" w:hAnsi="Arial" w:cs="Arial"/>
          <w:bCs/>
          <w:sz w:val="20"/>
          <w:szCs w:val="24"/>
        </w:rPr>
        <w:t xml:space="preserve">The manufacturing of electrical and electronic equipment (EEE) and the associated generation of electronic waste (e-waste) is experiencing a rapid growth due to the high consumption of electronic devices and their early obsolescence throughout the world. </w:t>
      </w:r>
      <w:r w:rsidRPr="005E623C">
        <w:rPr>
          <w:rFonts w:ascii="Arial" w:hAnsi="Arial" w:cs="Arial"/>
          <w:bCs/>
          <w:sz w:val="20"/>
          <w:szCs w:val="24"/>
        </w:rPr>
        <w:t>Electrical and electronic items such as computers, TV sets, mobile phones etc. have made our life simpler.</w:t>
      </w:r>
      <w:r w:rsidR="002E2ECE" w:rsidRPr="005E623C">
        <w:rPr>
          <w:rFonts w:ascii="Arial" w:hAnsi="Arial" w:cs="Arial"/>
          <w:bCs/>
          <w:sz w:val="20"/>
          <w:szCs w:val="24"/>
        </w:rPr>
        <w:t xml:space="preserve"> However, it is one type of waste with great environmental concern and economic value (</w:t>
      </w:r>
      <w:proofErr w:type="spellStart"/>
      <w:r w:rsidR="002E2ECE" w:rsidRPr="005E623C">
        <w:rPr>
          <w:rFonts w:ascii="Arial" w:hAnsi="Arial" w:cs="Arial"/>
          <w:bCs/>
          <w:sz w:val="20"/>
          <w:szCs w:val="24"/>
        </w:rPr>
        <w:t>Ajiboye</w:t>
      </w:r>
      <w:proofErr w:type="spellEnd"/>
      <w:r w:rsidR="002E2ECE" w:rsidRPr="005E623C">
        <w:rPr>
          <w:rFonts w:ascii="Arial" w:hAnsi="Arial" w:cs="Arial"/>
          <w:bCs/>
          <w:sz w:val="20"/>
          <w:szCs w:val="24"/>
        </w:rPr>
        <w:t xml:space="preserve"> et al., 2019).</w:t>
      </w:r>
      <w:r w:rsidRPr="005E623C">
        <w:rPr>
          <w:rFonts w:ascii="Arial" w:hAnsi="Arial" w:cs="Arial"/>
          <w:bCs/>
          <w:sz w:val="20"/>
          <w:szCs w:val="24"/>
        </w:rPr>
        <w:t xml:space="preserve"> On the other end, management of the waste generated by these products has become a serious challenge to environmentalists, waste management professionals and governments around the world (Musson et al, 2000, Cui et al, 2003</w:t>
      </w:r>
      <w:r w:rsidR="009F4398" w:rsidRPr="005E623C">
        <w:rPr>
          <w:rFonts w:ascii="Arial" w:hAnsi="Arial" w:cs="Arial"/>
          <w:bCs/>
          <w:sz w:val="20"/>
          <w:szCs w:val="24"/>
        </w:rPr>
        <w:t xml:space="preserve">; </w:t>
      </w:r>
      <w:proofErr w:type="spellStart"/>
      <w:r w:rsidR="009F4398" w:rsidRPr="005E623C">
        <w:rPr>
          <w:rFonts w:ascii="Arial" w:hAnsi="Arial" w:cs="Arial"/>
          <w:bCs/>
          <w:sz w:val="20"/>
          <w:szCs w:val="24"/>
        </w:rPr>
        <w:t>Naik</w:t>
      </w:r>
      <w:proofErr w:type="spellEnd"/>
      <w:r w:rsidR="009F4398" w:rsidRPr="005E623C">
        <w:rPr>
          <w:rFonts w:ascii="Arial" w:hAnsi="Arial" w:cs="Arial"/>
          <w:bCs/>
          <w:sz w:val="20"/>
          <w:szCs w:val="24"/>
        </w:rPr>
        <w:t xml:space="preserve"> and </w:t>
      </w:r>
      <w:proofErr w:type="spellStart"/>
      <w:r w:rsidR="009F4398" w:rsidRPr="005E623C">
        <w:rPr>
          <w:rFonts w:ascii="Arial" w:hAnsi="Arial" w:cs="Arial"/>
          <w:bCs/>
          <w:sz w:val="20"/>
          <w:szCs w:val="24"/>
        </w:rPr>
        <w:t>Eswari</w:t>
      </w:r>
      <w:proofErr w:type="spellEnd"/>
      <w:r w:rsidR="009F4398" w:rsidRPr="005E623C">
        <w:rPr>
          <w:rFonts w:ascii="Arial" w:hAnsi="Arial" w:cs="Arial"/>
          <w:bCs/>
          <w:sz w:val="20"/>
          <w:szCs w:val="24"/>
        </w:rPr>
        <w:t>, 2022</w:t>
      </w:r>
      <w:r w:rsidRPr="005E623C">
        <w:rPr>
          <w:rFonts w:ascii="Arial" w:hAnsi="Arial" w:cs="Arial"/>
          <w:bCs/>
          <w:sz w:val="20"/>
          <w:szCs w:val="24"/>
        </w:rPr>
        <w:t>). Disposal of e-waste in landfill causes metal leaching (Dagan et al 2007) while burning of e-waste produces extremely hazardous dioxins and furans (Li et al, 2007</w:t>
      </w:r>
      <w:r w:rsidR="009F4398" w:rsidRPr="005E623C">
        <w:rPr>
          <w:rFonts w:ascii="Arial" w:hAnsi="Arial" w:cs="Arial"/>
          <w:bCs/>
          <w:sz w:val="20"/>
          <w:szCs w:val="24"/>
        </w:rPr>
        <w:t xml:space="preserve">; </w:t>
      </w:r>
      <w:proofErr w:type="spellStart"/>
      <w:r w:rsidR="009F4398" w:rsidRPr="005E623C">
        <w:rPr>
          <w:rFonts w:ascii="Arial" w:hAnsi="Arial" w:cs="Arial"/>
          <w:bCs/>
          <w:sz w:val="20"/>
          <w:szCs w:val="24"/>
        </w:rPr>
        <w:t>Saha</w:t>
      </w:r>
      <w:proofErr w:type="spellEnd"/>
      <w:r w:rsidR="009F4398" w:rsidRPr="005E623C">
        <w:rPr>
          <w:rFonts w:ascii="Arial" w:hAnsi="Arial" w:cs="Arial"/>
          <w:bCs/>
          <w:sz w:val="20"/>
          <w:szCs w:val="24"/>
        </w:rPr>
        <w:t xml:space="preserve"> et al., 2021; Morell </w:t>
      </w:r>
      <w:proofErr w:type="spellStart"/>
      <w:r w:rsidR="009F4398" w:rsidRPr="005E623C">
        <w:rPr>
          <w:rFonts w:ascii="Arial" w:hAnsi="Arial" w:cs="Arial"/>
          <w:bCs/>
          <w:sz w:val="20"/>
          <w:szCs w:val="24"/>
        </w:rPr>
        <w:t>Llorens</w:t>
      </w:r>
      <w:proofErr w:type="spellEnd"/>
      <w:r w:rsidR="009F4398" w:rsidRPr="005E623C">
        <w:rPr>
          <w:rFonts w:ascii="Arial" w:hAnsi="Arial" w:cs="Arial"/>
          <w:bCs/>
          <w:sz w:val="20"/>
          <w:szCs w:val="24"/>
        </w:rPr>
        <w:t xml:space="preserve"> et al., 2025</w:t>
      </w:r>
      <w:r w:rsidRPr="005E623C">
        <w:rPr>
          <w:rFonts w:ascii="Arial" w:hAnsi="Arial" w:cs="Arial"/>
          <w:bCs/>
          <w:sz w:val="20"/>
          <w:szCs w:val="24"/>
        </w:rPr>
        <w:t xml:space="preserve">). Proper management of e waste will help the </w:t>
      </w:r>
      <w:r w:rsidRPr="005E623C">
        <w:rPr>
          <w:rFonts w:ascii="Arial" w:hAnsi="Arial" w:cs="Arial"/>
          <w:bCs/>
          <w:sz w:val="20"/>
          <w:szCs w:val="24"/>
        </w:rPr>
        <w:lastRenderedPageBreak/>
        <w:t xml:space="preserve">economic implication of their reuse if well harnessed. Mobile phones are one of the major contributors of e-waste because the newer technologies are incorporated and older </w:t>
      </w:r>
      <w:r w:rsidR="000952A5" w:rsidRPr="005E623C">
        <w:rPr>
          <w:rFonts w:ascii="Arial" w:hAnsi="Arial" w:cs="Arial"/>
          <w:bCs/>
          <w:sz w:val="20"/>
          <w:szCs w:val="24"/>
        </w:rPr>
        <w:t xml:space="preserve">versions are discarded rapidly. </w:t>
      </w:r>
      <w:r w:rsidRPr="005E623C">
        <w:rPr>
          <w:rFonts w:ascii="Arial" w:hAnsi="Arial" w:cs="Arial"/>
          <w:bCs/>
          <w:sz w:val="20"/>
          <w:szCs w:val="24"/>
        </w:rPr>
        <w:t>Therefore, these are regarded as short-life-cycle electronic products (Santos et al 2010). The average life of mobile phones is less than two years in the developed countries and three years in the developing countries (Ogunniyi et al., 2009</w:t>
      </w:r>
      <w:r w:rsidR="009F4398" w:rsidRPr="005E623C">
        <w:rPr>
          <w:rFonts w:ascii="Arial" w:hAnsi="Arial" w:cs="Arial"/>
          <w:bCs/>
          <w:sz w:val="20"/>
          <w:szCs w:val="24"/>
        </w:rPr>
        <w:t xml:space="preserve">; </w:t>
      </w:r>
      <w:proofErr w:type="spellStart"/>
      <w:r w:rsidR="009F4398" w:rsidRPr="005E623C">
        <w:rPr>
          <w:rFonts w:ascii="Arial" w:hAnsi="Arial" w:cs="Arial"/>
          <w:bCs/>
          <w:sz w:val="20"/>
          <w:szCs w:val="24"/>
        </w:rPr>
        <w:t>Guo</w:t>
      </w:r>
      <w:proofErr w:type="spellEnd"/>
      <w:r w:rsidR="009F4398" w:rsidRPr="005E623C">
        <w:rPr>
          <w:rFonts w:ascii="Arial" w:hAnsi="Arial" w:cs="Arial"/>
          <w:bCs/>
          <w:sz w:val="20"/>
          <w:szCs w:val="24"/>
        </w:rPr>
        <w:t xml:space="preserve"> and Yan, 2017</w:t>
      </w:r>
      <w:r w:rsidRPr="005E623C">
        <w:rPr>
          <w:rFonts w:ascii="Arial" w:hAnsi="Arial" w:cs="Arial"/>
          <w:bCs/>
          <w:sz w:val="20"/>
          <w:szCs w:val="24"/>
        </w:rPr>
        <w:t xml:space="preserve">). Mobile phone is a complex machine comprised of various components, wherein plastic, printed Circuit board (PCB), battery, and liquid crystal display (LCD) are the major ones. </w:t>
      </w:r>
    </w:p>
    <w:p w14:paraId="522281FD" w14:textId="7C0B1CD7" w:rsidR="0094415E" w:rsidRPr="000952A5" w:rsidRDefault="001E119A" w:rsidP="001E119A">
      <w:pPr>
        <w:spacing w:line="360" w:lineRule="auto"/>
        <w:jc w:val="both"/>
        <w:rPr>
          <w:rFonts w:ascii="Arial" w:hAnsi="Arial" w:cs="Arial"/>
          <w:bCs/>
          <w:sz w:val="20"/>
          <w:szCs w:val="24"/>
        </w:rPr>
      </w:pPr>
      <w:r w:rsidRPr="005E623C">
        <w:rPr>
          <w:rFonts w:ascii="Arial" w:hAnsi="Arial" w:cs="Arial"/>
          <w:bCs/>
          <w:sz w:val="20"/>
          <w:szCs w:val="24"/>
        </w:rPr>
        <w:t>The major methods for recovering metals from PCBs of cell phone include pyrometallurgical and hydrometallurgical pro</w:t>
      </w:r>
      <w:r w:rsidR="000952A5" w:rsidRPr="005E623C">
        <w:rPr>
          <w:rFonts w:ascii="Arial" w:hAnsi="Arial" w:cs="Arial"/>
          <w:bCs/>
          <w:sz w:val="20"/>
          <w:szCs w:val="24"/>
        </w:rPr>
        <w:t>cesses (</w:t>
      </w:r>
      <w:proofErr w:type="spellStart"/>
      <w:r w:rsidR="000952A5" w:rsidRPr="005E623C">
        <w:rPr>
          <w:rFonts w:ascii="Arial" w:hAnsi="Arial" w:cs="Arial"/>
          <w:bCs/>
          <w:sz w:val="20"/>
          <w:szCs w:val="24"/>
        </w:rPr>
        <w:t>Birloaga</w:t>
      </w:r>
      <w:proofErr w:type="spellEnd"/>
      <w:r w:rsidR="000952A5" w:rsidRPr="005E623C">
        <w:rPr>
          <w:rFonts w:ascii="Arial" w:hAnsi="Arial" w:cs="Arial"/>
          <w:bCs/>
          <w:sz w:val="20"/>
          <w:szCs w:val="24"/>
        </w:rPr>
        <w:t xml:space="preserve"> et al., 2013</w:t>
      </w:r>
      <w:r w:rsidR="009F4398" w:rsidRPr="005E623C">
        <w:rPr>
          <w:rFonts w:ascii="Arial" w:hAnsi="Arial" w:cs="Arial"/>
          <w:bCs/>
          <w:sz w:val="20"/>
          <w:szCs w:val="24"/>
        </w:rPr>
        <w:t xml:space="preserve">; </w:t>
      </w:r>
      <w:r w:rsidR="009F4398" w:rsidRPr="005E623C">
        <w:rPr>
          <w:rFonts w:ascii="Arial" w:hAnsi="Arial" w:cs="Arial"/>
          <w:color w:val="222222"/>
          <w:sz w:val="20"/>
          <w:szCs w:val="20"/>
          <w:shd w:val="clear" w:color="auto" w:fill="FFFFFF"/>
        </w:rPr>
        <w:t xml:space="preserve">Morell </w:t>
      </w:r>
      <w:proofErr w:type="spellStart"/>
      <w:r w:rsidR="009F4398" w:rsidRPr="005E623C">
        <w:rPr>
          <w:rFonts w:ascii="Arial" w:hAnsi="Arial" w:cs="Arial"/>
          <w:color w:val="222222"/>
          <w:sz w:val="20"/>
          <w:szCs w:val="20"/>
          <w:shd w:val="clear" w:color="auto" w:fill="FFFFFF"/>
        </w:rPr>
        <w:t>Llorens</w:t>
      </w:r>
      <w:proofErr w:type="spellEnd"/>
      <w:r w:rsidR="009F4398" w:rsidRPr="005E623C">
        <w:rPr>
          <w:rFonts w:ascii="Arial" w:hAnsi="Arial" w:cs="Arial"/>
          <w:color w:val="222222"/>
          <w:sz w:val="20"/>
          <w:szCs w:val="20"/>
          <w:shd w:val="clear" w:color="auto" w:fill="FFFFFF"/>
        </w:rPr>
        <w:t xml:space="preserve"> et al., 2025</w:t>
      </w:r>
      <w:r w:rsidR="000952A5" w:rsidRPr="005E623C">
        <w:rPr>
          <w:rFonts w:ascii="Arial" w:hAnsi="Arial" w:cs="Arial"/>
          <w:bCs/>
          <w:sz w:val="20"/>
          <w:szCs w:val="24"/>
        </w:rPr>
        <w:t xml:space="preserve">). </w:t>
      </w:r>
      <w:r w:rsidRPr="005E623C">
        <w:rPr>
          <w:rFonts w:ascii="Arial" w:hAnsi="Arial" w:cs="Arial"/>
          <w:bCs/>
          <w:sz w:val="20"/>
          <w:szCs w:val="24"/>
        </w:rPr>
        <w:t xml:space="preserve">In recent years, the hydrometallurgical processes attracted particular attention for the treatment of E-waste. Several researchers showed the effectiveness of strong acids as </w:t>
      </w:r>
      <w:proofErr w:type="spellStart"/>
      <w:r w:rsidRPr="005E623C">
        <w:rPr>
          <w:rFonts w:ascii="Arial" w:hAnsi="Arial" w:cs="Arial"/>
          <w:bCs/>
          <w:sz w:val="20"/>
          <w:szCs w:val="24"/>
        </w:rPr>
        <w:t>leachant</w:t>
      </w:r>
      <w:proofErr w:type="spellEnd"/>
      <w:r w:rsidRPr="005E623C">
        <w:rPr>
          <w:rFonts w:ascii="Arial" w:hAnsi="Arial" w:cs="Arial"/>
          <w:bCs/>
          <w:sz w:val="20"/>
          <w:szCs w:val="24"/>
        </w:rPr>
        <w:t xml:space="preserve"> for leaching of metals (</w:t>
      </w:r>
      <w:proofErr w:type="spellStart"/>
      <w:r w:rsidRPr="005E623C">
        <w:rPr>
          <w:rFonts w:ascii="Arial" w:hAnsi="Arial" w:cs="Arial"/>
          <w:bCs/>
          <w:sz w:val="20"/>
          <w:szCs w:val="24"/>
        </w:rPr>
        <w:t>Tuncuk</w:t>
      </w:r>
      <w:proofErr w:type="spellEnd"/>
      <w:r w:rsidRPr="005E623C">
        <w:rPr>
          <w:rFonts w:ascii="Arial" w:hAnsi="Arial" w:cs="Arial"/>
          <w:bCs/>
          <w:sz w:val="20"/>
          <w:szCs w:val="24"/>
        </w:rPr>
        <w:t xml:space="preserve"> et al. 2012; </w:t>
      </w:r>
      <w:proofErr w:type="spellStart"/>
      <w:r w:rsidRPr="005E623C">
        <w:rPr>
          <w:rFonts w:ascii="Arial" w:hAnsi="Arial" w:cs="Arial"/>
          <w:bCs/>
          <w:sz w:val="20"/>
          <w:szCs w:val="24"/>
        </w:rPr>
        <w:t>Akcil</w:t>
      </w:r>
      <w:proofErr w:type="spellEnd"/>
      <w:r w:rsidRPr="005E623C">
        <w:rPr>
          <w:rFonts w:ascii="Arial" w:hAnsi="Arial" w:cs="Arial"/>
          <w:bCs/>
          <w:sz w:val="20"/>
          <w:szCs w:val="24"/>
        </w:rPr>
        <w:t xml:space="preserve"> et al. 2015</w:t>
      </w:r>
      <w:r w:rsidR="00A92B66" w:rsidRPr="005E623C">
        <w:rPr>
          <w:rFonts w:ascii="Arial" w:hAnsi="Arial" w:cs="Arial"/>
          <w:bCs/>
          <w:sz w:val="20"/>
          <w:szCs w:val="24"/>
        </w:rPr>
        <w:t xml:space="preserve">; </w:t>
      </w:r>
      <w:proofErr w:type="spellStart"/>
      <w:r w:rsidR="00A92B66" w:rsidRPr="005E623C">
        <w:rPr>
          <w:rFonts w:ascii="Arial" w:hAnsi="Arial" w:cs="Arial"/>
          <w:bCs/>
          <w:sz w:val="20"/>
          <w:szCs w:val="24"/>
        </w:rPr>
        <w:t>Ajiboye</w:t>
      </w:r>
      <w:proofErr w:type="spellEnd"/>
      <w:r w:rsidR="00A92B66" w:rsidRPr="005E623C">
        <w:rPr>
          <w:rFonts w:ascii="Arial" w:hAnsi="Arial" w:cs="Arial"/>
          <w:bCs/>
          <w:sz w:val="20"/>
          <w:szCs w:val="24"/>
        </w:rPr>
        <w:t xml:space="preserve"> et al., 2019</w:t>
      </w:r>
      <w:r w:rsidRPr="005E623C">
        <w:rPr>
          <w:rFonts w:ascii="Arial" w:hAnsi="Arial" w:cs="Arial"/>
          <w:bCs/>
          <w:sz w:val="20"/>
          <w:szCs w:val="24"/>
        </w:rPr>
        <w:t>). However, the release of Cl</w:t>
      </w:r>
      <w:r w:rsidRPr="005E623C">
        <w:rPr>
          <w:rFonts w:ascii="Arial" w:hAnsi="Arial" w:cs="Arial"/>
          <w:bCs/>
          <w:sz w:val="20"/>
          <w:szCs w:val="24"/>
          <w:vertAlign w:val="subscript"/>
        </w:rPr>
        <w:t>2</w:t>
      </w:r>
      <w:r w:rsidRPr="005E623C">
        <w:rPr>
          <w:rFonts w:ascii="Arial" w:hAnsi="Arial" w:cs="Arial"/>
          <w:bCs/>
          <w:sz w:val="20"/>
          <w:szCs w:val="24"/>
        </w:rPr>
        <w:t>, SO</w:t>
      </w:r>
      <w:r w:rsidRPr="005E623C">
        <w:rPr>
          <w:rFonts w:ascii="Arial" w:hAnsi="Arial" w:cs="Arial"/>
          <w:bCs/>
          <w:sz w:val="20"/>
          <w:szCs w:val="24"/>
          <w:vertAlign w:val="subscript"/>
        </w:rPr>
        <w:t>3</w:t>
      </w:r>
      <w:r w:rsidRPr="005E623C">
        <w:rPr>
          <w:rFonts w:ascii="Arial" w:hAnsi="Arial" w:cs="Arial"/>
          <w:bCs/>
          <w:sz w:val="20"/>
          <w:szCs w:val="24"/>
        </w:rPr>
        <w:t>, NOx, and the acidic wastewaters during the leaching process are a threat to the environment. Therefore, there is a need for the development of environmentally friendly hydro metallurgical processes for future applications. Use of organic acids, is a suitable alternative. Organic acids are considered to be leaching</w:t>
      </w:r>
      <w:r w:rsidRPr="000952A5">
        <w:rPr>
          <w:rFonts w:ascii="Arial" w:hAnsi="Arial" w:cs="Arial"/>
          <w:bCs/>
          <w:sz w:val="20"/>
          <w:szCs w:val="24"/>
        </w:rPr>
        <w:t xml:space="preserve"> media that do not pollute the environment; they are ecologically friendly and efficient, and can be used for the selective leaching of metals. Organic acids are biodegradable and the waste generated in the leaching stage is easy to handle. Although some organic acids are more expensive than inorganic acids, their use is still cost effective. Several researchers have used citric acid and H</w:t>
      </w:r>
      <w:r w:rsidRPr="00A92B66">
        <w:rPr>
          <w:rFonts w:ascii="Arial" w:hAnsi="Arial" w:cs="Arial"/>
          <w:bCs/>
          <w:sz w:val="20"/>
          <w:szCs w:val="24"/>
          <w:vertAlign w:val="subscript"/>
        </w:rPr>
        <w:t>2</w:t>
      </w:r>
      <w:r w:rsidRPr="000952A5">
        <w:rPr>
          <w:rFonts w:ascii="Arial" w:hAnsi="Arial" w:cs="Arial"/>
          <w:bCs/>
          <w:sz w:val="20"/>
          <w:szCs w:val="24"/>
        </w:rPr>
        <w:t>O</w:t>
      </w:r>
      <w:r w:rsidRPr="00A92B66">
        <w:rPr>
          <w:rFonts w:ascii="Arial" w:hAnsi="Arial" w:cs="Arial"/>
          <w:bCs/>
          <w:sz w:val="20"/>
          <w:szCs w:val="24"/>
          <w:vertAlign w:val="subscript"/>
        </w:rPr>
        <w:t>2</w:t>
      </w:r>
      <w:r w:rsidRPr="000952A5">
        <w:rPr>
          <w:rFonts w:ascii="Arial" w:hAnsi="Arial" w:cs="Arial"/>
          <w:bCs/>
          <w:sz w:val="20"/>
          <w:szCs w:val="24"/>
        </w:rPr>
        <w:t xml:space="preserve"> for leaching of metals from scrap battery paste, sewage sludge, and waste lithium cobalt battery (Sonmez and Kumar 2009;). Citric acid dissolves in water easily. It degrades under aerobic and anaerobic conditions. Therefore, the waste solutions generated after metal leaching can be treated easily</w:t>
      </w:r>
      <w:r w:rsidR="00A92B66">
        <w:rPr>
          <w:rFonts w:ascii="Arial" w:hAnsi="Arial" w:cs="Arial"/>
          <w:bCs/>
          <w:sz w:val="20"/>
          <w:szCs w:val="24"/>
        </w:rPr>
        <w:t xml:space="preserve">. </w:t>
      </w:r>
      <w:proofErr w:type="spellStart"/>
      <w:r w:rsidRPr="000952A5">
        <w:rPr>
          <w:rFonts w:ascii="Arial" w:hAnsi="Arial" w:cs="Arial"/>
          <w:bCs/>
          <w:sz w:val="20"/>
          <w:szCs w:val="24"/>
        </w:rPr>
        <w:t>Jadhav</w:t>
      </w:r>
      <w:proofErr w:type="spellEnd"/>
      <w:r w:rsidRPr="000952A5">
        <w:rPr>
          <w:rFonts w:ascii="Arial" w:hAnsi="Arial" w:cs="Arial"/>
          <w:bCs/>
          <w:sz w:val="20"/>
          <w:szCs w:val="24"/>
        </w:rPr>
        <w:t xml:space="preserve"> et al.</w:t>
      </w:r>
      <w:r w:rsidR="00A92B66">
        <w:rPr>
          <w:rFonts w:ascii="Arial" w:hAnsi="Arial" w:cs="Arial"/>
          <w:bCs/>
          <w:sz w:val="20"/>
          <w:szCs w:val="24"/>
        </w:rPr>
        <w:t xml:space="preserve"> (</w:t>
      </w:r>
      <w:r w:rsidRPr="000952A5">
        <w:rPr>
          <w:rFonts w:ascii="Arial" w:hAnsi="Arial" w:cs="Arial"/>
          <w:bCs/>
          <w:sz w:val="20"/>
          <w:szCs w:val="24"/>
        </w:rPr>
        <w:t>2016) showed that the combination of organic acid and H</w:t>
      </w:r>
      <w:r w:rsidRPr="000952A5">
        <w:rPr>
          <w:rFonts w:ascii="Arial" w:hAnsi="Arial" w:cs="Arial"/>
          <w:bCs/>
          <w:sz w:val="20"/>
          <w:szCs w:val="24"/>
          <w:vertAlign w:val="subscript"/>
        </w:rPr>
        <w:t>2</w:t>
      </w:r>
      <w:r w:rsidRPr="000952A5">
        <w:rPr>
          <w:rFonts w:ascii="Arial" w:hAnsi="Arial" w:cs="Arial"/>
          <w:bCs/>
          <w:sz w:val="20"/>
          <w:szCs w:val="24"/>
        </w:rPr>
        <w:t>O</w:t>
      </w:r>
      <w:r w:rsidRPr="000952A5">
        <w:rPr>
          <w:rFonts w:ascii="Arial" w:hAnsi="Arial" w:cs="Arial"/>
          <w:bCs/>
          <w:sz w:val="20"/>
          <w:szCs w:val="24"/>
          <w:vertAlign w:val="subscript"/>
        </w:rPr>
        <w:t>2</w:t>
      </w:r>
      <w:r w:rsidRPr="000952A5">
        <w:rPr>
          <w:rFonts w:ascii="Arial" w:hAnsi="Arial" w:cs="Arial"/>
          <w:bCs/>
          <w:sz w:val="20"/>
          <w:szCs w:val="24"/>
        </w:rPr>
        <w:t xml:space="preserve"> was as effective in the leaching of PCBs as the use of inorganic acids. The present work </w:t>
      </w:r>
      <w:r w:rsidR="000952A5">
        <w:rPr>
          <w:rFonts w:ascii="Arial" w:hAnsi="Arial" w:cs="Arial"/>
          <w:bCs/>
          <w:sz w:val="20"/>
          <w:szCs w:val="24"/>
        </w:rPr>
        <w:t xml:space="preserve">evaluated </w:t>
      </w:r>
      <w:r w:rsidRPr="000952A5">
        <w:rPr>
          <w:rFonts w:ascii="Arial" w:hAnsi="Arial" w:cs="Arial"/>
          <w:bCs/>
          <w:sz w:val="20"/>
          <w:szCs w:val="24"/>
        </w:rPr>
        <w:t>the effect of organic acid concentration and reaction time on the recovery o</w:t>
      </w:r>
      <w:r w:rsidR="00116163">
        <w:rPr>
          <w:rFonts w:ascii="Arial" w:hAnsi="Arial" w:cs="Arial"/>
          <w:bCs/>
          <w:sz w:val="20"/>
          <w:szCs w:val="24"/>
        </w:rPr>
        <w:t>f Zn</w:t>
      </w:r>
      <w:r w:rsidRPr="000952A5">
        <w:rPr>
          <w:rFonts w:ascii="Arial" w:hAnsi="Arial" w:cs="Arial"/>
          <w:bCs/>
          <w:sz w:val="20"/>
          <w:szCs w:val="24"/>
        </w:rPr>
        <w:t xml:space="preserve"> and Ni from waste printed circuit boards of cell phone.</w:t>
      </w:r>
    </w:p>
    <w:p w14:paraId="10E1B73B" w14:textId="77777777" w:rsidR="001E119A" w:rsidRPr="00116163" w:rsidRDefault="001E119A" w:rsidP="00116163">
      <w:pPr>
        <w:pStyle w:val="ListParagraph"/>
        <w:numPr>
          <w:ilvl w:val="0"/>
          <w:numId w:val="1"/>
        </w:numPr>
        <w:spacing w:line="360" w:lineRule="auto"/>
        <w:ind w:left="360"/>
        <w:jc w:val="both"/>
        <w:rPr>
          <w:rFonts w:ascii="Arial" w:hAnsi="Arial" w:cs="Arial"/>
          <w:b/>
          <w:sz w:val="24"/>
          <w:szCs w:val="24"/>
        </w:rPr>
      </w:pPr>
      <w:r w:rsidRPr="00116163">
        <w:rPr>
          <w:rFonts w:ascii="Arial" w:hAnsi="Arial" w:cs="Arial"/>
          <w:b/>
          <w:sz w:val="24"/>
          <w:szCs w:val="24"/>
        </w:rPr>
        <w:t>MATERIALS AND METHODS</w:t>
      </w:r>
    </w:p>
    <w:p w14:paraId="3E3F10A0" w14:textId="77777777" w:rsidR="00116163" w:rsidRPr="00261B12" w:rsidRDefault="00116163" w:rsidP="00116163">
      <w:pPr>
        <w:spacing w:line="360" w:lineRule="auto"/>
        <w:jc w:val="both"/>
        <w:rPr>
          <w:rFonts w:ascii="Arial" w:hAnsi="Arial" w:cs="Arial"/>
          <w:sz w:val="20"/>
          <w:szCs w:val="24"/>
        </w:rPr>
      </w:pPr>
      <w:r w:rsidRPr="00261B12">
        <w:rPr>
          <w:rFonts w:ascii="Arial" w:hAnsi="Arial" w:cs="Arial"/>
          <w:sz w:val="20"/>
          <w:szCs w:val="24"/>
        </w:rPr>
        <w:t>Waste samples of printed circuit boards of cell phones, obtained from store rooms of Project Development Institute (PRODA) Enugu, Nigeria were the metal source in the present study. They were then taken to the Materials and energy technology lab in Projects Development institute (PRODA) Enugu Nigeria for further analysis.</w:t>
      </w:r>
    </w:p>
    <w:p w14:paraId="146D9AD3" w14:textId="77777777" w:rsidR="00116163" w:rsidRPr="00261B12" w:rsidRDefault="00116163" w:rsidP="00116163">
      <w:pPr>
        <w:spacing w:line="360" w:lineRule="auto"/>
        <w:jc w:val="both"/>
        <w:rPr>
          <w:rFonts w:ascii="Arial" w:hAnsi="Arial" w:cs="Arial"/>
          <w:b/>
          <w:sz w:val="24"/>
          <w:szCs w:val="24"/>
        </w:rPr>
      </w:pPr>
      <w:r w:rsidRPr="00261B12">
        <w:rPr>
          <w:rFonts w:ascii="Arial" w:hAnsi="Arial" w:cs="Arial"/>
          <w:b/>
          <w:sz w:val="24"/>
          <w:szCs w:val="24"/>
        </w:rPr>
        <w:t>2.1</w:t>
      </w:r>
      <w:r w:rsidRPr="00261B12">
        <w:rPr>
          <w:rFonts w:ascii="Arial" w:hAnsi="Arial" w:cs="Arial"/>
          <w:b/>
          <w:sz w:val="24"/>
          <w:szCs w:val="24"/>
        </w:rPr>
        <w:tab/>
        <w:t xml:space="preserve">Sample Preparation </w:t>
      </w:r>
    </w:p>
    <w:p w14:paraId="4BD95C2E" w14:textId="77777777" w:rsidR="00116163" w:rsidRPr="00261B12" w:rsidRDefault="00116163" w:rsidP="00116163">
      <w:pPr>
        <w:spacing w:line="360" w:lineRule="auto"/>
        <w:jc w:val="both"/>
        <w:rPr>
          <w:rFonts w:ascii="Arial" w:hAnsi="Arial" w:cs="Arial"/>
          <w:sz w:val="20"/>
          <w:szCs w:val="24"/>
        </w:rPr>
      </w:pPr>
      <w:r w:rsidRPr="00261B12">
        <w:rPr>
          <w:rFonts w:ascii="Arial" w:hAnsi="Arial" w:cs="Arial"/>
          <w:sz w:val="20"/>
          <w:szCs w:val="24"/>
        </w:rPr>
        <w:t xml:space="preserve">Cables and plastic materials attached to the circuit board matrix were manually removed from the board. Dismantling products such as plastic film, ferrous scraps and paper pieces were separated. Metal components were removed from the printed circuit board by the use of hot air gun. The detached metals, after size reduction, were washed in distilled water and allowed to drain. They were subsequently dried at </w:t>
      </w:r>
      <w:r w:rsidRPr="00261B12">
        <w:rPr>
          <w:rFonts w:ascii="Arial" w:hAnsi="Arial" w:cs="Arial"/>
          <w:sz w:val="20"/>
          <w:szCs w:val="24"/>
        </w:rPr>
        <w:lastRenderedPageBreak/>
        <w:t>30</w:t>
      </w:r>
      <w:r w:rsidRPr="00261B12">
        <w:rPr>
          <w:rFonts w:ascii="Arial" w:hAnsi="Arial" w:cs="Arial"/>
          <w:sz w:val="20"/>
          <w:szCs w:val="24"/>
          <w:vertAlign w:val="superscript"/>
        </w:rPr>
        <w:t>0</w:t>
      </w:r>
      <w:r w:rsidRPr="00261B12">
        <w:rPr>
          <w:rFonts w:ascii="Arial" w:hAnsi="Arial" w:cs="Arial"/>
          <w:sz w:val="20"/>
          <w:szCs w:val="24"/>
        </w:rPr>
        <w:t>C immersed and stirred in 1M sodium hydroxide solution with mild agitation (100 rpm) at 60</w:t>
      </w:r>
      <w:r w:rsidRPr="00261B12">
        <w:rPr>
          <w:rFonts w:ascii="Arial" w:hAnsi="Arial" w:cs="Arial"/>
          <w:sz w:val="20"/>
          <w:szCs w:val="24"/>
          <w:vertAlign w:val="superscript"/>
        </w:rPr>
        <w:t>0</w:t>
      </w:r>
      <w:r w:rsidRPr="00261B12">
        <w:rPr>
          <w:rFonts w:ascii="Arial" w:hAnsi="Arial" w:cs="Arial"/>
          <w:sz w:val="20"/>
          <w:szCs w:val="24"/>
        </w:rPr>
        <w:t>C for 4 hours. The treated and dried metals were crushed to powdered form of 75µm using laboratory jaw crusher, this was sieved for uniform size</w:t>
      </w:r>
      <w:r w:rsidR="000777BD">
        <w:rPr>
          <w:rFonts w:ascii="Arial" w:hAnsi="Arial" w:cs="Arial"/>
          <w:sz w:val="20"/>
          <w:szCs w:val="24"/>
        </w:rPr>
        <w:t xml:space="preserve"> (Plate 1)</w:t>
      </w:r>
      <w:r w:rsidRPr="00261B12">
        <w:rPr>
          <w:rFonts w:ascii="Arial" w:hAnsi="Arial" w:cs="Arial"/>
          <w:sz w:val="20"/>
          <w:szCs w:val="24"/>
        </w:rPr>
        <w:t xml:space="preserve"> and then characterized using SEM-EDX and XRD. </w:t>
      </w:r>
    </w:p>
    <w:p w14:paraId="6CB22E25" w14:textId="77777777" w:rsidR="00116163" w:rsidRPr="00261B12" w:rsidRDefault="00116163" w:rsidP="00116163">
      <w:pPr>
        <w:spacing w:line="360" w:lineRule="auto"/>
        <w:jc w:val="both"/>
        <w:rPr>
          <w:rFonts w:ascii="Arial" w:hAnsi="Arial" w:cs="Arial"/>
          <w:b/>
          <w:sz w:val="24"/>
          <w:szCs w:val="24"/>
        </w:rPr>
      </w:pPr>
      <w:r w:rsidRPr="00261B12">
        <w:rPr>
          <w:rFonts w:ascii="Arial" w:hAnsi="Arial" w:cs="Arial"/>
          <w:b/>
          <w:sz w:val="24"/>
          <w:szCs w:val="24"/>
        </w:rPr>
        <w:t>2.2</w:t>
      </w:r>
      <w:r w:rsidRPr="00261B12">
        <w:rPr>
          <w:rFonts w:ascii="Arial" w:hAnsi="Arial" w:cs="Arial"/>
          <w:b/>
          <w:sz w:val="24"/>
          <w:szCs w:val="24"/>
        </w:rPr>
        <w:tab/>
        <w:t>Acid leaching experiments</w:t>
      </w:r>
    </w:p>
    <w:p w14:paraId="0AA12EB1" w14:textId="77777777" w:rsidR="00116163" w:rsidRPr="00261B12" w:rsidRDefault="00116163" w:rsidP="00116163">
      <w:pPr>
        <w:tabs>
          <w:tab w:val="left" w:pos="2400"/>
        </w:tabs>
        <w:spacing w:line="360" w:lineRule="auto"/>
        <w:jc w:val="both"/>
        <w:rPr>
          <w:rFonts w:ascii="Arial" w:hAnsi="Arial" w:cs="Arial"/>
          <w:sz w:val="20"/>
          <w:szCs w:val="24"/>
        </w:rPr>
      </w:pPr>
      <w:r w:rsidRPr="00261B12">
        <w:rPr>
          <w:rFonts w:ascii="Arial" w:hAnsi="Arial" w:cs="Arial"/>
          <w:sz w:val="20"/>
          <w:szCs w:val="24"/>
        </w:rPr>
        <w:t>The leaching of zinc and nickel were carried out in a temperature controlled Erlenmeyer glass reactor fitted with a reflux condenser to avoid the loss of liquid in a form of vapor during the experiment. To optimize the experimental conditions for effective leaching the study was made varying different process parameters for example leaching time, organic acid type and organic acid concentration while temperature remained constant at 50</w:t>
      </w:r>
      <w:r w:rsidRPr="00261B12">
        <w:rPr>
          <w:rFonts w:ascii="Arial" w:hAnsi="Arial" w:cs="Arial"/>
          <w:sz w:val="20"/>
          <w:szCs w:val="24"/>
          <w:vertAlign w:val="superscript"/>
        </w:rPr>
        <w:t>o</w:t>
      </w:r>
      <w:r w:rsidRPr="00261B12">
        <w:rPr>
          <w:rFonts w:ascii="Arial" w:hAnsi="Arial" w:cs="Arial"/>
          <w:sz w:val="20"/>
          <w:szCs w:val="24"/>
        </w:rPr>
        <w:t>C and Constant pulp density used was 25g/1. In a three necked Erlenmeyer glass reactor 1g of the sample with 10mls of the acid were put and heated using hot plate with magnetic stirrer and a thermometer to maintain a steady temperature of 50</w:t>
      </w:r>
      <w:r w:rsidRPr="00261B12">
        <w:rPr>
          <w:rFonts w:ascii="Arial" w:hAnsi="Arial" w:cs="Arial"/>
          <w:sz w:val="20"/>
          <w:szCs w:val="24"/>
          <w:vertAlign w:val="superscript"/>
        </w:rPr>
        <w:t>o</w:t>
      </w:r>
      <w:r w:rsidRPr="00261B12">
        <w:rPr>
          <w:rFonts w:ascii="Arial" w:hAnsi="Arial" w:cs="Arial"/>
          <w:sz w:val="20"/>
          <w:szCs w:val="24"/>
        </w:rPr>
        <w:t xml:space="preserve">C. The samples were drawn at regular time interval i.e. (2, 3, 4, 5, 6 hours) the acids at known concentrations of (1M, 2M, 3M, 4M and 5M) were also varied. </w:t>
      </w:r>
    </w:p>
    <w:p w14:paraId="6488E97B" w14:textId="77777777" w:rsidR="00116163" w:rsidRPr="00261B12" w:rsidRDefault="00116163" w:rsidP="00116163">
      <w:pPr>
        <w:tabs>
          <w:tab w:val="left" w:pos="630"/>
        </w:tabs>
        <w:spacing w:line="360" w:lineRule="auto"/>
        <w:ind w:left="10" w:hanging="10"/>
        <w:jc w:val="both"/>
        <w:rPr>
          <w:rFonts w:ascii="Arial" w:hAnsi="Arial" w:cs="Arial"/>
          <w:b/>
          <w:i/>
          <w:sz w:val="20"/>
          <w:szCs w:val="24"/>
        </w:rPr>
      </w:pPr>
      <w:r w:rsidRPr="00261B12">
        <w:rPr>
          <w:rFonts w:ascii="Arial" w:hAnsi="Arial" w:cs="Arial"/>
          <w:b/>
          <w:i/>
          <w:sz w:val="20"/>
          <w:szCs w:val="24"/>
        </w:rPr>
        <w:t xml:space="preserve">Effect of </w:t>
      </w:r>
      <w:r>
        <w:rPr>
          <w:rFonts w:ascii="Arial" w:hAnsi="Arial" w:cs="Arial"/>
          <w:b/>
          <w:i/>
          <w:sz w:val="20"/>
          <w:szCs w:val="24"/>
        </w:rPr>
        <w:t xml:space="preserve">leaching </w:t>
      </w:r>
      <w:r w:rsidRPr="00261B12">
        <w:rPr>
          <w:rFonts w:ascii="Arial" w:hAnsi="Arial" w:cs="Arial"/>
          <w:b/>
          <w:i/>
          <w:sz w:val="20"/>
          <w:szCs w:val="24"/>
        </w:rPr>
        <w:t>time on metal leaching</w:t>
      </w:r>
      <w:r>
        <w:rPr>
          <w:rFonts w:ascii="Arial" w:hAnsi="Arial" w:cs="Arial"/>
          <w:b/>
          <w:i/>
          <w:sz w:val="20"/>
          <w:szCs w:val="24"/>
        </w:rPr>
        <w:t xml:space="preserve">: </w:t>
      </w:r>
      <w:r w:rsidRPr="00261B12">
        <w:rPr>
          <w:rFonts w:ascii="Arial" w:hAnsi="Arial" w:cs="Arial"/>
          <w:sz w:val="20"/>
          <w:szCs w:val="24"/>
        </w:rPr>
        <w:t>To monitor the effect of time on the leaching of zinc and nickel, 1g of the PCB powder (the sample) was weighed and 10mls 3M citric acid was measured into the three necked Erlenmeyer glass reactor heated for 2 hours using hot plate with magnetic stirrer and a thermometer to maintain a steady temperature of 50</w:t>
      </w:r>
      <w:r w:rsidRPr="00261B12">
        <w:rPr>
          <w:rFonts w:ascii="Arial" w:hAnsi="Arial" w:cs="Arial"/>
          <w:sz w:val="20"/>
          <w:szCs w:val="24"/>
          <w:vertAlign w:val="superscript"/>
        </w:rPr>
        <w:t>o</w:t>
      </w:r>
      <w:r w:rsidRPr="00261B12">
        <w:rPr>
          <w:rFonts w:ascii="Arial" w:hAnsi="Arial" w:cs="Arial"/>
          <w:sz w:val="20"/>
          <w:szCs w:val="24"/>
        </w:rPr>
        <w:t>C. This was repeated at 4 different time intervals (3, 4, 5, 6 hours). As time is varied, temperature and concentration remained constant. (3M and 50</w:t>
      </w:r>
      <w:r w:rsidRPr="00261B12">
        <w:rPr>
          <w:rFonts w:ascii="Arial" w:hAnsi="Arial" w:cs="Arial"/>
          <w:sz w:val="20"/>
          <w:szCs w:val="24"/>
          <w:vertAlign w:val="superscript"/>
        </w:rPr>
        <w:t>o</w:t>
      </w:r>
      <w:r w:rsidRPr="00261B12">
        <w:rPr>
          <w:rFonts w:ascii="Arial" w:hAnsi="Arial" w:cs="Arial"/>
          <w:sz w:val="20"/>
          <w:szCs w:val="24"/>
        </w:rPr>
        <w:t>C)</w:t>
      </w:r>
    </w:p>
    <w:p w14:paraId="737201D3" w14:textId="77777777" w:rsidR="00116163" w:rsidRPr="00261B12" w:rsidRDefault="00116163" w:rsidP="00116163">
      <w:pPr>
        <w:tabs>
          <w:tab w:val="left" w:pos="630"/>
        </w:tabs>
        <w:spacing w:line="360" w:lineRule="auto"/>
        <w:ind w:left="10" w:hanging="10"/>
        <w:jc w:val="both"/>
        <w:rPr>
          <w:rFonts w:ascii="Arial" w:hAnsi="Arial" w:cs="Arial"/>
          <w:b/>
          <w:sz w:val="20"/>
          <w:szCs w:val="24"/>
        </w:rPr>
      </w:pPr>
      <w:r>
        <w:rPr>
          <w:rFonts w:ascii="Arial" w:hAnsi="Arial" w:cs="Arial"/>
          <w:b/>
          <w:sz w:val="20"/>
          <w:szCs w:val="24"/>
        </w:rPr>
        <w:t>Effect of a</w:t>
      </w:r>
      <w:r w:rsidRPr="00261B12">
        <w:rPr>
          <w:rFonts w:ascii="Arial" w:hAnsi="Arial" w:cs="Arial"/>
          <w:b/>
          <w:sz w:val="20"/>
          <w:szCs w:val="24"/>
        </w:rPr>
        <w:t xml:space="preserve">cid </w:t>
      </w:r>
      <w:r>
        <w:rPr>
          <w:rFonts w:ascii="Arial" w:hAnsi="Arial" w:cs="Arial"/>
          <w:b/>
          <w:sz w:val="20"/>
          <w:szCs w:val="24"/>
        </w:rPr>
        <w:t xml:space="preserve">concentration on metal leaching: </w:t>
      </w:r>
      <w:r w:rsidRPr="00261B12">
        <w:rPr>
          <w:rFonts w:ascii="Arial" w:hAnsi="Arial" w:cs="Arial"/>
          <w:sz w:val="20"/>
          <w:szCs w:val="24"/>
        </w:rPr>
        <w:t xml:space="preserve">To achieve this 1g of the sample and 10 </w:t>
      </w:r>
      <w:proofErr w:type="spellStart"/>
      <w:r w:rsidRPr="00261B12">
        <w:rPr>
          <w:rFonts w:ascii="Arial" w:hAnsi="Arial" w:cs="Arial"/>
          <w:sz w:val="20"/>
          <w:szCs w:val="24"/>
        </w:rPr>
        <w:t>mls</w:t>
      </w:r>
      <w:proofErr w:type="spellEnd"/>
      <w:r w:rsidRPr="00261B12">
        <w:rPr>
          <w:rFonts w:ascii="Arial" w:hAnsi="Arial" w:cs="Arial"/>
          <w:sz w:val="20"/>
          <w:szCs w:val="24"/>
        </w:rPr>
        <w:t xml:space="preserve"> of 1M citric acid was measured into the three necked Erlenmeyer glass reactor heated for 4 hours using hot plate with magnetic stirrer and a thermometer to maintain a steady temperature of 50</w:t>
      </w:r>
      <w:r w:rsidRPr="00261B12">
        <w:rPr>
          <w:rFonts w:ascii="Arial" w:hAnsi="Arial" w:cs="Arial"/>
          <w:sz w:val="20"/>
          <w:szCs w:val="24"/>
          <w:vertAlign w:val="superscript"/>
        </w:rPr>
        <w:t>o</w:t>
      </w:r>
      <w:r w:rsidRPr="00261B12">
        <w:rPr>
          <w:rFonts w:ascii="Arial" w:hAnsi="Arial" w:cs="Arial"/>
          <w:sz w:val="20"/>
          <w:szCs w:val="24"/>
        </w:rPr>
        <w:t>C. This was repeated for 4 different concentrations of the acid (2, 3, 4, 5M). As concentration is varied, temperature and time remained constant. (4hrs and 50</w:t>
      </w:r>
      <w:r w:rsidRPr="00261B12">
        <w:rPr>
          <w:rFonts w:ascii="Arial" w:hAnsi="Arial" w:cs="Arial"/>
          <w:sz w:val="20"/>
          <w:szCs w:val="24"/>
          <w:vertAlign w:val="superscript"/>
        </w:rPr>
        <w:t>o</w:t>
      </w:r>
      <w:r w:rsidRPr="00261B12">
        <w:rPr>
          <w:rFonts w:ascii="Arial" w:hAnsi="Arial" w:cs="Arial"/>
          <w:sz w:val="20"/>
          <w:szCs w:val="24"/>
        </w:rPr>
        <w:t>C).</w:t>
      </w:r>
    </w:p>
    <w:p w14:paraId="77BCFC4D" w14:textId="77777777" w:rsidR="00116163" w:rsidRPr="00261B12" w:rsidRDefault="00116163" w:rsidP="00116163">
      <w:pPr>
        <w:spacing w:line="360" w:lineRule="auto"/>
        <w:jc w:val="both"/>
        <w:rPr>
          <w:rFonts w:ascii="Arial" w:hAnsi="Arial" w:cs="Arial"/>
          <w:b/>
          <w:sz w:val="20"/>
          <w:szCs w:val="24"/>
        </w:rPr>
      </w:pPr>
      <w:r w:rsidRPr="00261B12">
        <w:rPr>
          <w:rFonts w:ascii="Arial" w:hAnsi="Arial" w:cs="Arial"/>
          <w:b/>
          <w:sz w:val="20"/>
          <w:szCs w:val="24"/>
        </w:rPr>
        <w:t>Effect</w:t>
      </w:r>
      <w:r>
        <w:rPr>
          <w:rFonts w:ascii="Arial" w:hAnsi="Arial" w:cs="Arial"/>
          <w:b/>
          <w:sz w:val="20"/>
          <w:szCs w:val="24"/>
        </w:rPr>
        <w:t xml:space="preserve"> of acid type on metal leaching: </w:t>
      </w:r>
      <w:r w:rsidRPr="00261B12">
        <w:rPr>
          <w:rFonts w:ascii="Arial" w:hAnsi="Arial" w:cs="Arial"/>
          <w:sz w:val="20"/>
          <w:szCs w:val="24"/>
        </w:rPr>
        <w:t>All the experimental runs carried out to monitor leaching time and acid concentration were repeated with citric acid, malic acid, oxalic acid and the blend of the three acids (citric + malic + oxalic) at equal ratio.</w:t>
      </w:r>
    </w:p>
    <w:p w14:paraId="28281188" w14:textId="77777777" w:rsidR="00116163" w:rsidRPr="00261B12" w:rsidRDefault="00116163" w:rsidP="00116163">
      <w:pPr>
        <w:tabs>
          <w:tab w:val="left" w:pos="2400"/>
        </w:tabs>
        <w:spacing w:line="360" w:lineRule="auto"/>
        <w:jc w:val="both"/>
        <w:rPr>
          <w:rFonts w:ascii="Arial" w:hAnsi="Arial" w:cs="Arial"/>
          <w:sz w:val="20"/>
          <w:szCs w:val="24"/>
        </w:rPr>
      </w:pPr>
      <w:r w:rsidRPr="00261B12">
        <w:rPr>
          <w:rFonts w:ascii="Arial" w:hAnsi="Arial" w:cs="Arial"/>
          <w:sz w:val="20"/>
          <w:szCs w:val="24"/>
        </w:rPr>
        <w:t xml:space="preserve">The leached liquor </w:t>
      </w:r>
      <w:r>
        <w:rPr>
          <w:rFonts w:ascii="Arial" w:hAnsi="Arial" w:cs="Arial"/>
          <w:sz w:val="20"/>
          <w:szCs w:val="24"/>
        </w:rPr>
        <w:t xml:space="preserve">from each sample </w:t>
      </w:r>
      <w:r w:rsidRPr="00261B12">
        <w:rPr>
          <w:rFonts w:ascii="Arial" w:hAnsi="Arial" w:cs="Arial"/>
          <w:sz w:val="20"/>
          <w:szCs w:val="24"/>
        </w:rPr>
        <w:t>w</w:t>
      </w:r>
      <w:r>
        <w:rPr>
          <w:rFonts w:ascii="Arial" w:hAnsi="Arial" w:cs="Arial"/>
          <w:sz w:val="20"/>
          <w:szCs w:val="24"/>
        </w:rPr>
        <w:t>as</w:t>
      </w:r>
      <w:r w:rsidRPr="00261B12">
        <w:rPr>
          <w:rFonts w:ascii="Arial" w:hAnsi="Arial" w:cs="Arial"/>
          <w:sz w:val="20"/>
          <w:szCs w:val="24"/>
        </w:rPr>
        <w:t xml:space="preserve"> filtered and analyzed using AAS </w:t>
      </w:r>
      <w:r>
        <w:rPr>
          <w:rFonts w:ascii="Arial" w:hAnsi="Arial" w:cs="Arial"/>
          <w:sz w:val="20"/>
          <w:szCs w:val="24"/>
        </w:rPr>
        <w:t>(</w:t>
      </w:r>
      <w:r w:rsidRPr="00261B12">
        <w:rPr>
          <w:rFonts w:ascii="Arial" w:hAnsi="Arial" w:cs="Arial"/>
          <w:sz w:val="20"/>
          <w:szCs w:val="24"/>
        </w:rPr>
        <w:t>Buck 404</w:t>
      </w:r>
      <w:r>
        <w:rPr>
          <w:rFonts w:ascii="Arial" w:hAnsi="Arial" w:cs="Arial"/>
          <w:sz w:val="20"/>
          <w:szCs w:val="24"/>
        </w:rPr>
        <w:t>,</w:t>
      </w:r>
      <w:r w:rsidRPr="00261B12">
        <w:rPr>
          <w:rFonts w:ascii="Arial" w:hAnsi="Arial" w:cs="Arial"/>
          <w:sz w:val="20"/>
          <w:szCs w:val="24"/>
        </w:rPr>
        <w:t xml:space="preserve"> Buck Scientific, United Kingdom</w:t>
      </w:r>
      <w:r>
        <w:rPr>
          <w:rFonts w:ascii="Arial" w:hAnsi="Arial" w:cs="Arial"/>
          <w:sz w:val="20"/>
          <w:szCs w:val="24"/>
        </w:rPr>
        <w:t>)</w:t>
      </w:r>
      <w:r w:rsidRPr="00261B12">
        <w:rPr>
          <w:rFonts w:ascii="Arial" w:hAnsi="Arial" w:cs="Arial"/>
          <w:sz w:val="20"/>
          <w:szCs w:val="24"/>
        </w:rPr>
        <w:t xml:space="preserve"> to get the percentage extraction efficiency. </w:t>
      </w:r>
    </w:p>
    <w:p w14:paraId="2435561D" w14:textId="77777777" w:rsidR="00116163" w:rsidRDefault="00116163" w:rsidP="00116163">
      <w:pPr>
        <w:spacing w:line="360" w:lineRule="auto"/>
        <w:jc w:val="both"/>
        <w:rPr>
          <w:rFonts w:ascii="Arial" w:hAnsi="Arial" w:cs="Arial"/>
          <w:sz w:val="20"/>
          <w:szCs w:val="24"/>
        </w:rPr>
      </w:pPr>
      <w:r w:rsidRPr="00261B12">
        <w:rPr>
          <w:rFonts w:ascii="Arial" w:hAnsi="Arial" w:cs="Arial"/>
          <w:sz w:val="20"/>
          <w:szCs w:val="24"/>
        </w:rPr>
        <w:t>Extraction efficiency (%) = (Cm×10000)/(</w:t>
      </w:r>
      <w:proofErr w:type="spellStart"/>
      <w:r w:rsidRPr="00261B12">
        <w:rPr>
          <w:rFonts w:ascii="Arial" w:hAnsi="Arial" w:cs="Arial"/>
          <w:sz w:val="20"/>
          <w:szCs w:val="24"/>
        </w:rPr>
        <w:t>P×Ym</w:t>
      </w:r>
      <w:proofErr w:type="spellEnd"/>
      <w:r w:rsidRPr="00261B12">
        <w:rPr>
          <w:rFonts w:ascii="Arial" w:hAnsi="Arial" w:cs="Arial"/>
          <w:sz w:val="20"/>
          <w:szCs w:val="24"/>
        </w:rPr>
        <w:t xml:space="preserve">) </w:t>
      </w:r>
    </w:p>
    <w:p w14:paraId="2D3569DB" w14:textId="77777777" w:rsidR="00116163" w:rsidRPr="00261B12" w:rsidRDefault="00116163" w:rsidP="00116163">
      <w:pPr>
        <w:spacing w:after="0" w:line="240" w:lineRule="auto"/>
        <w:jc w:val="both"/>
        <w:rPr>
          <w:rFonts w:ascii="Arial" w:hAnsi="Arial" w:cs="Arial"/>
          <w:sz w:val="20"/>
          <w:szCs w:val="24"/>
        </w:rPr>
      </w:pPr>
      <w:r w:rsidRPr="00261B12">
        <w:rPr>
          <w:rFonts w:ascii="Arial" w:hAnsi="Arial" w:cs="Arial"/>
          <w:sz w:val="20"/>
          <w:szCs w:val="24"/>
        </w:rPr>
        <w:t>Where</w:t>
      </w:r>
      <w:r>
        <w:rPr>
          <w:rFonts w:ascii="Arial" w:hAnsi="Arial" w:cs="Arial"/>
          <w:sz w:val="20"/>
          <w:szCs w:val="24"/>
        </w:rPr>
        <w:t>:</w:t>
      </w:r>
    </w:p>
    <w:p w14:paraId="752ACFCC" w14:textId="77777777" w:rsidR="00116163" w:rsidRPr="00261B12" w:rsidRDefault="00116163" w:rsidP="00116163">
      <w:pPr>
        <w:spacing w:after="0" w:line="240" w:lineRule="auto"/>
        <w:jc w:val="both"/>
        <w:rPr>
          <w:rFonts w:ascii="Arial" w:hAnsi="Arial" w:cs="Arial"/>
          <w:sz w:val="20"/>
          <w:szCs w:val="24"/>
        </w:rPr>
      </w:pPr>
      <w:r w:rsidRPr="00261B12">
        <w:rPr>
          <w:rFonts w:ascii="Arial" w:hAnsi="Arial" w:cs="Arial"/>
          <w:sz w:val="20"/>
          <w:szCs w:val="24"/>
        </w:rPr>
        <w:t xml:space="preserve">Cm is the concentration of metals in the leached solution in grams per litter (g/L);  </w:t>
      </w:r>
    </w:p>
    <w:p w14:paraId="0672ABC4" w14:textId="77777777" w:rsidR="00116163" w:rsidRPr="00261B12" w:rsidRDefault="00116163" w:rsidP="00116163">
      <w:pPr>
        <w:spacing w:after="0" w:line="240" w:lineRule="auto"/>
        <w:jc w:val="both"/>
        <w:rPr>
          <w:rFonts w:ascii="Arial" w:hAnsi="Arial" w:cs="Arial"/>
          <w:sz w:val="20"/>
          <w:szCs w:val="24"/>
        </w:rPr>
      </w:pPr>
      <w:r w:rsidRPr="00261B12">
        <w:rPr>
          <w:rFonts w:ascii="Arial" w:hAnsi="Arial" w:cs="Arial"/>
          <w:sz w:val="20"/>
          <w:szCs w:val="24"/>
        </w:rPr>
        <w:t xml:space="preserve">P is the pulp density of the sample in percentage (%; i.e., 25g/1000 mL); and  </w:t>
      </w:r>
    </w:p>
    <w:p w14:paraId="78342BFB" w14:textId="77777777" w:rsidR="00116163" w:rsidRPr="00261B12" w:rsidRDefault="00116163" w:rsidP="00116163">
      <w:pPr>
        <w:spacing w:after="0" w:line="240" w:lineRule="auto"/>
        <w:jc w:val="both"/>
        <w:rPr>
          <w:rFonts w:ascii="Arial" w:hAnsi="Arial" w:cs="Arial"/>
          <w:sz w:val="20"/>
          <w:szCs w:val="24"/>
        </w:rPr>
      </w:pPr>
      <w:proofErr w:type="spellStart"/>
      <w:r w:rsidRPr="00261B12">
        <w:rPr>
          <w:rFonts w:ascii="Arial" w:hAnsi="Arial" w:cs="Arial"/>
          <w:sz w:val="20"/>
          <w:szCs w:val="24"/>
        </w:rPr>
        <w:t>Ym</w:t>
      </w:r>
      <w:proofErr w:type="spellEnd"/>
      <w:r w:rsidRPr="00261B12">
        <w:rPr>
          <w:rFonts w:ascii="Arial" w:hAnsi="Arial" w:cs="Arial"/>
          <w:sz w:val="20"/>
          <w:szCs w:val="24"/>
        </w:rPr>
        <w:t xml:space="preserve"> is the metal content in the original sample (%; 1%= 10,000 g/L).</w:t>
      </w:r>
    </w:p>
    <w:p w14:paraId="04883BB7" w14:textId="77777777" w:rsidR="00F26C62" w:rsidRPr="00846FCD" w:rsidRDefault="00DC7951" w:rsidP="000777BD">
      <w:pPr>
        <w:spacing w:after="0" w:line="240" w:lineRule="auto"/>
        <w:jc w:val="both"/>
        <w:rPr>
          <w:rFonts w:ascii="Times New Roman" w:hAnsi="Times New Roman" w:cs="Times New Roman"/>
          <w:sz w:val="24"/>
          <w:szCs w:val="24"/>
        </w:rPr>
      </w:pPr>
      <w:r w:rsidRPr="00846FCD">
        <w:rPr>
          <w:rFonts w:ascii="Times New Roman" w:hAnsi="Times New Roman" w:cs="Times New Roman"/>
          <w:noProof/>
          <w:sz w:val="24"/>
          <w:szCs w:val="24"/>
        </w:rPr>
        <w:lastRenderedPageBreak/>
        <w:drawing>
          <wp:inline distT="0" distB="0" distL="0" distR="0" wp14:anchorId="20CCDB4B" wp14:editId="6E0591A1">
            <wp:extent cx="1989652" cy="2181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7444" cy="2288433"/>
                    </a:xfrm>
                    <a:prstGeom prst="rect">
                      <a:avLst/>
                    </a:prstGeom>
                    <a:noFill/>
                  </pic:spPr>
                </pic:pic>
              </a:graphicData>
            </a:graphic>
          </wp:inline>
        </w:drawing>
      </w:r>
      <w:r w:rsidR="00116163">
        <w:rPr>
          <w:rFonts w:ascii="Times New Roman" w:hAnsi="Times New Roman" w:cs="Times New Roman"/>
          <w:sz w:val="24"/>
          <w:szCs w:val="24"/>
        </w:rPr>
        <w:t xml:space="preserve">  </w:t>
      </w:r>
      <w:r w:rsidR="00F26C62" w:rsidRPr="00846FCD">
        <w:rPr>
          <w:rFonts w:ascii="Times New Roman" w:hAnsi="Times New Roman" w:cs="Times New Roman"/>
          <w:noProof/>
          <w:sz w:val="24"/>
          <w:szCs w:val="24"/>
        </w:rPr>
        <w:drawing>
          <wp:inline distT="0" distB="0" distL="0" distR="0" wp14:anchorId="66B0AEF8" wp14:editId="23354613">
            <wp:extent cx="1990725" cy="2200275"/>
            <wp:effectExtent l="0" t="0" r="9525" b="9525"/>
            <wp:docPr id="10" name="Picture 10"/>
            <wp:cNvGraphicFramePr/>
            <a:graphic xmlns:a="http://schemas.openxmlformats.org/drawingml/2006/main">
              <a:graphicData uri="http://schemas.openxmlformats.org/drawingml/2006/picture">
                <pic:pic xmlns:pic="http://schemas.openxmlformats.org/drawingml/2006/picture">
                  <pic:nvPicPr>
                    <pic:cNvPr id="1174" name="Picture 1174"/>
                    <pic:cNvPicPr/>
                  </pic:nvPicPr>
                  <pic:blipFill rotWithShape="1">
                    <a:blip r:embed="rId8"/>
                    <a:srcRect l="34200" t="-768" r="31832" b="14004"/>
                    <a:stretch/>
                  </pic:blipFill>
                  <pic:spPr bwMode="auto">
                    <a:xfrm>
                      <a:off x="0" y="0"/>
                      <a:ext cx="2124783" cy="2348444"/>
                    </a:xfrm>
                    <a:prstGeom prst="rect">
                      <a:avLst/>
                    </a:prstGeom>
                    <a:ln>
                      <a:noFill/>
                    </a:ln>
                    <a:extLst>
                      <a:ext uri="{53640926-AAD7-44D8-BBD7-CCE9431645EC}">
                        <a14:shadowObscured xmlns:a14="http://schemas.microsoft.com/office/drawing/2010/main"/>
                      </a:ext>
                    </a:extLst>
                  </pic:spPr>
                </pic:pic>
              </a:graphicData>
            </a:graphic>
          </wp:inline>
        </w:drawing>
      </w:r>
      <w:r w:rsidR="00116163">
        <w:rPr>
          <w:rFonts w:ascii="Times New Roman" w:hAnsi="Times New Roman" w:cs="Times New Roman"/>
          <w:sz w:val="24"/>
          <w:szCs w:val="24"/>
        </w:rPr>
        <w:tab/>
      </w:r>
      <w:r w:rsidR="00F26C62" w:rsidRPr="00846FCD">
        <w:rPr>
          <w:rFonts w:ascii="Times New Roman" w:hAnsi="Times New Roman" w:cs="Times New Roman"/>
          <w:noProof/>
          <w:sz w:val="24"/>
          <w:szCs w:val="24"/>
        </w:rPr>
        <w:drawing>
          <wp:inline distT="0" distB="0" distL="0" distR="0" wp14:anchorId="4DCE028B" wp14:editId="73447ED0">
            <wp:extent cx="1762125" cy="215265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174" name="Picture 1174"/>
                    <pic:cNvPicPr/>
                  </pic:nvPicPr>
                  <pic:blipFill rotWithShape="1">
                    <a:blip r:embed="rId9">
                      <a:extLst>
                        <a:ext uri="{BEBA8EAE-BF5A-486C-A8C5-ECC9F3942E4B}">
                          <a14:imgProps xmlns:a14="http://schemas.microsoft.com/office/drawing/2010/main">
                            <a14:imgLayer r:embed="rId10">
                              <a14:imgEffect>
                                <a14:sharpenSoften amount="50000"/>
                              </a14:imgEffect>
                              <a14:imgEffect>
                                <a14:brightnessContrast bright="20000" contrast="-20000"/>
                              </a14:imgEffect>
                            </a14:imgLayer>
                          </a14:imgProps>
                        </a:ext>
                      </a:extLst>
                    </a:blip>
                    <a:srcRect l="71179" t="9666" r="6008" b="28128"/>
                    <a:stretch/>
                  </pic:blipFill>
                  <pic:spPr bwMode="auto">
                    <a:xfrm>
                      <a:off x="0" y="0"/>
                      <a:ext cx="1783541" cy="2178812"/>
                    </a:xfrm>
                    <a:prstGeom prst="rect">
                      <a:avLst/>
                    </a:prstGeom>
                    <a:ln>
                      <a:noFill/>
                    </a:ln>
                    <a:extLst>
                      <a:ext uri="{53640926-AAD7-44D8-BBD7-CCE9431645EC}">
                        <a14:shadowObscured xmlns:a14="http://schemas.microsoft.com/office/drawing/2010/main"/>
                      </a:ext>
                    </a:extLst>
                  </pic:spPr>
                </pic:pic>
              </a:graphicData>
            </a:graphic>
          </wp:inline>
        </w:drawing>
      </w:r>
    </w:p>
    <w:p w14:paraId="796794F3" w14:textId="77777777" w:rsidR="00E7230E" w:rsidRPr="000777BD" w:rsidRDefault="000777BD" w:rsidP="00E7230E">
      <w:pPr>
        <w:spacing w:after="0" w:line="360" w:lineRule="auto"/>
        <w:ind w:left="-1" w:right="160"/>
        <w:jc w:val="both"/>
        <w:rPr>
          <w:rFonts w:ascii="Arial" w:eastAsia="Times New Roman" w:hAnsi="Arial" w:cs="Arial"/>
          <w:b/>
          <w:color w:val="000000"/>
          <w:sz w:val="20"/>
          <w:szCs w:val="24"/>
        </w:rPr>
      </w:pPr>
      <w:r>
        <w:rPr>
          <w:rFonts w:ascii="Arial" w:eastAsia="Times New Roman" w:hAnsi="Arial" w:cs="Arial"/>
          <w:b/>
          <w:color w:val="000000"/>
          <w:sz w:val="20"/>
          <w:szCs w:val="24"/>
        </w:rPr>
        <w:t>Plate</w:t>
      </w:r>
      <w:r w:rsidR="00E7230E" w:rsidRPr="000777BD">
        <w:rPr>
          <w:rFonts w:ascii="Arial" w:eastAsia="Times New Roman" w:hAnsi="Arial" w:cs="Arial"/>
          <w:b/>
          <w:color w:val="000000"/>
          <w:sz w:val="20"/>
          <w:szCs w:val="24"/>
        </w:rPr>
        <w:t xml:space="preserve"> 1</w:t>
      </w:r>
      <w:r>
        <w:rPr>
          <w:rFonts w:ascii="Arial" w:eastAsia="Times New Roman" w:hAnsi="Arial" w:cs="Arial"/>
          <w:b/>
          <w:color w:val="000000"/>
          <w:sz w:val="20"/>
          <w:szCs w:val="24"/>
        </w:rPr>
        <w:t>:</w:t>
      </w:r>
      <w:r w:rsidR="00E7230E" w:rsidRPr="000777BD">
        <w:rPr>
          <w:rFonts w:ascii="Arial" w:eastAsia="Times New Roman" w:hAnsi="Arial" w:cs="Arial"/>
          <w:b/>
          <w:color w:val="000000"/>
          <w:sz w:val="20"/>
          <w:szCs w:val="24"/>
        </w:rPr>
        <w:t xml:space="preserve"> Waste printed Circuit Board of Cellphone, after dismantling and after pulverization.</w:t>
      </w:r>
    </w:p>
    <w:p w14:paraId="15CA1455" w14:textId="77777777" w:rsidR="00F977E4" w:rsidRPr="00846FCD" w:rsidRDefault="00F977E4" w:rsidP="000777BD">
      <w:pPr>
        <w:spacing w:after="0" w:line="240" w:lineRule="auto"/>
        <w:ind w:left="-1" w:right="160"/>
        <w:jc w:val="both"/>
        <w:rPr>
          <w:rFonts w:ascii="Times New Roman" w:eastAsia="Times New Roman" w:hAnsi="Times New Roman" w:cs="Times New Roman"/>
          <w:color w:val="000000"/>
          <w:sz w:val="24"/>
          <w:szCs w:val="24"/>
        </w:rPr>
      </w:pPr>
      <w:r w:rsidRPr="00846FCD">
        <w:rPr>
          <w:rFonts w:ascii="Times New Roman" w:eastAsia="Times New Roman" w:hAnsi="Times New Roman" w:cs="Times New Roman"/>
          <w:noProof/>
          <w:color w:val="000000"/>
          <w:sz w:val="24"/>
          <w:szCs w:val="24"/>
        </w:rPr>
        <w:drawing>
          <wp:inline distT="0" distB="0" distL="0" distR="0" wp14:anchorId="25C1D61E" wp14:editId="18400DC0">
            <wp:extent cx="4867275" cy="2659380"/>
            <wp:effectExtent l="0" t="0" r="952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7275" cy="2659380"/>
                    </a:xfrm>
                    <a:prstGeom prst="rect">
                      <a:avLst/>
                    </a:prstGeom>
                    <a:noFill/>
                  </pic:spPr>
                </pic:pic>
              </a:graphicData>
            </a:graphic>
          </wp:inline>
        </w:drawing>
      </w:r>
    </w:p>
    <w:p w14:paraId="047AC3A5" w14:textId="77777777" w:rsidR="00F977E4" w:rsidRPr="005A117B" w:rsidRDefault="007E43F6" w:rsidP="000777BD">
      <w:pPr>
        <w:spacing w:after="0" w:line="240" w:lineRule="auto"/>
        <w:ind w:left="-1" w:right="160"/>
        <w:jc w:val="both"/>
        <w:rPr>
          <w:rFonts w:ascii="Arial" w:eastAsia="Times New Roman" w:hAnsi="Arial" w:cs="Arial"/>
          <w:color w:val="000000"/>
          <w:sz w:val="20"/>
          <w:szCs w:val="24"/>
        </w:rPr>
      </w:pPr>
      <w:r>
        <w:rPr>
          <w:rFonts w:ascii="Arial" w:hAnsi="Arial" w:cs="Arial"/>
          <w:b/>
          <w:sz w:val="20"/>
          <w:szCs w:val="24"/>
        </w:rPr>
        <w:t>Plate</w:t>
      </w:r>
      <w:r w:rsidR="003562E2" w:rsidRPr="005A117B">
        <w:rPr>
          <w:rFonts w:ascii="Arial" w:hAnsi="Arial" w:cs="Arial"/>
          <w:b/>
          <w:sz w:val="20"/>
          <w:szCs w:val="24"/>
        </w:rPr>
        <w:t xml:space="preserve"> 2</w:t>
      </w:r>
      <w:r>
        <w:rPr>
          <w:rFonts w:ascii="Arial" w:hAnsi="Arial" w:cs="Arial"/>
          <w:b/>
          <w:sz w:val="20"/>
          <w:szCs w:val="24"/>
        </w:rPr>
        <w:t>:</w:t>
      </w:r>
      <w:r w:rsidR="003562E2" w:rsidRPr="005A117B">
        <w:rPr>
          <w:rFonts w:ascii="Arial" w:hAnsi="Arial" w:cs="Arial"/>
          <w:b/>
          <w:sz w:val="20"/>
          <w:szCs w:val="24"/>
        </w:rPr>
        <w:tab/>
        <w:t>Process design for leaching</w:t>
      </w:r>
    </w:p>
    <w:p w14:paraId="74B03E58" w14:textId="77777777" w:rsidR="00F977E4" w:rsidRPr="005A117B" w:rsidRDefault="00F977E4" w:rsidP="00E7230E">
      <w:pPr>
        <w:spacing w:after="0" w:line="360" w:lineRule="auto"/>
        <w:ind w:left="-1" w:right="160"/>
        <w:jc w:val="both"/>
        <w:rPr>
          <w:rFonts w:ascii="Arial" w:eastAsia="Times New Roman" w:hAnsi="Arial" w:cs="Arial"/>
          <w:color w:val="000000"/>
          <w:sz w:val="20"/>
          <w:szCs w:val="24"/>
        </w:rPr>
      </w:pPr>
    </w:p>
    <w:p w14:paraId="2854B905" w14:textId="77777777" w:rsidR="007B467D" w:rsidRDefault="007B467D" w:rsidP="00844FD1">
      <w:pPr>
        <w:pStyle w:val="Head1"/>
        <w:numPr>
          <w:ilvl w:val="0"/>
          <w:numId w:val="1"/>
        </w:numPr>
        <w:spacing w:after="0" w:line="360" w:lineRule="auto"/>
        <w:ind w:left="360"/>
        <w:jc w:val="both"/>
        <w:rPr>
          <w:rFonts w:ascii="Arial" w:hAnsi="Arial" w:cs="Arial"/>
          <w:szCs w:val="24"/>
        </w:rPr>
      </w:pPr>
      <w:r w:rsidRPr="008048CA">
        <w:rPr>
          <w:rFonts w:ascii="Arial" w:hAnsi="Arial" w:cs="Arial"/>
          <w:szCs w:val="24"/>
        </w:rPr>
        <w:t>results and discussion</w:t>
      </w:r>
    </w:p>
    <w:p w14:paraId="554AC2D1" w14:textId="05765725" w:rsidR="00844FD1" w:rsidRDefault="00844FD1" w:rsidP="00844FD1">
      <w:pPr>
        <w:pStyle w:val="Head1"/>
        <w:spacing w:after="0" w:line="360" w:lineRule="auto"/>
        <w:jc w:val="both"/>
      </w:pPr>
      <w:r>
        <w:rPr>
          <w:rFonts w:ascii="Arial" w:hAnsi="Arial" w:cs="Arial"/>
          <w:szCs w:val="24"/>
        </w:rPr>
        <w:t>3.1</w:t>
      </w:r>
      <w:r>
        <w:rPr>
          <w:rFonts w:ascii="Arial" w:hAnsi="Arial" w:cs="Arial"/>
          <w:szCs w:val="24"/>
        </w:rPr>
        <w:tab/>
      </w:r>
      <w:r w:rsidR="00A374C9">
        <w:rPr>
          <w:rFonts w:ascii="Arial" w:hAnsi="Arial" w:cs="Arial"/>
          <w:caps w:val="0"/>
          <w:szCs w:val="24"/>
        </w:rPr>
        <w:t>CHARACTERISTI</w:t>
      </w:r>
      <w:bookmarkStart w:id="0" w:name="_GoBack"/>
      <w:bookmarkEnd w:id="0"/>
      <w:r w:rsidR="00A374C9">
        <w:rPr>
          <w:rFonts w:ascii="Arial" w:hAnsi="Arial" w:cs="Arial"/>
          <w:caps w:val="0"/>
          <w:szCs w:val="24"/>
        </w:rPr>
        <w:t xml:space="preserve">CS </w:t>
      </w:r>
      <w:r>
        <w:rPr>
          <w:rFonts w:ascii="Arial" w:hAnsi="Arial" w:cs="Arial"/>
          <w:szCs w:val="24"/>
        </w:rPr>
        <w:t xml:space="preserve">of </w:t>
      </w:r>
      <w:r w:rsidRPr="00846FCD">
        <w:t>PCB of Cellphone</w:t>
      </w:r>
      <w:r>
        <w:rPr>
          <w:rFonts w:ascii="Arial" w:hAnsi="Arial" w:cs="Arial"/>
          <w:szCs w:val="24"/>
        </w:rPr>
        <w:t xml:space="preserve"> </w:t>
      </w:r>
      <w:r w:rsidRPr="00846FCD">
        <w:t>Waste</w:t>
      </w:r>
    </w:p>
    <w:p w14:paraId="3020A923" w14:textId="2A9A8653" w:rsidR="007E43F6" w:rsidRPr="005E623C" w:rsidRDefault="007E43F6" w:rsidP="00B55ED1">
      <w:pPr>
        <w:tabs>
          <w:tab w:val="left" w:pos="2070"/>
        </w:tabs>
        <w:spacing w:line="360" w:lineRule="auto"/>
        <w:jc w:val="both"/>
        <w:rPr>
          <w:rFonts w:ascii="Arial" w:hAnsi="Arial" w:cs="Arial"/>
          <w:sz w:val="20"/>
          <w:szCs w:val="20"/>
        </w:rPr>
      </w:pPr>
      <w:r w:rsidRPr="005E623C">
        <w:rPr>
          <w:rFonts w:ascii="Arial" w:hAnsi="Arial" w:cs="Arial"/>
          <w:sz w:val="20"/>
          <w:szCs w:val="20"/>
        </w:rPr>
        <w:t xml:space="preserve">The SEM/EDX result as presented on table 1 shows the elemental composition of cellphone PBS waste. the waste contained 20 different metals with cu being the most dominant compound followed by Zn and Ni. </w:t>
      </w:r>
      <w:r w:rsidR="0077181E" w:rsidRPr="005E623C">
        <w:rPr>
          <w:rFonts w:ascii="Arial" w:hAnsi="Arial" w:cs="Arial"/>
          <w:sz w:val="20"/>
          <w:szCs w:val="20"/>
        </w:rPr>
        <w:t>O</w:t>
      </w:r>
      <w:r w:rsidRPr="005E623C">
        <w:rPr>
          <w:rFonts w:ascii="Arial" w:hAnsi="Arial" w:cs="Arial"/>
          <w:sz w:val="20"/>
          <w:szCs w:val="20"/>
        </w:rPr>
        <w:t xml:space="preserve">n the other hand, Fe was the least concentrated (Table 1). </w:t>
      </w:r>
      <w:r w:rsidR="00B55ED1" w:rsidRPr="005E623C">
        <w:rPr>
          <w:rFonts w:ascii="Arial" w:hAnsi="Arial" w:cs="Arial"/>
          <w:sz w:val="20"/>
          <w:szCs w:val="20"/>
        </w:rPr>
        <w:t>More so, Fig 1 shows the chromatogram of the XRD analysis of cellphone PBS waste</w:t>
      </w:r>
      <w:r w:rsidR="00C40D32" w:rsidRPr="005E623C">
        <w:rPr>
          <w:rFonts w:ascii="Arial" w:hAnsi="Arial" w:cs="Arial"/>
          <w:sz w:val="20"/>
          <w:szCs w:val="20"/>
        </w:rPr>
        <w:t xml:space="preserve">. It was noted that </w:t>
      </w:r>
      <w:proofErr w:type="spellStart"/>
      <w:r w:rsidR="00C40D32" w:rsidRPr="005E623C">
        <w:rPr>
          <w:rFonts w:ascii="Arial" w:hAnsi="Arial" w:cs="Arial"/>
          <w:sz w:val="20"/>
          <w:szCs w:val="20"/>
        </w:rPr>
        <w:t>Tridymite</w:t>
      </w:r>
      <w:proofErr w:type="spellEnd"/>
      <w:r w:rsidR="00C40D32" w:rsidRPr="005E623C">
        <w:rPr>
          <w:rFonts w:ascii="Arial" w:hAnsi="Arial" w:cs="Arial"/>
          <w:sz w:val="20"/>
          <w:szCs w:val="20"/>
        </w:rPr>
        <w:t xml:space="preserve"> showed visible peaks. However, Cu was</w:t>
      </w:r>
      <w:r w:rsidR="00B55ED1" w:rsidRPr="005E623C">
        <w:rPr>
          <w:rFonts w:ascii="Arial" w:hAnsi="Arial" w:cs="Arial"/>
          <w:sz w:val="20"/>
          <w:szCs w:val="20"/>
        </w:rPr>
        <w:t xml:space="preserve"> present </w:t>
      </w:r>
      <w:r w:rsidR="00C40D32" w:rsidRPr="005E623C">
        <w:rPr>
          <w:rFonts w:ascii="Arial" w:hAnsi="Arial" w:cs="Arial"/>
          <w:sz w:val="20"/>
          <w:szCs w:val="20"/>
        </w:rPr>
        <w:t xml:space="preserve">in various forms </w:t>
      </w:r>
      <w:r w:rsidR="00B55ED1" w:rsidRPr="005E623C">
        <w:rPr>
          <w:rFonts w:ascii="Arial" w:hAnsi="Arial" w:cs="Arial"/>
          <w:sz w:val="20"/>
          <w:szCs w:val="20"/>
        </w:rPr>
        <w:t xml:space="preserve">(Table 2). The </w:t>
      </w:r>
      <w:r w:rsidR="00B55ED1" w:rsidRPr="005E623C">
        <w:rPr>
          <w:rFonts w:ascii="Arial" w:eastAsia="Times New Roman" w:hAnsi="Arial" w:cs="Arial"/>
          <w:color w:val="000000"/>
          <w:sz w:val="20"/>
          <w:szCs w:val="20"/>
        </w:rPr>
        <w:t>Plate 3 showed the</w:t>
      </w:r>
      <w:r w:rsidR="00B55ED1" w:rsidRPr="005E623C">
        <w:rPr>
          <w:rFonts w:ascii="Arial" w:hAnsi="Arial" w:cs="Arial"/>
          <w:sz w:val="20"/>
          <w:szCs w:val="20"/>
        </w:rPr>
        <w:t xml:space="preserve"> SEM morphology of pulverized waste PCB of cellphone.</w:t>
      </w:r>
      <w:r w:rsidR="005E623C" w:rsidRPr="005E623C">
        <w:rPr>
          <w:rFonts w:ascii="Arial" w:hAnsi="Arial" w:cs="Arial"/>
          <w:sz w:val="20"/>
          <w:szCs w:val="20"/>
        </w:rPr>
        <w:t xml:space="preserve"> The morphology shows an irregular surface, possibly with some porosity or particle clusters with some trace elements as impurities (Plate 3).</w:t>
      </w:r>
    </w:p>
    <w:p w14:paraId="56250BD4" w14:textId="77777777" w:rsidR="005E623C" w:rsidRDefault="005E623C" w:rsidP="00844FD1">
      <w:pPr>
        <w:tabs>
          <w:tab w:val="left" w:pos="2070"/>
        </w:tabs>
        <w:jc w:val="both"/>
        <w:rPr>
          <w:rFonts w:ascii="Times New Roman" w:hAnsi="Times New Roman" w:cs="Times New Roman"/>
          <w:b/>
          <w:sz w:val="24"/>
          <w:szCs w:val="24"/>
        </w:rPr>
      </w:pPr>
    </w:p>
    <w:p w14:paraId="4E3647C3" w14:textId="77777777" w:rsidR="005E623C" w:rsidRDefault="005E623C" w:rsidP="00844FD1">
      <w:pPr>
        <w:tabs>
          <w:tab w:val="left" w:pos="2070"/>
        </w:tabs>
        <w:jc w:val="both"/>
        <w:rPr>
          <w:rFonts w:ascii="Times New Roman" w:hAnsi="Times New Roman" w:cs="Times New Roman"/>
          <w:b/>
          <w:sz w:val="24"/>
          <w:szCs w:val="24"/>
        </w:rPr>
      </w:pPr>
    </w:p>
    <w:p w14:paraId="32791B10" w14:textId="6643B2FB" w:rsidR="00844FD1" w:rsidRPr="00846FCD" w:rsidRDefault="00844FD1" w:rsidP="00844FD1">
      <w:pPr>
        <w:tabs>
          <w:tab w:val="left" w:pos="2070"/>
        </w:tabs>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Table 1: </w:t>
      </w:r>
      <w:r w:rsidRPr="00846FCD">
        <w:rPr>
          <w:rFonts w:ascii="Times New Roman" w:hAnsi="Times New Roman" w:cs="Times New Roman"/>
          <w:b/>
          <w:sz w:val="24"/>
          <w:szCs w:val="24"/>
        </w:rPr>
        <w:t>SEM / EDX Result of Waste Printed Circuit Board of Cellphone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5"/>
        <w:gridCol w:w="1814"/>
        <w:gridCol w:w="2289"/>
        <w:gridCol w:w="1763"/>
        <w:gridCol w:w="1679"/>
      </w:tblGrid>
      <w:tr w:rsidR="00844FD1" w:rsidRPr="00846FCD" w14:paraId="19E6536D" w14:textId="77777777" w:rsidTr="005E623C">
        <w:tc>
          <w:tcPr>
            <w:tcW w:w="969" w:type="pct"/>
            <w:tcBorders>
              <w:top w:val="single" w:sz="4" w:space="0" w:color="auto"/>
              <w:bottom w:val="single" w:sz="4" w:space="0" w:color="auto"/>
            </w:tcBorders>
          </w:tcPr>
          <w:p w14:paraId="6B0FF207" w14:textId="77777777" w:rsidR="00844FD1" w:rsidRPr="00846FCD" w:rsidRDefault="00844FD1" w:rsidP="005E623C">
            <w:pPr>
              <w:tabs>
                <w:tab w:val="left" w:pos="2070"/>
              </w:tabs>
              <w:jc w:val="both"/>
              <w:rPr>
                <w:rFonts w:ascii="Times New Roman" w:hAnsi="Times New Roman" w:cs="Times New Roman"/>
                <w:b/>
                <w:sz w:val="24"/>
                <w:szCs w:val="24"/>
              </w:rPr>
            </w:pPr>
            <w:r w:rsidRPr="00846FCD">
              <w:rPr>
                <w:rFonts w:ascii="Times New Roman" w:hAnsi="Times New Roman" w:cs="Times New Roman"/>
                <w:b/>
                <w:sz w:val="24"/>
                <w:szCs w:val="24"/>
              </w:rPr>
              <w:t>Element Number</w:t>
            </w:r>
          </w:p>
        </w:tc>
        <w:tc>
          <w:tcPr>
            <w:tcW w:w="969" w:type="pct"/>
            <w:tcBorders>
              <w:top w:val="single" w:sz="4" w:space="0" w:color="auto"/>
              <w:bottom w:val="single" w:sz="4" w:space="0" w:color="auto"/>
            </w:tcBorders>
          </w:tcPr>
          <w:p w14:paraId="5DC4DFBE" w14:textId="77777777" w:rsidR="00844FD1" w:rsidRPr="00846FCD" w:rsidRDefault="00844FD1" w:rsidP="005E623C">
            <w:pPr>
              <w:tabs>
                <w:tab w:val="left" w:pos="2070"/>
              </w:tabs>
              <w:jc w:val="both"/>
              <w:rPr>
                <w:rFonts w:ascii="Times New Roman" w:hAnsi="Times New Roman" w:cs="Times New Roman"/>
                <w:b/>
                <w:sz w:val="24"/>
                <w:szCs w:val="24"/>
              </w:rPr>
            </w:pPr>
            <w:r w:rsidRPr="00846FCD">
              <w:rPr>
                <w:rFonts w:ascii="Times New Roman" w:hAnsi="Times New Roman" w:cs="Times New Roman"/>
                <w:b/>
                <w:sz w:val="24"/>
                <w:szCs w:val="24"/>
              </w:rPr>
              <w:t>Symbol Number</w:t>
            </w:r>
          </w:p>
        </w:tc>
        <w:tc>
          <w:tcPr>
            <w:tcW w:w="1223" w:type="pct"/>
            <w:tcBorders>
              <w:top w:val="single" w:sz="4" w:space="0" w:color="auto"/>
              <w:bottom w:val="single" w:sz="4" w:space="0" w:color="auto"/>
            </w:tcBorders>
          </w:tcPr>
          <w:p w14:paraId="64C856C2" w14:textId="77777777" w:rsidR="00844FD1" w:rsidRPr="00846FCD" w:rsidRDefault="00844FD1" w:rsidP="005E623C">
            <w:pPr>
              <w:tabs>
                <w:tab w:val="left" w:pos="2070"/>
              </w:tabs>
              <w:jc w:val="both"/>
              <w:rPr>
                <w:rFonts w:ascii="Times New Roman" w:hAnsi="Times New Roman" w:cs="Times New Roman"/>
                <w:b/>
                <w:sz w:val="24"/>
                <w:szCs w:val="24"/>
              </w:rPr>
            </w:pPr>
            <w:r w:rsidRPr="00846FCD">
              <w:rPr>
                <w:rFonts w:ascii="Times New Roman" w:hAnsi="Times New Roman" w:cs="Times New Roman"/>
                <w:b/>
                <w:sz w:val="24"/>
                <w:szCs w:val="24"/>
              </w:rPr>
              <w:t>Element Name</w:t>
            </w:r>
          </w:p>
        </w:tc>
        <w:tc>
          <w:tcPr>
            <w:tcW w:w="942" w:type="pct"/>
            <w:tcBorders>
              <w:top w:val="single" w:sz="4" w:space="0" w:color="auto"/>
              <w:bottom w:val="single" w:sz="4" w:space="0" w:color="auto"/>
            </w:tcBorders>
          </w:tcPr>
          <w:p w14:paraId="74B54F67" w14:textId="77777777" w:rsidR="00844FD1" w:rsidRPr="00846FCD" w:rsidRDefault="00844FD1" w:rsidP="005E623C">
            <w:pPr>
              <w:tabs>
                <w:tab w:val="left" w:pos="2070"/>
              </w:tabs>
              <w:jc w:val="both"/>
              <w:rPr>
                <w:rFonts w:ascii="Times New Roman" w:hAnsi="Times New Roman" w:cs="Times New Roman"/>
                <w:b/>
                <w:sz w:val="24"/>
                <w:szCs w:val="24"/>
              </w:rPr>
            </w:pPr>
            <w:r w:rsidRPr="00846FCD">
              <w:rPr>
                <w:rFonts w:ascii="Times New Roman" w:hAnsi="Times New Roman" w:cs="Times New Roman"/>
                <w:b/>
                <w:sz w:val="24"/>
                <w:szCs w:val="24"/>
              </w:rPr>
              <w:t>Atomic Conc.</w:t>
            </w:r>
          </w:p>
        </w:tc>
        <w:tc>
          <w:tcPr>
            <w:tcW w:w="897" w:type="pct"/>
            <w:tcBorders>
              <w:top w:val="single" w:sz="4" w:space="0" w:color="auto"/>
              <w:bottom w:val="single" w:sz="4" w:space="0" w:color="auto"/>
            </w:tcBorders>
          </w:tcPr>
          <w:p w14:paraId="6AB41714" w14:textId="77777777" w:rsidR="00844FD1" w:rsidRPr="00846FCD" w:rsidRDefault="00844FD1" w:rsidP="005E623C">
            <w:pPr>
              <w:tabs>
                <w:tab w:val="left" w:pos="2070"/>
              </w:tabs>
              <w:jc w:val="both"/>
              <w:rPr>
                <w:rFonts w:ascii="Times New Roman" w:hAnsi="Times New Roman" w:cs="Times New Roman"/>
                <w:b/>
                <w:sz w:val="24"/>
                <w:szCs w:val="24"/>
              </w:rPr>
            </w:pPr>
            <w:r w:rsidRPr="00846FCD">
              <w:rPr>
                <w:rFonts w:ascii="Times New Roman" w:hAnsi="Times New Roman" w:cs="Times New Roman"/>
                <w:b/>
                <w:sz w:val="24"/>
                <w:szCs w:val="24"/>
              </w:rPr>
              <w:t>Weight Conc.</w:t>
            </w:r>
          </w:p>
        </w:tc>
      </w:tr>
      <w:tr w:rsidR="00844FD1" w:rsidRPr="00846FCD" w14:paraId="4B8CCF72" w14:textId="77777777" w:rsidTr="005E623C">
        <w:tc>
          <w:tcPr>
            <w:tcW w:w="969" w:type="pct"/>
            <w:tcBorders>
              <w:top w:val="single" w:sz="4" w:space="0" w:color="auto"/>
            </w:tcBorders>
          </w:tcPr>
          <w:p w14:paraId="341B4B6C"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29</w:t>
            </w:r>
          </w:p>
        </w:tc>
        <w:tc>
          <w:tcPr>
            <w:tcW w:w="969" w:type="pct"/>
            <w:tcBorders>
              <w:top w:val="single" w:sz="4" w:space="0" w:color="auto"/>
            </w:tcBorders>
          </w:tcPr>
          <w:p w14:paraId="16294B60"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Cu</w:t>
            </w:r>
          </w:p>
        </w:tc>
        <w:tc>
          <w:tcPr>
            <w:tcW w:w="1223" w:type="pct"/>
            <w:tcBorders>
              <w:top w:val="single" w:sz="4" w:space="0" w:color="auto"/>
            </w:tcBorders>
          </w:tcPr>
          <w:p w14:paraId="493D4CE2"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Copper</w:t>
            </w:r>
          </w:p>
        </w:tc>
        <w:tc>
          <w:tcPr>
            <w:tcW w:w="942" w:type="pct"/>
            <w:tcBorders>
              <w:top w:val="single" w:sz="4" w:space="0" w:color="auto"/>
            </w:tcBorders>
          </w:tcPr>
          <w:p w14:paraId="4FBB5DFB"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49.14</w:t>
            </w:r>
          </w:p>
        </w:tc>
        <w:tc>
          <w:tcPr>
            <w:tcW w:w="897" w:type="pct"/>
            <w:tcBorders>
              <w:top w:val="single" w:sz="4" w:space="0" w:color="auto"/>
            </w:tcBorders>
          </w:tcPr>
          <w:p w14:paraId="621144E4"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52.34</w:t>
            </w:r>
          </w:p>
        </w:tc>
      </w:tr>
      <w:tr w:rsidR="00844FD1" w:rsidRPr="00846FCD" w14:paraId="4363801A" w14:textId="77777777" w:rsidTr="005E623C">
        <w:tc>
          <w:tcPr>
            <w:tcW w:w="969" w:type="pct"/>
          </w:tcPr>
          <w:p w14:paraId="73FF227A"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30</w:t>
            </w:r>
          </w:p>
        </w:tc>
        <w:tc>
          <w:tcPr>
            <w:tcW w:w="969" w:type="pct"/>
          </w:tcPr>
          <w:p w14:paraId="1DDA88E6"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Zn</w:t>
            </w:r>
          </w:p>
        </w:tc>
        <w:tc>
          <w:tcPr>
            <w:tcW w:w="1223" w:type="pct"/>
          </w:tcPr>
          <w:p w14:paraId="63C2ACA7"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Zinc</w:t>
            </w:r>
          </w:p>
        </w:tc>
        <w:tc>
          <w:tcPr>
            <w:tcW w:w="942" w:type="pct"/>
          </w:tcPr>
          <w:p w14:paraId="3E667F59"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22.56</w:t>
            </w:r>
          </w:p>
        </w:tc>
        <w:tc>
          <w:tcPr>
            <w:tcW w:w="897" w:type="pct"/>
          </w:tcPr>
          <w:p w14:paraId="7D305CC2"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24.73</w:t>
            </w:r>
          </w:p>
        </w:tc>
      </w:tr>
      <w:tr w:rsidR="00844FD1" w:rsidRPr="00846FCD" w14:paraId="43348FFC" w14:textId="77777777" w:rsidTr="005E623C">
        <w:tc>
          <w:tcPr>
            <w:tcW w:w="969" w:type="pct"/>
          </w:tcPr>
          <w:p w14:paraId="5B364893"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28</w:t>
            </w:r>
          </w:p>
        </w:tc>
        <w:tc>
          <w:tcPr>
            <w:tcW w:w="969" w:type="pct"/>
          </w:tcPr>
          <w:p w14:paraId="4C8B1528"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Ni</w:t>
            </w:r>
          </w:p>
        </w:tc>
        <w:tc>
          <w:tcPr>
            <w:tcW w:w="1223" w:type="pct"/>
          </w:tcPr>
          <w:p w14:paraId="0EB76CA3"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Nickel</w:t>
            </w:r>
          </w:p>
        </w:tc>
        <w:tc>
          <w:tcPr>
            <w:tcW w:w="942" w:type="pct"/>
          </w:tcPr>
          <w:p w14:paraId="2DCF592C"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15.10</w:t>
            </w:r>
          </w:p>
        </w:tc>
        <w:tc>
          <w:tcPr>
            <w:tcW w:w="897" w:type="pct"/>
          </w:tcPr>
          <w:p w14:paraId="069CAA0E"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14.86</w:t>
            </w:r>
          </w:p>
        </w:tc>
      </w:tr>
      <w:tr w:rsidR="00844FD1" w:rsidRPr="00846FCD" w14:paraId="6324373E" w14:textId="77777777" w:rsidTr="005E623C">
        <w:tc>
          <w:tcPr>
            <w:tcW w:w="969" w:type="pct"/>
          </w:tcPr>
          <w:p w14:paraId="52849987"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50</w:t>
            </w:r>
          </w:p>
        </w:tc>
        <w:tc>
          <w:tcPr>
            <w:tcW w:w="969" w:type="pct"/>
          </w:tcPr>
          <w:p w14:paraId="4402A7DC"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Sn</w:t>
            </w:r>
          </w:p>
        </w:tc>
        <w:tc>
          <w:tcPr>
            <w:tcW w:w="1223" w:type="pct"/>
          </w:tcPr>
          <w:p w14:paraId="34EE7844"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Tin</w:t>
            </w:r>
          </w:p>
        </w:tc>
        <w:tc>
          <w:tcPr>
            <w:tcW w:w="942" w:type="pct"/>
          </w:tcPr>
          <w:p w14:paraId="3B889E46"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0.71</w:t>
            </w:r>
          </w:p>
        </w:tc>
        <w:tc>
          <w:tcPr>
            <w:tcW w:w="897" w:type="pct"/>
          </w:tcPr>
          <w:p w14:paraId="032CA78B"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1.41</w:t>
            </w:r>
          </w:p>
        </w:tc>
      </w:tr>
      <w:tr w:rsidR="00844FD1" w:rsidRPr="00846FCD" w14:paraId="08F0B1DB" w14:textId="77777777" w:rsidTr="005E623C">
        <w:tc>
          <w:tcPr>
            <w:tcW w:w="969" w:type="pct"/>
          </w:tcPr>
          <w:p w14:paraId="7F6824C2"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11</w:t>
            </w:r>
          </w:p>
        </w:tc>
        <w:tc>
          <w:tcPr>
            <w:tcW w:w="969" w:type="pct"/>
          </w:tcPr>
          <w:p w14:paraId="59571226"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Na</w:t>
            </w:r>
          </w:p>
        </w:tc>
        <w:tc>
          <w:tcPr>
            <w:tcW w:w="1223" w:type="pct"/>
          </w:tcPr>
          <w:p w14:paraId="7C601664"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Sodium</w:t>
            </w:r>
          </w:p>
        </w:tc>
        <w:tc>
          <w:tcPr>
            <w:tcW w:w="942" w:type="pct"/>
          </w:tcPr>
          <w:p w14:paraId="0D47EB53"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3.12</w:t>
            </w:r>
          </w:p>
        </w:tc>
        <w:tc>
          <w:tcPr>
            <w:tcW w:w="897" w:type="pct"/>
          </w:tcPr>
          <w:p w14:paraId="1B1B7F55"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1.20</w:t>
            </w:r>
          </w:p>
        </w:tc>
      </w:tr>
      <w:tr w:rsidR="00844FD1" w:rsidRPr="00846FCD" w14:paraId="450A8715" w14:textId="77777777" w:rsidTr="005E623C">
        <w:tc>
          <w:tcPr>
            <w:tcW w:w="969" w:type="pct"/>
          </w:tcPr>
          <w:p w14:paraId="14E3C719"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47</w:t>
            </w:r>
          </w:p>
        </w:tc>
        <w:tc>
          <w:tcPr>
            <w:tcW w:w="969" w:type="pct"/>
          </w:tcPr>
          <w:p w14:paraId="0159C7D4"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Ag</w:t>
            </w:r>
          </w:p>
        </w:tc>
        <w:tc>
          <w:tcPr>
            <w:tcW w:w="1223" w:type="pct"/>
          </w:tcPr>
          <w:p w14:paraId="6C53B6E7"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Silver</w:t>
            </w:r>
          </w:p>
        </w:tc>
        <w:tc>
          <w:tcPr>
            <w:tcW w:w="942" w:type="pct"/>
          </w:tcPr>
          <w:p w14:paraId="629CA02C"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0.59</w:t>
            </w:r>
          </w:p>
        </w:tc>
        <w:tc>
          <w:tcPr>
            <w:tcW w:w="897" w:type="pct"/>
          </w:tcPr>
          <w:p w14:paraId="2DB99EB6"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1.06</w:t>
            </w:r>
          </w:p>
        </w:tc>
      </w:tr>
      <w:tr w:rsidR="00844FD1" w:rsidRPr="00846FCD" w14:paraId="02EC1B93" w14:textId="77777777" w:rsidTr="005E623C">
        <w:tc>
          <w:tcPr>
            <w:tcW w:w="969" w:type="pct"/>
          </w:tcPr>
          <w:p w14:paraId="3FECF7BC"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6</w:t>
            </w:r>
          </w:p>
        </w:tc>
        <w:tc>
          <w:tcPr>
            <w:tcW w:w="969" w:type="pct"/>
          </w:tcPr>
          <w:p w14:paraId="00E8CF9A"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C</w:t>
            </w:r>
          </w:p>
        </w:tc>
        <w:tc>
          <w:tcPr>
            <w:tcW w:w="1223" w:type="pct"/>
          </w:tcPr>
          <w:p w14:paraId="7E70F46C"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Carbon</w:t>
            </w:r>
          </w:p>
        </w:tc>
        <w:tc>
          <w:tcPr>
            <w:tcW w:w="942" w:type="pct"/>
          </w:tcPr>
          <w:p w14:paraId="4E5DDD41"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4.08</w:t>
            </w:r>
          </w:p>
        </w:tc>
        <w:tc>
          <w:tcPr>
            <w:tcW w:w="897" w:type="pct"/>
          </w:tcPr>
          <w:p w14:paraId="01FDDBF6"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0.82</w:t>
            </w:r>
          </w:p>
        </w:tc>
      </w:tr>
      <w:tr w:rsidR="00844FD1" w:rsidRPr="00846FCD" w14:paraId="1C34C552" w14:textId="77777777" w:rsidTr="005E623C">
        <w:tc>
          <w:tcPr>
            <w:tcW w:w="969" w:type="pct"/>
          </w:tcPr>
          <w:p w14:paraId="36EA9A84"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41</w:t>
            </w:r>
          </w:p>
        </w:tc>
        <w:tc>
          <w:tcPr>
            <w:tcW w:w="969" w:type="pct"/>
          </w:tcPr>
          <w:p w14:paraId="613688B2"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Nb</w:t>
            </w:r>
          </w:p>
        </w:tc>
        <w:tc>
          <w:tcPr>
            <w:tcW w:w="1223" w:type="pct"/>
          </w:tcPr>
          <w:p w14:paraId="0427098E"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Niobium</w:t>
            </w:r>
          </w:p>
        </w:tc>
        <w:tc>
          <w:tcPr>
            <w:tcW w:w="942" w:type="pct"/>
          </w:tcPr>
          <w:p w14:paraId="68A64DD9"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0.35</w:t>
            </w:r>
          </w:p>
        </w:tc>
        <w:tc>
          <w:tcPr>
            <w:tcW w:w="897" w:type="pct"/>
          </w:tcPr>
          <w:p w14:paraId="4F055FB0"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0.54</w:t>
            </w:r>
          </w:p>
        </w:tc>
      </w:tr>
      <w:tr w:rsidR="00844FD1" w:rsidRPr="00846FCD" w14:paraId="3CFE993C" w14:textId="77777777" w:rsidTr="005E623C">
        <w:tc>
          <w:tcPr>
            <w:tcW w:w="969" w:type="pct"/>
          </w:tcPr>
          <w:p w14:paraId="2F82A139"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22</w:t>
            </w:r>
          </w:p>
        </w:tc>
        <w:tc>
          <w:tcPr>
            <w:tcW w:w="969" w:type="pct"/>
          </w:tcPr>
          <w:p w14:paraId="416FD7A8"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C</w:t>
            </w:r>
          </w:p>
        </w:tc>
        <w:tc>
          <w:tcPr>
            <w:tcW w:w="1223" w:type="pct"/>
          </w:tcPr>
          <w:p w14:paraId="7AB11A99"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 xml:space="preserve">Titanium </w:t>
            </w:r>
          </w:p>
        </w:tc>
        <w:tc>
          <w:tcPr>
            <w:tcW w:w="942" w:type="pct"/>
          </w:tcPr>
          <w:p w14:paraId="7756663A"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0.67</w:t>
            </w:r>
          </w:p>
        </w:tc>
        <w:tc>
          <w:tcPr>
            <w:tcW w:w="897" w:type="pct"/>
          </w:tcPr>
          <w:p w14:paraId="489CA8A5"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0.54</w:t>
            </w:r>
          </w:p>
        </w:tc>
      </w:tr>
      <w:tr w:rsidR="00844FD1" w:rsidRPr="00846FCD" w14:paraId="75693986" w14:textId="77777777" w:rsidTr="005E623C">
        <w:tc>
          <w:tcPr>
            <w:tcW w:w="969" w:type="pct"/>
          </w:tcPr>
          <w:p w14:paraId="0E495DBB"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39</w:t>
            </w:r>
          </w:p>
        </w:tc>
        <w:tc>
          <w:tcPr>
            <w:tcW w:w="969" w:type="pct"/>
          </w:tcPr>
          <w:p w14:paraId="2F9D74A0"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Y</w:t>
            </w:r>
          </w:p>
        </w:tc>
        <w:tc>
          <w:tcPr>
            <w:tcW w:w="1223" w:type="pct"/>
          </w:tcPr>
          <w:p w14:paraId="468FDF9D"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 xml:space="preserve">Yttrium </w:t>
            </w:r>
          </w:p>
        </w:tc>
        <w:tc>
          <w:tcPr>
            <w:tcW w:w="942" w:type="pct"/>
          </w:tcPr>
          <w:p w14:paraId="18825A70"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0.34</w:t>
            </w:r>
          </w:p>
        </w:tc>
        <w:tc>
          <w:tcPr>
            <w:tcW w:w="897" w:type="pct"/>
          </w:tcPr>
          <w:p w14:paraId="5BD42A57"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0.50</w:t>
            </w:r>
          </w:p>
        </w:tc>
      </w:tr>
      <w:tr w:rsidR="00844FD1" w:rsidRPr="00846FCD" w14:paraId="44BC0862" w14:textId="77777777" w:rsidTr="005E623C">
        <w:tc>
          <w:tcPr>
            <w:tcW w:w="969" w:type="pct"/>
          </w:tcPr>
          <w:p w14:paraId="60D0B56D"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19</w:t>
            </w:r>
          </w:p>
        </w:tc>
        <w:tc>
          <w:tcPr>
            <w:tcW w:w="969" w:type="pct"/>
          </w:tcPr>
          <w:p w14:paraId="41CCF83B"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 xml:space="preserve">K </w:t>
            </w:r>
          </w:p>
        </w:tc>
        <w:tc>
          <w:tcPr>
            <w:tcW w:w="1223" w:type="pct"/>
          </w:tcPr>
          <w:p w14:paraId="6F5BBCE8"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 xml:space="preserve">Potassium </w:t>
            </w:r>
          </w:p>
        </w:tc>
        <w:tc>
          <w:tcPr>
            <w:tcW w:w="942" w:type="pct"/>
          </w:tcPr>
          <w:p w14:paraId="2D6B0971"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0.71</w:t>
            </w:r>
          </w:p>
        </w:tc>
        <w:tc>
          <w:tcPr>
            <w:tcW w:w="897" w:type="pct"/>
          </w:tcPr>
          <w:p w14:paraId="7E5602F2"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0.47</w:t>
            </w:r>
          </w:p>
        </w:tc>
      </w:tr>
      <w:tr w:rsidR="00844FD1" w:rsidRPr="00846FCD" w14:paraId="72F0AEBD" w14:textId="77777777" w:rsidTr="005E623C">
        <w:tc>
          <w:tcPr>
            <w:tcW w:w="969" w:type="pct"/>
          </w:tcPr>
          <w:p w14:paraId="7C9A64D9"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24</w:t>
            </w:r>
          </w:p>
        </w:tc>
        <w:tc>
          <w:tcPr>
            <w:tcW w:w="969" w:type="pct"/>
          </w:tcPr>
          <w:p w14:paraId="4A1BE373"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Cr</w:t>
            </w:r>
          </w:p>
        </w:tc>
        <w:tc>
          <w:tcPr>
            <w:tcW w:w="1223" w:type="pct"/>
          </w:tcPr>
          <w:p w14:paraId="2AF18E1E"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 xml:space="preserve">Chromium </w:t>
            </w:r>
          </w:p>
        </w:tc>
        <w:tc>
          <w:tcPr>
            <w:tcW w:w="942" w:type="pct"/>
          </w:tcPr>
          <w:p w14:paraId="0FE5D87D"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0.38</w:t>
            </w:r>
          </w:p>
        </w:tc>
        <w:tc>
          <w:tcPr>
            <w:tcW w:w="897" w:type="pct"/>
          </w:tcPr>
          <w:p w14:paraId="7FAEE0BD"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0.33</w:t>
            </w:r>
          </w:p>
        </w:tc>
      </w:tr>
      <w:tr w:rsidR="00844FD1" w:rsidRPr="00846FCD" w14:paraId="14A49EB4" w14:textId="77777777" w:rsidTr="005E623C">
        <w:tc>
          <w:tcPr>
            <w:tcW w:w="969" w:type="pct"/>
          </w:tcPr>
          <w:p w14:paraId="166C8113"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17</w:t>
            </w:r>
          </w:p>
        </w:tc>
        <w:tc>
          <w:tcPr>
            <w:tcW w:w="969" w:type="pct"/>
          </w:tcPr>
          <w:p w14:paraId="5BA0657B"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Cl</w:t>
            </w:r>
          </w:p>
        </w:tc>
        <w:tc>
          <w:tcPr>
            <w:tcW w:w="1223" w:type="pct"/>
          </w:tcPr>
          <w:p w14:paraId="336206A3"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chlorine</w:t>
            </w:r>
          </w:p>
        </w:tc>
        <w:tc>
          <w:tcPr>
            <w:tcW w:w="942" w:type="pct"/>
          </w:tcPr>
          <w:p w14:paraId="52A564B8"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0.48</w:t>
            </w:r>
          </w:p>
        </w:tc>
        <w:tc>
          <w:tcPr>
            <w:tcW w:w="897" w:type="pct"/>
          </w:tcPr>
          <w:p w14:paraId="2E15C7F4"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0.28</w:t>
            </w:r>
          </w:p>
        </w:tc>
      </w:tr>
      <w:tr w:rsidR="00844FD1" w:rsidRPr="00846FCD" w14:paraId="279F824E" w14:textId="77777777" w:rsidTr="005E623C">
        <w:tc>
          <w:tcPr>
            <w:tcW w:w="969" w:type="pct"/>
          </w:tcPr>
          <w:p w14:paraId="0A6928AD"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20</w:t>
            </w:r>
          </w:p>
        </w:tc>
        <w:tc>
          <w:tcPr>
            <w:tcW w:w="969" w:type="pct"/>
          </w:tcPr>
          <w:p w14:paraId="7F4A1AAF"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Ca</w:t>
            </w:r>
          </w:p>
        </w:tc>
        <w:tc>
          <w:tcPr>
            <w:tcW w:w="1223" w:type="pct"/>
          </w:tcPr>
          <w:p w14:paraId="58EEA15C"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 xml:space="preserve">Calcium </w:t>
            </w:r>
          </w:p>
        </w:tc>
        <w:tc>
          <w:tcPr>
            <w:tcW w:w="942" w:type="pct"/>
          </w:tcPr>
          <w:p w14:paraId="55B134F1"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0.42</w:t>
            </w:r>
          </w:p>
        </w:tc>
        <w:tc>
          <w:tcPr>
            <w:tcW w:w="897" w:type="pct"/>
          </w:tcPr>
          <w:p w14:paraId="0A48D852"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0.28</w:t>
            </w:r>
          </w:p>
        </w:tc>
      </w:tr>
      <w:tr w:rsidR="00844FD1" w:rsidRPr="00846FCD" w14:paraId="3AA82A8B" w14:textId="77777777" w:rsidTr="005E623C">
        <w:tc>
          <w:tcPr>
            <w:tcW w:w="969" w:type="pct"/>
          </w:tcPr>
          <w:p w14:paraId="2D56ACE0"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14</w:t>
            </w:r>
          </w:p>
        </w:tc>
        <w:tc>
          <w:tcPr>
            <w:tcW w:w="969" w:type="pct"/>
          </w:tcPr>
          <w:p w14:paraId="7132CC3D"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 xml:space="preserve">Si </w:t>
            </w:r>
          </w:p>
        </w:tc>
        <w:tc>
          <w:tcPr>
            <w:tcW w:w="1223" w:type="pct"/>
          </w:tcPr>
          <w:p w14:paraId="44D22936"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 xml:space="preserve">Silicon </w:t>
            </w:r>
          </w:p>
        </w:tc>
        <w:tc>
          <w:tcPr>
            <w:tcW w:w="942" w:type="pct"/>
          </w:tcPr>
          <w:p w14:paraId="4D83C991"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0.59</w:t>
            </w:r>
          </w:p>
        </w:tc>
        <w:tc>
          <w:tcPr>
            <w:tcW w:w="897" w:type="pct"/>
          </w:tcPr>
          <w:p w14:paraId="53D8AE6B"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0.28</w:t>
            </w:r>
          </w:p>
        </w:tc>
      </w:tr>
      <w:tr w:rsidR="00844FD1" w:rsidRPr="00846FCD" w14:paraId="47E1C2FE" w14:textId="77777777" w:rsidTr="005E623C">
        <w:tc>
          <w:tcPr>
            <w:tcW w:w="969" w:type="pct"/>
          </w:tcPr>
          <w:p w14:paraId="6074F102"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16</w:t>
            </w:r>
          </w:p>
        </w:tc>
        <w:tc>
          <w:tcPr>
            <w:tcW w:w="969" w:type="pct"/>
          </w:tcPr>
          <w:p w14:paraId="014EC3C1"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 xml:space="preserve">S </w:t>
            </w:r>
          </w:p>
        </w:tc>
        <w:tc>
          <w:tcPr>
            <w:tcW w:w="1223" w:type="pct"/>
          </w:tcPr>
          <w:p w14:paraId="45B8776A"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 xml:space="preserve">Sulfur </w:t>
            </w:r>
          </w:p>
        </w:tc>
        <w:tc>
          <w:tcPr>
            <w:tcW w:w="942" w:type="pct"/>
          </w:tcPr>
          <w:p w14:paraId="50C9EF1B"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0.26</w:t>
            </w:r>
          </w:p>
        </w:tc>
        <w:tc>
          <w:tcPr>
            <w:tcW w:w="897" w:type="pct"/>
          </w:tcPr>
          <w:p w14:paraId="6DE6BCB1"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0.14</w:t>
            </w:r>
          </w:p>
        </w:tc>
      </w:tr>
      <w:tr w:rsidR="00844FD1" w:rsidRPr="00846FCD" w14:paraId="4F2706F2" w14:textId="77777777" w:rsidTr="005E623C">
        <w:tc>
          <w:tcPr>
            <w:tcW w:w="969" w:type="pct"/>
          </w:tcPr>
          <w:p w14:paraId="3B026B4E"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13</w:t>
            </w:r>
          </w:p>
        </w:tc>
        <w:tc>
          <w:tcPr>
            <w:tcW w:w="969" w:type="pct"/>
          </w:tcPr>
          <w:p w14:paraId="66DB71CA"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 xml:space="preserve">Al </w:t>
            </w:r>
          </w:p>
        </w:tc>
        <w:tc>
          <w:tcPr>
            <w:tcW w:w="1223" w:type="pct"/>
          </w:tcPr>
          <w:p w14:paraId="0BA94627" w14:textId="77777777" w:rsidR="00844FD1" w:rsidRPr="00846FCD" w:rsidRDefault="00844FD1" w:rsidP="005E623C">
            <w:pPr>
              <w:tabs>
                <w:tab w:val="left" w:pos="2070"/>
              </w:tabs>
              <w:jc w:val="both"/>
              <w:rPr>
                <w:rFonts w:ascii="Times New Roman" w:hAnsi="Times New Roman" w:cs="Times New Roman"/>
                <w:sz w:val="24"/>
                <w:szCs w:val="24"/>
              </w:rPr>
            </w:pPr>
            <w:proofErr w:type="spellStart"/>
            <w:r w:rsidRPr="00846FCD">
              <w:rPr>
                <w:rFonts w:ascii="Times New Roman" w:hAnsi="Times New Roman" w:cs="Times New Roman"/>
                <w:sz w:val="24"/>
                <w:szCs w:val="24"/>
              </w:rPr>
              <w:t>Aluminium</w:t>
            </w:r>
            <w:proofErr w:type="spellEnd"/>
            <w:r w:rsidRPr="00846FCD">
              <w:rPr>
                <w:rFonts w:ascii="Times New Roman" w:hAnsi="Times New Roman" w:cs="Times New Roman"/>
                <w:sz w:val="24"/>
                <w:szCs w:val="24"/>
              </w:rPr>
              <w:t xml:space="preserve"> </w:t>
            </w:r>
          </w:p>
        </w:tc>
        <w:tc>
          <w:tcPr>
            <w:tcW w:w="942" w:type="pct"/>
          </w:tcPr>
          <w:p w14:paraId="77F4EBA1"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0.27</w:t>
            </w:r>
          </w:p>
        </w:tc>
        <w:tc>
          <w:tcPr>
            <w:tcW w:w="897" w:type="pct"/>
          </w:tcPr>
          <w:p w14:paraId="0A0078CD"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0.12</w:t>
            </w:r>
          </w:p>
        </w:tc>
      </w:tr>
      <w:tr w:rsidR="00844FD1" w:rsidRPr="00846FCD" w14:paraId="0654E128" w14:textId="77777777" w:rsidTr="005E623C">
        <w:tc>
          <w:tcPr>
            <w:tcW w:w="969" w:type="pct"/>
          </w:tcPr>
          <w:p w14:paraId="27424DC7"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12</w:t>
            </w:r>
          </w:p>
        </w:tc>
        <w:tc>
          <w:tcPr>
            <w:tcW w:w="969" w:type="pct"/>
          </w:tcPr>
          <w:p w14:paraId="35AE994B"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 xml:space="preserve">Mg </w:t>
            </w:r>
          </w:p>
        </w:tc>
        <w:tc>
          <w:tcPr>
            <w:tcW w:w="1223" w:type="pct"/>
          </w:tcPr>
          <w:p w14:paraId="063BAF76"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 xml:space="preserve">Magnesium </w:t>
            </w:r>
          </w:p>
        </w:tc>
        <w:tc>
          <w:tcPr>
            <w:tcW w:w="942" w:type="pct"/>
          </w:tcPr>
          <w:p w14:paraId="3AC6F3D8"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0.23</w:t>
            </w:r>
          </w:p>
        </w:tc>
        <w:tc>
          <w:tcPr>
            <w:tcW w:w="897" w:type="pct"/>
          </w:tcPr>
          <w:p w14:paraId="7D858539"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0.09</w:t>
            </w:r>
          </w:p>
        </w:tc>
      </w:tr>
      <w:tr w:rsidR="00844FD1" w:rsidRPr="00846FCD" w14:paraId="00FEE8FE" w14:textId="77777777" w:rsidTr="005E623C">
        <w:tc>
          <w:tcPr>
            <w:tcW w:w="969" w:type="pct"/>
          </w:tcPr>
          <w:p w14:paraId="014E8258"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15</w:t>
            </w:r>
          </w:p>
        </w:tc>
        <w:tc>
          <w:tcPr>
            <w:tcW w:w="969" w:type="pct"/>
          </w:tcPr>
          <w:p w14:paraId="3BEB1008"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 xml:space="preserve">P </w:t>
            </w:r>
          </w:p>
        </w:tc>
        <w:tc>
          <w:tcPr>
            <w:tcW w:w="1223" w:type="pct"/>
          </w:tcPr>
          <w:p w14:paraId="43D2E73D"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Phosphorus</w:t>
            </w:r>
          </w:p>
        </w:tc>
        <w:tc>
          <w:tcPr>
            <w:tcW w:w="942" w:type="pct"/>
          </w:tcPr>
          <w:p w14:paraId="0CFDD66C"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0.00</w:t>
            </w:r>
          </w:p>
        </w:tc>
        <w:tc>
          <w:tcPr>
            <w:tcW w:w="897" w:type="pct"/>
          </w:tcPr>
          <w:p w14:paraId="011796C0"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0.00</w:t>
            </w:r>
          </w:p>
        </w:tc>
      </w:tr>
      <w:tr w:rsidR="00844FD1" w:rsidRPr="00846FCD" w14:paraId="03E6CC8F" w14:textId="77777777" w:rsidTr="005E623C">
        <w:tc>
          <w:tcPr>
            <w:tcW w:w="969" w:type="pct"/>
            <w:tcBorders>
              <w:bottom w:val="single" w:sz="4" w:space="0" w:color="auto"/>
            </w:tcBorders>
          </w:tcPr>
          <w:p w14:paraId="4E3D1651"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26</w:t>
            </w:r>
          </w:p>
        </w:tc>
        <w:tc>
          <w:tcPr>
            <w:tcW w:w="969" w:type="pct"/>
            <w:tcBorders>
              <w:bottom w:val="single" w:sz="4" w:space="0" w:color="auto"/>
            </w:tcBorders>
          </w:tcPr>
          <w:p w14:paraId="188DEFB0"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 xml:space="preserve">Fe </w:t>
            </w:r>
          </w:p>
        </w:tc>
        <w:tc>
          <w:tcPr>
            <w:tcW w:w="1223" w:type="pct"/>
            <w:tcBorders>
              <w:bottom w:val="single" w:sz="4" w:space="0" w:color="auto"/>
            </w:tcBorders>
          </w:tcPr>
          <w:p w14:paraId="1830FE65"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 xml:space="preserve">Iron </w:t>
            </w:r>
          </w:p>
        </w:tc>
        <w:tc>
          <w:tcPr>
            <w:tcW w:w="942" w:type="pct"/>
            <w:tcBorders>
              <w:bottom w:val="single" w:sz="4" w:space="0" w:color="auto"/>
            </w:tcBorders>
          </w:tcPr>
          <w:p w14:paraId="2A9C18CC"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0.00</w:t>
            </w:r>
          </w:p>
        </w:tc>
        <w:tc>
          <w:tcPr>
            <w:tcW w:w="897" w:type="pct"/>
            <w:tcBorders>
              <w:bottom w:val="single" w:sz="4" w:space="0" w:color="auto"/>
            </w:tcBorders>
          </w:tcPr>
          <w:p w14:paraId="4170151D" w14:textId="77777777" w:rsidR="00844FD1" w:rsidRPr="00846FCD" w:rsidRDefault="00844FD1"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0.00</w:t>
            </w:r>
          </w:p>
        </w:tc>
      </w:tr>
    </w:tbl>
    <w:p w14:paraId="48424751" w14:textId="77777777" w:rsidR="00844FD1" w:rsidRDefault="00844FD1" w:rsidP="00844FD1">
      <w:pPr>
        <w:spacing w:line="360" w:lineRule="auto"/>
        <w:jc w:val="both"/>
        <w:rPr>
          <w:rFonts w:ascii="Times New Roman" w:hAnsi="Times New Roman" w:cs="Times New Roman"/>
          <w:sz w:val="24"/>
          <w:szCs w:val="24"/>
        </w:rPr>
      </w:pPr>
    </w:p>
    <w:p w14:paraId="31B6BF33" w14:textId="77777777" w:rsidR="007E43F6" w:rsidRPr="00846FCD" w:rsidRDefault="007E43F6" w:rsidP="007E43F6">
      <w:pPr>
        <w:spacing w:after="0" w:line="360" w:lineRule="auto"/>
        <w:jc w:val="both"/>
        <w:rPr>
          <w:rFonts w:ascii="Times New Roman" w:hAnsi="Times New Roman" w:cs="Times New Roman"/>
          <w:sz w:val="24"/>
          <w:szCs w:val="24"/>
        </w:rPr>
      </w:pPr>
      <w:r w:rsidRPr="00846FCD">
        <w:rPr>
          <w:rFonts w:ascii="Times New Roman" w:eastAsia="Times New Roman" w:hAnsi="Times New Roman" w:cs="Times New Roman"/>
          <w:noProof/>
          <w:color w:val="000000"/>
          <w:sz w:val="24"/>
          <w:szCs w:val="24"/>
        </w:rPr>
        <w:drawing>
          <wp:inline distT="0" distB="0" distL="0" distR="0" wp14:anchorId="6C5C31D9" wp14:editId="27F14D64">
            <wp:extent cx="6448425" cy="3095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8425" cy="3095625"/>
                    </a:xfrm>
                    <a:prstGeom prst="rect">
                      <a:avLst/>
                    </a:prstGeom>
                    <a:noFill/>
                  </pic:spPr>
                </pic:pic>
              </a:graphicData>
            </a:graphic>
          </wp:inline>
        </w:drawing>
      </w:r>
      <w:r w:rsidRPr="00846FCD">
        <w:rPr>
          <w:rFonts w:ascii="Times New Roman" w:hAnsi="Times New Roman" w:cs="Times New Roman"/>
          <w:sz w:val="24"/>
          <w:szCs w:val="24"/>
        </w:rPr>
        <w:t xml:space="preserve"> </w:t>
      </w:r>
    </w:p>
    <w:p w14:paraId="4AD1DA06" w14:textId="77777777" w:rsidR="007E43F6" w:rsidRPr="00846FCD" w:rsidRDefault="007E43F6" w:rsidP="007E43F6">
      <w:pPr>
        <w:tabs>
          <w:tab w:val="left" w:pos="2070"/>
        </w:tabs>
        <w:jc w:val="both"/>
        <w:rPr>
          <w:rFonts w:ascii="Times New Roman" w:hAnsi="Times New Roman" w:cs="Times New Roman"/>
          <w:b/>
          <w:sz w:val="24"/>
          <w:szCs w:val="24"/>
        </w:rPr>
      </w:pPr>
      <w:r>
        <w:rPr>
          <w:rFonts w:ascii="Times New Roman" w:eastAsia="Times New Roman" w:hAnsi="Times New Roman" w:cs="Times New Roman"/>
          <w:b/>
          <w:color w:val="000000"/>
          <w:sz w:val="24"/>
          <w:szCs w:val="24"/>
        </w:rPr>
        <w:t xml:space="preserve">Fig </w:t>
      </w:r>
      <w:r w:rsidR="00B55ED1">
        <w:rPr>
          <w:rFonts w:ascii="Times New Roman" w:eastAsia="Times New Roman" w:hAnsi="Times New Roman" w:cs="Times New Roman"/>
          <w:b/>
          <w:color w:val="000000"/>
          <w:sz w:val="24"/>
          <w:szCs w:val="24"/>
        </w:rPr>
        <w:t>1</w:t>
      </w:r>
      <w:r>
        <w:rPr>
          <w:rFonts w:ascii="Times New Roman" w:eastAsia="Times New Roman" w:hAnsi="Times New Roman" w:cs="Times New Roman"/>
          <w:b/>
          <w:color w:val="000000"/>
          <w:sz w:val="24"/>
          <w:szCs w:val="24"/>
        </w:rPr>
        <w:t xml:space="preserve">: </w:t>
      </w:r>
      <w:r w:rsidRPr="00846FCD">
        <w:rPr>
          <w:rFonts w:ascii="Times New Roman" w:hAnsi="Times New Roman" w:cs="Times New Roman"/>
          <w:b/>
          <w:sz w:val="24"/>
          <w:szCs w:val="24"/>
        </w:rPr>
        <w:t>X-Ray Diffraction (XRD) Spectrum of Waste PCB</w:t>
      </w:r>
      <w:r w:rsidRPr="00846FCD">
        <w:rPr>
          <w:rFonts w:ascii="Times New Roman" w:hAnsi="Times New Roman" w:cs="Times New Roman"/>
          <w:sz w:val="24"/>
          <w:szCs w:val="24"/>
        </w:rPr>
        <w:t xml:space="preserve"> </w:t>
      </w:r>
      <w:r w:rsidRPr="00846FCD">
        <w:rPr>
          <w:rFonts w:ascii="Times New Roman" w:hAnsi="Times New Roman" w:cs="Times New Roman"/>
          <w:b/>
          <w:sz w:val="24"/>
          <w:szCs w:val="24"/>
        </w:rPr>
        <w:t>of Cellphone</w:t>
      </w:r>
    </w:p>
    <w:p w14:paraId="6FA5F17E" w14:textId="77777777" w:rsidR="007E43F6" w:rsidRPr="00862668" w:rsidRDefault="007E43F6" w:rsidP="007E43F6">
      <w:pPr>
        <w:pStyle w:val="NormalWeb"/>
        <w:jc w:val="both"/>
      </w:pPr>
      <w:r w:rsidRPr="00846FCD">
        <w:rPr>
          <w:b/>
        </w:rPr>
        <w:lastRenderedPageBreak/>
        <w:t>Table 2</w:t>
      </w:r>
      <w:r>
        <w:rPr>
          <w:b/>
        </w:rPr>
        <w:t xml:space="preserve">: </w:t>
      </w:r>
      <w:r w:rsidRPr="00846FCD">
        <w:rPr>
          <w:b/>
        </w:rPr>
        <w:t>Phase Identification Table or XRD Phase Analysis Summary of Waste PCB of Cellphone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1"/>
        <w:gridCol w:w="4454"/>
        <w:gridCol w:w="2365"/>
      </w:tblGrid>
      <w:tr w:rsidR="007E43F6" w:rsidRPr="00846FCD" w14:paraId="062F6E17" w14:textId="77777777" w:rsidTr="005E623C">
        <w:tc>
          <w:tcPr>
            <w:tcW w:w="1357" w:type="pct"/>
            <w:tcBorders>
              <w:top w:val="single" w:sz="4" w:space="0" w:color="auto"/>
              <w:bottom w:val="single" w:sz="4" w:space="0" w:color="auto"/>
            </w:tcBorders>
          </w:tcPr>
          <w:p w14:paraId="4C2E5C65" w14:textId="77777777" w:rsidR="007E43F6" w:rsidRPr="00846FCD" w:rsidRDefault="007E43F6" w:rsidP="005E623C">
            <w:pPr>
              <w:tabs>
                <w:tab w:val="left" w:pos="2070"/>
              </w:tabs>
              <w:jc w:val="both"/>
              <w:rPr>
                <w:rFonts w:ascii="Times New Roman" w:hAnsi="Times New Roman" w:cs="Times New Roman"/>
                <w:b/>
                <w:sz w:val="24"/>
                <w:szCs w:val="24"/>
              </w:rPr>
            </w:pPr>
            <w:r w:rsidRPr="00846FCD">
              <w:rPr>
                <w:rFonts w:ascii="Times New Roman" w:hAnsi="Times New Roman" w:cs="Times New Roman"/>
                <w:b/>
                <w:sz w:val="24"/>
                <w:szCs w:val="24"/>
              </w:rPr>
              <w:t>Phase Name</w:t>
            </w:r>
          </w:p>
        </w:tc>
        <w:tc>
          <w:tcPr>
            <w:tcW w:w="2379" w:type="pct"/>
            <w:tcBorders>
              <w:top w:val="single" w:sz="4" w:space="0" w:color="auto"/>
              <w:bottom w:val="single" w:sz="4" w:space="0" w:color="auto"/>
            </w:tcBorders>
          </w:tcPr>
          <w:p w14:paraId="299B5EA4" w14:textId="77777777" w:rsidR="007E43F6" w:rsidRPr="00846FCD" w:rsidRDefault="007E43F6" w:rsidP="005E623C">
            <w:pPr>
              <w:tabs>
                <w:tab w:val="left" w:pos="2070"/>
              </w:tabs>
              <w:jc w:val="both"/>
              <w:rPr>
                <w:rFonts w:ascii="Times New Roman" w:hAnsi="Times New Roman" w:cs="Times New Roman"/>
                <w:b/>
                <w:sz w:val="24"/>
                <w:szCs w:val="24"/>
              </w:rPr>
            </w:pPr>
            <w:r w:rsidRPr="00846FCD">
              <w:rPr>
                <w:rFonts w:ascii="Times New Roman" w:hAnsi="Times New Roman" w:cs="Times New Roman"/>
                <w:b/>
                <w:sz w:val="24"/>
                <w:szCs w:val="24"/>
              </w:rPr>
              <w:t>Formula</w:t>
            </w:r>
          </w:p>
        </w:tc>
        <w:tc>
          <w:tcPr>
            <w:tcW w:w="1263" w:type="pct"/>
            <w:tcBorders>
              <w:top w:val="single" w:sz="4" w:space="0" w:color="auto"/>
              <w:bottom w:val="single" w:sz="4" w:space="0" w:color="auto"/>
            </w:tcBorders>
          </w:tcPr>
          <w:p w14:paraId="488A8C26" w14:textId="77777777" w:rsidR="007E43F6" w:rsidRPr="00846FCD" w:rsidRDefault="007E43F6" w:rsidP="005E623C">
            <w:pPr>
              <w:tabs>
                <w:tab w:val="left" w:pos="2070"/>
              </w:tabs>
              <w:jc w:val="both"/>
              <w:rPr>
                <w:rFonts w:ascii="Times New Roman" w:hAnsi="Times New Roman" w:cs="Times New Roman"/>
                <w:b/>
                <w:sz w:val="24"/>
                <w:szCs w:val="24"/>
              </w:rPr>
            </w:pPr>
            <w:r w:rsidRPr="00846FCD">
              <w:rPr>
                <w:rFonts w:ascii="Times New Roman" w:hAnsi="Times New Roman" w:cs="Times New Roman"/>
                <w:b/>
                <w:sz w:val="24"/>
                <w:szCs w:val="24"/>
              </w:rPr>
              <w:t>Figure of Merit</w:t>
            </w:r>
          </w:p>
        </w:tc>
      </w:tr>
      <w:tr w:rsidR="007E43F6" w:rsidRPr="00846FCD" w14:paraId="38E3A924" w14:textId="77777777" w:rsidTr="005E623C">
        <w:tc>
          <w:tcPr>
            <w:tcW w:w="1357" w:type="pct"/>
            <w:tcBorders>
              <w:top w:val="single" w:sz="4" w:space="0" w:color="auto"/>
            </w:tcBorders>
          </w:tcPr>
          <w:p w14:paraId="649F2B7D" w14:textId="77777777" w:rsidR="007E43F6" w:rsidRPr="00846FCD" w:rsidRDefault="007E43F6"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Copper, syn</w:t>
            </w:r>
          </w:p>
        </w:tc>
        <w:tc>
          <w:tcPr>
            <w:tcW w:w="2379" w:type="pct"/>
            <w:tcBorders>
              <w:top w:val="single" w:sz="4" w:space="0" w:color="auto"/>
            </w:tcBorders>
          </w:tcPr>
          <w:p w14:paraId="49545105" w14:textId="77777777" w:rsidR="007E43F6" w:rsidRPr="00846FCD" w:rsidRDefault="007E43F6"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 xml:space="preserve">Cu </w:t>
            </w:r>
          </w:p>
        </w:tc>
        <w:tc>
          <w:tcPr>
            <w:tcW w:w="1263" w:type="pct"/>
            <w:tcBorders>
              <w:top w:val="single" w:sz="4" w:space="0" w:color="auto"/>
            </w:tcBorders>
          </w:tcPr>
          <w:p w14:paraId="42B51B43" w14:textId="77777777" w:rsidR="007E43F6" w:rsidRPr="00846FCD" w:rsidRDefault="007E43F6"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2.182</w:t>
            </w:r>
          </w:p>
        </w:tc>
      </w:tr>
      <w:tr w:rsidR="007E43F6" w:rsidRPr="00846FCD" w14:paraId="03E05DF6" w14:textId="77777777" w:rsidTr="005E623C">
        <w:tc>
          <w:tcPr>
            <w:tcW w:w="1357" w:type="pct"/>
          </w:tcPr>
          <w:p w14:paraId="10DC8EB7" w14:textId="77777777" w:rsidR="007E43F6" w:rsidRPr="00846FCD" w:rsidRDefault="007E43F6"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Tenorite , syn</w:t>
            </w:r>
          </w:p>
        </w:tc>
        <w:tc>
          <w:tcPr>
            <w:tcW w:w="2379" w:type="pct"/>
          </w:tcPr>
          <w:p w14:paraId="785BC4A4" w14:textId="77777777" w:rsidR="007E43F6" w:rsidRPr="00846FCD" w:rsidRDefault="007E43F6"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Cu O</w:t>
            </w:r>
          </w:p>
        </w:tc>
        <w:tc>
          <w:tcPr>
            <w:tcW w:w="1263" w:type="pct"/>
          </w:tcPr>
          <w:p w14:paraId="7393B053" w14:textId="77777777" w:rsidR="007E43F6" w:rsidRPr="00846FCD" w:rsidRDefault="007E43F6"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2.770</w:t>
            </w:r>
          </w:p>
        </w:tc>
      </w:tr>
      <w:tr w:rsidR="007E43F6" w:rsidRPr="00846FCD" w14:paraId="0158FA64" w14:textId="77777777" w:rsidTr="005E623C">
        <w:tc>
          <w:tcPr>
            <w:tcW w:w="1357" w:type="pct"/>
          </w:tcPr>
          <w:p w14:paraId="518158F1" w14:textId="77777777" w:rsidR="007E43F6" w:rsidRPr="00846FCD" w:rsidRDefault="007E43F6"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 xml:space="preserve">Chrysocolla </w:t>
            </w:r>
          </w:p>
        </w:tc>
        <w:tc>
          <w:tcPr>
            <w:tcW w:w="2379" w:type="pct"/>
          </w:tcPr>
          <w:p w14:paraId="6A3E06B1" w14:textId="77777777" w:rsidR="007E43F6" w:rsidRPr="00846FCD" w:rsidRDefault="007E43F6"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Cu Si O</w:t>
            </w:r>
            <w:r w:rsidRPr="00846FCD">
              <w:rPr>
                <w:rFonts w:ascii="Times New Roman" w:hAnsi="Times New Roman" w:cs="Times New Roman"/>
                <w:sz w:val="24"/>
                <w:szCs w:val="24"/>
                <w:vertAlign w:val="subscript"/>
              </w:rPr>
              <w:t>3</w:t>
            </w:r>
            <w:r w:rsidRPr="00846FCD">
              <w:rPr>
                <w:rFonts w:ascii="Times New Roman" w:hAnsi="Times New Roman" w:cs="Times New Roman"/>
                <w:sz w:val="24"/>
                <w:szCs w:val="24"/>
              </w:rPr>
              <w:t>.2H</w:t>
            </w:r>
            <w:r w:rsidRPr="00846FCD">
              <w:rPr>
                <w:rFonts w:ascii="Times New Roman" w:hAnsi="Times New Roman" w:cs="Times New Roman"/>
                <w:sz w:val="24"/>
                <w:szCs w:val="24"/>
                <w:vertAlign w:val="subscript"/>
              </w:rPr>
              <w:t>2</w:t>
            </w:r>
            <w:r w:rsidRPr="00846FCD">
              <w:rPr>
                <w:rFonts w:ascii="Times New Roman" w:hAnsi="Times New Roman" w:cs="Times New Roman"/>
                <w:sz w:val="24"/>
                <w:szCs w:val="24"/>
              </w:rPr>
              <w:t>O</w:t>
            </w:r>
          </w:p>
        </w:tc>
        <w:tc>
          <w:tcPr>
            <w:tcW w:w="1263" w:type="pct"/>
          </w:tcPr>
          <w:p w14:paraId="689398C7" w14:textId="77777777" w:rsidR="007E43F6" w:rsidRPr="00846FCD" w:rsidRDefault="007E43F6"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2.850</w:t>
            </w:r>
          </w:p>
        </w:tc>
      </w:tr>
      <w:tr w:rsidR="007E43F6" w:rsidRPr="00846FCD" w14:paraId="7541E542" w14:textId="77777777" w:rsidTr="005E623C">
        <w:tc>
          <w:tcPr>
            <w:tcW w:w="1357" w:type="pct"/>
          </w:tcPr>
          <w:p w14:paraId="4D8A779D" w14:textId="77777777" w:rsidR="007E43F6" w:rsidRPr="00846FCD" w:rsidRDefault="007E43F6"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 xml:space="preserve">Gamet </w:t>
            </w:r>
          </w:p>
        </w:tc>
        <w:tc>
          <w:tcPr>
            <w:tcW w:w="2379" w:type="pct"/>
          </w:tcPr>
          <w:p w14:paraId="541B9F19" w14:textId="77777777" w:rsidR="007E43F6" w:rsidRPr="00846FCD" w:rsidRDefault="007E43F6"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3 (Ca , Fe, Mg ) O.(Al, Fe….</w:t>
            </w:r>
          </w:p>
        </w:tc>
        <w:tc>
          <w:tcPr>
            <w:tcW w:w="1263" w:type="pct"/>
          </w:tcPr>
          <w:p w14:paraId="42B357F3" w14:textId="77777777" w:rsidR="007E43F6" w:rsidRPr="00846FCD" w:rsidRDefault="007E43F6"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3.186</w:t>
            </w:r>
          </w:p>
        </w:tc>
      </w:tr>
      <w:tr w:rsidR="007E43F6" w:rsidRPr="00846FCD" w14:paraId="3E286452" w14:textId="77777777" w:rsidTr="005E623C">
        <w:tc>
          <w:tcPr>
            <w:tcW w:w="1357" w:type="pct"/>
          </w:tcPr>
          <w:p w14:paraId="7C0508F6" w14:textId="77777777" w:rsidR="007E43F6" w:rsidRPr="00846FCD" w:rsidRDefault="007E43F6"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 xml:space="preserve">Tridymite </w:t>
            </w:r>
          </w:p>
        </w:tc>
        <w:tc>
          <w:tcPr>
            <w:tcW w:w="2379" w:type="pct"/>
          </w:tcPr>
          <w:p w14:paraId="6835CC76" w14:textId="77777777" w:rsidR="007E43F6" w:rsidRPr="00846FCD" w:rsidRDefault="007E43F6"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Si O</w:t>
            </w:r>
            <w:r w:rsidRPr="00846FCD">
              <w:rPr>
                <w:rFonts w:ascii="Times New Roman" w:hAnsi="Times New Roman" w:cs="Times New Roman"/>
                <w:sz w:val="24"/>
                <w:szCs w:val="24"/>
                <w:vertAlign w:val="subscript"/>
              </w:rPr>
              <w:t>2</w:t>
            </w:r>
          </w:p>
        </w:tc>
        <w:tc>
          <w:tcPr>
            <w:tcW w:w="1263" w:type="pct"/>
          </w:tcPr>
          <w:p w14:paraId="72F1B7E3" w14:textId="77777777" w:rsidR="007E43F6" w:rsidRPr="00846FCD" w:rsidRDefault="007E43F6"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3. 250</w:t>
            </w:r>
          </w:p>
        </w:tc>
      </w:tr>
      <w:tr w:rsidR="007E43F6" w:rsidRPr="00846FCD" w14:paraId="10E7E507" w14:textId="77777777" w:rsidTr="005E623C">
        <w:tc>
          <w:tcPr>
            <w:tcW w:w="1357" w:type="pct"/>
            <w:tcBorders>
              <w:bottom w:val="single" w:sz="4" w:space="0" w:color="auto"/>
            </w:tcBorders>
          </w:tcPr>
          <w:p w14:paraId="2E9D6426" w14:textId="77777777" w:rsidR="007E43F6" w:rsidRPr="00846FCD" w:rsidRDefault="007E43F6"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Franklinite, syn</w:t>
            </w:r>
          </w:p>
        </w:tc>
        <w:tc>
          <w:tcPr>
            <w:tcW w:w="2379" w:type="pct"/>
            <w:tcBorders>
              <w:bottom w:val="single" w:sz="4" w:space="0" w:color="auto"/>
            </w:tcBorders>
          </w:tcPr>
          <w:p w14:paraId="6717CEC8" w14:textId="77777777" w:rsidR="007E43F6" w:rsidRPr="00846FCD" w:rsidRDefault="007E43F6"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(Zn0.68 Ni0.10 Cu0,05 Fe0.1…</w:t>
            </w:r>
          </w:p>
        </w:tc>
        <w:tc>
          <w:tcPr>
            <w:tcW w:w="1263" w:type="pct"/>
            <w:tcBorders>
              <w:bottom w:val="single" w:sz="4" w:space="0" w:color="auto"/>
            </w:tcBorders>
          </w:tcPr>
          <w:p w14:paraId="1764CBB7" w14:textId="77777777" w:rsidR="007E43F6" w:rsidRPr="00846FCD" w:rsidRDefault="007E43F6" w:rsidP="005E623C">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2.770</w:t>
            </w:r>
          </w:p>
        </w:tc>
      </w:tr>
    </w:tbl>
    <w:p w14:paraId="2B4A0434" w14:textId="77777777" w:rsidR="007E43F6" w:rsidRDefault="007E43F6" w:rsidP="00844FD1">
      <w:pPr>
        <w:spacing w:line="360" w:lineRule="auto"/>
        <w:jc w:val="both"/>
        <w:rPr>
          <w:rFonts w:ascii="Times New Roman" w:hAnsi="Times New Roman" w:cs="Times New Roman"/>
          <w:sz w:val="24"/>
          <w:szCs w:val="24"/>
        </w:rPr>
      </w:pPr>
    </w:p>
    <w:p w14:paraId="518FFD61" w14:textId="77777777" w:rsidR="007E43F6" w:rsidRPr="00846FCD" w:rsidRDefault="007E43F6" w:rsidP="007E43F6">
      <w:pPr>
        <w:tabs>
          <w:tab w:val="left" w:pos="2070"/>
        </w:tabs>
        <w:jc w:val="center"/>
        <w:rPr>
          <w:rFonts w:ascii="Times New Roman" w:hAnsi="Times New Roman" w:cs="Times New Roman"/>
          <w:b/>
          <w:sz w:val="24"/>
          <w:szCs w:val="24"/>
        </w:rPr>
      </w:pPr>
      <w:r w:rsidRPr="00846FCD">
        <w:rPr>
          <w:rFonts w:ascii="Times New Roman" w:hAnsi="Times New Roman" w:cs="Times New Roman"/>
          <w:noProof/>
          <w:sz w:val="24"/>
          <w:szCs w:val="24"/>
        </w:rPr>
        <w:drawing>
          <wp:inline distT="0" distB="0" distL="0" distR="0" wp14:anchorId="6F32BD08" wp14:editId="088AD598">
            <wp:extent cx="5029200" cy="320949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2087" t="2282" r="51438" b="31610"/>
                    <a:stretch/>
                  </pic:blipFill>
                  <pic:spPr bwMode="auto">
                    <a:xfrm>
                      <a:off x="0" y="0"/>
                      <a:ext cx="5084471" cy="3244771"/>
                    </a:xfrm>
                    <a:prstGeom prst="rect">
                      <a:avLst/>
                    </a:prstGeom>
                    <a:noFill/>
                    <a:ln>
                      <a:noFill/>
                    </a:ln>
                    <a:extLst>
                      <a:ext uri="{53640926-AAD7-44D8-BBD7-CCE9431645EC}">
                        <a14:shadowObscured xmlns:a14="http://schemas.microsoft.com/office/drawing/2010/main"/>
                      </a:ext>
                    </a:extLst>
                  </pic:spPr>
                </pic:pic>
              </a:graphicData>
            </a:graphic>
          </wp:inline>
        </w:drawing>
      </w:r>
    </w:p>
    <w:p w14:paraId="1BF85ED0" w14:textId="77777777" w:rsidR="007E43F6" w:rsidRPr="00846FCD" w:rsidRDefault="007E43F6" w:rsidP="007E43F6">
      <w:pPr>
        <w:spacing w:after="0" w:line="240" w:lineRule="auto"/>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Plate 3:</w:t>
      </w:r>
      <w:r w:rsidRPr="00846FCD">
        <w:rPr>
          <w:rFonts w:ascii="Times New Roman" w:eastAsia="Times New Roman" w:hAnsi="Times New Roman" w:cs="Times New Roman"/>
          <w:b/>
          <w:color w:val="000000"/>
          <w:sz w:val="24"/>
          <w:szCs w:val="24"/>
        </w:rPr>
        <w:tab/>
      </w:r>
      <w:r w:rsidRPr="007E43F6">
        <w:rPr>
          <w:rFonts w:ascii="Times New Roman" w:hAnsi="Times New Roman" w:cs="Times New Roman"/>
          <w:b/>
          <w:sz w:val="24"/>
          <w:szCs w:val="24"/>
        </w:rPr>
        <w:t>Scanning Electron Microscope (SEM) Morphology of Pulverized waste PCB</w:t>
      </w:r>
      <w:r w:rsidRPr="00846FCD">
        <w:rPr>
          <w:rFonts w:ascii="Times New Roman" w:hAnsi="Times New Roman" w:cs="Times New Roman"/>
          <w:b/>
          <w:sz w:val="24"/>
          <w:szCs w:val="24"/>
        </w:rPr>
        <w:t xml:space="preserve"> of Cellphone</w:t>
      </w:r>
    </w:p>
    <w:p w14:paraId="225A0C9C" w14:textId="77777777" w:rsidR="00844FD1" w:rsidRPr="008048CA" w:rsidRDefault="00844FD1" w:rsidP="00844FD1">
      <w:pPr>
        <w:pStyle w:val="Head1"/>
        <w:spacing w:after="0"/>
        <w:jc w:val="both"/>
        <w:rPr>
          <w:rFonts w:ascii="Arial" w:hAnsi="Arial" w:cs="Arial"/>
          <w:szCs w:val="24"/>
        </w:rPr>
      </w:pPr>
    </w:p>
    <w:p w14:paraId="73A2753D" w14:textId="77777777" w:rsidR="00844FD1" w:rsidRPr="008048CA" w:rsidRDefault="00844FD1" w:rsidP="00844FD1">
      <w:pPr>
        <w:spacing w:after="0" w:line="360" w:lineRule="auto"/>
        <w:jc w:val="both"/>
        <w:rPr>
          <w:rFonts w:ascii="Arial" w:hAnsi="Arial" w:cs="Arial"/>
          <w:b/>
          <w:szCs w:val="24"/>
          <w:lang w:eastAsia="en-GB"/>
        </w:rPr>
      </w:pPr>
      <w:r w:rsidRPr="008048CA">
        <w:rPr>
          <w:rFonts w:ascii="Arial" w:hAnsi="Arial" w:cs="Arial"/>
          <w:b/>
          <w:szCs w:val="24"/>
          <w:lang w:eastAsia="en-GB"/>
        </w:rPr>
        <w:t>3.2</w:t>
      </w:r>
      <w:r w:rsidRPr="008048CA">
        <w:rPr>
          <w:rFonts w:ascii="Arial" w:hAnsi="Arial" w:cs="Arial"/>
          <w:b/>
          <w:szCs w:val="24"/>
          <w:lang w:eastAsia="en-GB"/>
        </w:rPr>
        <w:tab/>
        <w:t xml:space="preserve">Effect of </w:t>
      </w:r>
      <w:r>
        <w:rPr>
          <w:rFonts w:ascii="Arial" w:hAnsi="Arial" w:cs="Arial"/>
          <w:b/>
          <w:szCs w:val="24"/>
          <w:lang w:eastAsia="en-GB"/>
        </w:rPr>
        <w:t>time</w:t>
      </w:r>
    </w:p>
    <w:p w14:paraId="3A78AAAF" w14:textId="26C4A26A" w:rsidR="00DE659B" w:rsidRPr="005A117B" w:rsidRDefault="001665B5" w:rsidP="00CB1CE2">
      <w:pPr>
        <w:tabs>
          <w:tab w:val="left" w:pos="2790"/>
        </w:tabs>
        <w:spacing w:line="360" w:lineRule="auto"/>
        <w:jc w:val="both"/>
        <w:rPr>
          <w:rFonts w:ascii="Arial" w:hAnsi="Arial" w:cs="Arial"/>
          <w:sz w:val="20"/>
          <w:szCs w:val="24"/>
          <w:lang w:eastAsia="en-GB"/>
        </w:rPr>
      </w:pPr>
      <w:r w:rsidRPr="005A117B">
        <w:rPr>
          <w:rFonts w:ascii="Arial" w:hAnsi="Arial" w:cs="Arial"/>
          <w:sz w:val="20"/>
          <w:szCs w:val="24"/>
          <w:lang w:val="en-GB"/>
        </w:rPr>
        <w:t xml:space="preserve">This work investigated the performance of malic acid, oxalic and citric acid and their potential synergy in a mixed-acid leaching system for the recovery of valuable metals. </w:t>
      </w:r>
      <w:r w:rsidR="00CB1CE2">
        <w:rPr>
          <w:rFonts w:ascii="Arial" w:hAnsi="Arial" w:cs="Arial"/>
          <w:sz w:val="20"/>
          <w:szCs w:val="24"/>
          <w:lang w:val="en-GB"/>
        </w:rPr>
        <w:t>T</w:t>
      </w:r>
      <w:r w:rsidR="00CB1CE2" w:rsidRPr="005A117B">
        <w:rPr>
          <w:rFonts w:ascii="Arial" w:hAnsi="Arial" w:cs="Arial"/>
          <w:sz w:val="20"/>
          <w:szCs w:val="24"/>
          <w:lang w:val="en-GB"/>
        </w:rPr>
        <w:t xml:space="preserve">he recovery efficiency was highest at 2 hours across all the leaching agents used (Fig </w:t>
      </w:r>
      <w:r w:rsidR="00B55ED1">
        <w:rPr>
          <w:rFonts w:ascii="Arial" w:hAnsi="Arial" w:cs="Arial"/>
          <w:sz w:val="20"/>
          <w:szCs w:val="24"/>
          <w:lang w:val="en-GB"/>
        </w:rPr>
        <w:t>2</w:t>
      </w:r>
      <w:r w:rsidR="00CB1CE2" w:rsidRPr="005A117B">
        <w:rPr>
          <w:rFonts w:ascii="Arial" w:hAnsi="Arial" w:cs="Arial"/>
          <w:sz w:val="20"/>
          <w:szCs w:val="24"/>
          <w:lang w:val="en-GB"/>
        </w:rPr>
        <w:t>).</w:t>
      </w:r>
      <w:r w:rsidR="00CB1CE2">
        <w:rPr>
          <w:rFonts w:ascii="Arial" w:hAnsi="Arial" w:cs="Arial"/>
          <w:sz w:val="20"/>
          <w:szCs w:val="24"/>
          <w:lang w:val="en-GB"/>
        </w:rPr>
        <w:t xml:space="preserve"> </w:t>
      </w:r>
      <w:r w:rsidRPr="005A117B">
        <w:rPr>
          <w:rFonts w:ascii="Arial" w:hAnsi="Arial" w:cs="Arial"/>
          <w:sz w:val="20"/>
          <w:szCs w:val="24"/>
        </w:rPr>
        <w:t>The yield was quite lower than when only oxalic acid was used in the same experiment</w:t>
      </w:r>
      <w:r w:rsidR="00B55ED1">
        <w:rPr>
          <w:rFonts w:ascii="Arial" w:hAnsi="Arial" w:cs="Arial"/>
          <w:sz w:val="20"/>
          <w:szCs w:val="24"/>
        </w:rPr>
        <w:t xml:space="preserve"> (Fig 3</w:t>
      </w:r>
      <w:r w:rsidR="00CB1CE2">
        <w:rPr>
          <w:rFonts w:ascii="Arial" w:hAnsi="Arial" w:cs="Arial"/>
          <w:sz w:val="20"/>
          <w:szCs w:val="24"/>
        </w:rPr>
        <w:t>)</w:t>
      </w:r>
      <w:r w:rsidRPr="005A117B">
        <w:rPr>
          <w:rFonts w:ascii="Arial" w:hAnsi="Arial" w:cs="Arial"/>
          <w:sz w:val="20"/>
          <w:szCs w:val="24"/>
        </w:rPr>
        <w:t xml:space="preserve">. </w:t>
      </w:r>
      <w:r w:rsidR="00DE659B" w:rsidRPr="005A117B">
        <w:rPr>
          <w:rFonts w:ascii="Arial" w:hAnsi="Arial" w:cs="Arial"/>
          <w:sz w:val="20"/>
          <w:szCs w:val="24"/>
          <w:lang w:val="en-GB"/>
        </w:rPr>
        <w:t>Zn and Ni were successfully recovered from waste PCB of cell phone when leached with oxalic acid for 2 hours recording the highest recovery efficiency of 14.90% and 37.</w:t>
      </w:r>
      <w:r>
        <w:rPr>
          <w:rFonts w:ascii="Arial" w:hAnsi="Arial" w:cs="Arial"/>
          <w:sz w:val="20"/>
          <w:szCs w:val="24"/>
          <w:lang w:val="en-GB"/>
        </w:rPr>
        <w:t xml:space="preserve">5% as leaching time was varied </w:t>
      </w:r>
      <w:r w:rsidR="00DE659B" w:rsidRPr="005A117B">
        <w:rPr>
          <w:rFonts w:ascii="Arial" w:hAnsi="Arial" w:cs="Arial"/>
          <w:sz w:val="20"/>
          <w:szCs w:val="24"/>
          <w:lang w:val="en-GB"/>
        </w:rPr>
        <w:t xml:space="preserve">(Fig </w:t>
      </w:r>
      <w:r w:rsidR="00B55ED1">
        <w:rPr>
          <w:rFonts w:ascii="Arial" w:hAnsi="Arial" w:cs="Arial"/>
          <w:sz w:val="20"/>
          <w:szCs w:val="24"/>
          <w:lang w:val="en-GB"/>
        </w:rPr>
        <w:t>4</w:t>
      </w:r>
      <w:r w:rsidR="00DE659B" w:rsidRPr="005A117B">
        <w:rPr>
          <w:rFonts w:ascii="Arial" w:hAnsi="Arial" w:cs="Arial"/>
          <w:sz w:val="20"/>
          <w:szCs w:val="24"/>
          <w:lang w:val="en-GB"/>
        </w:rPr>
        <w:t xml:space="preserve">). Then citric acid </w:t>
      </w:r>
      <w:r w:rsidR="00CB1CE2">
        <w:rPr>
          <w:rFonts w:ascii="Arial" w:hAnsi="Arial" w:cs="Arial"/>
          <w:sz w:val="20"/>
          <w:szCs w:val="24"/>
          <w:lang w:val="en-GB"/>
        </w:rPr>
        <w:t>(</w:t>
      </w:r>
      <w:r w:rsidR="00DE659B" w:rsidRPr="005A117B">
        <w:rPr>
          <w:rFonts w:ascii="Arial" w:hAnsi="Arial" w:cs="Arial"/>
          <w:sz w:val="20"/>
          <w:szCs w:val="24"/>
          <w:lang w:val="en-GB"/>
        </w:rPr>
        <w:t>15.75%</w:t>
      </w:r>
      <w:r w:rsidR="00CB1CE2">
        <w:rPr>
          <w:rFonts w:ascii="Arial" w:hAnsi="Arial" w:cs="Arial"/>
          <w:sz w:val="20"/>
          <w:szCs w:val="24"/>
          <w:lang w:val="en-GB"/>
        </w:rPr>
        <w:t>)</w:t>
      </w:r>
      <w:r w:rsidR="00DE659B" w:rsidRPr="005A117B">
        <w:rPr>
          <w:rFonts w:ascii="Arial" w:hAnsi="Arial" w:cs="Arial"/>
          <w:sz w:val="20"/>
          <w:szCs w:val="24"/>
          <w:lang w:val="en-GB"/>
        </w:rPr>
        <w:t xml:space="preserve">, malic acid </w:t>
      </w:r>
      <w:r w:rsidR="00CB1CE2">
        <w:rPr>
          <w:rFonts w:ascii="Arial" w:hAnsi="Arial" w:cs="Arial"/>
          <w:sz w:val="20"/>
          <w:szCs w:val="24"/>
          <w:lang w:val="en-GB"/>
        </w:rPr>
        <w:t>(</w:t>
      </w:r>
      <w:r w:rsidR="00DE659B" w:rsidRPr="005A117B">
        <w:rPr>
          <w:rFonts w:ascii="Arial" w:hAnsi="Arial" w:cs="Arial"/>
          <w:sz w:val="20"/>
          <w:szCs w:val="24"/>
          <w:lang w:val="en-GB"/>
        </w:rPr>
        <w:t>12.95%</w:t>
      </w:r>
      <w:r w:rsidR="00CB1CE2">
        <w:rPr>
          <w:rFonts w:ascii="Arial" w:hAnsi="Arial" w:cs="Arial"/>
          <w:sz w:val="20"/>
          <w:szCs w:val="24"/>
          <w:lang w:val="en-GB"/>
        </w:rPr>
        <w:t>)</w:t>
      </w:r>
      <w:r w:rsidR="00DE659B" w:rsidRPr="005A117B">
        <w:rPr>
          <w:rFonts w:ascii="Arial" w:hAnsi="Arial" w:cs="Arial"/>
          <w:sz w:val="20"/>
          <w:szCs w:val="24"/>
          <w:lang w:val="en-GB"/>
        </w:rPr>
        <w:t xml:space="preserve"> and the combination of citric, malic and oxalic acids </w:t>
      </w:r>
      <w:r w:rsidR="00CB1CE2">
        <w:rPr>
          <w:rFonts w:ascii="Arial" w:hAnsi="Arial" w:cs="Arial"/>
          <w:sz w:val="20"/>
          <w:szCs w:val="24"/>
          <w:lang w:val="en-GB"/>
        </w:rPr>
        <w:t>(</w:t>
      </w:r>
      <w:r w:rsidR="00DE659B" w:rsidRPr="005A117B">
        <w:rPr>
          <w:rFonts w:ascii="Arial" w:hAnsi="Arial" w:cs="Arial"/>
          <w:sz w:val="20"/>
          <w:szCs w:val="24"/>
          <w:lang w:val="en-GB"/>
        </w:rPr>
        <w:t>6.39%</w:t>
      </w:r>
      <w:r w:rsidR="00CB1CE2">
        <w:rPr>
          <w:rFonts w:ascii="Arial" w:hAnsi="Arial" w:cs="Arial"/>
          <w:sz w:val="20"/>
          <w:szCs w:val="24"/>
          <w:lang w:val="en-GB"/>
        </w:rPr>
        <w:t>)</w:t>
      </w:r>
      <w:r w:rsidR="00DE659B" w:rsidRPr="005A117B">
        <w:rPr>
          <w:rFonts w:ascii="Arial" w:hAnsi="Arial" w:cs="Arial"/>
          <w:sz w:val="20"/>
          <w:szCs w:val="24"/>
          <w:lang w:val="en-GB"/>
        </w:rPr>
        <w:t xml:space="preserve"> were recorded as highest efficiencies at 2 hours when Ni was leached.  Malic acid recorded its highest efficiency at 3 hour</w:t>
      </w:r>
      <w:r w:rsidR="00CB1CE2">
        <w:rPr>
          <w:rFonts w:ascii="Arial" w:hAnsi="Arial" w:cs="Arial"/>
          <w:sz w:val="20"/>
          <w:szCs w:val="24"/>
          <w:lang w:val="en-GB"/>
        </w:rPr>
        <w:t xml:space="preserve">s (9.28 %) when Zn was leached </w:t>
      </w:r>
      <w:r w:rsidR="00B55ED1">
        <w:rPr>
          <w:rFonts w:ascii="Arial" w:hAnsi="Arial" w:cs="Arial"/>
          <w:sz w:val="20"/>
          <w:szCs w:val="24"/>
          <w:lang w:val="en-GB"/>
        </w:rPr>
        <w:t>(Fig 4</w:t>
      </w:r>
      <w:r w:rsidR="00CB1CE2">
        <w:rPr>
          <w:rFonts w:ascii="Arial" w:hAnsi="Arial" w:cs="Arial"/>
          <w:sz w:val="20"/>
          <w:szCs w:val="24"/>
          <w:lang w:val="en-GB"/>
        </w:rPr>
        <w:t xml:space="preserve">). </w:t>
      </w:r>
      <w:r w:rsidR="00DE659B" w:rsidRPr="005A117B">
        <w:rPr>
          <w:rFonts w:ascii="Arial" w:hAnsi="Arial" w:cs="Arial"/>
          <w:sz w:val="20"/>
          <w:szCs w:val="24"/>
          <w:lang w:eastAsia="en-GB"/>
        </w:rPr>
        <w:t xml:space="preserve">Oxalic acid had the highest efficiency in the recovery of Zn and Ni as compared to other acids and their combinations. </w:t>
      </w:r>
      <w:r w:rsidR="00F80695" w:rsidRPr="005E623C">
        <w:rPr>
          <w:rFonts w:ascii="Arial" w:hAnsi="Arial" w:cs="Arial"/>
          <w:sz w:val="20"/>
          <w:szCs w:val="24"/>
          <w:lang w:eastAsia="en-GB"/>
        </w:rPr>
        <w:lastRenderedPageBreak/>
        <w:t xml:space="preserve">Oxalic acid was observed to be a </w:t>
      </w:r>
      <w:r w:rsidR="00DE659B" w:rsidRPr="005E623C">
        <w:rPr>
          <w:rFonts w:ascii="Arial" w:hAnsi="Arial" w:cs="Arial"/>
          <w:sz w:val="20"/>
          <w:szCs w:val="24"/>
          <w:lang w:eastAsia="en-GB"/>
        </w:rPr>
        <w:t>stronger chelating agent than citric acid</w:t>
      </w:r>
      <w:r w:rsidR="00F80695" w:rsidRPr="005E623C">
        <w:rPr>
          <w:rFonts w:ascii="Arial" w:hAnsi="Arial" w:cs="Arial"/>
          <w:sz w:val="20"/>
          <w:szCs w:val="24"/>
          <w:lang w:eastAsia="en-GB"/>
        </w:rPr>
        <w:t xml:space="preserve"> in this study. This is in line with </w:t>
      </w:r>
      <w:r w:rsidR="00DE659B" w:rsidRPr="005E623C">
        <w:rPr>
          <w:rFonts w:ascii="Arial" w:hAnsi="Arial" w:cs="Arial"/>
          <w:sz w:val="20"/>
          <w:szCs w:val="24"/>
          <w:lang w:val="en-GB" w:eastAsia="en-GB"/>
        </w:rPr>
        <w:t xml:space="preserve">Gadd </w:t>
      </w:r>
      <w:r w:rsidR="00DE659B" w:rsidRPr="005E623C">
        <w:rPr>
          <w:rFonts w:ascii="Arial" w:hAnsi="Arial" w:cs="Arial"/>
          <w:i/>
          <w:sz w:val="20"/>
          <w:szCs w:val="24"/>
          <w:lang w:val="en-GB" w:eastAsia="en-GB"/>
        </w:rPr>
        <w:t>et al</w:t>
      </w:r>
      <w:r w:rsidR="00F80695" w:rsidRPr="005E623C">
        <w:rPr>
          <w:rFonts w:ascii="Arial" w:hAnsi="Arial" w:cs="Arial"/>
          <w:sz w:val="20"/>
          <w:szCs w:val="24"/>
          <w:lang w:val="en-GB" w:eastAsia="en-GB"/>
        </w:rPr>
        <w:t>.</w:t>
      </w:r>
      <w:r w:rsidR="00DE659B" w:rsidRPr="005E623C">
        <w:rPr>
          <w:rFonts w:ascii="Arial" w:hAnsi="Arial" w:cs="Arial"/>
          <w:sz w:val="20"/>
          <w:szCs w:val="24"/>
          <w:lang w:val="en-GB" w:eastAsia="en-GB"/>
        </w:rPr>
        <w:t xml:space="preserve"> </w:t>
      </w:r>
      <w:r w:rsidR="00F80695" w:rsidRPr="005E623C">
        <w:rPr>
          <w:rFonts w:ascii="Arial" w:hAnsi="Arial" w:cs="Arial"/>
          <w:sz w:val="20"/>
          <w:szCs w:val="24"/>
          <w:lang w:val="en-GB" w:eastAsia="en-GB"/>
        </w:rPr>
        <w:t>(</w:t>
      </w:r>
      <w:r w:rsidR="00DE659B" w:rsidRPr="005E623C">
        <w:rPr>
          <w:rFonts w:ascii="Arial" w:hAnsi="Arial" w:cs="Arial"/>
          <w:sz w:val="20"/>
          <w:szCs w:val="24"/>
          <w:lang w:val="en-GB" w:eastAsia="en-GB"/>
        </w:rPr>
        <w:t xml:space="preserve">1999). </w:t>
      </w:r>
      <w:r w:rsidR="00F80695" w:rsidRPr="005E623C">
        <w:rPr>
          <w:rFonts w:ascii="Arial" w:hAnsi="Arial" w:cs="Arial"/>
          <w:sz w:val="20"/>
          <w:szCs w:val="24"/>
          <w:lang w:val="en-GB" w:eastAsia="en-GB"/>
        </w:rPr>
        <w:t>According to Vega et al. (2022), oxalic acid (</w:t>
      </w:r>
      <w:proofErr w:type="spellStart"/>
      <w:r w:rsidR="00F80695" w:rsidRPr="005E623C">
        <w:rPr>
          <w:rFonts w:ascii="Arial" w:hAnsi="Arial" w:cs="Arial"/>
          <w:sz w:val="20"/>
          <w:szCs w:val="24"/>
          <w:lang w:val="en-GB" w:eastAsia="en-GB"/>
        </w:rPr>
        <w:t>OxA</w:t>
      </w:r>
      <w:proofErr w:type="spellEnd"/>
      <w:r w:rsidR="00F80695" w:rsidRPr="005E623C">
        <w:rPr>
          <w:rFonts w:ascii="Arial" w:hAnsi="Arial" w:cs="Arial"/>
          <w:sz w:val="20"/>
          <w:szCs w:val="24"/>
          <w:lang w:val="en-GB" w:eastAsia="en-GB"/>
        </w:rPr>
        <w:t>) and its conjugate base oxalate can form salts with K, Cu, Mg, and Ca, the most prevalent being calcium oxalate (</w:t>
      </w:r>
      <w:proofErr w:type="spellStart"/>
      <w:r w:rsidR="00F80695" w:rsidRPr="005E623C">
        <w:rPr>
          <w:rFonts w:ascii="Arial" w:hAnsi="Arial" w:cs="Arial"/>
          <w:sz w:val="20"/>
          <w:szCs w:val="24"/>
          <w:lang w:val="en-GB" w:eastAsia="en-GB"/>
        </w:rPr>
        <w:t>CaOx</w:t>
      </w:r>
      <w:proofErr w:type="spellEnd"/>
      <w:r w:rsidR="00F80695" w:rsidRPr="005E623C">
        <w:rPr>
          <w:rFonts w:ascii="Arial" w:hAnsi="Arial" w:cs="Arial"/>
          <w:sz w:val="20"/>
          <w:szCs w:val="24"/>
          <w:lang w:val="en-GB" w:eastAsia="en-GB"/>
        </w:rPr>
        <w:t xml:space="preserve">). </w:t>
      </w:r>
      <w:r w:rsidR="00DE659B" w:rsidRPr="005E623C">
        <w:rPr>
          <w:rFonts w:ascii="Arial" w:hAnsi="Arial" w:cs="Arial"/>
          <w:sz w:val="20"/>
          <w:szCs w:val="24"/>
          <w:lang w:eastAsia="en-GB"/>
        </w:rPr>
        <w:t>Its</w:t>
      </w:r>
      <w:r w:rsidR="00DE659B" w:rsidRPr="005A117B">
        <w:rPr>
          <w:rFonts w:ascii="Arial" w:hAnsi="Arial" w:cs="Arial"/>
          <w:sz w:val="20"/>
          <w:szCs w:val="24"/>
          <w:lang w:eastAsia="en-GB"/>
        </w:rPr>
        <w:t xml:space="preserve"> chelating ability allows it to form stable complexes with metal ions, such as tin, copper, and zinc, which enhances its leaching efficiency. Oxalic acid (pKa1 ≈ 1.25, pKa2 ≈ 4.27) is a stronger acid than citric acid (pKa1 ≈ 3.13, pKa2 ≈ 4.76, pKa3 ≈ 6.40) and this means that oxalic acid is more effective at donating protons (H</w:t>
      </w:r>
      <w:r w:rsidR="00DE659B" w:rsidRPr="005A117B">
        <w:rPr>
          <w:rFonts w:ascii="Arial" w:hAnsi="Arial" w:cs="Arial"/>
          <w:sz w:val="20"/>
          <w:szCs w:val="24"/>
          <w:vertAlign w:val="superscript"/>
          <w:lang w:eastAsia="en-GB"/>
        </w:rPr>
        <w:t>+</w:t>
      </w:r>
      <w:r w:rsidR="00DE659B" w:rsidRPr="005A117B">
        <w:rPr>
          <w:rFonts w:ascii="Arial" w:hAnsi="Arial" w:cs="Arial"/>
          <w:sz w:val="20"/>
          <w:szCs w:val="24"/>
          <w:lang w:eastAsia="en-GB"/>
        </w:rPr>
        <w:t xml:space="preserve"> ions) to break bonds and solubilize metal ions. Its reducing ability also enables it to solubilize metal ions</w:t>
      </w:r>
      <w:r w:rsidR="00317E42">
        <w:rPr>
          <w:rFonts w:ascii="Arial" w:hAnsi="Arial" w:cs="Arial"/>
          <w:sz w:val="20"/>
          <w:szCs w:val="24"/>
          <w:lang w:eastAsia="en-GB"/>
        </w:rPr>
        <w:t xml:space="preserve"> (</w:t>
      </w:r>
      <w:proofErr w:type="spellStart"/>
      <w:r w:rsidR="00317E42" w:rsidRPr="00317E42">
        <w:rPr>
          <w:rFonts w:ascii="Arial" w:hAnsi="Arial" w:cs="Arial"/>
          <w:color w:val="222222"/>
          <w:sz w:val="20"/>
          <w:szCs w:val="20"/>
          <w:shd w:val="clear" w:color="auto" w:fill="FFFFFF"/>
        </w:rPr>
        <w:t>Vehmaanperä</w:t>
      </w:r>
      <w:proofErr w:type="spellEnd"/>
      <w:r w:rsidR="00317E42">
        <w:rPr>
          <w:rFonts w:ascii="Arial" w:hAnsi="Arial" w:cs="Arial"/>
          <w:color w:val="222222"/>
          <w:sz w:val="20"/>
          <w:szCs w:val="20"/>
          <w:shd w:val="clear" w:color="auto" w:fill="FFFFFF"/>
        </w:rPr>
        <w:t xml:space="preserve"> et al., 2022)</w:t>
      </w:r>
      <w:r w:rsidR="00DE659B" w:rsidRPr="005A117B">
        <w:rPr>
          <w:rFonts w:ascii="Arial" w:hAnsi="Arial" w:cs="Arial"/>
          <w:sz w:val="20"/>
          <w:szCs w:val="24"/>
          <w:lang w:eastAsia="en-GB"/>
        </w:rPr>
        <w:t xml:space="preserve">. The combination of all the acids had the lowest recovery efficiency of Zn and Ni (Fig </w:t>
      </w:r>
      <w:r w:rsidR="00B55ED1">
        <w:rPr>
          <w:rFonts w:ascii="Arial" w:hAnsi="Arial" w:cs="Arial"/>
          <w:sz w:val="20"/>
          <w:szCs w:val="24"/>
          <w:lang w:eastAsia="en-GB"/>
        </w:rPr>
        <w:t>4</w:t>
      </w:r>
      <w:r w:rsidR="00DE659B" w:rsidRPr="005A117B">
        <w:rPr>
          <w:rFonts w:ascii="Arial" w:hAnsi="Arial" w:cs="Arial"/>
          <w:sz w:val="20"/>
          <w:szCs w:val="24"/>
          <w:lang w:eastAsia="en-GB"/>
        </w:rPr>
        <w:t>). In some studies, combining acids (e.g., oxalic + citric or citric + ascorbic) can result in synergistic effects, improving recovery due to combined chelation, protonation, and reduction. In this scenarios, competition between acids, pH buffering, or formation of less soluble complexes might had led to lower recovery of the metals.</w:t>
      </w:r>
    </w:p>
    <w:p w14:paraId="4238C96D" w14:textId="77777777" w:rsidR="00DE659B" w:rsidRPr="005A117B" w:rsidRDefault="00CB1CE2" w:rsidP="00DE659B">
      <w:pPr>
        <w:spacing w:after="0" w:line="360" w:lineRule="auto"/>
        <w:jc w:val="both"/>
        <w:rPr>
          <w:rFonts w:ascii="Arial" w:hAnsi="Arial" w:cs="Arial"/>
          <w:sz w:val="20"/>
          <w:szCs w:val="24"/>
        </w:rPr>
      </w:pPr>
      <w:r>
        <w:rPr>
          <w:rFonts w:ascii="Arial" w:hAnsi="Arial" w:cs="Arial"/>
          <w:sz w:val="20"/>
          <w:szCs w:val="24"/>
          <w:lang w:val="en-GB"/>
        </w:rPr>
        <w:t>Z</w:t>
      </w:r>
      <w:r w:rsidR="00DE659B" w:rsidRPr="005A117B">
        <w:rPr>
          <w:rFonts w:ascii="Arial" w:hAnsi="Arial" w:cs="Arial"/>
          <w:sz w:val="20"/>
          <w:szCs w:val="24"/>
          <w:lang w:val="en-GB"/>
        </w:rPr>
        <w:t xml:space="preserve">n and Ni </w:t>
      </w:r>
      <w:r w:rsidR="00DE659B" w:rsidRPr="005A117B">
        <w:rPr>
          <w:rFonts w:ascii="Arial" w:hAnsi="Arial" w:cs="Arial"/>
          <w:sz w:val="20"/>
          <w:szCs w:val="24"/>
          <w:lang w:eastAsia="en-GB"/>
        </w:rPr>
        <w:t xml:space="preserve">had the highest efficiency at 2 hours which decreased significantly with increased time. </w:t>
      </w:r>
      <w:r w:rsidR="005A117B" w:rsidRPr="005A117B">
        <w:rPr>
          <w:rFonts w:ascii="Arial" w:hAnsi="Arial" w:cs="Arial"/>
          <w:sz w:val="20"/>
          <w:szCs w:val="24"/>
        </w:rPr>
        <w:t xml:space="preserve">However, </w:t>
      </w:r>
      <w:r w:rsidR="00DE659B" w:rsidRPr="005A117B">
        <w:rPr>
          <w:rFonts w:ascii="Arial" w:hAnsi="Arial" w:cs="Arial"/>
          <w:sz w:val="20"/>
          <w:szCs w:val="24"/>
        </w:rPr>
        <w:t>when the equilibrium state was reached, no significant change in metal dissolution was noticed on further increasing</w:t>
      </w:r>
      <w:r w:rsidR="005A117B" w:rsidRPr="005A117B">
        <w:rPr>
          <w:rFonts w:ascii="Arial" w:hAnsi="Arial" w:cs="Arial"/>
          <w:sz w:val="20"/>
          <w:szCs w:val="24"/>
        </w:rPr>
        <w:t xml:space="preserve"> the reaction time</w:t>
      </w:r>
      <w:r w:rsidR="00114601">
        <w:rPr>
          <w:rFonts w:ascii="Arial" w:hAnsi="Arial" w:cs="Arial"/>
          <w:sz w:val="20"/>
          <w:szCs w:val="24"/>
        </w:rPr>
        <w:t>. T</w:t>
      </w:r>
      <w:r w:rsidR="00DE659B" w:rsidRPr="005A117B">
        <w:rPr>
          <w:rFonts w:ascii="Arial" w:hAnsi="Arial" w:cs="Arial"/>
          <w:sz w:val="20"/>
          <w:szCs w:val="24"/>
        </w:rPr>
        <w:t>his alig</w:t>
      </w:r>
      <w:r w:rsidR="00114601">
        <w:rPr>
          <w:rFonts w:ascii="Arial" w:hAnsi="Arial" w:cs="Arial"/>
          <w:sz w:val="20"/>
          <w:szCs w:val="24"/>
        </w:rPr>
        <w:t xml:space="preserve">n closely with previous study carried out by </w:t>
      </w:r>
      <w:r w:rsidR="00114601" w:rsidRPr="005A117B">
        <w:rPr>
          <w:rFonts w:ascii="Arial" w:hAnsi="Arial" w:cs="Arial"/>
          <w:sz w:val="20"/>
          <w:szCs w:val="24"/>
        </w:rPr>
        <w:t xml:space="preserve">Xiao et al. </w:t>
      </w:r>
      <w:r w:rsidR="00114601">
        <w:rPr>
          <w:rFonts w:ascii="Arial" w:hAnsi="Arial" w:cs="Arial"/>
          <w:sz w:val="20"/>
          <w:szCs w:val="24"/>
        </w:rPr>
        <w:t>(</w:t>
      </w:r>
      <w:r w:rsidR="00114601" w:rsidRPr="005A117B">
        <w:rPr>
          <w:rFonts w:ascii="Arial" w:hAnsi="Arial" w:cs="Arial"/>
          <w:sz w:val="20"/>
          <w:szCs w:val="24"/>
        </w:rPr>
        <w:t>2022</w:t>
      </w:r>
      <w:r w:rsidR="00114601">
        <w:rPr>
          <w:rFonts w:ascii="Arial" w:hAnsi="Arial" w:cs="Arial"/>
          <w:sz w:val="20"/>
          <w:szCs w:val="24"/>
        </w:rPr>
        <w:t>)</w:t>
      </w:r>
      <w:r w:rsidR="00DE659B" w:rsidRPr="005A117B">
        <w:rPr>
          <w:rFonts w:ascii="Arial" w:hAnsi="Arial" w:cs="Arial"/>
          <w:sz w:val="20"/>
          <w:szCs w:val="24"/>
        </w:rPr>
        <w:t>. The increase in reaction time between the organic acids and the PCB powder causes more H</w:t>
      </w:r>
      <w:r w:rsidR="00DE659B" w:rsidRPr="005A117B">
        <w:rPr>
          <w:rFonts w:ascii="Arial" w:hAnsi="Arial" w:cs="Arial"/>
          <w:sz w:val="20"/>
          <w:szCs w:val="24"/>
          <w:vertAlign w:val="superscript"/>
        </w:rPr>
        <w:t>+</w:t>
      </w:r>
      <w:r w:rsidR="00DE659B" w:rsidRPr="005A117B">
        <w:rPr>
          <w:rFonts w:ascii="Arial" w:hAnsi="Arial" w:cs="Arial"/>
          <w:sz w:val="20"/>
          <w:szCs w:val="24"/>
        </w:rPr>
        <w:t xml:space="preserve"> ions of organic acids to dissociate and form the metallic salt compound, so the percentage of leaching of the metals will increase. However, the amount of dissociated H</w:t>
      </w:r>
      <w:r w:rsidR="00DE659B" w:rsidRPr="005A117B">
        <w:rPr>
          <w:rFonts w:ascii="Arial" w:hAnsi="Arial" w:cs="Arial"/>
          <w:sz w:val="20"/>
          <w:szCs w:val="24"/>
          <w:vertAlign w:val="superscript"/>
        </w:rPr>
        <w:t>+</w:t>
      </w:r>
      <w:r w:rsidR="00DE659B" w:rsidRPr="005A117B">
        <w:rPr>
          <w:rFonts w:ascii="Arial" w:hAnsi="Arial" w:cs="Arial"/>
          <w:sz w:val="20"/>
          <w:szCs w:val="24"/>
        </w:rPr>
        <w:t xml:space="preserve"> ions from the acids will be difficult to increase when it has reached its saturation point, so that longer leaching time will not have a significant effect on the leaching efficiency and tend to be constant when it reaches its optimum time. At this variation of leaching time, it is concluded that the maximum leaching time for leaching of metals from printed circuit boards of cell phone is 2 hours based on this research work.</w:t>
      </w:r>
    </w:p>
    <w:p w14:paraId="179429E0" w14:textId="77777777" w:rsidR="00DE659B" w:rsidRPr="008048CA" w:rsidRDefault="0062385F" w:rsidP="00DE659B">
      <w:pPr>
        <w:spacing w:after="0" w:line="360" w:lineRule="auto"/>
        <w:jc w:val="both"/>
        <w:rPr>
          <w:rFonts w:ascii="Arial" w:hAnsi="Arial" w:cs="Arial"/>
          <w:b/>
          <w:szCs w:val="24"/>
          <w:lang w:eastAsia="en-GB"/>
        </w:rPr>
      </w:pPr>
      <w:r>
        <w:rPr>
          <w:rFonts w:ascii="Arial" w:hAnsi="Arial" w:cs="Arial"/>
          <w:b/>
          <w:szCs w:val="24"/>
          <w:lang w:eastAsia="en-GB"/>
        </w:rPr>
        <w:t>3.3</w:t>
      </w:r>
      <w:r w:rsidR="00290913" w:rsidRPr="008048CA">
        <w:rPr>
          <w:rFonts w:ascii="Arial" w:hAnsi="Arial" w:cs="Arial"/>
          <w:b/>
          <w:szCs w:val="24"/>
          <w:lang w:eastAsia="en-GB"/>
        </w:rPr>
        <w:tab/>
      </w:r>
      <w:r w:rsidR="00DE659B" w:rsidRPr="008048CA">
        <w:rPr>
          <w:rFonts w:ascii="Arial" w:hAnsi="Arial" w:cs="Arial"/>
          <w:b/>
          <w:szCs w:val="24"/>
          <w:lang w:eastAsia="en-GB"/>
        </w:rPr>
        <w:t>Effect of concentration</w:t>
      </w:r>
    </w:p>
    <w:p w14:paraId="2A173099" w14:textId="77777777" w:rsidR="00DE659B" w:rsidRDefault="008048CA" w:rsidP="00DE659B">
      <w:pPr>
        <w:spacing w:line="360" w:lineRule="auto"/>
        <w:jc w:val="both"/>
        <w:rPr>
          <w:rFonts w:ascii="Arial" w:hAnsi="Arial" w:cs="Arial"/>
          <w:sz w:val="20"/>
          <w:szCs w:val="24"/>
        </w:rPr>
      </w:pPr>
      <w:r w:rsidRPr="005A117B">
        <w:rPr>
          <w:rFonts w:ascii="Arial" w:hAnsi="Arial" w:cs="Arial"/>
          <w:sz w:val="20"/>
          <w:szCs w:val="24"/>
          <w:lang w:val="en-GB"/>
        </w:rPr>
        <w:t>The results showed variation in recovery efficiency of metals across different concentrations.</w:t>
      </w:r>
      <w:r w:rsidRPr="005A117B">
        <w:rPr>
          <w:rFonts w:ascii="Arial" w:hAnsi="Arial" w:cs="Arial"/>
          <w:sz w:val="20"/>
          <w:szCs w:val="24"/>
        </w:rPr>
        <w:t xml:space="preserve"> </w:t>
      </w:r>
      <w:r w:rsidRPr="005A117B">
        <w:rPr>
          <w:rFonts w:ascii="Arial" w:hAnsi="Arial" w:cs="Arial"/>
          <w:sz w:val="20"/>
          <w:szCs w:val="24"/>
          <w:lang w:val="en-GB"/>
        </w:rPr>
        <w:t>The results further showed that Zn and Ni all had a concentration dependent variation</w:t>
      </w:r>
      <w:r w:rsidR="00B55ED1">
        <w:rPr>
          <w:rFonts w:ascii="Arial" w:hAnsi="Arial" w:cs="Arial"/>
          <w:sz w:val="20"/>
          <w:szCs w:val="24"/>
          <w:lang w:val="en-GB"/>
        </w:rPr>
        <w:t xml:space="preserve"> (Fig 5</w:t>
      </w:r>
      <w:r>
        <w:rPr>
          <w:rFonts w:ascii="Arial" w:hAnsi="Arial" w:cs="Arial"/>
          <w:sz w:val="20"/>
          <w:szCs w:val="24"/>
          <w:lang w:val="en-GB"/>
        </w:rPr>
        <w:t>)</w:t>
      </w:r>
      <w:r w:rsidRPr="005A117B">
        <w:rPr>
          <w:rFonts w:ascii="Arial" w:hAnsi="Arial" w:cs="Arial"/>
          <w:sz w:val="20"/>
          <w:szCs w:val="24"/>
          <w:lang w:val="en-GB"/>
        </w:rPr>
        <w:t>. Zn showed a concentration dependent decrease in recovery efficiency.  Increase in acid concentration increases the flux of H</w:t>
      </w:r>
      <w:r w:rsidRPr="005A117B">
        <w:rPr>
          <w:rFonts w:ascii="Arial" w:hAnsi="Arial" w:cs="Arial"/>
          <w:sz w:val="20"/>
          <w:szCs w:val="24"/>
          <w:vertAlign w:val="superscript"/>
          <w:lang w:val="en-GB"/>
        </w:rPr>
        <w:t>+</w:t>
      </w:r>
      <w:r w:rsidRPr="005A117B">
        <w:rPr>
          <w:rFonts w:ascii="Arial" w:hAnsi="Arial" w:cs="Arial"/>
          <w:sz w:val="20"/>
          <w:szCs w:val="24"/>
          <w:lang w:val="en-GB"/>
        </w:rPr>
        <w:t xml:space="preserve"> ion across the particle boundaries and hence increased the rate of reaction (</w:t>
      </w:r>
      <w:proofErr w:type="spellStart"/>
      <w:r w:rsidRPr="005A117B">
        <w:rPr>
          <w:rFonts w:ascii="Arial" w:hAnsi="Arial" w:cs="Arial"/>
          <w:sz w:val="20"/>
          <w:szCs w:val="24"/>
          <w:lang w:val="en-GB"/>
        </w:rPr>
        <w:t>Sawahbkeh</w:t>
      </w:r>
      <w:proofErr w:type="spellEnd"/>
      <w:r w:rsidRPr="005A117B">
        <w:rPr>
          <w:rFonts w:ascii="Arial" w:hAnsi="Arial" w:cs="Arial"/>
          <w:sz w:val="20"/>
          <w:szCs w:val="24"/>
          <w:lang w:val="en-GB"/>
        </w:rPr>
        <w:t xml:space="preserve"> et al., 2010). But this increasing dissolution rate of the metals leached in solution is valid up to a certain acid concentration only. As a result, the concentration of the various organic acid influenced metal leaching. According to previous research, the leaching efficiency decreases with increasing organic acid concentration (Li et al., 2010). When the concentration of the organic acids used increased to 1 M, the leaching behaviour improved. This is due to the formation of metal complexes, which were eventually degraded to release free metal ions in the solution. As the concentration rises further from 4 to 5 M, (oxalic acid recorded 31.24 and 29.69% respectively) for nickel, the acid forms more complexes with the metals but were unable to convert them to metal ions due to lack of oxidant, resulting in a decrease in leaching efficiency.</w:t>
      </w:r>
      <w:r>
        <w:rPr>
          <w:rFonts w:ascii="Arial" w:hAnsi="Arial" w:cs="Arial"/>
          <w:sz w:val="20"/>
          <w:szCs w:val="24"/>
          <w:lang w:val="en-GB"/>
        </w:rPr>
        <w:t xml:space="preserve"> </w:t>
      </w:r>
      <w:r w:rsidRPr="005A117B">
        <w:rPr>
          <w:rFonts w:ascii="Arial" w:hAnsi="Arial" w:cs="Arial"/>
          <w:sz w:val="20"/>
          <w:szCs w:val="24"/>
          <w:lang w:val="en-GB"/>
        </w:rPr>
        <w:t xml:space="preserve">Several studies have reported that as acid concentration is increased, there is an initial increase in leaching rate and extend up to a certain point where a further increase in the amount of acid results in </w:t>
      </w:r>
      <w:r w:rsidRPr="005A117B">
        <w:rPr>
          <w:rFonts w:ascii="Arial" w:hAnsi="Arial" w:cs="Arial"/>
          <w:sz w:val="20"/>
          <w:szCs w:val="24"/>
          <w:lang w:val="en-GB"/>
        </w:rPr>
        <w:lastRenderedPageBreak/>
        <w:t>no change in the leaching efficiency or has an adverse effect on the leaching (</w:t>
      </w:r>
      <w:proofErr w:type="spellStart"/>
      <w:r w:rsidRPr="005A117B">
        <w:rPr>
          <w:rFonts w:ascii="Arial" w:hAnsi="Arial" w:cs="Arial"/>
          <w:sz w:val="20"/>
          <w:szCs w:val="24"/>
          <w:lang w:val="en-GB"/>
        </w:rPr>
        <w:t>Yuliusman</w:t>
      </w:r>
      <w:proofErr w:type="spellEnd"/>
      <w:r w:rsidRPr="005A117B">
        <w:rPr>
          <w:rFonts w:ascii="Arial" w:hAnsi="Arial" w:cs="Arial"/>
          <w:sz w:val="20"/>
          <w:szCs w:val="24"/>
          <w:lang w:val="en-GB"/>
        </w:rPr>
        <w:t xml:space="preserve"> et al., 2017). This is consistent with the result in this study and is usually due to a change in the rate limiting step as the acid concentration is increased.</w:t>
      </w:r>
      <w:r>
        <w:rPr>
          <w:rFonts w:ascii="Arial" w:hAnsi="Arial" w:cs="Arial"/>
          <w:sz w:val="20"/>
          <w:szCs w:val="24"/>
          <w:lang w:val="en-GB"/>
        </w:rPr>
        <w:t xml:space="preserve"> </w:t>
      </w:r>
      <w:r w:rsidR="00DE659B" w:rsidRPr="005A117B">
        <w:rPr>
          <w:rFonts w:ascii="Arial" w:hAnsi="Arial" w:cs="Arial"/>
          <w:sz w:val="20"/>
          <w:szCs w:val="24"/>
        </w:rPr>
        <w:t>In general, acid concentration has pronounced effect on metal extraction and is one of the important factors of optimizing leaching conditions in metal recover</w:t>
      </w:r>
      <w:r>
        <w:rPr>
          <w:rFonts w:ascii="Arial" w:hAnsi="Arial" w:cs="Arial"/>
          <w:sz w:val="20"/>
          <w:szCs w:val="24"/>
        </w:rPr>
        <w:t xml:space="preserve">y. The results as presented in </w:t>
      </w:r>
      <w:r w:rsidR="00DE659B" w:rsidRPr="005A117B">
        <w:rPr>
          <w:rFonts w:ascii="Arial" w:hAnsi="Arial" w:cs="Arial"/>
          <w:sz w:val="20"/>
          <w:szCs w:val="24"/>
        </w:rPr>
        <w:t>Fig</w:t>
      </w:r>
      <w:r>
        <w:rPr>
          <w:rFonts w:ascii="Arial" w:hAnsi="Arial" w:cs="Arial"/>
          <w:sz w:val="20"/>
          <w:szCs w:val="24"/>
        </w:rPr>
        <w:t>.</w:t>
      </w:r>
      <w:r w:rsidR="00DE659B" w:rsidRPr="005A117B">
        <w:rPr>
          <w:rFonts w:ascii="Arial" w:hAnsi="Arial" w:cs="Arial"/>
          <w:sz w:val="20"/>
          <w:szCs w:val="24"/>
        </w:rPr>
        <w:t xml:space="preserve"> </w:t>
      </w:r>
      <w:r w:rsidR="00B55ED1">
        <w:rPr>
          <w:rFonts w:ascii="Arial" w:hAnsi="Arial" w:cs="Arial"/>
          <w:sz w:val="20"/>
          <w:szCs w:val="24"/>
        </w:rPr>
        <w:t>6</w:t>
      </w:r>
      <w:r w:rsidR="00DE659B" w:rsidRPr="005A117B">
        <w:rPr>
          <w:rFonts w:ascii="Arial" w:hAnsi="Arial" w:cs="Arial"/>
          <w:sz w:val="20"/>
          <w:szCs w:val="24"/>
        </w:rPr>
        <w:t xml:space="preserve"> shows that there were significant variations in efficiency</w:t>
      </w:r>
      <w:r>
        <w:rPr>
          <w:rFonts w:ascii="Arial" w:hAnsi="Arial" w:cs="Arial"/>
          <w:sz w:val="20"/>
          <w:szCs w:val="24"/>
        </w:rPr>
        <w:t xml:space="preserve"> of the different leachates on </w:t>
      </w:r>
      <w:r w:rsidR="00DE659B" w:rsidRPr="005A117B">
        <w:rPr>
          <w:rFonts w:ascii="Arial" w:hAnsi="Arial" w:cs="Arial"/>
          <w:sz w:val="20"/>
          <w:szCs w:val="24"/>
        </w:rPr>
        <w:t>metals recovery based on concentration variation. Oxalic acid had the highest efficiency in the recovery of Zn and Ni (</w:t>
      </w:r>
      <w:r w:rsidR="00DE659B" w:rsidRPr="005A117B">
        <w:rPr>
          <w:rFonts w:ascii="Arial" w:hAnsi="Arial" w:cs="Arial"/>
          <w:sz w:val="20"/>
          <w:szCs w:val="24"/>
          <w:lang w:eastAsia="en-GB"/>
        </w:rPr>
        <w:t xml:space="preserve">53.12 % and 88.91 %) </w:t>
      </w:r>
      <w:r w:rsidR="00DE659B" w:rsidRPr="005A117B">
        <w:rPr>
          <w:rFonts w:ascii="Arial" w:hAnsi="Arial" w:cs="Arial"/>
          <w:sz w:val="20"/>
          <w:szCs w:val="24"/>
        </w:rPr>
        <w:t>as compared to other acids and their combination. However, malic acid recorded the lowest efficiency of the acids in the lea</w:t>
      </w:r>
      <w:r>
        <w:rPr>
          <w:rFonts w:ascii="Arial" w:hAnsi="Arial" w:cs="Arial"/>
          <w:sz w:val="20"/>
          <w:szCs w:val="24"/>
        </w:rPr>
        <w:t xml:space="preserve">ching of nickel (12.95%) (Fig </w:t>
      </w:r>
      <w:r w:rsidR="00B55ED1">
        <w:rPr>
          <w:rFonts w:ascii="Arial" w:hAnsi="Arial" w:cs="Arial"/>
          <w:sz w:val="20"/>
          <w:szCs w:val="24"/>
        </w:rPr>
        <w:t>7</w:t>
      </w:r>
      <w:r w:rsidR="00DE659B" w:rsidRPr="005A117B">
        <w:rPr>
          <w:rFonts w:ascii="Arial" w:hAnsi="Arial" w:cs="Arial"/>
          <w:sz w:val="20"/>
          <w:szCs w:val="24"/>
        </w:rPr>
        <w:t>)</w:t>
      </w:r>
      <w:r w:rsidR="0062385F">
        <w:rPr>
          <w:rFonts w:ascii="Arial" w:hAnsi="Arial" w:cs="Arial"/>
          <w:sz w:val="20"/>
          <w:szCs w:val="24"/>
        </w:rPr>
        <w:t>.</w:t>
      </w:r>
    </w:p>
    <w:p w14:paraId="56B0163A" w14:textId="77777777" w:rsidR="0062385F" w:rsidRPr="0062385F" w:rsidRDefault="0062385F" w:rsidP="0062385F">
      <w:pPr>
        <w:spacing w:line="360" w:lineRule="auto"/>
        <w:jc w:val="both"/>
        <w:rPr>
          <w:rFonts w:ascii="Arial" w:hAnsi="Arial" w:cs="Arial"/>
          <w:b/>
          <w:sz w:val="20"/>
          <w:szCs w:val="24"/>
        </w:rPr>
      </w:pPr>
      <w:r w:rsidRPr="0062385F">
        <w:rPr>
          <w:rFonts w:ascii="Arial" w:hAnsi="Arial" w:cs="Arial"/>
          <w:b/>
          <w:szCs w:val="24"/>
        </w:rPr>
        <w:t>3.4</w:t>
      </w:r>
      <w:r>
        <w:rPr>
          <w:rFonts w:ascii="Arial" w:hAnsi="Arial" w:cs="Arial"/>
          <w:b/>
          <w:szCs w:val="24"/>
        </w:rPr>
        <w:tab/>
      </w:r>
      <w:r w:rsidRPr="0062385F">
        <w:rPr>
          <w:rFonts w:ascii="Arial" w:hAnsi="Arial" w:cs="Arial"/>
          <w:b/>
          <w:szCs w:val="24"/>
        </w:rPr>
        <w:t xml:space="preserve">Adsorption kinetics </w:t>
      </w:r>
    </w:p>
    <w:p w14:paraId="3C519533" w14:textId="77777777" w:rsidR="001C3A1D" w:rsidRPr="0062385F" w:rsidRDefault="0062385F" w:rsidP="00447471">
      <w:pPr>
        <w:spacing w:line="360" w:lineRule="auto"/>
        <w:jc w:val="both"/>
        <w:rPr>
          <w:rFonts w:ascii="Arial" w:hAnsi="Arial" w:cs="Arial"/>
          <w:b/>
          <w:sz w:val="18"/>
          <w:szCs w:val="24"/>
        </w:rPr>
      </w:pPr>
      <w:r w:rsidRPr="0062385F">
        <w:rPr>
          <w:rFonts w:ascii="Arial" w:hAnsi="Arial" w:cs="Arial"/>
          <w:sz w:val="20"/>
          <w:szCs w:val="24"/>
        </w:rPr>
        <w:t xml:space="preserve">Reaction pathways for the recovery of metals from panel waste after leaching were determined by the sorption kinetic model of the Pseudo-First order. The Pseudo-first order plots of </w:t>
      </w:r>
      <w:proofErr w:type="gramStart"/>
      <w:r w:rsidRPr="0062385F">
        <w:rPr>
          <w:rFonts w:ascii="Arial" w:hAnsi="Arial" w:cs="Arial"/>
          <w:sz w:val="20"/>
          <w:szCs w:val="24"/>
        </w:rPr>
        <w:t>log(</w:t>
      </w:r>
      <w:proofErr w:type="spellStart"/>
      <w:proofErr w:type="gramEnd"/>
      <w:r w:rsidRPr="0062385F">
        <w:rPr>
          <w:rFonts w:ascii="Arial" w:hAnsi="Arial" w:cs="Arial"/>
          <w:sz w:val="20"/>
          <w:szCs w:val="24"/>
        </w:rPr>
        <w:t>qe</w:t>
      </w:r>
      <w:proofErr w:type="spellEnd"/>
      <w:r w:rsidRPr="0062385F">
        <w:rPr>
          <w:rFonts w:ascii="Arial" w:hAnsi="Arial" w:cs="Arial"/>
          <w:sz w:val="20"/>
          <w:szCs w:val="24"/>
        </w:rPr>
        <w:t xml:space="preserve">- </w:t>
      </w:r>
      <w:proofErr w:type="spellStart"/>
      <w:r w:rsidRPr="0062385F">
        <w:rPr>
          <w:rFonts w:ascii="Arial" w:hAnsi="Arial" w:cs="Arial"/>
          <w:sz w:val="20"/>
          <w:szCs w:val="24"/>
        </w:rPr>
        <w:t>qt</w:t>
      </w:r>
      <w:proofErr w:type="spellEnd"/>
      <w:r w:rsidRPr="0062385F">
        <w:rPr>
          <w:rFonts w:ascii="Arial" w:hAnsi="Arial" w:cs="Arial"/>
          <w:sz w:val="20"/>
          <w:szCs w:val="24"/>
        </w:rPr>
        <w:t xml:space="preserve">) versus time, t(min) for the recovery of heavy metals by different leaching agents are parameters were generated and listed in Table </w:t>
      </w:r>
      <w:r>
        <w:rPr>
          <w:rFonts w:ascii="Arial" w:hAnsi="Arial" w:cs="Arial"/>
          <w:sz w:val="20"/>
          <w:szCs w:val="24"/>
        </w:rPr>
        <w:t>3</w:t>
      </w:r>
      <w:r w:rsidRPr="0062385F">
        <w:rPr>
          <w:rFonts w:ascii="Arial" w:hAnsi="Arial" w:cs="Arial"/>
          <w:sz w:val="20"/>
          <w:szCs w:val="24"/>
        </w:rPr>
        <w:t>.. With respect to the range of values of R</w:t>
      </w:r>
      <w:r w:rsidRPr="0062385F">
        <w:rPr>
          <w:rFonts w:ascii="Arial" w:hAnsi="Arial" w:cs="Arial"/>
          <w:sz w:val="20"/>
          <w:szCs w:val="24"/>
          <w:vertAlign w:val="superscript"/>
        </w:rPr>
        <w:t>2</w:t>
      </w:r>
      <w:r w:rsidRPr="0062385F">
        <w:rPr>
          <w:rFonts w:ascii="Arial" w:hAnsi="Arial" w:cs="Arial"/>
          <w:sz w:val="20"/>
          <w:szCs w:val="24"/>
        </w:rPr>
        <w:t xml:space="preserve">, Di </w:t>
      </w:r>
      <w:proofErr w:type="spellStart"/>
      <w:r w:rsidRPr="0062385F">
        <w:rPr>
          <w:rFonts w:ascii="Arial" w:hAnsi="Arial" w:cs="Arial"/>
          <w:sz w:val="20"/>
          <w:szCs w:val="24"/>
        </w:rPr>
        <w:t>Bucchianico</w:t>
      </w:r>
      <w:proofErr w:type="spellEnd"/>
      <w:r w:rsidRPr="0062385F">
        <w:rPr>
          <w:rFonts w:ascii="Arial" w:hAnsi="Arial" w:cs="Arial"/>
          <w:sz w:val="20"/>
          <w:szCs w:val="24"/>
        </w:rPr>
        <w:t xml:space="preserve"> (2008) suggested that values of R</w:t>
      </w:r>
      <w:r w:rsidRPr="0062385F">
        <w:rPr>
          <w:rFonts w:ascii="Arial" w:hAnsi="Arial" w:cs="Arial"/>
          <w:sz w:val="20"/>
          <w:szCs w:val="24"/>
          <w:vertAlign w:val="superscript"/>
        </w:rPr>
        <w:t>2</w:t>
      </w:r>
      <w:r w:rsidRPr="0062385F">
        <w:rPr>
          <w:rFonts w:ascii="Arial" w:hAnsi="Arial" w:cs="Arial"/>
          <w:sz w:val="20"/>
          <w:szCs w:val="24"/>
        </w:rPr>
        <w:t xml:space="preserve"> ​&lt; ​0.5 indicate a weak relation between the predictor (or independent) variable(s) and the response variable, while 0.5&lt; R</w:t>
      </w:r>
      <w:r w:rsidRPr="0062385F">
        <w:rPr>
          <w:rFonts w:ascii="Arial" w:hAnsi="Arial" w:cs="Arial"/>
          <w:sz w:val="20"/>
          <w:szCs w:val="24"/>
          <w:vertAlign w:val="superscript"/>
        </w:rPr>
        <w:t>2</w:t>
      </w:r>
      <w:r w:rsidRPr="0062385F">
        <w:rPr>
          <w:rFonts w:ascii="Arial" w:hAnsi="Arial" w:cs="Arial"/>
          <w:sz w:val="20"/>
          <w:szCs w:val="24"/>
        </w:rPr>
        <w:t xml:space="preserve"> ​&lt; ​0.8 indicate that the model is not adequate. This implies that R</w:t>
      </w:r>
      <w:r w:rsidRPr="0062385F">
        <w:rPr>
          <w:rFonts w:ascii="Arial" w:hAnsi="Arial" w:cs="Arial"/>
          <w:sz w:val="20"/>
          <w:szCs w:val="24"/>
          <w:vertAlign w:val="superscript"/>
        </w:rPr>
        <w:t>2</w:t>
      </w:r>
      <w:r w:rsidRPr="0062385F">
        <w:rPr>
          <w:rFonts w:ascii="Arial" w:hAnsi="Arial" w:cs="Arial"/>
          <w:sz w:val="20"/>
          <w:szCs w:val="24"/>
        </w:rPr>
        <w:t xml:space="preserve"> ​≥ ​0.8 indicate good fit between the data and the model, which was applied by Simonin (2016) in his work. From this study, the outcome of the plot and its non-linearity shows that the pseudo-first order kinetic model could not portray the mechanism of </w:t>
      </w:r>
      <w:r w:rsidR="001C3A1D">
        <w:rPr>
          <w:rFonts w:ascii="Arial" w:hAnsi="Arial" w:cs="Arial"/>
          <w:sz w:val="20"/>
          <w:szCs w:val="24"/>
        </w:rPr>
        <w:t>Ni</w:t>
      </w:r>
      <w:r w:rsidRPr="0062385F">
        <w:rPr>
          <w:rFonts w:ascii="Arial" w:hAnsi="Arial" w:cs="Arial"/>
          <w:sz w:val="20"/>
          <w:szCs w:val="24"/>
        </w:rPr>
        <w:t xml:space="preserve"> adsorption by </w:t>
      </w:r>
      <w:r w:rsidR="001C3A1D">
        <w:rPr>
          <w:rFonts w:ascii="Arial" w:hAnsi="Arial" w:cs="Arial"/>
          <w:sz w:val="20"/>
          <w:szCs w:val="24"/>
        </w:rPr>
        <w:t>the acid combination</w:t>
      </w:r>
      <w:r w:rsidRPr="0062385F">
        <w:rPr>
          <w:rFonts w:ascii="Arial" w:hAnsi="Arial" w:cs="Arial"/>
          <w:sz w:val="20"/>
          <w:szCs w:val="24"/>
        </w:rPr>
        <w:t>. This is due to th</w:t>
      </w:r>
      <w:r w:rsidR="001C3A1D">
        <w:rPr>
          <w:rFonts w:ascii="Arial" w:hAnsi="Arial" w:cs="Arial"/>
          <w:sz w:val="20"/>
          <w:szCs w:val="24"/>
        </w:rPr>
        <w:t>e low correlation coefficient (r</w:t>
      </w:r>
      <w:r w:rsidRPr="0062385F">
        <w:rPr>
          <w:rFonts w:ascii="Arial" w:hAnsi="Arial" w:cs="Arial"/>
          <w:sz w:val="20"/>
          <w:szCs w:val="24"/>
          <w:vertAlign w:val="superscript"/>
        </w:rPr>
        <w:t>2</w:t>
      </w:r>
      <w:r w:rsidRPr="0062385F">
        <w:rPr>
          <w:rFonts w:ascii="Arial" w:hAnsi="Arial" w:cs="Arial"/>
          <w:sz w:val="20"/>
          <w:szCs w:val="24"/>
        </w:rPr>
        <w:t xml:space="preserve">) values </w:t>
      </w:r>
      <w:r w:rsidRPr="0062385F">
        <w:rPr>
          <w:rFonts w:ascii="Arial" w:eastAsia="Times New Roman" w:hAnsi="Arial" w:cs="Arial"/>
          <w:color w:val="000000" w:themeColor="text1"/>
          <w:sz w:val="20"/>
          <w:szCs w:val="24"/>
        </w:rPr>
        <w:t>0.7</w:t>
      </w:r>
      <w:r w:rsidR="001C3A1D">
        <w:rPr>
          <w:rFonts w:ascii="Arial" w:eastAsia="Times New Roman" w:hAnsi="Arial" w:cs="Arial"/>
          <w:color w:val="000000" w:themeColor="text1"/>
          <w:sz w:val="20"/>
          <w:szCs w:val="24"/>
        </w:rPr>
        <w:t>796</w:t>
      </w:r>
      <w:r w:rsidRPr="0062385F">
        <w:rPr>
          <w:rFonts w:ascii="Arial" w:hAnsi="Arial" w:cs="Arial"/>
          <w:sz w:val="20"/>
          <w:szCs w:val="24"/>
        </w:rPr>
        <w:t xml:space="preserve">. On the other hand, the model was a good fit to explain the mechanism of </w:t>
      </w:r>
      <w:r w:rsidR="001C3A1D">
        <w:rPr>
          <w:rFonts w:ascii="Arial" w:hAnsi="Arial" w:cs="Arial"/>
          <w:sz w:val="20"/>
          <w:szCs w:val="24"/>
        </w:rPr>
        <w:t>Zn</w:t>
      </w:r>
      <w:r w:rsidRPr="0062385F">
        <w:rPr>
          <w:rFonts w:ascii="Arial" w:hAnsi="Arial" w:cs="Arial"/>
          <w:sz w:val="20"/>
          <w:szCs w:val="24"/>
        </w:rPr>
        <w:t xml:space="preserve"> </w:t>
      </w:r>
      <w:r w:rsidR="001C3A1D">
        <w:rPr>
          <w:rFonts w:ascii="Arial" w:hAnsi="Arial" w:cs="Arial"/>
          <w:sz w:val="20"/>
          <w:szCs w:val="24"/>
        </w:rPr>
        <w:t xml:space="preserve">and Ni </w:t>
      </w:r>
      <w:r w:rsidRPr="0062385F">
        <w:rPr>
          <w:rFonts w:ascii="Arial" w:hAnsi="Arial" w:cs="Arial"/>
          <w:sz w:val="20"/>
          <w:szCs w:val="24"/>
        </w:rPr>
        <w:t>adsorption by the leache</w:t>
      </w:r>
      <w:r w:rsidR="001C3A1D">
        <w:rPr>
          <w:rFonts w:ascii="Arial" w:hAnsi="Arial" w:cs="Arial"/>
          <w:sz w:val="20"/>
          <w:szCs w:val="24"/>
        </w:rPr>
        <w:t>s except Ni with the combined acids</w:t>
      </w:r>
      <w:r w:rsidRPr="0062385F">
        <w:rPr>
          <w:rFonts w:ascii="Arial" w:hAnsi="Arial" w:cs="Arial"/>
          <w:sz w:val="20"/>
          <w:szCs w:val="24"/>
        </w:rPr>
        <w:t xml:space="preserve">. </w:t>
      </w:r>
      <w:r w:rsidR="001C3A1D" w:rsidRPr="001C3A1D">
        <w:rPr>
          <w:rFonts w:ascii="Arial" w:hAnsi="Arial" w:cs="Arial"/>
          <w:sz w:val="20"/>
          <w:szCs w:val="24"/>
        </w:rPr>
        <w:t>This is an indication of availability of Zn and Ni in cell phone circuit board.</w:t>
      </w:r>
      <w:r w:rsidR="00447471" w:rsidRPr="0062385F">
        <w:rPr>
          <w:rFonts w:ascii="Arial" w:hAnsi="Arial" w:cs="Arial"/>
          <w:b/>
          <w:sz w:val="18"/>
          <w:szCs w:val="24"/>
        </w:rPr>
        <w:t xml:space="preserve"> </w:t>
      </w:r>
    </w:p>
    <w:p w14:paraId="20D58F1C" w14:textId="77777777" w:rsidR="00CB1CE2" w:rsidRPr="00846FCD" w:rsidRDefault="00CB1CE2" w:rsidP="00CB1CE2">
      <w:pPr>
        <w:spacing w:line="360" w:lineRule="auto"/>
        <w:jc w:val="both"/>
        <w:rPr>
          <w:rFonts w:ascii="Times New Roman" w:hAnsi="Times New Roman" w:cs="Times New Roman"/>
          <w:sz w:val="24"/>
          <w:szCs w:val="24"/>
        </w:rPr>
      </w:pPr>
      <w:r w:rsidRPr="00846FCD">
        <w:rPr>
          <w:rFonts w:ascii="Times New Roman" w:hAnsi="Times New Roman" w:cs="Times New Roman"/>
          <w:noProof/>
          <w:sz w:val="24"/>
          <w:szCs w:val="24"/>
        </w:rPr>
        <w:drawing>
          <wp:inline distT="0" distB="0" distL="0" distR="0" wp14:anchorId="5130DB18" wp14:editId="5A520E5F">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BDFE6E2" w14:textId="77777777" w:rsidR="00CB1CE2" w:rsidRPr="00846FCD" w:rsidRDefault="00CB1CE2" w:rsidP="00CB1CE2">
      <w:pPr>
        <w:spacing w:after="0" w:line="360" w:lineRule="auto"/>
        <w:ind w:left="10" w:hanging="1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Fig </w:t>
      </w:r>
      <w:r w:rsidR="0062385F">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rPr>
        <w:t>:</w:t>
      </w:r>
      <w:r w:rsidRPr="00846FCD">
        <w:rPr>
          <w:rFonts w:ascii="Times New Roman" w:eastAsia="Times New Roman" w:hAnsi="Times New Roman" w:cs="Times New Roman"/>
          <w:b/>
          <w:color w:val="000000"/>
          <w:sz w:val="24"/>
          <w:szCs w:val="24"/>
        </w:rPr>
        <w:tab/>
        <w:t>Comparative Evaluation of the Efficiency of Time on Metal Recovery from Waste Printed Circuit Board of Cell phone</w:t>
      </w:r>
    </w:p>
    <w:p w14:paraId="17A95168" w14:textId="77777777" w:rsidR="00951033" w:rsidRPr="00846FCD" w:rsidRDefault="00951033" w:rsidP="00E7230E">
      <w:pPr>
        <w:spacing w:after="0" w:line="360" w:lineRule="auto"/>
        <w:ind w:left="-1" w:right="160"/>
        <w:jc w:val="both"/>
        <w:rPr>
          <w:rFonts w:ascii="Times New Roman" w:eastAsia="Times New Roman" w:hAnsi="Times New Roman" w:cs="Times New Roman"/>
          <w:color w:val="000000"/>
          <w:sz w:val="24"/>
          <w:szCs w:val="24"/>
        </w:rPr>
      </w:pPr>
    </w:p>
    <w:p w14:paraId="55A4CC6F" w14:textId="77777777" w:rsidR="00951033" w:rsidRPr="0027686A" w:rsidRDefault="00951033" w:rsidP="005A117B">
      <w:pPr>
        <w:spacing w:after="0" w:line="240" w:lineRule="auto"/>
        <w:ind w:left="-1" w:right="160"/>
        <w:jc w:val="both"/>
        <w:rPr>
          <w:rFonts w:ascii="Arial" w:hAnsi="Arial" w:cs="Arial"/>
          <w:b/>
          <w:sz w:val="20"/>
          <w:szCs w:val="24"/>
          <w:lang w:val="en-GB"/>
        </w:rPr>
      </w:pPr>
      <w:r w:rsidRPr="00846FCD">
        <w:rPr>
          <w:rFonts w:ascii="Times New Roman" w:hAnsi="Times New Roman" w:cs="Times New Roman"/>
          <w:noProof/>
          <w:sz w:val="24"/>
          <w:szCs w:val="24"/>
        </w:rPr>
        <w:drawing>
          <wp:inline distT="0" distB="0" distL="0" distR="0" wp14:anchorId="18FE2682" wp14:editId="69181474">
            <wp:extent cx="4667250" cy="2852420"/>
            <wp:effectExtent l="0" t="0" r="0" b="50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846FCD">
        <w:rPr>
          <w:rFonts w:ascii="Times New Roman" w:eastAsia="Times New Roman" w:hAnsi="Times New Roman" w:cs="Times New Roman"/>
          <w:color w:val="000000"/>
          <w:sz w:val="24"/>
          <w:szCs w:val="24"/>
        </w:rPr>
        <w:br w:type="textWrapping" w:clear="all"/>
      </w:r>
      <w:r w:rsidR="00F26C62" w:rsidRPr="0027686A">
        <w:rPr>
          <w:rFonts w:ascii="Arial" w:hAnsi="Arial" w:cs="Arial"/>
          <w:sz w:val="20"/>
          <w:szCs w:val="24"/>
        </w:rPr>
        <w:tab/>
      </w:r>
      <w:r w:rsidR="0062385F" w:rsidRPr="0027686A">
        <w:rPr>
          <w:rFonts w:ascii="Arial" w:hAnsi="Arial" w:cs="Arial"/>
          <w:b/>
          <w:sz w:val="20"/>
          <w:szCs w:val="24"/>
          <w:lang w:val="en-GB"/>
        </w:rPr>
        <w:t>Fig 3</w:t>
      </w:r>
      <w:r w:rsidR="005A117B" w:rsidRPr="0027686A">
        <w:rPr>
          <w:rFonts w:ascii="Arial" w:hAnsi="Arial" w:cs="Arial"/>
          <w:b/>
          <w:sz w:val="20"/>
          <w:szCs w:val="24"/>
          <w:lang w:val="en-GB"/>
        </w:rPr>
        <w:t>:</w:t>
      </w:r>
      <w:r w:rsidRPr="0027686A">
        <w:rPr>
          <w:rFonts w:ascii="Arial" w:hAnsi="Arial" w:cs="Arial"/>
          <w:b/>
          <w:sz w:val="20"/>
          <w:szCs w:val="24"/>
          <w:lang w:val="en-GB"/>
        </w:rPr>
        <w:tab/>
      </w:r>
      <w:r w:rsidR="00290913" w:rsidRPr="0027686A">
        <w:rPr>
          <w:rFonts w:ascii="Arial" w:hAnsi="Arial" w:cs="Arial"/>
          <w:b/>
          <w:sz w:val="20"/>
          <w:szCs w:val="24"/>
          <w:lang w:val="en-GB"/>
        </w:rPr>
        <w:t>Comparative Evaluation of Organic Acids Efficiency for the Recovery of M</w:t>
      </w:r>
      <w:r w:rsidR="005A117B" w:rsidRPr="0027686A">
        <w:rPr>
          <w:rFonts w:ascii="Arial" w:hAnsi="Arial" w:cs="Arial"/>
          <w:b/>
          <w:sz w:val="20"/>
          <w:szCs w:val="24"/>
          <w:lang w:val="en-GB"/>
        </w:rPr>
        <w:t xml:space="preserve">etals </w:t>
      </w:r>
      <w:r w:rsidR="00290913" w:rsidRPr="0027686A">
        <w:rPr>
          <w:rFonts w:ascii="Arial" w:hAnsi="Arial" w:cs="Arial"/>
          <w:b/>
          <w:sz w:val="20"/>
          <w:szCs w:val="24"/>
          <w:lang w:val="en-GB"/>
        </w:rPr>
        <w:t xml:space="preserve">from Waste Printed Circuit Boards of </w:t>
      </w:r>
      <w:r w:rsidR="00AF0F86" w:rsidRPr="0027686A">
        <w:rPr>
          <w:rFonts w:ascii="Arial" w:hAnsi="Arial" w:cs="Arial"/>
          <w:b/>
          <w:sz w:val="20"/>
          <w:szCs w:val="24"/>
          <w:lang w:val="en-GB"/>
        </w:rPr>
        <w:t>Cell phone</w:t>
      </w:r>
    </w:p>
    <w:p w14:paraId="2E43AD5F" w14:textId="77777777" w:rsidR="005A117B" w:rsidRPr="00846FCD" w:rsidRDefault="005A117B" w:rsidP="005A117B">
      <w:pPr>
        <w:spacing w:after="0" w:line="240" w:lineRule="auto"/>
        <w:ind w:left="-1" w:right="160"/>
        <w:jc w:val="both"/>
        <w:rPr>
          <w:rFonts w:ascii="Times New Roman" w:hAnsi="Times New Roman" w:cs="Times New Roman"/>
          <w:sz w:val="24"/>
          <w:szCs w:val="24"/>
          <w:lang w:val="en-GB"/>
        </w:rPr>
      </w:pPr>
    </w:p>
    <w:p w14:paraId="755ED054" w14:textId="77777777" w:rsidR="00CB1CE2" w:rsidRPr="00846FCD" w:rsidRDefault="00CB1CE2" w:rsidP="00CB1CE2">
      <w:pPr>
        <w:pStyle w:val="Head1"/>
        <w:spacing w:after="0"/>
        <w:jc w:val="both"/>
        <w:rPr>
          <w:rFonts w:ascii="Times New Roman" w:hAnsi="Times New Roman"/>
          <w:b w:val="0"/>
          <w:sz w:val="24"/>
          <w:szCs w:val="24"/>
        </w:rPr>
      </w:pPr>
      <w:r w:rsidRPr="00846FCD">
        <w:rPr>
          <w:rFonts w:ascii="Times New Roman" w:hAnsi="Times New Roman"/>
          <w:noProof/>
          <w:sz w:val="24"/>
          <w:szCs w:val="24"/>
        </w:rPr>
        <w:drawing>
          <wp:inline distT="0" distB="0" distL="0" distR="0" wp14:anchorId="5BD58E11" wp14:editId="29F42E9E">
            <wp:extent cx="5943600" cy="336232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16B16E8" w14:textId="77777777" w:rsidR="00CB1CE2" w:rsidRPr="0027686A" w:rsidRDefault="00CB1CE2" w:rsidP="00CB1CE2">
      <w:pPr>
        <w:spacing w:after="0" w:line="360" w:lineRule="auto"/>
        <w:jc w:val="both"/>
        <w:rPr>
          <w:rFonts w:ascii="Arial" w:eastAsia="Times New Roman" w:hAnsi="Arial" w:cs="Arial"/>
          <w:b/>
          <w:color w:val="000000"/>
          <w:sz w:val="20"/>
          <w:szCs w:val="24"/>
        </w:rPr>
      </w:pPr>
      <w:r w:rsidRPr="0027686A">
        <w:rPr>
          <w:rFonts w:ascii="Arial" w:eastAsia="Times New Roman" w:hAnsi="Arial" w:cs="Arial"/>
          <w:b/>
          <w:color w:val="000000"/>
          <w:sz w:val="20"/>
          <w:szCs w:val="24"/>
        </w:rPr>
        <w:t xml:space="preserve">Fig </w:t>
      </w:r>
      <w:r w:rsidR="0062385F" w:rsidRPr="0027686A">
        <w:rPr>
          <w:rFonts w:ascii="Arial" w:eastAsia="Times New Roman" w:hAnsi="Arial" w:cs="Arial"/>
          <w:b/>
          <w:color w:val="000000"/>
          <w:sz w:val="20"/>
          <w:szCs w:val="24"/>
        </w:rPr>
        <w:t>4</w:t>
      </w:r>
      <w:r w:rsidRPr="0027686A">
        <w:rPr>
          <w:rFonts w:ascii="Arial" w:eastAsia="Times New Roman" w:hAnsi="Arial" w:cs="Arial"/>
          <w:color w:val="000000"/>
          <w:sz w:val="20"/>
          <w:szCs w:val="24"/>
        </w:rPr>
        <w:t xml:space="preserve">: </w:t>
      </w:r>
      <w:r w:rsidRPr="0027686A">
        <w:rPr>
          <w:rFonts w:ascii="Arial" w:eastAsia="Times New Roman" w:hAnsi="Arial" w:cs="Arial"/>
          <w:b/>
          <w:color w:val="000000"/>
          <w:sz w:val="20"/>
          <w:szCs w:val="24"/>
        </w:rPr>
        <w:t>Recovery</w:t>
      </w:r>
      <w:r w:rsidRPr="0027686A">
        <w:rPr>
          <w:rFonts w:ascii="Arial" w:eastAsia="Times New Roman" w:hAnsi="Arial" w:cs="Arial"/>
          <w:color w:val="000000"/>
          <w:sz w:val="20"/>
          <w:szCs w:val="24"/>
        </w:rPr>
        <w:t xml:space="preserve"> </w:t>
      </w:r>
      <w:r w:rsidRPr="0027686A">
        <w:rPr>
          <w:rFonts w:ascii="Arial" w:eastAsia="Times New Roman" w:hAnsi="Arial" w:cs="Arial"/>
          <w:b/>
          <w:color w:val="000000"/>
          <w:sz w:val="20"/>
          <w:szCs w:val="24"/>
        </w:rPr>
        <w:t>Efficiency of Organic Acids on Zn and Ni from Waste Printed Circuit Boards of Cellphone at Different Time Intervals at Constant Temperature and Concentration.</w:t>
      </w:r>
    </w:p>
    <w:p w14:paraId="145AADCE" w14:textId="77777777" w:rsidR="005604B1" w:rsidRPr="00846FCD" w:rsidRDefault="005604B1" w:rsidP="005604B1">
      <w:pPr>
        <w:spacing w:after="0" w:line="360" w:lineRule="auto"/>
        <w:ind w:left="10" w:hanging="10"/>
        <w:jc w:val="both"/>
        <w:rPr>
          <w:rFonts w:ascii="Times New Roman" w:hAnsi="Times New Roman" w:cs="Times New Roman"/>
          <w:sz w:val="24"/>
          <w:szCs w:val="24"/>
        </w:rPr>
      </w:pPr>
    </w:p>
    <w:p w14:paraId="75CA8469" w14:textId="77777777" w:rsidR="005604B1" w:rsidRPr="00846FCD" w:rsidRDefault="005604B1" w:rsidP="005604B1">
      <w:pPr>
        <w:spacing w:line="360" w:lineRule="auto"/>
        <w:jc w:val="both"/>
        <w:rPr>
          <w:rFonts w:ascii="Times New Roman" w:hAnsi="Times New Roman" w:cs="Times New Roman"/>
          <w:sz w:val="24"/>
          <w:szCs w:val="24"/>
        </w:rPr>
      </w:pPr>
      <w:r w:rsidRPr="00846FCD">
        <w:rPr>
          <w:rFonts w:ascii="Times New Roman" w:hAnsi="Times New Roman" w:cs="Times New Roman"/>
          <w:noProof/>
          <w:sz w:val="24"/>
          <w:szCs w:val="24"/>
        </w:rPr>
        <w:lastRenderedPageBreak/>
        <w:drawing>
          <wp:inline distT="0" distB="0" distL="0" distR="0" wp14:anchorId="6EED1B64" wp14:editId="65A1646A">
            <wp:extent cx="5048250" cy="287655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546A268" w14:textId="77777777" w:rsidR="005604B1" w:rsidRPr="0027686A" w:rsidRDefault="0062385F" w:rsidP="005604B1">
      <w:pPr>
        <w:spacing w:after="0" w:line="360" w:lineRule="auto"/>
        <w:jc w:val="both"/>
        <w:rPr>
          <w:rFonts w:ascii="Arial" w:eastAsia="Times New Roman" w:hAnsi="Arial" w:cs="Arial"/>
          <w:b/>
          <w:color w:val="000000"/>
          <w:sz w:val="20"/>
          <w:szCs w:val="24"/>
        </w:rPr>
      </w:pPr>
      <w:r w:rsidRPr="0027686A">
        <w:rPr>
          <w:rFonts w:ascii="Arial" w:eastAsia="Times New Roman" w:hAnsi="Arial" w:cs="Arial"/>
          <w:b/>
          <w:color w:val="000000"/>
          <w:sz w:val="20"/>
          <w:szCs w:val="24"/>
        </w:rPr>
        <w:t>Fig 5</w:t>
      </w:r>
      <w:r w:rsidR="005604B1" w:rsidRPr="0027686A">
        <w:rPr>
          <w:rFonts w:ascii="Arial" w:eastAsia="Times New Roman" w:hAnsi="Arial" w:cs="Arial"/>
          <w:b/>
          <w:color w:val="000000"/>
          <w:sz w:val="20"/>
          <w:szCs w:val="24"/>
        </w:rPr>
        <w:t>: Comparative evaluation of the efficiency of metals recovery from waste printed circuit boards at different concentration.</w:t>
      </w:r>
    </w:p>
    <w:p w14:paraId="31D17022" w14:textId="77777777" w:rsidR="00157C58" w:rsidRPr="00846FCD" w:rsidRDefault="00157C58" w:rsidP="00951033">
      <w:pPr>
        <w:spacing w:line="360" w:lineRule="auto"/>
        <w:jc w:val="both"/>
        <w:rPr>
          <w:rFonts w:ascii="Times New Roman" w:hAnsi="Times New Roman" w:cs="Times New Roman"/>
          <w:b/>
          <w:sz w:val="24"/>
          <w:szCs w:val="24"/>
        </w:rPr>
      </w:pPr>
    </w:p>
    <w:p w14:paraId="4AC7A809" w14:textId="77777777" w:rsidR="008F61B1" w:rsidRPr="00846FCD" w:rsidRDefault="008F61B1" w:rsidP="00951033">
      <w:pPr>
        <w:spacing w:line="360" w:lineRule="auto"/>
        <w:jc w:val="both"/>
        <w:rPr>
          <w:rFonts w:ascii="Times New Roman" w:hAnsi="Times New Roman" w:cs="Times New Roman"/>
          <w:sz w:val="24"/>
          <w:szCs w:val="24"/>
        </w:rPr>
      </w:pPr>
      <w:r w:rsidRPr="00846FCD">
        <w:rPr>
          <w:rFonts w:ascii="Times New Roman" w:hAnsi="Times New Roman" w:cs="Times New Roman"/>
          <w:noProof/>
          <w:sz w:val="24"/>
          <w:szCs w:val="24"/>
        </w:rPr>
        <w:drawing>
          <wp:inline distT="0" distB="0" distL="0" distR="0" wp14:anchorId="631DF0FC" wp14:editId="1DF20B45">
            <wp:extent cx="4848225" cy="250507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8863962" w14:textId="77777777" w:rsidR="008F61B1" w:rsidRPr="0027686A" w:rsidRDefault="0062385F" w:rsidP="005604B1">
      <w:pPr>
        <w:spacing w:after="0" w:line="240" w:lineRule="auto"/>
        <w:jc w:val="both"/>
        <w:rPr>
          <w:rFonts w:ascii="Arial" w:hAnsi="Arial" w:cs="Arial"/>
          <w:b/>
          <w:sz w:val="20"/>
          <w:szCs w:val="24"/>
          <w:lang w:val="en-GB"/>
        </w:rPr>
      </w:pPr>
      <w:r w:rsidRPr="0027686A">
        <w:rPr>
          <w:rFonts w:ascii="Arial" w:hAnsi="Arial" w:cs="Arial"/>
          <w:b/>
          <w:sz w:val="20"/>
          <w:szCs w:val="24"/>
          <w:lang w:val="en-GB"/>
        </w:rPr>
        <w:t>Fig 6</w:t>
      </w:r>
      <w:r w:rsidR="005604B1" w:rsidRPr="0027686A">
        <w:rPr>
          <w:rFonts w:ascii="Arial" w:hAnsi="Arial" w:cs="Arial"/>
          <w:b/>
          <w:sz w:val="20"/>
          <w:szCs w:val="24"/>
          <w:lang w:val="en-GB"/>
        </w:rPr>
        <w:t>:</w:t>
      </w:r>
      <w:r w:rsidR="008F61B1" w:rsidRPr="0027686A">
        <w:rPr>
          <w:rFonts w:ascii="Arial" w:hAnsi="Arial" w:cs="Arial"/>
          <w:b/>
          <w:sz w:val="20"/>
          <w:szCs w:val="24"/>
          <w:lang w:val="en-GB"/>
        </w:rPr>
        <w:tab/>
      </w:r>
      <w:r w:rsidR="00126212" w:rsidRPr="0027686A">
        <w:rPr>
          <w:rFonts w:ascii="Arial" w:hAnsi="Arial" w:cs="Arial"/>
          <w:b/>
          <w:sz w:val="20"/>
          <w:szCs w:val="24"/>
          <w:lang w:val="en-GB"/>
        </w:rPr>
        <w:t>Comparative Evaluation of the Efficiency of Organic Acids on Metals Recovery from Waste Printed Circuit Board of Cell Phone at Different C</w:t>
      </w:r>
      <w:r w:rsidR="008F61B1" w:rsidRPr="0027686A">
        <w:rPr>
          <w:rFonts w:ascii="Arial" w:hAnsi="Arial" w:cs="Arial"/>
          <w:b/>
          <w:sz w:val="20"/>
          <w:szCs w:val="24"/>
          <w:lang w:val="en-GB"/>
        </w:rPr>
        <w:t xml:space="preserve">oncentrations </w:t>
      </w:r>
    </w:p>
    <w:p w14:paraId="005455D3" w14:textId="77777777" w:rsidR="008F61B1" w:rsidRPr="0027686A" w:rsidRDefault="008F61B1" w:rsidP="00951033">
      <w:pPr>
        <w:spacing w:line="360" w:lineRule="auto"/>
        <w:jc w:val="both"/>
        <w:rPr>
          <w:rFonts w:ascii="Arial" w:hAnsi="Arial" w:cs="Arial"/>
          <w:sz w:val="20"/>
          <w:szCs w:val="24"/>
        </w:rPr>
      </w:pPr>
    </w:p>
    <w:p w14:paraId="3E6D1E60" w14:textId="77777777" w:rsidR="005604B1" w:rsidRDefault="005604B1" w:rsidP="005604B1">
      <w:pPr>
        <w:spacing w:line="360" w:lineRule="auto"/>
        <w:jc w:val="both"/>
        <w:rPr>
          <w:rFonts w:ascii="Times New Roman" w:hAnsi="Times New Roman" w:cs="Times New Roman"/>
          <w:b/>
          <w:sz w:val="24"/>
          <w:szCs w:val="24"/>
        </w:rPr>
      </w:pPr>
      <w:r w:rsidRPr="00846FCD">
        <w:rPr>
          <w:rFonts w:ascii="Times New Roman" w:hAnsi="Times New Roman" w:cs="Times New Roman"/>
          <w:noProof/>
          <w:sz w:val="24"/>
          <w:szCs w:val="24"/>
        </w:rPr>
        <w:lastRenderedPageBreak/>
        <w:drawing>
          <wp:inline distT="0" distB="0" distL="0" distR="0" wp14:anchorId="004C94CD" wp14:editId="43CA4AB3">
            <wp:extent cx="5353050" cy="3674110"/>
            <wp:effectExtent l="0" t="0" r="0" b="254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B330E7B" w14:textId="77777777" w:rsidR="005604B1" w:rsidRPr="0027686A" w:rsidRDefault="0062385F" w:rsidP="005604B1">
      <w:pPr>
        <w:spacing w:line="360" w:lineRule="auto"/>
        <w:jc w:val="both"/>
        <w:rPr>
          <w:rFonts w:ascii="Arial" w:hAnsi="Arial" w:cs="Arial"/>
          <w:b/>
          <w:sz w:val="20"/>
          <w:szCs w:val="24"/>
        </w:rPr>
      </w:pPr>
      <w:r w:rsidRPr="0027686A">
        <w:rPr>
          <w:rFonts w:ascii="Arial" w:hAnsi="Arial" w:cs="Arial"/>
          <w:b/>
          <w:sz w:val="20"/>
          <w:szCs w:val="24"/>
        </w:rPr>
        <w:t>Fig 7</w:t>
      </w:r>
      <w:r w:rsidR="005604B1" w:rsidRPr="0027686A">
        <w:rPr>
          <w:rFonts w:ascii="Arial" w:hAnsi="Arial" w:cs="Arial"/>
          <w:b/>
          <w:sz w:val="20"/>
          <w:szCs w:val="24"/>
        </w:rPr>
        <w:t>:</w:t>
      </w:r>
      <w:r w:rsidR="005604B1" w:rsidRPr="0027686A">
        <w:rPr>
          <w:rFonts w:ascii="Arial" w:hAnsi="Arial" w:cs="Arial"/>
          <w:b/>
          <w:sz w:val="20"/>
          <w:szCs w:val="24"/>
        </w:rPr>
        <w:tab/>
        <w:t xml:space="preserve">Efficiency of Organic Acids on Zn and Ni Recovery from Waste Printed Circuit Boards of Cellphone at Constant Temperature and Time While Concentration is </w:t>
      </w:r>
      <w:r w:rsidR="00862668" w:rsidRPr="0027686A">
        <w:rPr>
          <w:rFonts w:ascii="Arial" w:hAnsi="Arial" w:cs="Arial"/>
          <w:b/>
          <w:sz w:val="20"/>
          <w:szCs w:val="24"/>
        </w:rPr>
        <w:t>Varied</w:t>
      </w:r>
    </w:p>
    <w:p w14:paraId="70BF8974" w14:textId="77777777" w:rsidR="00862668" w:rsidRDefault="00862668" w:rsidP="005604B1">
      <w:pPr>
        <w:spacing w:line="360" w:lineRule="auto"/>
        <w:jc w:val="both"/>
        <w:rPr>
          <w:rFonts w:ascii="Times New Roman" w:hAnsi="Times New Roman" w:cs="Times New Roman"/>
          <w:b/>
          <w:sz w:val="24"/>
          <w:szCs w:val="24"/>
        </w:rPr>
      </w:pPr>
    </w:p>
    <w:p w14:paraId="7F09223F" w14:textId="77777777" w:rsidR="002E14A8" w:rsidRPr="00846FCD" w:rsidRDefault="00F30142" w:rsidP="002E14A8">
      <w:pPr>
        <w:tabs>
          <w:tab w:val="left" w:pos="2070"/>
        </w:tabs>
        <w:jc w:val="both"/>
        <w:rPr>
          <w:rFonts w:ascii="Times New Roman" w:hAnsi="Times New Roman" w:cs="Times New Roman"/>
          <w:b/>
          <w:sz w:val="24"/>
          <w:szCs w:val="24"/>
        </w:rPr>
      </w:pPr>
      <w:r>
        <w:rPr>
          <w:noProof/>
        </w:rPr>
        <w:drawing>
          <wp:inline distT="0" distB="0" distL="0" distR="0" wp14:anchorId="1AC7CB47" wp14:editId="268B771E">
            <wp:extent cx="6667500" cy="30861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C73B583" w14:textId="77777777" w:rsidR="005E58A5" w:rsidRPr="0027686A" w:rsidRDefault="0062385F" w:rsidP="005E58A5">
      <w:pPr>
        <w:spacing w:line="360" w:lineRule="auto"/>
        <w:jc w:val="both"/>
        <w:rPr>
          <w:rFonts w:ascii="Arial" w:hAnsi="Arial" w:cs="Arial"/>
          <w:b/>
          <w:sz w:val="20"/>
          <w:szCs w:val="24"/>
        </w:rPr>
      </w:pPr>
      <w:r w:rsidRPr="0027686A">
        <w:rPr>
          <w:rFonts w:ascii="Arial" w:hAnsi="Arial" w:cs="Arial"/>
          <w:b/>
          <w:sz w:val="20"/>
          <w:szCs w:val="24"/>
        </w:rPr>
        <w:t>Fig 8</w:t>
      </w:r>
      <w:r w:rsidR="00F30142" w:rsidRPr="0027686A">
        <w:rPr>
          <w:rFonts w:ascii="Arial" w:hAnsi="Arial" w:cs="Arial"/>
          <w:b/>
          <w:sz w:val="20"/>
          <w:szCs w:val="24"/>
        </w:rPr>
        <w:t>:</w:t>
      </w:r>
      <w:r w:rsidR="005E58A5" w:rsidRPr="0027686A">
        <w:rPr>
          <w:rFonts w:ascii="Arial" w:hAnsi="Arial" w:cs="Arial"/>
          <w:b/>
          <w:sz w:val="20"/>
          <w:szCs w:val="24"/>
        </w:rPr>
        <w:tab/>
        <w:t>kinetics of Leaching of Nickel at different time intervals</w:t>
      </w:r>
    </w:p>
    <w:p w14:paraId="1E07285A" w14:textId="77777777" w:rsidR="005E58A5" w:rsidRPr="00846FCD" w:rsidRDefault="005E58A5" w:rsidP="005E58A5">
      <w:pPr>
        <w:spacing w:line="360" w:lineRule="auto"/>
        <w:jc w:val="both"/>
        <w:rPr>
          <w:rFonts w:ascii="Times New Roman" w:hAnsi="Times New Roman" w:cs="Times New Roman"/>
          <w:b/>
          <w:sz w:val="24"/>
          <w:szCs w:val="24"/>
        </w:rPr>
      </w:pPr>
    </w:p>
    <w:p w14:paraId="13A3BC4C" w14:textId="77777777" w:rsidR="005E58A5" w:rsidRDefault="005E58A5" w:rsidP="00844FD1">
      <w:pPr>
        <w:spacing w:line="360" w:lineRule="auto"/>
        <w:jc w:val="center"/>
        <w:rPr>
          <w:rFonts w:ascii="Times New Roman" w:hAnsi="Times New Roman" w:cs="Times New Roman"/>
          <w:b/>
          <w:sz w:val="24"/>
          <w:szCs w:val="24"/>
        </w:rPr>
      </w:pPr>
      <w:r w:rsidRPr="003A2BB2">
        <w:rPr>
          <w:rFonts w:ascii="Times New Roman" w:hAnsi="Times New Roman" w:cs="Times New Roman"/>
          <w:b/>
          <w:noProof/>
          <w:szCs w:val="24"/>
        </w:rPr>
        <w:drawing>
          <wp:inline distT="0" distB="0" distL="0" distR="0" wp14:anchorId="65949629" wp14:editId="105183EE">
            <wp:extent cx="6048375" cy="3021965"/>
            <wp:effectExtent l="0" t="0" r="952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66450" cy="3030996"/>
                    </a:xfrm>
                    <a:prstGeom prst="rect">
                      <a:avLst/>
                    </a:prstGeom>
                    <a:noFill/>
                  </pic:spPr>
                </pic:pic>
              </a:graphicData>
            </a:graphic>
          </wp:inline>
        </w:drawing>
      </w:r>
    </w:p>
    <w:p w14:paraId="0B7B5A8C" w14:textId="77777777" w:rsidR="005E58A5" w:rsidRPr="0027686A" w:rsidRDefault="0062385F" w:rsidP="005E58A5">
      <w:pPr>
        <w:spacing w:line="360" w:lineRule="auto"/>
        <w:jc w:val="both"/>
        <w:rPr>
          <w:rFonts w:ascii="Arial" w:hAnsi="Arial" w:cs="Arial"/>
          <w:b/>
          <w:sz w:val="20"/>
          <w:szCs w:val="24"/>
        </w:rPr>
      </w:pPr>
      <w:r w:rsidRPr="0027686A">
        <w:rPr>
          <w:rFonts w:ascii="Arial" w:hAnsi="Arial" w:cs="Arial"/>
          <w:b/>
          <w:sz w:val="20"/>
          <w:szCs w:val="24"/>
        </w:rPr>
        <w:t>Fig 9:</w:t>
      </w:r>
      <w:r w:rsidR="005E58A5" w:rsidRPr="0027686A">
        <w:rPr>
          <w:rFonts w:ascii="Arial" w:hAnsi="Arial" w:cs="Arial"/>
          <w:b/>
          <w:sz w:val="20"/>
          <w:szCs w:val="24"/>
        </w:rPr>
        <w:tab/>
        <w:t>kinetics of Leaching of Zinc</w:t>
      </w:r>
      <w:r w:rsidR="002171A9" w:rsidRPr="0027686A">
        <w:rPr>
          <w:rFonts w:ascii="Arial" w:hAnsi="Arial" w:cs="Arial"/>
          <w:b/>
          <w:sz w:val="20"/>
          <w:szCs w:val="24"/>
        </w:rPr>
        <w:t xml:space="preserve"> at Different Time I</w:t>
      </w:r>
      <w:r w:rsidR="005E58A5" w:rsidRPr="0027686A">
        <w:rPr>
          <w:rFonts w:ascii="Arial" w:hAnsi="Arial" w:cs="Arial"/>
          <w:b/>
          <w:sz w:val="20"/>
          <w:szCs w:val="24"/>
        </w:rPr>
        <w:t>ntervals</w:t>
      </w:r>
    </w:p>
    <w:p w14:paraId="164D6369" w14:textId="77777777" w:rsidR="0062385F" w:rsidRPr="001C3A1D" w:rsidRDefault="0062385F" w:rsidP="0062385F">
      <w:pPr>
        <w:tabs>
          <w:tab w:val="left" w:pos="2070"/>
        </w:tabs>
        <w:jc w:val="both"/>
        <w:rPr>
          <w:rFonts w:ascii="Arial" w:hAnsi="Arial" w:cs="Arial"/>
          <w:b/>
          <w:sz w:val="20"/>
          <w:szCs w:val="24"/>
        </w:rPr>
      </w:pPr>
      <w:r w:rsidRPr="001C3A1D">
        <w:rPr>
          <w:rFonts w:ascii="Arial" w:hAnsi="Arial" w:cs="Arial"/>
          <w:b/>
          <w:sz w:val="20"/>
          <w:szCs w:val="24"/>
        </w:rPr>
        <w:t>Table 3:   Pseudo First Order Model for Organic Acid Leaching of Zinc and Nickel from Waste PCB of Cellphone</w:t>
      </w:r>
    </w:p>
    <w:tbl>
      <w:tblPr>
        <w:tblW w:w="5221" w:type="pct"/>
        <w:tblBorders>
          <w:top w:val="single" w:sz="4" w:space="0" w:color="auto"/>
          <w:bottom w:val="single" w:sz="4" w:space="0" w:color="auto"/>
        </w:tblBorders>
        <w:tblLook w:val="04A0" w:firstRow="1" w:lastRow="0" w:firstColumn="1" w:lastColumn="0" w:noHBand="0" w:noVBand="1"/>
      </w:tblPr>
      <w:tblGrid>
        <w:gridCol w:w="566"/>
        <w:gridCol w:w="2646"/>
        <w:gridCol w:w="1082"/>
        <w:gridCol w:w="962"/>
        <w:gridCol w:w="1106"/>
        <w:gridCol w:w="2473"/>
        <w:gridCol w:w="939"/>
      </w:tblGrid>
      <w:tr w:rsidR="0062385F" w:rsidRPr="001C3A1D" w14:paraId="0CC3B83A" w14:textId="77777777" w:rsidTr="001C3A1D">
        <w:trPr>
          <w:trHeight w:val="432"/>
        </w:trPr>
        <w:tc>
          <w:tcPr>
            <w:tcW w:w="290" w:type="pct"/>
            <w:tcBorders>
              <w:top w:val="single" w:sz="4" w:space="0" w:color="auto"/>
              <w:bottom w:val="single" w:sz="4" w:space="0" w:color="auto"/>
            </w:tcBorders>
            <w:shd w:val="clear" w:color="auto" w:fill="auto"/>
            <w:noWrap/>
            <w:vAlign w:val="center"/>
            <w:hideMark/>
          </w:tcPr>
          <w:p w14:paraId="31EB6F9D" w14:textId="77777777" w:rsidR="0062385F" w:rsidRPr="0062385F" w:rsidRDefault="0062385F" w:rsidP="001C3A1D">
            <w:pPr>
              <w:spacing w:after="0" w:line="240" w:lineRule="auto"/>
              <w:rPr>
                <w:rFonts w:ascii="Arial" w:eastAsia="Times New Roman" w:hAnsi="Arial" w:cs="Arial"/>
                <w:b/>
                <w:color w:val="000000"/>
                <w:sz w:val="20"/>
              </w:rPr>
            </w:pPr>
            <w:r w:rsidRPr="0062385F">
              <w:rPr>
                <w:rFonts w:ascii="Arial" w:eastAsia="Times New Roman" w:hAnsi="Arial" w:cs="Arial"/>
                <w:b/>
                <w:color w:val="000000"/>
                <w:sz w:val="20"/>
              </w:rPr>
              <w:t> </w:t>
            </w:r>
          </w:p>
        </w:tc>
        <w:tc>
          <w:tcPr>
            <w:tcW w:w="1354" w:type="pct"/>
            <w:tcBorders>
              <w:top w:val="single" w:sz="4" w:space="0" w:color="auto"/>
              <w:bottom w:val="single" w:sz="4" w:space="0" w:color="auto"/>
            </w:tcBorders>
            <w:shd w:val="clear" w:color="auto" w:fill="auto"/>
            <w:noWrap/>
            <w:vAlign w:val="center"/>
            <w:hideMark/>
          </w:tcPr>
          <w:p w14:paraId="3025A3EA" w14:textId="77777777" w:rsidR="0062385F" w:rsidRPr="0062385F" w:rsidRDefault="0062385F" w:rsidP="001C3A1D">
            <w:pPr>
              <w:spacing w:after="0" w:line="240" w:lineRule="auto"/>
              <w:rPr>
                <w:rFonts w:ascii="Arial" w:eastAsia="Times New Roman" w:hAnsi="Arial" w:cs="Arial"/>
                <w:b/>
                <w:color w:val="000000"/>
                <w:sz w:val="20"/>
              </w:rPr>
            </w:pPr>
          </w:p>
        </w:tc>
        <w:tc>
          <w:tcPr>
            <w:tcW w:w="554" w:type="pct"/>
            <w:tcBorders>
              <w:top w:val="single" w:sz="4" w:space="0" w:color="auto"/>
              <w:bottom w:val="single" w:sz="4" w:space="0" w:color="auto"/>
            </w:tcBorders>
            <w:shd w:val="clear" w:color="auto" w:fill="auto"/>
            <w:noWrap/>
            <w:vAlign w:val="center"/>
            <w:hideMark/>
          </w:tcPr>
          <w:p w14:paraId="2F0E2598" w14:textId="77777777" w:rsidR="0062385F" w:rsidRPr="0062385F" w:rsidRDefault="0062385F" w:rsidP="001C3A1D">
            <w:pPr>
              <w:spacing w:after="0" w:line="240" w:lineRule="auto"/>
              <w:jc w:val="center"/>
              <w:rPr>
                <w:rFonts w:ascii="Arial" w:eastAsia="Times New Roman" w:hAnsi="Arial" w:cs="Arial"/>
                <w:b/>
                <w:color w:val="000000"/>
                <w:sz w:val="20"/>
              </w:rPr>
            </w:pPr>
            <w:r w:rsidRPr="0062385F">
              <w:rPr>
                <w:rFonts w:ascii="Arial" w:eastAsia="Times New Roman" w:hAnsi="Arial" w:cs="Arial"/>
                <w:b/>
                <w:color w:val="000000"/>
                <w:sz w:val="20"/>
              </w:rPr>
              <w:t>Intercept</w:t>
            </w:r>
          </w:p>
        </w:tc>
        <w:tc>
          <w:tcPr>
            <w:tcW w:w="492" w:type="pct"/>
            <w:tcBorders>
              <w:top w:val="single" w:sz="4" w:space="0" w:color="auto"/>
              <w:bottom w:val="single" w:sz="4" w:space="0" w:color="auto"/>
            </w:tcBorders>
            <w:shd w:val="clear" w:color="auto" w:fill="auto"/>
            <w:noWrap/>
            <w:vAlign w:val="center"/>
            <w:hideMark/>
          </w:tcPr>
          <w:p w14:paraId="4CC50D0A" w14:textId="77777777" w:rsidR="0062385F" w:rsidRPr="0062385F" w:rsidRDefault="0062385F" w:rsidP="001C3A1D">
            <w:pPr>
              <w:spacing w:after="0" w:line="240" w:lineRule="auto"/>
              <w:jc w:val="center"/>
              <w:rPr>
                <w:rFonts w:ascii="Arial" w:eastAsia="Times New Roman" w:hAnsi="Arial" w:cs="Arial"/>
                <w:b/>
                <w:color w:val="000000"/>
                <w:sz w:val="20"/>
              </w:rPr>
            </w:pPr>
            <w:r w:rsidRPr="0062385F">
              <w:rPr>
                <w:rFonts w:ascii="Arial" w:eastAsia="Times New Roman" w:hAnsi="Arial" w:cs="Arial"/>
                <w:b/>
                <w:color w:val="000000"/>
                <w:sz w:val="20"/>
              </w:rPr>
              <w:t>Slope</w:t>
            </w:r>
          </w:p>
        </w:tc>
        <w:tc>
          <w:tcPr>
            <w:tcW w:w="566" w:type="pct"/>
            <w:tcBorders>
              <w:top w:val="single" w:sz="4" w:space="0" w:color="auto"/>
              <w:bottom w:val="single" w:sz="4" w:space="0" w:color="auto"/>
            </w:tcBorders>
            <w:shd w:val="clear" w:color="auto" w:fill="auto"/>
            <w:noWrap/>
            <w:vAlign w:val="center"/>
            <w:hideMark/>
          </w:tcPr>
          <w:p w14:paraId="3E9203C9" w14:textId="77777777" w:rsidR="0062385F" w:rsidRPr="0062385F" w:rsidRDefault="0062385F" w:rsidP="001C3A1D">
            <w:pPr>
              <w:spacing w:after="0" w:line="240" w:lineRule="auto"/>
              <w:jc w:val="center"/>
              <w:rPr>
                <w:rFonts w:ascii="Arial" w:eastAsia="Times New Roman" w:hAnsi="Arial" w:cs="Arial"/>
                <w:b/>
                <w:color w:val="000000"/>
                <w:sz w:val="20"/>
              </w:rPr>
            </w:pPr>
            <w:r w:rsidRPr="0062385F">
              <w:rPr>
                <w:rFonts w:ascii="Arial" w:eastAsia="Times New Roman" w:hAnsi="Arial" w:cs="Arial"/>
                <w:b/>
                <w:color w:val="000000"/>
                <w:sz w:val="20"/>
              </w:rPr>
              <w:t>R-Square</w:t>
            </w:r>
          </w:p>
        </w:tc>
        <w:tc>
          <w:tcPr>
            <w:tcW w:w="1265" w:type="pct"/>
            <w:tcBorders>
              <w:top w:val="single" w:sz="4" w:space="0" w:color="auto"/>
              <w:bottom w:val="single" w:sz="4" w:space="0" w:color="auto"/>
            </w:tcBorders>
            <w:shd w:val="clear" w:color="auto" w:fill="auto"/>
            <w:noWrap/>
            <w:vAlign w:val="center"/>
            <w:hideMark/>
          </w:tcPr>
          <w:p w14:paraId="02A816FB" w14:textId="77777777" w:rsidR="0062385F" w:rsidRPr="0062385F" w:rsidRDefault="001C3A1D" w:rsidP="001C3A1D">
            <w:pPr>
              <w:spacing w:after="0" w:line="240" w:lineRule="auto"/>
              <w:jc w:val="center"/>
              <w:rPr>
                <w:rFonts w:ascii="Arial" w:eastAsia="Times New Roman" w:hAnsi="Arial" w:cs="Arial"/>
                <w:b/>
                <w:color w:val="000000"/>
                <w:sz w:val="20"/>
              </w:rPr>
            </w:pPr>
            <w:r w:rsidRPr="001C3A1D">
              <w:rPr>
                <w:rFonts w:ascii="Arial" w:eastAsia="Times New Roman" w:hAnsi="Arial" w:cs="Arial"/>
                <w:b/>
                <w:color w:val="000000"/>
                <w:sz w:val="20"/>
              </w:rPr>
              <w:t>Rate constant (Kt)min-1</w:t>
            </w:r>
          </w:p>
        </w:tc>
        <w:tc>
          <w:tcPr>
            <w:tcW w:w="480" w:type="pct"/>
            <w:tcBorders>
              <w:top w:val="single" w:sz="4" w:space="0" w:color="auto"/>
              <w:bottom w:val="single" w:sz="4" w:space="0" w:color="auto"/>
            </w:tcBorders>
            <w:shd w:val="clear" w:color="auto" w:fill="auto"/>
            <w:noWrap/>
            <w:vAlign w:val="center"/>
            <w:hideMark/>
          </w:tcPr>
          <w:p w14:paraId="05865050" w14:textId="77777777" w:rsidR="0062385F" w:rsidRPr="0062385F" w:rsidRDefault="0062385F" w:rsidP="001C3A1D">
            <w:pPr>
              <w:spacing w:after="0" w:line="240" w:lineRule="auto"/>
              <w:jc w:val="center"/>
              <w:rPr>
                <w:rFonts w:ascii="Arial" w:eastAsia="Times New Roman" w:hAnsi="Arial" w:cs="Arial"/>
                <w:b/>
                <w:color w:val="000000"/>
                <w:sz w:val="20"/>
              </w:rPr>
            </w:pPr>
            <w:proofErr w:type="spellStart"/>
            <w:r w:rsidRPr="0062385F">
              <w:rPr>
                <w:rFonts w:ascii="Arial" w:eastAsia="Times New Roman" w:hAnsi="Arial" w:cs="Arial"/>
                <w:b/>
                <w:color w:val="000000"/>
                <w:sz w:val="20"/>
              </w:rPr>
              <w:t>qe</w:t>
            </w:r>
            <w:proofErr w:type="spellEnd"/>
          </w:p>
        </w:tc>
      </w:tr>
      <w:tr w:rsidR="001C3A1D" w:rsidRPr="001C3A1D" w14:paraId="72B2015D" w14:textId="77777777" w:rsidTr="001C3A1D">
        <w:trPr>
          <w:trHeight w:val="432"/>
        </w:trPr>
        <w:tc>
          <w:tcPr>
            <w:tcW w:w="290" w:type="pct"/>
            <w:vMerge w:val="restart"/>
            <w:tcBorders>
              <w:top w:val="single" w:sz="4" w:space="0" w:color="auto"/>
            </w:tcBorders>
            <w:shd w:val="clear" w:color="auto" w:fill="auto"/>
            <w:noWrap/>
            <w:vAlign w:val="center"/>
            <w:hideMark/>
          </w:tcPr>
          <w:p w14:paraId="4B7F4527" w14:textId="77777777" w:rsidR="001C3A1D" w:rsidRPr="0062385F" w:rsidRDefault="001C3A1D" w:rsidP="001C3A1D">
            <w:pPr>
              <w:spacing w:after="0" w:line="240" w:lineRule="auto"/>
              <w:rPr>
                <w:rFonts w:ascii="Arial" w:eastAsia="Times New Roman" w:hAnsi="Arial" w:cs="Arial"/>
                <w:bCs/>
                <w:color w:val="000000"/>
                <w:sz w:val="20"/>
              </w:rPr>
            </w:pPr>
            <w:r w:rsidRPr="0062385F">
              <w:rPr>
                <w:rFonts w:ascii="Arial" w:eastAsia="Times New Roman" w:hAnsi="Arial" w:cs="Arial"/>
                <w:bCs/>
                <w:color w:val="000000"/>
                <w:sz w:val="20"/>
              </w:rPr>
              <w:t>Zn</w:t>
            </w:r>
          </w:p>
        </w:tc>
        <w:tc>
          <w:tcPr>
            <w:tcW w:w="1354" w:type="pct"/>
            <w:tcBorders>
              <w:top w:val="single" w:sz="4" w:space="0" w:color="auto"/>
            </w:tcBorders>
            <w:shd w:val="clear" w:color="auto" w:fill="auto"/>
            <w:noWrap/>
            <w:vAlign w:val="center"/>
            <w:hideMark/>
          </w:tcPr>
          <w:p w14:paraId="6C8CCDAC" w14:textId="77777777" w:rsidR="001C3A1D" w:rsidRPr="0062385F" w:rsidRDefault="001C3A1D" w:rsidP="001C3A1D">
            <w:pPr>
              <w:spacing w:after="0" w:line="240" w:lineRule="auto"/>
              <w:rPr>
                <w:rFonts w:ascii="Arial" w:eastAsia="Times New Roman" w:hAnsi="Arial" w:cs="Arial"/>
                <w:bCs/>
                <w:color w:val="000000"/>
                <w:sz w:val="20"/>
              </w:rPr>
            </w:pPr>
            <w:r w:rsidRPr="0062385F">
              <w:rPr>
                <w:rFonts w:ascii="Arial" w:eastAsia="Times New Roman" w:hAnsi="Arial" w:cs="Arial"/>
                <w:bCs/>
                <w:color w:val="000000"/>
                <w:sz w:val="20"/>
              </w:rPr>
              <w:t>Citric acid</w:t>
            </w:r>
          </w:p>
        </w:tc>
        <w:tc>
          <w:tcPr>
            <w:tcW w:w="554" w:type="pct"/>
            <w:tcBorders>
              <w:top w:val="single" w:sz="4" w:space="0" w:color="auto"/>
            </w:tcBorders>
            <w:shd w:val="clear" w:color="auto" w:fill="auto"/>
            <w:noWrap/>
            <w:vAlign w:val="center"/>
            <w:hideMark/>
          </w:tcPr>
          <w:p w14:paraId="70BB36FE"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-0.4744</w:t>
            </w:r>
          </w:p>
        </w:tc>
        <w:tc>
          <w:tcPr>
            <w:tcW w:w="492" w:type="pct"/>
            <w:tcBorders>
              <w:top w:val="single" w:sz="4" w:space="0" w:color="auto"/>
            </w:tcBorders>
            <w:shd w:val="clear" w:color="auto" w:fill="auto"/>
            <w:noWrap/>
            <w:vAlign w:val="center"/>
            <w:hideMark/>
          </w:tcPr>
          <w:p w14:paraId="5939A3AF"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-4.0029</w:t>
            </w:r>
          </w:p>
        </w:tc>
        <w:tc>
          <w:tcPr>
            <w:tcW w:w="566" w:type="pct"/>
            <w:tcBorders>
              <w:top w:val="single" w:sz="4" w:space="0" w:color="auto"/>
            </w:tcBorders>
            <w:shd w:val="clear" w:color="auto" w:fill="auto"/>
            <w:noWrap/>
            <w:vAlign w:val="center"/>
            <w:hideMark/>
          </w:tcPr>
          <w:p w14:paraId="134962B1" w14:textId="77777777" w:rsidR="001C3A1D" w:rsidRPr="001C3A1D" w:rsidRDefault="001C3A1D" w:rsidP="001C3A1D">
            <w:pPr>
              <w:spacing w:after="0" w:line="240" w:lineRule="auto"/>
              <w:jc w:val="center"/>
              <w:rPr>
                <w:rFonts w:ascii="Arial" w:hAnsi="Arial" w:cs="Arial"/>
                <w:sz w:val="20"/>
              </w:rPr>
            </w:pPr>
            <w:r w:rsidRPr="001C3A1D">
              <w:rPr>
                <w:rFonts w:ascii="Arial" w:hAnsi="Arial" w:cs="Arial"/>
                <w:sz w:val="20"/>
              </w:rPr>
              <w:t>0.9813</w:t>
            </w:r>
          </w:p>
        </w:tc>
        <w:tc>
          <w:tcPr>
            <w:tcW w:w="1265" w:type="pct"/>
            <w:tcBorders>
              <w:top w:val="single" w:sz="4" w:space="0" w:color="auto"/>
            </w:tcBorders>
            <w:shd w:val="clear" w:color="auto" w:fill="auto"/>
            <w:noWrap/>
            <w:vAlign w:val="center"/>
            <w:hideMark/>
          </w:tcPr>
          <w:p w14:paraId="015BEC48"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0.04003</w:t>
            </w:r>
          </w:p>
        </w:tc>
        <w:tc>
          <w:tcPr>
            <w:tcW w:w="480" w:type="pct"/>
            <w:tcBorders>
              <w:top w:val="single" w:sz="4" w:space="0" w:color="auto"/>
            </w:tcBorders>
            <w:shd w:val="clear" w:color="auto" w:fill="auto"/>
            <w:noWrap/>
            <w:vAlign w:val="center"/>
            <w:hideMark/>
          </w:tcPr>
          <w:p w14:paraId="3E8440AD"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0.62226</w:t>
            </w:r>
          </w:p>
        </w:tc>
      </w:tr>
      <w:tr w:rsidR="001C3A1D" w:rsidRPr="001C3A1D" w14:paraId="037016B4" w14:textId="77777777" w:rsidTr="001C3A1D">
        <w:trPr>
          <w:trHeight w:val="432"/>
        </w:trPr>
        <w:tc>
          <w:tcPr>
            <w:tcW w:w="290" w:type="pct"/>
            <w:vMerge/>
            <w:vAlign w:val="center"/>
            <w:hideMark/>
          </w:tcPr>
          <w:p w14:paraId="31EB5442" w14:textId="77777777" w:rsidR="001C3A1D" w:rsidRPr="0062385F" w:rsidRDefault="001C3A1D" w:rsidP="001C3A1D">
            <w:pPr>
              <w:spacing w:after="0" w:line="240" w:lineRule="auto"/>
              <w:rPr>
                <w:rFonts w:ascii="Arial" w:eastAsia="Times New Roman" w:hAnsi="Arial" w:cs="Arial"/>
                <w:bCs/>
                <w:color w:val="000000"/>
                <w:sz w:val="20"/>
              </w:rPr>
            </w:pPr>
          </w:p>
        </w:tc>
        <w:tc>
          <w:tcPr>
            <w:tcW w:w="1354" w:type="pct"/>
            <w:shd w:val="clear" w:color="auto" w:fill="auto"/>
            <w:noWrap/>
            <w:vAlign w:val="center"/>
            <w:hideMark/>
          </w:tcPr>
          <w:p w14:paraId="2C0C2B0A" w14:textId="77777777" w:rsidR="001C3A1D" w:rsidRPr="0062385F" w:rsidRDefault="001C3A1D" w:rsidP="001C3A1D">
            <w:pPr>
              <w:spacing w:after="0" w:line="240" w:lineRule="auto"/>
              <w:rPr>
                <w:rFonts w:ascii="Arial" w:eastAsia="Times New Roman" w:hAnsi="Arial" w:cs="Arial"/>
                <w:bCs/>
                <w:color w:val="000000"/>
                <w:sz w:val="20"/>
              </w:rPr>
            </w:pPr>
            <w:r w:rsidRPr="0062385F">
              <w:rPr>
                <w:rFonts w:ascii="Arial" w:eastAsia="Times New Roman" w:hAnsi="Arial" w:cs="Arial"/>
                <w:bCs/>
                <w:color w:val="000000"/>
                <w:sz w:val="20"/>
              </w:rPr>
              <w:t>Malic acid</w:t>
            </w:r>
          </w:p>
        </w:tc>
        <w:tc>
          <w:tcPr>
            <w:tcW w:w="554" w:type="pct"/>
            <w:shd w:val="clear" w:color="auto" w:fill="auto"/>
            <w:noWrap/>
            <w:vAlign w:val="center"/>
            <w:hideMark/>
          </w:tcPr>
          <w:p w14:paraId="69DBE7E9"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-0.2532</w:t>
            </w:r>
          </w:p>
        </w:tc>
        <w:tc>
          <w:tcPr>
            <w:tcW w:w="492" w:type="pct"/>
            <w:shd w:val="clear" w:color="auto" w:fill="auto"/>
            <w:noWrap/>
            <w:vAlign w:val="center"/>
            <w:hideMark/>
          </w:tcPr>
          <w:p w14:paraId="345CC836"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-1.9488</w:t>
            </w:r>
          </w:p>
        </w:tc>
        <w:tc>
          <w:tcPr>
            <w:tcW w:w="566" w:type="pct"/>
            <w:shd w:val="clear" w:color="auto" w:fill="auto"/>
            <w:noWrap/>
            <w:vAlign w:val="center"/>
            <w:hideMark/>
          </w:tcPr>
          <w:p w14:paraId="66798F0A" w14:textId="77777777" w:rsidR="001C3A1D" w:rsidRPr="001C3A1D" w:rsidRDefault="001C3A1D" w:rsidP="001C3A1D">
            <w:pPr>
              <w:spacing w:after="0" w:line="240" w:lineRule="auto"/>
              <w:jc w:val="center"/>
              <w:rPr>
                <w:rFonts w:ascii="Arial" w:hAnsi="Arial" w:cs="Arial"/>
                <w:sz w:val="20"/>
              </w:rPr>
            </w:pPr>
            <w:r w:rsidRPr="001C3A1D">
              <w:rPr>
                <w:rFonts w:ascii="Arial" w:hAnsi="Arial" w:cs="Arial"/>
                <w:sz w:val="20"/>
              </w:rPr>
              <w:t>0.9368</w:t>
            </w:r>
          </w:p>
        </w:tc>
        <w:tc>
          <w:tcPr>
            <w:tcW w:w="1265" w:type="pct"/>
            <w:shd w:val="clear" w:color="auto" w:fill="auto"/>
            <w:noWrap/>
            <w:vAlign w:val="center"/>
            <w:hideMark/>
          </w:tcPr>
          <w:p w14:paraId="60716126"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0.01949</w:t>
            </w:r>
          </w:p>
        </w:tc>
        <w:tc>
          <w:tcPr>
            <w:tcW w:w="480" w:type="pct"/>
            <w:shd w:val="clear" w:color="auto" w:fill="auto"/>
            <w:noWrap/>
            <w:vAlign w:val="center"/>
            <w:hideMark/>
          </w:tcPr>
          <w:p w14:paraId="78A8EBEF"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0.77631</w:t>
            </w:r>
          </w:p>
        </w:tc>
      </w:tr>
      <w:tr w:rsidR="001C3A1D" w:rsidRPr="001C3A1D" w14:paraId="6DADF24B" w14:textId="77777777" w:rsidTr="001C3A1D">
        <w:trPr>
          <w:trHeight w:val="432"/>
        </w:trPr>
        <w:tc>
          <w:tcPr>
            <w:tcW w:w="290" w:type="pct"/>
            <w:vMerge/>
            <w:vAlign w:val="center"/>
            <w:hideMark/>
          </w:tcPr>
          <w:p w14:paraId="7E23BA00" w14:textId="77777777" w:rsidR="001C3A1D" w:rsidRPr="0062385F" w:rsidRDefault="001C3A1D" w:rsidP="001C3A1D">
            <w:pPr>
              <w:spacing w:after="0" w:line="240" w:lineRule="auto"/>
              <w:rPr>
                <w:rFonts w:ascii="Arial" w:eastAsia="Times New Roman" w:hAnsi="Arial" w:cs="Arial"/>
                <w:bCs/>
                <w:color w:val="000000"/>
                <w:sz w:val="20"/>
              </w:rPr>
            </w:pPr>
          </w:p>
        </w:tc>
        <w:tc>
          <w:tcPr>
            <w:tcW w:w="1354" w:type="pct"/>
            <w:shd w:val="clear" w:color="auto" w:fill="auto"/>
            <w:noWrap/>
            <w:vAlign w:val="center"/>
            <w:hideMark/>
          </w:tcPr>
          <w:p w14:paraId="3BA37E32" w14:textId="77777777" w:rsidR="001C3A1D" w:rsidRPr="0062385F" w:rsidRDefault="001C3A1D" w:rsidP="001C3A1D">
            <w:pPr>
              <w:spacing w:after="0" w:line="240" w:lineRule="auto"/>
              <w:rPr>
                <w:rFonts w:ascii="Arial" w:eastAsia="Times New Roman" w:hAnsi="Arial" w:cs="Arial"/>
                <w:bCs/>
                <w:color w:val="000000"/>
                <w:sz w:val="20"/>
              </w:rPr>
            </w:pPr>
            <w:r w:rsidRPr="0062385F">
              <w:rPr>
                <w:rFonts w:ascii="Arial" w:eastAsia="Times New Roman" w:hAnsi="Arial" w:cs="Arial"/>
                <w:bCs/>
                <w:color w:val="000000"/>
                <w:sz w:val="20"/>
              </w:rPr>
              <w:t>Oxalic acid</w:t>
            </w:r>
          </w:p>
        </w:tc>
        <w:tc>
          <w:tcPr>
            <w:tcW w:w="554" w:type="pct"/>
            <w:shd w:val="clear" w:color="auto" w:fill="auto"/>
            <w:noWrap/>
            <w:vAlign w:val="center"/>
            <w:hideMark/>
          </w:tcPr>
          <w:p w14:paraId="0A2D2919"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-0.7838</w:t>
            </w:r>
          </w:p>
        </w:tc>
        <w:tc>
          <w:tcPr>
            <w:tcW w:w="492" w:type="pct"/>
            <w:shd w:val="clear" w:color="auto" w:fill="auto"/>
            <w:noWrap/>
            <w:vAlign w:val="center"/>
            <w:hideMark/>
          </w:tcPr>
          <w:p w14:paraId="018E4AE6"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-0.0046</w:t>
            </w:r>
          </w:p>
        </w:tc>
        <w:tc>
          <w:tcPr>
            <w:tcW w:w="566" w:type="pct"/>
            <w:shd w:val="clear" w:color="auto" w:fill="auto"/>
            <w:noWrap/>
            <w:vAlign w:val="center"/>
            <w:hideMark/>
          </w:tcPr>
          <w:p w14:paraId="4ADC107A" w14:textId="77777777" w:rsidR="001C3A1D" w:rsidRPr="001C3A1D" w:rsidRDefault="001C3A1D" w:rsidP="001C3A1D">
            <w:pPr>
              <w:spacing w:after="0" w:line="240" w:lineRule="auto"/>
              <w:jc w:val="center"/>
              <w:rPr>
                <w:rFonts w:ascii="Arial" w:hAnsi="Arial" w:cs="Arial"/>
                <w:sz w:val="20"/>
              </w:rPr>
            </w:pPr>
            <w:r w:rsidRPr="001C3A1D">
              <w:rPr>
                <w:rFonts w:ascii="Arial" w:hAnsi="Arial" w:cs="Arial"/>
                <w:sz w:val="20"/>
              </w:rPr>
              <w:t>0.8014</w:t>
            </w:r>
          </w:p>
        </w:tc>
        <w:tc>
          <w:tcPr>
            <w:tcW w:w="1265" w:type="pct"/>
            <w:shd w:val="clear" w:color="auto" w:fill="auto"/>
            <w:noWrap/>
            <w:vAlign w:val="center"/>
            <w:hideMark/>
          </w:tcPr>
          <w:p w14:paraId="7770F7A1"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4.60E-05</w:t>
            </w:r>
          </w:p>
        </w:tc>
        <w:tc>
          <w:tcPr>
            <w:tcW w:w="480" w:type="pct"/>
            <w:shd w:val="clear" w:color="auto" w:fill="auto"/>
            <w:noWrap/>
            <w:vAlign w:val="center"/>
            <w:hideMark/>
          </w:tcPr>
          <w:p w14:paraId="43D8C297"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0.45667</w:t>
            </w:r>
          </w:p>
        </w:tc>
      </w:tr>
      <w:tr w:rsidR="001C3A1D" w:rsidRPr="001C3A1D" w14:paraId="3CA2EF5A" w14:textId="77777777" w:rsidTr="001C3A1D">
        <w:trPr>
          <w:trHeight w:val="432"/>
        </w:trPr>
        <w:tc>
          <w:tcPr>
            <w:tcW w:w="290" w:type="pct"/>
            <w:vMerge/>
            <w:vAlign w:val="center"/>
            <w:hideMark/>
          </w:tcPr>
          <w:p w14:paraId="45352679" w14:textId="77777777" w:rsidR="001C3A1D" w:rsidRPr="0062385F" w:rsidRDefault="001C3A1D" w:rsidP="001C3A1D">
            <w:pPr>
              <w:spacing w:after="0" w:line="240" w:lineRule="auto"/>
              <w:rPr>
                <w:rFonts w:ascii="Arial" w:eastAsia="Times New Roman" w:hAnsi="Arial" w:cs="Arial"/>
                <w:bCs/>
                <w:color w:val="000000"/>
                <w:sz w:val="20"/>
              </w:rPr>
            </w:pPr>
          </w:p>
        </w:tc>
        <w:tc>
          <w:tcPr>
            <w:tcW w:w="1354" w:type="pct"/>
            <w:shd w:val="clear" w:color="auto" w:fill="auto"/>
            <w:noWrap/>
            <w:vAlign w:val="center"/>
            <w:hideMark/>
          </w:tcPr>
          <w:p w14:paraId="2311DA48" w14:textId="77777777" w:rsidR="001C3A1D" w:rsidRPr="0062385F" w:rsidRDefault="001C3A1D" w:rsidP="001C3A1D">
            <w:pPr>
              <w:spacing w:after="0" w:line="240" w:lineRule="auto"/>
              <w:rPr>
                <w:rFonts w:ascii="Arial" w:eastAsia="Times New Roman" w:hAnsi="Arial" w:cs="Arial"/>
                <w:bCs/>
                <w:color w:val="000000"/>
                <w:sz w:val="20"/>
              </w:rPr>
            </w:pPr>
            <w:proofErr w:type="spellStart"/>
            <w:r w:rsidRPr="0062385F">
              <w:rPr>
                <w:rFonts w:ascii="Arial" w:eastAsia="Times New Roman" w:hAnsi="Arial" w:cs="Arial"/>
                <w:bCs/>
                <w:color w:val="000000"/>
                <w:sz w:val="20"/>
              </w:rPr>
              <w:t>Citric+Malic</w:t>
            </w:r>
            <w:proofErr w:type="spellEnd"/>
            <w:r w:rsidRPr="0062385F">
              <w:rPr>
                <w:rFonts w:ascii="Arial" w:eastAsia="Times New Roman" w:hAnsi="Arial" w:cs="Arial"/>
                <w:bCs/>
                <w:color w:val="000000"/>
                <w:sz w:val="20"/>
              </w:rPr>
              <w:t>+</w:t>
            </w:r>
            <w:r w:rsidRPr="001C3A1D">
              <w:rPr>
                <w:rFonts w:ascii="Arial" w:eastAsia="Times New Roman" w:hAnsi="Arial" w:cs="Arial"/>
                <w:bCs/>
                <w:color w:val="000000"/>
                <w:sz w:val="20"/>
              </w:rPr>
              <w:t xml:space="preserve"> </w:t>
            </w:r>
            <w:r w:rsidRPr="0062385F">
              <w:rPr>
                <w:rFonts w:ascii="Arial" w:eastAsia="Times New Roman" w:hAnsi="Arial" w:cs="Arial"/>
                <w:bCs/>
                <w:color w:val="000000"/>
                <w:sz w:val="20"/>
              </w:rPr>
              <w:t>Oxalic acid</w:t>
            </w:r>
          </w:p>
        </w:tc>
        <w:tc>
          <w:tcPr>
            <w:tcW w:w="554" w:type="pct"/>
            <w:shd w:val="clear" w:color="auto" w:fill="auto"/>
            <w:noWrap/>
            <w:vAlign w:val="center"/>
            <w:hideMark/>
          </w:tcPr>
          <w:p w14:paraId="7EEFCC53"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-0.2833</w:t>
            </w:r>
          </w:p>
        </w:tc>
        <w:tc>
          <w:tcPr>
            <w:tcW w:w="492" w:type="pct"/>
            <w:shd w:val="clear" w:color="auto" w:fill="auto"/>
            <w:noWrap/>
            <w:vAlign w:val="center"/>
            <w:hideMark/>
          </w:tcPr>
          <w:p w14:paraId="507E99FE"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-2.0254</w:t>
            </w:r>
          </w:p>
        </w:tc>
        <w:tc>
          <w:tcPr>
            <w:tcW w:w="566" w:type="pct"/>
            <w:shd w:val="clear" w:color="auto" w:fill="auto"/>
            <w:noWrap/>
            <w:vAlign w:val="center"/>
            <w:hideMark/>
          </w:tcPr>
          <w:p w14:paraId="23E67945" w14:textId="77777777" w:rsidR="001C3A1D" w:rsidRPr="001C3A1D" w:rsidRDefault="001C3A1D" w:rsidP="001C3A1D">
            <w:pPr>
              <w:spacing w:after="0" w:line="240" w:lineRule="auto"/>
              <w:jc w:val="center"/>
              <w:rPr>
                <w:rFonts w:ascii="Arial" w:hAnsi="Arial" w:cs="Arial"/>
                <w:sz w:val="20"/>
              </w:rPr>
            </w:pPr>
            <w:r w:rsidRPr="001C3A1D">
              <w:rPr>
                <w:rFonts w:ascii="Arial" w:hAnsi="Arial" w:cs="Arial"/>
                <w:sz w:val="20"/>
              </w:rPr>
              <w:t>0.9512</w:t>
            </w:r>
          </w:p>
        </w:tc>
        <w:tc>
          <w:tcPr>
            <w:tcW w:w="1265" w:type="pct"/>
            <w:shd w:val="clear" w:color="auto" w:fill="auto"/>
            <w:noWrap/>
            <w:vAlign w:val="center"/>
            <w:hideMark/>
          </w:tcPr>
          <w:p w14:paraId="5BC7174B"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0.02025</w:t>
            </w:r>
          </w:p>
        </w:tc>
        <w:tc>
          <w:tcPr>
            <w:tcW w:w="480" w:type="pct"/>
            <w:shd w:val="clear" w:color="auto" w:fill="auto"/>
            <w:noWrap/>
            <w:vAlign w:val="center"/>
            <w:hideMark/>
          </w:tcPr>
          <w:p w14:paraId="7FD5802B"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0.75329</w:t>
            </w:r>
          </w:p>
        </w:tc>
      </w:tr>
      <w:tr w:rsidR="001C3A1D" w:rsidRPr="001C3A1D" w14:paraId="1E0F9CB8" w14:textId="77777777" w:rsidTr="001C3A1D">
        <w:trPr>
          <w:trHeight w:val="432"/>
        </w:trPr>
        <w:tc>
          <w:tcPr>
            <w:tcW w:w="290" w:type="pct"/>
            <w:vMerge w:val="restart"/>
            <w:shd w:val="clear" w:color="auto" w:fill="auto"/>
            <w:noWrap/>
            <w:vAlign w:val="center"/>
            <w:hideMark/>
          </w:tcPr>
          <w:p w14:paraId="51C521BE" w14:textId="77777777" w:rsidR="001C3A1D" w:rsidRPr="0062385F" w:rsidRDefault="001C3A1D" w:rsidP="001C3A1D">
            <w:pPr>
              <w:spacing w:after="0" w:line="240" w:lineRule="auto"/>
              <w:rPr>
                <w:rFonts w:ascii="Arial" w:eastAsia="Times New Roman" w:hAnsi="Arial" w:cs="Arial"/>
                <w:bCs/>
                <w:color w:val="000000"/>
                <w:sz w:val="20"/>
              </w:rPr>
            </w:pPr>
            <w:r w:rsidRPr="0062385F">
              <w:rPr>
                <w:rFonts w:ascii="Arial" w:eastAsia="Times New Roman" w:hAnsi="Arial" w:cs="Arial"/>
                <w:bCs/>
                <w:color w:val="000000"/>
                <w:sz w:val="20"/>
              </w:rPr>
              <w:t>Ni</w:t>
            </w:r>
          </w:p>
        </w:tc>
        <w:tc>
          <w:tcPr>
            <w:tcW w:w="1354" w:type="pct"/>
            <w:shd w:val="clear" w:color="auto" w:fill="auto"/>
            <w:noWrap/>
            <w:vAlign w:val="center"/>
            <w:hideMark/>
          </w:tcPr>
          <w:p w14:paraId="12AC4BE5" w14:textId="77777777" w:rsidR="001C3A1D" w:rsidRPr="0062385F" w:rsidRDefault="001C3A1D" w:rsidP="001C3A1D">
            <w:pPr>
              <w:spacing w:after="0" w:line="240" w:lineRule="auto"/>
              <w:rPr>
                <w:rFonts w:ascii="Arial" w:eastAsia="Times New Roman" w:hAnsi="Arial" w:cs="Arial"/>
                <w:bCs/>
                <w:color w:val="000000"/>
                <w:sz w:val="20"/>
              </w:rPr>
            </w:pPr>
            <w:r w:rsidRPr="0062385F">
              <w:rPr>
                <w:rFonts w:ascii="Arial" w:eastAsia="Times New Roman" w:hAnsi="Arial" w:cs="Arial"/>
                <w:bCs/>
                <w:color w:val="000000"/>
                <w:sz w:val="20"/>
              </w:rPr>
              <w:t>Citric acid</w:t>
            </w:r>
          </w:p>
        </w:tc>
        <w:tc>
          <w:tcPr>
            <w:tcW w:w="554" w:type="pct"/>
            <w:shd w:val="clear" w:color="auto" w:fill="auto"/>
            <w:noWrap/>
            <w:vAlign w:val="center"/>
            <w:hideMark/>
          </w:tcPr>
          <w:p w14:paraId="76E849CF"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-0.2791</w:t>
            </w:r>
          </w:p>
        </w:tc>
        <w:tc>
          <w:tcPr>
            <w:tcW w:w="492" w:type="pct"/>
            <w:shd w:val="clear" w:color="auto" w:fill="auto"/>
            <w:noWrap/>
            <w:vAlign w:val="center"/>
            <w:hideMark/>
          </w:tcPr>
          <w:p w14:paraId="48647E30"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-1.714</w:t>
            </w:r>
          </w:p>
        </w:tc>
        <w:tc>
          <w:tcPr>
            <w:tcW w:w="566" w:type="pct"/>
            <w:shd w:val="clear" w:color="auto" w:fill="auto"/>
            <w:noWrap/>
            <w:vAlign w:val="center"/>
            <w:hideMark/>
          </w:tcPr>
          <w:p w14:paraId="5249D82B" w14:textId="77777777" w:rsidR="001C3A1D" w:rsidRPr="001C3A1D" w:rsidRDefault="001C3A1D" w:rsidP="001C3A1D">
            <w:pPr>
              <w:spacing w:after="0" w:line="240" w:lineRule="auto"/>
              <w:jc w:val="center"/>
              <w:rPr>
                <w:rFonts w:ascii="Arial" w:hAnsi="Arial" w:cs="Arial"/>
                <w:sz w:val="20"/>
              </w:rPr>
            </w:pPr>
            <w:r w:rsidRPr="001C3A1D">
              <w:rPr>
                <w:rFonts w:ascii="Arial" w:hAnsi="Arial" w:cs="Arial"/>
                <w:sz w:val="20"/>
              </w:rPr>
              <w:t>0.8274</w:t>
            </w:r>
          </w:p>
        </w:tc>
        <w:tc>
          <w:tcPr>
            <w:tcW w:w="1265" w:type="pct"/>
            <w:shd w:val="clear" w:color="auto" w:fill="auto"/>
            <w:noWrap/>
            <w:vAlign w:val="center"/>
            <w:hideMark/>
          </w:tcPr>
          <w:p w14:paraId="75F6D690"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0.01714</w:t>
            </w:r>
          </w:p>
        </w:tc>
        <w:tc>
          <w:tcPr>
            <w:tcW w:w="480" w:type="pct"/>
            <w:shd w:val="clear" w:color="auto" w:fill="auto"/>
            <w:noWrap/>
            <w:vAlign w:val="center"/>
            <w:hideMark/>
          </w:tcPr>
          <w:p w14:paraId="19925690"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0.75646</w:t>
            </w:r>
          </w:p>
        </w:tc>
      </w:tr>
      <w:tr w:rsidR="001C3A1D" w:rsidRPr="001C3A1D" w14:paraId="1436B557" w14:textId="77777777" w:rsidTr="001C3A1D">
        <w:trPr>
          <w:trHeight w:val="432"/>
        </w:trPr>
        <w:tc>
          <w:tcPr>
            <w:tcW w:w="290" w:type="pct"/>
            <w:vMerge/>
            <w:vAlign w:val="center"/>
            <w:hideMark/>
          </w:tcPr>
          <w:p w14:paraId="57FC007B" w14:textId="77777777" w:rsidR="001C3A1D" w:rsidRPr="0062385F" w:rsidRDefault="001C3A1D" w:rsidP="001C3A1D">
            <w:pPr>
              <w:spacing w:after="0" w:line="240" w:lineRule="auto"/>
              <w:rPr>
                <w:rFonts w:ascii="Arial" w:eastAsia="Times New Roman" w:hAnsi="Arial" w:cs="Arial"/>
                <w:bCs/>
                <w:color w:val="000000"/>
                <w:sz w:val="20"/>
              </w:rPr>
            </w:pPr>
          </w:p>
        </w:tc>
        <w:tc>
          <w:tcPr>
            <w:tcW w:w="1354" w:type="pct"/>
            <w:shd w:val="clear" w:color="auto" w:fill="auto"/>
            <w:noWrap/>
            <w:vAlign w:val="center"/>
            <w:hideMark/>
          </w:tcPr>
          <w:p w14:paraId="79AB4D04" w14:textId="77777777" w:rsidR="001C3A1D" w:rsidRPr="0062385F" w:rsidRDefault="001C3A1D" w:rsidP="001C3A1D">
            <w:pPr>
              <w:spacing w:after="0" w:line="240" w:lineRule="auto"/>
              <w:rPr>
                <w:rFonts w:ascii="Arial" w:eastAsia="Times New Roman" w:hAnsi="Arial" w:cs="Arial"/>
                <w:bCs/>
                <w:color w:val="000000"/>
                <w:sz w:val="20"/>
              </w:rPr>
            </w:pPr>
            <w:r w:rsidRPr="0062385F">
              <w:rPr>
                <w:rFonts w:ascii="Arial" w:eastAsia="Times New Roman" w:hAnsi="Arial" w:cs="Arial"/>
                <w:bCs/>
                <w:color w:val="000000"/>
                <w:sz w:val="20"/>
              </w:rPr>
              <w:t>Malic acid</w:t>
            </w:r>
          </w:p>
        </w:tc>
        <w:tc>
          <w:tcPr>
            <w:tcW w:w="554" w:type="pct"/>
            <w:shd w:val="clear" w:color="auto" w:fill="auto"/>
            <w:noWrap/>
            <w:vAlign w:val="center"/>
            <w:hideMark/>
          </w:tcPr>
          <w:p w14:paraId="3BB68698"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-0.5469</w:t>
            </w:r>
          </w:p>
        </w:tc>
        <w:tc>
          <w:tcPr>
            <w:tcW w:w="492" w:type="pct"/>
            <w:shd w:val="clear" w:color="auto" w:fill="auto"/>
            <w:noWrap/>
            <w:vAlign w:val="center"/>
            <w:hideMark/>
          </w:tcPr>
          <w:p w14:paraId="64563DAC"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-2.2728</w:t>
            </w:r>
          </w:p>
        </w:tc>
        <w:tc>
          <w:tcPr>
            <w:tcW w:w="566" w:type="pct"/>
            <w:shd w:val="clear" w:color="auto" w:fill="auto"/>
            <w:noWrap/>
            <w:vAlign w:val="center"/>
            <w:hideMark/>
          </w:tcPr>
          <w:p w14:paraId="5B88E220" w14:textId="77777777" w:rsidR="001C3A1D" w:rsidRPr="001C3A1D" w:rsidRDefault="001C3A1D" w:rsidP="001C3A1D">
            <w:pPr>
              <w:spacing w:after="0" w:line="240" w:lineRule="auto"/>
              <w:jc w:val="center"/>
              <w:rPr>
                <w:rFonts w:ascii="Arial" w:hAnsi="Arial" w:cs="Arial"/>
                <w:sz w:val="20"/>
              </w:rPr>
            </w:pPr>
            <w:r w:rsidRPr="001C3A1D">
              <w:rPr>
                <w:rFonts w:ascii="Arial" w:hAnsi="Arial" w:cs="Arial"/>
                <w:sz w:val="20"/>
              </w:rPr>
              <w:t>0.9398</w:t>
            </w:r>
          </w:p>
        </w:tc>
        <w:tc>
          <w:tcPr>
            <w:tcW w:w="1265" w:type="pct"/>
            <w:shd w:val="clear" w:color="auto" w:fill="auto"/>
            <w:noWrap/>
            <w:vAlign w:val="center"/>
            <w:hideMark/>
          </w:tcPr>
          <w:p w14:paraId="2D57BC05"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0.02273</w:t>
            </w:r>
          </w:p>
        </w:tc>
        <w:tc>
          <w:tcPr>
            <w:tcW w:w="480" w:type="pct"/>
            <w:shd w:val="clear" w:color="auto" w:fill="auto"/>
            <w:noWrap/>
            <w:vAlign w:val="center"/>
            <w:hideMark/>
          </w:tcPr>
          <w:p w14:paraId="19D4CFDB"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0.57874</w:t>
            </w:r>
          </w:p>
        </w:tc>
      </w:tr>
      <w:tr w:rsidR="001C3A1D" w:rsidRPr="001C3A1D" w14:paraId="74CFA93B" w14:textId="77777777" w:rsidTr="001C3A1D">
        <w:trPr>
          <w:trHeight w:val="432"/>
        </w:trPr>
        <w:tc>
          <w:tcPr>
            <w:tcW w:w="290" w:type="pct"/>
            <w:vMerge/>
            <w:vAlign w:val="center"/>
            <w:hideMark/>
          </w:tcPr>
          <w:p w14:paraId="11D7879A" w14:textId="77777777" w:rsidR="001C3A1D" w:rsidRPr="0062385F" w:rsidRDefault="001C3A1D" w:rsidP="001C3A1D">
            <w:pPr>
              <w:spacing w:after="0" w:line="240" w:lineRule="auto"/>
              <w:rPr>
                <w:rFonts w:ascii="Arial" w:eastAsia="Times New Roman" w:hAnsi="Arial" w:cs="Arial"/>
                <w:bCs/>
                <w:color w:val="000000"/>
                <w:sz w:val="20"/>
              </w:rPr>
            </w:pPr>
          </w:p>
        </w:tc>
        <w:tc>
          <w:tcPr>
            <w:tcW w:w="1354" w:type="pct"/>
            <w:shd w:val="clear" w:color="auto" w:fill="auto"/>
            <w:noWrap/>
            <w:vAlign w:val="center"/>
            <w:hideMark/>
          </w:tcPr>
          <w:p w14:paraId="1479CCE1" w14:textId="77777777" w:rsidR="001C3A1D" w:rsidRPr="0062385F" w:rsidRDefault="001C3A1D" w:rsidP="001C3A1D">
            <w:pPr>
              <w:spacing w:after="0" w:line="240" w:lineRule="auto"/>
              <w:rPr>
                <w:rFonts w:ascii="Arial" w:eastAsia="Times New Roman" w:hAnsi="Arial" w:cs="Arial"/>
                <w:bCs/>
                <w:color w:val="000000"/>
                <w:sz w:val="20"/>
              </w:rPr>
            </w:pPr>
            <w:r w:rsidRPr="0062385F">
              <w:rPr>
                <w:rFonts w:ascii="Arial" w:eastAsia="Times New Roman" w:hAnsi="Arial" w:cs="Arial"/>
                <w:bCs/>
                <w:color w:val="000000"/>
                <w:sz w:val="20"/>
              </w:rPr>
              <w:t>Oxalic acid</w:t>
            </w:r>
          </w:p>
        </w:tc>
        <w:tc>
          <w:tcPr>
            <w:tcW w:w="554" w:type="pct"/>
            <w:shd w:val="clear" w:color="auto" w:fill="auto"/>
            <w:noWrap/>
            <w:vAlign w:val="center"/>
            <w:hideMark/>
          </w:tcPr>
          <w:p w14:paraId="1FB5947B"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-0.6603</w:t>
            </w:r>
          </w:p>
        </w:tc>
        <w:tc>
          <w:tcPr>
            <w:tcW w:w="492" w:type="pct"/>
            <w:shd w:val="clear" w:color="auto" w:fill="auto"/>
            <w:noWrap/>
            <w:vAlign w:val="center"/>
            <w:hideMark/>
          </w:tcPr>
          <w:p w14:paraId="140DE3C4"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1.1852</w:t>
            </w:r>
          </w:p>
        </w:tc>
        <w:tc>
          <w:tcPr>
            <w:tcW w:w="566" w:type="pct"/>
            <w:shd w:val="clear" w:color="auto" w:fill="auto"/>
            <w:noWrap/>
            <w:vAlign w:val="center"/>
            <w:hideMark/>
          </w:tcPr>
          <w:p w14:paraId="73E788B4" w14:textId="77777777" w:rsidR="001C3A1D" w:rsidRPr="001C3A1D" w:rsidRDefault="001C3A1D" w:rsidP="001C3A1D">
            <w:pPr>
              <w:spacing w:after="0" w:line="240" w:lineRule="auto"/>
              <w:jc w:val="center"/>
              <w:rPr>
                <w:rFonts w:ascii="Arial" w:hAnsi="Arial" w:cs="Arial"/>
                <w:sz w:val="20"/>
              </w:rPr>
            </w:pPr>
            <w:r w:rsidRPr="001C3A1D">
              <w:rPr>
                <w:rFonts w:ascii="Arial" w:hAnsi="Arial" w:cs="Arial"/>
                <w:sz w:val="20"/>
              </w:rPr>
              <w:t>0.8861</w:t>
            </w:r>
          </w:p>
        </w:tc>
        <w:tc>
          <w:tcPr>
            <w:tcW w:w="1265" w:type="pct"/>
            <w:shd w:val="clear" w:color="auto" w:fill="auto"/>
            <w:noWrap/>
            <w:vAlign w:val="center"/>
            <w:hideMark/>
          </w:tcPr>
          <w:p w14:paraId="14744B91"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-0.0119</w:t>
            </w:r>
          </w:p>
        </w:tc>
        <w:tc>
          <w:tcPr>
            <w:tcW w:w="480" w:type="pct"/>
            <w:shd w:val="clear" w:color="auto" w:fill="auto"/>
            <w:noWrap/>
            <w:vAlign w:val="center"/>
            <w:hideMark/>
          </w:tcPr>
          <w:p w14:paraId="4C83BBFD"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0.5167</w:t>
            </w:r>
          </w:p>
        </w:tc>
      </w:tr>
      <w:tr w:rsidR="001C3A1D" w:rsidRPr="001C3A1D" w14:paraId="6D3AEF01" w14:textId="77777777" w:rsidTr="001C3A1D">
        <w:trPr>
          <w:trHeight w:val="432"/>
        </w:trPr>
        <w:tc>
          <w:tcPr>
            <w:tcW w:w="290" w:type="pct"/>
            <w:vMerge/>
            <w:vAlign w:val="center"/>
            <w:hideMark/>
          </w:tcPr>
          <w:p w14:paraId="5D9C31D8" w14:textId="77777777" w:rsidR="001C3A1D" w:rsidRPr="0062385F" w:rsidRDefault="001C3A1D" w:rsidP="001C3A1D">
            <w:pPr>
              <w:spacing w:after="0" w:line="240" w:lineRule="auto"/>
              <w:rPr>
                <w:rFonts w:ascii="Arial" w:eastAsia="Times New Roman" w:hAnsi="Arial" w:cs="Arial"/>
                <w:bCs/>
                <w:color w:val="000000"/>
                <w:sz w:val="20"/>
              </w:rPr>
            </w:pPr>
          </w:p>
        </w:tc>
        <w:tc>
          <w:tcPr>
            <w:tcW w:w="1354" w:type="pct"/>
            <w:shd w:val="clear" w:color="auto" w:fill="auto"/>
            <w:noWrap/>
            <w:vAlign w:val="center"/>
            <w:hideMark/>
          </w:tcPr>
          <w:p w14:paraId="4C311D96" w14:textId="77777777" w:rsidR="001C3A1D" w:rsidRPr="0062385F" w:rsidRDefault="001C3A1D" w:rsidP="001C3A1D">
            <w:pPr>
              <w:spacing w:after="0" w:line="240" w:lineRule="auto"/>
              <w:rPr>
                <w:rFonts w:ascii="Arial" w:eastAsia="Times New Roman" w:hAnsi="Arial" w:cs="Arial"/>
                <w:bCs/>
                <w:color w:val="000000"/>
                <w:sz w:val="20"/>
              </w:rPr>
            </w:pPr>
            <w:proofErr w:type="spellStart"/>
            <w:r w:rsidRPr="0062385F">
              <w:rPr>
                <w:rFonts w:ascii="Arial" w:eastAsia="Times New Roman" w:hAnsi="Arial" w:cs="Arial"/>
                <w:bCs/>
                <w:color w:val="000000"/>
                <w:sz w:val="20"/>
              </w:rPr>
              <w:t>Citric+Malic</w:t>
            </w:r>
            <w:proofErr w:type="spellEnd"/>
            <w:r w:rsidRPr="0062385F">
              <w:rPr>
                <w:rFonts w:ascii="Arial" w:eastAsia="Times New Roman" w:hAnsi="Arial" w:cs="Arial"/>
                <w:bCs/>
                <w:color w:val="000000"/>
                <w:sz w:val="20"/>
              </w:rPr>
              <w:t>+</w:t>
            </w:r>
            <w:r w:rsidRPr="001C3A1D">
              <w:rPr>
                <w:rFonts w:ascii="Arial" w:eastAsia="Times New Roman" w:hAnsi="Arial" w:cs="Arial"/>
                <w:bCs/>
                <w:color w:val="000000"/>
                <w:sz w:val="20"/>
              </w:rPr>
              <w:t xml:space="preserve"> </w:t>
            </w:r>
            <w:r w:rsidRPr="0062385F">
              <w:rPr>
                <w:rFonts w:ascii="Arial" w:eastAsia="Times New Roman" w:hAnsi="Arial" w:cs="Arial"/>
                <w:bCs/>
                <w:color w:val="000000"/>
                <w:sz w:val="20"/>
              </w:rPr>
              <w:t>Oxalic acid</w:t>
            </w:r>
          </w:p>
        </w:tc>
        <w:tc>
          <w:tcPr>
            <w:tcW w:w="554" w:type="pct"/>
            <w:shd w:val="clear" w:color="auto" w:fill="auto"/>
            <w:noWrap/>
            <w:vAlign w:val="center"/>
            <w:hideMark/>
          </w:tcPr>
          <w:p w14:paraId="1348CF79"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-0.2159</w:t>
            </w:r>
          </w:p>
        </w:tc>
        <w:tc>
          <w:tcPr>
            <w:tcW w:w="492" w:type="pct"/>
            <w:shd w:val="clear" w:color="auto" w:fill="auto"/>
            <w:noWrap/>
            <w:vAlign w:val="center"/>
            <w:hideMark/>
          </w:tcPr>
          <w:p w14:paraId="6B4C0F79"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-2.435</w:t>
            </w:r>
          </w:p>
        </w:tc>
        <w:tc>
          <w:tcPr>
            <w:tcW w:w="566" w:type="pct"/>
            <w:shd w:val="clear" w:color="auto" w:fill="auto"/>
            <w:noWrap/>
            <w:vAlign w:val="center"/>
            <w:hideMark/>
          </w:tcPr>
          <w:p w14:paraId="5FFA8FD6" w14:textId="77777777" w:rsidR="001C3A1D" w:rsidRPr="001C3A1D" w:rsidRDefault="001C3A1D" w:rsidP="001C3A1D">
            <w:pPr>
              <w:spacing w:after="0" w:line="240" w:lineRule="auto"/>
              <w:jc w:val="center"/>
              <w:rPr>
                <w:rFonts w:ascii="Arial" w:hAnsi="Arial" w:cs="Arial"/>
                <w:sz w:val="20"/>
              </w:rPr>
            </w:pPr>
            <w:r w:rsidRPr="001C3A1D">
              <w:rPr>
                <w:rFonts w:ascii="Arial" w:hAnsi="Arial" w:cs="Arial"/>
                <w:sz w:val="20"/>
              </w:rPr>
              <w:t>0.7796</w:t>
            </w:r>
          </w:p>
        </w:tc>
        <w:tc>
          <w:tcPr>
            <w:tcW w:w="1265" w:type="pct"/>
            <w:shd w:val="clear" w:color="auto" w:fill="auto"/>
            <w:noWrap/>
            <w:vAlign w:val="center"/>
            <w:hideMark/>
          </w:tcPr>
          <w:p w14:paraId="2A6D00C0"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0.02435</w:t>
            </w:r>
          </w:p>
        </w:tc>
        <w:tc>
          <w:tcPr>
            <w:tcW w:w="480" w:type="pct"/>
            <w:shd w:val="clear" w:color="auto" w:fill="auto"/>
            <w:noWrap/>
            <w:vAlign w:val="center"/>
            <w:hideMark/>
          </w:tcPr>
          <w:p w14:paraId="32C290D4"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0.80582</w:t>
            </w:r>
          </w:p>
        </w:tc>
      </w:tr>
    </w:tbl>
    <w:p w14:paraId="08EFD8FA" w14:textId="77777777" w:rsidR="0062385F" w:rsidRPr="00846FCD" w:rsidRDefault="0062385F" w:rsidP="0062385F">
      <w:pPr>
        <w:tabs>
          <w:tab w:val="left" w:pos="2070"/>
        </w:tabs>
        <w:jc w:val="both"/>
        <w:rPr>
          <w:rFonts w:ascii="Times New Roman" w:hAnsi="Times New Roman" w:cs="Times New Roman"/>
          <w:sz w:val="24"/>
          <w:szCs w:val="24"/>
        </w:rPr>
      </w:pPr>
    </w:p>
    <w:p w14:paraId="7463999A" w14:textId="77777777" w:rsidR="002C5167" w:rsidRPr="00447471" w:rsidRDefault="00EB257D" w:rsidP="002C5167">
      <w:pPr>
        <w:spacing w:line="360" w:lineRule="auto"/>
        <w:jc w:val="both"/>
        <w:rPr>
          <w:rFonts w:ascii="Arial" w:hAnsi="Arial" w:cs="Arial"/>
          <w:b/>
          <w:sz w:val="20"/>
          <w:szCs w:val="24"/>
        </w:rPr>
      </w:pPr>
      <w:r w:rsidRPr="00447471">
        <w:rPr>
          <w:rFonts w:ascii="Arial" w:hAnsi="Arial" w:cs="Arial"/>
          <w:b/>
          <w:sz w:val="20"/>
          <w:szCs w:val="24"/>
        </w:rPr>
        <w:t>4.0</w:t>
      </w:r>
      <w:r w:rsidRPr="00447471">
        <w:rPr>
          <w:rFonts w:ascii="Arial" w:hAnsi="Arial" w:cs="Arial"/>
          <w:b/>
          <w:sz w:val="20"/>
          <w:szCs w:val="24"/>
        </w:rPr>
        <w:tab/>
      </w:r>
      <w:r w:rsidR="002C5167" w:rsidRPr="00447471">
        <w:rPr>
          <w:rFonts w:ascii="Arial" w:hAnsi="Arial" w:cs="Arial"/>
          <w:b/>
          <w:sz w:val="20"/>
          <w:szCs w:val="24"/>
        </w:rPr>
        <w:t xml:space="preserve">Conclusion </w:t>
      </w:r>
    </w:p>
    <w:p w14:paraId="60CD7F38" w14:textId="1CBD4DCD" w:rsidR="0072473A" w:rsidRDefault="002C5167" w:rsidP="002C5167">
      <w:pPr>
        <w:spacing w:line="360" w:lineRule="auto"/>
        <w:jc w:val="both"/>
        <w:rPr>
          <w:rFonts w:ascii="Arial" w:hAnsi="Arial" w:cs="Arial"/>
          <w:sz w:val="20"/>
          <w:szCs w:val="24"/>
        </w:rPr>
      </w:pPr>
      <w:r w:rsidRPr="00447471">
        <w:rPr>
          <w:rFonts w:ascii="Arial" w:hAnsi="Arial" w:cs="Arial"/>
          <w:sz w:val="20"/>
          <w:szCs w:val="24"/>
        </w:rPr>
        <w:t xml:space="preserve">The rapid growth of electronic devices, their subsequent obsolescence and disposal has resulted in electronic waste (e-waste) being one of the fastest increasing waste streams worldwide. The leaching with acids is one of many methods used for recovery of valuable components from industrial wastes. The study analyzed PCBs from discarded cellphones by determining their metal content through characterization. The </w:t>
      </w:r>
      <w:r w:rsidRPr="00447471">
        <w:rPr>
          <w:rFonts w:ascii="Arial" w:hAnsi="Arial" w:cs="Arial"/>
          <w:sz w:val="20"/>
          <w:szCs w:val="24"/>
        </w:rPr>
        <w:lastRenderedPageBreak/>
        <w:t xml:space="preserve">SEM-EDX result of the waste PCBs analyzed showed copper, zinc and nickel as metals present in significant quantities. The leaching experiment showed oxalic acid as a better leachate in the recovery of nickel with the efficiency of 88.91% at 1 M concentration and 2 </w:t>
      </w:r>
      <w:proofErr w:type="spellStart"/>
      <w:r w:rsidRPr="00447471">
        <w:rPr>
          <w:rFonts w:ascii="Arial" w:hAnsi="Arial" w:cs="Arial"/>
          <w:sz w:val="20"/>
          <w:szCs w:val="24"/>
        </w:rPr>
        <w:t>hrs</w:t>
      </w:r>
      <w:proofErr w:type="spellEnd"/>
      <w:r w:rsidRPr="00447471">
        <w:rPr>
          <w:rFonts w:ascii="Arial" w:hAnsi="Arial" w:cs="Arial"/>
          <w:sz w:val="20"/>
          <w:szCs w:val="24"/>
        </w:rPr>
        <w:t xml:space="preserve"> and constant temperature of 50oC this was carried out without any oxidant. In the recovery of zinc, oxalic acid recorded highest efficiency of 53.12%. However, it was deduced from this work that the impact of concentration on leaching efficiency is more compared the impact observed when time was varied. It is suggested that leaching with different degrees of oxidant be carried out to enhance the efficiency of the other acids.</w:t>
      </w:r>
    </w:p>
    <w:p w14:paraId="65153D54" w14:textId="77777777" w:rsidR="00214F7F" w:rsidRDefault="00214F7F" w:rsidP="00214F7F">
      <w:pPr>
        <w:tabs>
          <w:tab w:val="left" w:pos="2696"/>
        </w:tabs>
        <w:rPr>
          <w:rFonts w:ascii="Arial" w:hAnsi="Arial" w:cs="Arial"/>
          <w:sz w:val="20"/>
          <w:szCs w:val="20"/>
        </w:rPr>
      </w:pPr>
      <w:bookmarkStart w:id="1" w:name="_Hlk183685723"/>
      <w:bookmarkStart w:id="2" w:name="_Hlk198899984"/>
      <w:bookmarkStart w:id="3" w:name="_Hlk200717662"/>
    </w:p>
    <w:p w14:paraId="7ADE9BC0" w14:textId="77777777" w:rsidR="00214F7F" w:rsidRPr="00DF58AB" w:rsidRDefault="00214F7F" w:rsidP="00214F7F">
      <w:pPr>
        <w:rPr>
          <w:rFonts w:ascii="Calibri" w:hAnsi="Calibri"/>
          <w:kern w:val="2"/>
        </w:rPr>
      </w:pPr>
      <w:bookmarkStart w:id="4" w:name="_Hlk193540946"/>
      <w:bookmarkStart w:id="5" w:name="_Hlk180402183"/>
      <w:bookmarkStart w:id="6" w:name="_Hlk183680988"/>
      <w:bookmarkStart w:id="7" w:name="_Hlk197173371"/>
      <w:bookmarkEnd w:id="1"/>
      <w:r w:rsidRPr="00DF58AB">
        <w:rPr>
          <w:rFonts w:ascii="Calibri" w:hAnsi="Calibri"/>
          <w:kern w:val="2"/>
        </w:rPr>
        <w:t>Disclaimer (Artificial intelligence)</w:t>
      </w:r>
    </w:p>
    <w:p w14:paraId="208560FA" w14:textId="77777777" w:rsidR="00214F7F" w:rsidRPr="00DF58AB" w:rsidRDefault="00214F7F" w:rsidP="00DF58AB">
      <w:pPr>
        <w:jc w:val="both"/>
        <w:rPr>
          <w:rFonts w:ascii="Calibri" w:hAnsi="Calibri"/>
          <w:kern w:val="2"/>
        </w:rPr>
      </w:pPr>
      <w:r w:rsidRPr="00DF58AB">
        <w:rPr>
          <w:rFonts w:ascii="Calibri" w:hAnsi="Calibri"/>
          <w:kern w:val="2"/>
        </w:rPr>
        <w:t>Author(s) hereby declare that NO generative AI technologies such as Large Language Models (</w:t>
      </w:r>
      <w:proofErr w:type="spellStart"/>
      <w:r w:rsidRPr="00DF58AB">
        <w:rPr>
          <w:rFonts w:ascii="Calibri" w:hAnsi="Calibri"/>
          <w:kern w:val="2"/>
        </w:rPr>
        <w:t>ChatGPT</w:t>
      </w:r>
      <w:proofErr w:type="spellEnd"/>
      <w:r w:rsidRPr="00DF58AB">
        <w:rPr>
          <w:rFonts w:ascii="Calibri" w:hAnsi="Calibri"/>
          <w:kern w:val="2"/>
        </w:rPr>
        <w:t xml:space="preserve">, COPILOT, etc.) and text-to-image generators have been used during the writing or editing of this manuscript. </w:t>
      </w:r>
    </w:p>
    <w:bookmarkEnd w:id="2"/>
    <w:bookmarkEnd w:id="3"/>
    <w:bookmarkEnd w:id="4"/>
    <w:bookmarkEnd w:id="5"/>
    <w:bookmarkEnd w:id="6"/>
    <w:bookmarkEnd w:id="7"/>
    <w:p w14:paraId="23B0859C" w14:textId="77777777" w:rsidR="00443757" w:rsidRDefault="00443757" w:rsidP="002C5167">
      <w:pPr>
        <w:spacing w:line="360" w:lineRule="auto"/>
        <w:jc w:val="both"/>
        <w:rPr>
          <w:rFonts w:ascii="Arial" w:hAnsi="Arial" w:cs="Arial"/>
          <w:b/>
          <w:szCs w:val="24"/>
        </w:rPr>
      </w:pPr>
    </w:p>
    <w:p w14:paraId="61AD1B60" w14:textId="648A2B6B" w:rsidR="000F47DF" w:rsidRPr="0027686A" w:rsidRDefault="0027686A" w:rsidP="002C5167">
      <w:pPr>
        <w:spacing w:line="360" w:lineRule="auto"/>
        <w:jc w:val="both"/>
        <w:rPr>
          <w:rFonts w:ascii="Arial" w:hAnsi="Arial" w:cs="Arial"/>
          <w:b/>
          <w:szCs w:val="24"/>
        </w:rPr>
      </w:pPr>
      <w:r w:rsidRPr="0027686A">
        <w:rPr>
          <w:rFonts w:ascii="Arial" w:hAnsi="Arial" w:cs="Arial"/>
          <w:b/>
          <w:szCs w:val="24"/>
        </w:rPr>
        <w:t>References</w:t>
      </w:r>
    </w:p>
    <w:p w14:paraId="315A1092" w14:textId="77777777" w:rsidR="00576C65" w:rsidRPr="00576C65" w:rsidRDefault="00576C65" w:rsidP="00576C65">
      <w:pPr>
        <w:ind w:left="720" w:hanging="720"/>
        <w:jc w:val="both"/>
        <w:rPr>
          <w:rFonts w:ascii="Arial" w:hAnsi="Arial" w:cs="Arial"/>
          <w:color w:val="222222"/>
          <w:sz w:val="20"/>
          <w:szCs w:val="20"/>
          <w:shd w:val="clear" w:color="auto" w:fill="FFFFFF"/>
        </w:rPr>
      </w:pPr>
      <w:proofErr w:type="spellStart"/>
      <w:r w:rsidRPr="00576C65">
        <w:rPr>
          <w:rFonts w:ascii="Arial" w:hAnsi="Arial" w:cs="Arial"/>
          <w:color w:val="222222"/>
          <w:sz w:val="20"/>
          <w:szCs w:val="20"/>
          <w:shd w:val="clear" w:color="auto" w:fill="FFFFFF"/>
        </w:rPr>
        <w:t>Ajiboye</w:t>
      </w:r>
      <w:proofErr w:type="spellEnd"/>
      <w:r w:rsidRPr="00576C65">
        <w:rPr>
          <w:rFonts w:ascii="Arial" w:hAnsi="Arial" w:cs="Arial"/>
          <w:color w:val="222222"/>
          <w:sz w:val="20"/>
          <w:szCs w:val="20"/>
          <w:shd w:val="clear" w:color="auto" w:fill="FFFFFF"/>
        </w:rPr>
        <w:t xml:space="preserve">, A. E., </w:t>
      </w:r>
      <w:proofErr w:type="spellStart"/>
      <w:r w:rsidRPr="00576C65">
        <w:rPr>
          <w:rFonts w:ascii="Arial" w:hAnsi="Arial" w:cs="Arial"/>
          <w:color w:val="222222"/>
          <w:sz w:val="20"/>
          <w:szCs w:val="20"/>
          <w:shd w:val="clear" w:color="auto" w:fill="FFFFFF"/>
        </w:rPr>
        <w:t>Olasehinde</w:t>
      </w:r>
      <w:proofErr w:type="spellEnd"/>
      <w:r w:rsidRPr="00576C65">
        <w:rPr>
          <w:rFonts w:ascii="Arial" w:hAnsi="Arial" w:cs="Arial"/>
          <w:color w:val="222222"/>
          <w:sz w:val="20"/>
          <w:szCs w:val="20"/>
          <w:shd w:val="clear" w:color="auto" w:fill="FFFFFF"/>
        </w:rPr>
        <w:t xml:space="preserve">, F. E., Adebayo, O. A., </w:t>
      </w:r>
      <w:proofErr w:type="spellStart"/>
      <w:r w:rsidRPr="00576C65">
        <w:rPr>
          <w:rFonts w:ascii="Arial" w:hAnsi="Arial" w:cs="Arial"/>
          <w:color w:val="222222"/>
          <w:sz w:val="20"/>
          <w:szCs w:val="20"/>
          <w:shd w:val="clear" w:color="auto" w:fill="FFFFFF"/>
        </w:rPr>
        <w:t>Ajayi</w:t>
      </w:r>
      <w:proofErr w:type="spellEnd"/>
      <w:r w:rsidRPr="00576C65">
        <w:rPr>
          <w:rFonts w:ascii="Arial" w:hAnsi="Arial" w:cs="Arial"/>
          <w:color w:val="222222"/>
          <w:sz w:val="20"/>
          <w:szCs w:val="20"/>
          <w:shd w:val="clear" w:color="auto" w:fill="FFFFFF"/>
        </w:rPr>
        <w:t xml:space="preserve">, O. J., Ghosh, M. K., &amp; </w:t>
      </w:r>
      <w:proofErr w:type="spellStart"/>
      <w:r w:rsidRPr="00576C65">
        <w:rPr>
          <w:rFonts w:ascii="Arial" w:hAnsi="Arial" w:cs="Arial"/>
          <w:color w:val="222222"/>
          <w:sz w:val="20"/>
          <w:szCs w:val="20"/>
          <w:shd w:val="clear" w:color="auto" w:fill="FFFFFF"/>
        </w:rPr>
        <w:t>Basu</w:t>
      </w:r>
      <w:proofErr w:type="spellEnd"/>
      <w:r w:rsidRPr="00576C65">
        <w:rPr>
          <w:rFonts w:ascii="Arial" w:hAnsi="Arial" w:cs="Arial"/>
          <w:color w:val="222222"/>
          <w:sz w:val="20"/>
          <w:szCs w:val="20"/>
          <w:shd w:val="clear" w:color="auto" w:fill="FFFFFF"/>
        </w:rPr>
        <w:t>, S. (2019). Extraction of Copper and Zinc from Waste Printed Circuit Boards. </w:t>
      </w:r>
      <w:r w:rsidRPr="00576C65">
        <w:rPr>
          <w:rStyle w:val="Emphasis"/>
          <w:rFonts w:ascii="Arial" w:hAnsi="Arial" w:cs="Arial"/>
          <w:color w:val="222222"/>
          <w:sz w:val="20"/>
          <w:szCs w:val="20"/>
          <w:shd w:val="clear" w:color="auto" w:fill="FFFFFF"/>
        </w:rPr>
        <w:t>Recycling</w:t>
      </w:r>
      <w:r w:rsidRPr="00576C65">
        <w:rPr>
          <w:rFonts w:ascii="Arial" w:hAnsi="Arial" w:cs="Arial"/>
          <w:color w:val="222222"/>
          <w:sz w:val="20"/>
          <w:szCs w:val="20"/>
          <w:shd w:val="clear" w:color="auto" w:fill="FFFFFF"/>
        </w:rPr>
        <w:t>, </w:t>
      </w:r>
      <w:r w:rsidRPr="00576C65">
        <w:rPr>
          <w:rStyle w:val="Emphasis"/>
          <w:rFonts w:ascii="Arial" w:hAnsi="Arial" w:cs="Arial"/>
          <w:color w:val="222222"/>
          <w:sz w:val="20"/>
          <w:szCs w:val="20"/>
          <w:shd w:val="clear" w:color="auto" w:fill="FFFFFF"/>
        </w:rPr>
        <w:t>4</w:t>
      </w:r>
      <w:r w:rsidRPr="00576C65">
        <w:rPr>
          <w:rFonts w:ascii="Arial" w:hAnsi="Arial" w:cs="Arial"/>
          <w:color w:val="222222"/>
          <w:sz w:val="20"/>
          <w:szCs w:val="20"/>
          <w:shd w:val="clear" w:color="auto" w:fill="FFFFFF"/>
        </w:rPr>
        <w:t xml:space="preserve">(3), 36. </w:t>
      </w:r>
      <w:hyperlink r:id="rId24" w:history="1">
        <w:r w:rsidRPr="00576C65">
          <w:rPr>
            <w:rStyle w:val="Hyperlink"/>
            <w:rFonts w:ascii="Arial" w:hAnsi="Arial" w:cs="Arial"/>
            <w:sz w:val="20"/>
            <w:szCs w:val="20"/>
            <w:shd w:val="clear" w:color="auto" w:fill="FFFFFF"/>
          </w:rPr>
          <w:t>https://doi.org/10.3390/recycling4030036</w:t>
        </w:r>
      </w:hyperlink>
    </w:p>
    <w:p w14:paraId="673A8E9F" w14:textId="77777777" w:rsidR="00576C65" w:rsidRPr="00576C65" w:rsidRDefault="00576C65" w:rsidP="0027686A">
      <w:pPr>
        <w:spacing w:before="240" w:line="240" w:lineRule="auto"/>
        <w:ind w:left="1440" w:hanging="1440"/>
        <w:jc w:val="both"/>
        <w:rPr>
          <w:rFonts w:ascii="Arial" w:hAnsi="Arial" w:cs="Arial"/>
          <w:sz w:val="20"/>
          <w:szCs w:val="20"/>
        </w:rPr>
      </w:pPr>
      <w:proofErr w:type="spellStart"/>
      <w:r w:rsidRPr="00576C65">
        <w:rPr>
          <w:rFonts w:ascii="Arial" w:hAnsi="Arial" w:cs="Arial"/>
          <w:color w:val="222222"/>
          <w:sz w:val="20"/>
          <w:szCs w:val="20"/>
          <w:shd w:val="clear" w:color="auto" w:fill="FFFFFF"/>
        </w:rPr>
        <w:t>Akcil</w:t>
      </w:r>
      <w:proofErr w:type="spellEnd"/>
      <w:r w:rsidRPr="00576C65">
        <w:rPr>
          <w:rFonts w:ascii="Arial" w:hAnsi="Arial" w:cs="Arial"/>
          <w:color w:val="222222"/>
          <w:sz w:val="20"/>
          <w:szCs w:val="20"/>
          <w:shd w:val="clear" w:color="auto" w:fill="FFFFFF"/>
        </w:rPr>
        <w:t xml:space="preserve">, A., Erust, C., Gahan, C. S., </w:t>
      </w:r>
      <w:proofErr w:type="spellStart"/>
      <w:r w:rsidRPr="00576C65">
        <w:rPr>
          <w:rFonts w:ascii="Arial" w:hAnsi="Arial" w:cs="Arial"/>
          <w:color w:val="222222"/>
          <w:sz w:val="20"/>
          <w:szCs w:val="20"/>
          <w:shd w:val="clear" w:color="auto" w:fill="FFFFFF"/>
        </w:rPr>
        <w:t>Ozgun</w:t>
      </w:r>
      <w:proofErr w:type="spellEnd"/>
      <w:r w:rsidRPr="00576C65">
        <w:rPr>
          <w:rFonts w:ascii="Arial" w:hAnsi="Arial" w:cs="Arial"/>
          <w:color w:val="222222"/>
          <w:sz w:val="20"/>
          <w:szCs w:val="20"/>
          <w:shd w:val="clear" w:color="auto" w:fill="FFFFFF"/>
        </w:rPr>
        <w:t xml:space="preserve">, M., Sahin, M., &amp; </w:t>
      </w:r>
      <w:proofErr w:type="spellStart"/>
      <w:r w:rsidRPr="00576C65">
        <w:rPr>
          <w:rFonts w:ascii="Arial" w:hAnsi="Arial" w:cs="Arial"/>
          <w:color w:val="222222"/>
          <w:sz w:val="20"/>
          <w:szCs w:val="20"/>
          <w:shd w:val="clear" w:color="auto" w:fill="FFFFFF"/>
        </w:rPr>
        <w:t>Tuncuk</w:t>
      </w:r>
      <w:proofErr w:type="spellEnd"/>
      <w:r w:rsidRPr="00576C65">
        <w:rPr>
          <w:rFonts w:ascii="Arial" w:hAnsi="Arial" w:cs="Arial"/>
          <w:color w:val="222222"/>
          <w:sz w:val="20"/>
          <w:szCs w:val="20"/>
          <w:shd w:val="clear" w:color="auto" w:fill="FFFFFF"/>
        </w:rPr>
        <w:t>, A. (2015). Precious metal recovery from waste printed circuit boards using cyanide and non-cyanide lixiviants–a review. </w:t>
      </w:r>
      <w:r w:rsidRPr="00576C65">
        <w:rPr>
          <w:rFonts w:ascii="Arial" w:hAnsi="Arial" w:cs="Arial"/>
          <w:i/>
          <w:iCs/>
          <w:color w:val="222222"/>
          <w:sz w:val="20"/>
          <w:szCs w:val="20"/>
          <w:shd w:val="clear" w:color="auto" w:fill="FFFFFF"/>
        </w:rPr>
        <w:t>Waste management</w:t>
      </w:r>
      <w:r w:rsidRPr="00576C65">
        <w:rPr>
          <w:rFonts w:ascii="Arial" w:hAnsi="Arial" w:cs="Arial"/>
          <w:color w:val="222222"/>
          <w:sz w:val="20"/>
          <w:szCs w:val="20"/>
          <w:shd w:val="clear" w:color="auto" w:fill="FFFFFF"/>
        </w:rPr>
        <w:t>, </w:t>
      </w:r>
      <w:r w:rsidRPr="00576C65">
        <w:rPr>
          <w:rFonts w:ascii="Arial" w:hAnsi="Arial" w:cs="Arial"/>
          <w:i/>
          <w:iCs/>
          <w:color w:val="222222"/>
          <w:sz w:val="20"/>
          <w:szCs w:val="20"/>
          <w:shd w:val="clear" w:color="auto" w:fill="FFFFFF"/>
        </w:rPr>
        <w:t>45</w:t>
      </w:r>
      <w:r w:rsidRPr="00576C65">
        <w:rPr>
          <w:rFonts w:ascii="Arial" w:hAnsi="Arial" w:cs="Arial"/>
          <w:color w:val="222222"/>
          <w:sz w:val="20"/>
          <w:szCs w:val="20"/>
          <w:shd w:val="clear" w:color="auto" w:fill="FFFFFF"/>
        </w:rPr>
        <w:t>, 258-271.</w:t>
      </w:r>
      <w:r w:rsidRPr="00576C65">
        <w:rPr>
          <w:rFonts w:ascii="Arial" w:hAnsi="Arial" w:cs="Arial"/>
          <w:sz w:val="20"/>
          <w:szCs w:val="20"/>
        </w:rPr>
        <w:t xml:space="preserve"> </w:t>
      </w:r>
      <w:hyperlink r:id="rId25" w:history="1">
        <w:r w:rsidRPr="00576C65">
          <w:rPr>
            <w:rStyle w:val="Hyperlink"/>
            <w:rFonts w:ascii="Arial" w:hAnsi="Arial" w:cs="Arial"/>
            <w:sz w:val="20"/>
            <w:szCs w:val="20"/>
          </w:rPr>
          <w:t>https://doi.org/10.1016/j.wasman.2015.01.017</w:t>
        </w:r>
      </w:hyperlink>
      <w:r w:rsidRPr="00576C65">
        <w:rPr>
          <w:rFonts w:ascii="Arial" w:hAnsi="Arial" w:cs="Arial"/>
          <w:sz w:val="20"/>
          <w:szCs w:val="20"/>
        </w:rPr>
        <w:t>.</w:t>
      </w:r>
    </w:p>
    <w:p w14:paraId="4C7E64F2" w14:textId="5B26A92B" w:rsidR="00576C65" w:rsidRPr="00576C65" w:rsidRDefault="00576C65" w:rsidP="0027686A">
      <w:pPr>
        <w:spacing w:before="240" w:line="240" w:lineRule="auto"/>
        <w:ind w:left="1440" w:hanging="1380"/>
        <w:jc w:val="both"/>
        <w:rPr>
          <w:rFonts w:ascii="Arial" w:hAnsi="Arial" w:cs="Arial"/>
          <w:sz w:val="20"/>
          <w:szCs w:val="20"/>
        </w:rPr>
      </w:pPr>
      <w:proofErr w:type="spellStart"/>
      <w:r w:rsidRPr="00576C65">
        <w:rPr>
          <w:rFonts w:ascii="Arial" w:hAnsi="Arial" w:cs="Arial"/>
          <w:color w:val="222222"/>
          <w:sz w:val="20"/>
          <w:szCs w:val="20"/>
          <w:shd w:val="clear" w:color="auto" w:fill="FFFFFF"/>
        </w:rPr>
        <w:t>Birloaga</w:t>
      </w:r>
      <w:proofErr w:type="spellEnd"/>
      <w:r w:rsidRPr="00576C65">
        <w:rPr>
          <w:rFonts w:ascii="Arial" w:hAnsi="Arial" w:cs="Arial"/>
          <w:color w:val="222222"/>
          <w:sz w:val="20"/>
          <w:szCs w:val="20"/>
          <w:shd w:val="clear" w:color="auto" w:fill="FFFFFF"/>
        </w:rPr>
        <w:t xml:space="preserve">, I., De Michelis, I., </w:t>
      </w:r>
      <w:proofErr w:type="spellStart"/>
      <w:r w:rsidRPr="00576C65">
        <w:rPr>
          <w:rFonts w:ascii="Arial" w:hAnsi="Arial" w:cs="Arial"/>
          <w:color w:val="222222"/>
          <w:sz w:val="20"/>
          <w:szCs w:val="20"/>
          <w:shd w:val="clear" w:color="auto" w:fill="FFFFFF"/>
        </w:rPr>
        <w:t>Ferella</w:t>
      </w:r>
      <w:proofErr w:type="spellEnd"/>
      <w:r w:rsidRPr="00576C65">
        <w:rPr>
          <w:rFonts w:ascii="Arial" w:hAnsi="Arial" w:cs="Arial"/>
          <w:color w:val="222222"/>
          <w:sz w:val="20"/>
          <w:szCs w:val="20"/>
          <w:shd w:val="clear" w:color="auto" w:fill="FFFFFF"/>
        </w:rPr>
        <w:t xml:space="preserve">, F., Buzatu, M., &amp; </w:t>
      </w:r>
      <w:proofErr w:type="spellStart"/>
      <w:r w:rsidRPr="00576C65">
        <w:rPr>
          <w:rFonts w:ascii="Arial" w:hAnsi="Arial" w:cs="Arial"/>
          <w:color w:val="222222"/>
          <w:sz w:val="20"/>
          <w:szCs w:val="20"/>
          <w:shd w:val="clear" w:color="auto" w:fill="FFFFFF"/>
        </w:rPr>
        <w:t>Vegliò</w:t>
      </w:r>
      <w:proofErr w:type="spellEnd"/>
      <w:r w:rsidRPr="00576C65">
        <w:rPr>
          <w:rFonts w:ascii="Arial" w:hAnsi="Arial" w:cs="Arial"/>
          <w:color w:val="222222"/>
          <w:sz w:val="20"/>
          <w:szCs w:val="20"/>
          <w:shd w:val="clear" w:color="auto" w:fill="FFFFFF"/>
        </w:rPr>
        <w:t>, F. (2013). Study on the influence of various factors in the hydrometallurgical processing of waste printed circuit boards for copper and gold recovery. </w:t>
      </w:r>
      <w:r w:rsidRPr="00576C65">
        <w:rPr>
          <w:rFonts w:ascii="Arial" w:hAnsi="Arial" w:cs="Arial"/>
          <w:i/>
          <w:iCs/>
          <w:color w:val="222222"/>
          <w:sz w:val="20"/>
          <w:szCs w:val="20"/>
          <w:shd w:val="clear" w:color="auto" w:fill="FFFFFF"/>
        </w:rPr>
        <w:t>Waste management</w:t>
      </w:r>
      <w:r w:rsidRPr="00576C65">
        <w:rPr>
          <w:rFonts w:ascii="Arial" w:hAnsi="Arial" w:cs="Arial"/>
          <w:color w:val="222222"/>
          <w:sz w:val="20"/>
          <w:szCs w:val="20"/>
          <w:shd w:val="clear" w:color="auto" w:fill="FFFFFF"/>
        </w:rPr>
        <w:t>, </w:t>
      </w:r>
      <w:r w:rsidRPr="00576C65">
        <w:rPr>
          <w:rFonts w:ascii="Arial" w:hAnsi="Arial" w:cs="Arial"/>
          <w:i/>
          <w:iCs/>
          <w:color w:val="222222"/>
          <w:sz w:val="20"/>
          <w:szCs w:val="20"/>
          <w:shd w:val="clear" w:color="auto" w:fill="FFFFFF"/>
        </w:rPr>
        <w:t>33</w:t>
      </w:r>
      <w:r w:rsidRPr="00576C65">
        <w:rPr>
          <w:rFonts w:ascii="Arial" w:hAnsi="Arial" w:cs="Arial"/>
          <w:color w:val="222222"/>
          <w:sz w:val="20"/>
          <w:szCs w:val="20"/>
          <w:shd w:val="clear" w:color="auto" w:fill="FFFFFF"/>
        </w:rPr>
        <w:t xml:space="preserve">(4), 935-941. </w:t>
      </w:r>
      <w:hyperlink r:id="rId26" w:history="1">
        <w:r w:rsidRPr="00192CA8">
          <w:rPr>
            <w:rStyle w:val="Hyperlink"/>
            <w:rFonts w:ascii="Arial" w:hAnsi="Arial" w:cs="Arial"/>
            <w:sz w:val="20"/>
            <w:szCs w:val="20"/>
            <w:shd w:val="clear" w:color="auto" w:fill="FFFFFF"/>
          </w:rPr>
          <w:t>https://doi.org/10.1016/j.wasman.2013.01.003</w:t>
        </w:r>
      </w:hyperlink>
      <w:r w:rsidRPr="00576C65">
        <w:rPr>
          <w:rStyle w:val="citation-doi"/>
          <w:rFonts w:ascii="Arial" w:hAnsi="Arial" w:cs="Arial"/>
          <w:color w:val="5B616B"/>
          <w:sz w:val="20"/>
          <w:szCs w:val="20"/>
          <w:shd w:val="clear" w:color="auto" w:fill="FFFFFF"/>
        </w:rPr>
        <w:t>.</w:t>
      </w:r>
      <w:r>
        <w:rPr>
          <w:rStyle w:val="citation-doi"/>
          <w:rFonts w:ascii="Arial" w:hAnsi="Arial" w:cs="Arial"/>
          <w:color w:val="5B616B"/>
          <w:sz w:val="20"/>
          <w:szCs w:val="20"/>
          <w:shd w:val="clear" w:color="auto" w:fill="FFFFFF"/>
        </w:rPr>
        <w:t xml:space="preserve"> </w:t>
      </w:r>
      <w:r w:rsidRPr="00576C65">
        <w:rPr>
          <w:rFonts w:ascii="Arial" w:hAnsi="Arial" w:cs="Arial"/>
          <w:color w:val="212121"/>
          <w:sz w:val="20"/>
          <w:szCs w:val="20"/>
          <w:shd w:val="clear" w:color="auto" w:fill="FFFFFF"/>
        </w:rPr>
        <w:t> </w:t>
      </w:r>
    </w:p>
    <w:p w14:paraId="27F36312" w14:textId="3F84995F" w:rsidR="00576C65" w:rsidRPr="00576C65" w:rsidRDefault="00576C65" w:rsidP="0027686A">
      <w:pPr>
        <w:spacing w:before="240" w:line="240" w:lineRule="auto"/>
        <w:ind w:left="1440" w:hanging="1380"/>
        <w:jc w:val="both"/>
        <w:rPr>
          <w:rFonts w:ascii="Arial" w:hAnsi="Arial" w:cs="Arial"/>
          <w:sz w:val="20"/>
          <w:szCs w:val="20"/>
        </w:rPr>
      </w:pPr>
      <w:r w:rsidRPr="00576C65">
        <w:rPr>
          <w:rFonts w:ascii="Arial" w:hAnsi="Arial" w:cs="Arial"/>
          <w:color w:val="222222"/>
          <w:sz w:val="20"/>
          <w:szCs w:val="20"/>
          <w:shd w:val="clear" w:color="auto" w:fill="FFFFFF"/>
        </w:rPr>
        <w:t xml:space="preserve">Cui, J., &amp; </w:t>
      </w:r>
      <w:proofErr w:type="spellStart"/>
      <w:r w:rsidRPr="00576C65">
        <w:rPr>
          <w:rFonts w:ascii="Arial" w:hAnsi="Arial" w:cs="Arial"/>
          <w:color w:val="222222"/>
          <w:sz w:val="20"/>
          <w:szCs w:val="20"/>
          <w:shd w:val="clear" w:color="auto" w:fill="FFFFFF"/>
        </w:rPr>
        <w:t>Forssberg</w:t>
      </w:r>
      <w:proofErr w:type="spellEnd"/>
      <w:r w:rsidRPr="00576C65">
        <w:rPr>
          <w:rFonts w:ascii="Arial" w:hAnsi="Arial" w:cs="Arial"/>
          <w:color w:val="222222"/>
          <w:sz w:val="20"/>
          <w:szCs w:val="20"/>
          <w:shd w:val="clear" w:color="auto" w:fill="FFFFFF"/>
        </w:rPr>
        <w:t>, E. (2003). Mechanical recycling of waste electric and electronic equipment: a review. </w:t>
      </w:r>
      <w:r w:rsidRPr="00576C65">
        <w:rPr>
          <w:rFonts w:ascii="Arial" w:hAnsi="Arial" w:cs="Arial"/>
          <w:i/>
          <w:iCs/>
          <w:color w:val="222222"/>
          <w:sz w:val="20"/>
          <w:szCs w:val="20"/>
          <w:shd w:val="clear" w:color="auto" w:fill="FFFFFF"/>
        </w:rPr>
        <w:t>Journal of hazardous materials</w:t>
      </w:r>
      <w:r w:rsidRPr="00576C65">
        <w:rPr>
          <w:rFonts w:ascii="Arial" w:hAnsi="Arial" w:cs="Arial"/>
          <w:color w:val="222222"/>
          <w:sz w:val="20"/>
          <w:szCs w:val="20"/>
          <w:shd w:val="clear" w:color="auto" w:fill="FFFFFF"/>
        </w:rPr>
        <w:t>, </w:t>
      </w:r>
      <w:r w:rsidRPr="00576C65">
        <w:rPr>
          <w:rFonts w:ascii="Arial" w:hAnsi="Arial" w:cs="Arial"/>
          <w:i/>
          <w:iCs/>
          <w:color w:val="222222"/>
          <w:sz w:val="20"/>
          <w:szCs w:val="20"/>
          <w:shd w:val="clear" w:color="auto" w:fill="FFFFFF"/>
        </w:rPr>
        <w:t>99</w:t>
      </w:r>
      <w:r w:rsidRPr="00576C65">
        <w:rPr>
          <w:rFonts w:ascii="Arial" w:hAnsi="Arial" w:cs="Arial"/>
          <w:color w:val="222222"/>
          <w:sz w:val="20"/>
          <w:szCs w:val="20"/>
          <w:shd w:val="clear" w:color="auto" w:fill="FFFFFF"/>
        </w:rPr>
        <w:t xml:space="preserve">(3), 243-263. </w:t>
      </w:r>
      <w:hyperlink r:id="rId27" w:history="1">
        <w:r w:rsidRPr="00192CA8">
          <w:rPr>
            <w:rStyle w:val="Hyperlink"/>
            <w:rFonts w:ascii="Arial" w:hAnsi="Arial" w:cs="Arial"/>
            <w:sz w:val="20"/>
            <w:szCs w:val="20"/>
          </w:rPr>
          <w:t>https://doi.org/10.1016/S0304-3894(03)00061-X</w:t>
        </w:r>
      </w:hyperlink>
      <w:r w:rsidRPr="00576C65">
        <w:rPr>
          <w:rFonts w:ascii="Arial" w:hAnsi="Arial" w:cs="Arial"/>
          <w:sz w:val="20"/>
          <w:szCs w:val="20"/>
        </w:rPr>
        <w:t>.</w:t>
      </w:r>
      <w:r>
        <w:rPr>
          <w:rFonts w:ascii="Arial" w:hAnsi="Arial" w:cs="Arial"/>
          <w:sz w:val="20"/>
          <w:szCs w:val="20"/>
        </w:rPr>
        <w:t xml:space="preserve"> </w:t>
      </w:r>
    </w:p>
    <w:p w14:paraId="3F2C6422" w14:textId="2D14D762" w:rsidR="00576C65" w:rsidRPr="00576C65" w:rsidRDefault="00576C65" w:rsidP="0027686A">
      <w:pPr>
        <w:spacing w:before="240" w:line="240" w:lineRule="auto"/>
        <w:ind w:left="1440" w:hanging="1440"/>
        <w:jc w:val="both"/>
        <w:rPr>
          <w:rFonts w:ascii="Arial" w:hAnsi="Arial" w:cs="Arial"/>
          <w:sz w:val="20"/>
          <w:szCs w:val="20"/>
        </w:rPr>
      </w:pPr>
      <w:r w:rsidRPr="00576C65">
        <w:rPr>
          <w:rFonts w:ascii="Arial" w:hAnsi="Arial" w:cs="Arial"/>
          <w:color w:val="222222"/>
          <w:sz w:val="20"/>
          <w:szCs w:val="20"/>
          <w:shd w:val="clear" w:color="auto" w:fill="FFFFFF"/>
        </w:rPr>
        <w:t>Dagan, R., Dubey, B., Bitton, G., &amp; Townsend, T. (2007). Aquatic toxicity of leachates generated from electronic devices. </w:t>
      </w:r>
      <w:r w:rsidRPr="00576C65">
        <w:rPr>
          <w:rFonts w:ascii="Arial" w:hAnsi="Arial" w:cs="Arial"/>
          <w:i/>
          <w:iCs/>
          <w:color w:val="222222"/>
          <w:sz w:val="20"/>
          <w:szCs w:val="20"/>
          <w:shd w:val="clear" w:color="auto" w:fill="FFFFFF"/>
        </w:rPr>
        <w:t>Archives of environmental contamination and toxicology</w:t>
      </w:r>
      <w:r w:rsidRPr="00576C65">
        <w:rPr>
          <w:rFonts w:ascii="Arial" w:hAnsi="Arial" w:cs="Arial"/>
          <w:color w:val="222222"/>
          <w:sz w:val="20"/>
          <w:szCs w:val="20"/>
          <w:shd w:val="clear" w:color="auto" w:fill="FFFFFF"/>
        </w:rPr>
        <w:t>, </w:t>
      </w:r>
      <w:r w:rsidRPr="00576C65">
        <w:rPr>
          <w:rFonts w:ascii="Arial" w:hAnsi="Arial" w:cs="Arial"/>
          <w:i/>
          <w:iCs/>
          <w:color w:val="222222"/>
          <w:sz w:val="20"/>
          <w:szCs w:val="20"/>
          <w:shd w:val="clear" w:color="auto" w:fill="FFFFFF"/>
        </w:rPr>
        <w:t>53</w:t>
      </w:r>
      <w:r w:rsidRPr="00576C65">
        <w:rPr>
          <w:rFonts w:ascii="Arial" w:hAnsi="Arial" w:cs="Arial"/>
          <w:color w:val="222222"/>
          <w:sz w:val="20"/>
          <w:szCs w:val="20"/>
          <w:shd w:val="clear" w:color="auto" w:fill="FFFFFF"/>
        </w:rPr>
        <w:t xml:space="preserve">, 168-173. </w:t>
      </w:r>
      <w:r w:rsidRPr="00576C65">
        <w:rPr>
          <w:rFonts w:ascii="Arial" w:hAnsi="Arial" w:cs="Arial"/>
          <w:sz w:val="20"/>
          <w:szCs w:val="20"/>
        </w:rPr>
        <w:t>https://doi.org/10.1007/s00244 006-0205-1.</w:t>
      </w:r>
      <w:r>
        <w:rPr>
          <w:rFonts w:ascii="Arial" w:hAnsi="Arial" w:cs="Arial"/>
          <w:sz w:val="20"/>
          <w:szCs w:val="20"/>
        </w:rPr>
        <w:t xml:space="preserve">  </w:t>
      </w:r>
      <w:r w:rsidRPr="00576C65">
        <w:rPr>
          <w:rFonts w:ascii="Arial" w:hAnsi="Arial" w:cs="Arial"/>
          <w:sz w:val="20"/>
          <w:szCs w:val="20"/>
        </w:rPr>
        <w:t xml:space="preserve"> </w:t>
      </w:r>
    </w:p>
    <w:p w14:paraId="250A47D7" w14:textId="77777777" w:rsidR="00576C65" w:rsidRPr="00576C65" w:rsidRDefault="00576C65" w:rsidP="00576C65">
      <w:pPr>
        <w:ind w:left="720" w:hanging="720"/>
        <w:jc w:val="both"/>
        <w:rPr>
          <w:rFonts w:ascii="Arial" w:hAnsi="Arial" w:cs="Arial"/>
          <w:color w:val="222222"/>
          <w:sz w:val="20"/>
          <w:szCs w:val="20"/>
          <w:shd w:val="clear" w:color="auto" w:fill="FFFFFF"/>
        </w:rPr>
      </w:pPr>
      <w:proofErr w:type="spellStart"/>
      <w:r w:rsidRPr="00576C65">
        <w:rPr>
          <w:rFonts w:ascii="Arial" w:hAnsi="Arial" w:cs="Arial"/>
          <w:color w:val="222222"/>
          <w:sz w:val="20"/>
          <w:szCs w:val="20"/>
          <w:shd w:val="clear" w:color="auto" w:fill="FFFFFF"/>
        </w:rPr>
        <w:t>Guo</w:t>
      </w:r>
      <w:proofErr w:type="spellEnd"/>
      <w:r w:rsidRPr="00576C65">
        <w:rPr>
          <w:rFonts w:ascii="Arial" w:hAnsi="Arial" w:cs="Arial"/>
          <w:color w:val="222222"/>
          <w:sz w:val="20"/>
          <w:szCs w:val="20"/>
          <w:shd w:val="clear" w:color="auto" w:fill="FFFFFF"/>
        </w:rPr>
        <w:t>, X., &amp; Yan, K. (2017). Estimation of obsolete cellular phones generation: A case study of China. </w:t>
      </w:r>
      <w:r w:rsidRPr="00576C65">
        <w:rPr>
          <w:rFonts w:ascii="Arial" w:hAnsi="Arial" w:cs="Arial"/>
          <w:i/>
          <w:iCs/>
          <w:color w:val="222222"/>
          <w:sz w:val="20"/>
          <w:szCs w:val="20"/>
          <w:shd w:val="clear" w:color="auto" w:fill="FFFFFF"/>
        </w:rPr>
        <w:t>Science of the Total Environment</w:t>
      </w:r>
      <w:r w:rsidRPr="00576C65">
        <w:rPr>
          <w:rFonts w:ascii="Arial" w:hAnsi="Arial" w:cs="Arial"/>
          <w:color w:val="222222"/>
          <w:sz w:val="20"/>
          <w:szCs w:val="20"/>
          <w:shd w:val="clear" w:color="auto" w:fill="FFFFFF"/>
        </w:rPr>
        <w:t>, </w:t>
      </w:r>
      <w:r w:rsidRPr="00576C65">
        <w:rPr>
          <w:rFonts w:ascii="Arial" w:hAnsi="Arial" w:cs="Arial"/>
          <w:i/>
          <w:iCs/>
          <w:color w:val="222222"/>
          <w:sz w:val="20"/>
          <w:szCs w:val="20"/>
          <w:shd w:val="clear" w:color="auto" w:fill="FFFFFF"/>
        </w:rPr>
        <w:t>575</w:t>
      </w:r>
      <w:r w:rsidRPr="00576C65">
        <w:rPr>
          <w:rFonts w:ascii="Arial" w:hAnsi="Arial" w:cs="Arial"/>
          <w:color w:val="222222"/>
          <w:sz w:val="20"/>
          <w:szCs w:val="20"/>
          <w:shd w:val="clear" w:color="auto" w:fill="FFFFFF"/>
        </w:rPr>
        <w:t>, 321-329.</w:t>
      </w:r>
    </w:p>
    <w:p w14:paraId="1672D4A1" w14:textId="362CB6B9" w:rsidR="00576C65" w:rsidRPr="00576C65" w:rsidRDefault="00576C65" w:rsidP="0027686A">
      <w:pPr>
        <w:spacing w:before="240" w:line="240" w:lineRule="auto"/>
        <w:ind w:left="1440" w:hanging="1440"/>
        <w:jc w:val="both"/>
        <w:rPr>
          <w:rFonts w:ascii="Arial" w:hAnsi="Arial" w:cs="Arial"/>
          <w:sz w:val="20"/>
          <w:szCs w:val="20"/>
        </w:rPr>
      </w:pPr>
      <w:proofErr w:type="spellStart"/>
      <w:r w:rsidRPr="00576C65">
        <w:rPr>
          <w:rFonts w:ascii="Arial" w:hAnsi="Arial" w:cs="Arial"/>
          <w:color w:val="222222"/>
          <w:sz w:val="20"/>
          <w:szCs w:val="20"/>
          <w:shd w:val="clear" w:color="auto" w:fill="FFFFFF"/>
        </w:rPr>
        <w:t>Jadhav</w:t>
      </w:r>
      <w:proofErr w:type="spellEnd"/>
      <w:r w:rsidRPr="00576C65">
        <w:rPr>
          <w:rFonts w:ascii="Arial" w:hAnsi="Arial" w:cs="Arial"/>
          <w:color w:val="222222"/>
          <w:sz w:val="20"/>
          <w:szCs w:val="20"/>
          <w:shd w:val="clear" w:color="auto" w:fill="FFFFFF"/>
        </w:rPr>
        <w:t xml:space="preserve">, U., Su, C., &amp; </w:t>
      </w:r>
      <w:proofErr w:type="spellStart"/>
      <w:r w:rsidRPr="00576C65">
        <w:rPr>
          <w:rFonts w:ascii="Arial" w:hAnsi="Arial" w:cs="Arial"/>
          <w:color w:val="222222"/>
          <w:sz w:val="20"/>
          <w:szCs w:val="20"/>
          <w:shd w:val="clear" w:color="auto" w:fill="FFFFFF"/>
        </w:rPr>
        <w:t>Hocheng</w:t>
      </w:r>
      <w:proofErr w:type="spellEnd"/>
      <w:r w:rsidRPr="00576C65">
        <w:rPr>
          <w:rFonts w:ascii="Arial" w:hAnsi="Arial" w:cs="Arial"/>
          <w:color w:val="222222"/>
          <w:sz w:val="20"/>
          <w:szCs w:val="20"/>
          <w:shd w:val="clear" w:color="auto" w:fill="FFFFFF"/>
        </w:rPr>
        <w:t>, H. (2016). Leaching of metals from large pieces of printed circuit boards using citric acid and hydrogen peroxide. </w:t>
      </w:r>
      <w:r w:rsidRPr="00576C65">
        <w:rPr>
          <w:rFonts w:ascii="Arial" w:hAnsi="Arial" w:cs="Arial"/>
          <w:i/>
          <w:iCs/>
          <w:color w:val="222222"/>
          <w:sz w:val="20"/>
          <w:szCs w:val="20"/>
          <w:shd w:val="clear" w:color="auto" w:fill="FFFFFF"/>
        </w:rPr>
        <w:t>Environmental Science and Pollution Research</w:t>
      </w:r>
      <w:r w:rsidRPr="00576C65">
        <w:rPr>
          <w:rFonts w:ascii="Arial" w:hAnsi="Arial" w:cs="Arial"/>
          <w:color w:val="222222"/>
          <w:sz w:val="20"/>
          <w:szCs w:val="20"/>
          <w:shd w:val="clear" w:color="auto" w:fill="FFFFFF"/>
        </w:rPr>
        <w:t>, </w:t>
      </w:r>
      <w:r w:rsidRPr="00576C65">
        <w:rPr>
          <w:rFonts w:ascii="Arial" w:hAnsi="Arial" w:cs="Arial"/>
          <w:i/>
          <w:iCs/>
          <w:color w:val="222222"/>
          <w:sz w:val="20"/>
          <w:szCs w:val="20"/>
          <w:shd w:val="clear" w:color="auto" w:fill="FFFFFF"/>
        </w:rPr>
        <w:t>23</w:t>
      </w:r>
      <w:r w:rsidRPr="00576C65">
        <w:rPr>
          <w:rFonts w:ascii="Arial" w:hAnsi="Arial" w:cs="Arial"/>
          <w:color w:val="222222"/>
          <w:sz w:val="20"/>
          <w:szCs w:val="20"/>
          <w:shd w:val="clear" w:color="auto" w:fill="FFFFFF"/>
        </w:rPr>
        <w:t>, 24384-24392.</w:t>
      </w:r>
      <w:r w:rsidRPr="00576C65">
        <w:rPr>
          <w:rFonts w:ascii="Arial" w:hAnsi="Arial" w:cs="Arial"/>
          <w:sz w:val="20"/>
          <w:szCs w:val="20"/>
        </w:rPr>
        <w:t xml:space="preserve"> </w:t>
      </w:r>
      <w:hyperlink r:id="rId28" w:history="1">
        <w:r w:rsidRPr="00192CA8">
          <w:rPr>
            <w:rStyle w:val="Hyperlink"/>
            <w:rFonts w:ascii="Arial" w:hAnsi="Arial" w:cs="Arial"/>
            <w:sz w:val="20"/>
            <w:szCs w:val="20"/>
            <w:shd w:val="clear" w:color="auto" w:fill="FFFFFF"/>
          </w:rPr>
          <w:t>https://doi.org/10.1007/s11356-016-7695-9</w:t>
        </w:r>
      </w:hyperlink>
      <w:r w:rsidRPr="00576C65">
        <w:rPr>
          <w:rStyle w:val="citation-doi"/>
          <w:rFonts w:ascii="Arial" w:hAnsi="Arial" w:cs="Arial"/>
          <w:color w:val="5B616B"/>
          <w:sz w:val="20"/>
          <w:szCs w:val="20"/>
          <w:shd w:val="clear" w:color="auto" w:fill="FFFFFF"/>
        </w:rPr>
        <w:t>.</w:t>
      </w:r>
      <w:r>
        <w:rPr>
          <w:rFonts w:ascii="Arial" w:hAnsi="Arial" w:cs="Arial"/>
          <w:color w:val="212121"/>
          <w:sz w:val="20"/>
          <w:szCs w:val="20"/>
          <w:shd w:val="clear" w:color="auto" w:fill="FFFFFF"/>
        </w:rPr>
        <w:t xml:space="preserve"> </w:t>
      </w:r>
    </w:p>
    <w:p w14:paraId="4E53EFF1" w14:textId="77777777" w:rsidR="00576C65" w:rsidRPr="00576C65" w:rsidRDefault="00576C65" w:rsidP="0027686A">
      <w:pPr>
        <w:spacing w:before="240" w:line="240" w:lineRule="auto"/>
        <w:ind w:left="1440" w:hanging="1440"/>
        <w:jc w:val="both"/>
        <w:rPr>
          <w:rFonts w:ascii="Arial" w:hAnsi="Arial" w:cs="Arial"/>
          <w:sz w:val="20"/>
          <w:szCs w:val="20"/>
        </w:rPr>
      </w:pPr>
      <w:proofErr w:type="spellStart"/>
      <w:r w:rsidRPr="00576C65">
        <w:rPr>
          <w:rFonts w:ascii="Arial" w:hAnsi="Arial" w:cs="Arial"/>
          <w:color w:val="222222"/>
          <w:sz w:val="20"/>
          <w:szCs w:val="20"/>
          <w:shd w:val="clear" w:color="auto" w:fill="FFFFFF"/>
        </w:rPr>
        <w:t>Jha</w:t>
      </w:r>
      <w:proofErr w:type="spellEnd"/>
      <w:r w:rsidRPr="00576C65">
        <w:rPr>
          <w:rFonts w:ascii="Arial" w:hAnsi="Arial" w:cs="Arial"/>
          <w:color w:val="222222"/>
          <w:sz w:val="20"/>
          <w:szCs w:val="20"/>
          <w:shd w:val="clear" w:color="auto" w:fill="FFFFFF"/>
        </w:rPr>
        <w:t>, M. K., Choubey, P. K., Jha, A. K., Kumari, A., Lee, J. C., Kumar, V., &amp; Jeong, J. (2012). Leaching studies for tin recovery from waste e-scrap. </w:t>
      </w:r>
      <w:r w:rsidRPr="00576C65">
        <w:rPr>
          <w:rFonts w:ascii="Arial" w:hAnsi="Arial" w:cs="Arial"/>
          <w:i/>
          <w:iCs/>
          <w:color w:val="222222"/>
          <w:sz w:val="20"/>
          <w:szCs w:val="20"/>
          <w:shd w:val="clear" w:color="auto" w:fill="FFFFFF"/>
        </w:rPr>
        <w:t>Waste management</w:t>
      </w:r>
      <w:r w:rsidRPr="00576C65">
        <w:rPr>
          <w:rFonts w:ascii="Arial" w:hAnsi="Arial" w:cs="Arial"/>
          <w:color w:val="222222"/>
          <w:sz w:val="20"/>
          <w:szCs w:val="20"/>
          <w:shd w:val="clear" w:color="auto" w:fill="FFFFFF"/>
        </w:rPr>
        <w:t>, </w:t>
      </w:r>
      <w:r w:rsidRPr="00576C65">
        <w:rPr>
          <w:rFonts w:ascii="Arial" w:hAnsi="Arial" w:cs="Arial"/>
          <w:i/>
          <w:iCs/>
          <w:color w:val="222222"/>
          <w:sz w:val="20"/>
          <w:szCs w:val="20"/>
          <w:shd w:val="clear" w:color="auto" w:fill="FFFFFF"/>
        </w:rPr>
        <w:t>32</w:t>
      </w:r>
      <w:r w:rsidRPr="00576C65">
        <w:rPr>
          <w:rFonts w:ascii="Arial" w:hAnsi="Arial" w:cs="Arial"/>
          <w:color w:val="222222"/>
          <w:sz w:val="20"/>
          <w:szCs w:val="20"/>
          <w:shd w:val="clear" w:color="auto" w:fill="FFFFFF"/>
        </w:rPr>
        <w:t>(10), 1919-1925.</w:t>
      </w:r>
    </w:p>
    <w:p w14:paraId="0528C706" w14:textId="19FE7B66" w:rsidR="00576C65" w:rsidRPr="00576C65" w:rsidRDefault="00576C65" w:rsidP="0027686A">
      <w:pPr>
        <w:spacing w:before="240" w:line="240" w:lineRule="auto"/>
        <w:ind w:left="1440" w:hanging="1440"/>
        <w:jc w:val="both"/>
        <w:rPr>
          <w:rFonts w:ascii="Arial" w:hAnsi="Arial" w:cs="Arial"/>
          <w:sz w:val="20"/>
          <w:szCs w:val="20"/>
        </w:rPr>
      </w:pPr>
      <w:r w:rsidRPr="00576C65">
        <w:rPr>
          <w:rFonts w:ascii="Arial" w:hAnsi="Arial" w:cs="Arial"/>
          <w:color w:val="222222"/>
          <w:sz w:val="20"/>
          <w:szCs w:val="20"/>
          <w:shd w:val="clear" w:color="auto" w:fill="FFFFFF"/>
        </w:rPr>
        <w:lastRenderedPageBreak/>
        <w:t>Li, H., Yu, L., Sheng, G., Fu, J., &amp; Peng, P. A. (2007). Severe PCDD/F and PBDD/F pollution in air around an electronic waste dismantling area in China. </w:t>
      </w:r>
      <w:r w:rsidRPr="00576C65">
        <w:rPr>
          <w:rFonts w:ascii="Arial" w:hAnsi="Arial" w:cs="Arial"/>
          <w:i/>
          <w:iCs/>
          <w:color w:val="222222"/>
          <w:sz w:val="20"/>
          <w:szCs w:val="20"/>
          <w:shd w:val="clear" w:color="auto" w:fill="FFFFFF"/>
        </w:rPr>
        <w:t>Environmental Science &amp; Technology</w:t>
      </w:r>
      <w:r w:rsidRPr="00576C65">
        <w:rPr>
          <w:rFonts w:ascii="Arial" w:hAnsi="Arial" w:cs="Arial"/>
          <w:color w:val="222222"/>
          <w:sz w:val="20"/>
          <w:szCs w:val="20"/>
          <w:shd w:val="clear" w:color="auto" w:fill="FFFFFF"/>
        </w:rPr>
        <w:t>, </w:t>
      </w:r>
      <w:r w:rsidRPr="00576C65">
        <w:rPr>
          <w:rFonts w:ascii="Arial" w:hAnsi="Arial" w:cs="Arial"/>
          <w:i/>
          <w:iCs/>
          <w:color w:val="222222"/>
          <w:sz w:val="20"/>
          <w:szCs w:val="20"/>
          <w:shd w:val="clear" w:color="auto" w:fill="FFFFFF"/>
        </w:rPr>
        <w:t>41</w:t>
      </w:r>
      <w:r w:rsidRPr="00576C65">
        <w:rPr>
          <w:rFonts w:ascii="Arial" w:hAnsi="Arial" w:cs="Arial"/>
          <w:color w:val="222222"/>
          <w:sz w:val="20"/>
          <w:szCs w:val="20"/>
          <w:shd w:val="clear" w:color="auto" w:fill="FFFFFF"/>
        </w:rPr>
        <w:t xml:space="preserve">(16), 5641-5646. </w:t>
      </w:r>
      <w:hyperlink r:id="rId29" w:history="1">
        <w:r w:rsidRPr="00192CA8">
          <w:rPr>
            <w:rStyle w:val="Hyperlink"/>
            <w:rFonts w:ascii="Arial" w:hAnsi="Arial" w:cs="Arial"/>
            <w:sz w:val="20"/>
            <w:szCs w:val="20"/>
          </w:rPr>
          <w:t>https://doi.org/10.1021/es0702925</w:t>
        </w:r>
      </w:hyperlink>
      <w:r w:rsidRPr="00576C65">
        <w:rPr>
          <w:rFonts w:ascii="Arial" w:hAnsi="Arial" w:cs="Arial"/>
          <w:sz w:val="20"/>
          <w:szCs w:val="20"/>
        </w:rPr>
        <w:t>.</w:t>
      </w:r>
      <w:r>
        <w:rPr>
          <w:rFonts w:ascii="Arial" w:hAnsi="Arial" w:cs="Arial"/>
          <w:sz w:val="20"/>
          <w:szCs w:val="20"/>
        </w:rPr>
        <w:t xml:space="preserve"> </w:t>
      </w:r>
      <w:r w:rsidRPr="00576C65">
        <w:rPr>
          <w:rFonts w:ascii="Arial" w:hAnsi="Arial" w:cs="Arial"/>
          <w:sz w:val="20"/>
          <w:szCs w:val="20"/>
        </w:rPr>
        <w:t xml:space="preserve"> </w:t>
      </w:r>
    </w:p>
    <w:p w14:paraId="0867D5D3" w14:textId="77777777" w:rsidR="00576C65" w:rsidRPr="00576C65" w:rsidRDefault="00576C65" w:rsidP="00576C65">
      <w:pPr>
        <w:ind w:left="720" w:hanging="720"/>
        <w:jc w:val="both"/>
        <w:rPr>
          <w:rFonts w:ascii="Arial" w:hAnsi="Arial" w:cs="Arial"/>
          <w:color w:val="222222"/>
          <w:sz w:val="20"/>
          <w:szCs w:val="20"/>
          <w:shd w:val="clear" w:color="auto" w:fill="FFFFFF"/>
        </w:rPr>
      </w:pPr>
      <w:r w:rsidRPr="00576C65">
        <w:rPr>
          <w:rFonts w:ascii="Arial" w:hAnsi="Arial" w:cs="Arial"/>
          <w:color w:val="222222"/>
          <w:sz w:val="20"/>
          <w:szCs w:val="20"/>
          <w:shd w:val="clear" w:color="auto" w:fill="FFFFFF"/>
        </w:rPr>
        <w:t xml:space="preserve">Morell </w:t>
      </w:r>
      <w:proofErr w:type="spellStart"/>
      <w:r w:rsidRPr="00576C65">
        <w:rPr>
          <w:rFonts w:ascii="Arial" w:hAnsi="Arial" w:cs="Arial"/>
          <w:color w:val="222222"/>
          <w:sz w:val="20"/>
          <w:szCs w:val="20"/>
          <w:shd w:val="clear" w:color="auto" w:fill="FFFFFF"/>
        </w:rPr>
        <w:t>Llorens</w:t>
      </w:r>
      <w:proofErr w:type="spellEnd"/>
      <w:r w:rsidRPr="00576C65">
        <w:rPr>
          <w:rFonts w:ascii="Arial" w:hAnsi="Arial" w:cs="Arial"/>
          <w:color w:val="222222"/>
          <w:sz w:val="20"/>
          <w:szCs w:val="20"/>
          <w:shd w:val="clear" w:color="auto" w:fill="FFFFFF"/>
        </w:rPr>
        <w:t xml:space="preserve">, J., Lao </w:t>
      </w:r>
      <w:proofErr w:type="spellStart"/>
      <w:r w:rsidRPr="00576C65">
        <w:rPr>
          <w:rFonts w:ascii="Arial" w:hAnsi="Arial" w:cs="Arial"/>
          <w:color w:val="222222"/>
          <w:sz w:val="20"/>
          <w:szCs w:val="20"/>
          <w:shd w:val="clear" w:color="auto" w:fill="FFFFFF"/>
        </w:rPr>
        <w:t>Luque</w:t>
      </w:r>
      <w:proofErr w:type="spellEnd"/>
      <w:r w:rsidRPr="00576C65">
        <w:rPr>
          <w:rFonts w:ascii="Arial" w:hAnsi="Arial" w:cs="Arial"/>
          <w:color w:val="222222"/>
          <w:sz w:val="20"/>
          <w:szCs w:val="20"/>
          <w:shd w:val="clear" w:color="auto" w:fill="FFFFFF"/>
        </w:rPr>
        <w:t xml:space="preserve">, C., </w:t>
      </w:r>
      <w:proofErr w:type="spellStart"/>
      <w:r w:rsidRPr="00576C65">
        <w:rPr>
          <w:rFonts w:ascii="Arial" w:hAnsi="Arial" w:cs="Arial"/>
          <w:color w:val="222222"/>
          <w:sz w:val="20"/>
          <w:szCs w:val="20"/>
          <w:shd w:val="clear" w:color="auto" w:fill="FFFFFF"/>
        </w:rPr>
        <w:t>Solé</w:t>
      </w:r>
      <w:proofErr w:type="spellEnd"/>
      <w:r w:rsidRPr="00576C65">
        <w:rPr>
          <w:rFonts w:ascii="Arial" w:hAnsi="Arial" w:cs="Arial"/>
          <w:color w:val="222222"/>
          <w:sz w:val="20"/>
          <w:szCs w:val="20"/>
          <w:shd w:val="clear" w:color="auto" w:fill="FFFFFF"/>
        </w:rPr>
        <w:t xml:space="preserve"> </w:t>
      </w:r>
      <w:proofErr w:type="spellStart"/>
      <w:r w:rsidRPr="00576C65">
        <w:rPr>
          <w:rFonts w:ascii="Arial" w:hAnsi="Arial" w:cs="Arial"/>
          <w:color w:val="222222"/>
          <w:sz w:val="20"/>
          <w:szCs w:val="20"/>
          <w:shd w:val="clear" w:color="auto" w:fill="FFFFFF"/>
        </w:rPr>
        <w:t>Sardans</w:t>
      </w:r>
      <w:proofErr w:type="spellEnd"/>
      <w:r w:rsidRPr="00576C65">
        <w:rPr>
          <w:rFonts w:ascii="Arial" w:hAnsi="Arial" w:cs="Arial"/>
          <w:color w:val="222222"/>
          <w:sz w:val="20"/>
          <w:szCs w:val="20"/>
          <w:shd w:val="clear" w:color="auto" w:fill="FFFFFF"/>
        </w:rPr>
        <w:t xml:space="preserve">, M. M., </w:t>
      </w:r>
      <w:proofErr w:type="spellStart"/>
      <w:r w:rsidRPr="00576C65">
        <w:rPr>
          <w:rFonts w:ascii="Arial" w:hAnsi="Arial" w:cs="Arial"/>
          <w:color w:val="222222"/>
          <w:sz w:val="20"/>
          <w:szCs w:val="20"/>
          <w:shd w:val="clear" w:color="auto" w:fill="FFFFFF"/>
        </w:rPr>
        <w:t>Ribas</w:t>
      </w:r>
      <w:proofErr w:type="spellEnd"/>
      <w:r w:rsidRPr="00576C65">
        <w:rPr>
          <w:rFonts w:ascii="Arial" w:hAnsi="Arial" w:cs="Arial"/>
          <w:color w:val="222222"/>
          <w:sz w:val="20"/>
          <w:szCs w:val="20"/>
          <w:shd w:val="clear" w:color="auto" w:fill="FFFFFF"/>
        </w:rPr>
        <w:t xml:space="preserve"> </w:t>
      </w:r>
      <w:proofErr w:type="spellStart"/>
      <w:r w:rsidRPr="00576C65">
        <w:rPr>
          <w:rFonts w:ascii="Arial" w:hAnsi="Arial" w:cs="Arial"/>
          <w:color w:val="222222"/>
          <w:sz w:val="20"/>
          <w:szCs w:val="20"/>
          <w:shd w:val="clear" w:color="auto" w:fill="FFFFFF"/>
        </w:rPr>
        <w:t>Fargas</w:t>
      </w:r>
      <w:proofErr w:type="spellEnd"/>
      <w:r w:rsidRPr="00576C65">
        <w:rPr>
          <w:rFonts w:ascii="Arial" w:hAnsi="Arial" w:cs="Arial"/>
          <w:color w:val="222222"/>
          <w:sz w:val="20"/>
          <w:szCs w:val="20"/>
          <w:shd w:val="clear" w:color="auto" w:fill="FFFFFF"/>
        </w:rPr>
        <w:t xml:space="preserve">, D., </w:t>
      </w:r>
      <w:proofErr w:type="spellStart"/>
      <w:r w:rsidRPr="00576C65">
        <w:rPr>
          <w:rFonts w:ascii="Arial" w:hAnsi="Arial" w:cs="Arial"/>
          <w:color w:val="222222"/>
          <w:sz w:val="20"/>
          <w:szCs w:val="20"/>
          <w:shd w:val="clear" w:color="auto" w:fill="FFFFFF"/>
        </w:rPr>
        <w:t>Guimerà</w:t>
      </w:r>
      <w:proofErr w:type="spellEnd"/>
      <w:r w:rsidRPr="00576C65">
        <w:rPr>
          <w:rFonts w:ascii="Arial" w:hAnsi="Arial" w:cs="Arial"/>
          <w:color w:val="222222"/>
          <w:sz w:val="20"/>
          <w:szCs w:val="20"/>
          <w:shd w:val="clear" w:color="auto" w:fill="FFFFFF"/>
        </w:rPr>
        <w:t xml:space="preserve"> </w:t>
      </w:r>
      <w:proofErr w:type="spellStart"/>
      <w:r w:rsidRPr="00576C65">
        <w:rPr>
          <w:rFonts w:ascii="Arial" w:hAnsi="Arial" w:cs="Arial"/>
          <w:color w:val="222222"/>
          <w:sz w:val="20"/>
          <w:szCs w:val="20"/>
          <w:shd w:val="clear" w:color="auto" w:fill="FFFFFF"/>
        </w:rPr>
        <w:t>Villalba</w:t>
      </w:r>
      <w:proofErr w:type="spellEnd"/>
      <w:r w:rsidRPr="00576C65">
        <w:rPr>
          <w:rFonts w:ascii="Arial" w:hAnsi="Arial" w:cs="Arial"/>
          <w:color w:val="222222"/>
          <w:sz w:val="20"/>
          <w:szCs w:val="20"/>
          <w:shd w:val="clear" w:color="auto" w:fill="FFFFFF"/>
        </w:rPr>
        <w:t xml:space="preserve">, X., &amp; Dorado </w:t>
      </w:r>
      <w:proofErr w:type="spellStart"/>
      <w:r w:rsidRPr="00576C65">
        <w:rPr>
          <w:rFonts w:ascii="Arial" w:hAnsi="Arial" w:cs="Arial"/>
          <w:color w:val="222222"/>
          <w:sz w:val="20"/>
          <w:szCs w:val="20"/>
          <w:shd w:val="clear" w:color="auto" w:fill="FFFFFF"/>
        </w:rPr>
        <w:t>Castaño</w:t>
      </w:r>
      <w:proofErr w:type="spellEnd"/>
      <w:r w:rsidRPr="00576C65">
        <w:rPr>
          <w:rFonts w:ascii="Arial" w:hAnsi="Arial" w:cs="Arial"/>
          <w:color w:val="222222"/>
          <w:sz w:val="20"/>
          <w:szCs w:val="20"/>
          <w:shd w:val="clear" w:color="auto" w:fill="FFFFFF"/>
        </w:rPr>
        <w:t xml:space="preserve">, A. D. (2025). Closed-loop bioleaching for mobile phones from the </w:t>
      </w:r>
      <w:proofErr w:type="spellStart"/>
      <w:r w:rsidRPr="00576C65">
        <w:rPr>
          <w:rFonts w:ascii="Arial" w:hAnsi="Arial" w:cs="Arial"/>
          <w:color w:val="222222"/>
          <w:sz w:val="20"/>
          <w:szCs w:val="20"/>
          <w:shd w:val="clear" w:color="auto" w:fill="FFFFFF"/>
        </w:rPr>
        <w:t>bioregeneration</w:t>
      </w:r>
      <w:proofErr w:type="spellEnd"/>
      <w:r w:rsidRPr="00576C65">
        <w:rPr>
          <w:rFonts w:ascii="Arial" w:hAnsi="Arial" w:cs="Arial"/>
          <w:color w:val="222222"/>
          <w:sz w:val="20"/>
          <w:szCs w:val="20"/>
          <w:shd w:val="clear" w:color="auto" w:fill="FFFFFF"/>
        </w:rPr>
        <w:t xml:space="preserve"> of the leaching agent to the recovery of metal: a review. </w:t>
      </w:r>
      <w:r w:rsidRPr="00576C65">
        <w:rPr>
          <w:rFonts w:ascii="Arial" w:hAnsi="Arial" w:cs="Arial"/>
          <w:i/>
          <w:iCs/>
          <w:color w:val="222222"/>
          <w:sz w:val="20"/>
          <w:szCs w:val="20"/>
          <w:shd w:val="clear" w:color="auto" w:fill="FFFFFF"/>
        </w:rPr>
        <w:t>Journal of Industrial and Engineering Chemistry</w:t>
      </w:r>
      <w:r w:rsidRPr="00576C65">
        <w:rPr>
          <w:rFonts w:ascii="Arial" w:hAnsi="Arial" w:cs="Arial"/>
          <w:color w:val="222222"/>
          <w:sz w:val="20"/>
          <w:szCs w:val="20"/>
          <w:shd w:val="clear" w:color="auto" w:fill="FFFFFF"/>
        </w:rPr>
        <w:t xml:space="preserve">. </w:t>
      </w:r>
      <w:hyperlink r:id="rId30" w:tgtFrame="_blank" w:tooltip="Persistent link using digital object identifier" w:history="1">
        <w:r w:rsidRPr="00576C65">
          <w:rPr>
            <w:rStyle w:val="anchor-text"/>
            <w:rFonts w:ascii="Arial" w:hAnsi="Arial" w:cs="Arial"/>
            <w:color w:val="0000FF"/>
            <w:sz w:val="20"/>
            <w:szCs w:val="20"/>
          </w:rPr>
          <w:t>https://doi.org/10.1016/j.jiec.2025.04.020</w:t>
        </w:r>
      </w:hyperlink>
    </w:p>
    <w:p w14:paraId="1282AC50" w14:textId="258A0D33" w:rsidR="00576C65" w:rsidRPr="00576C65" w:rsidRDefault="00576C65" w:rsidP="0027686A">
      <w:pPr>
        <w:spacing w:before="240" w:line="240" w:lineRule="auto"/>
        <w:ind w:left="1440" w:hanging="1440"/>
        <w:jc w:val="both"/>
        <w:rPr>
          <w:rFonts w:ascii="Arial" w:hAnsi="Arial" w:cs="Arial"/>
          <w:sz w:val="20"/>
          <w:szCs w:val="20"/>
        </w:rPr>
      </w:pPr>
      <w:r w:rsidRPr="00576C65">
        <w:rPr>
          <w:rFonts w:ascii="Arial" w:hAnsi="Arial" w:cs="Arial"/>
          <w:color w:val="222222"/>
          <w:sz w:val="20"/>
          <w:szCs w:val="20"/>
          <w:shd w:val="clear" w:color="auto" w:fill="FFFFFF"/>
        </w:rPr>
        <w:t>Musson, S. E., Jang, Y. C., Townsend, T. G., &amp; Chung, I. H. (2000). Characterization of lead leachability from cathode ray tubes using the toxicity characteristic leaching procedure. </w:t>
      </w:r>
      <w:r w:rsidRPr="00576C65">
        <w:rPr>
          <w:rFonts w:ascii="Arial" w:hAnsi="Arial" w:cs="Arial"/>
          <w:i/>
          <w:iCs/>
          <w:color w:val="222222"/>
          <w:sz w:val="20"/>
          <w:szCs w:val="20"/>
          <w:shd w:val="clear" w:color="auto" w:fill="FFFFFF"/>
        </w:rPr>
        <w:t>Environmental science &amp; technology</w:t>
      </w:r>
      <w:r w:rsidRPr="00576C65">
        <w:rPr>
          <w:rFonts w:ascii="Arial" w:hAnsi="Arial" w:cs="Arial"/>
          <w:color w:val="222222"/>
          <w:sz w:val="20"/>
          <w:szCs w:val="20"/>
          <w:shd w:val="clear" w:color="auto" w:fill="FFFFFF"/>
        </w:rPr>
        <w:t>, </w:t>
      </w:r>
      <w:r w:rsidRPr="00576C65">
        <w:rPr>
          <w:rFonts w:ascii="Arial" w:hAnsi="Arial" w:cs="Arial"/>
          <w:i/>
          <w:iCs/>
          <w:color w:val="222222"/>
          <w:sz w:val="20"/>
          <w:szCs w:val="20"/>
          <w:shd w:val="clear" w:color="auto" w:fill="FFFFFF"/>
        </w:rPr>
        <w:t>34</w:t>
      </w:r>
      <w:r w:rsidRPr="00576C65">
        <w:rPr>
          <w:rFonts w:ascii="Arial" w:hAnsi="Arial" w:cs="Arial"/>
          <w:color w:val="222222"/>
          <w:sz w:val="20"/>
          <w:szCs w:val="20"/>
          <w:shd w:val="clear" w:color="auto" w:fill="FFFFFF"/>
        </w:rPr>
        <w:t>(20), 4376-4381.</w:t>
      </w:r>
      <w:r w:rsidRPr="00576C65">
        <w:rPr>
          <w:rFonts w:ascii="Arial" w:hAnsi="Arial" w:cs="Arial"/>
          <w:sz w:val="20"/>
          <w:szCs w:val="20"/>
        </w:rPr>
        <w:t xml:space="preserve"> </w:t>
      </w:r>
      <w:hyperlink r:id="rId31" w:history="1">
        <w:r w:rsidRPr="00192CA8">
          <w:rPr>
            <w:rStyle w:val="Hyperlink"/>
            <w:rFonts w:ascii="Arial" w:hAnsi="Arial" w:cs="Arial"/>
            <w:sz w:val="20"/>
            <w:szCs w:val="20"/>
          </w:rPr>
          <w:t>https://doi.org/10.1021/es0009020</w:t>
        </w:r>
      </w:hyperlink>
      <w:r>
        <w:rPr>
          <w:rFonts w:ascii="Arial" w:hAnsi="Arial" w:cs="Arial"/>
          <w:sz w:val="20"/>
          <w:szCs w:val="20"/>
        </w:rPr>
        <w:t xml:space="preserve"> </w:t>
      </w:r>
    </w:p>
    <w:p w14:paraId="3A19366E" w14:textId="77777777" w:rsidR="00576C65" w:rsidRPr="00576C65" w:rsidRDefault="00576C65" w:rsidP="00576C65">
      <w:pPr>
        <w:ind w:left="720" w:hanging="720"/>
        <w:jc w:val="both"/>
        <w:rPr>
          <w:rFonts w:ascii="Arial" w:hAnsi="Arial" w:cs="Arial"/>
          <w:sz w:val="20"/>
          <w:szCs w:val="20"/>
        </w:rPr>
      </w:pPr>
      <w:proofErr w:type="spellStart"/>
      <w:r w:rsidRPr="00576C65">
        <w:rPr>
          <w:rFonts w:ascii="Arial" w:hAnsi="Arial" w:cs="Arial"/>
          <w:color w:val="222222"/>
          <w:sz w:val="20"/>
          <w:szCs w:val="20"/>
          <w:shd w:val="clear" w:color="auto" w:fill="FFFFFF"/>
        </w:rPr>
        <w:t>Naik</w:t>
      </w:r>
      <w:proofErr w:type="spellEnd"/>
      <w:r w:rsidRPr="00576C65">
        <w:rPr>
          <w:rFonts w:ascii="Arial" w:hAnsi="Arial" w:cs="Arial"/>
          <w:color w:val="222222"/>
          <w:sz w:val="20"/>
          <w:szCs w:val="20"/>
          <w:shd w:val="clear" w:color="auto" w:fill="FFFFFF"/>
        </w:rPr>
        <w:t xml:space="preserve">, S., &amp; </w:t>
      </w:r>
      <w:proofErr w:type="spellStart"/>
      <w:r w:rsidRPr="00576C65">
        <w:rPr>
          <w:rFonts w:ascii="Arial" w:hAnsi="Arial" w:cs="Arial"/>
          <w:color w:val="222222"/>
          <w:sz w:val="20"/>
          <w:szCs w:val="20"/>
          <w:shd w:val="clear" w:color="auto" w:fill="FFFFFF"/>
        </w:rPr>
        <w:t>Eswari</w:t>
      </w:r>
      <w:proofErr w:type="spellEnd"/>
      <w:r w:rsidRPr="00576C65">
        <w:rPr>
          <w:rFonts w:ascii="Arial" w:hAnsi="Arial" w:cs="Arial"/>
          <w:color w:val="222222"/>
          <w:sz w:val="20"/>
          <w:szCs w:val="20"/>
          <w:shd w:val="clear" w:color="auto" w:fill="FFFFFF"/>
        </w:rPr>
        <w:t>, J. S. (2022). Electrical waste management: Recent advances challenges and future outlook. </w:t>
      </w:r>
      <w:r w:rsidRPr="00576C65">
        <w:rPr>
          <w:rFonts w:ascii="Arial" w:hAnsi="Arial" w:cs="Arial"/>
          <w:i/>
          <w:iCs/>
          <w:color w:val="222222"/>
          <w:sz w:val="20"/>
          <w:szCs w:val="20"/>
          <w:shd w:val="clear" w:color="auto" w:fill="FFFFFF"/>
        </w:rPr>
        <w:t>Total Environment Research Themes</w:t>
      </w:r>
      <w:r w:rsidRPr="00576C65">
        <w:rPr>
          <w:rFonts w:ascii="Arial" w:hAnsi="Arial" w:cs="Arial"/>
          <w:color w:val="222222"/>
          <w:sz w:val="20"/>
          <w:szCs w:val="20"/>
          <w:shd w:val="clear" w:color="auto" w:fill="FFFFFF"/>
        </w:rPr>
        <w:t>, </w:t>
      </w:r>
      <w:r w:rsidRPr="00576C65">
        <w:rPr>
          <w:rFonts w:ascii="Arial" w:hAnsi="Arial" w:cs="Arial"/>
          <w:i/>
          <w:iCs/>
          <w:color w:val="222222"/>
          <w:sz w:val="20"/>
          <w:szCs w:val="20"/>
          <w:shd w:val="clear" w:color="auto" w:fill="FFFFFF"/>
        </w:rPr>
        <w:t>1</w:t>
      </w:r>
      <w:r w:rsidRPr="00576C65">
        <w:rPr>
          <w:rFonts w:ascii="Arial" w:hAnsi="Arial" w:cs="Arial"/>
          <w:color w:val="222222"/>
          <w:sz w:val="20"/>
          <w:szCs w:val="20"/>
          <w:shd w:val="clear" w:color="auto" w:fill="FFFFFF"/>
        </w:rPr>
        <w:t xml:space="preserve">, 100002. </w:t>
      </w:r>
      <w:hyperlink r:id="rId32" w:tgtFrame="_blank" w:tooltip="Persistent link using digital object identifier" w:history="1">
        <w:r w:rsidRPr="00576C65">
          <w:rPr>
            <w:rStyle w:val="anchor-text"/>
            <w:rFonts w:ascii="Arial" w:hAnsi="Arial" w:cs="Arial"/>
            <w:color w:val="0000FF"/>
            <w:sz w:val="20"/>
            <w:szCs w:val="20"/>
          </w:rPr>
          <w:t>https://doi.org/10.1016/j.totert.2022.100002</w:t>
        </w:r>
      </w:hyperlink>
    </w:p>
    <w:p w14:paraId="7449EABB" w14:textId="0E967E14" w:rsidR="00576C65" w:rsidRPr="00576C65" w:rsidRDefault="00576C65" w:rsidP="0027686A">
      <w:pPr>
        <w:spacing w:before="240" w:line="240" w:lineRule="auto"/>
        <w:ind w:left="1440" w:hanging="1440"/>
        <w:jc w:val="both"/>
        <w:rPr>
          <w:rFonts w:ascii="Arial" w:hAnsi="Arial" w:cs="Arial"/>
          <w:sz w:val="20"/>
          <w:szCs w:val="20"/>
        </w:rPr>
      </w:pPr>
      <w:proofErr w:type="spellStart"/>
      <w:r w:rsidRPr="00576C65">
        <w:rPr>
          <w:rFonts w:ascii="Arial" w:hAnsi="Arial" w:cs="Arial"/>
          <w:color w:val="222222"/>
          <w:sz w:val="20"/>
          <w:szCs w:val="20"/>
          <w:shd w:val="clear" w:color="auto" w:fill="FFFFFF"/>
        </w:rPr>
        <w:t>Ogunniyi</w:t>
      </w:r>
      <w:proofErr w:type="spellEnd"/>
      <w:r w:rsidRPr="00576C65">
        <w:rPr>
          <w:rFonts w:ascii="Arial" w:hAnsi="Arial" w:cs="Arial"/>
          <w:color w:val="222222"/>
          <w:sz w:val="20"/>
          <w:szCs w:val="20"/>
          <w:shd w:val="clear" w:color="auto" w:fill="FFFFFF"/>
        </w:rPr>
        <w:t>, I. O., Vermaak, M. K. G., &amp; Groot, D. R. (2009). Chemical composition and liberation characterization of printed circuit board comminution fines for beneficiation investigations. </w:t>
      </w:r>
      <w:r w:rsidRPr="00576C65">
        <w:rPr>
          <w:rFonts w:ascii="Arial" w:hAnsi="Arial" w:cs="Arial"/>
          <w:i/>
          <w:iCs/>
          <w:color w:val="222222"/>
          <w:sz w:val="20"/>
          <w:szCs w:val="20"/>
          <w:shd w:val="clear" w:color="auto" w:fill="FFFFFF"/>
        </w:rPr>
        <w:t>Waste Management</w:t>
      </w:r>
      <w:r w:rsidRPr="00576C65">
        <w:rPr>
          <w:rFonts w:ascii="Arial" w:hAnsi="Arial" w:cs="Arial"/>
          <w:color w:val="222222"/>
          <w:sz w:val="20"/>
          <w:szCs w:val="20"/>
          <w:shd w:val="clear" w:color="auto" w:fill="FFFFFF"/>
        </w:rPr>
        <w:t>, </w:t>
      </w:r>
      <w:r w:rsidRPr="00576C65">
        <w:rPr>
          <w:rFonts w:ascii="Arial" w:hAnsi="Arial" w:cs="Arial"/>
          <w:i/>
          <w:iCs/>
          <w:color w:val="222222"/>
          <w:sz w:val="20"/>
          <w:szCs w:val="20"/>
          <w:shd w:val="clear" w:color="auto" w:fill="FFFFFF"/>
        </w:rPr>
        <w:t>29</w:t>
      </w:r>
      <w:r>
        <w:rPr>
          <w:rFonts w:ascii="Arial" w:hAnsi="Arial" w:cs="Arial"/>
          <w:color w:val="222222"/>
          <w:sz w:val="20"/>
          <w:szCs w:val="20"/>
          <w:shd w:val="clear" w:color="auto" w:fill="FFFFFF"/>
        </w:rPr>
        <w:t>(7):</w:t>
      </w:r>
      <w:r w:rsidRPr="00576C65">
        <w:rPr>
          <w:rFonts w:ascii="Arial" w:hAnsi="Arial" w:cs="Arial"/>
          <w:color w:val="222222"/>
          <w:sz w:val="20"/>
          <w:szCs w:val="20"/>
          <w:shd w:val="clear" w:color="auto" w:fill="FFFFFF"/>
        </w:rPr>
        <w:t xml:space="preserve"> 2140-2146. </w:t>
      </w:r>
      <w:r w:rsidRPr="00576C65">
        <w:rPr>
          <w:rFonts w:ascii="Arial" w:hAnsi="Arial" w:cs="Arial"/>
          <w:sz w:val="20"/>
          <w:szCs w:val="20"/>
        </w:rPr>
        <w:t xml:space="preserve"> </w:t>
      </w:r>
      <w:hyperlink r:id="rId33" w:history="1">
        <w:r w:rsidRPr="00192CA8">
          <w:rPr>
            <w:rStyle w:val="Hyperlink"/>
            <w:rFonts w:ascii="Arial" w:hAnsi="Arial" w:cs="Arial"/>
            <w:sz w:val="20"/>
            <w:szCs w:val="20"/>
          </w:rPr>
          <w:t>https://doi.org/10.1016/j.wasman.2009.03.004</w:t>
        </w:r>
      </w:hyperlink>
      <w:r w:rsidRPr="00576C65">
        <w:rPr>
          <w:rFonts w:ascii="Arial" w:hAnsi="Arial" w:cs="Arial"/>
          <w:sz w:val="20"/>
          <w:szCs w:val="20"/>
        </w:rPr>
        <w:t>.</w:t>
      </w:r>
      <w:r>
        <w:rPr>
          <w:rFonts w:ascii="Arial" w:hAnsi="Arial" w:cs="Arial"/>
          <w:sz w:val="20"/>
          <w:szCs w:val="20"/>
        </w:rPr>
        <w:t xml:space="preserve"> </w:t>
      </w:r>
    </w:p>
    <w:p w14:paraId="52BF00CB" w14:textId="77777777" w:rsidR="00576C65" w:rsidRPr="00576C65" w:rsidRDefault="00576C65" w:rsidP="00576C65">
      <w:pPr>
        <w:ind w:left="720" w:hanging="720"/>
        <w:jc w:val="both"/>
        <w:rPr>
          <w:rFonts w:ascii="Arial" w:hAnsi="Arial" w:cs="Arial"/>
          <w:color w:val="222222"/>
          <w:sz w:val="20"/>
          <w:szCs w:val="20"/>
          <w:shd w:val="clear" w:color="auto" w:fill="FFFFFF"/>
        </w:rPr>
      </w:pPr>
      <w:proofErr w:type="spellStart"/>
      <w:r w:rsidRPr="00576C65">
        <w:rPr>
          <w:rFonts w:ascii="Arial" w:hAnsi="Arial" w:cs="Arial"/>
          <w:color w:val="222222"/>
          <w:sz w:val="20"/>
          <w:szCs w:val="20"/>
          <w:shd w:val="clear" w:color="auto" w:fill="FFFFFF"/>
        </w:rPr>
        <w:t>Saha</w:t>
      </w:r>
      <w:proofErr w:type="spellEnd"/>
      <w:r w:rsidRPr="00576C65">
        <w:rPr>
          <w:rFonts w:ascii="Arial" w:hAnsi="Arial" w:cs="Arial"/>
          <w:color w:val="222222"/>
          <w:sz w:val="20"/>
          <w:szCs w:val="20"/>
          <w:shd w:val="clear" w:color="auto" w:fill="FFFFFF"/>
        </w:rPr>
        <w:t xml:space="preserve">, L., Kumar, V., Tiwari, J., </w:t>
      </w:r>
      <w:proofErr w:type="spellStart"/>
      <w:r w:rsidRPr="00576C65">
        <w:rPr>
          <w:rFonts w:ascii="Arial" w:hAnsi="Arial" w:cs="Arial"/>
          <w:color w:val="222222"/>
          <w:sz w:val="20"/>
          <w:szCs w:val="20"/>
          <w:shd w:val="clear" w:color="auto" w:fill="FFFFFF"/>
        </w:rPr>
        <w:t>Rawat</w:t>
      </w:r>
      <w:proofErr w:type="spellEnd"/>
      <w:r w:rsidRPr="00576C65">
        <w:rPr>
          <w:rFonts w:ascii="Arial" w:hAnsi="Arial" w:cs="Arial"/>
          <w:color w:val="222222"/>
          <w:sz w:val="20"/>
          <w:szCs w:val="20"/>
          <w:shd w:val="clear" w:color="auto" w:fill="FFFFFF"/>
        </w:rPr>
        <w:t xml:space="preserve">, S., Singh, J., &amp; </w:t>
      </w:r>
      <w:proofErr w:type="spellStart"/>
      <w:r w:rsidRPr="00576C65">
        <w:rPr>
          <w:rFonts w:ascii="Arial" w:hAnsi="Arial" w:cs="Arial"/>
          <w:color w:val="222222"/>
          <w:sz w:val="20"/>
          <w:szCs w:val="20"/>
          <w:shd w:val="clear" w:color="auto" w:fill="FFFFFF"/>
        </w:rPr>
        <w:t>Bauddh</w:t>
      </w:r>
      <w:proofErr w:type="spellEnd"/>
      <w:r w:rsidRPr="00576C65">
        <w:rPr>
          <w:rFonts w:ascii="Arial" w:hAnsi="Arial" w:cs="Arial"/>
          <w:color w:val="222222"/>
          <w:sz w:val="20"/>
          <w:szCs w:val="20"/>
          <w:shd w:val="clear" w:color="auto" w:fill="FFFFFF"/>
        </w:rPr>
        <w:t>, K. (2021). Electronic waste and their leachates impact on human health and environment: Global ecological threat and management. </w:t>
      </w:r>
      <w:r w:rsidRPr="00576C65">
        <w:rPr>
          <w:rFonts w:ascii="Arial" w:hAnsi="Arial" w:cs="Arial"/>
          <w:i/>
          <w:iCs/>
          <w:color w:val="222222"/>
          <w:sz w:val="20"/>
          <w:szCs w:val="20"/>
          <w:shd w:val="clear" w:color="auto" w:fill="FFFFFF"/>
        </w:rPr>
        <w:t>Environmental Technology &amp; Innovation</w:t>
      </w:r>
      <w:r w:rsidRPr="00576C65">
        <w:rPr>
          <w:rFonts w:ascii="Arial" w:hAnsi="Arial" w:cs="Arial"/>
          <w:color w:val="222222"/>
          <w:sz w:val="20"/>
          <w:szCs w:val="20"/>
          <w:shd w:val="clear" w:color="auto" w:fill="FFFFFF"/>
        </w:rPr>
        <w:t>, </w:t>
      </w:r>
      <w:r w:rsidRPr="00576C65">
        <w:rPr>
          <w:rFonts w:ascii="Arial" w:hAnsi="Arial" w:cs="Arial"/>
          <w:i/>
          <w:iCs/>
          <w:color w:val="222222"/>
          <w:sz w:val="20"/>
          <w:szCs w:val="20"/>
          <w:shd w:val="clear" w:color="auto" w:fill="FFFFFF"/>
        </w:rPr>
        <w:t>24</w:t>
      </w:r>
      <w:r w:rsidRPr="00576C65">
        <w:rPr>
          <w:rFonts w:ascii="Arial" w:hAnsi="Arial" w:cs="Arial"/>
          <w:color w:val="222222"/>
          <w:sz w:val="20"/>
          <w:szCs w:val="20"/>
          <w:shd w:val="clear" w:color="auto" w:fill="FFFFFF"/>
        </w:rPr>
        <w:t>, 102049.</w:t>
      </w:r>
    </w:p>
    <w:p w14:paraId="048E4524" w14:textId="3B29FED1" w:rsidR="00576C65" w:rsidRPr="00576C65" w:rsidRDefault="00576C65" w:rsidP="0027686A">
      <w:pPr>
        <w:spacing w:before="240" w:line="240" w:lineRule="auto"/>
        <w:ind w:left="1440" w:hanging="1440"/>
        <w:jc w:val="both"/>
        <w:rPr>
          <w:rFonts w:ascii="Arial" w:hAnsi="Arial" w:cs="Arial"/>
          <w:sz w:val="20"/>
          <w:szCs w:val="20"/>
        </w:rPr>
      </w:pPr>
      <w:r w:rsidRPr="00576C65">
        <w:rPr>
          <w:rFonts w:ascii="Arial" w:hAnsi="Arial" w:cs="Arial"/>
          <w:color w:val="222222"/>
          <w:sz w:val="20"/>
          <w:szCs w:val="20"/>
          <w:shd w:val="clear" w:color="auto" w:fill="FFFFFF"/>
        </w:rPr>
        <w:t xml:space="preserve">Santos, M. C., Nóbrega, J. A., </w:t>
      </w:r>
      <w:proofErr w:type="spellStart"/>
      <w:r w:rsidRPr="00576C65">
        <w:rPr>
          <w:rFonts w:ascii="Arial" w:hAnsi="Arial" w:cs="Arial"/>
          <w:color w:val="222222"/>
          <w:sz w:val="20"/>
          <w:szCs w:val="20"/>
          <w:shd w:val="clear" w:color="auto" w:fill="FFFFFF"/>
        </w:rPr>
        <w:t>Baccan</w:t>
      </w:r>
      <w:proofErr w:type="spellEnd"/>
      <w:r w:rsidRPr="00576C65">
        <w:rPr>
          <w:rFonts w:ascii="Arial" w:hAnsi="Arial" w:cs="Arial"/>
          <w:color w:val="222222"/>
          <w:sz w:val="20"/>
          <w:szCs w:val="20"/>
          <w:shd w:val="clear" w:color="auto" w:fill="FFFFFF"/>
        </w:rPr>
        <w:t>, N., &amp; Cadore, S. (2010). Determination of toxic elements in plastics from waste electrical and electronic equipment by slurry sampling electrothermal atomic absorption spectrometry. </w:t>
      </w:r>
      <w:proofErr w:type="spellStart"/>
      <w:r w:rsidRPr="00576C65">
        <w:rPr>
          <w:rFonts w:ascii="Arial" w:hAnsi="Arial" w:cs="Arial"/>
          <w:i/>
          <w:iCs/>
          <w:color w:val="222222"/>
          <w:sz w:val="20"/>
          <w:szCs w:val="20"/>
          <w:shd w:val="clear" w:color="auto" w:fill="FFFFFF"/>
        </w:rPr>
        <w:t>Talanta</w:t>
      </w:r>
      <w:proofErr w:type="spellEnd"/>
      <w:r w:rsidRPr="00576C65">
        <w:rPr>
          <w:rFonts w:ascii="Arial" w:hAnsi="Arial" w:cs="Arial"/>
          <w:color w:val="222222"/>
          <w:sz w:val="20"/>
          <w:szCs w:val="20"/>
          <w:shd w:val="clear" w:color="auto" w:fill="FFFFFF"/>
        </w:rPr>
        <w:t>, </w:t>
      </w:r>
      <w:r w:rsidRPr="00576C65">
        <w:rPr>
          <w:rFonts w:ascii="Arial" w:hAnsi="Arial" w:cs="Arial"/>
          <w:i/>
          <w:iCs/>
          <w:color w:val="222222"/>
          <w:sz w:val="20"/>
          <w:szCs w:val="20"/>
          <w:shd w:val="clear" w:color="auto" w:fill="FFFFFF"/>
        </w:rPr>
        <w:t>81</w:t>
      </w:r>
      <w:r w:rsidRPr="00576C65">
        <w:rPr>
          <w:rFonts w:ascii="Arial" w:hAnsi="Arial" w:cs="Arial"/>
          <w:color w:val="222222"/>
          <w:sz w:val="20"/>
          <w:szCs w:val="20"/>
          <w:shd w:val="clear" w:color="auto" w:fill="FFFFFF"/>
        </w:rPr>
        <w:t xml:space="preserve">(4-5), 1781-1787. </w:t>
      </w:r>
      <w:hyperlink r:id="rId34" w:history="1">
        <w:r w:rsidRPr="00192CA8">
          <w:rPr>
            <w:rStyle w:val="Hyperlink"/>
            <w:rFonts w:ascii="Arial" w:hAnsi="Arial" w:cs="Arial"/>
            <w:sz w:val="20"/>
            <w:szCs w:val="20"/>
          </w:rPr>
          <w:t>https://doi.org/10.1016/j.talanta.2010.03.038</w:t>
        </w:r>
      </w:hyperlink>
      <w:r w:rsidRPr="00576C65">
        <w:rPr>
          <w:rFonts w:ascii="Arial" w:hAnsi="Arial" w:cs="Arial"/>
          <w:sz w:val="20"/>
          <w:szCs w:val="20"/>
        </w:rPr>
        <w:t>.</w:t>
      </w:r>
      <w:r>
        <w:rPr>
          <w:rFonts w:ascii="Arial" w:hAnsi="Arial" w:cs="Arial"/>
          <w:sz w:val="20"/>
          <w:szCs w:val="20"/>
        </w:rPr>
        <w:t xml:space="preserve"> </w:t>
      </w:r>
      <w:r w:rsidRPr="00576C65">
        <w:rPr>
          <w:rFonts w:ascii="Arial" w:hAnsi="Arial" w:cs="Arial"/>
          <w:sz w:val="20"/>
          <w:szCs w:val="20"/>
        </w:rPr>
        <w:t xml:space="preserve"> </w:t>
      </w:r>
    </w:p>
    <w:p w14:paraId="60FF1DF0" w14:textId="4AE061CA" w:rsidR="00576C65" w:rsidRPr="00576C65" w:rsidRDefault="00576C65" w:rsidP="0027686A">
      <w:pPr>
        <w:spacing w:before="240" w:line="240" w:lineRule="auto"/>
        <w:ind w:left="1440" w:hanging="1440"/>
        <w:jc w:val="both"/>
        <w:rPr>
          <w:rFonts w:ascii="Arial" w:hAnsi="Arial" w:cs="Arial"/>
          <w:sz w:val="20"/>
          <w:szCs w:val="20"/>
        </w:rPr>
      </w:pPr>
      <w:proofErr w:type="spellStart"/>
      <w:r w:rsidRPr="00576C65">
        <w:rPr>
          <w:rFonts w:ascii="Arial" w:hAnsi="Arial" w:cs="Arial"/>
          <w:color w:val="222222"/>
          <w:sz w:val="20"/>
          <w:szCs w:val="20"/>
          <w:shd w:val="clear" w:color="auto" w:fill="FFFFFF"/>
        </w:rPr>
        <w:t>Sonmez</w:t>
      </w:r>
      <w:proofErr w:type="spellEnd"/>
      <w:r w:rsidRPr="00576C65">
        <w:rPr>
          <w:rFonts w:ascii="Arial" w:hAnsi="Arial" w:cs="Arial"/>
          <w:color w:val="222222"/>
          <w:sz w:val="20"/>
          <w:szCs w:val="20"/>
          <w:shd w:val="clear" w:color="auto" w:fill="FFFFFF"/>
        </w:rPr>
        <w:t xml:space="preserve">, M. S., &amp; Kumar, R. V. (2009). Leaching of waste battery paste components. Part 1: Lead citrate synthesis from </w:t>
      </w:r>
      <w:proofErr w:type="spellStart"/>
      <w:r w:rsidRPr="00576C65">
        <w:rPr>
          <w:rFonts w:ascii="Arial" w:hAnsi="Arial" w:cs="Arial"/>
          <w:color w:val="222222"/>
          <w:sz w:val="20"/>
          <w:szCs w:val="20"/>
          <w:shd w:val="clear" w:color="auto" w:fill="FFFFFF"/>
        </w:rPr>
        <w:t>PbO</w:t>
      </w:r>
      <w:proofErr w:type="spellEnd"/>
      <w:r w:rsidRPr="00576C65">
        <w:rPr>
          <w:rFonts w:ascii="Arial" w:hAnsi="Arial" w:cs="Arial"/>
          <w:color w:val="222222"/>
          <w:sz w:val="20"/>
          <w:szCs w:val="20"/>
          <w:shd w:val="clear" w:color="auto" w:fill="FFFFFF"/>
        </w:rPr>
        <w:t xml:space="preserve"> and PbO2. </w:t>
      </w:r>
      <w:r w:rsidRPr="00576C65">
        <w:rPr>
          <w:rFonts w:ascii="Arial" w:hAnsi="Arial" w:cs="Arial"/>
          <w:i/>
          <w:iCs/>
          <w:color w:val="222222"/>
          <w:sz w:val="20"/>
          <w:szCs w:val="20"/>
          <w:shd w:val="clear" w:color="auto" w:fill="FFFFFF"/>
        </w:rPr>
        <w:t>Hydrometallurgy</w:t>
      </w:r>
      <w:r w:rsidRPr="00576C65">
        <w:rPr>
          <w:rFonts w:ascii="Arial" w:hAnsi="Arial" w:cs="Arial"/>
          <w:color w:val="222222"/>
          <w:sz w:val="20"/>
          <w:szCs w:val="20"/>
          <w:shd w:val="clear" w:color="auto" w:fill="FFFFFF"/>
        </w:rPr>
        <w:t>, </w:t>
      </w:r>
      <w:r w:rsidRPr="00576C65">
        <w:rPr>
          <w:rFonts w:ascii="Arial" w:hAnsi="Arial" w:cs="Arial"/>
          <w:i/>
          <w:iCs/>
          <w:color w:val="222222"/>
          <w:sz w:val="20"/>
          <w:szCs w:val="20"/>
          <w:shd w:val="clear" w:color="auto" w:fill="FFFFFF"/>
        </w:rPr>
        <w:t>95</w:t>
      </w:r>
      <w:r w:rsidRPr="00576C65">
        <w:rPr>
          <w:rFonts w:ascii="Arial" w:hAnsi="Arial" w:cs="Arial"/>
          <w:color w:val="222222"/>
          <w:sz w:val="20"/>
          <w:szCs w:val="20"/>
          <w:shd w:val="clear" w:color="auto" w:fill="FFFFFF"/>
        </w:rPr>
        <w:t xml:space="preserve">(1-2), 53-60. </w:t>
      </w:r>
      <w:hyperlink r:id="rId35" w:history="1">
        <w:r w:rsidRPr="00192CA8">
          <w:rPr>
            <w:rStyle w:val="Hyperlink"/>
            <w:rFonts w:ascii="Arial" w:hAnsi="Arial" w:cs="Arial"/>
            <w:sz w:val="20"/>
            <w:szCs w:val="20"/>
          </w:rPr>
          <w:t>https://doi.org/10.1016/j.hydromet.2008.04.019</w:t>
        </w:r>
      </w:hyperlink>
      <w:r w:rsidRPr="00576C65">
        <w:rPr>
          <w:rFonts w:ascii="Arial" w:hAnsi="Arial" w:cs="Arial"/>
          <w:sz w:val="20"/>
          <w:szCs w:val="20"/>
        </w:rPr>
        <w:t>.</w:t>
      </w:r>
      <w:r>
        <w:rPr>
          <w:rFonts w:ascii="Arial" w:hAnsi="Arial" w:cs="Arial"/>
          <w:sz w:val="20"/>
          <w:szCs w:val="20"/>
        </w:rPr>
        <w:t xml:space="preserve"> </w:t>
      </w:r>
    </w:p>
    <w:p w14:paraId="362C724E" w14:textId="77777777" w:rsidR="00576C65" w:rsidRPr="00576C65" w:rsidRDefault="00576C65" w:rsidP="00576C65">
      <w:pPr>
        <w:ind w:left="720" w:hanging="720"/>
        <w:jc w:val="both"/>
        <w:rPr>
          <w:rFonts w:ascii="Arial" w:hAnsi="Arial" w:cs="Arial"/>
          <w:sz w:val="20"/>
          <w:szCs w:val="20"/>
        </w:rPr>
      </w:pPr>
      <w:r w:rsidRPr="00576C65">
        <w:rPr>
          <w:rFonts w:ascii="Arial" w:hAnsi="Arial" w:cs="Arial"/>
          <w:sz w:val="20"/>
          <w:szCs w:val="20"/>
        </w:rPr>
        <w:t xml:space="preserve">Vega, A., Delgado, N., &amp; </w:t>
      </w:r>
      <w:proofErr w:type="spellStart"/>
      <w:r w:rsidRPr="00576C65">
        <w:rPr>
          <w:rFonts w:ascii="Arial" w:hAnsi="Arial" w:cs="Arial"/>
          <w:sz w:val="20"/>
          <w:szCs w:val="20"/>
        </w:rPr>
        <w:t>Handford</w:t>
      </w:r>
      <w:proofErr w:type="spellEnd"/>
      <w:r w:rsidRPr="00576C65">
        <w:rPr>
          <w:rFonts w:ascii="Arial" w:hAnsi="Arial" w:cs="Arial"/>
          <w:sz w:val="20"/>
          <w:szCs w:val="20"/>
        </w:rPr>
        <w:t xml:space="preserve">, M. (2022). Increasing Heavy Metal Tolerance by the Exogenous Application of Organic Acids. International Journal of Molecule Science, 13;23(10):5438. </w:t>
      </w:r>
      <w:hyperlink r:id="rId36" w:history="1">
        <w:r w:rsidRPr="00576C65">
          <w:rPr>
            <w:rStyle w:val="Hyperlink"/>
            <w:rFonts w:ascii="Arial" w:hAnsi="Arial" w:cs="Arial"/>
            <w:sz w:val="20"/>
            <w:szCs w:val="20"/>
          </w:rPr>
          <w:t>https://doi.org/10.3390/ijms23105438</w:t>
        </w:r>
      </w:hyperlink>
      <w:r w:rsidRPr="00576C65">
        <w:rPr>
          <w:rFonts w:ascii="Arial" w:hAnsi="Arial" w:cs="Arial"/>
          <w:sz w:val="20"/>
          <w:szCs w:val="20"/>
        </w:rPr>
        <w:t xml:space="preserve">. </w:t>
      </w:r>
    </w:p>
    <w:p w14:paraId="4AA786C6" w14:textId="7C74AABF" w:rsidR="00317E42" w:rsidRDefault="00317E42" w:rsidP="0027686A">
      <w:pPr>
        <w:spacing w:before="240" w:line="240" w:lineRule="auto"/>
        <w:ind w:left="1440" w:hanging="1440"/>
        <w:jc w:val="both"/>
        <w:rPr>
          <w:rFonts w:ascii="Arial" w:hAnsi="Arial" w:cs="Arial"/>
          <w:color w:val="222222"/>
          <w:sz w:val="20"/>
          <w:szCs w:val="20"/>
          <w:shd w:val="clear" w:color="auto" w:fill="FFFFFF"/>
        </w:rPr>
      </w:pPr>
      <w:proofErr w:type="spellStart"/>
      <w:r w:rsidRPr="00317E42">
        <w:rPr>
          <w:rFonts w:ascii="Arial" w:hAnsi="Arial" w:cs="Arial"/>
          <w:color w:val="222222"/>
          <w:sz w:val="20"/>
          <w:szCs w:val="20"/>
          <w:shd w:val="clear" w:color="auto" w:fill="FFFFFF"/>
        </w:rPr>
        <w:t>Vehmaanperä</w:t>
      </w:r>
      <w:proofErr w:type="spellEnd"/>
      <w:r w:rsidRPr="00317E42">
        <w:rPr>
          <w:rFonts w:ascii="Arial" w:hAnsi="Arial" w:cs="Arial"/>
          <w:color w:val="222222"/>
          <w:sz w:val="20"/>
          <w:szCs w:val="20"/>
          <w:shd w:val="clear" w:color="auto" w:fill="FFFFFF"/>
        </w:rPr>
        <w:t xml:space="preserve">, P., </w:t>
      </w:r>
      <w:proofErr w:type="spellStart"/>
      <w:r w:rsidRPr="00317E42">
        <w:rPr>
          <w:rFonts w:ascii="Arial" w:hAnsi="Arial" w:cs="Arial"/>
          <w:color w:val="222222"/>
          <w:sz w:val="20"/>
          <w:szCs w:val="20"/>
          <w:shd w:val="clear" w:color="auto" w:fill="FFFFFF"/>
        </w:rPr>
        <w:t>Sihvonen</w:t>
      </w:r>
      <w:proofErr w:type="spellEnd"/>
      <w:r w:rsidRPr="00317E42">
        <w:rPr>
          <w:rFonts w:ascii="Arial" w:hAnsi="Arial" w:cs="Arial"/>
          <w:color w:val="222222"/>
          <w:sz w:val="20"/>
          <w:szCs w:val="20"/>
          <w:shd w:val="clear" w:color="auto" w:fill="FFFFFF"/>
        </w:rPr>
        <w:t xml:space="preserve">, T., </w:t>
      </w:r>
      <w:proofErr w:type="spellStart"/>
      <w:r w:rsidRPr="00317E42">
        <w:rPr>
          <w:rFonts w:ascii="Arial" w:hAnsi="Arial" w:cs="Arial"/>
          <w:color w:val="222222"/>
          <w:sz w:val="20"/>
          <w:szCs w:val="20"/>
          <w:shd w:val="clear" w:color="auto" w:fill="FFFFFF"/>
        </w:rPr>
        <w:t>Salmimies</w:t>
      </w:r>
      <w:proofErr w:type="spellEnd"/>
      <w:r w:rsidRPr="00317E42">
        <w:rPr>
          <w:rFonts w:ascii="Arial" w:hAnsi="Arial" w:cs="Arial"/>
          <w:color w:val="222222"/>
          <w:sz w:val="20"/>
          <w:szCs w:val="20"/>
          <w:shd w:val="clear" w:color="auto" w:fill="FFFFFF"/>
        </w:rPr>
        <w:t xml:space="preserve">, R., &amp; </w:t>
      </w:r>
      <w:proofErr w:type="spellStart"/>
      <w:r w:rsidRPr="00317E42">
        <w:rPr>
          <w:rFonts w:ascii="Arial" w:hAnsi="Arial" w:cs="Arial"/>
          <w:color w:val="222222"/>
          <w:sz w:val="20"/>
          <w:szCs w:val="20"/>
          <w:shd w:val="clear" w:color="auto" w:fill="FFFFFF"/>
        </w:rPr>
        <w:t>Häkkinen</w:t>
      </w:r>
      <w:proofErr w:type="spellEnd"/>
      <w:r w:rsidRPr="00317E42">
        <w:rPr>
          <w:rFonts w:ascii="Arial" w:hAnsi="Arial" w:cs="Arial"/>
          <w:color w:val="222222"/>
          <w:sz w:val="20"/>
          <w:szCs w:val="20"/>
          <w:shd w:val="clear" w:color="auto" w:fill="FFFFFF"/>
        </w:rPr>
        <w:t xml:space="preserve">, A. (2022). Dissolution of Magnetite and Hematite in Mixtures of Oxalic and Nitric Acid: Mechanisms and Kinetics. Minerals, 12(5), 560. </w:t>
      </w:r>
      <w:hyperlink r:id="rId37" w:history="1">
        <w:r w:rsidRPr="00192CA8">
          <w:rPr>
            <w:rStyle w:val="Hyperlink"/>
            <w:rFonts w:ascii="Arial" w:hAnsi="Arial" w:cs="Arial"/>
            <w:sz w:val="20"/>
            <w:szCs w:val="20"/>
            <w:shd w:val="clear" w:color="auto" w:fill="FFFFFF"/>
          </w:rPr>
          <w:t>https://doi.org/10.3390/min12050560</w:t>
        </w:r>
      </w:hyperlink>
      <w:r>
        <w:rPr>
          <w:rFonts w:ascii="Arial" w:hAnsi="Arial" w:cs="Arial"/>
          <w:color w:val="222222"/>
          <w:sz w:val="20"/>
          <w:szCs w:val="20"/>
          <w:shd w:val="clear" w:color="auto" w:fill="FFFFFF"/>
        </w:rPr>
        <w:t xml:space="preserve"> </w:t>
      </w:r>
      <w:r w:rsidRPr="00317E42">
        <w:rPr>
          <w:rFonts w:ascii="Arial" w:hAnsi="Arial" w:cs="Arial"/>
          <w:color w:val="222222"/>
          <w:sz w:val="20"/>
          <w:szCs w:val="20"/>
          <w:shd w:val="clear" w:color="auto" w:fill="FFFFFF"/>
        </w:rPr>
        <w:t xml:space="preserve"> </w:t>
      </w:r>
    </w:p>
    <w:p w14:paraId="6229E650" w14:textId="13E81CDA" w:rsidR="00576C65" w:rsidRPr="00576C65" w:rsidRDefault="00576C65" w:rsidP="0027686A">
      <w:pPr>
        <w:spacing w:before="240" w:line="240" w:lineRule="auto"/>
        <w:ind w:left="1440" w:hanging="1440"/>
        <w:jc w:val="both"/>
        <w:rPr>
          <w:rFonts w:ascii="Arial" w:hAnsi="Arial" w:cs="Arial"/>
          <w:sz w:val="20"/>
          <w:szCs w:val="20"/>
        </w:rPr>
      </w:pPr>
      <w:r w:rsidRPr="00576C65">
        <w:rPr>
          <w:rFonts w:ascii="Arial" w:hAnsi="Arial" w:cs="Arial"/>
          <w:color w:val="222222"/>
          <w:sz w:val="20"/>
          <w:szCs w:val="20"/>
          <w:shd w:val="clear" w:color="auto" w:fill="FFFFFF"/>
        </w:rPr>
        <w:t xml:space="preserve">Williams, E., </w:t>
      </w:r>
      <w:proofErr w:type="spellStart"/>
      <w:r w:rsidRPr="00576C65">
        <w:rPr>
          <w:rFonts w:ascii="Arial" w:hAnsi="Arial" w:cs="Arial"/>
          <w:color w:val="222222"/>
          <w:sz w:val="20"/>
          <w:szCs w:val="20"/>
          <w:shd w:val="clear" w:color="auto" w:fill="FFFFFF"/>
        </w:rPr>
        <w:t>Kahhat</w:t>
      </w:r>
      <w:proofErr w:type="spellEnd"/>
      <w:r w:rsidRPr="00576C65">
        <w:rPr>
          <w:rFonts w:ascii="Arial" w:hAnsi="Arial" w:cs="Arial"/>
          <w:color w:val="222222"/>
          <w:sz w:val="20"/>
          <w:szCs w:val="20"/>
          <w:shd w:val="clear" w:color="auto" w:fill="FFFFFF"/>
        </w:rPr>
        <w:t xml:space="preserve">, R., Allenby, B., </w:t>
      </w:r>
      <w:proofErr w:type="spellStart"/>
      <w:r w:rsidRPr="00576C65">
        <w:rPr>
          <w:rFonts w:ascii="Arial" w:hAnsi="Arial" w:cs="Arial"/>
          <w:color w:val="222222"/>
          <w:sz w:val="20"/>
          <w:szCs w:val="20"/>
          <w:shd w:val="clear" w:color="auto" w:fill="FFFFFF"/>
        </w:rPr>
        <w:t>Kavazanjian</w:t>
      </w:r>
      <w:proofErr w:type="spellEnd"/>
      <w:r w:rsidRPr="00576C65">
        <w:rPr>
          <w:rFonts w:ascii="Arial" w:hAnsi="Arial" w:cs="Arial"/>
          <w:color w:val="222222"/>
          <w:sz w:val="20"/>
          <w:szCs w:val="20"/>
          <w:shd w:val="clear" w:color="auto" w:fill="FFFFFF"/>
        </w:rPr>
        <w:t>, E., Kim, J., &amp; Xu, M. (2008). Environmental, social, and economic implications of global reuse and recycling of personal computers. </w:t>
      </w:r>
      <w:r w:rsidRPr="00576C65">
        <w:rPr>
          <w:rFonts w:ascii="Arial" w:hAnsi="Arial" w:cs="Arial"/>
          <w:i/>
          <w:iCs/>
          <w:color w:val="222222"/>
          <w:sz w:val="20"/>
          <w:szCs w:val="20"/>
          <w:shd w:val="clear" w:color="auto" w:fill="FFFFFF"/>
        </w:rPr>
        <w:t>Environmental science &amp; technology</w:t>
      </w:r>
      <w:r w:rsidRPr="00576C65">
        <w:rPr>
          <w:rFonts w:ascii="Arial" w:hAnsi="Arial" w:cs="Arial"/>
          <w:color w:val="222222"/>
          <w:sz w:val="20"/>
          <w:szCs w:val="20"/>
          <w:shd w:val="clear" w:color="auto" w:fill="FFFFFF"/>
        </w:rPr>
        <w:t>, </w:t>
      </w:r>
      <w:r w:rsidRPr="00576C65">
        <w:rPr>
          <w:rFonts w:ascii="Arial" w:hAnsi="Arial" w:cs="Arial"/>
          <w:i/>
          <w:iCs/>
          <w:color w:val="222222"/>
          <w:sz w:val="20"/>
          <w:szCs w:val="20"/>
          <w:shd w:val="clear" w:color="auto" w:fill="FFFFFF"/>
        </w:rPr>
        <w:t>42</w:t>
      </w:r>
      <w:r w:rsidRPr="00576C65">
        <w:rPr>
          <w:rFonts w:ascii="Arial" w:hAnsi="Arial" w:cs="Arial"/>
          <w:color w:val="222222"/>
          <w:sz w:val="20"/>
          <w:szCs w:val="20"/>
          <w:shd w:val="clear" w:color="auto" w:fill="FFFFFF"/>
        </w:rPr>
        <w:t xml:space="preserve">(17), 6446-6454. </w:t>
      </w:r>
      <w:hyperlink r:id="rId38" w:history="1">
        <w:r w:rsidRPr="00192CA8">
          <w:rPr>
            <w:rStyle w:val="Hyperlink"/>
            <w:rFonts w:ascii="Arial" w:hAnsi="Arial" w:cs="Arial"/>
            <w:sz w:val="20"/>
            <w:szCs w:val="20"/>
            <w:shd w:val="clear" w:color="auto" w:fill="FFFFFF"/>
          </w:rPr>
          <w:t>https://doi.org/10.1021/es702255z</w:t>
        </w:r>
      </w:hyperlink>
      <w:r w:rsidRPr="00576C65">
        <w:rPr>
          <w:rFonts w:ascii="Arial" w:hAnsi="Arial" w:cs="Arial"/>
          <w:color w:val="5B616B"/>
          <w:sz w:val="20"/>
          <w:szCs w:val="20"/>
          <w:shd w:val="clear" w:color="auto" w:fill="FFFFFF"/>
        </w:rPr>
        <w:t>.</w:t>
      </w:r>
      <w:r>
        <w:rPr>
          <w:rFonts w:ascii="Arial" w:hAnsi="Arial" w:cs="Arial"/>
          <w:color w:val="5B616B"/>
          <w:sz w:val="20"/>
          <w:szCs w:val="20"/>
          <w:shd w:val="clear" w:color="auto" w:fill="FFFFFF"/>
        </w:rPr>
        <w:t xml:space="preserve"> </w:t>
      </w:r>
    </w:p>
    <w:p w14:paraId="1F2F5EA5" w14:textId="77777777" w:rsidR="00D00F3C" w:rsidRPr="00447471" w:rsidRDefault="00D00F3C" w:rsidP="0027686A">
      <w:pPr>
        <w:spacing w:line="360" w:lineRule="auto"/>
        <w:ind w:left="1440" w:hanging="1440"/>
        <w:jc w:val="both"/>
        <w:rPr>
          <w:rFonts w:ascii="Arial" w:hAnsi="Arial" w:cs="Arial"/>
          <w:sz w:val="20"/>
          <w:szCs w:val="24"/>
        </w:rPr>
      </w:pPr>
    </w:p>
    <w:sectPr w:rsidR="00D00F3C" w:rsidRPr="00447471">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4C6857" w14:textId="77777777" w:rsidR="00E501A4" w:rsidRDefault="00E501A4" w:rsidP="00CF7D9B">
      <w:pPr>
        <w:spacing w:after="0" w:line="240" w:lineRule="auto"/>
      </w:pPr>
      <w:r>
        <w:separator/>
      </w:r>
    </w:p>
  </w:endnote>
  <w:endnote w:type="continuationSeparator" w:id="0">
    <w:p w14:paraId="578FF682" w14:textId="77777777" w:rsidR="00E501A4" w:rsidRDefault="00E501A4" w:rsidP="00CF7D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Helvetica">
    <w:panose1 w:val="020B05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C9EC7" w14:textId="77777777" w:rsidR="005E623C" w:rsidRDefault="005E623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47423" w14:textId="77777777" w:rsidR="005E623C" w:rsidRDefault="005E623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D3132" w14:textId="77777777" w:rsidR="005E623C" w:rsidRDefault="005E623C">
    <w:pPr>
      <w:pStyle w:val="Footer"/>
      <w:rPr>
        <w:rFonts w:ascii="Arial" w:hAnsi="Arial" w:cs="Arial"/>
        <w:sz w:val="16"/>
      </w:rPr>
    </w:pPr>
  </w:p>
  <w:p w14:paraId="0CE5211C" w14:textId="77777777" w:rsidR="005E623C" w:rsidRDefault="005E623C" w:rsidP="004C0B53">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4D33EFC2" w14:textId="77777777" w:rsidR="005E623C" w:rsidRDefault="005E623C">
    <w:pPr>
      <w:pStyle w:val="Footer"/>
      <w:rPr>
        <w:rFonts w:ascii="Arial" w:hAnsi="Arial" w:cs="Arial"/>
        <w:sz w:val="16"/>
      </w:rPr>
    </w:pPr>
  </w:p>
  <w:p w14:paraId="5C81D558" w14:textId="77777777" w:rsidR="005E623C" w:rsidRPr="009E048A" w:rsidRDefault="005E623C">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2EFC07" w14:textId="77777777" w:rsidR="00E501A4" w:rsidRDefault="00E501A4" w:rsidP="00CF7D9B">
      <w:pPr>
        <w:spacing w:after="0" w:line="240" w:lineRule="auto"/>
      </w:pPr>
      <w:r>
        <w:separator/>
      </w:r>
    </w:p>
  </w:footnote>
  <w:footnote w:type="continuationSeparator" w:id="0">
    <w:p w14:paraId="07F1E82E" w14:textId="77777777" w:rsidR="00E501A4" w:rsidRDefault="00E501A4" w:rsidP="00CF7D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18E01" w14:textId="759A93EC" w:rsidR="005E623C" w:rsidRDefault="005E623C">
    <w:pPr>
      <w:pStyle w:val="Header"/>
    </w:pPr>
    <w:r>
      <w:rPr>
        <w:noProof/>
      </w:rPr>
      <w:pict w14:anchorId="51599A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15409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90AEF" w14:textId="109E586E" w:rsidR="005E623C" w:rsidRDefault="005E623C">
    <w:pPr>
      <w:pStyle w:val="Header"/>
    </w:pPr>
    <w:r>
      <w:rPr>
        <w:noProof/>
      </w:rPr>
      <w:pict w14:anchorId="1CC019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15409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82197" w14:textId="2EA9F222" w:rsidR="005E623C" w:rsidRPr="00296529" w:rsidRDefault="005E623C" w:rsidP="004C0B53">
    <w:pPr>
      <w:ind w:left="2160"/>
      <w:jc w:val="center"/>
      <w:rPr>
        <w:rFonts w:ascii="Times New Roman" w:eastAsia="Calibri" w:hAnsi="Times New Roman"/>
        <w:i/>
        <w:sz w:val="18"/>
      </w:rPr>
    </w:pPr>
    <w:r>
      <w:rPr>
        <w:noProof/>
      </w:rPr>
      <w:pict w14:anchorId="2D6C4B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154093" o:spid="_x0000_s2049" type="#_x0000_t136" style="position:absolute;left:0;text-align:left;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685D91B1" w14:textId="77777777" w:rsidR="005E623C" w:rsidRPr="00296529" w:rsidRDefault="005E623C" w:rsidP="004C0B53">
    <w:pPr>
      <w:ind w:left="4320"/>
      <w:rPr>
        <w:rFonts w:ascii="Times New Roman" w:eastAsia="Calibri" w:hAnsi="Times New Roman"/>
        <w:i/>
        <w:sz w:val="18"/>
      </w:rPr>
    </w:pPr>
    <w:r>
      <w:rPr>
        <w:rFonts w:ascii="Times New Roman" w:eastAsia="Calibri" w:hAnsi="Times New Roman"/>
        <w:i/>
        <w:sz w:val="18"/>
      </w:rPr>
      <w:t>.</w:t>
    </w:r>
    <w:r w:rsidRPr="00296529">
      <w:rPr>
        <w:rFonts w:ascii="Times New Roman" w:eastAsia="Calibri" w:hAnsi="Times New Roman"/>
        <w:i/>
        <w:sz w:val="18"/>
      </w:rPr>
      <w:t xml:space="preserve">     </w:t>
    </w:r>
  </w:p>
  <w:p w14:paraId="68AB2C75" w14:textId="77777777" w:rsidR="005E623C" w:rsidRPr="00296529" w:rsidRDefault="005E623C" w:rsidP="004C0B53">
    <w:pPr>
      <w:jc w:val="center"/>
      <w:rPr>
        <w:rFonts w:ascii="Times New Roman" w:eastAsia="Calibri" w:hAnsi="Times New Roman"/>
        <w:i/>
        <w:sz w:val="18"/>
      </w:rPr>
    </w:pPr>
    <w:r>
      <w:rPr>
        <w:rFonts w:ascii="Times New Roman" w:eastAsia="Calibri" w:hAnsi="Times New Roman"/>
        <w:i/>
        <w:sz w:val="18"/>
      </w:rPr>
      <w:t>.</w:t>
    </w:r>
  </w:p>
  <w:p w14:paraId="09D579B2" w14:textId="77777777" w:rsidR="005E623C" w:rsidRPr="00296529" w:rsidRDefault="005E623C" w:rsidP="004C0B53">
    <w:pPr>
      <w:spacing w:after="200"/>
      <w:jc w:val="center"/>
      <w:rPr>
        <w:rFonts w:ascii="Times New Roman" w:eastAsia="Calibri" w:hAnsi="Times New Roman"/>
        <w:b/>
        <w:i/>
        <w:sz w:val="32"/>
      </w:rPr>
    </w:pPr>
    <w:r w:rsidRPr="00296529">
      <w:rPr>
        <w:rFonts w:ascii="Times New Roman" w:eastAsia="Calibri" w:hAnsi="Times New Roman"/>
        <w:b/>
        <w:i/>
        <w:sz w:val="32"/>
      </w:rPr>
      <w:t xml:space="preserve">              </w:t>
    </w:r>
    <w:r>
      <w:rPr>
        <w:rFonts w:ascii="Times New Roman" w:eastAsia="Calibri" w:hAnsi="Times New Roman"/>
        <w:b/>
        <w:i/>
        <w:sz w:val="32"/>
      </w:rPr>
      <w:t>.</w:t>
    </w:r>
    <w:r w:rsidRPr="00296529">
      <w:rPr>
        <w:rFonts w:ascii="Times New Roman" w:eastAsia="Calibri" w:hAnsi="Times New Roman"/>
        <w:b/>
        <w:i/>
        <w:sz w:val="32"/>
      </w:rPr>
      <w:t xml:space="preserve"> </w:t>
    </w:r>
  </w:p>
  <w:p w14:paraId="5DAA586F" w14:textId="77777777" w:rsidR="005E623C" w:rsidRDefault="005E623C" w:rsidP="004C0B53">
    <w:pPr>
      <w:jc w:val="center"/>
      <w:rPr>
        <w:rFonts w:ascii="Times New Roman" w:eastAsia="Calibri" w:hAnsi="Times New Roman"/>
        <w:i/>
        <w:sz w:val="18"/>
      </w:rPr>
    </w:pPr>
    <w:r w:rsidRPr="00296529">
      <w:rPr>
        <w:rFonts w:ascii="Times New Roman" w:eastAsia="Calibri" w:hAnsi="Times New Roman"/>
        <w:i/>
        <w:sz w:val="18"/>
      </w:rPr>
      <w:t xml:space="preserve">                     </w:t>
    </w:r>
  </w:p>
  <w:p w14:paraId="6B0F920F" w14:textId="77777777" w:rsidR="005E623C" w:rsidRDefault="005E623C" w:rsidP="004C0B53">
    <w:pPr>
      <w:tabs>
        <w:tab w:val="left" w:pos="2145"/>
      </w:tabs>
      <w:rPr>
        <w:rFonts w:ascii="Times New Roman" w:eastAsia="Calibri" w:hAnsi="Times New Roman"/>
        <w:i/>
        <w:sz w:val="18"/>
      </w:rPr>
    </w:pPr>
    <w:r>
      <w:rPr>
        <w:rFonts w:ascii="Times New Roman" w:eastAsia="Calibri" w:hAnsi="Times New Roman"/>
        <w:i/>
        <w:sz w:val="18"/>
      </w:rPr>
      <w:tab/>
      <w:t>.</w:t>
    </w:r>
  </w:p>
  <w:p w14:paraId="4F632D54" w14:textId="77777777" w:rsidR="005E623C" w:rsidRDefault="005E623C">
    <w:pPr>
      <w:pStyle w:val="Header"/>
    </w:pP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8115FB"/>
    <w:multiLevelType w:val="multilevel"/>
    <w:tmpl w:val="0A34DA9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5D315A4A"/>
    <w:multiLevelType w:val="multilevel"/>
    <w:tmpl w:val="283E37C0"/>
    <w:lvl w:ilvl="0">
      <w:start w:val="2"/>
      <w:numFmt w:val="decimal"/>
      <w:lvlText w:val="%1.0"/>
      <w:lvlJc w:val="left"/>
      <w:pPr>
        <w:ind w:left="35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50" w:hanging="720"/>
      </w:pPr>
      <w:rPr>
        <w:rFonts w:hint="default"/>
      </w:rPr>
    </w:lvl>
    <w:lvl w:ilvl="3">
      <w:start w:val="1"/>
      <w:numFmt w:val="decimal"/>
      <w:lvlText w:val="%1.%2.%3.%4"/>
      <w:lvlJc w:val="left"/>
      <w:pPr>
        <w:ind w:left="2870" w:hanging="720"/>
      </w:pPr>
      <w:rPr>
        <w:rFonts w:hint="default"/>
      </w:rPr>
    </w:lvl>
    <w:lvl w:ilvl="4">
      <w:start w:val="1"/>
      <w:numFmt w:val="decimal"/>
      <w:lvlText w:val="%1.%2.%3.%4.%5"/>
      <w:lvlJc w:val="left"/>
      <w:pPr>
        <w:ind w:left="3950"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50" w:hanging="1440"/>
      </w:pPr>
      <w:rPr>
        <w:rFonts w:hint="default"/>
      </w:rPr>
    </w:lvl>
    <w:lvl w:ilvl="7">
      <w:start w:val="1"/>
      <w:numFmt w:val="decimal"/>
      <w:lvlText w:val="%1.%2.%3.%4.%5.%6.%7.%8"/>
      <w:lvlJc w:val="left"/>
      <w:pPr>
        <w:ind w:left="6470" w:hanging="1440"/>
      </w:pPr>
      <w:rPr>
        <w:rFonts w:hint="default"/>
      </w:rPr>
    </w:lvl>
    <w:lvl w:ilvl="8">
      <w:start w:val="1"/>
      <w:numFmt w:val="decimal"/>
      <w:lvlText w:val="%1.%2.%3.%4.%5.%6.%7.%8.%9"/>
      <w:lvlJc w:val="left"/>
      <w:pPr>
        <w:ind w:left="755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DU0MbY0NzY0NjAyNDRT0lEKTi0uzszPAykwrAUANJPdiywAAAA="/>
  </w:docVars>
  <w:rsids>
    <w:rsidRoot w:val="00530AE7"/>
    <w:rsid w:val="00012E92"/>
    <w:rsid w:val="000777BD"/>
    <w:rsid w:val="000952A5"/>
    <w:rsid w:val="000972EF"/>
    <w:rsid w:val="000D3007"/>
    <w:rsid w:val="000F47DF"/>
    <w:rsid w:val="000F4E4B"/>
    <w:rsid w:val="00114601"/>
    <w:rsid w:val="00116163"/>
    <w:rsid w:val="00126212"/>
    <w:rsid w:val="00157C58"/>
    <w:rsid w:val="001665B5"/>
    <w:rsid w:val="00170F13"/>
    <w:rsid w:val="001C3A1D"/>
    <w:rsid w:val="001E119A"/>
    <w:rsid w:val="00214F7F"/>
    <w:rsid w:val="002171A9"/>
    <w:rsid w:val="00264C6D"/>
    <w:rsid w:val="0027686A"/>
    <w:rsid w:val="00290913"/>
    <w:rsid w:val="002C5167"/>
    <w:rsid w:val="002E14A8"/>
    <w:rsid w:val="002E2ECE"/>
    <w:rsid w:val="00311BA8"/>
    <w:rsid w:val="00317E42"/>
    <w:rsid w:val="00351F36"/>
    <w:rsid w:val="003562E2"/>
    <w:rsid w:val="00366EF9"/>
    <w:rsid w:val="003A2BB2"/>
    <w:rsid w:val="003F0558"/>
    <w:rsid w:val="004379A3"/>
    <w:rsid w:val="00443757"/>
    <w:rsid w:val="00447471"/>
    <w:rsid w:val="004C0B53"/>
    <w:rsid w:val="004C7D95"/>
    <w:rsid w:val="00530AE7"/>
    <w:rsid w:val="00533631"/>
    <w:rsid w:val="00537A34"/>
    <w:rsid w:val="005604B1"/>
    <w:rsid w:val="00576C65"/>
    <w:rsid w:val="005A117B"/>
    <w:rsid w:val="005E1E73"/>
    <w:rsid w:val="005E58A5"/>
    <w:rsid w:val="005E623C"/>
    <w:rsid w:val="0062385F"/>
    <w:rsid w:val="006719C8"/>
    <w:rsid w:val="006F5AEF"/>
    <w:rsid w:val="0072473A"/>
    <w:rsid w:val="0077181E"/>
    <w:rsid w:val="00787852"/>
    <w:rsid w:val="007A7D96"/>
    <w:rsid w:val="007B467D"/>
    <w:rsid w:val="007E43F6"/>
    <w:rsid w:val="007F605F"/>
    <w:rsid w:val="008048CA"/>
    <w:rsid w:val="00824BCD"/>
    <w:rsid w:val="00844FD1"/>
    <w:rsid w:val="00846FCD"/>
    <w:rsid w:val="00862668"/>
    <w:rsid w:val="008A4564"/>
    <w:rsid w:val="008F61B1"/>
    <w:rsid w:val="00902461"/>
    <w:rsid w:val="0094415E"/>
    <w:rsid w:val="00951033"/>
    <w:rsid w:val="009C08D3"/>
    <w:rsid w:val="009F4398"/>
    <w:rsid w:val="00A05161"/>
    <w:rsid w:val="00A07D4D"/>
    <w:rsid w:val="00A374C9"/>
    <w:rsid w:val="00A91E21"/>
    <w:rsid w:val="00A92B66"/>
    <w:rsid w:val="00AA52E0"/>
    <w:rsid w:val="00AA7032"/>
    <w:rsid w:val="00AE26CB"/>
    <w:rsid w:val="00AF0F86"/>
    <w:rsid w:val="00B55ED1"/>
    <w:rsid w:val="00B9065F"/>
    <w:rsid w:val="00BA71D3"/>
    <w:rsid w:val="00C40D32"/>
    <w:rsid w:val="00C4639F"/>
    <w:rsid w:val="00CB1CE2"/>
    <w:rsid w:val="00CB4052"/>
    <w:rsid w:val="00CE7312"/>
    <w:rsid w:val="00CF7D9B"/>
    <w:rsid w:val="00D00F3C"/>
    <w:rsid w:val="00D1683C"/>
    <w:rsid w:val="00D3354E"/>
    <w:rsid w:val="00D7756F"/>
    <w:rsid w:val="00DC3FA9"/>
    <w:rsid w:val="00DC7951"/>
    <w:rsid w:val="00DE659B"/>
    <w:rsid w:val="00DF58AB"/>
    <w:rsid w:val="00E27270"/>
    <w:rsid w:val="00E501A4"/>
    <w:rsid w:val="00E7230E"/>
    <w:rsid w:val="00EB257D"/>
    <w:rsid w:val="00F26C62"/>
    <w:rsid w:val="00F30142"/>
    <w:rsid w:val="00F76F58"/>
    <w:rsid w:val="00F80695"/>
    <w:rsid w:val="00F977E4"/>
    <w:rsid w:val="00FF10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6990B2C"/>
  <w15:chartTrackingRefBased/>
  <w15:docId w15:val="{72526C34-5F74-4D45-B9BF-154C07BF3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0AE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1">
    <w:name w:val="Head1"/>
    <w:basedOn w:val="Normal"/>
    <w:rsid w:val="007B467D"/>
    <w:pPr>
      <w:keepNext/>
      <w:spacing w:after="240" w:line="240" w:lineRule="auto"/>
    </w:pPr>
    <w:rPr>
      <w:rFonts w:ascii="Helvetica" w:eastAsia="Times New Roman" w:hAnsi="Helvetica" w:cs="Times New Roman"/>
      <w:b/>
      <w:caps/>
      <w:szCs w:val="20"/>
    </w:rPr>
  </w:style>
  <w:style w:type="table" w:styleId="TableGrid">
    <w:name w:val="Table Grid"/>
    <w:basedOn w:val="TableNormal"/>
    <w:uiPriority w:val="39"/>
    <w:rsid w:val="00D775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3363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171A9"/>
    <w:pPr>
      <w:ind w:left="720"/>
      <w:contextualSpacing/>
    </w:pPr>
  </w:style>
  <w:style w:type="paragraph" w:styleId="Header">
    <w:name w:val="header"/>
    <w:basedOn w:val="Normal"/>
    <w:link w:val="HeaderChar"/>
    <w:unhideWhenUsed/>
    <w:rsid w:val="00CF7D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7D9B"/>
  </w:style>
  <w:style w:type="paragraph" w:styleId="Footer">
    <w:name w:val="footer"/>
    <w:basedOn w:val="Normal"/>
    <w:link w:val="FooterChar"/>
    <w:unhideWhenUsed/>
    <w:rsid w:val="00CF7D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7D9B"/>
  </w:style>
  <w:style w:type="paragraph" w:customStyle="1" w:styleId="Author">
    <w:name w:val="Author"/>
    <w:basedOn w:val="Normal"/>
    <w:rsid w:val="00A91E21"/>
    <w:pPr>
      <w:spacing w:after="0" w:line="280" w:lineRule="exact"/>
      <w:jc w:val="right"/>
    </w:pPr>
    <w:rPr>
      <w:rFonts w:ascii="Helvetica" w:eastAsia="Times New Roman" w:hAnsi="Helvetica" w:cs="Times New Roman"/>
      <w:b/>
      <w:sz w:val="24"/>
      <w:szCs w:val="20"/>
    </w:rPr>
  </w:style>
  <w:style w:type="paragraph" w:customStyle="1" w:styleId="Affiliation">
    <w:name w:val="Affiliation"/>
    <w:basedOn w:val="Normal"/>
    <w:rsid w:val="00A91E21"/>
    <w:pPr>
      <w:spacing w:after="240" w:line="240" w:lineRule="exact"/>
      <w:jc w:val="right"/>
    </w:pPr>
    <w:rPr>
      <w:rFonts w:ascii="Helvetica" w:eastAsia="Times New Roman" w:hAnsi="Helvetica" w:cs="Times New Roman"/>
      <w:sz w:val="20"/>
      <w:szCs w:val="20"/>
    </w:rPr>
  </w:style>
  <w:style w:type="paragraph" w:customStyle="1" w:styleId="Body">
    <w:name w:val="Body"/>
    <w:basedOn w:val="Normal"/>
    <w:rsid w:val="00A91E21"/>
    <w:pPr>
      <w:spacing w:after="240" w:line="240" w:lineRule="auto"/>
      <w:jc w:val="both"/>
    </w:pPr>
    <w:rPr>
      <w:rFonts w:ascii="Helvetica" w:eastAsia="Times New Roman" w:hAnsi="Helvetica" w:cs="Times New Roman"/>
      <w:sz w:val="20"/>
      <w:szCs w:val="20"/>
    </w:rPr>
  </w:style>
  <w:style w:type="paragraph" w:customStyle="1" w:styleId="AbstHead">
    <w:name w:val="Abst Head"/>
    <w:basedOn w:val="Normal"/>
    <w:rsid w:val="00A91E21"/>
    <w:pPr>
      <w:keepNext/>
      <w:spacing w:after="240" w:line="240" w:lineRule="auto"/>
    </w:pPr>
    <w:rPr>
      <w:rFonts w:ascii="Helvetica" w:eastAsia="Times New Roman" w:hAnsi="Helvetica" w:cs="Times New Roman"/>
      <w:b/>
      <w:caps/>
      <w:szCs w:val="20"/>
    </w:rPr>
  </w:style>
  <w:style w:type="paragraph" w:customStyle="1" w:styleId="Copyright">
    <w:name w:val="Copyright"/>
    <w:basedOn w:val="Normal"/>
    <w:rsid w:val="00A91E21"/>
    <w:pPr>
      <w:spacing w:after="960" w:line="200" w:lineRule="exact"/>
    </w:pPr>
    <w:rPr>
      <w:rFonts w:ascii="Helvetica" w:eastAsia="Times New Roman" w:hAnsi="Helvetica" w:cs="Times New Roman"/>
      <w:sz w:val="16"/>
      <w:szCs w:val="20"/>
    </w:rPr>
  </w:style>
  <w:style w:type="paragraph" w:styleId="Title">
    <w:name w:val="Title"/>
    <w:basedOn w:val="Normal"/>
    <w:link w:val="TitleChar"/>
    <w:qFormat/>
    <w:rsid w:val="00A91E21"/>
    <w:pPr>
      <w:spacing w:after="360" w:line="240" w:lineRule="auto"/>
      <w:jc w:val="right"/>
    </w:pPr>
    <w:rPr>
      <w:rFonts w:ascii="Helvetica" w:eastAsia="Times New Roman" w:hAnsi="Helvetica" w:cs="Times New Roman"/>
      <w:b/>
      <w:kern w:val="28"/>
      <w:sz w:val="36"/>
      <w:szCs w:val="20"/>
    </w:rPr>
  </w:style>
  <w:style w:type="character" w:customStyle="1" w:styleId="TitleChar">
    <w:name w:val="Title Char"/>
    <w:basedOn w:val="DefaultParagraphFont"/>
    <w:link w:val="Title"/>
    <w:rsid w:val="00A91E21"/>
    <w:rPr>
      <w:rFonts w:ascii="Helvetica" w:eastAsia="Times New Roman" w:hAnsi="Helvetica" w:cs="Times New Roman"/>
      <w:b/>
      <w:kern w:val="28"/>
      <w:sz w:val="36"/>
      <w:szCs w:val="20"/>
    </w:rPr>
  </w:style>
  <w:style w:type="character" w:styleId="LineNumber">
    <w:name w:val="line number"/>
    <w:basedOn w:val="DefaultParagraphFont"/>
    <w:uiPriority w:val="99"/>
    <w:semiHidden/>
    <w:unhideWhenUsed/>
    <w:rsid w:val="00A91E21"/>
  </w:style>
  <w:style w:type="character" w:styleId="Hyperlink">
    <w:name w:val="Hyperlink"/>
    <w:basedOn w:val="DefaultParagraphFont"/>
    <w:uiPriority w:val="99"/>
    <w:unhideWhenUsed/>
    <w:rsid w:val="0027686A"/>
    <w:rPr>
      <w:color w:val="0563C1" w:themeColor="hyperlink"/>
      <w:u w:val="single"/>
    </w:rPr>
  </w:style>
  <w:style w:type="character" w:customStyle="1" w:styleId="citation-doi">
    <w:name w:val="citation-doi"/>
    <w:basedOn w:val="DefaultParagraphFont"/>
    <w:rsid w:val="0027686A"/>
  </w:style>
  <w:style w:type="character" w:customStyle="1" w:styleId="secondary-date">
    <w:name w:val="secondary-date"/>
    <w:basedOn w:val="DefaultParagraphFont"/>
    <w:rsid w:val="0027686A"/>
  </w:style>
  <w:style w:type="character" w:customStyle="1" w:styleId="UnresolvedMention">
    <w:name w:val="Unresolved Mention"/>
    <w:basedOn w:val="DefaultParagraphFont"/>
    <w:uiPriority w:val="99"/>
    <w:semiHidden/>
    <w:unhideWhenUsed/>
    <w:rsid w:val="0072473A"/>
    <w:rPr>
      <w:color w:val="605E5C"/>
      <w:shd w:val="clear" w:color="auto" w:fill="E1DFDD"/>
    </w:rPr>
  </w:style>
  <w:style w:type="character" w:styleId="Emphasis">
    <w:name w:val="Emphasis"/>
    <w:basedOn w:val="DefaultParagraphFont"/>
    <w:uiPriority w:val="20"/>
    <w:qFormat/>
    <w:rsid w:val="00AA52E0"/>
    <w:rPr>
      <w:i/>
      <w:iCs/>
    </w:rPr>
  </w:style>
  <w:style w:type="character" w:customStyle="1" w:styleId="anchor-text">
    <w:name w:val="anchor-text"/>
    <w:basedOn w:val="DefaultParagraphFont"/>
    <w:rsid w:val="00AA52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670945">
      <w:bodyDiv w:val="1"/>
      <w:marLeft w:val="0"/>
      <w:marRight w:val="0"/>
      <w:marTop w:val="0"/>
      <w:marBottom w:val="0"/>
      <w:divBdr>
        <w:top w:val="none" w:sz="0" w:space="0" w:color="auto"/>
        <w:left w:val="none" w:sz="0" w:space="0" w:color="auto"/>
        <w:bottom w:val="none" w:sz="0" w:space="0" w:color="auto"/>
        <w:right w:val="none" w:sz="0" w:space="0" w:color="auto"/>
      </w:divBdr>
    </w:div>
    <w:div w:id="754940089">
      <w:bodyDiv w:val="1"/>
      <w:marLeft w:val="0"/>
      <w:marRight w:val="0"/>
      <w:marTop w:val="0"/>
      <w:marBottom w:val="0"/>
      <w:divBdr>
        <w:top w:val="none" w:sz="0" w:space="0" w:color="auto"/>
        <w:left w:val="none" w:sz="0" w:space="0" w:color="auto"/>
        <w:bottom w:val="none" w:sz="0" w:space="0" w:color="auto"/>
        <w:right w:val="none" w:sz="0" w:space="0" w:color="auto"/>
      </w:divBdr>
    </w:div>
    <w:div w:id="1118839363">
      <w:bodyDiv w:val="1"/>
      <w:marLeft w:val="0"/>
      <w:marRight w:val="0"/>
      <w:marTop w:val="0"/>
      <w:marBottom w:val="0"/>
      <w:divBdr>
        <w:top w:val="none" w:sz="0" w:space="0" w:color="auto"/>
        <w:left w:val="none" w:sz="0" w:space="0" w:color="auto"/>
        <w:bottom w:val="none" w:sz="0" w:space="0" w:color="auto"/>
        <w:right w:val="none" w:sz="0" w:space="0" w:color="auto"/>
      </w:divBdr>
    </w:div>
    <w:div w:id="2105152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4.xml"/><Relationship Id="rId26" Type="http://schemas.openxmlformats.org/officeDocument/2006/relationships/hyperlink" Target="https://doi.org/10.1016/j.wasman.2013.01.003" TargetMode="External"/><Relationship Id="rId39" Type="http://schemas.openxmlformats.org/officeDocument/2006/relationships/header" Target="header1.xml"/><Relationship Id="rId21" Type="http://schemas.openxmlformats.org/officeDocument/2006/relationships/chart" Target="charts/chart7.xml"/><Relationship Id="rId34" Type="http://schemas.openxmlformats.org/officeDocument/2006/relationships/hyperlink" Target="https://doi.org/10.1016/j.talanta.2010.03.038" TargetMode="External"/><Relationship Id="rId42"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chart" Target="charts/chart2.xml"/><Relationship Id="rId29" Type="http://schemas.openxmlformats.org/officeDocument/2006/relationships/hyperlink" Target="https://doi.org/10.1021/es070292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doi.org/10.3390/recycling4030036" TargetMode="External"/><Relationship Id="rId32" Type="http://schemas.openxmlformats.org/officeDocument/2006/relationships/hyperlink" Target="https://doi.org/10.1016/j.totert.2022.100002" TargetMode="External"/><Relationship Id="rId37" Type="http://schemas.openxmlformats.org/officeDocument/2006/relationships/hyperlink" Target="https://doi.org/10.3390/min12050560"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1.xml"/><Relationship Id="rId23" Type="http://schemas.microsoft.com/office/2007/relationships/hdphoto" Target="media/hdphoto3.wdp"/><Relationship Id="rId28" Type="http://schemas.openxmlformats.org/officeDocument/2006/relationships/hyperlink" Target="https://doi.org/10.1007/s11356-016-7695-9" TargetMode="External"/><Relationship Id="rId36" Type="http://schemas.openxmlformats.org/officeDocument/2006/relationships/hyperlink" Target="https://doi.org/10.3390/ijms23105438" TargetMode="External"/><Relationship Id="rId10" Type="http://schemas.microsoft.com/office/2007/relationships/hdphoto" Target="media/hdphoto1.wdp"/><Relationship Id="rId19" Type="http://schemas.openxmlformats.org/officeDocument/2006/relationships/chart" Target="charts/chart5.xml"/><Relationship Id="rId31" Type="http://schemas.openxmlformats.org/officeDocument/2006/relationships/hyperlink" Target="https://doi.org/10.1021/es0009020"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2.wdp"/><Relationship Id="rId22" Type="http://schemas.openxmlformats.org/officeDocument/2006/relationships/image" Target="media/image7.png"/><Relationship Id="rId27" Type="http://schemas.openxmlformats.org/officeDocument/2006/relationships/hyperlink" Target="https://doi.org/10.1016/S0304-3894(03)00061-X" TargetMode="External"/><Relationship Id="rId30" Type="http://schemas.openxmlformats.org/officeDocument/2006/relationships/hyperlink" Target="https://doi.org/10.1016/j.jiec.2025.04.020" TargetMode="External"/><Relationship Id="rId35" Type="http://schemas.openxmlformats.org/officeDocument/2006/relationships/hyperlink" Target="https://doi.org/10.1016/j.hydromet.2008.04.019" TargetMode="External"/><Relationship Id="rId43" Type="http://schemas.openxmlformats.org/officeDocument/2006/relationships/header" Target="header3.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chart" Target="charts/chart3.xml"/><Relationship Id="rId25" Type="http://schemas.openxmlformats.org/officeDocument/2006/relationships/hyperlink" Target="https://doi.org/10.1016/j.wasman.2015.01.017" TargetMode="External"/><Relationship Id="rId33" Type="http://schemas.openxmlformats.org/officeDocument/2006/relationships/hyperlink" Target="https://doi.org/10.1016/j.wasman.2009.03.004" TargetMode="External"/><Relationship Id="rId38" Type="http://schemas.openxmlformats.org/officeDocument/2006/relationships/hyperlink" Target="https://doi.org/10.1021/es702255z" TargetMode="External"/><Relationship Id="rId46" Type="http://schemas.openxmlformats.org/officeDocument/2006/relationships/theme" Target="theme/theme1.xml"/><Relationship Id="rId20" Type="http://schemas.openxmlformats.org/officeDocument/2006/relationships/chart" Target="charts/chart6.xml"/><Relationship Id="rId41"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Eugene\Desktop\PROJET%20WORKS\Ph.D\Ichu\Heavy%20metals\latest%20data%20recent%20(Autosaved).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Sheet3!$I$1</c:f>
              <c:strCache>
                <c:ptCount val="1"/>
                <c:pt idx="0">
                  <c:v>Zinc</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Sheet3!$H$2:$H$6</c:f>
              <c:numCache>
                <c:formatCode>General</c:formatCode>
                <c:ptCount val="5"/>
                <c:pt idx="0">
                  <c:v>2</c:v>
                </c:pt>
                <c:pt idx="1">
                  <c:v>3</c:v>
                </c:pt>
                <c:pt idx="2">
                  <c:v>4</c:v>
                </c:pt>
                <c:pt idx="3">
                  <c:v>5</c:v>
                </c:pt>
                <c:pt idx="4">
                  <c:v>6</c:v>
                </c:pt>
              </c:numCache>
            </c:numRef>
          </c:cat>
          <c:val>
            <c:numRef>
              <c:f>Sheet3!$I$2:$I$6</c:f>
              <c:numCache>
                <c:formatCode>General</c:formatCode>
                <c:ptCount val="5"/>
                <c:pt idx="0">
                  <c:v>3.07</c:v>
                </c:pt>
                <c:pt idx="1">
                  <c:v>2.86</c:v>
                </c:pt>
                <c:pt idx="2">
                  <c:v>2.19</c:v>
                </c:pt>
                <c:pt idx="3">
                  <c:v>1.72</c:v>
                </c:pt>
                <c:pt idx="4">
                  <c:v>1.39</c:v>
                </c:pt>
              </c:numCache>
            </c:numRef>
          </c:val>
          <c:smooth val="0"/>
          <c:extLst>
            <c:ext xmlns:c16="http://schemas.microsoft.com/office/drawing/2014/chart" uri="{C3380CC4-5D6E-409C-BE32-E72D297353CC}">
              <c16:uniqueId val="{00000000-8EFB-405C-AACD-1C81D3F9C44B}"/>
            </c:ext>
          </c:extLst>
        </c:ser>
        <c:ser>
          <c:idx val="1"/>
          <c:order val="1"/>
          <c:tx>
            <c:strRef>
              <c:f>Sheet3!$J$1</c:f>
              <c:strCache>
                <c:ptCount val="1"/>
                <c:pt idx="0">
                  <c:v>Nickel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Sheet3!$H$2:$H$6</c:f>
              <c:numCache>
                <c:formatCode>General</c:formatCode>
                <c:ptCount val="5"/>
                <c:pt idx="0">
                  <c:v>2</c:v>
                </c:pt>
                <c:pt idx="1">
                  <c:v>3</c:v>
                </c:pt>
                <c:pt idx="2">
                  <c:v>4</c:v>
                </c:pt>
                <c:pt idx="3">
                  <c:v>5</c:v>
                </c:pt>
                <c:pt idx="4">
                  <c:v>6</c:v>
                </c:pt>
              </c:numCache>
            </c:numRef>
          </c:cat>
          <c:val>
            <c:numRef>
              <c:f>Sheet3!$J$2:$J$6</c:f>
              <c:numCache>
                <c:formatCode>General</c:formatCode>
                <c:ptCount val="5"/>
                <c:pt idx="0">
                  <c:v>6.06</c:v>
                </c:pt>
                <c:pt idx="1">
                  <c:v>4.22</c:v>
                </c:pt>
                <c:pt idx="2">
                  <c:v>3.56</c:v>
                </c:pt>
                <c:pt idx="3">
                  <c:v>2.61</c:v>
                </c:pt>
                <c:pt idx="4">
                  <c:v>1.66</c:v>
                </c:pt>
              </c:numCache>
            </c:numRef>
          </c:val>
          <c:smooth val="0"/>
          <c:extLst>
            <c:ext xmlns:c16="http://schemas.microsoft.com/office/drawing/2014/chart" uri="{C3380CC4-5D6E-409C-BE32-E72D297353CC}">
              <c16:uniqueId val="{00000001-8EFB-405C-AACD-1C81D3F9C44B}"/>
            </c:ext>
          </c:extLst>
        </c:ser>
        <c:dLbls>
          <c:showLegendKey val="0"/>
          <c:showVal val="0"/>
          <c:showCatName val="0"/>
          <c:showSerName val="0"/>
          <c:showPercent val="0"/>
          <c:showBubbleSize val="0"/>
        </c:dLbls>
        <c:marker val="1"/>
        <c:smooth val="0"/>
        <c:axId val="501037632"/>
        <c:axId val="501038024"/>
      </c:lineChart>
      <c:catAx>
        <c:axId val="5010376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Time (Hrs)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01038024"/>
        <c:crosses val="autoZero"/>
        <c:auto val="1"/>
        <c:lblAlgn val="ctr"/>
        <c:lblOffset val="100"/>
        <c:noMultiLvlLbl val="0"/>
      </c:catAx>
      <c:valAx>
        <c:axId val="5010380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Recovery efficiency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01037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Sheet3!$B$3</c:f>
              <c:strCache>
                <c:ptCount val="1"/>
                <c:pt idx="0">
                  <c:v>Citric</c:v>
                </c:pt>
              </c:strCache>
            </c:strRef>
          </c:tx>
          <c:spPr>
            <a:solidFill>
              <a:schemeClr val="accent1"/>
            </a:solidFill>
            <a:ln>
              <a:noFill/>
            </a:ln>
            <a:effectLst/>
          </c:spPr>
          <c:invertIfNegative val="0"/>
          <c:errBars>
            <c:errBarType val="both"/>
            <c:errValType val="cust"/>
            <c:noEndCap val="0"/>
            <c:plus>
              <c:numRef>
                <c:f>Sheet3!$C$9:$D$9</c:f>
                <c:numCache>
                  <c:formatCode>General</c:formatCode>
                  <c:ptCount val="2"/>
                  <c:pt idx="0">
                    <c:v>0.49</c:v>
                  </c:pt>
                  <c:pt idx="1">
                    <c:v>0.97</c:v>
                  </c:pt>
                </c:numCache>
              </c:numRef>
            </c:plus>
            <c:minus>
              <c:numRef>
                <c:f>Sheet3!$C$9:$D$9</c:f>
                <c:numCache>
                  <c:formatCode>General</c:formatCode>
                  <c:ptCount val="2"/>
                  <c:pt idx="0">
                    <c:v>0.49</c:v>
                  </c:pt>
                  <c:pt idx="1">
                    <c:v>0.97</c:v>
                  </c:pt>
                </c:numCache>
              </c:numRef>
            </c:minus>
            <c:spPr>
              <a:noFill/>
              <a:ln w="9525" cap="flat" cmpd="sng" algn="ctr">
                <a:solidFill>
                  <a:schemeClr val="tx1">
                    <a:lumMod val="65000"/>
                    <a:lumOff val="35000"/>
                  </a:schemeClr>
                </a:solidFill>
                <a:round/>
              </a:ln>
              <a:effectLst/>
            </c:spPr>
          </c:errBars>
          <c:cat>
            <c:strRef>
              <c:f>Sheet3!$C$2:$D$2</c:f>
              <c:strCache>
                <c:ptCount val="2"/>
                <c:pt idx="0">
                  <c:v>Zinc (Zn)</c:v>
                </c:pt>
                <c:pt idx="1">
                  <c:v>Nickel (Ni)</c:v>
                </c:pt>
              </c:strCache>
            </c:strRef>
          </c:cat>
          <c:val>
            <c:numRef>
              <c:f>Sheet3!$C$3:$D$3</c:f>
              <c:numCache>
                <c:formatCode>General</c:formatCode>
                <c:ptCount val="2"/>
                <c:pt idx="0">
                  <c:v>1.57</c:v>
                </c:pt>
                <c:pt idx="1">
                  <c:v>3.26</c:v>
                </c:pt>
              </c:numCache>
            </c:numRef>
          </c:val>
          <c:extLst>
            <c:ext xmlns:c16="http://schemas.microsoft.com/office/drawing/2014/chart" uri="{C3380CC4-5D6E-409C-BE32-E72D297353CC}">
              <c16:uniqueId val="{00000000-90DE-4D2B-A08B-2B3C6DFD0254}"/>
            </c:ext>
          </c:extLst>
        </c:ser>
        <c:ser>
          <c:idx val="1"/>
          <c:order val="1"/>
          <c:tx>
            <c:strRef>
              <c:f>Sheet3!$B$4</c:f>
              <c:strCache>
                <c:ptCount val="1"/>
                <c:pt idx="0">
                  <c:v>Malic</c:v>
                </c:pt>
              </c:strCache>
            </c:strRef>
          </c:tx>
          <c:spPr>
            <a:solidFill>
              <a:schemeClr val="accent2"/>
            </a:solidFill>
            <a:ln>
              <a:noFill/>
            </a:ln>
            <a:effectLst/>
          </c:spPr>
          <c:invertIfNegative val="0"/>
          <c:errBars>
            <c:errBarType val="both"/>
            <c:errValType val="cust"/>
            <c:noEndCap val="0"/>
            <c:plus>
              <c:numRef>
                <c:f>Sheet3!$C$10:$D$10</c:f>
                <c:numCache>
                  <c:formatCode>General</c:formatCode>
                  <c:ptCount val="2"/>
                  <c:pt idx="0">
                    <c:v>0.56999999999999995</c:v>
                  </c:pt>
                  <c:pt idx="1">
                    <c:v>0.79</c:v>
                  </c:pt>
                </c:numCache>
              </c:numRef>
            </c:plus>
            <c:minus>
              <c:numRef>
                <c:f>Sheet3!$C$10:$D$10</c:f>
                <c:numCache>
                  <c:formatCode>General</c:formatCode>
                  <c:ptCount val="2"/>
                  <c:pt idx="0">
                    <c:v>0.56999999999999995</c:v>
                  </c:pt>
                  <c:pt idx="1">
                    <c:v>0.79</c:v>
                  </c:pt>
                </c:numCache>
              </c:numRef>
            </c:minus>
            <c:spPr>
              <a:noFill/>
              <a:ln w="9525" cap="flat" cmpd="sng" algn="ctr">
                <a:solidFill>
                  <a:schemeClr val="tx1">
                    <a:lumMod val="65000"/>
                    <a:lumOff val="35000"/>
                  </a:schemeClr>
                </a:solidFill>
                <a:round/>
              </a:ln>
              <a:effectLst/>
            </c:spPr>
          </c:errBars>
          <c:cat>
            <c:strRef>
              <c:f>Sheet3!$C$2:$D$2</c:f>
              <c:strCache>
                <c:ptCount val="2"/>
                <c:pt idx="0">
                  <c:v>Zinc (Zn)</c:v>
                </c:pt>
                <c:pt idx="1">
                  <c:v>Nickel (Ni)</c:v>
                </c:pt>
              </c:strCache>
            </c:strRef>
          </c:cat>
          <c:val>
            <c:numRef>
              <c:f>Sheet3!$C$4:$D$4</c:f>
              <c:numCache>
                <c:formatCode>General</c:formatCode>
                <c:ptCount val="2"/>
                <c:pt idx="0">
                  <c:v>1.88</c:v>
                </c:pt>
                <c:pt idx="1">
                  <c:v>2.79</c:v>
                </c:pt>
              </c:numCache>
            </c:numRef>
          </c:val>
          <c:extLst>
            <c:ext xmlns:c16="http://schemas.microsoft.com/office/drawing/2014/chart" uri="{C3380CC4-5D6E-409C-BE32-E72D297353CC}">
              <c16:uniqueId val="{00000001-90DE-4D2B-A08B-2B3C6DFD0254}"/>
            </c:ext>
          </c:extLst>
        </c:ser>
        <c:ser>
          <c:idx val="2"/>
          <c:order val="2"/>
          <c:tx>
            <c:strRef>
              <c:f>Sheet3!$B$5</c:f>
              <c:strCache>
                <c:ptCount val="1"/>
                <c:pt idx="0">
                  <c:v>Oxalic</c:v>
                </c:pt>
              </c:strCache>
            </c:strRef>
          </c:tx>
          <c:spPr>
            <a:solidFill>
              <a:schemeClr val="accent3"/>
            </a:solidFill>
            <a:ln>
              <a:noFill/>
            </a:ln>
            <a:effectLst/>
          </c:spPr>
          <c:invertIfNegative val="0"/>
          <c:errBars>
            <c:errBarType val="both"/>
            <c:errValType val="cust"/>
            <c:noEndCap val="0"/>
            <c:plus>
              <c:numRef>
                <c:f>Sheet3!$C$11:$D$11</c:f>
                <c:numCache>
                  <c:formatCode>General</c:formatCode>
                  <c:ptCount val="2"/>
                  <c:pt idx="0">
                    <c:v>1.1299999999999999</c:v>
                  </c:pt>
                  <c:pt idx="1">
                    <c:v>2.12</c:v>
                  </c:pt>
                </c:numCache>
              </c:numRef>
            </c:plus>
            <c:minus>
              <c:numRef>
                <c:f>Sheet3!$C$11:$D$11</c:f>
                <c:numCache>
                  <c:formatCode>General</c:formatCode>
                  <c:ptCount val="2"/>
                  <c:pt idx="0">
                    <c:v>1.1299999999999999</c:v>
                  </c:pt>
                  <c:pt idx="1">
                    <c:v>2.12</c:v>
                  </c:pt>
                </c:numCache>
              </c:numRef>
            </c:minus>
            <c:spPr>
              <a:noFill/>
              <a:ln w="9525" cap="flat" cmpd="sng" algn="ctr">
                <a:solidFill>
                  <a:schemeClr val="tx1">
                    <a:lumMod val="65000"/>
                    <a:lumOff val="35000"/>
                  </a:schemeClr>
                </a:solidFill>
                <a:round/>
              </a:ln>
              <a:effectLst/>
            </c:spPr>
          </c:errBars>
          <c:cat>
            <c:strRef>
              <c:f>Sheet3!$C$2:$D$2</c:f>
              <c:strCache>
                <c:ptCount val="2"/>
                <c:pt idx="0">
                  <c:v>Zinc (Zn)</c:v>
                </c:pt>
                <c:pt idx="1">
                  <c:v>Nickel (Ni)</c:v>
                </c:pt>
              </c:strCache>
            </c:strRef>
          </c:cat>
          <c:val>
            <c:numRef>
              <c:f>Sheet3!$C$5:$D$5</c:f>
              <c:numCache>
                <c:formatCode>General</c:formatCode>
                <c:ptCount val="2"/>
                <c:pt idx="0">
                  <c:v>4.2300000000000004</c:v>
                </c:pt>
                <c:pt idx="1">
                  <c:v>7.03</c:v>
                </c:pt>
              </c:numCache>
            </c:numRef>
          </c:val>
          <c:extLst>
            <c:ext xmlns:c16="http://schemas.microsoft.com/office/drawing/2014/chart" uri="{C3380CC4-5D6E-409C-BE32-E72D297353CC}">
              <c16:uniqueId val="{00000002-90DE-4D2B-A08B-2B3C6DFD0254}"/>
            </c:ext>
          </c:extLst>
        </c:ser>
        <c:ser>
          <c:idx val="3"/>
          <c:order val="3"/>
          <c:tx>
            <c:strRef>
              <c:f>Sheet3!$B$6</c:f>
              <c:strCache>
                <c:ptCount val="1"/>
                <c:pt idx="0">
                  <c:v>Citric+Malic+Oxalic</c:v>
                </c:pt>
              </c:strCache>
            </c:strRef>
          </c:tx>
          <c:spPr>
            <a:solidFill>
              <a:schemeClr val="accent4"/>
            </a:solidFill>
            <a:ln>
              <a:noFill/>
            </a:ln>
            <a:effectLst/>
          </c:spPr>
          <c:invertIfNegative val="0"/>
          <c:errBars>
            <c:errBarType val="both"/>
            <c:errValType val="cust"/>
            <c:noEndCap val="0"/>
            <c:plus>
              <c:numRef>
                <c:f>Sheet3!$C$12:$D$12</c:f>
                <c:numCache>
                  <c:formatCode>General</c:formatCode>
                  <c:ptCount val="2"/>
                  <c:pt idx="0">
                    <c:v>0.37</c:v>
                  </c:pt>
                  <c:pt idx="1">
                    <c:v>0.4</c:v>
                  </c:pt>
                </c:numCache>
              </c:numRef>
            </c:plus>
            <c:minus>
              <c:numRef>
                <c:f>Sheet3!$C$12:$D$12</c:f>
                <c:numCache>
                  <c:formatCode>General</c:formatCode>
                  <c:ptCount val="2"/>
                  <c:pt idx="0">
                    <c:v>0.37</c:v>
                  </c:pt>
                  <c:pt idx="1">
                    <c:v>0.4</c:v>
                  </c:pt>
                </c:numCache>
              </c:numRef>
            </c:minus>
            <c:spPr>
              <a:noFill/>
              <a:ln w="9525" cap="flat" cmpd="sng" algn="ctr">
                <a:solidFill>
                  <a:schemeClr val="tx1">
                    <a:lumMod val="65000"/>
                    <a:lumOff val="35000"/>
                  </a:schemeClr>
                </a:solidFill>
                <a:round/>
              </a:ln>
              <a:effectLst/>
            </c:spPr>
          </c:errBars>
          <c:cat>
            <c:strRef>
              <c:f>Sheet3!$C$2:$D$2</c:f>
              <c:strCache>
                <c:ptCount val="2"/>
                <c:pt idx="0">
                  <c:v>Zinc (Zn)</c:v>
                </c:pt>
                <c:pt idx="1">
                  <c:v>Nickel (Ni)</c:v>
                </c:pt>
              </c:strCache>
            </c:strRef>
          </c:cat>
          <c:val>
            <c:numRef>
              <c:f>Sheet3!$C$6:$D$6</c:f>
              <c:numCache>
                <c:formatCode>General</c:formatCode>
                <c:ptCount val="2"/>
                <c:pt idx="0">
                  <c:v>1.31</c:v>
                </c:pt>
                <c:pt idx="1">
                  <c:v>1.4</c:v>
                </c:pt>
              </c:numCache>
            </c:numRef>
          </c:val>
          <c:extLst>
            <c:ext xmlns:c16="http://schemas.microsoft.com/office/drawing/2014/chart" uri="{C3380CC4-5D6E-409C-BE32-E72D297353CC}">
              <c16:uniqueId val="{00000003-90DE-4D2B-A08B-2B3C6DFD0254}"/>
            </c:ext>
          </c:extLst>
        </c:ser>
        <c:dLbls>
          <c:showLegendKey val="0"/>
          <c:showVal val="0"/>
          <c:showCatName val="0"/>
          <c:showSerName val="0"/>
          <c:showPercent val="0"/>
          <c:showBubbleSize val="0"/>
        </c:dLbls>
        <c:gapWidth val="219"/>
        <c:overlap val="-27"/>
        <c:axId val="501034104"/>
        <c:axId val="501034888"/>
      </c:barChart>
      <c:catAx>
        <c:axId val="5010341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01034888"/>
        <c:crosses val="autoZero"/>
        <c:auto val="1"/>
        <c:lblAlgn val="ctr"/>
        <c:lblOffset val="100"/>
        <c:noMultiLvlLbl val="0"/>
      </c:catAx>
      <c:valAx>
        <c:axId val="501034888"/>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r>
                  <a:rPr lang="en-US"/>
                  <a:t>Recovery efficiency (%)
</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01034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lgn="just">
        <a:defRPr sz="1100">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Sheet2!$B$4</c:f>
              <c:strCache>
                <c:ptCount val="1"/>
                <c:pt idx="0">
                  <c:v>2</c:v>
                </c:pt>
              </c:strCache>
            </c:strRef>
          </c:tx>
          <c:spPr>
            <a:solidFill>
              <a:schemeClr val="accent1"/>
            </a:solidFill>
            <a:ln>
              <a:noFill/>
            </a:ln>
            <a:effectLst/>
          </c:spPr>
          <c:invertIfNegative val="0"/>
          <c:errBars>
            <c:errBarType val="both"/>
            <c:errValType val="cust"/>
            <c:noEndCap val="0"/>
            <c:plus>
              <c:numRef>
                <c:f>Sheet2!$M$4:$T$4</c:f>
                <c:numCache>
                  <c:formatCode>General</c:formatCode>
                  <c:ptCount val="8"/>
                  <c:pt idx="0">
                    <c:v>0.06</c:v>
                  </c:pt>
                  <c:pt idx="1">
                    <c:v>0.04</c:v>
                  </c:pt>
                  <c:pt idx="2">
                    <c:v>0.06</c:v>
                  </c:pt>
                  <c:pt idx="3">
                    <c:v>0.04</c:v>
                  </c:pt>
                  <c:pt idx="4">
                    <c:v>0.06</c:v>
                  </c:pt>
                  <c:pt idx="5">
                    <c:v>0.04</c:v>
                  </c:pt>
                  <c:pt idx="6">
                    <c:v>0.06</c:v>
                  </c:pt>
                  <c:pt idx="7">
                    <c:v>0.04</c:v>
                  </c:pt>
                </c:numCache>
              </c:numRef>
            </c:plus>
            <c:minus>
              <c:numRef>
                <c:f>Sheet2!$M$4:$T$4</c:f>
                <c:numCache>
                  <c:formatCode>General</c:formatCode>
                  <c:ptCount val="8"/>
                  <c:pt idx="0">
                    <c:v>0.06</c:v>
                  </c:pt>
                  <c:pt idx="1">
                    <c:v>0.04</c:v>
                  </c:pt>
                  <c:pt idx="2">
                    <c:v>0.06</c:v>
                  </c:pt>
                  <c:pt idx="3">
                    <c:v>0.04</c:v>
                  </c:pt>
                  <c:pt idx="4">
                    <c:v>0.06</c:v>
                  </c:pt>
                  <c:pt idx="5">
                    <c:v>0.04</c:v>
                  </c:pt>
                  <c:pt idx="6">
                    <c:v>0.06</c:v>
                  </c:pt>
                  <c:pt idx="7">
                    <c:v>0.04</c:v>
                  </c:pt>
                </c:numCache>
              </c:numRef>
            </c:minus>
            <c:spPr>
              <a:noFill/>
              <a:ln w="9525" cap="flat" cmpd="sng" algn="ctr">
                <a:solidFill>
                  <a:schemeClr val="tx1">
                    <a:lumMod val="65000"/>
                    <a:lumOff val="35000"/>
                  </a:schemeClr>
                </a:solidFill>
                <a:round/>
              </a:ln>
              <a:effectLst/>
            </c:spPr>
          </c:errBars>
          <c:cat>
            <c:multiLvlStrRef>
              <c:f>Sheet2!$C$2:$J$3</c:f>
              <c:multiLvlStrCache>
                <c:ptCount val="8"/>
                <c:lvl>
                  <c:pt idx="0">
                    <c:v>Zn</c:v>
                  </c:pt>
                  <c:pt idx="1">
                    <c:v>Ni</c:v>
                  </c:pt>
                  <c:pt idx="2">
                    <c:v>Zn</c:v>
                  </c:pt>
                  <c:pt idx="3">
                    <c:v>Ni</c:v>
                  </c:pt>
                  <c:pt idx="4">
                    <c:v>Zn</c:v>
                  </c:pt>
                  <c:pt idx="5">
                    <c:v>Ni</c:v>
                  </c:pt>
                  <c:pt idx="6">
                    <c:v>Zn</c:v>
                  </c:pt>
                  <c:pt idx="7">
                    <c:v>Ni</c:v>
                  </c:pt>
                </c:lvl>
                <c:lvl>
                  <c:pt idx="0">
                    <c:v>Citric</c:v>
                  </c:pt>
                  <c:pt idx="2">
                    <c:v>Malic</c:v>
                  </c:pt>
                  <c:pt idx="4">
                    <c:v>Oxalic</c:v>
                  </c:pt>
                  <c:pt idx="6">
                    <c:v>Citric+Malic+Oxalic</c:v>
                  </c:pt>
                </c:lvl>
              </c:multiLvlStrCache>
            </c:multiLvlStrRef>
          </c:cat>
          <c:val>
            <c:numRef>
              <c:f>Sheet2!$C$4:$J$4</c:f>
              <c:numCache>
                <c:formatCode>General</c:formatCode>
                <c:ptCount val="8"/>
                <c:pt idx="0">
                  <c:v>8.58</c:v>
                </c:pt>
                <c:pt idx="1">
                  <c:v>15.79</c:v>
                </c:pt>
                <c:pt idx="2">
                  <c:v>7.63</c:v>
                </c:pt>
                <c:pt idx="3">
                  <c:v>12.95</c:v>
                </c:pt>
                <c:pt idx="4">
                  <c:v>14.9</c:v>
                </c:pt>
                <c:pt idx="5">
                  <c:v>37.57</c:v>
                </c:pt>
                <c:pt idx="6">
                  <c:v>5.78</c:v>
                </c:pt>
                <c:pt idx="7">
                  <c:v>6.39</c:v>
                </c:pt>
              </c:numCache>
            </c:numRef>
          </c:val>
          <c:extLst>
            <c:ext xmlns:c16="http://schemas.microsoft.com/office/drawing/2014/chart" uri="{C3380CC4-5D6E-409C-BE32-E72D297353CC}">
              <c16:uniqueId val="{00000000-1162-421C-9008-4F745864D12F}"/>
            </c:ext>
          </c:extLst>
        </c:ser>
        <c:ser>
          <c:idx val="1"/>
          <c:order val="1"/>
          <c:tx>
            <c:strRef>
              <c:f>Sheet2!$B$5</c:f>
              <c:strCache>
                <c:ptCount val="1"/>
                <c:pt idx="0">
                  <c:v>3</c:v>
                </c:pt>
              </c:strCache>
            </c:strRef>
          </c:tx>
          <c:spPr>
            <a:solidFill>
              <a:schemeClr val="accent2"/>
            </a:solidFill>
            <a:ln>
              <a:noFill/>
            </a:ln>
            <a:effectLst/>
          </c:spPr>
          <c:invertIfNegative val="0"/>
          <c:errBars>
            <c:errBarType val="both"/>
            <c:errValType val="cust"/>
            <c:noEndCap val="0"/>
            <c:plus>
              <c:numRef>
                <c:f>Sheet2!$M$5:$T$5</c:f>
                <c:numCache>
                  <c:formatCode>General</c:formatCode>
                  <c:ptCount val="8"/>
                  <c:pt idx="0">
                    <c:v>0.03</c:v>
                  </c:pt>
                  <c:pt idx="1">
                    <c:v>0.1</c:v>
                  </c:pt>
                  <c:pt idx="2">
                    <c:v>0.03</c:v>
                  </c:pt>
                  <c:pt idx="3">
                    <c:v>0.1</c:v>
                  </c:pt>
                  <c:pt idx="4">
                    <c:v>0.03</c:v>
                  </c:pt>
                  <c:pt idx="5">
                    <c:v>0.1</c:v>
                  </c:pt>
                  <c:pt idx="6">
                    <c:v>0.03</c:v>
                  </c:pt>
                  <c:pt idx="7">
                    <c:v>0.1</c:v>
                  </c:pt>
                </c:numCache>
              </c:numRef>
            </c:plus>
            <c:minus>
              <c:numRef>
                <c:f>Sheet2!$M$5:$T$5</c:f>
                <c:numCache>
                  <c:formatCode>General</c:formatCode>
                  <c:ptCount val="8"/>
                  <c:pt idx="0">
                    <c:v>0.03</c:v>
                  </c:pt>
                  <c:pt idx="1">
                    <c:v>0.1</c:v>
                  </c:pt>
                  <c:pt idx="2">
                    <c:v>0.03</c:v>
                  </c:pt>
                  <c:pt idx="3">
                    <c:v>0.1</c:v>
                  </c:pt>
                  <c:pt idx="4">
                    <c:v>0.03</c:v>
                  </c:pt>
                  <c:pt idx="5">
                    <c:v>0.1</c:v>
                  </c:pt>
                  <c:pt idx="6">
                    <c:v>0.03</c:v>
                  </c:pt>
                  <c:pt idx="7">
                    <c:v>0.1</c:v>
                  </c:pt>
                </c:numCache>
              </c:numRef>
            </c:minus>
            <c:spPr>
              <a:noFill/>
              <a:ln w="9525" cap="flat" cmpd="sng" algn="ctr">
                <a:solidFill>
                  <a:schemeClr val="tx1">
                    <a:lumMod val="65000"/>
                    <a:lumOff val="35000"/>
                  </a:schemeClr>
                </a:solidFill>
                <a:round/>
              </a:ln>
              <a:effectLst/>
            </c:spPr>
          </c:errBars>
          <c:cat>
            <c:multiLvlStrRef>
              <c:f>Sheet2!$C$2:$J$3</c:f>
              <c:multiLvlStrCache>
                <c:ptCount val="8"/>
                <c:lvl>
                  <c:pt idx="0">
                    <c:v>Zn</c:v>
                  </c:pt>
                  <c:pt idx="1">
                    <c:v>Ni</c:v>
                  </c:pt>
                  <c:pt idx="2">
                    <c:v>Zn</c:v>
                  </c:pt>
                  <c:pt idx="3">
                    <c:v>Ni</c:v>
                  </c:pt>
                  <c:pt idx="4">
                    <c:v>Zn</c:v>
                  </c:pt>
                  <c:pt idx="5">
                    <c:v>Ni</c:v>
                  </c:pt>
                  <c:pt idx="6">
                    <c:v>Zn</c:v>
                  </c:pt>
                  <c:pt idx="7">
                    <c:v>Ni</c:v>
                  </c:pt>
                </c:lvl>
                <c:lvl>
                  <c:pt idx="0">
                    <c:v>Citric</c:v>
                  </c:pt>
                  <c:pt idx="2">
                    <c:v>Malic</c:v>
                  </c:pt>
                  <c:pt idx="4">
                    <c:v>Oxalic</c:v>
                  </c:pt>
                  <c:pt idx="6">
                    <c:v>Citric+Malic+Oxalic</c:v>
                  </c:pt>
                </c:lvl>
              </c:multiLvlStrCache>
            </c:multiLvlStrRef>
          </c:cat>
          <c:val>
            <c:numRef>
              <c:f>Sheet2!$C$5:$J$5</c:f>
              <c:numCache>
                <c:formatCode>General</c:formatCode>
                <c:ptCount val="8"/>
                <c:pt idx="0">
                  <c:v>5.89</c:v>
                </c:pt>
                <c:pt idx="1">
                  <c:v>13.18</c:v>
                </c:pt>
                <c:pt idx="2">
                  <c:v>9.2799999999999994</c:v>
                </c:pt>
                <c:pt idx="3">
                  <c:v>9.23</c:v>
                </c:pt>
                <c:pt idx="4">
                  <c:v>14.45</c:v>
                </c:pt>
                <c:pt idx="5">
                  <c:v>22.85</c:v>
                </c:pt>
                <c:pt idx="6">
                  <c:v>4.74</c:v>
                </c:pt>
                <c:pt idx="7">
                  <c:v>5.37</c:v>
                </c:pt>
              </c:numCache>
            </c:numRef>
          </c:val>
          <c:extLst>
            <c:ext xmlns:c16="http://schemas.microsoft.com/office/drawing/2014/chart" uri="{C3380CC4-5D6E-409C-BE32-E72D297353CC}">
              <c16:uniqueId val="{00000001-1162-421C-9008-4F745864D12F}"/>
            </c:ext>
          </c:extLst>
        </c:ser>
        <c:ser>
          <c:idx val="2"/>
          <c:order val="2"/>
          <c:tx>
            <c:strRef>
              <c:f>Sheet2!$B$6</c:f>
              <c:strCache>
                <c:ptCount val="1"/>
                <c:pt idx="0">
                  <c:v>4</c:v>
                </c:pt>
              </c:strCache>
            </c:strRef>
          </c:tx>
          <c:spPr>
            <a:solidFill>
              <a:schemeClr val="accent3"/>
            </a:solidFill>
            <a:ln>
              <a:noFill/>
            </a:ln>
            <a:effectLst/>
          </c:spPr>
          <c:invertIfNegative val="0"/>
          <c:errBars>
            <c:errBarType val="both"/>
            <c:errValType val="cust"/>
            <c:noEndCap val="0"/>
            <c:plus>
              <c:numRef>
                <c:f>Sheet2!$M$6:$T$6</c:f>
                <c:numCache>
                  <c:formatCode>General</c:formatCode>
                  <c:ptCount val="8"/>
                  <c:pt idx="0">
                    <c:v>0.31</c:v>
                  </c:pt>
                  <c:pt idx="1">
                    <c:v>0.01</c:v>
                  </c:pt>
                  <c:pt idx="2">
                    <c:v>0.31</c:v>
                  </c:pt>
                  <c:pt idx="3">
                    <c:v>0.01</c:v>
                  </c:pt>
                  <c:pt idx="4">
                    <c:v>0.31</c:v>
                  </c:pt>
                  <c:pt idx="5">
                    <c:v>0.01</c:v>
                  </c:pt>
                  <c:pt idx="6">
                    <c:v>0.31</c:v>
                  </c:pt>
                  <c:pt idx="7">
                    <c:v>0.01</c:v>
                  </c:pt>
                </c:numCache>
              </c:numRef>
            </c:plus>
            <c:minus>
              <c:numRef>
                <c:f>Sheet2!$M$6:$T$6</c:f>
                <c:numCache>
                  <c:formatCode>General</c:formatCode>
                  <c:ptCount val="8"/>
                  <c:pt idx="0">
                    <c:v>0.31</c:v>
                  </c:pt>
                  <c:pt idx="1">
                    <c:v>0.01</c:v>
                  </c:pt>
                  <c:pt idx="2">
                    <c:v>0.31</c:v>
                  </c:pt>
                  <c:pt idx="3">
                    <c:v>0.01</c:v>
                  </c:pt>
                  <c:pt idx="4">
                    <c:v>0.31</c:v>
                  </c:pt>
                  <c:pt idx="5">
                    <c:v>0.01</c:v>
                  </c:pt>
                  <c:pt idx="6">
                    <c:v>0.31</c:v>
                  </c:pt>
                  <c:pt idx="7">
                    <c:v>0.01</c:v>
                  </c:pt>
                </c:numCache>
              </c:numRef>
            </c:minus>
            <c:spPr>
              <a:noFill/>
              <a:ln w="9525" cap="flat" cmpd="sng" algn="ctr">
                <a:solidFill>
                  <a:schemeClr val="tx1">
                    <a:lumMod val="65000"/>
                    <a:lumOff val="35000"/>
                  </a:schemeClr>
                </a:solidFill>
                <a:round/>
              </a:ln>
              <a:effectLst/>
            </c:spPr>
          </c:errBars>
          <c:cat>
            <c:multiLvlStrRef>
              <c:f>Sheet2!$C$2:$J$3</c:f>
              <c:multiLvlStrCache>
                <c:ptCount val="8"/>
                <c:lvl>
                  <c:pt idx="0">
                    <c:v>Zn</c:v>
                  </c:pt>
                  <c:pt idx="1">
                    <c:v>Ni</c:v>
                  </c:pt>
                  <c:pt idx="2">
                    <c:v>Zn</c:v>
                  </c:pt>
                  <c:pt idx="3">
                    <c:v>Ni</c:v>
                  </c:pt>
                  <c:pt idx="4">
                    <c:v>Zn</c:v>
                  </c:pt>
                  <c:pt idx="5">
                    <c:v>Ni</c:v>
                  </c:pt>
                  <c:pt idx="6">
                    <c:v>Zn</c:v>
                  </c:pt>
                  <c:pt idx="7">
                    <c:v>Ni</c:v>
                  </c:pt>
                </c:lvl>
                <c:lvl>
                  <c:pt idx="0">
                    <c:v>Citric</c:v>
                  </c:pt>
                  <c:pt idx="2">
                    <c:v>Malic</c:v>
                  </c:pt>
                  <c:pt idx="4">
                    <c:v>Oxalic</c:v>
                  </c:pt>
                  <c:pt idx="6">
                    <c:v>Citric+Malic+Oxalic</c:v>
                  </c:pt>
                </c:lvl>
              </c:multiLvlStrCache>
            </c:multiLvlStrRef>
          </c:cat>
          <c:val>
            <c:numRef>
              <c:f>Sheet2!$C$6:$J$6</c:f>
              <c:numCache>
                <c:formatCode>General</c:formatCode>
                <c:ptCount val="8"/>
                <c:pt idx="0">
                  <c:v>4.59</c:v>
                </c:pt>
                <c:pt idx="1">
                  <c:v>8.66</c:v>
                </c:pt>
                <c:pt idx="2">
                  <c:v>5.63</c:v>
                </c:pt>
                <c:pt idx="3">
                  <c:v>8.49</c:v>
                </c:pt>
                <c:pt idx="4">
                  <c:v>12.29</c:v>
                </c:pt>
                <c:pt idx="5">
                  <c:v>21.39</c:v>
                </c:pt>
                <c:pt idx="6">
                  <c:v>3.71</c:v>
                </c:pt>
                <c:pt idx="7">
                  <c:v>4.18</c:v>
                </c:pt>
              </c:numCache>
            </c:numRef>
          </c:val>
          <c:extLst>
            <c:ext xmlns:c16="http://schemas.microsoft.com/office/drawing/2014/chart" uri="{C3380CC4-5D6E-409C-BE32-E72D297353CC}">
              <c16:uniqueId val="{00000002-1162-421C-9008-4F745864D12F}"/>
            </c:ext>
          </c:extLst>
        </c:ser>
        <c:ser>
          <c:idx val="3"/>
          <c:order val="3"/>
          <c:tx>
            <c:strRef>
              <c:f>Sheet2!$B$7</c:f>
              <c:strCache>
                <c:ptCount val="1"/>
                <c:pt idx="0">
                  <c:v>5</c:v>
                </c:pt>
              </c:strCache>
            </c:strRef>
          </c:tx>
          <c:spPr>
            <a:solidFill>
              <a:schemeClr val="accent4"/>
            </a:solidFill>
            <a:ln>
              <a:noFill/>
            </a:ln>
            <a:effectLst/>
          </c:spPr>
          <c:invertIfNegative val="0"/>
          <c:errBars>
            <c:errBarType val="both"/>
            <c:errValType val="cust"/>
            <c:noEndCap val="0"/>
            <c:plus>
              <c:numRef>
                <c:f>Sheet2!$M$7:$T$7</c:f>
                <c:numCache>
                  <c:formatCode>General</c:formatCode>
                  <c:ptCount val="8"/>
                  <c:pt idx="0">
                    <c:v>0.09</c:v>
                  </c:pt>
                  <c:pt idx="1">
                    <c:v>0.03</c:v>
                  </c:pt>
                  <c:pt idx="2">
                    <c:v>0.09</c:v>
                  </c:pt>
                  <c:pt idx="3">
                    <c:v>0.03</c:v>
                  </c:pt>
                  <c:pt idx="4">
                    <c:v>0.09</c:v>
                  </c:pt>
                  <c:pt idx="5">
                    <c:v>0.03</c:v>
                  </c:pt>
                  <c:pt idx="6">
                    <c:v>0.09</c:v>
                  </c:pt>
                  <c:pt idx="7">
                    <c:v>0.03</c:v>
                  </c:pt>
                </c:numCache>
              </c:numRef>
            </c:plus>
            <c:minus>
              <c:numRef>
                <c:f>Sheet2!$M$7:$T$7</c:f>
                <c:numCache>
                  <c:formatCode>General</c:formatCode>
                  <c:ptCount val="8"/>
                  <c:pt idx="0">
                    <c:v>0.09</c:v>
                  </c:pt>
                  <c:pt idx="1">
                    <c:v>0.03</c:v>
                  </c:pt>
                  <c:pt idx="2">
                    <c:v>0.09</c:v>
                  </c:pt>
                  <c:pt idx="3">
                    <c:v>0.03</c:v>
                  </c:pt>
                  <c:pt idx="4">
                    <c:v>0.09</c:v>
                  </c:pt>
                  <c:pt idx="5">
                    <c:v>0.03</c:v>
                  </c:pt>
                  <c:pt idx="6">
                    <c:v>0.09</c:v>
                  </c:pt>
                  <c:pt idx="7">
                    <c:v>0.03</c:v>
                  </c:pt>
                </c:numCache>
              </c:numRef>
            </c:minus>
            <c:spPr>
              <a:noFill/>
              <a:ln w="9525" cap="flat" cmpd="sng" algn="ctr">
                <a:solidFill>
                  <a:schemeClr val="tx1">
                    <a:lumMod val="65000"/>
                    <a:lumOff val="35000"/>
                  </a:schemeClr>
                </a:solidFill>
                <a:round/>
              </a:ln>
              <a:effectLst/>
            </c:spPr>
          </c:errBars>
          <c:cat>
            <c:multiLvlStrRef>
              <c:f>Sheet2!$C$2:$J$3</c:f>
              <c:multiLvlStrCache>
                <c:ptCount val="8"/>
                <c:lvl>
                  <c:pt idx="0">
                    <c:v>Zn</c:v>
                  </c:pt>
                  <c:pt idx="1">
                    <c:v>Ni</c:v>
                  </c:pt>
                  <c:pt idx="2">
                    <c:v>Zn</c:v>
                  </c:pt>
                  <c:pt idx="3">
                    <c:v>Ni</c:v>
                  </c:pt>
                  <c:pt idx="4">
                    <c:v>Zn</c:v>
                  </c:pt>
                  <c:pt idx="5">
                    <c:v>Ni</c:v>
                  </c:pt>
                  <c:pt idx="6">
                    <c:v>Zn</c:v>
                  </c:pt>
                  <c:pt idx="7">
                    <c:v>Ni</c:v>
                  </c:pt>
                </c:lvl>
                <c:lvl>
                  <c:pt idx="0">
                    <c:v>Citric</c:v>
                  </c:pt>
                  <c:pt idx="2">
                    <c:v>Malic</c:v>
                  </c:pt>
                  <c:pt idx="4">
                    <c:v>Oxalic</c:v>
                  </c:pt>
                  <c:pt idx="6">
                    <c:v>Citric+Malic+Oxalic</c:v>
                  </c:pt>
                </c:lvl>
              </c:multiLvlStrCache>
            </c:multiLvlStrRef>
          </c:cat>
          <c:val>
            <c:numRef>
              <c:f>Sheet2!$C$7:$J$7</c:f>
              <c:numCache>
                <c:formatCode>General</c:formatCode>
                <c:ptCount val="8"/>
                <c:pt idx="0">
                  <c:v>2.93</c:v>
                </c:pt>
                <c:pt idx="1">
                  <c:v>6.92</c:v>
                </c:pt>
                <c:pt idx="2">
                  <c:v>3.05</c:v>
                </c:pt>
                <c:pt idx="3">
                  <c:v>5.87</c:v>
                </c:pt>
                <c:pt idx="4">
                  <c:v>11.02</c:v>
                </c:pt>
                <c:pt idx="5">
                  <c:v>15.37</c:v>
                </c:pt>
                <c:pt idx="6">
                  <c:v>3.69</c:v>
                </c:pt>
                <c:pt idx="7">
                  <c:v>3.1</c:v>
                </c:pt>
              </c:numCache>
            </c:numRef>
          </c:val>
          <c:extLst>
            <c:ext xmlns:c16="http://schemas.microsoft.com/office/drawing/2014/chart" uri="{C3380CC4-5D6E-409C-BE32-E72D297353CC}">
              <c16:uniqueId val="{00000003-1162-421C-9008-4F745864D12F}"/>
            </c:ext>
          </c:extLst>
        </c:ser>
        <c:ser>
          <c:idx val="4"/>
          <c:order val="4"/>
          <c:tx>
            <c:strRef>
              <c:f>Sheet2!$B$8</c:f>
              <c:strCache>
                <c:ptCount val="1"/>
                <c:pt idx="0">
                  <c:v>6</c:v>
                </c:pt>
              </c:strCache>
            </c:strRef>
          </c:tx>
          <c:spPr>
            <a:solidFill>
              <a:schemeClr val="accent5"/>
            </a:solidFill>
            <a:ln>
              <a:noFill/>
            </a:ln>
            <a:effectLst/>
          </c:spPr>
          <c:invertIfNegative val="0"/>
          <c:errBars>
            <c:errBarType val="both"/>
            <c:errValType val="cust"/>
            <c:noEndCap val="0"/>
            <c:plus>
              <c:numRef>
                <c:f>Sheet2!$M$8:$T$8</c:f>
                <c:numCache>
                  <c:formatCode>General</c:formatCode>
                  <c:ptCount val="8"/>
                  <c:pt idx="0">
                    <c:v>0.09</c:v>
                  </c:pt>
                  <c:pt idx="1">
                    <c:v>0.04</c:v>
                  </c:pt>
                  <c:pt idx="2">
                    <c:v>0.09</c:v>
                  </c:pt>
                  <c:pt idx="3">
                    <c:v>0.04</c:v>
                  </c:pt>
                  <c:pt idx="4">
                    <c:v>0.09</c:v>
                  </c:pt>
                  <c:pt idx="5">
                    <c:v>0.04</c:v>
                  </c:pt>
                  <c:pt idx="6">
                    <c:v>0.09</c:v>
                  </c:pt>
                  <c:pt idx="7">
                    <c:v>0.04</c:v>
                  </c:pt>
                </c:numCache>
              </c:numRef>
            </c:plus>
            <c:minus>
              <c:numRef>
                <c:f>Sheet2!$M$8:$T$8</c:f>
                <c:numCache>
                  <c:formatCode>General</c:formatCode>
                  <c:ptCount val="8"/>
                  <c:pt idx="0">
                    <c:v>0.09</c:v>
                  </c:pt>
                  <c:pt idx="1">
                    <c:v>0.04</c:v>
                  </c:pt>
                  <c:pt idx="2">
                    <c:v>0.09</c:v>
                  </c:pt>
                  <c:pt idx="3">
                    <c:v>0.04</c:v>
                  </c:pt>
                  <c:pt idx="4">
                    <c:v>0.09</c:v>
                  </c:pt>
                  <c:pt idx="5">
                    <c:v>0.04</c:v>
                  </c:pt>
                  <c:pt idx="6">
                    <c:v>0.09</c:v>
                  </c:pt>
                  <c:pt idx="7">
                    <c:v>0.04</c:v>
                  </c:pt>
                </c:numCache>
              </c:numRef>
            </c:minus>
            <c:spPr>
              <a:noFill/>
              <a:ln w="9525" cap="flat" cmpd="sng" algn="ctr">
                <a:solidFill>
                  <a:schemeClr val="tx1">
                    <a:lumMod val="65000"/>
                    <a:lumOff val="35000"/>
                  </a:schemeClr>
                </a:solidFill>
                <a:round/>
              </a:ln>
              <a:effectLst/>
            </c:spPr>
          </c:errBars>
          <c:cat>
            <c:multiLvlStrRef>
              <c:f>Sheet2!$C$2:$J$3</c:f>
              <c:multiLvlStrCache>
                <c:ptCount val="8"/>
                <c:lvl>
                  <c:pt idx="0">
                    <c:v>Zn</c:v>
                  </c:pt>
                  <c:pt idx="1">
                    <c:v>Ni</c:v>
                  </c:pt>
                  <c:pt idx="2">
                    <c:v>Zn</c:v>
                  </c:pt>
                  <c:pt idx="3">
                    <c:v>Ni</c:v>
                  </c:pt>
                  <c:pt idx="4">
                    <c:v>Zn</c:v>
                  </c:pt>
                  <c:pt idx="5">
                    <c:v>Ni</c:v>
                  </c:pt>
                  <c:pt idx="6">
                    <c:v>Zn</c:v>
                  </c:pt>
                  <c:pt idx="7">
                    <c:v>Ni</c:v>
                  </c:pt>
                </c:lvl>
                <c:lvl>
                  <c:pt idx="0">
                    <c:v>Citric</c:v>
                  </c:pt>
                  <c:pt idx="2">
                    <c:v>Malic</c:v>
                  </c:pt>
                  <c:pt idx="4">
                    <c:v>Oxalic</c:v>
                  </c:pt>
                  <c:pt idx="6">
                    <c:v>Citric+Malic+Oxalic</c:v>
                  </c:pt>
                </c:lvl>
              </c:multiLvlStrCache>
            </c:multiLvlStrRef>
          </c:cat>
          <c:val>
            <c:numRef>
              <c:f>Sheet2!$C$8:$J$8</c:f>
              <c:numCache>
                <c:formatCode>General</c:formatCode>
                <c:ptCount val="8"/>
                <c:pt idx="0">
                  <c:v>1.55</c:v>
                </c:pt>
                <c:pt idx="1">
                  <c:v>4.33</c:v>
                </c:pt>
                <c:pt idx="2">
                  <c:v>2.67</c:v>
                </c:pt>
                <c:pt idx="3">
                  <c:v>5.31</c:v>
                </c:pt>
                <c:pt idx="4">
                  <c:v>10.82</c:v>
                </c:pt>
                <c:pt idx="5">
                  <c:v>8.31</c:v>
                </c:pt>
                <c:pt idx="6">
                  <c:v>1.68</c:v>
                </c:pt>
                <c:pt idx="7">
                  <c:v>2.02</c:v>
                </c:pt>
              </c:numCache>
            </c:numRef>
          </c:val>
          <c:extLst>
            <c:ext xmlns:c16="http://schemas.microsoft.com/office/drawing/2014/chart" uri="{C3380CC4-5D6E-409C-BE32-E72D297353CC}">
              <c16:uniqueId val="{00000004-1162-421C-9008-4F745864D12F}"/>
            </c:ext>
          </c:extLst>
        </c:ser>
        <c:dLbls>
          <c:showLegendKey val="0"/>
          <c:showVal val="0"/>
          <c:showCatName val="0"/>
          <c:showSerName val="0"/>
          <c:showPercent val="0"/>
          <c:showBubbleSize val="0"/>
        </c:dLbls>
        <c:gapWidth val="219"/>
        <c:overlap val="-27"/>
        <c:axId val="501036848"/>
        <c:axId val="501036064"/>
      </c:barChart>
      <c:catAx>
        <c:axId val="5010368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Time (hrs)</a:t>
                </a:r>
              </a:p>
            </c:rich>
          </c:tx>
          <c:layout>
            <c:manualLayout>
              <c:xMode val="edge"/>
              <c:yMode val="edge"/>
              <c:x val="0.46443491755418248"/>
              <c:y val="0.927715523700272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01036064"/>
        <c:crosses val="autoZero"/>
        <c:auto val="1"/>
        <c:lblAlgn val="ctr"/>
        <c:lblOffset val="100"/>
        <c:noMultiLvlLbl val="0"/>
      </c:catAx>
      <c:valAx>
        <c:axId val="5010360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Recovery efficiency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01036848"/>
        <c:crosses val="autoZero"/>
        <c:crossBetween val="between"/>
      </c:valAx>
      <c:spPr>
        <a:noFill/>
        <a:ln>
          <a:noFill/>
        </a:ln>
        <a:effectLst/>
      </c:spPr>
    </c:plotArea>
    <c:legend>
      <c:legendPos val="b"/>
      <c:layout>
        <c:manualLayout>
          <c:xMode val="edge"/>
          <c:yMode val="edge"/>
          <c:x val="0.43481092944505184"/>
          <c:y val="0.86456726525441763"/>
          <c:w val="0.18029997420369256"/>
          <c:h val="6.74667284520372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Sheet5!$A$9</c:f>
              <c:strCache>
                <c:ptCount val="1"/>
                <c:pt idx="0">
                  <c:v>Zinc</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Sheet5!$B$8:$F$8</c:f>
              <c:numCache>
                <c:formatCode>General</c:formatCode>
                <c:ptCount val="5"/>
                <c:pt idx="0">
                  <c:v>1</c:v>
                </c:pt>
                <c:pt idx="1">
                  <c:v>2</c:v>
                </c:pt>
                <c:pt idx="2">
                  <c:v>3</c:v>
                </c:pt>
                <c:pt idx="3">
                  <c:v>4</c:v>
                </c:pt>
                <c:pt idx="4">
                  <c:v>5</c:v>
                </c:pt>
              </c:numCache>
            </c:numRef>
          </c:cat>
          <c:val>
            <c:numRef>
              <c:f>Sheet5!$B$9:$F$9</c:f>
              <c:numCache>
                <c:formatCode>General</c:formatCode>
                <c:ptCount val="5"/>
                <c:pt idx="0">
                  <c:v>1.92</c:v>
                </c:pt>
                <c:pt idx="1">
                  <c:v>1.58</c:v>
                </c:pt>
                <c:pt idx="2">
                  <c:v>1.17</c:v>
                </c:pt>
                <c:pt idx="3">
                  <c:v>0.72</c:v>
                </c:pt>
                <c:pt idx="4">
                  <c:v>0.36</c:v>
                </c:pt>
              </c:numCache>
            </c:numRef>
          </c:val>
          <c:smooth val="0"/>
          <c:extLst>
            <c:ext xmlns:c16="http://schemas.microsoft.com/office/drawing/2014/chart" uri="{C3380CC4-5D6E-409C-BE32-E72D297353CC}">
              <c16:uniqueId val="{00000000-81BC-417D-800F-CB7B24D604A3}"/>
            </c:ext>
          </c:extLst>
        </c:ser>
        <c:ser>
          <c:idx val="1"/>
          <c:order val="1"/>
          <c:tx>
            <c:strRef>
              <c:f>Sheet5!$A$10</c:f>
              <c:strCache>
                <c:ptCount val="1"/>
                <c:pt idx="0">
                  <c:v>Nickel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Sheet5!$B$8:$F$8</c:f>
              <c:numCache>
                <c:formatCode>General</c:formatCode>
                <c:ptCount val="5"/>
                <c:pt idx="0">
                  <c:v>1</c:v>
                </c:pt>
                <c:pt idx="1">
                  <c:v>2</c:v>
                </c:pt>
                <c:pt idx="2">
                  <c:v>3</c:v>
                </c:pt>
                <c:pt idx="3">
                  <c:v>4</c:v>
                </c:pt>
                <c:pt idx="4">
                  <c:v>5</c:v>
                </c:pt>
              </c:numCache>
            </c:numRef>
          </c:cat>
          <c:val>
            <c:numRef>
              <c:f>Sheet5!$B$10:$F$10</c:f>
              <c:numCache>
                <c:formatCode>General</c:formatCode>
                <c:ptCount val="5"/>
                <c:pt idx="0">
                  <c:v>9.1300000000000008</c:v>
                </c:pt>
                <c:pt idx="1">
                  <c:v>7.88</c:v>
                </c:pt>
                <c:pt idx="2">
                  <c:v>5.16</c:v>
                </c:pt>
                <c:pt idx="3">
                  <c:v>1.68</c:v>
                </c:pt>
                <c:pt idx="4">
                  <c:v>1.33</c:v>
                </c:pt>
              </c:numCache>
            </c:numRef>
          </c:val>
          <c:smooth val="0"/>
          <c:extLst>
            <c:ext xmlns:c16="http://schemas.microsoft.com/office/drawing/2014/chart" uri="{C3380CC4-5D6E-409C-BE32-E72D297353CC}">
              <c16:uniqueId val="{00000001-81BC-417D-800F-CB7B24D604A3}"/>
            </c:ext>
          </c:extLst>
        </c:ser>
        <c:dLbls>
          <c:showLegendKey val="0"/>
          <c:showVal val="0"/>
          <c:showCatName val="0"/>
          <c:showSerName val="0"/>
          <c:showPercent val="0"/>
          <c:showBubbleSize val="0"/>
        </c:dLbls>
        <c:marker val="1"/>
        <c:smooth val="0"/>
        <c:axId val="224278296"/>
        <c:axId val="224280256"/>
      </c:lineChart>
      <c:catAx>
        <c:axId val="224278296"/>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r>
                  <a:rPr lang="en-US"/>
                  <a:t>Concentration (M)</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224280256"/>
        <c:crosses val="autoZero"/>
        <c:auto val="1"/>
        <c:lblAlgn val="ctr"/>
        <c:lblOffset val="100"/>
        <c:noMultiLvlLbl val="0"/>
      </c:catAx>
      <c:valAx>
        <c:axId val="224280256"/>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r>
                  <a:rPr lang="en-US" sz="1050">
                    <a:latin typeface="Arial" panose="020B0604020202020204" pitchFamily="34" charset="0"/>
                    <a:cs typeface="Arial" panose="020B0604020202020204" pitchFamily="34" charset="0"/>
                  </a:rPr>
                  <a:t>Recovery efficiency (%) 
</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224278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a:solidFill>
            <a:schemeClr val="tx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Sheet5!$B$2</c:f>
              <c:strCache>
                <c:ptCount val="1"/>
                <c:pt idx="0">
                  <c:v>Citric</c:v>
                </c:pt>
              </c:strCache>
            </c:strRef>
          </c:tx>
          <c:spPr>
            <a:solidFill>
              <a:schemeClr val="accent1"/>
            </a:solidFill>
            <a:ln>
              <a:noFill/>
            </a:ln>
            <a:effectLst/>
          </c:spPr>
          <c:invertIfNegative val="0"/>
          <c:errBars>
            <c:errBarType val="both"/>
            <c:errValType val="cust"/>
            <c:noEndCap val="0"/>
            <c:plus>
              <c:numRef>
                <c:f>Sheet5!$H$3:$H$4</c:f>
                <c:numCache>
                  <c:formatCode>General</c:formatCode>
                  <c:ptCount val="2"/>
                  <c:pt idx="0">
                    <c:v>0.03</c:v>
                  </c:pt>
                  <c:pt idx="1">
                    <c:v>0.65</c:v>
                  </c:pt>
                </c:numCache>
              </c:numRef>
            </c:plus>
            <c:minus>
              <c:numRef>
                <c:f>Sheet5!$H$3:$H$4</c:f>
                <c:numCache>
                  <c:formatCode>General</c:formatCode>
                  <c:ptCount val="2"/>
                  <c:pt idx="0">
                    <c:v>0.03</c:v>
                  </c:pt>
                  <c:pt idx="1">
                    <c:v>0.65</c:v>
                  </c:pt>
                </c:numCache>
              </c:numRef>
            </c:minus>
            <c:spPr>
              <a:noFill/>
              <a:ln w="9525" cap="flat" cmpd="sng" algn="ctr">
                <a:solidFill>
                  <a:schemeClr val="tx1">
                    <a:lumMod val="65000"/>
                    <a:lumOff val="35000"/>
                  </a:schemeClr>
                </a:solidFill>
                <a:round/>
              </a:ln>
              <a:effectLst/>
            </c:spPr>
          </c:errBars>
          <c:cat>
            <c:strRef>
              <c:f>Sheet5!$A$3:$A$4</c:f>
              <c:strCache>
                <c:ptCount val="2"/>
                <c:pt idx="0">
                  <c:v>Zinc</c:v>
                </c:pt>
                <c:pt idx="1">
                  <c:v>Nickel</c:v>
                </c:pt>
              </c:strCache>
            </c:strRef>
          </c:cat>
          <c:val>
            <c:numRef>
              <c:f>Sheet5!$B$3:$B$4</c:f>
              <c:numCache>
                <c:formatCode>General</c:formatCode>
                <c:ptCount val="2"/>
                <c:pt idx="0">
                  <c:v>0.08</c:v>
                </c:pt>
                <c:pt idx="1">
                  <c:v>2.2400000000000002</c:v>
                </c:pt>
              </c:numCache>
            </c:numRef>
          </c:val>
          <c:extLst>
            <c:ext xmlns:c16="http://schemas.microsoft.com/office/drawing/2014/chart" uri="{C3380CC4-5D6E-409C-BE32-E72D297353CC}">
              <c16:uniqueId val="{00000000-C470-41AF-A5BB-ED64C1169B72}"/>
            </c:ext>
          </c:extLst>
        </c:ser>
        <c:ser>
          <c:idx val="1"/>
          <c:order val="1"/>
          <c:tx>
            <c:strRef>
              <c:f>Sheet5!$C$2</c:f>
              <c:strCache>
                <c:ptCount val="1"/>
                <c:pt idx="0">
                  <c:v>Malic</c:v>
                </c:pt>
              </c:strCache>
            </c:strRef>
          </c:tx>
          <c:spPr>
            <a:solidFill>
              <a:schemeClr val="accent2"/>
            </a:solidFill>
            <a:ln>
              <a:noFill/>
            </a:ln>
            <a:effectLst/>
          </c:spPr>
          <c:invertIfNegative val="0"/>
          <c:errBars>
            <c:errBarType val="both"/>
            <c:errValType val="cust"/>
            <c:noEndCap val="0"/>
            <c:plus>
              <c:numRef>
                <c:f>Sheet5!$I$3:$I$4</c:f>
                <c:numCache>
                  <c:formatCode>General</c:formatCode>
                  <c:ptCount val="2"/>
                  <c:pt idx="0">
                    <c:v>0.33</c:v>
                  </c:pt>
                  <c:pt idx="1">
                    <c:v>0.28000000000000003</c:v>
                  </c:pt>
                </c:numCache>
              </c:numRef>
            </c:plus>
            <c:minus>
              <c:numRef>
                <c:f>Sheet5!$I$3:$I$4</c:f>
                <c:numCache>
                  <c:formatCode>General</c:formatCode>
                  <c:ptCount val="2"/>
                  <c:pt idx="0">
                    <c:v>0.33</c:v>
                  </c:pt>
                  <c:pt idx="1">
                    <c:v>0.28000000000000003</c:v>
                  </c:pt>
                </c:numCache>
              </c:numRef>
            </c:minus>
            <c:spPr>
              <a:noFill/>
              <a:ln w="9525" cap="flat" cmpd="sng" algn="ctr">
                <a:solidFill>
                  <a:schemeClr val="tx1">
                    <a:lumMod val="65000"/>
                    <a:lumOff val="35000"/>
                  </a:schemeClr>
                </a:solidFill>
                <a:round/>
              </a:ln>
              <a:effectLst/>
            </c:spPr>
          </c:errBars>
          <c:cat>
            <c:strRef>
              <c:f>Sheet5!$A$3:$A$4</c:f>
              <c:strCache>
                <c:ptCount val="2"/>
                <c:pt idx="0">
                  <c:v>Zinc</c:v>
                </c:pt>
                <c:pt idx="1">
                  <c:v>Nickel</c:v>
                </c:pt>
              </c:strCache>
            </c:strRef>
          </c:cat>
          <c:val>
            <c:numRef>
              <c:f>Sheet5!$C$3:$C$4</c:f>
              <c:numCache>
                <c:formatCode>General</c:formatCode>
                <c:ptCount val="2"/>
                <c:pt idx="0">
                  <c:v>1.1499999999999999</c:v>
                </c:pt>
                <c:pt idx="1">
                  <c:v>0.87</c:v>
                </c:pt>
              </c:numCache>
            </c:numRef>
          </c:val>
          <c:extLst>
            <c:ext xmlns:c16="http://schemas.microsoft.com/office/drawing/2014/chart" uri="{C3380CC4-5D6E-409C-BE32-E72D297353CC}">
              <c16:uniqueId val="{00000001-C470-41AF-A5BB-ED64C1169B72}"/>
            </c:ext>
          </c:extLst>
        </c:ser>
        <c:ser>
          <c:idx val="2"/>
          <c:order val="2"/>
          <c:tx>
            <c:strRef>
              <c:f>Sheet5!$D$2</c:f>
              <c:strCache>
                <c:ptCount val="1"/>
                <c:pt idx="0">
                  <c:v>Oxalic</c:v>
                </c:pt>
              </c:strCache>
            </c:strRef>
          </c:tx>
          <c:spPr>
            <a:solidFill>
              <a:schemeClr val="accent3"/>
            </a:solidFill>
            <a:ln>
              <a:noFill/>
            </a:ln>
            <a:effectLst/>
          </c:spPr>
          <c:invertIfNegative val="0"/>
          <c:errBars>
            <c:errBarType val="both"/>
            <c:errValType val="cust"/>
            <c:noEndCap val="0"/>
            <c:plus>
              <c:numRef>
                <c:f>Sheet5!$J$3:$J$4</c:f>
                <c:numCache>
                  <c:formatCode>General</c:formatCode>
                  <c:ptCount val="2"/>
                  <c:pt idx="0">
                    <c:v>0.79</c:v>
                  </c:pt>
                  <c:pt idx="1">
                    <c:v>5.47</c:v>
                  </c:pt>
                </c:numCache>
              </c:numRef>
            </c:plus>
            <c:minus>
              <c:numRef>
                <c:f>Sheet5!$J$3:$J$4</c:f>
                <c:numCache>
                  <c:formatCode>General</c:formatCode>
                  <c:ptCount val="2"/>
                  <c:pt idx="0">
                    <c:v>0.79</c:v>
                  </c:pt>
                  <c:pt idx="1">
                    <c:v>5.47</c:v>
                  </c:pt>
                </c:numCache>
              </c:numRef>
            </c:minus>
            <c:spPr>
              <a:noFill/>
              <a:ln w="9525" cap="flat" cmpd="sng" algn="ctr">
                <a:solidFill>
                  <a:schemeClr val="tx1">
                    <a:lumMod val="65000"/>
                    <a:lumOff val="35000"/>
                  </a:schemeClr>
                </a:solidFill>
                <a:round/>
              </a:ln>
              <a:effectLst/>
            </c:spPr>
          </c:errBars>
          <c:cat>
            <c:strRef>
              <c:f>Sheet5!$A$3:$A$4</c:f>
              <c:strCache>
                <c:ptCount val="2"/>
                <c:pt idx="0">
                  <c:v>Zinc</c:v>
                </c:pt>
                <c:pt idx="1">
                  <c:v>Nickel</c:v>
                </c:pt>
              </c:strCache>
            </c:strRef>
          </c:cat>
          <c:val>
            <c:numRef>
              <c:f>Sheet5!$D$3:$D$4</c:f>
              <c:numCache>
                <c:formatCode>General</c:formatCode>
                <c:ptCount val="2"/>
                <c:pt idx="0">
                  <c:v>2.42</c:v>
                </c:pt>
                <c:pt idx="1">
                  <c:v>15.82</c:v>
                </c:pt>
              </c:numCache>
            </c:numRef>
          </c:val>
          <c:extLst>
            <c:ext xmlns:c16="http://schemas.microsoft.com/office/drawing/2014/chart" uri="{C3380CC4-5D6E-409C-BE32-E72D297353CC}">
              <c16:uniqueId val="{00000002-C470-41AF-A5BB-ED64C1169B72}"/>
            </c:ext>
          </c:extLst>
        </c:ser>
        <c:ser>
          <c:idx val="3"/>
          <c:order val="3"/>
          <c:tx>
            <c:strRef>
              <c:f>Sheet5!$E$2</c:f>
              <c:strCache>
                <c:ptCount val="1"/>
                <c:pt idx="0">
                  <c:v>Citric+Malic+Oxalic</c:v>
                </c:pt>
              </c:strCache>
            </c:strRef>
          </c:tx>
          <c:spPr>
            <a:solidFill>
              <a:schemeClr val="accent4"/>
            </a:solidFill>
            <a:ln>
              <a:noFill/>
            </a:ln>
            <a:effectLst/>
          </c:spPr>
          <c:invertIfNegative val="0"/>
          <c:errBars>
            <c:errBarType val="both"/>
            <c:errValType val="cust"/>
            <c:noEndCap val="0"/>
            <c:plus>
              <c:numRef>
                <c:f>Sheet5!$K$3:$K$4</c:f>
                <c:numCache>
                  <c:formatCode>General</c:formatCode>
                  <c:ptCount val="2"/>
                  <c:pt idx="0">
                    <c:v>0.28000000000000003</c:v>
                  </c:pt>
                  <c:pt idx="1">
                    <c:v>0.35</c:v>
                  </c:pt>
                </c:numCache>
              </c:numRef>
            </c:plus>
            <c:minus>
              <c:numRef>
                <c:f>Sheet5!$K$3:$K$4</c:f>
                <c:numCache>
                  <c:formatCode>General</c:formatCode>
                  <c:ptCount val="2"/>
                  <c:pt idx="0">
                    <c:v>0.28000000000000003</c:v>
                  </c:pt>
                  <c:pt idx="1">
                    <c:v>0.35</c:v>
                  </c:pt>
                </c:numCache>
              </c:numRef>
            </c:minus>
            <c:spPr>
              <a:noFill/>
              <a:ln w="9525" cap="flat" cmpd="sng" algn="ctr">
                <a:solidFill>
                  <a:schemeClr val="tx1">
                    <a:lumMod val="65000"/>
                    <a:lumOff val="35000"/>
                  </a:schemeClr>
                </a:solidFill>
                <a:round/>
              </a:ln>
              <a:effectLst/>
            </c:spPr>
          </c:errBars>
          <c:cat>
            <c:strRef>
              <c:f>Sheet5!$A$3:$A$4</c:f>
              <c:strCache>
                <c:ptCount val="2"/>
                <c:pt idx="0">
                  <c:v>Zinc</c:v>
                </c:pt>
                <c:pt idx="1">
                  <c:v>Nickel</c:v>
                </c:pt>
              </c:strCache>
            </c:strRef>
          </c:cat>
          <c:val>
            <c:numRef>
              <c:f>Sheet5!$E$3:$E$4</c:f>
              <c:numCache>
                <c:formatCode>General</c:formatCode>
                <c:ptCount val="2"/>
                <c:pt idx="0">
                  <c:v>0.96</c:v>
                </c:pt>
                <c:pt idx="1">
                  <c:v>1.23</c:v>
                </c:pt>
              </c:numCache>
            </c:numRef>
          </c:val>
          <c:extLst>
            <c:ext xmlns:c16="http://schemas.microsoft.com/office/drawing/2014/chart" uri="{C3380CC4-5D6E-409C-BE32-E72D297353CC}">
              <c16:uniqueId val="{00000003-C470-41AF-A5BB-ED64C1169B72}"/>
            </c:ext>
          </c:extLst>
        </c:ser>
        <c:dLbls>
          <c:showLegendKey val="0"/>
          <c:showVal val="0"/>
          <c:showCatName val="0"/>
          <c:showSerName val="0"/>
          <c:showPercent val="0"/>
          <c:showBubbleSize val="0"/>
        </c:dLbls>
        <c:gapWidth val="219"/>
        <c:overlap val="-27"/>
        <c:axId val="224277512"/>
        <c:axId val="224281040"/>
      </c:barChart>
      <c:catAx>
        <c:axId val="22427751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224281040"/>
        <c:crosses val="autoZero"/>
        <c:auto val="1"/>
        <c:lblAlgn val="ctr"/>
        <c:lblOffset val="100"/>
        <c:noMultiLvlLbl val="0"/>
      </c:catAx>
      <c:valAx>
        <c:axId val="224281040"/>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r>
                  <a:rPr lang="en-US" sz="1050">
                    <a:latin typeface="Arial" panose="020B0604020202020204" pitchFamily="34" charset="0"/>
                    <a:cs typeface="Arial" panose="020B0604020202020204" pitchFamily="34" charset="0"/>
                  </a:rPr>
                  <a:t>Recovery efficiency (%) </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224277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a:solidFill>
            <a:schemeClr val="tx1"/>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80432734369743"/>
          <c:y val="7.2888607193788618E-2"/>
          <c:w val="0.81169139915202904"/>
          <c:h val="0.65038421853107364"/>
        </c:manualLayout>
      </c:layout>
      <c:barChart>
        <c:barDir val="col"/>
        <c:grouping val="clustered"/>
        <c:varyColors val="0"/>
        <c:ser>
          <c:idx val="0"/>
          <c:order val="0"/>
          <c:tx>
            <c:strRef>
              <c:f>Sheet4!$B$3</c:f>
              <c:strCache>
                <c:ptCount val="1"/>
                <c:pt idx="0">
                  <c:v>1</c:v>
                </c:pt>
              </c:strCache>
            </c:strRef>
          </c:tx>
          <c:spPr>
            <a:solidFill>
              <a:schemeClr val="accent1"/>
            </a:solidFill>
            <a:ln>
              <a:noFill/>
            </a:ln>
            <a:effectLst/>
          </c:spPr>
          <c:invertIfNegative val="0"/>
          <c:errBars>
            <c:errBarType val="both"/>
            <c:errValType val="cust"/>
            <c:noEndCap val="0"/>
            <c:plus>
              <c:numRef>
                <c:f>Sheet4!$M$3:$T$3</c:f>
                <c:numCache>
                  <c:formatCode>General</c:formatCode>
                  <c:ptCount val="8"/>
                  <c:pt idx="0">
                    <c:v>0.01</c:v>
                  </c:pt>
                  <c:pt idx="1">
                    <c:v>0.06</c:v>
                  </c:pt>
                  <c:pt idx="2">
                    <c:v>0.01</c:v>
                  </c:pt>
                  <c:pt idx="3">
                    <c:v>0.01</c:v>
                  </c:pt>
                  <c:pt idx="4">
                    <c:v>0.01</c:v>
                  </c:pt>
                  <c:pt idx="5">
                    <c:v>0.06</c:v>
                  </c:pt>
                  <c:pt idx="6">
                    <c:v>0.06</c:v>
                  </c:pt>
                  <c:pt idx="7">
                    <c:v>0.06</c:v>
                  </c:pt>
                </c:numCache>
              </c:numRef>
            </c:plus>
            <c:minus>
              <c:numRef>
                <c:f>Sheet4!$M$3:$T$3</c:f>
                <c:numCache>
                  <c:formatCode>General</c:formatCode>
                  <c:ptCount val="8"/>
                  <c:pt idx="0">
                    <c:v>0.01</c:v>
                  </c:pt>
                  <c:pt idx="1">
                    <c:v>0.06</c:v>
                  </c:pt>
                  <c:pt idx="2">
                    <c:v>0.01</c:v>
                  </c:pt>
                  <c:pt idx="3">
                    <c:v>0.01</c:v>
                  </c:pt>
                  <c:pt idx="4">
                    <c:v>0.01</c:v>
                  </c:pt>
                  <c:pt idx="5">
                    <c:v>0.06</c:v>
                  </c:pt>
                  <c:pt idx="6">
                    <c:v>0.06</c:v>
                  </c:pt>
                  <c:pt idx="7">
                    <c:v>0.06</c:v>
                  </c:pt>
                </c:numCache>
              </c:numRef>
            </c:minus>
            <c:spPr>
              <a:noFill/>
              <a:ln w="9525" cap="flat" cmpd="sng" algn="ctr">
                <a:solidFill>
                  <a:schemeClr val="tx1">
                    <a:lumMod val="65000"/>
                    <a:lumOff val="35000"/>
                  </a:schemeClr>
                </a:solidFill>
                <a:round/>
              </a:ln>
              <a:effectLst/>
            </c:spPr>
          </c:errBars>
          <c:cat>
            <c:multiLvlStrRef>
              <c:f>Sheet4!$C$1:$J$2</c:f>
              <c:multiLvlStrCache>
                <c:ptCount val="8"/>
                <c:lvl>
                  <c:pt idx="0">
                    <c:v>Zn</c:v>
                  </c:pt>
                  <c:pt idx="1">
                    <c:v>Ni</c:v>
                  </c:pt>
                  <c:pt idx="2">
                    <c:v>Zn</c:v>
                  </c:pt>
                  <c:pt idx="3">
                    <c:v>Ni</c:v>
                  </c:pt>
                  <c:pt idx="4">
                    <c:v>Zn</c:v>
                  </c:pt>
                  <c:pt idx="5">
                    <c:v>Ni</c:v>
                  </c:pt>
                  <c:pt idx="6">
                    <c:v>Zn</c:v>
                  </c:pt>
                  <c:pt idx="7">
                    <c:v>Ni</c:v>
                  </c:pt>
                </c:lvl>
                <c:lvl>
                  <c:pt idx="0">
                    <c:v>Citric</c:v>
                  </c:pt>
                  <c:pt idx="2">
                    <c:v>Malic</c:v>
                  </c:pt>
                  <c:pt idx="4">
                    <c:v>Oxalic</c:v>
                  </c:pt>
                  <c:pt idx="6">
                    <c:v>Citric+Malic+Oxalic</c:v>
                  </c:pt>
                </c:lvl>
              </c:multiLvlStrCache>
            </c:multiLvlStrRef>
          </c:cat>
          <c:val>
            <c:numRef>
              <c:f>Sheet4!$C$3:$J$3</c:f>
              <c:numCache>
                <c:formatCode>General</c:formatCode>
                <c:ptCount val="8"/>
                <c:pt idx="0">
                  <c:v>0.41</c:v>
                </c:pt>
                <c:pt idx="1">
                  <c:v>10.36</c:v>
                </c:pt>
                <c:pt idx="2">
                  <c:v>4.92</c:v>
                </c:pt>
                <c:pt idx="3">
                  <c:v>4.99</c:v>
                </c:pt>
                <c:pt idx="4">
                  <c:v>13.12</c:v>
                </c:pt>
                <c:pt idx="5">
                  <c:v>88.91</c:v>
                </c:pt>
                <c:pt idx="6">
                  <c:v>4.58</c:v>
                </c:pt>
                <c:pt idx="7">
                  <c:v>5.29</c:v>
                </c:pt>
              </c:numCache>
            </c:numRef>
          </c:val>
          <c:extLst>
            <c:ext xmlns:c16="http://schemas.microsoft.com/office/drawing/2014/chart" uri="{C3380CC4-5D6E-409C-BE32-E72D297353CC}">
              <c16:uniqueId val="{00000000-E6A0-4CF0-B351-77D3173E4F29}"/>
            </c:ext>
          </c:extLst>
        </c:ser>
        <c:ser>
          <c:idx val="1"/>
          <c:order val="1"/>
          <c:tx>
            <c:strRef>
              <c:f>Sheet4!$B$4</c:f>
              <c:strCache>
                <c:ptCount val="1"/>
                <c:pt idx="0">
                  <c:v>2</c:v>
                </c:pt>
              </c:strCache>
            </c:strRef>
          </c:tx>
          <c:spPr>
            <a:solidFill>
              <a:schemeClr val="accent2"/>
            </a:solidFill>
            <a:ln>
              <a:noFill/>
            </a:ln>
            <a:effectLst/>
          </c:spPr>
          <c:invertIfNegative val="0"/>
          <c:errBars>
            <c:errBarType val="both"/>
            <c:errValType val="cust"/>
            <c:noEndCap val="0"/>
            <c:plus>
              <c:numRef>
                <c:f>Sheet4!$M$4:$T$4</c:f>
                <c:numCache>
                  <c:formatCode>General</c:formatCode>
                  <c:ptCount val="8"/>
                  <c:pt idx="0">
                    <c:v>0.09</c:v>
                  </c:pt>
                  <c:pt idx="1">
                    <c:v>0.03</c:v>
                  </c:pt>
                  <c:pt idx="2">
                    <c:v>0.09</c:v>
                  </c:pt>
                  <c:pt idx="3">
                    <c:v>0.09</c:v>
                  </c:pt>
                  <c:pt idx="4">
                    <c:v>0.09</c:v>
                  </c:pt>
                  <c:pt idx="5">
                    <c:v>0.03</c:v>
                  </c:pt>
                  <c:pt idx="6">
                    <c:v>0.03</c:v>
                  </c:pt>
                  <c:pt idx="7">
                    <c:v>0.03</c:v>
                  </c:pt>
                </c:numCache>
              </c:numRef>
            </c:plus>
            <c:minus>
              <c:numRef>
                <c:f>Sheet4!$M$4:$T$4</c:f>
                <c:numCache>
                  <c:formatCode>General</c:formatCode>
                  <c:ptCount val="8"/>
                  <c:pt idx="0">
                    <c:v>0.09</c:v>
                  </c:pt>
                  <c:pt idx="1">
                    <c:v>0.03</c:v>
                  </c:pt>
                  <c:pt idx="2">
                    <c:v>0.09</c:v>
                  </c:pt>
                  <c:pt idx="3">
                    <c:v>0.09</c:v>
                  </c:pt>
                  <c:pt idx="4">
                    <c:v>0.09</c:v>
                  </c:pt>
                  <c:pt idx="5">
                    <c:v>0.03</c:v>
                  </c:pt>
                  <c:pt idx="6">
                    <c:v>0.03</c:v>
                  </c:pt>
                  <c:pt idx="7">
                    <c:v>0.03</c:v>
                  </c:pt>
                </c:numCache>
              </c:numRef>
            </c:minus>
            <c:spPr>
              <a:noFill/>
              <a:ln w="9525" cap="flat" cmpd="sng" algn="ctr">
                <a:solidFill>
                  <a:schemeClr val="tx1">
                    <a:lumMod val="65000"/>
                    <a:lumOff val="35000"/>
                  </a:schemeClr>
                </a:solidFill>
                <a:round/>
              </a:ln>
              <a:effectLst/>
            </c:spPr>
          </c:errBars>
          <c:cat>
            <c:multiLvlStrRef>
              <c:f>Sheet4!$C$1:$J$2</c:f>
              <c:multiLvlStrCache>
                <c:ptCount val="8"/>
                <c:lvl>
                  <c:pt idx="0">
                    <c:v>Zn</c:v>
                  </c:pt>
                  <c:pt idx="1">
                    <c:v>Ni</c:v>
                  </c:pt>
                  <c:pt idx="2">
                    <c:v>Zn</c:v>
                  </c:pt>
                  <c:pt idx="3">
                    <c:v>Ni</c:v>
                  </c:pt>
                  <c:pt idx="4">
                    <c:v>Zn</c:v>
                  </c:pt>
                  <c:pt idx="5">
                    <c:v>Ni</c:v>
                  </c:pt>
                  <c:pt idx="6">
                    <c:v>Zn</c:v>
                  </c:pt>
                  <c:pt idx="7">
                    <c:v>Ni</c:v>
                  </c:pt>
                </c:lvl>
                <c:lvl>
                  <c:pt idx="0">
                    <c:v>Citric</c:v>
                  </c:pt>
                  <c:pt idx="2">
                    <c:v>Malic</c:v>
                  </c:pt>
                  <c:pt idx="4">
                    <c:v>Oxalic</c:v>
                  </c:pt>
                  <c:pt idx="6">
                    <c:v>Citric+Malic+Oxalic</c:v>
                  </c:pt>
                </c:lvl>
              </c:multiLvlStrCache>
            </c:multiLvlStrRef>
          </c:cat>
          <c:val>
            <c:numRef>
              <c:f>Sheet4!$C$4:$J$4</c:f>
              <c:numCache>
                <c:formatCode>General</c:formatCode>
                <c:ptCount val="8"/>
                <c:pt idx="0">
                  <c:v>0.34</c:v>
                </c:pt>
                <c:pt idx="1">
                  <c:v>7.02</c:v>
                </c:pt>
                <c:pt idx="2">
                  <c:v>4.8499999999999996</c:v>
                </c:pt>
                <c:pt idx="3">
                  <c:v>3.19</c:v>
                </c:pt>
                <c:pt idx="4">
                  <c:v>10.050000000000001</c:v>
                </c:pt>
                <c:pt idx="5">
                  <c:v>79.73</c:v>
                </c:pt>
                <c:pt idx="6">
                  <c:v>3.68</c:v>
                </c:pt>
                <c:pt idx="7">
                  <c:v>4.67</c:v>
                </c:pt>
              </c:numCache>
            </c:numRef>
          </c:val>
          <c:extLst>
            <c:ext xmlns:c16="http://schemas.microsoft.com/office/drawing/2014/chart" uri="{C3380CC4-5D6E-409C-BE32-E72D297353CC}">
              <c16:uniqueId val="{00000001-E6A0-4CF0-B351-77D3173E4F29}"/>
            </c:ext>
          </c:extLst>
        </c:ser>
        <c:ser>
          <c:idx val="2"/>
          <c:order val="2"/>
          <c:tx>
            <c:strRef>
              <c:f>Sheet4!$B$5</c:f>
              <c:strCache>
                <c:ptCount val="1"/>
                <c:pt idx="0">
                  <c:v>3</c:v>
                </c:pt>
              </c:strCache>
            </c:strRef>
          </c:tx>
          <c:spPr>
            <a:solidFill>
              <a:schemeClr val="accent3"/>
            </a:solidFill>
            <a:ln>
              <a:noFill/>
            </a:ln>
            <a:effectLst/>
          </c:spPr>
          <c:invertIfNegative val="0"/>
          <c:errBars>
            <c:errBarType val="both"/>
            <c:errValType val="cust"/>
            <c:noEndCap val="0"/>
            <c:plus>
              <c:numRef>
                <c:f>Sheet4!$M$5:$T$5</c:f>
                <c:numCache>
                  <c:formatCode>General</c:formatCode>
                  <c:ptCount val="8"/>
                  <c:pt idx="0">
                    <c:v>0.02</c:v>
                  </c:pt>
                  <c:pt idx="1">
                    <c:v>0.01</c:v>
                  </c:pt>
                  <c:pt idx="2">
                    <c:v>0.02</c:v>
                  </c:pt>
                  <c:pt idx="3">
                    <c:v>0.02</c:v>
                  </c:pt>
                  <c:pt idx="4">
                    <c:v>0.02</c:v>
                  </c:pt>
                  <c:pt idx="5">
                    <c:v>0.01</c:v>
                  </c:pt>
                  <c:pt idx="6">
                    <c:v>0.01</c:v>
                  </c:pt>
                  <c:pt idx="7">
                    <c:v>0.01</c:v>
                  </c:pt>
                </c:numCache>
              </c:numRef>
            </c:plus>
            <c:minus>
              <c:numRef>
                <c:f>Sheet4!$M$5:$T$5</c:f>
                <c:numCache>
                  <c:formatCode>General</c:formatCode>
                  <c:ptCount val="8"/>
                  <c:pt idx="0">
                    <c:v>0.02</c:v>
                  </c:pt>
                  <c:pt idx="1">
                    <c:v>0.01</c:v>
                  </c:pt>
                  <c:pt idx="2">
                    <c:v>0.02</c:v>
                  </c:pt>
                  <c:pt idx="3">
                    <c:v>0.02</c:v>
                  </c:pt>
                  <c:pt idx="4">
                    <c:v>0.02</c:v>
                  </c:pt>
                  <c:pt idx="5">
                    <c:v>0.01</c:v>
                  </c:pt>
                  <c:pt idx="6">
                    <c:v>0.01</c:v>
                  </c:pt>
                  <c:pt idx="7">
                    <c:v>0.01</c:v>
                  </c:pt>
                </c:numCache>
              </c:numRef>
            </c:minus>
            <c:spPr>
              <a:noFill/>
              <a:ln w="9525" cap="flat" cmpd="sng" algn="ctr">
                <a:solidFill>
                  <a:schemeClr val="tx1">
                    <a:lumMod val="65000"/>
                    <a:lumOff val="35000"/>
                  </a:schemeClr>
                </a:solidFill>
                <a:round/>
              </a:ln>
              <a:effectLst/>
            </c:spPr>
          </c:errBars>
          <c:cat>
            <c:multiLvlStrRef>
              <c:f>Sheet4!$C$1:$J$2</c:f>
              <c:multiLvlStrCache>
                <c:ptCount val="8"/>
                <c:lvl>
                  <c:pt idx="0">
                    <c:v>Zn</c:v>
                  </c:pt>
                  <c:pt idx="1">
                    <c:v>Ni</c:v>
                  </c:pt>
                  <c:pt idx="2">
                    <c:v>Zn</c:v>
                  </c:pt>
                  <c:pt idx="3">
                    <c:v>Ni</c:v>
                  </c:pt>
                  <c:pt idx="4">
                    <c:v>Zn</c:v>
                  </c:pt>
                  <c:pt idx="5">
                    <c:v>Ni</c:v>
                  </c:pt>
                  <c:pt idx="6">
                    <c:v>Zn</c:v>
                  </c:pt>
                  <c:pt idx="7">
                    <c:v>Ni</c:v>
                  </c:pt>
                </c:lvl>
                <c:lvl>
                  <c:pt idx="0">
                    <c:v>Citric</c:v>
                  </c:pt>
                  <c:pt idx="2">
                    <c:v>Malic</c:v>
                  </c:pt>
                  <c:pt idx="4">
                    <c:v>Oxalic</c:v>
                  </c:pt>
                  <c:pt idx="6">
                    <c:v>Citric+Malic+Oxalic</c:v>
                  </c:pt>
                </c:lvl>
              </c:multiLvlStrCache>
            </c:multiLvlStrRef>
          </c:cat>
          <c:val>
            <c:numRef>
              <c:f>Sheet4!$C$5:$J$5</c:f>
              <c:numCache>
                <c:formatCode>General</c:formatCode>
                <c:ptCount val="8"/>
                <c:pt idx="0">
                  <c:v>0.22</c:v>
                </c:pt>
                <c:pt idx="1">
                  <c:v>7.81</c:v>
                </c:pt>
                <c:pt idx="2">
                  <c:v>3.35</c:v>
                </c:pt>
                <c:pt idx="3">
                  <c:v>2.73</c:v>
                </c:pt>
                <c:pt idx="4">
                  <c:v>7.93</c:v>
                </c:pt>
                <c:pt idx="5">
                  <c:v>47.69</c:v>
                </c:pt>
                <c:pt idx="6">
                  <c:v>2.57</c:v>
                </c:pt>
                <c:pt idx="7">
                  <c:v>3.68</c:v>
                </c:pt>
              </c:numCache>
            </c:numRef>
          </c:val>
          <c:extLst>
            <c:ext xmlns:c16="http://schemas.microsoft.com/office/drawing/2014/chart" uri="{C3380CC4-5D6E-409C-BE32-E72D297353CC}">
              <c16:uniqueId val="{00000002-E6A0-4CF0-B351-77D3173E4F29}"/>
            </c:ext>
          </c:extLst>
        </c:ser>
        <c:ser>
          <c:idx val="3"/>
          <c:order val="3"/>
          <c:tx>
            <c:strRef>
              <c:f>Sheet4!$B$6</c:f>
              <c:strCache>
                <c:ptCount val="1"/>
                <c:pt idx="0">
                  <c:v>4</c:v>
                </c:pt>
              </c:strCache>
            </c:strRef>
          </c:tx>
          <c:spPr>
            <a:solidFill>
              <a:schemeClr val="accent4"/>
            </a:solidFill>
            <a:ln>
              <a:noFill/>
            </a:ln>
            <a:effectLst/>
          </c:spPr>
          <c:invertIfNegative val="0"/>
          <c:errBars>
            <c:errBarType val="both"/>
            <c:errValType val="cust"/>
            <c:noEndCap val="0"/>
            <c:plus>
              <c:numRef>
                <c:f>Sheet4!$M$6:$T$6</c:f>
                <c:numCache>
                  <c:formatCode>General</c:formatCode>
                  <c:ptCount val="8"/>
                  <c:pt idx="0">
                    <c:v>0.06</c:v>
                  </c:pt>
                  <c:pt idx="1">
                    <c:v>0.05</c:v>
                  </c:pt>
                  <c:pt idx="2">
                    <c:v>0.06</c:v>
                  </c:pt>
                  <c:pt idx="3">
                    <c:v>0.06</c:v>
                  </c:pt>
                  <c:pt idx="4">
                    <c:v>0.06</c:v>
                  </c:pt>
                  <c:pt idx="5">
                    <c:v>0.05</c:v>
                  </c:pt>
                  <c:pt idx="6">
                    <c:v>0.05</c:v>
                  </c:pt>
                  <c:pt idx="7">
                    <c:v>0.05</c:v>
                  </c:pt>
                </c:numCache>
              </c:numRef>
            </c:plus>
            <c:minus>
              <c:numRef>
                <c:f>Sheet4!$M$6:$T$6</c:f>
                <c:numCache>
                  <c:formatCode>General</c:formatCode>
                  <c:ptCount val="8"/>
                  <c:pt idx="0">
                    <c:v>0.06</c:v>
                  </c:pt>
                  <c:pt idx="1">
                    <c:v>0.05</c:v>
                  </c:pt>
                  <c:pt idx="2">
                    <c:v>0.06</c:v>
                  </c:pt>
                  <c:pt idx="3">
                    <c:v>0.06</c:v>
                  </c:pt>
                  <c:pt idx="4">
                    <c:v>0.06</c:v>
                  </c:pt>
                  <c:pt idx="5">
                    <c:v>0.05</c:v>
                  </c:pt>
                  <c:pt idx="6">
                    <c:v>0.05</c:v>
                  </c:pt>
                  <c:pt idx="7">
                    <c:v>0.05</c:v>
                  </c:pt>
                </c:numCache>
              </c:numRef>
            </c:minus>
            <c:spPr>
              <a:noFill/>
              <a:ln w="9525" cap="flat" cmpd="sng" algn="ctr">
                <a:solidFill>
                  <a:schemeClr val="tx1">
                    <a:lumMod val="65000"/>
                    <a:lumOff val="35000"/>
                  </a:schemeClr>
                </a:solidFill>
                <a:round/>
              </a:ln>
              <a:effectLst/>
            </c:spPr>
          </c:errBars>
          <c:cat>
            <c:multiLvlStrRef>
              <c:f>Sheet4!$C$1:$J$2</c:f>
              <c:multiLvlStrCache>
                <c:ptCount val="8"/>
                <c:lvl>
                  <c:pt idx="0">
                    <c:v>Zn</c:v>
                  </c:pt>
                  <c:pt idx="1">
                    <c:v>Ni</c:v>
                  </c:pt>
                  <c:pt idx="2">
                    <c:v>Zn</c:v>
                  </c:pt>
                  <c:pt idx="3">
                    <c:v>Ni</c:v>
                  </c:pt>
                  <c:pt idx="4">
                    <c:v>Zn</c:v>
                  </c:pt>
                  <c:pt idx="5">
                    <c:v>Ni</c:v>
                  </c:pt>
                  <c:pt idx="6">
                    <c:v>Zn</c:v>
                  </c:pt>
                  <c:pt idx="7">
                    <c:v>Ni</c:v>
                  </c:pt>
                </c:lvl>
                <c:lvl>
                  <c:pt idx="0">
                    <c:v>Citric</c:v>
                  </c:pt>
                  <c:pt idx="2">
                    <c:v>Malic</c:v>
                  </c:pt>
                  <c:pt idx="4">
                    <c:v>Oxalic</c:v>
                  </c:pt>
                  <c:pt idx="6">
                    <c:v>Citric+Malic+Oxalic</c:v>
                  </c:pt>
                </c:lvl>
              </c:multiLvlStrCache>
            </c:multiLvlStrRef>
          </c:cat>
          <c:val>
            <c:numRef>
              <c:f>Sheet4!$C$6:$J$6</c:f>
              <c:numCache>
                <c:formatCode>General</c:formatCode>
                <c:ptCount val="8"/>
                <c:pt idx="0">
                  <c:v>0.19</c:v>
                </c:pt>
                <c:pt idx="1">
                  <c:v>5.55</c:v>
                </c:pt>
                <c:pt idx="2">
                  <c:v>2.12</c:v>
                </c:pt>
                <c:pt idx="3">
                  <c:v>1.18</c:v>
                </c:pt>
                <c:pt idx="4">
                  <c:v>4.42</c:v>
                </c:pt>
                <c:pt idx="5">
                  <c:v>11.24</c:v>
                </c:pt>
                <c:pt idx="6">
                  <c:v>1.95</c:v>
                </c:pt>
                <c:pt idx="7">
                  <c:v>2.23</c:v>
                </c:pt>
              </c:numCache>
            </c:numRef>
          </c:val>
          <c:extLst>
            <c:ext xmlns:c16="http://schemas.microsoft.com/office/drawing/2014/chart" uri="{C3380CC4-5D6E-409C-BE32-E72D297353CC}">
              <c16:uniqueId val="{00000003-E6A0-4CF0-B351-77D3173E4F29}"/>
            </c:ext>
          </c:extLst>
        </c:ser>
        <c:ser>
          <c:idx val="4"/>
          <c:order val="4"/>
          <c:tx>
            <c:strRef>
              <c:f>Sheet4!$B$7</c:f>
              <c:strCache>
                <c:ptCount val="1"/>
                <c:pt idx="0">
                  <c:v>5</c:v>
                </c:pt>
              </c:strCache>
            </c:strRef>
          </c:tx>
          <c:spPr>
            <a:solidFill>
              <a:schemeClr val="accent5"/>
            </a:solidFill>
            <a:ln>
              <a:noFill/>
            </a:ln>
            <a:effectLst/>
          </c:spPr>
          <c:invertIfNegative val="0"/>
          <c:errBars>
            <c:errBarType val="both"/>
            <c:errValType val="cust"/>
            <c:noEndCap val="0"/>
            <c:plus>
              <c:numRef>
                <c:f>Sheet4!$M$7:$T$7</c:f>
                <c:numCache>
                  <c:formatCode>General</c:formatCode>
                  <c:ptCount val="8"/>
                  <c:pt idx="0">
                    <c:v>0.05</c:v>
                  </c:pt>
                  <c:pt idx="1">
                    <c:v>0.01</c:v>
                  </c:pt>
                  <c:pt idx="2">
                    <c:v>0.05</c:v>
                  </c:pt>
                  <c:pt idx="3">
                    <c:v>0.05</c:v>
                  </c:pt>
                  <c:pt idx="4">
                    <c:v>0.05</c:v>
                  </c:pt>
                  <c:pt idx="5">
                    <c:v>0.01</c:v>
                  </c:pt>
                  <c:pt idx="6">
                    <c:v>0.01</c:v>
                  </c:pt>
                  <c:pt idx="7">
                    <c:v>0.01</c:v>
                  </c:pt>
                </c:numCache>
              </c:numRef>
            </c:plus>
            <c:minus>
              <c:numRef>
                <c:f>Sheet4!$M$7:$T$7</c:f>
                <c:numCache>
                  <c:formatCode>General</c:formatCode>
                  <c:ptCount val="8"/>
                  <c:pt idx="0">
                    <c:v>0.05</c:v>
                  </c:pt>
                  <c:pt idx="1">
                    <c:v>0.01</c:v>
                  </c:pt>
                  <c:pt idx="2">
                    <c:v>0.05</c:v>
                  </c:pt>
                  <c:pt idx="3">
                    <c:v>0.05</c:v>
                  </c:pt>
                  <c:pt idx="4">
                    <c:v>0.05</c:v>
                  </c:pt>
                  <c:pt idx="5">
                    <c:v>0.01</c:v>
                  </c:pt>
                  <c:pt idx="6">
                    <c:v>0.01</c:v>
                  </c:pt>
                  <c:pt idx="7">
                    <c:v>0.01</c:v>
                  </c:pt>
                </c:numCache>
              </c:numRef>
            </c:minus>
            <c:spPr>
              <a:noFill/>
              <a:ln w="9525" cap="flat" cmpd="sng" algn="ctr">
                <a:solidFill>
                  <a:schemeClr val="tx1">
                    <a:lumMod val="65000"/>
                    <a:lumOff val="35000"/>
                  </a:schemeClr>
                </a:solidFill>
                <a:round/>
              </a:ln>
              <a:effectLst/>
            </c:spPr>
          </c:errBars>
          <c:cat>
            <c:multiLvlStrRef>
              <c:f>Sheet4!$C$1:$J$2</c:f>
              <c:multiLvlStrCache>
                <c:ptCount val="8"/>
                <c:lvl>
                  <c:pt idx="0">
                    <c:v>Zn</c:v>
                  </c:pt>
                  <c:pt idx="1">
                    <c:v>Ni</c:v>
                  </c:pt>
                  <c:pt idx="2">
                    <c:v>Zn</c:v>
                  </c:pt>
                  <c:pt idx="3">
                    <c:v>Ni</c:v>
                  </c:pt>
                  <c:pt idx="4">
                    <c:v>Zn</c:v>
                  </c:pt>
                  <c:pt idx="5">
                    <c:v>Ni</c:v>
                  </c:pt>
                  <c:pt idx="6">
                    <c:v>Zn</c:v>
                  </c:pt>
                  <c:pt idx="7">
                    <c:v>Ni</c:v>
                  </c:pt>
                </c:lvl>
                <c:lvl>
                  <c:pt idx="0">
                    <c:v>Citric</c:v>
                  </c:pt>
                  <c:pt idx="2">
                    <c:v>Malic</c:v>
                  </c:pt>
                  <c:pt idx="4">
                    <c:v>Oxalic</c:v>
                  </c:pt>
                  <c:pt idx="6">
                    <c:v>Citric+Malic+Oxalic</c:v>
                  </c:pt>
                </c:lvl>
              </c:multiLvlStrCache>
            </c:multiLvlStrRef>
          </c:cat>
          <c:val>
            <c:numRef>
              <c:f>Sheet4!$C$7:$J$7</c:f>
              <c:numCache>
                <c:formatCode>General</c:formatCode>
                <c:ptCount val="8"/>
                <c:pt idx="0">
                  <c:v>0.09</c:v>
                </c:pt>
                <c:pt idx="1">
                  <c:v>2.79</c:v>
                </c:pt>
                <c:pt idx="2">
                  <c:v>1.99</c:v>
                </c:pt>
                <c:pt idx="3">
                  <c:v>1</c:v>
                </c:pt>
                <c:pt idx="4">
                  <c:v>0.71</c:v>
                </c:pt>
                <c:pt idx="5">
                  <c:v>9.69</c:v>
                </c:pt>
                <c:pt idx="6">
                  <c:v>1.55</c:v>
                </c:pt>
                <c:pt idx="7">
                  <c:v>2.52</c:v>
                </c:pt>
              </c:numCache>
            </c:numRef>
          </c:val>
          <c:extLst>
            <c:ext xmlns:c16="http://schemas.microsoft.com/office/drawing/2014/chart" uri="{C3380CC4-5D6E-409C-BE32-E72D297353CC}">
              <c16:uniqueId val="{00000004-E6A0-4CF0-B351-77D3173E4F29}"/>
            </c:ext>
          </c:extLst>
        </c:ser>
        <c:dLbls>
          <c:showLegendKey val="0"/>
          <c:showVal val="0"/>
          <c:showCatName val="0"/>
          <c:showSerName val="0"/>
          <c:showPercent val="0"/>
          <c:showBubbleSize val="0"/>
        </c:dLbls>
        <c:gapWidth val="219"/>
        <c:overlap val="-27"/>
        <c:axId val="224275944"/>
        <c:axId val="224279864"/>
      </c:barChart>
      <c:catAx>
        <c:axId val="224275944"/>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r>
                  <a:rPr lang="en-US"/>
                  <a:t>Concentration (M)</a:t>
                </a:r>
              </a:p>
            </c:rich>
          </c:tx>
          <c:layout>
            <c:manualLayout>
              <c:xMode val="edge"/>
              <c:yMode val="edge"/>
              <c:x val="0.44495013123359572"/>
              <c:y val="0.9139079035769088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24279864"/>
        <c:crosses val="autoZero"/>
        <c:auto val="1"/>
        <c:lblAlgn val="ctr"/>
        <c:lblOffset val="100"/>
        <c:noMultiLvlLbl val="0"/>
      </c:catAx>
      <c:valAx>
        <c:axId val="224279864"/>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r>
                  <a:rPr lang="en-US"/>
                  <a:t>Recovery efficiency (%)</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24275944"/>
        <c:crosses val="autoZero"/>
        <c:crossBetween val="between"/>
      </c:valAx>
      <c:spPr>
        <a:noFill/>
        <a:ln>
          <a:noFill/>
        </a:ln>
        <a:effectLst/>
      </c:spPr>
    </c:plotArea>
    <c:legend>
      <c:legendPos val="b"/>
      <c:layout>
        <c:manualLayout>
          <c:xMode val="edge"/>
          <c:yMode val="edge"/>
          <c:x val="0.38238998250218725"/>
          <c:y val="0.85617541444953649"/>
          <c:w val="0.24077559055118111"/>
          <c:h val="7.6142678434199515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Sheet12!$B$53:$B$54</c:f>
              <c:strCache>
                <c:ptCount val="2"/>
                <c:pt idx="0">
                  <c:v>Cell  phone</c:v>
                </c:pt>
                <c:pt idx="1">
                  <c:v>Citric acid</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2.6683996231240327E-2"/>
                  <c:y val="-0.36776407240940379"/>
                </c:manualLayout>
              </c:layout>
              <c:numFmt formatCode="General" sourceLinked="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trendlineLbl>
          </c:trendline>
          <c:cat>
            <c:numRef>
              <c:f>Sheet12!$A$63:$A$67</c:f>
              <c:numCache>
                <c:formatCode>General</c:formatCode>
                <c:ptCount val="5"/>
                <c:pt idx="0">
                  <c:v>2</c:v>
                </c:pt>
                <c:pt idx="1">
                  <c:v>3</c:v>
                </c:pt>
                <c:pt idx="2">
                  <c:v>4</c:v>
                </c:pt>
                <c:pt idx="3">
                  <c:v>5</c:v>
                </c:pt>
                <c:pt idx="4">
                  <c:v>6</c:v>
                </c:pt>
              </c:numCache>
            </c:numRef>
          </c:cat>
          <c:val>
            <c:numRef>
              <c:f>Sheet12!$B$63:$B$67</c:f>
              <c:numCache>
                <c:formatCode>General</c:formatCode>
                <c:ptCount val="5"/>
                <c:pt idx="0">
                  <c:v>-2.04</c:v>
                </c:pt>
                <c:pt idx="1">
                  <c:v>-2.4700000000000002</c:v>
                </c:pt>
                <c:pt idx="2">
                  <c:v>-2.27</c:v>
                </c:pt>
                <c:pt idx="3">
                  <c:v>-2.63</c:v>
                </c:pt>
                <c:pt idx="4">
                  <c:v>-3.35</c:v>
                </c:pt>
              </c:numCache>
            </c:numRef>
          </c:val>
          <c:smooth val="0"/>
          <c:extLst>
            <c:ext xmlns:c16="http://schemas.microsoft.com/office/drawing/2014/chart" uri="{C3380CC4-5D6E-409C-BE32-E72D297353CC}">
              <c16:uniqueId val="{00000000-82EB-42CB-9FA1-3CF8784965D3}"/>
            </c:ext>
          </c:extLst>
        </c:ser>
        <c:ser>
          <c:idx val="1"/>
          <c:order val="1"/>
          <c:tx>
            <c:strRef>
              <c:f>Sheet12!$C$53:$C$54</c:f>
              <c:strCache>
                <c:ptCount val="2"/>
                <c:pt idx="0">
                  <c:v>Cell  phone</c:v>
                </c:pt>
                <c:pt idx="1">
                  <c:v>Malic acid</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linear"/>
            <c:dispRSqr val="1"/>
            <c:dispEq val="1"/>
            <c:trendlineLbl>
              <c:layout>
                <c:manualLayout>
                  <c:x val="-0.4403245507773067"/>
                  <c:y val="-0.56316177216045415"/>
                </c:manualLayout>
              </c:layout>
              <c:numFmt formatCode="General" sourceLinked="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trendlineLbl>
          </c:trendline>
          <c:cat>
            <c:numRef>
              <c:f>Sheet12!$A$63:$A$67</c:f>
              <c:numCache>
                <c:formatCode>General</c:formatCode>
                <c:ptCount val="5"/>
                <c:pt idx="0">
                  <c:v>2</c:v>
                </c:pt>
                <c:pt idx="1">
                  <c:v>3</c:v>
                </c:pt>
                <c:pt idx="2">
                  <c:v>4</c:v>
                </c:pt>
                <c:pt idx="3">
                  <c:v>5</c:v>
                </c:pt>
                <c:pt idx="4">
                  <c:v>6</c:v>
                </c:pt>
              </c:numCache>
            </c:numRef>
          </c:cat>
          <c:val>
            <c:numRef>
              <c:f>Sheet12!$C$63:$C$67</c:f>
              <c:numCache>
                <c:formatCode>General</c:formatCode>
                <c:ptCount val="5"/>
                <c:pt idx="0">
                  <c:v>-2.9</c:v>
                </c:pt>
                <c:pt idx="1">
                  <c:v>-3.39</c:v>
                </c:pt>
                <c:pt idx="2">
                  <c:v>-3.58</c:v>
                </c:pt>
                <c:pt idx="3">
                  <c:v>-4.7300000000000004</c:v>
                </c:pt>
                <c:pt idx="4">
                  <c:v>-4.97</c:v>
                </c:pt>
              </c:numCache>
            </c:numRef>
          </c:val>
          <c:smooth val="0"/>
          <c:extLst>
            <c:ext xmlns:c16="http://schemas.microsoft.com/office/drawing/2014/chart" uri="{C3380CC4-5D6E-409C-BE32-E72D297353CC}">
              <c16:uniqueId val="{00000001-82EB-42CB-9FA1-3CF8784965D3}"/>
            </c:ext>
          </c:extLst>
        </c:ser>
        <c:ser>
          <c:idx val="2"/>
          <c:order val="2"/>
          <c:tx>
            <c:strRef>
              <c:f>Sheet12!$D$53:$D$54</c:f>
              <c:strCache>
                <c:ptCount val="2"/>
                <c:pt idx="0">
                  <c:v>Cell  phone</c:v>
                </c:pt>
                <c:pt idx="1">
                  <c:v>Oxalic acid</c:v>
                </c:pt>
              </c:strCache>
            </c:strRef>
          </c:tx>
          <c:spPr>
            <a:ln w="28575" cap="rnd">
              <a:solidFill>
                <a:schemeClr val="accent3"/>
              </a:solidFill>
              <a:round/>
            </a:ln>
            <a:effectLst/>
          </c:spPr>
          <c:marker>
            <c:symbol val="none"/>
          </c:marker>
          <c:trendline>
            <c:spPr>
              <a:ln w="19050" cap="rnd">
                <a:solidFill>
                  <a:schemeClr val="accent3"/>
                </a:solidFill>
                <a:prstDash val="sysDot"/>
              </a:ln>
              <a:effectLst/>
            </c:spPr>
            <c:trendlineType val="linear"/>
            <c:dispRSqr val="1"/>
            <c:dispEq val="1"/>
            <c:trendlineLbl>
              <c:layout>
                <c:manualLayout>
                  <c:x val="-0.20800625883303048"/>
                  <c:y val="-0.2678618498867899"/>
                </c:manualLayout>
              </c:layout>
              <c:numFmt formatCode="General" sourceLinked="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trendlineLbl>
          </c:trendline>
          <c:cat>
            <c:numRef>
              <c:f>Sheet12!$A$63:$A$67</c:f>
              <c:numCache>
                <c:formatCode>General</c:formatCode>
                <c:ptCount val="5"/>
                <c:pt idx="0">
                  <c:v>2</c:v>
                </c:pt>
                <c:pt idx="1">
                  <c:v>3</c:v>
                </c:pt>
                <c:pt idx="2">
                  <c:v>4</c:v>
                </c:pt>
                <c:pt idx="3">
                  <c:v>5</c:v>
                </c:pt>
                <c:pt idx="4">
                  <c:v>6</c:v>
                </c:pt>
              </c:numCache>
            </c:numRef>
          </c:cat>
          <c:val>
            <c:numRef>
              <c:f>Sheet12!$D$63:$D$67</c:f>
              <c:numCache>
                <c:formatCode>General</c:formatCode>
                <c:ptCount val="5"/>
                <c:pt idx="0">
                  <c:v>0.24</c:v>
                </c:pt>
                <c:pt idx="1">
                  <c:v>0.14000000000000001</c:v>
                </c:pt>
                <c:pt idx="2">
                  <c:v>-0.39</c:v>
                </c:pt>
                <c:pt idx="3">
                  <c:v>-1.94</c:v>
                </c:pt>
                <c:pt idx="4">
                  <c:v>-2.0299999999999998</c:v>
                </c:pt>
              </c:numCache>
            </c:numRef>
          </c:val>
          <c:smooth val="0"/>
          <c:extLst>
            <c:ext xmlns:c16="http://schemas.microsoft.com/office/drawing/2014/chart" uri="{C3380CC4-5D6E-409C-BE32-E72D297353CC}">
              <c16:uniqueId val="{00000002-82EB-42CB-9FA1-3CF8784965D3}"/>
            </c:ext>
          </c:extLst>
        </c:ser>
        <c:ser>
          <c:idx val="3"/>
          <c:order val="3"/>
          <c:tx>
            <c:strRef>
              <c:f>Sheet12!$E$53:$E$54</c:f>
              <c:strCache>
                <c:ptCount val="2"/>
                <c:pt idx="0">
                  <c:v>Cell  phone</c:v>
                </c:pt>
                <c:pt idx="1">
                  <c:v>Citric+Malic+Oxalic acid</c:v>
                </c:pt>
              </c:strCache>
            </c:strRef>
          </c:tx>
          <c:spPr>
            <a:ln w="28575" cap="rnd">
              <a:solidFill>
                <a:schemeClr val="accent4"/>
              </a:solidFill>
              <a:round/>
            </a:ln>
            <a:effectLst/>
          </c:spPr>
          <c:marker>
            <c:symbol val="none"/>
          </c:marker>
          <c:trendline>
            <c:spPr>
              <a:ln w="19050" cap="rnd">
                <a:solidFill>
                  <a:schemeClr val="accent4"/>
                </a:solidFill>
                <a:prstDash val="sysDot"/>
              </a:ln>
              <a:effectLst/>
            </c:spPr>
            <c:trendlineType val="linear"/>
            <c:dispRSqr val="1"/>
            <c:dispEq val="1"/>
            <c:trendlineLbl>
              <c:layout>
                <c:manualLayout>
                  <c:x val="-0.62502540547816143"/>
                  <c:y val="-0.42234035123291991"/>
                </c:manualLayout>
              </c:layout>
              <c:numFmt formatCode="General" sourceLinked="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trendlineLbl>
          </c:trendline>
          <c:cat>
            <c:numRef>
              <c:f>Sheet12!$A$63:$A$67</c:f>
              <c:numCache>
                <c:formatCode>General</c:formatCode>
                <c:ptCount val="5"/>
                <c:pt idx="0">
                  <c:v>2</c:v>
                </c:pt>
                <c:pt idx="1">
                  <c:v>3</c:v>
                </c:pt>
                <c:pt idx="2">
                  <c:v>4</c:v>
                </c:pt>
                <c:pt idx="3">
                  <c:v>5</c:v>
                </c:pt>
                <c:pt idx="4">
                  <c:v>6</c:v>
                </c:pt>
              </c:numCache>
            </c:numRef>
          </c:cat>
          <c:val>
            <c:numRef>
              <c:f>Sheet12!$E$63:$E$67</c:f>
              <c:numCache>
                <c:formatCode>General</c:formatCode>
                <c:ptCount val="5"/>
                <c:pt idx="0">
                  <c:v>-2.67</c:v>
                </c:pt>
                <c:pt idx="1">
                  <c:v>-2.79</c:v>
                </c:pt>
                <c:pt idx="2">
                  <c:v>-3.03</c:v>
                </c:pt>
                <c:pt idx="3">
                  <c:v>-3.56</c:v>
                </c:pt>
                <c:pt idx="4">
                  <c:v>-3.37</c:v>
                </c:pt>
              </c:numCache>
            </c:numRef>
          </c:val>
          <c:smooth val="0"/>
          <c:extLst>
            <c:ext xmlns:c16="http://schemas.microsoft.com/office/drawing/2014/chart" uri="{C3380CC4-5D6E-409C-BE32-E72D297353CC}">
              <c16:uniqueId val="{00000003-82EB-42CB-9FA1-3CF8784965D3}"/>
            </c:ext>
          </c:extLst>
        </c:ser>
        <c:dLbls>
          <c:showLegendKey val="0"/>
          <c:showVal val="0"/>
          <c:showCatName val="0"/>
          <c:showSerName val="0"/>
          <c:showPercent val="0"/>
          <c:showBubbleSize val="0"/>
        </c:dLbls>
        <c:smooth val="0"/>
        <c:axId val="526268272"/>
        <c:axId val="526267024"/>
      </c:lineChart>
      <c:catAx>
        <c:axId val="526268272"/>
        <c:scaling>
          <c:orientation val="minMax"/>
        </c:scaling>
        <c:delete val="0"/>
        <c:axPos val="b"/>
        <c:title>
          <c:tx>
            <c:rich>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US"/>
                  <a:t>Time (hrs)</a:t>
                </a:r>
              </a:p>
            </c:rich>
          </c:tx>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526267024"/>
        <c:crosses val="autoZero"/>
        <c:auto val="1"/>
        <c:lblAlgn val="ctr"/>
        <c:lblOffset val="100"/>
        <c:noMultiLvlLbl val="0"/>
      </c:catAx>
      <c:valAx>
        <c:axId val="526267024"/>
        <c:scaling>
          <c:orientation val="minMax"/>
        </c:scaling>
        <c:delete val="0"/>
        <c:axPos val="l"/>
        <c:title>
          <c:tx>
            <c:rich>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US"/>
                  <a:t>In (qe - qt)</a:t>
                </a:r>
              </a:p>
            </c:rich>
          </c:tx>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526268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1806</TotalTime>
  <Pages>14</Pages>
  <Words>3982</Words>
  <Characters>22700</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NKECHI NNANYEREUGO</dc:creator>
  <cp:keywords/>
  <dc:description/>
  <cp:lastModifiedBy>Eugene</cp:lastModifiedBy>
  <cp:revision>38</cp:revision>
  <dcterms:created xsi:type="dcterms:W3CDTF">2025-06-16T15:27:00Z</dcterms:created>
  <dcterms:modified xsi:type="dcterms:W3CDTF">2025-07-02T09:34:00Z</dcterms:modified>
</cp:coreProperties>
</file>