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A90E8" w14:textId="77777777" w:rsidR="00FF0418" w:rsidRDefault="00FF0418" w:rsidP="001B66AB">
      <w:pPr>
        <w:spacing w:after="194" w:line="360" w:lineRule="auto"/>
        <w:jc w:val="both"/>
        <w:rPr>
          <w:rFonts w:asciiTheme="majorBidi" w:hAnsiTheme="majorBidi" w:cstheme="majorBidi"/>
          <w:b/>
          <w:sz w:val="24"/>
          <w:szCs w:val="24"/>
        </w:rPr>
      </w:pPr>
    </w:p>
    <w:p w14:paraId="7C89C7C6" w14:textId="77777777" w:rsidR="003B5945" w:rsidRPr="003B5945" w:rsidRDefault="003B5945" w:rsidP="003B5945">
      <w:pPr>
        <w:spacing w:after="194" w:line="360" w:lineRule="auto"/>
        <w:ind w:left="-252"/>
        <w:rPr>
          <w:rFonts w:asciiTheme="majorBidi" w:hAnsiTheme="majorBidi" w:cstheme="majorBidi"/>
          <w:b/>
          <w:bCs/>
          <w:i/>
          <w:iCs/>
          <w:sz w:val="24"/>
          <w:szCs w:val="24"/>
          <w:u w:val="single"/>
        </w:rPr>
      </w:pPr>
      <w:r w:rsidRPr="003B5945">
        <w:rPr>
          <w:rFonts w:asciiTheme="majorBidi" w:hAnsiTheme="majorBidi" w:cstheme="majorBidi"/>
          <w:b/>
          <w:bCs/>
          <w:i/>
          <w:iCs/>
          <w:sz w:val="24"/>
          <w:szCs w:val="24"/>
          <w:u w:val="single"/>
        </w:rPr>
        <w:t>Original Research Article</w:t>
      </w:r>
    </w:p>
    <w:p w14:paraId="2D06037A" w14:textId="77777777" w:rsidR="0010681A" w:rsidRDefault="0010681A" w:rsidP="00E50DC1">
      <w:pPr>
        <w:spacing w:after="194" w:line="360" w:lineRule="auto"/>
        <w:ind w:left="-252"/>
        <w:rPr>
          <w:rFonts w:asciiTheme="majorBidi" w:hAnsiTheme="majorBidi" w:cstheme="majorBidi"/>
          <w:b/>
          <w:bCs/>
          <w:sz w:val="24"/>
          <w:szCs w:val="24"/>
        </w:rPr>
      </w:pPr>
      <w:r w:rsidRPr="0010681A">
        <w:rPr>
          <w:rFonts w:asciiTheme="majorBidi" w:hAnsiTheme="majorBidi" w:cstheme="majorBidi"/>
          <w:b/>
          <w:bCs/>
          <w:sz w:val="24"/>
          <w:szCs w:val="24"/>
        </w:rPr>
        <w:t>Detection of BK Virus Cytopathic Effect in Urine Samples of Sudanese Patients with Prostatic Cancer</w:t>
      </w:r>
    </w:p>
    <w:p w14:paraId="5AC02813" w14:textId="77777777" w:rsidR="009F53A0" w:rsidRPr="00C10DD5" w:rsidRDefault="009F53A0" w:rsidP="001F53F2">
      <w:pPr>
        <w:pStyle w:val="Heading1"/>
        <w:spacing w:after="223" w:line="360" w:lineRule="auto"/>
        <w:ind w:right="155"/>
        <w:jc w:val="both"/>
        <w:rPr>
          <w:rFonts w:asciiTheme="majorBidi" w:hAnsiTheme="majorBidi"/>
          <w:sz w:val="24"/>
          <w:szCs w:val="24"/>
        </w:rPr>
      </w:pPr>
    </w:p>
    <w:p w14:paraId="7EC33F33" w14:textId="77777777" w:rsidR="00BA7C72" w:rsidRPr="00B11426" w:rsidRDefault="002D291C" w:rsidP="00C10DD5">
      <w:pPr>
        <w:pStyle w:val="NormalWeb"/>
        <w:spacing w:before="0" w:beforeAutospacing="0" w:after="0" w:afterAutospacing="0" w:line="360" w:lineRule="auto"/>
        <w:contextualSpacing/>
        <w:jc w:val="both"/>
        <w:rPr>
          <w:rFonts w:asciiTheme="majorBidi" w:hAnsiTheme="majorBidi" w:cstheme="majorBidi"/>
        </w:rPr>
      </w:pPr>
      <w:r>
        <w:rPr>
          <w:rStyle w:val="Strong"/>
          <w:rFonts w:asciiTheme="majorBidi" w:hAnsiTheme="majorBidi" w:cstheme="majorBidi"/>
        </w:rPr>
        <w:t>ABSTRACT</w:t>
      </w:r>
    </w:p>
    <w:p w14:paraId="235C8F60" w14:textId="77777777" w:rsidR="00076D5E" w:rsidRPr="0089749F" w:rsidRDefault="00076D5E" w:rsidP="004D5C1B">
      <w:pPr>
        <w:pStyle w:val="NormalWeb"/>
        <w:spacing w:before="0" w:beforeAutospacing="0" w:after="0" w:line="360" w:lineRule="auto"/>
        <w:jc w:val="both"/>
        <w:rPr>
          <w:rStyle w:val="Emphasis"/>
          <w:rFonts w:asciiTheme="majorBidi" w:hAnsiTheme="majorBidi" w:cstheme="majorBidi"/>
          <w:i w:val="0"/>
          <w:iCs w:val="0"/>
        </w:rPr>
      </w:pPr>
      <w:r w:rsidRPr="00076D5E">
        <w:rPr>
          <w:rStyle w:val="Emphasis"/>
          <w:rFonts w:asciiTheme="majorBidi" w:hAnsiTheme="majorBidi" w:cstheme="majorBidi"/>
          <w:b/>
          <w:bCs/>
        </w:rPr>
        <w:t>Background</w:t>
      </w:r>
      <w:r w:rsidRPr="00076D5E">
        <w:rPr>
          <w:rStyle w:val="Emphasis"/>
          <w:rFonts w:asciiTheme="majorBidi" w:hAnsiTheme="majorBidi" w:cstheme="majorBidi"/>
          <w:i w:val="0"/>
          <w:iCs w:val="0"/>
        </w:rPr>
        <w:t xml:space="preserve">: Prostate cancer is one of the most common cancers among men. Some studies suggest a potential link between BK virus infection and the development of this cancer, highlighting the need for further investigation. </w:t>
      </w:r>
      <w:r w:rsidRPr="00076D5E">
        <w:rPr>
          <w:rStyle w:val="Emphasis"/>
          <w:rFonts w:asciiTheme="majorBidi" w:hAnsiTheme="majorBidi" w:cstheme="majorBidi"/>
          <w:b/>
          <w:bCs/>
        </w:rPr>
        <w:t>Objectives</w:t>
      </w:r>
      <w:r w:rsidRPr="00076D5E">
        <w:rPr>
          <w:rStyle w:val="Emphasis"/>
          <w:rFonts w:asciiTheme="majorBidi" w:hAnsiTheme="majorBidi" w:cstheme="majorBidi"/>
          <w:i w:val="0"/>
          <w:iCs w:val="0"/>
        </w:rPr>
        <w:t xml:space="preserve">: This study aims to detect BK virus in the urine of prostate cancer patients, examine associated cytomorphological changes, identify predisposing factors for infection, and evaluate the diagnostic value of urine cytology in benign prostatic hyperplasia (BPH). </w:t>
      </w:r>
      <w:r w:rsidRPr="00076D5E">
        <w:rPr>
          <w:rStyle w:val="Emphasis"/>
          <w:rFonts w:asciiTheme="majorBidi" w:hAnsiTheme="majorBidi" w:cstheme="majorBidi"/>
          <w:b/>
          <w:bCs/>
        </w:rPr>
        <w:t>Methods</w:t>
      </w:r>
      <w:r w:rsidRPr="00076D5E">
        <w:rPr>
          <w:rStyle w:val="Emphasis"/>
          <w:rFonts w:asciiTheme="majorBidi" w:hAnsiTheme="majorBidi" w:cstheme="majorBidi"/>
          <w:i w:val="0"/>
          <w:iCs w:val="0"/>
        </w:rPr>
        <w:t xml:space="preserve">: A case–control study was conducted from January to April 2025 at the Shendi Town Oncology and Cancer Treatment Center and Al </w:t>
      </w:r>
      <w:proofErr w:type="spellStart"/>
      <w:r w:rsidRPr="00076D5E">
        <w:rPr>
          <w:rStyle w:val="Emphasis"/>
          <w:rFonts w:asciiTheme="majorBidi" w:hAnsiTheme="majorBidi" w:cstheme="majorBidi"/>
          <w:i w:val="0"/>
          <w:iCs w:val="0"/>
        </w:rPr>
        <w:t>Mak</w:t>
      </w:r>
      <w:proofErr w:type="spellEnd"/>
      <w:r w:rsidRPr="00076D5E">
        <w:rPr>
          <w:rStyle w:val="Emphasis"/>
          <w:rFonts w:asciiTheme="majorBidi" w:hAnsiTheme="majorBidi" w:cstheme="majorBidi"/>
          <w:i w:val="0"/>
          <w:iCs w:val="0"/>
        </w:rPr>
        <w:t xml:space="preserve"> </w:t>
      </w:r>
      <w:proofErr w:type="spellStart"/>
      <w:r w:rsidRPr="00076D5E">
        <w:rPr>
          <w:rStyle w:val="Emphasis"/>
          <w:rFonts w:asciiTheme="majorBidi" w:hAnsiTheme="majorBidi" w:cstheme="majorBidi"/>
          <w:i w:val="0"/>
          <w:iCs w:val="0"/>
        </w:rPr>
        <w:t>Nimir</w:t>
      </w:r>
      <w:proofErr w:type="spellEnd"/>
      <w:r w:rsidRPr="00076D5E">
        <w:rPr>
          <w:rStyle w:val="Emphasis"/>
          <w:rFonts w:asciiTheme="majorBidi" w:hAnsiTheme="majorBidi" w:cstheme="majorBidi"/>
          <w:i w:val="0"/>
          <w:iCs w:val="0"/>
        </w:rPr>
        <w:t xml:space="preserve"> Hospital, enrolling 45 men (15 prostate cancer, 15 BPH, 15 healthy controls). Midstream urine samples (50–100 mL) were collected, processed within two hours (or fixed with 50% ethanol), centrifuged, and smears stained by Papanicolaou (with H&amp;E as needed) to detect decoy cells and cytomorphological changes. Clinical and demographic data were gathered through a questionnaire, and statistical analysis (includin</w:t>
      </w:r>
      <w:r w:rsidR="002B716C">
        <w:rPr>
          <w:rStyle w:val="Emphasis"/>
          <w:rFonts w:asciiTheme="majorBidi" w:hAnsiTheme="majorBidi" w:cstheme="majorBidi"/>
          <w:i w:val="0"/>
          <w:iCs w:val="0"/>
        </w:rPr>
        <w:t xml:space="preserve">g frequencies, percentages, and </w:t>
      </w:r>
      <w:r w:rsidRPr="00076D5E">
        <w:rPr>
          <w:rStyle w:val="Emphasis"/>
          <w:rFonts w:asciiTheme="majorBidi" w:hAnsiTheme="majorBidi" w:cstheme="majorBidi"/>
          <w:i w:val="0"/>
          <w:iCs w:val="0"/>
        </w:rPr>
        <w:t xml:space="preserve">p-values) was performed using SPSS. </w:t>
      </w:r>
      <w:r w:rsidRPr="002B716C">
        <w:rPr>
          <w:rStyle w:val="Emphasis"/>
          <w:rFonts w:asciiTheme="majorBidi" w:hAnsiTheme="majorBidi" w:cstheme="majorBidi"/>
          <w:b/>
          <w:bCs/>
        </w:rPr>
        <w:t>Results</w:t>
      </w:r>
      <w:r w:rsidRPr="00076D5E">
        <w:rPr>
          <w:rStyle w:val="Emphasis"/>
          <w:rFonts w:asciiTheme="majorBidi" w:hAnsiTheme="majorBidi" w:cstheme="majorBidi"/>
          <w:i w:val="0"/>
          <w:iCs w:val="0"/>
        </w:rPr>
        <w:t xml:space="preserve">: Decoy cells were identified in 86.7% of prostate cancer patients, 40% of BPH cases, and 0% of healthy controls, demonstrating a strong association with malignancy. Their presence significantly correlated with hyperkeratosis (60%), inflammatory cells (83.3%), and bacterial infection (93.3%) (all P &lt; 0.05). Clinically, decoy cells were linked to recurrent UTIs in 87% of prostate cancer patients but showed no relationship with family history. These data underscore the potential impact of BK virus–related and infectious factors over genetic predisposition in prostatic disease. </w:t>
      </w:r>
      <w:r w:rsidRPr="002B716C">
        <w:rPr>
          <w:rStyle w:val="Emphasis"/>
          <w:rFonts w:asciiTheme="majorBidi" w:hAnsiTheme="majorBidi" w:cstheme="majorBidi"/>
          <w:b/>
          <w:bCs/>
        </w:rPr>
        <w:t>Conclusion</w:t>
      </w:r>
      <w:r w:rsidRPr="00076D5E">
        <w:rPr>
          <w:rStyle w:val="Emphasis"/>
          <w:rFonts w:asciiTheme="majorBidi" w:hAnsiTheme="majorBidi" w:cstheme="majorBidi"/>
          <w:i w:val="0"/>
          <w:iCs w:val="0"/>
        </w:rPr>
        <w:t>: This study highlights a strong connection between BK virus (BKV) and prostate cancer, with decoy cells frequently observed in cancer cases. These cells were associated with cytological abnormalities and infections, suggesting viral reactivation. Urine cytology proved more effective than PCR in some instances. No genetic link was found, emphasizing environmental factors. Findings support prior studies and advocate for further research into BKV as a diagnostic or therapeutic target.</w:t>
      </w:r>
    </w:p>
    <w:p w14:paraId="30F5157E" w14:textId="77777777" w:rsidR="002B716C" w:rsidRDefault="00BA7C72" w:rsidP="008F1543">
      <w:pPr>
        <w:pStyle w:val="NormalWeb"/>
        <w:spacing w:before="0" w:after="0" w:line="360" w:lineRule="auto"/>
        <w:jc w:val="both"/>
        <w:rPr>
          <w:rStyle w:val="Emphasis"/>
          <w:rFonts w:asciiTheme="majorBidi" w:hAnsiTheme="majorBidi" w:cstheme="majorBidi"/>
          <w:i w:val="0"/>
          <w:iCs w:val="0"/>
        </w:rPr>
      </w:pPr>
      <w:r w:rsidRPr="00162A5C">
        <w:rPr>
          <w:rStyle w:val="Emphasis"/>
          <w:rFonts w:asciiTheme="majorBidi" w:hAnsiTheme="majorBidi" w:cstheme="majorBidi"/>
          <w:b/>
          <w:bCs/>
        </w:rPr>
        <w:lastRenderedPageBreak/>
        <w:t>Keywords</w:t>
      </w:r>
      <w:r w:rsidR="007F0807" w:rsidRPr="00162A5C">
        <w:rPr>
          <w:rStyle w:val="Emphasis"/>
          <w:rFonts w:asciiTheme="majorBidi" w:hAnsiTheme="majorBidi" w:cstheme="majorBidi"/>
          <w:i w:val="0"/>
          <w:iCs w:val="0"/>
        </w:rPr>
        <w:t>:</w:t>
      </w:r>
      <w:r w:rsidR="008F1543">
        <w:rPr>
          <w:rStyle w:val="Emphasis"/>
          <w:rFonts w:asciiTheme="majorBidi" w:hAnsiTheme="majorBidi" w:cstheme="majorBidi"/>
          <w:i w:val="0"/>
          <w:iCs w:val="0"/>
        </w:rPr>
        <w:t xml:space="preserve"> BKV</w:t>
      </w:r>
      <w:r w:rsidR="002B716C">
        <w:rPr>
          <w:rStyle w:val="Emphasis"/>
          <w:rFonts w:asciiTheme="majorBidi" w:hAnsiTheme="majorBidi" w:cstheme="majorBidi"/>
          <w:i w:val="0"/>
          <w:iCs w:val="0"/>
        </w:rPr>
        <w:t xml:space="preserve">, </w:t>
      </w:r>
      <w:r w:rsidR="008F1543">
        <w:rPr>
          <w:rStyle w:val="Emphasis"/>
          <w:rFonts w:asciiTheme="majorBidi" w:hAnsiTheme="majorBidi" w:cstheme="majorBidi"/>
          <w:i w:val="0"/>
          <w:iCs w:val="0"/>
        </w:rPr>
        <w:t xml:space="preserve">Urine, </w:t>
      </w:r>
      <w:r w:rsidR="008F1543" w:rsidRPr="008F1543">
        <w:rPr>
          <w:rStyle w:val="Emphasis"/>
          <w:rFonts w:asciiTheme="majorBidi" w:hAnsiTheme="majorBidi" w:cstheme="majorBidi"/>
          <w:i w:val="0"/>
          <w:iCs w:val="0"/>
        </w:rPr>
        <w:t>Prostatic Cancer</w:t>
      </w:r>
      <w:r w:rsidR="008F1543">
        <w:rPr>
          <w:rStyle w:val="Emphasis"/>
          <w:rFonts w:asciiTheme="majorBidi" w:hAnsiTheme="majorBidi" w:cstheme="majorBidi"/>
          <w:i w:val="0"/>
          <w:iCs w:val="0"/>
        </w:rPr>
        <w:t>, Cancer, Cytopathic Effect, H</w:t>
      </w:r>
      <w:r w:rsidR="008F1543" w:rsidRPr="00076D5E">
        <w:rPr>
          <w:rStyle w:val="Emphasis"/>
          <w:rFonts w:asciiTheme="majorBidi" w:hAnsiTheme="majorBidi" w:cstheme="majorBidi"/>
          <w:i w:val="0"/>
          <w:iCs w:val="0"/>
        </w:rPr>
        <w:t xml:space="preserve">yperplasia </w:t>
      </w:r>
    </w:p>
    <w:p w14:paraId="12D82556" w14:textId="77777777" w:rsidR="002E4DC4" w:rsidRPr="002E4DC4" w:rsidRDefault="002D291C" w:rsidP="002D291C">
      <w:pPr>
        <w:pStyle w:val="NormalWeb"/>
        <w:numPr>
          <w:ilvl w:val="0"/>
          <w:numId w:val="43"/>
        </w:numPr>
        <w:spacing w:before="0" w:beforeAutospacing="0" w:after="0" w:afterAutospacing="0" w:line="360" w:lineRule="auto"/>
        <w:ind w:left="360"/>
        <w:contextualSpacing/>
        <w:jc w:val="both"/>
        <w:rPr>
          <w:rFonts w:asciiTheme="majorBidi" w:hAnsiTheme="majorBidi" w:cstheme="majorBidi"/>
          <w:b/>
          <w:bCs/>
        </w:rPr>
      </w:pPr>
      <w:r>
        <w:rPr>
          <w:rFonts w:asciiTheme="majorBidi" w:hAnsiTheme="majorBidi" w:cstheme="majorBidi"/>
          <w:b/>
          <w:bCs/>
        </w:rPr>
        <w:t>INTRODUCTION</w:t>
      </w:r>
    </w:p>
    <w:p w14:paraId="091D0148" w14:textId="77777777" w:rsidR="00EC6191" w:rsidRPr="00EC6191" w:rsidRDefault="00F27335" w:rsidP="00EC6191">
      <w:pPr>
        <w:spacing w:line="360" w:lineRule="auto"/>
        <w:ind w:right="148"/>
        <w:jc w:val="both"/>
        <w:rPr>
          <w:rFonts w:asciiTheme="majorBidi" w:eastAsia="Times New Roman" w:hAnsiTheme="majorBidi" w:cstheme="majorBidi"/>
          <w:b/>
          <w:bCs/>
          <w:color w:val="0E101A"/>
          <w:sz w:val="24"/>
          <w:szCs w:val="24"/>
        </w:rPr>
      </w:pPr>
      <w:r w:rsidRPr="00F27335">
        <w:rPr>
          <w:rFonts w:asciiTheme="majorBidi" w:eastAsia="Times New Roman" w:hAnsiTheme="majorBidi" w:cstheme="majorBidi"/>
          <w:color w:val="0E101A"/>
          <w:sz w:val="24"/>
          <w:szCs w:val="24"/>
        </w:rPr>
        <w:t xml:space="preserve">One of the most vital exocrine glands in men is the prostate.  It is susceptible to several pathological illnesses, the most prevalent of which are benign and malignant diseases </w:t>
      </w:r>
      <w:r w:rsidRPr="00F27335">
        <w:rPr>
          <w:rFonts w:asciiTheme="majorBidi" w:eastAsia="Times New Roman" w:hAnsiTheme="majorBidi" w:cstheme="majorBidi"/>
          <w:b/>
          <w:bCs/>
          <w:color w:val="0E101A"/>
          <w:sz w:val="24"/>
          <w:szCs w:val="24"/>
        </w:rPr>
        <w:t>[1].</w:t>
      </w:r>
      <w:r w:rsidRPr="00F27335">
        <w:rPr>
          <w:rFonts w:asciiTheme="majorBidi" w:eastAsia="Times New Roman" w:hAnsiTheme="majorBidi" w:cstheme="majorBidi"/>
          <w:color w:val="0E101A"/>
          <w:sz w:val="24"/>
          <w:szCs w:val="24"/>
        </w:rPr>
        <w:t xml:space="preserve">  Benign Prostatic Hyperplasia (BPH), which is common in older men and is not cancer, is caused by the prostate gland growing larger than usual. This condition can "squeeze" the urethra, resulting in several symptoms, including frequent urination and difficulty urinating during the day </w:t>
      </w:r>
      <w:r w:rsidRPr="00F27335">
        <w:rPr>
          <w:rFonts w:asciiTheme="majorBidi" w:eastAsia="Times New Roman" w:hAnsiTheme="majorBidi" w:cstheme="majorBidi"/>
          <w:b/>
          <w:bCs/>
          <w:color w:val="0E101A"/>
          <w:sz w:val="24"/>
          <w:szCs w:val="24"/>
        </w:rPr>
        <w:t>[2].</w:t>
      </w:r>
      <w:r w:rsidR="006907C5">
        <w:rPr>
          <w:rFonts w:asciiTheme="majorBidi" w:eastAsia="Times New Roman" w:hAnsiTheme="majorBidi" w:cstheme="majorBidi"/>
          <w:b/>
          <w:bCs/>
          <w:color w:val="0E101A"/>
          <w:sz w:val="24"/>
          <w:szCs w:val="24"/>
        </w:rPr>
        <w:t xml:space="preserve"> </w:t>
      </w:r>
      <w:r w:rsidR="006907C5" w:rsidRPr="006907C5">
        <w:rPr>
          <w:rFonts w:asciiTheme="majorBidi" w:eastAsia="Times New Roman" w:hAnsiTheme="majorBidi" w:cstheme="majorBidi"/>
          <w:color w:val="0E101A"/>
          <w:sz w:val="24"/>
          <w:szCs w:val="24"/>
        </w:rPr>
        <w:t>One of the main causes of cancer-related mortality in men is prostate cancer (</w:t>
      </w:r>
      <w:proofErr w:type="spellStart"/>
      <w:r w:rsidR="006907C5" w:rsidRPr="006907C5">
        <w:rPr>
          <w:rFonts w:asciiTheme="majorBidi" w:eastAsia="Times New Roman" w:hAnsiTheme="majorBidi" w:cstheme="majorBidi"/>
          <w:color w:val="0E101A"/>
          <w:sz w:val="24"/>
          <w:szCs w:val="24"/>
        </w:rPr>
        <w:t>PCa</w:t>
      </w:r>
      <w:proofErr w:type="spellEnd"/>
      <w:r w:rsidR="006907C5" w:rsidRPr="006907C5">
        <w:rPr>
          <w:rFonts w:asciiTheme="majorBidi" w:eastAsia="Times New Roman" w:hAnsiTheme="majorBidi" w:cstheme="majorBidi"/>
          <w:color w:val="0E101A"/>
          <w:sz w:val="24"/>
          <w:szCs w:val="24"/>
        </w:rPr>
        <w:t xml:space="preserve">), a physiologically homogeneous </w:t>
      </w:r>
      <w:proofErr w:type="spellStart"/>
      <w:r w:rsidR="006907C5" w:rsidRPr="006907C5">
        <w:rPr>
          <w:rFonts w:asciiTheme="majorBidi" w:eastAsia="Times New Roman" w:hAnsiTheme="majorBidi" w:cstheme="majorBidi"/>
          <w:color w:val="0E101A"/>
          <w:sz w:val="24"/>
          <w:szCs w:val="24"/>
        </w:rPr>
        <w:t>tumour</w:t>
      </w:r>
      <w:proofErr w:type="spellEnd"/>
      <w:r w:rsidR="006907C5" w:rsidRPr="006907C5">
        <w:rPr>
          <w:rFonts w:asciiTheme="majorBidi" w:eastAsia="Times New Roman" w:hAnsiTheme="majorBidi" w:cstheme="majorBidi"/>
          <w:color w:val="0E101A"/>
          <w:sz w:val="24"/>
          <w:szCs w:val="24"/>
        </w:rPr>
        <w:t xml:space="preserve"> </w:t>
      </w:r>
      <w:r w:rsidR="006907C5" w:rsidRPr="006907C5">
        <w:rPr>
          <w:rFonts w:asciiTheme="majorBidi" w:eastAsia="Times New Roman" w:hAnsiTheme="majorBidi" w:cstheme="majorBidi"/>
          <w:b/>
          <w:bCs/>
          <w:color w:val="0E101A"/>
          <w:sz w:val="24"/>
          <w:szCs w:val="24"/>
        </w:rPr>
        <w:t>[3].</w:t>
      </w:r>
      <w:r w:rsidR="006907C5" w:rsidRPr="006907C5">
        <w:rPr>
          <w:rFonts w:asciiTheme="majorBidi" w:eastAsia="Times New Roman" w:hAnsiTheme="majorBidi" w:cstheme="majorBidi"/>
          <w:color w:val="0E101A"/>
          <w:sz w:val="24"/>
          <w:szCs w:val="24"/>
        </w:rPr>
        <w:t xml:space="preserve">  According to the GLOBOCAN 2018 report, prostate cancer was the second most common cancer and the fifth largest cause of cancer-related deaths in males worldwide in 2018, with an estimated 1.3 million new cases and 359,000 related deaths </w:t>
      </w:r>
      <w:r w:rsidR="006907C5" w:rsidRPr="006907C5">
        <w:rPr>
          <w:rFonts w:asciiTheme="majorBidi" w:eastAsia="Times New Roman" w:hAnsiTheme="majorBidi" w:cstheme="majorBidi"/>
          <w:b/>
          <w:bCs/>
          <w:color w:val="0E101A"/>
          <w:sz w:val="24"/>
          <w:szCs w:val="24"/>
        </w:rPr>
        <w:t xml:space="preserve">[4].  </w:t>
      </w:r>
      <w:r w:rsidR="006907C5" w:rsidRPr="006907C5">
        <w:rPr>
          <w:rFonts w:asciiTheme="majorBidi" w:eastAsia="Times New Roman" w:hAnsiTheme="majorBidi" w:cstheme="majorBidi"/>
          <w:color w:val="0E101A"/>
          <w:sz w:val="24"/>
          <w:szCs w:val="24"/>
        </w:rPr>
        <w:t xml:space="preserve">Additionally, the survey showed that approximately 18% of the world's male population lives in nations with a very high developing index, where almost two-thirds of newly diagnosed cases will be identified </w:t>
      </w:r>
      <w:r w:rsidR="006907C5" w:rsidRPr="006907C5">
        <w:rPr>
          <w:rFonts w:asciiTheme="majorBidi" w:eastAsia="Times New Roman" w:hAnsiTheme="majorBidi" w:cstheme="majorBidi"/>
          <w:b/>
          <w:bCs/>
          <w:color w:val="0E101A"/>
          <w:sz w:val="24"/>
          <w:szCs w:val="24"/>
        </w:rPr>
        <w:t>[5, 6].</w:t>
      </w:r>
      <w:r w:rsidR="00DF227C">
        <w:rPr>
          <w:rFonts w:asciiTheme="majorBidi" w:eastAsia="Times New Roman" w:hAnsiTheme="majorBidi" w:cstheme="majorBidi"/>
          <w:b/>
          <w:bCs/>
          <w:color w:val="0E101A"/>
          <w:sz w:val="24"/>
          <w:szCs w:val="24"/>
        </w:rPr>
        <w:t xml:space="preserve"> </w:t>
      </w:r>
      <w:r w:rsidR="00DF227C" w:rsidRPr="00DF227C">
        <w:rPr>
          <w:rFonts w:asciiTheme="majorBidi" w:eastAsia="Times New Roman" w:hAnsiTheme="majorBidi" w:cstheme="majorBidi"/>
          <w:color w:val="0E101A"/>
          <w:sz w:val="24"/>
          <w:szCs w:val="24"/>
        </w:rPr>
        <w:t xml:space="preserve">In several nations at different stages of development, the incidence rates of </w:t>
      </w:r>
      <w:proofErr w:type="spellStart"/>
      <w:r w:rsidR="00DF227C" w:rsidRPr="00DF227C">
        <w:rPr>
          <w:rFonts w:asciiTheme="majorBidi" w:eastAsia="Times New Roman" w:hAnsiTheme="majorBidi" w:cstheme="majorBidi"/>
          <w:color w:val="0E101A"/>
          <w:sz w:val="24"/>
          <w:szCs w:val="24"/>
        </w:rPr>
        <w:t>PCa</w:t>
      </w:r>
      <w:proofErr w:type="spellEnd"/>
      <w:r w:rsidR="00DF227C" w:rsidRPr="00DF227C">
        <w:rPr>
          <w:rFonts w:asciiTheme="majorBidi" w:eastAsia="Times New Roman" w:hAnsiTheme="majorBidi" w:cstheme="majorBidi"/>
          <w:color w:val="0E101A"/>
          <w:sz w:val="24"/>
          <w:szCs w:val="24"/>
        </w:rPr>
        <w:t xml:space="preserve"> have sharply grown over the last forty years.  The incidence rates of </w:t>
      </w:r>
      <w:proofErr w:type="spellStart"/>
      <w:r w:rsidR="00DF227C" w:rsidRPr="00DF227C">
        <w:rPr>
          <w:rFonts w:asciiTheme="majorBidi" w:eastAsia="Times New Roman" w:hAnsiTheme="majorBidi" w:cstheme="majorBidi"/>
          <w:color w:val="0E101A"/>
          <w:sz w:val="24"/>
          <w:szCs w:val="24"/>
        </w:rPr>
        <w:t>PCa</w:t>
      </w:r>
      <w:proofErr w:type="spellEnd"/>
      <w:r w:rsidR="00DF227C" w:rsidRPr="00DF227C">
        <w:rPr>
          <w:rFonts w:asciiTheme="majorBidi" w:eastAsia="Times New Roman" w:hAnsiTheme="majorBidi" w:cstheme="majorBidi"/>
          <w:color w:val="0E101A"/>
          <w:sz w:val="24"/>
          <w:szCs w:val="24"/>
        </w:rPr>
        <w:t xml:space="preserve"> vary by more than 100 times globally, with the lowest rates found in Asia and the highest rates found in several Caribbean islands, Australia/New Zealand, Northern and Western Europe, and </w:t>
      </w:r>
      <w:r w:rsidR="00DF227C">
        <w:rPr>
          <w:rFonts w:asciiTheme="majorBidi" w:eastAsia="Times New Roman" w:hAnsiTheme="majorBidi" w:cstheme="majorBidi"/>
          <w:color w:val="0E101A"/>
          <w:sz w:val="24"/>
          <w:szCs w:val="24"/>
        </w:rPr>
        <w:t>North</w:t>
      </w:r>
      <w:r w:rsidR="00DF227C" w:rsidRPr="00DF227C">
        <w:rPr>
          <w:rFonts w:asciiTheme="majorBidi" w:eastAsia="Times New Roman" w:hAnsiTheme="majorBidi" w:cstheme="majorBidi"/>
          <w:color w:val="0E101A"/>
          <w:sz w:val="24"/>
          <w:szCs w:val="24"/>
        </w:rPr>
        <w:t xml:space="preserve"> America, according to the GLOBOCAN 2018 report.  In 46 countries, especially in Sub-Saharan Africa and the Caribbean, the disease is regarded as the primary cause of cancer-</w:t>
      </w:r>
      <w:r w:rsidR="00DF227C">
        <w:rPr>
          <w:rFonts w:asciiTheme="majorBidi" w:eastAsia="Times New Roman" w:hAnsiTheme="majorBidi" w:cstheme="majorBidi"/>
          <w:color w:val="0E101A"/>
          <w:sz w:val="24"/>
          <w:szCs w:val="24"/>
        </w:rPr>
        <w:t xml:space="preserve">related deaths among men </w:t>
      </w:r>
      <w:r w:rsidR="00DF227C" w:rsidRPr="00DF227C">
        <w:rPr>
          <w:rFonts w:asciiTheme="majorBidi" w:eastAsia="Times New Roman" w:hAnsiTheme="majorBidi" w:cstheme="majorBidi"/>
          <w:b/>
          <w:bCs/>
          <w:color w:val="0E101A"/>
          <w:sz w:val="24"/>
          <w:szCs w:val="24"/>
        </w:rPr>
        <w:t>[7].</w:t>
      </w:r>
      <w:r w:rsidR="00DF227C">
        <w:rPr>
          <w:rFonts w:asciiTheme="majorBidi" w:eastAsia="Times New Roman" w:hAnsiTheme="majorBidi" w:cstheme="majorBidi"/>
          <w:b/>
          <w:bCs/>
          <w:color w:val="0E101A"/>
          <w:sz w:val="24"/>
          <w:szCs w:val="24"/>
        </w:rPr>
        <w:t xml:space="preserve"> </w:t>
      </w:r>
      <w:r w:rsidR="00DF227C" w:rsidRPr="00DF227C">
        <w:rPr>
          <w:rFonts w:asciiTheme="majorBidi" w:eastAsia="Times New Roman" w:hAnsiTheme="majorBidi" w:cstheme="majorBidi"/>
          <w:color w:val="0E101A"/>
          <w:sz w:val="24"/>
          <w:szCs w:val="24"/>
        </w:rPr>
        <w:t xml:space="preserve">In many countries, such as those in </w:t>
      </w:r>
      <w:r w:rsidR="00DF227C">
        <w:rPr>
          <w:rFonts w:asciiTheme="majorBidi" w:eastAsia="Times New Roman" w:hAnsiTheme="majorBidi" w:cstheme="majorBidi"/>
          <w:color w:val="0E101A"/>
          <w:sz w:val="24"/>
          <w:szCs w:val="24"/>
        </w:rPr>
        <w:t>North</w:t>
      </w:r>
      <w:r w:rsidR="00DF227C" w:rsidRPr="00DF227C">
        <w:rPr>
          <w:rFonts w:asciiTheme="majorBidi" w:eastAsia="Times New Roman" w:hAnsiTheme="majorBidi" w:cstheme="majorBidi"/>
          <w:color w:val="0E101A"/>
          <w:sz w:val="24"/>
          <w:szCs w:val="24"/>
        </w:rPr>
        <w:t xml:space="preserve"> America, Oceania, Northern and Western Europe, developed Asia, and the United States, the death rate from prostate cancer has been declining. However, in several Central and South American, Asian, and Central and Eastern European countries, such as Cuba, Brazil, the Philippines, Singapore, Bulgaria, Belarus, and Russia, the mortality rate is i</w:t>
      </w:r>
      <w:r w:rsidR="00DF227C">
        <w:rPr>
          <w:rFonts w:asciiTheme="majorBidi" w:eastAsia="Times New Roman" w:hAnsiTheme="majorBidi" w:cstheme="majorBidi"/>
          <w:color w:val="0E101A"/>
          <w:sz w:val="24"/>
          <w:szCs w:val="24"/>
        </w:rPr>
        <w:t xml:space="preserve">ncreasing </w:t>
      </w:r>
      <w:r w:rsidR="00DF227C" w:rsidRPr="00DF227C">
        <w:rPr>
          <w:rFonts w:asciiTheme="majorBidi" w:eastAsia="Times New Roman" w:hAnsiTheme="majorBidi" w:cstheme="majorBidi"/>
          <w:b/>
          <w:bCs/>
          <w:color w:val="0E101A"/>
          <w:sz w:val="24"/>
          <w:szCs w:val="24"/>
        </w:rPr>
        <w:t>[5].</w:t>
      </w:r>
      <w:r w:rsidR="00630319">
        <w:rPr>
          <w:rFonts w:asciiTheme="majorBidi" w:eastAsia="Times New Roman" w:hAnsiTheme="majorBidi" w:cstheme="majorBidi"/>
          <w:b/>
          <w:bCs/>
          <w:color w:val="0E101A"/>
          <w:sz w:val="24"/>
          <w:szCs w:val="24"/>
        </w:rPr>
        <w:t xml:space="preserve"> </w:t>
      </w:r>
      <w:r w:rsidR="00630319" w:rsidRPr="00630319">
        <w:rPr>
          <w:rFonts w:asciiTheme="majorBidi" w:eastAsia="Times New Roman" w:hAnsiTheme="majorBidi" w:cstheme="majorBidi"/>
          <w:color w:val="0E101A"/>
          <w:sz w:val="24"/>
          <w:szCs w:val="24"/>
        </w:rPr>
        <w:t xml:space="preserve">According to the GLOBOCAN 2018 study, the incidence rates of </w:t>
      </w:r>
      <w:proofErr w:type="spellStart"/>
      <w:r w:rsidR="00630319" w:rsidRPr="00630319">
        <w:rPr>
          <w:rFonts w:asciiTheme="majorBidi" w:eastAsia="Times New Roman" w:hAnsiTheme="majorBidi" w:cstheme="majorBidi"/>
          <w:color w:val="0E101A"/>
          <w:sz w:val="24"/>
          <w:szCs w:val="24"/>
        </w:rPr>
        <w:t>PCa</w:t>
      </w:r>
      <w:proofErr w:type="spellEnd"/>
      <w:r w:rsidR="00630319" w:rsidRPr="00630319">
        <w:rPr>
          <w:rFonts w:asciiTheme="majorBidi" w:eastAsia="Times New Roman" w:hAnsiTheme="majorBidi" w:cstheme="majorBidi"/>
          <w:color w:val="0E101A"/>
          <w:sz w:val="24"/>
          <w:szCs w:val="24"/>
        </w:rPr>
        <w:t xml:space="preserve"> in Africa varied from 66.9 to 111.8 per 100,000 people in Southern Africa to less than 16.3 per 100,000 people in Northern Africa nations</w:t>
      </w:r>
      <w:r w:rsidR="00630319">
        <w:rPr>
          <w:rFonts w:asciiTheme="majorBidi" w:eastAsia="Times New Roman" w:hAnsiTheme="majorBidi" w:cstheme="majorBidi"/>
          <w:color w:val="0E101A"/>
          <w:sz w:val="24"/>
          <w:szCs w:val="24"/>
        </w:rPr>
        <w:t>,</w:t>
      </w:r>
      <w:r w:rsidR="00630319" w:rsidRPr="00630319">
        <w:rPr>
          <w:rFonts w:asciiTheme="majorBidi" w:eastAsia="Times New Roman" w:hAnsiTheme="majorBidi" w:cstheme="majorBidi"/>
          <w:color w:val="0E101A"/>
          <w:sz w:val="24"/>
          <w:szCs w:val="24"/>
        </w:rPr>
        <w:t xml:space="preserve"> including Egypt, Libya, and Algeria, as well as in select Middle Africa countries like Sudan.  Additionally, according to the GLOBOCAN 2018 study, the death rate from </w:t>
      </w:r>
      <w:proofErr w:type="spellStart"/>
      <w:r w:rsidR="00630319" w:rsidRPr="00630319">
        <w:rPr>
          <w:rFonts w:asciiTheme="majorBidi" w:eastAsia="Times New Roman" w:hAnsiTheme="majorBidi" w:cstheme="majorBidi"/>
          <w:color w:val="0E101A"/>
          <w:sz w:val="24"/>
          <w:szCs w:val="24"/>
        </w:rPr>
        <w:t>PCa</w:t>
      </w:r>
      <w:proofErr w:type="spellEnd"/>
      <w:r w:rsidR="00630319" w:rsidRPr="00630319">
        <w:rPr>
          <w:rFonts w:asciiTheme="majorBidi" w:eastAsia="Times New Roman" w:hAnsiTheme="majorBidi" w:cstheme="majorBidi"/>
          <w:color w:val="0E101A"/>
          <w:sz w:val="24"/>
          <w:szCs w:val="24"/>
        </w:rPr>
        <w:t xml:space="preserve"> per 100,000 people in Africa varied from 24.4 in southern Africa to 18.7 in eastern Africa, with Northern Africa having the lowest mortality rate at 7.0 </w:t>
      </w:r>
      <w:r w:rsidR="00630319" w:rsidRPr="00630319">
        <w:rPr>
          <w:rFonts w:asciiTheme="majorBidi" w:eastAsia="Times New Roman" w:hAnsiTheme="majorBidi" w:cstheme="majorBidi"/>
          <w:b/>
          <w:bCs/>
          <w:color w:val="0E101A"/>
          <w:sz w:val="24"/>
          <w:szCs w:val="24"/>
        </w:rPr>
        <w:t>[8,9].</w:t>
      </w:r>
      <w:r w:rsidR="00630319">
        <w:rPr>
          <w:rFonts w:asciiTheme="majorBidi" w:eastAsia="Times New Roman" w:hAnsiTheme="majorBidi" w:cstheme="majorBidi"/>
          <w:b/>
          <w:bCs/>
          <w:color w:val="0E101A"/>
          <w:sz w:val="24"/>
          <w:szCs w:val="24"/>
        </w:rPr>
        <w:t xml:space="preserve"> </w:t>
      </w:r>
      <w:r w:rsidR="00630319" w:rsidRPr="00630319">
        <w:rPr>
          <w:rFonts w:asciiTheme="majorBidi" w:eastAsia="Times New Roman" w:hAnsiTheme="majorBidi" w:cstheme="majorBidi"/>
          <w:color w:val="0E101A"/>
          <w:sz w:val="24"/>
          <w:szCs w:val="24"/>
        </w:rPr>
        <w:t xml:space="preserve">According to the Radiation and Isotopes Centre of Khartoum (RICK) report form, </w:t>
      </w:r>
      <w:proofErr w:type="spellStart"/>
      <w:r w:rsidR="00630319" w:rsidRPr="00630319">
        <w:rPr>
          <w:rFonts w:asciiTheme="majorBidi" w:eastAsia="Times New Roman" w:hAnsiTheme="majorBidi" w:cstheme="majorBidi"/>
          <w:color w:val="0E101A"/>
          <w:sz w:val="24"/>
          <w:szCs w:val="24"/>
        </w:rPr>
        <w:t>PCa</w:t>
      </w:r>
      <w:proofErr w:type="spellEnd"/>
      <w:r w:rsidR="00630319" w:rsidRPr="00630319">
        <w:rPr>
          <w:rFonts w:asciiTheme="majorBidi" w:eastAsia="Times New Roman" w:hAnsiTheme="majorBidi" w:cstheme="majorBidi"/>
          <w:color w:val="0E101A"/>
          <w:sz w:val="24"/>
          <w:szCs w:val="24"/>
        </w:rPr>
        <w:t xml:space="preserve"> is the most frequent cancer in Sudanese males </w:t>
      </w:r>
      <w:r w:rsidR="00630319" w:rsidRPr="00630319">
        <w:rPr>
          <w:rFonts w:asciiTheme="majorBidi" w:eastAsia="Times New Roman" w:hAnsiTheme="majorBidi" w:cstheme="majorBidi"/>
          <w:color w:val="0E101A"/>
          <w:sz w:val="24"/>
          <w:szCs w:val="24"/>
        </w:rPr>
        <w:lastRenderedPageBreak/>
        <w:t xml:space="preserve">(3.3%) and is currently acknowledged as one of the main medical issues affecting the country's male population </w:t>
      </w:r>
      <w:r w:rsidR="00630319" w:rsidRPr="00630319">
        <w:rPr>
          <w:rFonts w:asciiTheme="majorBidi" w:eastAsia="Times New Roman" w:hAnsiTheme="majorBidi" w:cstheme="majorBidi"/>
          <w:b/>
          <w:bCs/>
          <w:color w:val="0E101A"/>
          <w:sz w:val="24"/>
          <w:szCs w:val="24"/>
        </w:rPr>
        <w:t>[8].</w:t>
      </w:r>
      <w:r w:rsidR="00630319" w:rsidRPr="00630319">
        <w:rPr>
          <w:rFonts w:asciiTheme="majorBidi" w:eastAsia="Times New Roman" w:hAnsiTheme="majorBidi" w:cstheme="majorBidi"/>
          <w:color w:val="0E101A"/>
          <w:sz w:val="24"/>
          <w:szCs w:val="24"/>
        </w:rPr>
        <w:t xml:space="preserve">  Prostate cancer has been much more common in the last 20 years, and Sudanese urologists are paying more attention to the condition </w:t>
      </w:r>
      <w:r w:rsidR="00630319" w:rsidRPr="00630319">
        <w:rPr>
          <w:rFonts w:asciiTheme="majorBidi" w:eastAsia="Times New Roman" w:hAnsiTheme="majorBidi" w:cstheme="majorBidi"/>
          <w:b/>
          <w:bCs/>
          <w:color w:val="0E101A"/>
          <w:sz w:val="24"/>
          <w:szCs w:val="24"/>
        </w:rPr>
        <w:t>[10].</w:t>
      </w:r>
      <w:r w:rsidR="00630319" w:rsidRPr="00630319">
        <w:rPr>
          <w:rFonts w:asciiTheme="majorBidi" w:eastAsia="Times New Roman" w:hAnsiTheme="majorBidi" w:cstheme="majorBidi"/>
          <w:color w:val="0E101A"/>
          <w:sz w:val="24"/>
          <w:szCs w:val="24"/>
        </w:rPr>
        <w:t xml:space="preserve">  Additionally, there are roughly 600 Sudanese men who receive a </w:t>
      </w:r>
      <w:proofErr w:type="spellStart"/>
      <w:r w:rsidR="00630319" w:rsidRPr="00630319">
        <w:rPr>
          <w:rFonts w:asciiTheme="majorBidi" w:eastAsia="Times New Roman" w:hAnsiTheme="majorBidi" w:cstheme="majorBidi"/>
          <w:color w:val="0E101A"/>
          <w:sz w:val="24"/>
          <w:szCs w:val="24"/>
        </w:rPr>
        <w:t>PCa</w:t>
      </w:r>
      <w:proofErr w:type="spellEnd"/>
      <w:r w:rsidR="00630319" w:rsidRPr="00630319">
        <w:rPr>
          <w:rFonts w:asciiTheme="majorBidi" w:eastAsia="Times New Roman" w:hAnsiTheme="majorBidi" w:cstheme="majorBidi"/>
          <w:color w:val="0E101A"/>
          <w:sz w:val="24"/>
          <w:szCs w:val="24"/>
        </w:rPr>
        <w:t xml:space="preserve"> diagnosis each year </w:t>
      </w:r>
      <w:r w:rsidR="00630319" w:rsidRPr="00630319">
        <w:rPr>
          <w:rFonts w:asciiTheme="majorBidi" w:eastAsia="Times New Roman" w:hAnsiTheme="majorBidi" w:cstheme="majorBidi"/>
          <w:b/>
          <w:bCs/>
          <w:color w:val="0E101A"/>
          <w:sz w:val="24"/>
          <w:szCs w:val="24"/>
        </w:rPr>
        <w:t>[1],</w:t>
      </w:r>
      <w:r w:rsidR="00630319" w:rsidRPr="00630319">
        <w:rPr>
          <w:rFonts w:asciiTheme="majorBidi" w:eastAsia="Times New Roman" w:hAnsiTheme="majorBidi" w:cstheme="majorBidi"/>
          <w:color w:val="0E101A"/>
          <w:sz w:val="24"/>
          <w:szCs w:val="24"/>
        </w:rPr>
        <w:t xml:space="preserve"> and the mortality rate is 8.7 per 100,000.  The majority of cases (85.4%) had stage III and IV symptoms, and the disease was found to be evenly dispersed across the various tribes </w:t>
      </w:r>
      <w:r w:rsidR="00630319" w:rsidRPr="00630319">
        <w:rPr>
          <w:rFonts w:asciiTheme="majorBidi" w:eastAsia="Times New Roman" w:hAnsiTheme="majorBidi" w:cstheme="majorBidi"/>
          <w:b/>
          <w:bCs/>
          <w:color w:val="0E101A"/>
          <w:sz w:val="24"/>
          <w:szCs w:val="24"/>
        </w:rPr>
        <w:t>[9].</w:t>
      </w:r>
      <w:r w:rsidR="00591BC2">
        <w:rPr>
          <w:rFonts w:asciiTheme="majorBidi" w:eastAsia="Times New Roman" w:hAnsiTheme="majorBidi" w:cstheme="majorBidi"/>
          <w:b/>
          <w:bCs/>
          <w:color w:val="0E101A"/>
          <w:sz w:val="24"/>
          <w:szCs w:val="24"/>
        </w:rPr>
        <w:t xml:space="preserve"> </w:t>
      </w:r>
      <w:r w:rsidR="00591BC2" w:rsidRPr="00591BC2">
        <w:rPr>
          <w:rFonts w:asciiTheme="majorBidi" w:eastAsia="Times New Roman" w:hAnsiTheme="majorBidi" w:cstheme="majorBidi"/>
          <w:color w:val="0E101A"/>
          <w:sz w:val="24"/>
          <w:szCs w:val="24"/>
        </w:rPr>
        <w:t xml:space="preserve">Prostate cancer can be caused by </w:t>
      </w:r>
      <w:r w:rsidR="00591BC2">
        <w:rPr>
          <w:rFonts w:asciiTheme="majorBidi" w:eastAsia="Times New Roman" w:hAnsiTheme="majorBidi" w:cstheme="majorBidi"/>
          <w:color w:val="0E101A"/>
          <w:sz w:val="24"/>
          <w:szCs w:val="24"/>
        </w:rPr>
        <w:t>several</w:t>
      </w:r>
      <w:r w:rsidR="00591BC2" w:rsidRPr="00591BC2">
        <w:rPr>
          <w:rFonts w:asciiTheme="majorBidi" w:eastAsia="Times New Roman" w:hAnsiTheme="majorBidi" w:cstheme="majorBidi"/>
          <w:color w:val="0E101A"/>
          <w:sz w:val="24"/>
          <w:szCs w:val="24"/>
        </w:rPr>
        <w:t xml:space="preserve"> risk factors, such as age, race, ethnicity, alcohol usage, genetics, farming, eating a lot of fat, working in tire factories</w:t>
      </w:r>
      <w:r w:rsidR="00591BC2">
        <w:rPr>
          <w:rFonts w:asciiTheme="majorBidi" w:eastAsia="Times New Roman" w:hAnsiTheme="majorBidi" w:cstheme="majorBidi"/>
          <w:color w:val="0E101A"/>
          <w:sz w:val="24"/>
          <w:szCs w:val="24"/>
        </w:rPr>
        <w:t>,</w:t>
      </w:r>
      <w:r w:rsidR="00591BC2" w:rsidRPr="00591BC2">
        <w:rPr>
          <w:rFonts w:asciiTheme="majorBidi" w:eastAsia="Times New Roman" w:hAnsiTheme="majorBidi" w:cstheme="majorBidi"/>
          <w:color w:val="0E101A"/>
          <w:sz w:val="24"/>
          <w:szCs w:val="24"/>
        </w:rPr>
        <w:t xml:space="preserve"> and being around cadmium, in add</w:t>
      </w:r>
      <w:r w:rsidR="00591BC2">
        <w:rPr>
          <w:rFonts w:asciiTheme="majorBidi" w:eastAsia="Times New Roman" w:hAnsiTheme="majorBidi" w:cstheme="majorBidi"/>
          <w:color w:val="0E101A"/>
          <w:sz w:val="24"/>
          <w:szCs w:val="24"/>
        </w:rPr>
        <w:t xml:space="preserve">ition to viral infections </w:t>
      </w:r>
      <w:r w:rsidR="00591BC2" w:rsidRPr="00591BC2">
        <w:rPr>
          <w:rFonts w:asciiTheme="majorBidi" w:eastAsia="Times New Roman" w:hAnsiTheme="majorBidi" w:cstheme="majorBidi"/>
          <w:b/>
          <w:bCs/>
          <w:color w:val="0E101A"/>
          <w:sz w:val="24"/>
          <w:szCs w:val="24"/>
        </w:rPr>
        <w:t>[11].</w:t>
      </w:r>
      <w:r w:rsidR="00EC6191">
        <w:rPr>
          <w:rFonts w:asciiTheme="majorBidi" w:eastAsia="Times New Roman" w:hAnsiTheme="majorBidi" w:cstheme="majorBidi"/>
          <w:b/>
          <w:bCs/>
          <w:color w:val="0E101A"/>
          <w:sz w:val="24"/>
          <w:szCs w:val="24"/>
        </w:rPr>
        <w:t xml:space="preserve"> </w:t>
      </w:r>
      <w:r w:rsidR="00EC6191" w:rsidRPr="00EC6191">
        <w:rPr>
          <w:rFonts w:asciiTheme="majorBidi" w:eastAsia="Times New Roman" w:hAnsiTheme="majorBidi" w:cstheme="majorBidi"/>
          <w:color w:val="0E101A"/>
          <w:sz w:val="24"/>
          <w:szCs w:val="24"/>
        </w:rPr>
        <w:t>The objective of this study is to detect Bk Virus Cytopathic Effect in Urine Samples of Sudanese Patients with Prostate Cancer.</w:t>
      </w:r>
    </w:p>
    <w:p w14:paraId="38C6D1A4" w14:textId="77777777" w:rsidR="008664E4" w:rsidRDefault="008664E4" w:rsidP="008664E4">
      <w:pPr>
        <w:spacing w:line="360" w:lineRule="auto"/>
        <w:ind w:right="148"/>
        <w:jc w:val="both"/>
        <w:rPr>
          <w:rFonts w:asciiTheme="majorBidi" w:eastAsia="Times New Roman" w:hAnsiTheme="majorBidi" w:cstheme="majorBidi"/>
          <w:color w:val="0E101A"/>
          <w:sz w:val="24"/>
          <w:szCs w:val="24"/>
        </w:rPr>
      </w:pPr>
    </w:p>
    <w:p w14:paraId="3E655A0B" w14:textId="77777777" w:rsidR="008664E4" w:rsidRDefault="008664E4" w:rsidP="008664E4">
      <w:pPr>
        <w:spacing w:line="360" w:lineRule="auto"/>
        <w:ind w:right="148"/>
        <w:jc w:val="both"/>
        <w:rPr>
          <w:rFonts w:asciiTheme="majorBidi" w:eastAsia="Times New Roman" w:hAnsiTheme="majorBidi" w:cstheme="majorBidi"/>
          <w:color w:val="0E101A"/>
          <w:sz w:val="24"/>
          <w:szCs w:val="24"/>
        </w:rPr>
      </w:pPr>
    </w:p>
    <w:p w14:paraId="513C2D30" w14:textId="77777777" w:rsidR="008664E4" w:rsidRDefault="008664E4" w:rsidP="008664E4">
      <w:pPr>
        <w:spacing w:line="360" w:lineRule="auto"/>
        <w:ind w:right="148"/>
        <w:jc w:val="both"/>
        <w:rPr>
          <w:rFonts w:asciiTheme="majorBidi" w:eastAsia="Times New Roman" w:hAnsiTheme="majorBidi" w:cstheme="majorBidi"/>
          <w:color w:val="0E101A"/>
          <w:sz w:val="24"/>
          <w:szCs w:val="24"/>
        </w:rPr>
      </w:pPr>
    </w:p>
    <w:p w14:paraId="0C9E7870" w14:textId="77777777" w:rsidR="008664E4" w:rsidRDefault="008664E4" w:rsidP="008664E4">
      <w:pPr>
        <w:spacing w:line="360" w:lineRule="auto"/>
        <w:ind w:right="148"/>
        <w:jc w:val="both"/>
        <w:rPr>
          <w:rFonts w:asciiTheme="majorBidi" w:hAnsiTheme="majorBidi" w:cstheme="majorBidi"/>
          <w:color w:val="262626"/>
          <w:sz w:val="24"/>
          <w:szCs w:val="24"/>
          <w:shd w:val="clear" w:color="auto" w:fill="FFFFFF"/>
        </w:rPr>
      </w:pPr>
    </w:p>
    <w:p w14:paraId="367F06AD" w14:textId="77777777" w:rsidR="008664E4" w:rsidRPr="008664E4" w:rsidRDefault="008664E4" w:rsidP="008664E4">
      <w:pPr>
        <w:spacing w:line="360" w:lineRule="auto"/>
        <w:ind w:right="148"/>
        <w:jc w:val="both"/>
        <w:rPr>
          <w:rFonts w:asciiTheme="majorBidi" w:eastAsia="Times New Roman" w:hAnsiTheme="majorBidi" w:cstheme="majorBidi"/>
          <w:color w:val="0E101A"/>
          <w:sz w:val="24"/>
          <w:szCs w:val="24"/>
        </w:rPr>
        <w:sectPr w:rsidR="008664E4" w:rsidRPr="008664E4" w:rsidSect="00FF0418">
          <w:headerReference w:type="even" r:id="rId8"/>
          <w:headerReference w:type="default" r:id="rId9"/>
          <w:footerReference w:type="even" r:id="rId10"/>
          <w:footerReference w:type="default" r:id="rId11"/>
          <w:headerReference w:type="first" r:id="rId12"/>
          <w:footerReference w:type="first" r:id="rId13"/>
          <w:pgSz w:w="11910" w:h="16840"/>
          <w:pgMar w:top="1580" w:right="1701" w:bottom="280" w:left="1843" w:header="720" w:footer="720" w:gutter="0"/>
          <w:cols w:space="720"/>
        </w:sectPr>
      </w:pPr>
    </w:p>
    <w:p w14:paraId="422FF835" w14:textId="77777777" w:rsidR="005E774D" w:rsidRPr="00142FF4" w:rsidRDefault="005736E3" w:rsidP="008A34A0">
      <w:pPr>
        <w:spacing w:after="0" w:line="360" w:lineRule="auto"/>
        <w:contextualSpacing/>
        <w:jc w:val="both"/>
        <w:rPr>
          <w:rFonts w:asciiTheme="majorBidi" w:eastAsia="Times New Roman" w:hAnsiTheme="majorBidi" w:cstheme="majorBidi"/>
          <w:b/>
          <w:bCs/>
          <w:color w:val="0E101A"/>
          <w:sz w:val="24"/>
          <w:szCs w:val="24"/>
        </w:rPr>
      </w:pPr>
      <w:r>
        <w:rPr>
          <w:rFonts w:asciiTheme="majorBidi" w:eastAsia="Times New Roman" w:hAnsiTheme="majorBidi" w:cstheme="majorBidi"/>
          <w:b/>
          <w:bCs/>
          <w:color w:val="0E101A"/>
          <w:sz w:val="24"/>
          <w:szCs w:val="24"/>
        </w:rPr>
        <w:lastRenderedPageBreak/>
        <w:t xml:space="preserve">2. </w:t>
      </w:r>
      <w:r w:rsidRPr="00142FF4">
        <w:rPr>
          <w:rFonts w:asciiTheme="majorBidi" w:eastAsia="Times New Roman" w:hAnsiTheme="majorBidi" w:cstheme="majorBidi"/>
          <w:b/>
          <w:bCs/>
          <w:color w:val="0E101A"/>
          <w:sz w:val="24"/>
          <w:szCs w:val="24"/>
        </w:rPr>
        <w:t xml:space="preserve">METHODOLOGY </w:t>
      </w:r>
    </w:p>
    <w:p w14:paraId="4551EF88" w14:textId="77777777" w:rsidR="00410C6F" w:rsidRPr="00EE17D8" w:rsidRDefault="00C900A0" w:rsidP="00410C6F">
      <w:pPr>
        <w:spacing w:after="0" w:line="360" w:lineRule="auto"/>
        <w:jc w:val="both"/>
        <w:rPr>
          <w:rFonts w:asciiTheme="majorBidi" w:eastAsia="Times New Roman" w:hAnsiTheme="majorBidi" w:cstheme="majorBidi"/>
          <w:color w:val="0E101A"/>
          <w:sz w:val="24"/>
          <w:szCs w:val="24"/>
        </w:rPr>
      </w:pPr>
      <w:r w:rsidRPr="00C900A0">
        <w:rPr>
          <w:rFonts w:asciiTheme="majorBidi" w:eastAsia="Times New Roman" w:hAnsiTheme="majorBidi" w:cstheme="majorBidi"/>
          <w:color w:val="0E101A"/>
          <w:sz w:val="24"/>
          <w:szCs w:val="24"/>
        </w:rPr>
        <w:t xml:space="preserve">This case-control study was conducted at the Shendi Town Oncology and Cancer Treatment Center and Al </w:t>
      </w:r>
      <w:proofErr w:type="spellStart"/>
      <w:r w:rsidRPr="00C900A0">
        <w:rPr>
          <w:rFonts w:asciiTheme="majorBidi" w:eastAsia="Times New Roman" w:hAnsiTheme="majorBidi" w:cstheme="majorBidi"/>
          <w:color w:val="0E101A"/>
          <w:sz w:val="24"/>
          <w:szCs w:val="24"/>
        </w:rPr>
        <w:t>Maknimir</w:t>
      </w:r>
      <w:proofErr w:type="spellEnd"/>
      <w:r w:rsidRPr="00C900A0">
        <w:rPr>
          <w:rFonts w:asciiTheme="majorBidi" w:eastAsia="Times New Roman" w:hAnsiTheme="majorBidi" w:cstheme="majorBidi"/>
          <w:color w:val="0E101A"/>
          <w:sz w:val="24"/>
          <w:szCs w:val="24"/>
        </w:rPr>
        <w:t xml:space="preserve"> University Hospital in Shendi town (Shendi locality, River Nile State, Sudan) – a historic trading center on the east bank of the Nile, 150 km northeast of Khartoum and 45 km southwest of Meroe. The study spanned from late January to April 26, 2025, and included men with prostate cancer (cases), healthy men, and men with benign prostatic hyperplasia (controls) who provided consent and attended the hospitals during the study period. Participants with other malignancies or immunocompromised conditions were excluded.</w:t>
      </w:r>
    </w:p>
    <w:p w14:paraId="735F0BEB" w14:textId="77777777" w:rsidR="00410C6F" w:rsidRPr="00410C6F" w:rsidRDefault="00410C6F" w:rsidP="00410C6F">
      <w:pPr>
        <w:spacing w:after="0" w:line="360" w:lineRule="auto"/>
        <w:rPr>
          <w:rFonts w:asciiTheme="majorBidi" w:eastAsia="Times New Roman" w:hAnsiTheme="majorBidi" w:cstheme="majorBidi"/>
          <w:b/>
          <w:bCs/>
          <w:color w:val="0E101A"/>
          <w:sz w:val="24"/>
          <w:szCs w:val="24"/>
        </w:rPr>
      </w:pPr>
      <w:r w:rsidRPr="00410C6F">
        <w:rPr>
          <w:rFonts w:asciiTheme="majorBidi" w:eastAsia="Times New Roman" w:hAnsiTheme="majorBidi" w:cstheme="majorBidi"/>
          <w:b/>
          <w:bCs/>
          <w:color w:val="0E101A"/>
          <w:sz w:val="24"/>
          <w:szCs w:val="24"/>
        </w:rPr>
        <w:t>Study sample</w:t>
      </w:r>
    </w:p>
    <w:p w14:paraId="20593C92" w14:textId="77777777" w:rsidR="00410C6F" w:rsidRDefault="00410C6F" w:rsidP="00410C6F">
      <w:pPr>
        <w:spacing w:after="0" w:line="360" w:lineRule="auto"/>
        <w:jc w:val="both"/>
        <w:rPr>
          <w:rFonts w:asciiTheme="majorBidi" w:eastAsia="Times New Roman" w:hAnsiTheme="majorBidi" w:cstheme="majorBidi"/>
          <w:color w:val="0E101A"/>
          <w:sz w:val="24"/>
          <w:szCs w:val="24"/>
        </w:rPr>
      </w:pPr>
      <w:r w:rsidRPr="00410C6F">
        <w:rPr>
          <w:rFonts w:asciiTheme="majorBidi" w:eastAsia="Times New Roman" w:hAnsiTheme="majorBidi" w:cstheme="majorBidi"/>
          <w:color w:val="0E101A"/>
          <w:sz w:val="24"/>
          <w:szCs w:val="24"/>
        </w:rPr>
        <w:t>Urine sample: fresh midstream urine (50-100 ml) collected i</w:t>
      </w:r>
      <w:r>
        <w:rPr>
          <w:rFonts w:asciiTheme="majorBidi" w:eastAsia="Times New Roman" w:hAnsiTheme="majorBidi" w:cstheme="majorBidi"/>
          <w:color w:val="0E101A"/>
          <w:sz w:val="24"/>
          <w:szCs w:val="24"/>
        </w:rPr>
        <w:t xml:space="preserve">n a sterile container urine The </w:t>
      </w:r>
      <w:r w:rsidRPr="00410C6F">
        <w:rPr>
          <w:rFonts w:asciiTheme="majorBidi" w:eastAsia="Times New Roman" w:hAnsiTheme="majorBidi" w:cstheme="majorBidi"/>
          <w:color w:val="0E101A"/>
          <w:sz w:val="24"/>
          <w:szCs w:val="24"/>
        </w:rPr>
        <w:t xml:space="preserve">study sample included participants selected according to </w:t>
      </w:r>
      <w:r>
        <w:rPr>
          <w:rFonts w:asciiTheme="majorBidi" w:eastAsia="Times New Roman" w:hAnsiTheme="majorBidi" w:cstheme="majorBidi"/>
          <w:color w:val="0E101A"/>
          <w:sz w:val="24"/>
          <w:szCs w:val="24"/>
        </w:rPr>
        <w:t xml:space="preserve">specific criteria. Samples were </w:t>
      </w:r>
      <w:r w:rsidRPr="00410C6F">
        <w:rPr>
          <w:rFonts w:asciiTheme="majorBidi" w:eastAsia="Times New Roman" w:hAnsiTheme="majorBidi" w:cstheme="majorBidi"/>
          <w:color w:val="0E101A"/>
          <w:sz w:val="24"/>
          <w:szCs w:val="24"/>
        </w:rPr>
        <w:t>collected during a period extending from the end of January to the end of February.</w:t>
      </w:r>
    </w:p>
    <w:p w14:paraId="1A756CCE" w14:textId="77777777" w:rsidR="00410C6F" w:rsidRPr="00410C6F" w:rsidRDefault="00410C6F" w:rsidP="00410C6F">
      <w:pPr>
        <w:spacing w:after="0" w:line="360" w:lineRule="auto"/>
        <w:rPr>
          <w:rFonts w:asciiTheme="majorBidi" w:eastAsia="Times New Roman" w:hAnsiTheme="majorBidi" w:cstheme="majorBidi"/>
          <w:b/>
          <w:bCs/>
          <w:color w:val="0E101A"/>
          <w:sz w:val="24"/>
          <w:szCs w:val="24"/>
        </w:rPr>
      </w:pPr>
      <w:r w:rsidRPr="00410C6F">
        <w:rPr>
          <w:rFonts w:asciiTheme="majorBidi" w:eastAsia="Times New Roman" w:hAnsiTheme="majorBidi" w:cstheme="majorBidi"/>
          <w:b/>
          <w:bCs/>
          <w:color w:val="0E101A"/>
          <w:sz w:val="24"/>
          <w:szCs w:val="24"/>
        </w:rPr>
        <w:t>Sample size</w:t>
      </w:r>
    </w:p>
    <w:p w14:paraId="5D7C337C" w14:textId="07F8EAE6" w:rsidR="00443448" w:rsidRPr="00410C6F" w:rsidRDefault="00443448" w:rsidP="00410C6F">
      <w:pPr>
        <w:spacing w:after="0" w:line="360" w:lineRule="auto"/>
        <w:jc w:val="both"/>
        <w:rPr>
          <w:rFonts w:asciiTheme="majorBidi" w:eastAsia="Times New Roman" w:hAnsiTheme="majorBidi" w:cstheme="majorBidi"/>
          <w:color w:val="0E101A"/>
          <w:sz w:val="24"/>
          <w:szCs w:val="24"/>
        </w:rPr>
      </w:pPr>
      <w:r w:rsidRPr="00496D8C">
        <w:rPr>
          <w:rFonts w:asciiTheme="majorBidi" w:eastAsia="Times New Roman" w:hAnsiTheme="majorBidi" w:cstheme="majorBidi"/>
          <w:color w:val="0E101A"/>
          <w:sz w:val="24"/>
          <w:szCs w:val="24"/>
          <w:highlight w:val="yellow"/>
        </w:rPr>
        <w:t>The study involved 45 men: 15 with histologically confirmed prostate cancer (cases), 15 with clinically diagnosed benign prostatic hyperplasia (BPH controls), and 15 age-matched healthy male volunteers with no history of prostatic disease (healthy controls). All participants provided written informed consent.</w:t>
      </w:r>
    </w:p>
    <w:p w14:paraId="7FD69E94" w14:textId="77777777" w:rsidR="00410C6F" w:rsidRPr="00410C6F" w:rsidRDefault="00410C6F" w:rsidP="00410C6F">
      <w:pPr>
        <w:spacing w:after="0" w:line="360" w:lineRule="auto"/>
        <w:rPr>
          <w:rFonts w:asciiTheme="majorBidi" w:eastAsia="Times New Roman" w:hAnsiTheme="majorBidi" w:cstheme="majorBidi"/>
          <w:b/>
          <w:bCs/>
          <w:color w:val="0E101A"/>
          <w:sz w:val="24"/>
          <w:szCs w:val="24"/>
        </w:rPr>
      </w:pPr>
      <w:r w:rsidRPr="00410C6F">
        <w:rPr>
          <w:rFonts w:asciiTheme="majorBidi" w:eastAsia="Times New Roman" w:hAnsiTheme="majorBidi" w:cstheme="majorBidi"/>
          <w:b/>
          <w:bCs/>
          <w:color w:val="0E101A"/>
          <w:sz w:val="24"/>
          <w:szCs w:val="24"/>
        </w:rPr>
        <w:t>Study variable and method of detection.</w:t>
      </w:r>
    </w:p>
    <w:p w14:paraId="678E9F6E" w14:textId="77777777" w:rsidR="00410C6F" w:rsidRDefault="00410C6F" w:rsidP="00410C6F">
      <w:pPr>
        <w:spacing w:after="0" w:line="360" w:lineRule="auto"/>
        <w:jc w:val="both"/>
        <w:rPr>
          <w:rFonts w:asciiTheme="majorBidi" w:eastAsia="Times New Roman" w:hAnsiTheme="majorBidi" w:cstheme="majorBidi"/>
          <w:color w:val="0E101A"/>
          <w:sz w:val="24"/>
          <w:szCs w:val="24"/>
        </w:rPr>
      </w:pPr>
      <w:r w:rsidRPr="00410C6F">
        <w:rPr>
          <w:rFonts w:asciiTheme="majorBidi" w:eastAsia="Times New Roman" w:hAnsiTheme="majorBidi" w:cstheme="majorBidi"/>
          <w:color w:val="0E101A"/>
          <w:sz w:val="24"/>
          <w:szCs w:val="24"/>
        </w:rPr>
        <w:t>This study focuses on several key variables, including the presence of decoy cells, which are abnormal urinary cells indicating BK virus infection. Urinary tract infections (UTIs) and recurrent bacterial infections are also considered, as they can influence urinary results and inflammatory responses. Additionally, cytomorphological changes, such as hyperkeratosis and inflammatory cells, are examined for their potential association with viral or bacterial infections. These variables are interconnected: the presence of decoy cells is closely linked with UTIs or viral infections, and recurrent bacterial infections may increase the likelihood of decoy cells in urine. Cytomorphological changes like hyperkeratosis are associated with both UTIs and viral infections, highlighting their role in diagnosing these conditions.</w:t>
      </w:r>
    </w:p>
    <w:p w14:paraId="65872EFA" w14:textId="77777777" w:rsidR="00E41BC3" w:rsidRPr="00E41BC3" w:rsidRDefault="00E41BC3" w:rsidP="00E41BC3">
      <w:pPr>
        <w:spacing w:after="0" w:line="360" w:lineRule="auto"/>
        <w:jc w:val="both"/>
        <w:rPr>
          <w:rFonts w:asciiTheme="majorBidi" w:eastAsia="Times New Roman" w:hAnsiTheme="majorBidi" w:cstheme="majorBidi"/>
          <w:b/>
          <w:bCs/>
          <w:color w:val="0E101A"/>
          <w:sz w:val="24"/>
          <w:szCs w:val="24"/>
        </w:rPr>
      </w:pPr>
      <w:r w:rsidRPr="00E41BC3">
        <w:rPr>
          <w:rFonts w:asciiTheme="majorBidi" w:eastAsia="Times New Roman" w:hAnsiTheme="majorBidi" w:cstheme="majorBidi"/>
          <w:b/>
          <w:bCs/>
          <w:color w:val="0E101A"/>
          <w:sz w:val="24"/>
          <w:szCs w:val="24"/>
        </w:rPr>
        <w:t>Sample collection and preparation</w:t>
      </w:r>
    </w:p>
    <w:p w14:paraId="0E221BDE" w14:textId="77777777" w:rsidR="00410C6F" w:rsidRPr="00E41BC3" w:rsidRDefault="00E41BC3" w:rsidP="003A7353">
      <w:pPr>
        <w:spacing w:after="0" w:line="360" w:lineRule="auto"/>
        <w:jc w:val="both"/>
        <w:rPr>
          <w:rFonts w:asciiTheme="majorBidi" w:eastAsia="Times New Roman" w:hAnsiTheme="majorBidi" w:cstheme="majorBidi"/>
          <w:color w:val="0E101A"/>
          <w:sz w:val="24"/>
          <w:szCs w:val="24"/>
        </w:rPr>
      </w:pPr>
      <w:r w:rsidRPr="00E41BC3">
        <w:rPr>
          <w:rFonts w:asciiTheme="majorBidi" w:eastAsia="Times New Roman" w:hAnsiTheme="majorBidi" w:cstheme="majorBidi"/>
          <w:color w:val="0E101A"/>
          <w:sz w:val="24"/>
          <w:szCs w:val="24"/>
        </w:rPr>
        <w:t xml:space="preserve">Urine samples for cytological examination are collected following the guidelines described in Bancroft’s histopathological techniques. The preferred sample is the first-morning </w:t>
      </w:r>
      <w:r w:rsidRPr="00E41BC3">
        <w:rPr>
          <w:rFonts w:asciiTheme="majorBidi" w:eastAsia="Times New Roman" w:hAnsiTheme="majorBidi" w:cstheme="majorBidi"/>
          <w:color w:val="0E101A"/>
          <w:sz w:val="24"/>
          <w:szCs w:val="24"/>
        </w:rPr>
        <w:lastRenderedPageBreak/>
        <w:t>voided urine, as it contains a higher concentration of exfoliated cells. Approximately 30 to 50 mL of urine is collected in a clean, sterile, wide-mouthed container. The sample should be processed within 1 to 2 hours to prevent cellular degeneration. If immediate processing is not possible, an equal volume of a cytology fixative, such as 50% ethanol, should be added to preserve the cells. For preparation, about 10 to 15 mL of urine is centrifuged at 1500 to 3000 rpm for 5 to 10 minutes. The supernatant is carefully discarded, and the sediment is resuspended in a small amount of the remaining fluid. A drop of this sediment is placed on a clean glass slide and gently spread to form a smear. The slide is then immediately fixed using 95% ethanol or a spray fixative. Air-drying is generally avoided, especially if Papanicolaou staining is intended. After fixation, the smears are stained—commonly with the Papanicolaou stain for routine cytological evaluation, or with hematoxylin and eosin (H&amp;E) if additional diagnostic detail is required. Special stains may also be used in cases of suspected viral, fungal, or bacterial infections</w:t>
      </w:r>
      <w:r>
        <w:rPr>
          <w:rFonts w:asciiTheme="majorBidi" w:eastAsia="Times New Roman" w:hAnsiTheme="majorBidi" w:cstheme="majorBidi"/>
          <w:color w:val="0E101A"/>
          <w:sz w:val="24"/>
          <w:szCs w:val="24"/>
        </w:rPr>
        <w:t xml:space="preserve"> </w:t>
      </w:r>
      <w:r w:rsidR="003A7353" w:rsidRPr="00591BC2">
        <w:rPr>
          <w:rFonts w:asciiTheme="majorBidi" w:eastAsia="Times New Roman" w:hAnsiTheme="majorBidi" w:cstheme="majorBidi"/>
          <w:b/>
          <w:bCs/>
          <w:color w:val="0E101A"/>
          <w:sz w:val="24"/>
          <w:szCs w:val="24"/>
        </w:rPr>
        <w:t>[</w:t>
      </w:r>
      <w:r w:rsidR="003A7353">
        <w:rPr>
          <w:rFonts w:asciiTheme="majorBidi" w:eastAsia="Times New Roman" w:hAnsiTheme="majorBidi" w:cstheme="majorBidi"/>
          <w:b/>
          <w:bCs/>
          <w:color w:val="0E101A"/>
          <w:sz w:val="24"/>
          <w:szCs w:val="24"/>
        </w:rPr>
        <w:t>12</w:t>
      </w:r>
      <w:r w:rsidR="003A7353" w:rsidRPr="00591BC2">
        <w:rPr>
          <w:rFonts w:asciiTheme="majorBidi" w:eastAsia="Times New Roman" w:hAnsiTheme="majorBidi" w:cstheme="majorBidi"/>
          <w:b/>
          <w:bCs/>
          <w:color w:val="0E101A"/>
          <w:sz w:val="24"/>
          <w:szCs w:val="24"/>
        </w:rPr>
        <w:t>].</w:t>
      </w:r>
      <w:r w:rsidR="003A7353">
        <w:rPr>
          <w:rFonts w:asciiTheme="majorBidi" w:eastAsia="Times New Roman" w:hAnsiTheme="majorBidi" w:cstheme="majorBidi"/>
          <w:b/>
          <w:bCs/>
          <w:color w:val="0E101A"/>
          <w:sz w:val="24"/>
          <w:szCs w:val="24"/>
        </w:rPr>
        <w:t xml:space="preserve"> </w:t>
      </w:r>
    </w:p>
    <w:p w14:paraId="4D93CE77" w14:textId="77777777" w:rsidR="00EE17D8" w:rsidRPr="00EE17D8" w:rsidRDefault="00EE17D8" w:rsidP="00EE17D8">
      <w:pPr>
        <w:spacing w:after="0" w:line="360" w:lineRule="auto"/>
        <w:rPr>
          <w:rFonts w:asciiTheme="majorBidi" w:eastAsia="Times New Roman" w:hAnsiTheme="majorBidi" w:cstheme="majorBidi"/>
          <w:b/>
          <w:bCs/>
          <w:color w:val="0E101A"/>
          <w:sz w:val="24"/>
          <w:szCs w:val="24"/>
        </w:rPr>
      </w:pPr>
      <w:proofErr w:type="spellStart"/>
      <w:r w:rsidRPr="00EE17D8">
        <w:rPr>
          <w:rFonts w:asciiTheme="majorBidi" w:eastAsia="Times New Roman" w:hAnsiTheme="majorBidi" w:cstheme="majorBidi"/>
          <w:b/>
          <w:bCs/>
          <w:color w:val="0E101A"/>
          <w:sz w:val="24"/>
          <w:szCs w:val="24"/>
        </w:rPr>
        <w:t>Papanicolau</w:t>
      </w:r>
      <w:proofErr w:type="spellEnd"/>
      <w:r w:rsidRPr="00EE17D8">
        <w:rPr>
          <w:rFonts w:asciiTheme="majorBidi" w:eastAsia="Times New Roman" w:hAnsiTheme="majorBidi" w:cstheme="majorBidi"/>
          <w:b/>
          <w:bCs/>
          <w:color w:val="0E101A"/>
          <w:sz w:val="24"/>
          <w:szCs w:val="24"/>
        </w:rPr>
        <w:t xml:space="preserve"> staining technique</w:t>
      </w:r>
    </w:p>
    <w:p w14:paraId="3A649BA0" w14:textId="77777777" w:rsidR="00E41BC3" w:rsidRPr="00EE17D8" w:rsidRDefault="00E41BC3" w:rsidP="003A7353">
      <w:pPr>
        <w:spacing w:after="0" w:line="360" w:lineRule="auto"/>
        <w:jc w:val="both"/>
        <w:rPr>
          <w:rFonts w:asciiTheme="majorBidi" w:eastAsia="Times New Roman" w:hAnsiTheme="majorBidi" w:cstheme="majorBidi"/>
          <w:color w:val="0E101A"/>
          <w:sz w:val="24"/>
          <w:szCs w:val="24"/>
        </w:rPr>
      </w:pPr>
      <w:r w:rsidRPr="00E41BC3">
        <w:rPr>
          <w:rFonts w:asciiTheme="majorBidi" w:eastAsia="Times New Roman" w:hAnsiTheme="majorBidi" w:cstheme="majorBidi"/>
          <w:color w:val="0E101A"/>
          <w:sz w:val="24"/>
          <w:szCs w:val="24"/>
        </w:rPr>
        <w:t xml:space="preserve">Each fixed slide was rehydrated in descending grades of ethanol 2 minutes in each grade, after that slide was stained in Harris’s </w:t>
      </w:r>
      <w:proofErr w:type="spellStart"/>
      <w:r w:rsidRPr="00E41BC3">
        <w:rPr>
          <w:rFonts w:asciiTheme="majorBidi" w:eastAsia="Times New Roman" w:hAnsiTheme="majorBidi" w:cstheme="majorBidi"/>
          <w:color w:val="0E101A"/>
          <w:sz w:val="24"/>
          <w:szCs w:val="24"/>
        </w:rPr>
        <w:t>Haematoxylin</w:t>
      </w:r>
      <w:proofErr w:type="spellEnd"/>
      <w:r w:rsidRPr="00E41BC3">
        <w:rPr>
          <w:rFonts w:asciiTheme="majorBidi" w:eastAsia="Times New Roman" w:hAnsiTheme="majorBidi" w:cstheme="majorBidi"/>
          <w:color w:val="0E101A"/>
          <w:sz w:val="24"/>
          <w:szCs w:val="24"/>
        </w:rPr>
        <w:t xml:space="preserve"> solution for 1 minutes progressively, then slid was blued in running tap water for 10 minutes, after that slide was dehydrated in ascending grade ethanol 2 minute in each grade, then orange G6 (OG6) was applied onto </w:t>
      </w:r>
      <w:proofErr w:type="spellStart"/>
      <w:r w:rsidRPr="00E41BC3">
        <w:rPr>
          <w:rFonts w:asciiTheme="majorBidi" w:eastAsia="Times New Roman" w:hAnsiTheme="majorBidi" w:cstheme="majorBidi"/>
          <w:color w:val="0E101A"/>
          <w:sz w:val="24"/>
          <w:szCs w:val="24"/>
        </w:rPr>
        <w:t>slidfor</w:t>
      </w:r>
      <w:proofErr w:type="spellEnd"/>
      <w:r w:rsidRPr="00E41BC3">
        <w:rPr>
          <w:rFonts w:asciiTheme="majorBidi" w:eastAsia="Times New Roman" w:hAnsiTheme="majorBidi" w:cstheme="majorBidi"/>
          <w:color w:val="0E101A"/>
          <w:sz w:val="24"/>
          <w:szCs w:val="24"/>
        </w:rPr>
        <w:t xml:space="preserve"> 3 minutes followed by rinsed in 95% ethanol for 2 minutes, then eosin azure 50 (EA50) solution was applied onto slide for 3 minutes followed by rinsed in 95% ethanol for 2 minutes, after that slide was rinsed in absolute ethanol, dried at room temperature, cleared in xylene and mounted in </w:t>
      </w:r>
      <w:proofErr w:type="spellStart"/>
      <w:r w:rsidRPr="00E41BC3">
        <w:rPr>
          <w:rFonts w:asciiTheme="majorBidi" w:eastAsia="Times New Roman" w:hAnsiTheme="majorBidi" w:cstheme="majorBidi"/>
          <w:color w:val="0E101A"/>
          <w:sz w:val="24"/>
          <w:szCs w:val="24"/>
        </w:rPr>
        <w:t>Disterene</w:t>
      </w:r>
      <w:proofErr w:type="spellEnd"/>
      <w:r w:rsidRPr="00E41BC3">
        <w:rPr>
          <w:rFonts w:asciiTheme="majorBidi" w:eastAsia="Times New Roman" w:hAnsiTheme="majorBidi" w:cstheme="majorBidi"/>
          <w:color w:val="0E101A"/>
          <w:sz w:val="24"/>
          <w:szCs w:val="24"/>
        </w:rPr>
        <w:t xml:space="preserve"> A Plasticizer and Xylene (DPX). The smear was then screened under a light microscope</w:t>
      </w:r>
      <w:r>
        <w:rPr>
          <w:rFonts w:asciiTheme="majorBidi" w:eastAsia="Times New Roman" w:hAnsiTheme="majorBidi" w:cstheme="majorBidi"/>
          <w:color w:val="0E101A"/>
          <w:sz w:val="24"/>
          <w:szCs w:val="24"/>
        </w:rPr>
        <w:t xml:space="preserve"> </w:t>
      </w:r>
      <w:r w:rsidR="003A7353" w:rsidRPr="00591BC2">
        <w:rPr>
          <w:rFonts w:asciiTheme="majorBidi" w:eastAsia="Times New Roman" w:hAnsiTheme="majorBidi" w:cstheme="majorBidi"/>
          <w:b/>
          <w:bCs/>
          <w:color w:val="0E101A"/>
          <w:sz w:val="24"/>
          <w:szCs w:val="24"/>
        </w:rPr>
        <w:t>[</w:t>
      </w:r>
      <w:r w:rsidR="003A7353">
        <w:rPr>
          <w:rFonts w:asciiTheme="majorBidi" w:eastAsia="Times New Roman" w:hAnsiTheme="majorBidi" w:cstheme="majorBidi"/>
          <w:b/>
          <w:bCs/>
          <w:color w:val="0E101A"/>
          <w:sz w:val="24"/>
          <w:szCs w:val="24"/>
        </w:rPr>
        <w:t>13</w:t>
      </w:r>
      <w:r w:rsidR="003A7353" w:rsidRPr="00591BC2">
        <w:rPr>
          <w:rFonts w:asciiTheme="majorBidi" w:eastAsia="Times New Roman" w:hAnsiTheme="majorBidi" w:cstheme="majorBidi"/>
          <w:b/>
          <w:bCs/>
          <w:color w:val="0E101A"/>
          <w:sz w:val="24"/>
          <w:szCs w:val="24"/>
        </w:rPr>
        <w:t>].</w:t>
      </w:r>
      <w:r w:rsidR="003A7353">
        <w:rPr>
          <w:rFonts w:asciiTheme="majorBidi" w:eastAsia="Times New Roman" w:hAnsiTheme="majorBidi" w:cstheme="majorBidi"/>
          <w:b/>
          <w:bCs/>
          <w:color w:val="0E101A"/>
          <w:sz w:val="24"/>
          <w:szCs w:val="24"/>
        </w:rPr>
        <w:t xml:space="preserve"> </w:t>
      </w:r>
    </w:p>
    <w:p w14:paraId="40B30E49" w14:textId="77777777" w:rsidR="00EE17D8" w:rsidRPr="00EE17D8" w:rsidRDefault="00EE17D8" w:rsidP="00EE17D8">
      <w:pPr>
        <w:spacing w:after="0" w:line="360" w:lineRule="auto"/>
        <w:rPr>
          <w:rFonts w:asciiTheme="majorBidi" w:eastAsia="Times New Roman" w:hAnsiTheme="majorBidi" w:cstheme="majorBidi"/>
          <w:b/>
          <w:bCs/>
          <w:color w:val="0E101A"/>
          <w:sz w:val="24"/>
          <w:szCs w:val="24"/>
        </w:rPr>
      </w:pPr>
      <w:r w:rsidRPr="00EE17D8">
        <w:rPr>
          <w:rFonts w:asciiTheme="majorBidi" w:eastAsia="Times New Roman" w:hAnsiTheme="majorBidi" w:cstheme="majorBidi"/>
          <w:b/>
          <w:bCs/>
          <w:color w:val="0E101A"/>
          <w:sz w:val="24"/>
          <w:szCs w:val="24"/>
        </w:rPr>
        <w:t>2.3 Data Analysis</w:t>
      </w:r>
    </w:p>
    <w:p w14:paraId="3037D319" w14:textId="77777777" w:rsidR="00142FF4" w:rsidRPr="00142FF4" w:rsidRDefault="00EE17D8" w:rsidP="00EE17D8">
      <w:pPr>
        <w:spacing w:after="0" w:line="360" w:lineRule="auto"/>
        <w:jc w:val="both"/>
        <w:rPr>
          <w:rFonts w:asciiTheme="majorBidi" w:eastAsia="Times New Roman" w:hAnsiTheme="majorBidi" w:cstheme="majorBidi"/>
          <w:color w:val="0E101A"/>
          <w:sz w:val="24"/>
          <w:szCs w:val="24"/>
        </w:rPr>
      </w:pPr>
      <w:r w:rsidRPr="00EE17D8">
        <w:rPr>
          <w:rFonts w:asciiTheme="majorBidi" w:eastAsia="Times New Roman" w:hAnsiTheme="majorBidi" w:cstheme="majorBidi"/>
          <w:color w:val="0E101A"/>
          <w:sz w:val="24"/>
          <w:szCs w:val="24"/>
        </w:rPr>
        <w:t>After examination of the sections, the results of the laboratory investigation</w:t>
      </w:r>
      <w:r w:rsidR="00954F52">
        <w:rPr>
          <w:rFonts w:asciiTheme="majorBidi" w:eastAsia="Times New Roman" w:hAnsiTheme="majorBidi" w:cstheme="majorBidi"/>
          <w:color w:val="0E101A"/>
          <w:sz w:val="24"/>
          <w:szCs w:val="24"/>
        </w:rPr>
        <w:t>,</w:t>
      </w:r>
      <w:r w:rsidRPr="00EE17D8">
        <w:rPr>
          <w:rFonts w:asciiTheme="majorBidi" w:eastAsia="Times New Roman" w:hAnsiTheme="majorBidi" w:cstheme="majorBidi"/>
          <w:color w:val="0E101A"/>
          <w:sz w:val="24"/>
          <w:szCs w:val="24"/>
        </w:rPr>
        <w:t xml:space="preserve"> as well as the demographic data from the patient’s records</w:t>
      </w:r>
      <w:r w:rsidR="00954F52">
        <w:rPr>
          <w:rFonts w:asciiTheme="majorBidi" w:eastAsia="Times New Roman" w:hAnsiTheme="majorBidi" w:cstheme="majorBidi"/>
          <w:color w:val="0E101A"/>
          <w:sz w:val="24"/>
          <w:szCs w:val="24"/>
        </w:rPr>
        <w:t>,</w:t>
      </w:r>
      <w:r w:rsidRPr="00EE17D8">
        <w:rPr>
          <w:rFonts w:asciiTheme="majorBidi" w:eastAsia="Times New Roman" w:hAnsiTheme="majorBidi" w:cstheme="majorBidi"/>
          <w:color w:val="0E101A"/>
          <w:sz w:val="24"/>
          <w:szCs w:val="24"/>
        </w:rPr>
        <w:t xml:space="preserve"> were processed using the Statistical Packages for Social Sciences (SPSS) computer program. Frequency, mean, and chi-square test values were calculated at &lt;0.05 and considered statistically significant</w:t>
      </w:r>
      <w:r>
        <w:rPr>
          <w:rFonts w:asciiTheme="majorBidi" w:eastAsia="Times New Roman" w:hAnsiTheme="majorBidi" w:cstheme="majorBidi"/>
          <w:color w:val="0E101A"/>
          <w:sz w:val="24"/>
          <w:szCs w:val="24"/>
        </w:rPr>
        <w:t>.</w:t>
      </w:r>
    </w:p>
    <w:p w14:paraId="68AA31FB" w14:textId="77777777" w:rsidR="00A54F9D" w:rsidRDefault="00A54F9D" w:rsidP="00A17587">
      <w:pPr>
        <w:spacing w:after="0" w:line="360" w:lineRule="auto"/>
        <w:jc w:val="both"/>
        <w:rPr>
          <w:rFonts w:asciiTheme="majorBidi" w:hAnsiTheme="majorBidi" w:cstheme="majorBidi"/>
          <w:b/>
          <w:bCs/>
          <w:color w:val="0E101A"/>
          <w:sz w:val="24"/>
          <w:szCs w:val="24"/>
        </w:rPr>
      </w:pPr>
    </w:p>
    <w:p w14:paraId="644C6A75" w14:textId="77777777" w:rsidR="00DF1E5F" w:rsidRDefault="00DF1E5F" w:rsidP="00A17587">
      <w:pPr>
        <w:spacing w:after="0" w:line="360" w:lineRule="auto"/>
        <w:jc w:val="both"/>
        <w:rPr>
          <w:rFonts w:asciiTheme="majorBidi" w:hAnsiTheme="majorBidi" w:cstheme="majorBidi"/>
          <w:b/>
          <w:bCs/>
          <w:color w:val="0E101A"/>
          <w:sz w:val="24"/>
          <w:szCs w:val="24"/>
        </w:rPr>
      </w:pPr>
    </w:p>
    <w:p w14:paraId="629D0981" w14:textId="77777777" w:rsidR="00DF1E5F" w:rsidRDefault="00DF1E5F" w:rsidP="00A17587">
      <w:pPr>
        <w:spacing w:after="0" w:line="360" w:lineRule="auto"/>
        <w:jc w:val="both"/>
        <w:rPr>
          <w:rFonts w:asciiTheme="majorBidi" w:hAnsiTheme="majorBidi" w:cstheme="majorBidi"/>
          <w:b/>
          <w:bCs/>
          <w:color w:val="0E101A"/>
          <w:sz w:val="24"/>
          <w:szCs w:val="24"/>
        </w:rPr>
      </w:pPr>
    </w:p>
    <w:p w14:paraId="3D82957F" w14:textId="77777777" w:rsidR="00954F52" w:rsidRDefault="00954F52" w:rsidP="00A17587">
      <w:pPr>
        <w:spacing w:after="0" w:line="360" w:lineRule="auto"/>
        <w:jc w:val="both"/>
        <w:rPr>
          <w:rFonts w:asciiTheme="majorBidi" w:hAnsiTheme="majorBidi" w:cstheme="majorBidi"/>
          <w:b/>
          <w:bCs/>
          <w:color w:val="0E101A"/>
          <w:sz w:val="24"/>
          <w:szCs w:val="24"/>
        </w:rPr>
      </w:pPr>
    </w:p>
    <w:p w14:paraId="55ADF7BC" w14:textId="77777777" w:rsidR="00A54F9D" w:rsidRDefault="00A54F9D" w:rsidP="00A17587">
      <w:pPr>
        <w:spacing w:after="0" w:line="360" w:lineRule="auto"/>
        <w:jc w:val="both"/>
        <w:rPr>
          <w:rFonts w:asciiTheme="majorBidi" w:hAnsiTheme="majorBidi" w:cstheme="majorBidi"/>
          <w:b/>
          <w:bCs/>
          <w:color w:val="0E101A"/>
          <w:sz w:val="24"/>
          <w:szCs w:val="24"/>
        </w:rPr>
      </w:pPr>
    </w:p>
    <w:p w14:paraId="0E05D5E5" w14:textId="77777777" w:rsidR="00FC1F73" w:rsidRDefault="00AF10B2" w:rsidP="00A17587">
      <w:pPr>
        <w:spacing w:after="0" w:line="360" w:lineRule="auto"/>
        <w:jc w:val="both"/>
        <w:rPr>
          <w:rFonts w:asciiTheme="majorBidi" w:hAnsiTheme="majorBidi" w:cstheme="majorBidi"/>
          <w:b/>
          <w:bCs/>
          <w:color w:val="0E101A"/>
          <w:sz w:val="24"/>
          <w:szCs w:val="24"/>
        </w:rPr>
      </w:pPr>
      <w:r>
        <w:rPr>
          <w:rFonts w:asciiTheme="majorBidi" w:hAnsiTheme="majorBidi" w:cstheme="majorBidi"/>
          <w:b/>
          <w:bCs/>
          <w:color w:val="0E101A"/>
          <w:sz w:val="24"/>
          <w:szCs w:val="24"/>
        </w:rPr>
        <w:t xml:space="preserve">3. </w:t>
      </w:r>
      <w:r w:rsidRPr="00C10DD5">
        <w:rPr>
          <w:rFonts w:asciiTheme="majorBidi" w:hAnsiTheme="majorBidi" w:cstheme="majorBidi"/>
          <w:b/>
          <w:bCs/>
          <w:color w:val="0E101A"/>
          <w:sz w:val="24"/>
          <w:szCs w:val="24"/>
        </w:rPr>
        <w:t>RESULTS</w:t>
      </w:r>
    </w:p>
    <w:p w14:paraId="10EB6991" w14:textId="77777777" w:rsidR="009B752E" w:rsidRDefault="009B752E" w:rsidP="00EE49B5">
      <w:pPr>
        <w:tabs>
          <w:tab w:val="left" w:pos="1134"/>
        </w:tabs>
        <w:spacing w:after="0" w:line="360" w:lineRule="auto"/>
        <w:jc w:val="both"/>
        <w:rPr>
          <w:rFonts w:ascii="Times New Roman" w:eastAsia="Times New Roman" w:hAnsi="Times New Roman" w:cs="Times New Roman"/>
          <w:color w:val="0E101A"/>
          <w:sz w:val="24"/>
          <w:szCs w:val="24"/>
          <w:lang w:bidi="hi-IN"/>
        </w:rPr>
      </w:pPr>
      <w:r w:rsidRPr="009B752E">
        <w:rPr>
          <w:rFonts w:ascii="Times New Roman" w:eastAsia="Times New Roman" w:hAnsi="Times New Roman" w:cs="Times New Roman"/>
          <w:color w:val="0E101A"/>
          <w:sz w:val="24"/>
          <w:szCs w:val="24"/>
          <w:lang w:bidi="hi-IN"/>
        </w:rPr>
        <w:t xml:space="preserve">This study was conducted at </w:t>
      </w:r>
      <w:proofErr w:type="spellStart"/>
      <w:r w:rsidRPr="009B752E">
        <w:rPr>
          <w:rFonts w:ascii="Times New Roman" w:eastAsia="Times New Roman" w:hAnsi="Times New Roman" w:cs="Times New Roman"/>
          <w:color w:val="0E101A"/>
          <w:sz w:val="24"/>
          <w:szCs w:val="24"/>
          <w:lang w:bidi="hi-IN"/>
        </w:rPr>
        <w:t>Elmak</w:t>
      </w:r>
      <w:proofErr w:type="spellEnd"/>
      <w:r w:rsidRPr="009B752E">
        <w:rPr>
          <w:rFonts w:ascii="Times New Roman" w:eastAsia="Times New Roman" w:hAnsi="Times New Roman" w:cs="Times New Roman"/>
          <w:color w:val="0E101A"/>
          <w:sz w:val="24"/>
          <w:szCs w:val="24"/>
          <w:lang w:bidi="hi-IN"/>
        </w:rPr>
        <w:t xml:space="preserve"> </w:t>
      </w:r>
      <w:proofErr w:type="spellStart"/>
      <w:r w:rsidRPr="009B752E">
        <w:rPr>
          <w:rFonts w:ascii="Times New Roman" w:eastAsia="Times New Roman" w:hAnsi="Times New Roman" w:cs="Times New Roman"/>
          <w:color w:val="0E101A"/>
          <w:sz w:val="24"/>
          <w:szCs w:val="24"/>
          <w:lang w:bidi="hi-IN"/>
        </w:rPr>
        <w:t>Nimir</w:t>
      </w:r>
      <w:proofErr w:type="spellEnd"/>
      <w:r w:rsidRPr="009B752E">
        <w:rPr>
          <w:rFonts w:ascii="Times New Roman" w:eastAsia="Times New Roman" w:hAnsi="Times New Roman" w:cs="Times New Roman"/>
          <w:color w:val="0E101A"/>
          <w:sz w:val="24"/>
          <w:szCs w:val="24"/>
          <w:lang w:bidi="hi-IN"/>
        </w:rPr>
        <w:t xml:space="preserve"> University Hospital and the Oncology Hospital in Shendi locality to evaluate the relationship between the appearance of decoy cells in urine and various cytological and clinical features in prostatic disease patients</w:t>
      </w:r>
      <w:r>
        <w:rPr>
          <w:rFonts w:ascii="Times New Roman" w:eastAsia="Times New Roman" w:hAnsi="Times New Roman" w:cs="Times New Roman"/>
          <w:color w:val="0E101A"/>
          <w:sz w:val="24"/>
          <w:szCs w:val="24"/>
          <w:lang w:bidi="hi-IN"/>
        </w:rPr>
        <w:t xml:space="preserve">. </w:t>
      </w:r>
      <w:r w:rsidRPr="009B752E">
        <w:rPr>
          <w:rFonts w:ascii="Times New Roman" w:eastAsia="Times New Roman" w:hAnsi="Times New Roman" w:cs="Times New Roman"/>
          <w:color w:val="0E101A"/>
          <w:sz w:val="24"/>
          <w:szCs w:val="24"/>
          <w:lang w:bidi="hi-IN"/>
        </w:rPr>
        <w:t xml:space="preserve">These findings suggest that environmental and infectious factors, particularly BK virus, may play a more influential role than genetic predisposition. Clinically, decoy cells correlated strongly with recurrent urinary tract infections, particularly among prostate cancer patients (87%), while no significant association was found with family history. The findings showed that decoy cells were present in 86.7% of prostate cancer cases, 40% of BPH cases, and absent in healthy individuals, indicating a strong association with malignancy. The presence of decoy cells was significantly associated with cytomorphological changes such as hyperkeratosis (60%), inflammatory cells (83.3%), and bacterial infection (93.3%), all with statistically significant p-values (P&lt;0.05). </w:t>
      </w:r>
    </w:p>
    <w:p w14:paraId="323D9C12" w14:textId="77777777" w:rsidR="009B752E" w:rsidRDefault="00F85AD9" w:rsidP="009B752E">
      <w:pPr>
        <w:tabs>
          <w:tab w:val="left" w:pos="1134"/>
        </w:tabs>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Table </w:t>
      </w:r>
      <w:r w:rsidRPr="00BA7C51">
        <w:rPr>
          <w:rFonts w:ascii="Times New Roman" w:eastAsia="Calibri" w:hAnsi="Times New Roman" w:cs="Times New Roman"/>
          <w:b/>
          <w:bCs/>
          <w:sz w:val="24"/>
          <w:szCs w:val="24"/>
        </w:rPr>
        <w:t>1</w:t>
      </w:r>
      <w:r w:rsidR="009B752E">
        <w:rPr>
          <w:rFonts w:ascii="Times New Roman" w:eastAsia="Calibri" w:hAnsi="Times New Roman" w:cs="Times New Roman"/>
          <w:b/>
          <w:bCs/>
          <w:sz w:val="24"/>
          <w:szCs w:val="24"/>
        </w:rPr>
        <w:t>. The cytological</w:t>
      </w:r>
      <w:r w:rsidR="009B752E" w:rsidRPr="009B752E">
        <w:rPr>
          <w:rFonts w:ascii="Times New Roman" w:eastAsia="Calibri" w:hAnsi="Times New Roman" w:cs="Times New Roman"/>
          <w:b/>
          <w:bCs/>
          <w:sz w:val="24"/>
          <w:szCs w:val="24"/>
        </w:rPr>
        <w:t xml:space="preserve"> changes associated with viral changes </w:t>
      </w:r>
      <w:r w:rsidR="004E2092">
        <w:rPr>
          <w:rFonts w:ascii="Times New Roman" w:eastAsia="Calibri" w:hAnsi="Times New Roman" w:cs="Times New Roman"/>
          <w:b/>
          <w:bCs/>
          <w:sz w:val="24"/>
          <w:szCs w:val="24"/>
        </w:rPr>
        <w:t xml:space="preserve">were observed </w:t>
      </w:r>
      <w:r w:rsidR="009B752E" w:rsidRPr="009B752E">
        <w:rPr>
          <w:rFonts w:ascii="Times New Roman" w:eastAsia="Calibri" w:hAnsi="Times New Roman" w:cs="Times New Roman"/>
          <w:b/>
          <w:bCs/>
          <w:sz w:val="24"/>
          <w:szCs w:val="24"/>
        </w:rPr>
        <w:t xml:space="preserve">among </w:t>
      </w:r>
      <w:r w:rsidR="009B752E">
        <w:rPr>
          <w:rFonts w:ascii="Times New Roman" w:eastAsia="Calibri" w:hAnsi="Times New Roman" w:cs="Times New Roman"/>
          <w:b/>
          <w:bCs/>
          <w:sz w:val="24"/>
          <w:szCs w:val="24"/>
        </w:rPr>
        <w:t>the test group.</w:t>
      </w:r>
    </w:p>
    <w:tbl>
      <w:tblPr>
        <w:tblStyle w:val="TableGrid"/>
        <w:tblW w:w="0" w:type="auto"/>
        <w:jc w:val="center"/>
        <w:tblLayout w:type="fixed"/>
        <w:tblLook w:val="01E0" w:firstRow="1" w:lastRow="1" w:firstColumn="1" w:lastColumn="1" w:noHBand="0" w:noVBand="0"/>
      </w:tblPr>
      <w:tblGrid>
        <w:gridCol w:w="2372"/>
        <w:gridCol w:w="2268"/>
        <w:gridCol w:w="2410"/>
      </w:tblGrid>
      <w:tr w:rsidR="00AF6B53" w:rsidRPr="00AF6B53" w14:paraId="1FF24AF4" w14:textId="77777777" w:rsidTr="004E2092">
        <w:trPr>
          <w:trHeight w:val="56"/>
          <w:jc w:val="center"/>
        </w:trPr>
        <w:tc>
          <w:tcPr>
            <w:tcW w:w="2372" w:type="dxa"/>
          </w:tcPr>
          <w:p w14:paraId="00992174" w14:textId="77777777" w:rsidR="00AF6B53" w:rsidRPr="00AF6B53" w:rsidRDefault="00E4630F" w:rsidP="00AF6B53">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Test g</w:t>
            </w:r>
            <w:r w:rsidR="0029584B">
              <w:rPr>
                <w:rFonts w:ascii="Times New Roman" w:eastAsia="Calibri" w:hAnsi="Times New Roman" w:cs="Times New Roman"/>
                <w:b/>
                <w:bCs/>
                <w:sz w:val="24"/>
                <w:szCs w:val="24"/>
              </w:rPr>
              <w:t>roup</w:t>
            </w:r>
          </w:p>
        </w:tc>
        <w:tc>
          <w:tcPr>
            <w:tcW w:w="2268" w:type="dxa"/>
          </w:tcPr>
          <w:p w14:paraId="0DA51A7D" w14:textId="77777777" w:rsidR="00AF6B53" w:rsidRPr="00AF6B53" w:rsidRDefault="00AF6B53" w:rsidP="00AF6B53">
            <w:pPr>
              <w:spacing w:line="276" w:lineRule="auto"/>
              <w:jc w:val="center"/>
              <w:rPr>
                <w:rFonts w:ascii="Times New Roman" w:eastAsia="Calibri" w:hAnsi="Times New Roman" w:cs="Times New Roman"/>
                <w:b/>
                <w:bCs/>
                <w:sz w:val="24"/>
                <w:szCs w:val="24"/>
              </w:rPr>
            </w:pPr>
            <w:r w:rsidRPr="00AF6B53">
              <w:rPr>
                <w:rFonts w:ascii="Times New Roman" w:eastAsia="Calibri" w:hAnsi="Times New Roman" w:cs="Times New Roman"/>
                <w:b/>
                <w:bCs/>
                <w:sz w:val="24"/>
                <w:szCs w:val="24"/>
              </w:rPr>
              <w:t>Frequency</w:t>
            </w:r>
          </w:p>
        </w:tc>
        <w:tc>
          <w:tcPr>
            <w:tcW w:w="2410" w:type="dxa"/>
          </w:tcPr>
          <w:p w14:paraId="11F5DB7F" w14:textId="77777777" w:rsidR="00AF6B53" w:rsidRPr="00AF6B53" w:rsidRDefault="00AF6B53" w:rsidP="00AF6B53">
            <w:pPr>
              <w:spacing w:line="276" w:lineRule="auto"/>
              <w:jc w:val="center"/>
              <w:rPr>
                <w:rFonts w:ascii="Times New Roman" w:eastAsia="Calibri" w:hAnsi="Times New Roman" w:cs="Times New Roman"/>
                <w:b/>
                <w:bCs/>
                <w:sz w:val="24"/>
                <w:szCs w:val="24"/>
              </w:rPr>
            </w:pPr>
            <w:r w:rsidRPr="00AF6B53">
              <w:rPr>
                <w:rFonts w:ascii="Times New Roman" w:eastAsia="Calibri" w:hAnsi="Times New Roman" w:cs="Times New Roman"/>
                <w:b/>
                <w:bCs/>
                <w:sz w:val="24"/>
                <w:szCs w:val="24"/>
              </w:rPr>
              <w:t>Percentage %</w:t>
            </w:r>
          </w:p>
        </w:tc>
      </w:tr>
      <w:tr w:rsidR="004E2092" w:rsidRPr="00AF6B53" w14:paraId="291C2D26" w14:textId="77777777" w:rsidTr="004E2092">
        <w:trPr>
          <w:trHeight w:val="56"/>
          <w:jc w:val="center"/>
        </w:trPr>
        <w:tc>
          <w:tcPr>
            <w:tcW w:w="2372" w:type="dxa"/>
          </w:tcPr>
          <w:p w14:paraId="2D322A20" w14:textId="77777777" w:rsidR="004E2092" w:rsidRPr="004E2092" w:rsidRDefault="004E2092" w:rsidP="004E2092">
            <w:pPr>
              <w:pStyle w:val="TableParagraph"/>
              <w:spacing w:line="310" w:lineRule="exact"/>
              <w:ind w:left="4" w:right="1"/>
              <w:rPr>
                <w:spacing w:val="-5"/>
                <w:sz w:val="24"/>
                <w:szCs w:val="20"/>
              </w:rPr>
            </w:pPr>
            <w:r w:rsidRPr="004E2092">
              <w:rPr>
                <w:spacing w:val="-5"/>
                <w:sz w:val="24"/>
                <w:szCs w:val="20"/>
              </w:rPr>
              <w:t>Decoy cell</w:t>
            </w:r>
          </w:p>
        </w:tc>
        <w:tc>
          <w:tcPr>
            <w:tcW w:w="2268" w:type="dxa"/>
          </w:tcPr>
          <w:p w14:paraId="7886E7A6"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19</w:t>
            </w:r>
          </w:p>
        </w:tc>
        <w:tc>
          <w:tcPr>
            <w:tcW w:w="2410" w:type="dxa"/>
          </w:tcPr>
          <w:p w14:paraId="6A71C194"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63.3</w:t>
            </w:r>
          </w:p>
        </w:tc>
      </w:tr>
      <w:tr w:rsidR="004E2092" w:rsidRPr="00AF6B53" w14:paraId="5F88764E" w14:textId="77777777" w:rsidTr="004E2092">
        <w:trPr>
          <w:trHeight w:val="56"/>
          <w:jc w:val="center"/>
        </w:trPr>
        <w:tc>
          <w:tcPr>
            <w:tcW w:w="2372" w:type="dxa"/>
          </w:tcPr>
          <w:p w14:paraId="38FCD13D" w14:textId="77777777" w:rsidR="004E2092" w:rsidRPr="004E2092" w:rsidRDefault="004E2092" w:rsidP="004E2092">
            <w:pPr>
              <w:pStyle w:val="TableParagraph"/>
              <w:spacing w:line="310" w:lineRule="exact"/>
              <w:ind w:left="4" w:right="1"/>
              <w:rPr>
                <w:spacing w:val="-5"/>
                <w:sz w:val="24"/>
                <w:szCs w:val="20"/>
              </w:rPr>
            </w:pPr>
            <w:r w:rsidRPr="004E2092">
              <w:rPr>
                <w:spacing w:val="-5"/>
                <w:sz w:val="24"/>
                <w:szCs w:val="20"/>
              </w:rPr>
              <w:t>hyperkeratosis</w:t>
            </w:r>
          </w:p>
        </w:tc>
        <w:tc>
          <w:tcPr>
            <w:tcW w:w="2268" w:type="dxa"/>
          </w:tcPr>
          <w:p w14:paraId="55F3E11C"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18</w:t>
            </w:r>
          </w:p>
        </w:tc>
        <w:tc>
          <w:tcPr>
            <w:tcW w:w="2410" w:type="dxa"/>
          </w:tcPr>
          <w:p w14:paraId="080FC1BF"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60%</w:t>
            </w:r>
          </w:p>
        </w:tc>
      </w:tr>
      <w:tr w:rsidR="004E2092" w:rsidRPr="00AF6B53" w14:paraId="5FE1E6DB" w14:textId="77777777" w:rsidTr="004E2092">
        <w:trPr>
          <w:trHeight w:val="61"/>
          <w:jc w:val="center"/>
        </w:trPr>
        <w:tc>
          <w:tcPr>
            <w:tcW w:w="2372" w:type="dxa"/>
          </w:tcPr>
          <w:p w14:paraId="112F77D7" w14:textId="77777777" w:rsidR="004E2092" w:rsidRPr="004E2092" w:rsidRDefault="004E2092" w:rsidP="004E2092">
            <w:pPr>
              <w:pStyle w:val="TableParagraph"/>
              <w:spacing w:line="310" w:lineRule="exact"/>
              <w:ind w:left="4" w:right="1"/>
              <w:rPr>
                <w:spacing w:val="-5"/>
                <w:sz w:val="24"/>
                <w:szCs w:val="20"/>
              </w:rPr>
            </w:pPr>
            <w:r w:rsidRPr="004E2092">
              <w:rPr>
                <w:spacing w:val="-5"/>
                <w:sz w:val="24"/>
                <w:szCs w:val="20"/>
              </w:rPr>
              <w:t>Inflammatory cells</w:t>
            </w:r>
          </w:p>
        </w:tc>
        <w:tc>
          <w:tcPr>
            <w:tcW w:w="2268" w:type="dxa"/>
          </w:tcPr>
          <w:p w14:paraId="65151CFD"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25</w:t>
            </w:r>
          </w:p>
        </w:tc>
        <w:tc>
          <w:tcPr>
            <w:tcW w:w="2410" w:type="dxa"/>
          </w:tcPr>
          <w:p w14:paraId="7606045A"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83.3%</w:t>
            </w:r>
          </w:p>
        </w:tc>
      </w:tr>
      <w:tr w:rsidR="004E2092" w:rsidRPr="00AF6B53" w14:paraId="7A92194D" w14:textId="77777777" w:rsidTr="004E2092">
        <w:trPr>
          <w:trHeight w:val="56"/>
          <w:jc w:val="center"/>
        </w:trPr>
        <w:tc>
          <w:tcPr>
            <w:tcW w:w="2372" w:type="dxa"/>
          </w:tcPr>
          <w:p w14:paraId="78624AA1" w14:textId="77777777" w:rsidR="004E2092" w:rsidRPr="004E2092" w:rsidRDefault="004E2092" w:rsidP="004E2092">
            <w:pPr>
              <w:pStyle w:val="TableParagraph"/>
              <w:spacing w:line="310" w:lineRule="exact"/>
              <w:ind w:left="4" w:right="1"/>
              <w:rPr>
                <w:spacing w:val="-5"/>
                <w:sz w:val="24"/>
                <w:szCs w:val="20"/>
              </w:rPr>
            </w:pPr>
            <w:r w:rsidRPr="004E2092">
              <w:rPr>
                <w:spacing w:val="-5"/>
                <w:sz w:val="24"/>
                <w:szCs w:val="20"/>
              </w:rPr>
              <w:t>Bacterial infection</w:t>
            </w:r>
          </w:p>
        </w:tc>
        <w:tc>
          <w:tcPr>
            <w:tcW w:w="2268" w:type="dxa"/>
          </w:tcPr>
          <w:p w14:paraId="6DD5F1FB"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28</w:t>
            </w:r>
          </w:p>
        </w:tc>
        <w:tc>
          <w:tcPr>
            <w:tcW w:w="2410" w:type="dxa"/>
          </w:tcPr>
          <w:p w14:paraId="43B10ED0" w14:textId="77777777" w:rsidR="004E2092" w:rsidRPr="004E2092" w:rsidRDefault="004E2092" w:rsidP="004E2092">
            <w:pPr>
              <w:pStyle w:val="TableParagraph"/>
              <w:spacing w:line="310" w:lineRule="exact"/>
              <w:ind w:left="4" w:right="1"/>
              <w:jc w:val="center"/>
              <w:rPr>
                <w:spacing w:val="-5"/>
                <w:sz w:val="24"/>
                <w:szCs w:val="20"/>
              </w:rPr>
            </w:pPr>
            <w:r w:rsidRPr="004E2092">
              <w:rPr>
                <w:spacing w:val="-5"/>
                <w:sz w:val="24"/>
                <w:szCs w:val="20"/>
              </w:rPr>
              <w:t>93.3%</w:t>
            </w:r>
          </w:p>
        </w:tc>
      </w:tr>
    </w:tbl>
    <w:p w14:paraId="51E193B6" w14:textId="77777777" w:rsidR="00F85AD9" w:rsidRPr="001E1B7B" w:rsidRDefault="00F85AD9" w:rsidP="00F85AD9">
      <w:pPr>
        <w:spacing w:after="0" w:line="360" w:lineRule="auto"/>
        <w:jc w:val="both"/>
        <w:rPr>
          <w:rFonts w:ascii="Times New Roman" w:eastAsia="Calibri" w:hAnsi="Times New Roman" w:cs="Times New Roman"/>
          <w:b/>
          <w:bCs/>
          <w:sz w:val="28"/>
          <w:szCs w:val="28"/>
        </w:rPr>
      </w:pPr>
    </w:p>
    <w:p w14:paraId="55EC86F5" w14:textId="77777777" w:rsidR="00E4630F" w:rsidRDefault="00E4630F" w:rsidP="00E4630F">
      <w:pPr>
        <w:spacing w:after="0" w:line="360" w:lineRule="auto"/>
        <w:ind w:left="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Table 2. The </w:t>
      </w:r>
      <w:r w:rsidRPr="00E4630F">
        <w:rPr>
          <w:rFonts w:ascii="Times New Roman" w:eastAsia="Calibri" w:hAnsi="Times New Roman" w:cs="Times New Roman"/>
          <w:b/>
          <w:bCs/>
          <w:sz w:val="24"/>
          <w:szCs w:val="24"/>
        </w:rPr>
        <w:t xml:space="preserve">frequencies of clinical data of </w:t>
      </w:r>
      <w:r>
        <w:rPr>
          <w:rFonts w:ascii="Times New Roman" w:eastAsia="Calibri" w:hAnsi="Times New Roman" w:cs="Times New Roman"/>
          <w:b/>
          <w:bCs/>
          <w:sz w:val="24"/>
          <w:szCs w:val="24"/>
        </w:rPr>
        <w:t xml:space="preserve">the </w:t>
      </w:r>
      <w:r w:rsidRPr="00E4630F">
        <w:rPr>
          <w:rFonts w:ascii="Times New Roman" w:eastAsia="Calibri" w:hAnsi="Times New Roman" w:cs="Times New Roman"/>
          <w:b/>
          <w:bCs/>
          <w:sz w:val="24"/>
          <w:szCs w:val="24"/>
        </w:rPr>
        <w:t xml:space="preserve">test group </w:t>
      </w:r>
      <w:r>
        <w:rPr>
          <w:rFonts w:ascii="Times New Roman" w:eastAsia="Calibri" w:hAnsi="Times New Roman" w:cs="Times New Roman"/>
          <w:b/>
          <w:bCs/>
          <w:sz w:val="24"/>
          <w:szCs w:val="24"/>
        </w:rPr>
        <w:t>compared</w:t>
      </w:r>
      <w:r w:rsidRPr="00E4630F">
        <w:rPr>
          <w:rFonts w:ascii="Times New Roman" w:eastAsia="Calibri" w:hAnsi="Times New Roman" w:cs="Times New Roman"/>
          <w:b/>
          <w:bCs/>
          <w:sz w:val="24"/>
          <w:szCs w:val="24"/>
        </w:rPr>
        <w:t xml:space="preserve"> to </w:t>
      </w:r>
      <w:r>
        <w:rPr>
          <w:rFonts w:ascii="Times New Roman" w:eastAsia="Calibri" w:hAnsi="Times New Roman" w:cs="Times New Roman"/>
          <w:b/>
          <w:bCs/>
          <w:sz w:val="24"/>
          <w:szCs w:val="24"/>
        </w:rPr>
        <w:t>the control group.</w:t>
      </w:r>
    </w:p>
    <w:tbl>
      <w:tblPr>
        <w:tblStyle w:val="TableGrid"/>
        <w:tblpPr w:leftFromText="180" w:rightFromText="180" w:vertAnchor="text" w:tblpXSpec="center" w:tblpY="5"/>
        <w:tblW w:w="0" w:type="auto"/>
        <w:tblLayout w:type="fixed"/>
        <w:tblLook w:val="01E0" w:firstRow="1" w:lastRow="1" w:firstColumn="1" w:lastColumn="1" w:noHBand="0" w:noVBand="0"/>
      </w:tblPr>
      <w:tblGrid>
        <w:gridCol w:w="3235"/>
        <w:gridCol w:w="2160"/>
        <w:gridCol w:w="2200"/>
      </w:tblGrid>
      <w:tr w:rsidR="00E4630F" w:rsidRPr="00AF6B53" w14:paraId="41DDEF97" w14:textId="77777777" w:rsidTr="007324D3">
        <w:trPr>
          <w:trHeight w:val="56"/>
        </w:trPr>
        <w:tc>
          <w:tcPr>
            <w:tcW w:w="3235" w:type="dxa"/>
          </w:tcPr>
          <w:p w14:paraId="6E0236AC" w14:textId="77777777" w:rsidR="00E4630F" w:rsidRPr="00AF6B53" w:rsidRDefault="00E4630F" w:rsidP="00E4630F">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Control group</w:t>
            </w:r>
          </w:p>
        </w:tc>
        <w:tc>
          <w:tcPr>
            <w:tcW w:w="2160" w:type="dxa"/>
          </w:tcPr>
          <w:p w14:paraId="65F8643C" w14:textId="77777777" w:rsidR="00E4630F" w:rsidRPr="00AF6B53" w:rsidRDefault="00E4630F" w:rsidP="00E4630F">
            <w:pPr>
              <w:spacing w:line="276" w:lineRule="auto"/>
              <w:jc w:val="center"/>
              <w:rPr>
                <w:rFonts w:ascii="Times New Roman" w:eastAsia="Calibri" w:hAnsi="Times New Roman" w:cs="Times New Roman"/>
                <w:b/>
                <w:bCs/>
                <w:sz w:val="24"/>
                <w:szCs w:val="24"/>
              </w:rPr>
            </w:pPr>
            <w:r w:rsidRPr="00AF6B53">
              <w:rPr>
                <w:rFonts w:ascii="Times New Roman" w:eastAsia="Calibri" w:hAnsi="Times New Roman" w:cs="Times New Roman"/>
                <w:b/>
                <w:bCs/>
                <w:sz w:val="24"/>
                <w:szCs w:val="24"/>
              </w:rPr>
              <w:t>Frequency</w:t>
            </w:r>
          </w:p>
        </w:tc>
        <w:tc>
          <w:tcPr>
            <w:tcW w:w="2200" w:type="dxa"/>
          </w:tcPr>
          <w:p w14:paraId="052A4677" w14:textId="77777777" w:rsidR="00E4630F" w:rsidRPr="00AF6B53" w:rsidRDefault="00E4630F" w:rsidP="00E4630F">
            <w:pPr>
              <w:spacing w:line="276" w:lineRule="auto"/>
              <w:jc w:val="center"/>
              <w:rPr>
                <w:rFonts w:ascii="Times New Roman" w:eastAsia="Calibri" w:hAnsi="Times New Roman" w:cs="Times New Roman"/>
                <w:b/>
                <w:bCs/>
                <w:sz w:val="24"/>
                <w:szCs w:val="24"/>
              </w:rPr>
            </w:pPr>
            <w:r w:rsidRPr="00AF6B53">
              <w:rPr>
                <w:rFonts w:ascii="Times New Roman" w:eastAsia="Calibri" w:hAnsi="Times New Roman" w:cs="Times New Roman"/>
                <w:b/>
                <w:bCs/>
                <w:sz w:val="24"/>
                <w:szCs w:val="24"/>
              </w:rPr>
              <w:t>Percentage %</w:t>
            </w:r>
          </w:p>
        </w:tc>
      </w:tr>
      <w:tr w:rsidR="007324D3" w:rsidRPr="00AF6B53" w14:paraId="68435F27" w14:textId="77777777" w:rsidTr="007324D3">
        <w:trPr>
          <w:trHeight w:val="56"/>
        </w:trPr>
        <w:tc>
          <w:tcPr>
            <w:tcW w:w="3235" w:type="dxa"/>
          </w:tcPr>
          <w:p w14:paraId="7A3D3BB5" w14:textId="77777777" w:rsidR="007324D3" w:rsidRPr="007324D3" w:rsidRDefault="007324D3" w:rsidP="007324D3">
            <w:pPr>
              <w:pStyle w:val="TableParagraph"/>
              <w:spacing w:line="310" w:lineRule="exact"/>
              <w:ind w:left="4" w:right="1"/>
              <w:rPr>
                <w:spacing w:val="-5"/>
                <w:sz w:val="24"/>
                <w:szCs w:val="20"/>
              </w:rPr>
            </w:pPr>
            <w:r w:rsidRPr="007324D3">
              <w:rPr>
                <w:spacing w:val="-5"/>
                <w:sz w:val="24"/>
                <w:szCs w:val="20"/>
              </w:rPr>
              <w:t>Recurrent UTI</w:t>
            </w:r>
          </w:p>
        </w:tc>
        <w:tc>
          <w:tcPr>
            <w:tcW w:w="2160" w:type="dxa"/>
          </w:tcPr>
          <w:p w14:paraId="1A289660"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28</w:t>
            </w:r>
          </w:p>
        </w:tc>
        <w:tc>
          <w:tcPr>
            <w:tcW w:w="2200" w:type="dxa"/>
          </w:tcPr>
          <w:p w14:paraId="221DB206"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93.3%</w:t>
            </w:r>
          </w:p>
        </w:tc>
      </w:tr>
      <w:tr w:rsidR="007324D3" w:rsidRPr="00AF6B53" w14:paraId="590BE346" w14:textId="77777777" w:rsidTr="007324D3">
        <w:trPr>
          <w:trHeight w:val="56"/>
        </w:trPr>
        <w:tc>
          <w:tcPr>
            <w:tcW w:w="3235" w:type="dxa"/>
          </w:tcPr>
          <w:p w14:paraId="7BA6463D" w14:textId="77777777" w:rsidR="007324D3" w:rsidRPr="007324D3" w:rsidRDefault="007324D3" w:rsidP="007324D3">
            <w:pPr>
              <w:pStyle w:val="TableParagraph"/>
              <w:spacing w:line="310" w:lineRule="exact"/>
              <w:ind w:right="1"/>
              <w:rPr>
                <w:spacing w:val="-5"/>
                <w:sz w:val="24"/>
                <w:szCs w:val="20"/>
              </w:rPr>
            </w:pPr>
            <w:r w:rsidRPr="007324D3">
              <w:rPr>
                <w:spacing w:val="-5"/>
                <w:sz w:val="24"/>
                <w:szCs w:val="20"/>
              </w:rPr>
              <w:t>Family history of prostate</w:t>
            </w:r>
            <w:r>
              <w:rPr>
                <w:spacing w:val="-5"/>
                <w:sz w:val="24"/>
                <w:szCs w:val="20"/>
              </w:rPr>
              <w:t xml:space="preserve"> </w:t>
            </w:r>
            <w:r w:rsidRPr="007324D3">
              <w:rPr>
                <w:spacing w:val="-5"/>
                <w:sz w:val="24"/>
                <w:szCs w:val="20"/>
              </w:rPr>
              <w:t>cancer</w:t>
            </w:r>
          </w:p>
        </w:tc>
        <w:tc>
          <w:tcPr>
            <w:tcW w:w="2160" w:type="dxa"/>
          </w:tcPr>
          <w:p w14:paraId="34E181A8"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2</w:t>
            </w:r>
          </w:p>
        </w:tc>
        <w:tc>
          <w:tcPr>
            <w:tcW w:w="2200" w:type="dxa"/>
          </w:tcPr>
          <w:p w14:paraId="4A37C84C"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6.6%</w:t>
            </w:r>
          </w:p>
        </w:tc>
      </w:tr>
      <w:tr w:rsidR="007324D3" w:rsidRPr="00AF6B53" w14:paraId="0C0380F6" w14:textId="77777777" w:rsidTr="007324D3">
        <w:trPr>
          <w:trHeight w:val="61"/>
        </w:trPr>
        <w:tc>
          <w:tcPr>
            <w:tcW w:w="3235" w:type="dxa"/>
          </w:tcPr>
          <w:p w14:paraId="381AE233" w14:textId="77777777" w:rsidR="007324D3" w:rsidRPr="007324D3" w:rsidRDefault="007324D3" w:rsidP="007324D3">
            <w:pPr>
              <w:pStyle w:val="TableParagraph"/>
              <w:spacing w:line="310" w:lineRule="exact"/>
              <w:ind w:left="4" w:right="1"/>
              <w:rPr>
                <w:spacing w:val="-5"/>
                <w:sz w:val="24"/>
                <w:szCs w:val="20"/>
              </w:rPr>
            </w:pPr>
            <w:r w:rsidRPr="007324D3">
              <w:rPr>
                <w:spacing w:val="-5"/>
                <w:sz w:val="24"/>
                <w:szCs w:val="20"/>
              </w:rPr>
              <w:t>Renal diseases</w:t>
            </w:r>
          </w:p>
        </w:tc>
        <w:tc>
          <w:tcPr>
            <w:tcW w:w="2160" w:type="dxa"/>
          </w:tcPr>
          <w:p w14:paraId="7A649C56"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0|</w:t>
            </w:r>
          </w:p>
        </w:tc>
        <w:tc>
          <w:tcPr>
            <w:tcW w:w="2200" w:type="dxa"/>
          </w:tcPr>
          <w:p w14:paraId="00CE78F8"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0|%</w:t>
            </w:r>
          </w:p>
        </w:tc>
      </w:tr>
      <w:tr w:rsidR="007324D3" w:rsidRPr="00AF6B53" w14:paraId="0D71B702" w14:textId="77777777" w:rsidTr="007324D3">
        <w:trPr>
          <w:trHeight w:val="56"/>
        </w:trPr>
        <w:tc>
          <w:tcPr>
            <w:tcW w:w="3235" w:type="dxa"/>
          </w:tcPr>
          <w:p w14:paraId="7D77200D" w14:textId="77777777" w:rsidR="007324D3" w:rsidRPr="007324D3" w:rsidRDefault="007324D3" w:rsidP="007324D3">
            <w:pPr>
              <w:pStyle w:val="TableParagraph"/>
              <w:spacing w:line="310" w:lineRule="exact"/>
              <w:ind w:left="4" w:right="1"/>
              <w:rPr>
                <w:spacing w:val="-5"/>
                <w:sz w:val="24"/>
                <w:szCs w:val="20"/>
              </w:rPr>
            </w:pPr>
            <w:r w:rsidRPr="007324D3">
              <w:rPr>
                <w:spacing w:val="-5"/>
                <w:sz w:val="24"/>
                <w:szCs w:val="20"/>
              </w:rPr>
              <w:t>Immunity disease</w:t>
            </w:r>
          </w:p>
        </w:tc>
        <w:tc>
          <w:tcPr>
            <w:tcW w:w="2160" w:type="dxa"/>
          </w:tcPr>
          <w:p w14:paraId="5E159163" w14:textId="77777777" w:rsidR="007324D3" w:rsidRPr="007324D3" w:rsidRDefault="007324D3" w:rsidP="007324D3">
            <w:pPr>
              <w:pStyle w:val="TableParagraph"/>
              <w:spacing w:line="310" w:lineRule="exact"/>
              <w:ind w:left="4" w:right="1"/>
              <w:jc w:val="center"/>
              <w:rPr>
                <w:spacing w:val="-5"/>
                <w:sz w:val="24"/>
                <w:szCs w:val="20"/>
              </w:rPr>
            </w:pPr>
            <w:r w:rsidRPr="007324D3">
              <w:rPr>
                <w:spacing w:val="-5"/>
                <w:sz w:val="24"/>
                <w:szCs w:val="20"/>
              </w:rPr>
              <w:t>0</w:t>
            </w:r>
          </w:p>
        </w:tc>
        <w:tc>
          <w:tcPr>
            <w:tcW w:w="2200" w:type="dxa"/>
          </w:tcPr>
          <w:p w14:paraId="7C777288" w14:textId="77777777" w:rsidR="007324D3" w:rsidRPr="007324D3" w:rsidRDefault="007324D3" w:rsidP="007324D3">
            <w:pPr>
              <w:pStyle w:val="TableParagraph"/>
              <w:spacing w:line="310" w:lineRule="exact"/>
              <w:ind w:left="4" w:right="4"/>
              <w:jc w:val="center"/>
              <w:rPr>
                <w:spacing w:val="-5"/>
                <w:sz w:val="24"/>
                <w:szCs w:val="20"/>
              </w:rPr>
            </w:pPr>
            <w:r w:rsidRPr="007324D3">
              <w:rPr>
                <w:spacing w:val="-5"/>
                <w:sz w:val="24"/>
                <w:szCs w:val="20"/>
              </w:rPr>
              <w:t>0%</w:t>
            </w:r>
          </w:p>
        </w:tc>
      </w:tr>
    </w:tbl>
    <w:p w14:paraId="5E8674E8" w14:textId="77777777" w:rsidR="00E4630F" w:rsidRDefault="00E4630F" w:rsidP="00DA1B0A">
      <w:pPr>
        <w:spacing w:after="0" w:line="360" w:lineRule="auto"/>
        <w:ind w:left="720"/>
        <w:jc w:val="both"/>
        <w:rPr>
          <w:rFonts w:ascii="Times New Roman" w:eastAsia="Calibri" w:hAnsi="Times New Roman" w:cs="Times New Roman"/>
          <w:b/>
          <w:bCs/>
          <w:sz w:val="24"/>
          <w:szCs w:val="24"/>
        </w:rPr>
      </w:pPr>
    </w:p>
    <w:p w14:paraId="673FD66C" w14:textId="77777777" w:rsidR="003362F1" w:rsidRDefault="007604CB" w:rsidP="00EE49B5">
      <w:pPr>
        <w:spacing w:after="0" w:line="360" w:lineRule="auto"/>
        <w:ind w:left="720"/>
        <w:jc w:val="both"/>
        <w:rPr>
          <w:rFonts w:ascii="Times New Roman" w:eastAsia="Calibri" w:hAnsi="Times New Roman" w:cs="Times New Roman"/>
          <w:b/>
          <w:bCs/>
          <w:sz w:val="24"/>
          <w:szCs w:val="24"/>
        </w:rPr>
      </w:pPr>
      <w:r w:rsidRPr="007604CB">
        <w:rPr>
          <w:rFonts w:ascii="Times New Roman" w:eastAsia="Calibri" w:hAnsi="Times New Roman" w:cs="Times New Roman"/>
          <w:b/>
          <w:bCs/>
          <w:sz w:val="24"/>
          <w:szCs w:val="24"/>
        </w:rPr>
        <w:t>Table 3. The compare the appearance of decoy cells and the cytopathic effect of polyomavirus (BK virus) among study groups.</w:t>
      </w:r>
    </w:p>
    <w:tbl>
      <w:tblPr>
        <w:tblStyle w:val="TableGrid"/>
        <w:tblW w:w="0" w:type="auto"/>
        <w:jc w:val="center"/>
        <w:tblLayout w:type="fixed"/>
        <w:tblLook w:val="01E0" w:firstRow="1" w:lastRow="1" w:firstColumn="1" w:lastColumn="1" w:noHBand="0" w:noVBand="0"/>
      </w:tblPr>
      <w:tblGrid>
        <w:gridCol w:w="2313"/>
        <w:gridCol w:w="1530"/>
        <w:gridCol w:w="1620"/>
        <w:gridCol w:w="1710"/>
      </w:tblGrid>
      <w:tr w:rsidR="003362F1" w:rsidRPr="005B18A4" w14:paraId="52204001" w14:textId="77777777" w:rsidTr="007604CB">
        <w:trPr>
          <w:trHeight w:val="56"/>
          <w:jc w:val="center"/>
        </w:trPr>
        <w:tc>
          <w:tcPr>
            <w:tcW w:w="2313" w:type="dxa"/>
            <w:vMerge w:val="restart"/>
          </w:tcPr>
          <w:p w14:paraId="1711EDE4" w14:textId="77777777" w:rsidR="003362F1" w:rsidRPr="003362F1" w:rsidRDefault="003362F1" w:rsidP="003362F1">
            <w:pPr>
              <w:pStyle w:val="TableParagraph"/>
              <w:spacing w:line="310" w:lineRule="exact"/>
              <w:ind w:right="1"/>
              <w:jc w:val="center"/>
              <w:rPr>
                <w:b/>
                <w:bCs/>
                <w:spacing w:val="-5"/>
                <w:sz w:val="24"/>
                <w:szCs w:val="20"/>
              </w:rPr>
            </w:pPr>
            <w:r>
              <w:rPr>
                <w:b/>
                <w:bCs/>
                <w:spacing w:val="-5"/>
                <w:sz w:val="24"/>
                <w:szCs w:val="20"/>
              </w:rPr>
              <w:t xml:space="preserve">Variables </w:t>
            </w:r>
          </w:p>
        </w:tc>
        <w:tc>
          <w:tcPr>
            <w:tcW w:w="3150" w:type="dxa"/>
            <w:gridSpan w:val="2"/>
          </w:tcPr>
          <w:p w14:paraId="25DFF296" w14:textId="77777777" w:rsidR="003362F1" w:rsidRPr="003362F1" w:rsidRDefault="003362F1" w:rsidP="003362F1">
            <w:pPr>
              <w:pStyle w:val="TableParagraph"/>
              <w:spacing w:line="310" w:lineRule="exact"/>
              <w:ind w:right="1"/>
              <w:jc w:val="center"/>
              <w:rPr>
                <w:b/>
                <w:bCs/>
                <w:spacing w:val="-5"/>
                <w:sz w:val="24"/>
                <w:szCs w:val="20"/>
              </w:rPr>
            </w:pPr>
            <w:r w:rsidRPr="003362F1">
              <w:rPr>
                <w:b/>
                <w:bCs/>
                <w:spacing w:val="-5"/>
                <w:sz w:val="24"/>
                <w:szCs w:val="20"/>
              </w:rPr>
              <w:t>Decoy cell</w:t>
            </w:r>
          </w:p>
        </w:tc>
        <w:tc>
          <w:tcPr>
            <w:tcW w:w="1710" w:type="dxa"/>
            <w:vMerge w:val="restart"/>
          </w:tcPr>
          <w:p w14:paraId="1B6A2528" w14:textId="77777777" w:rsidR="003362F1" w:rsidRPr="003362F1" w:rsidRDefault="003362F1" w:rsidP="003362F1">
            <w:pPr>
              <w:pStyle w:val="TableParagraph"/>
              <w:spacing w:line="310" w:lineRule="exact"/>
              <w:ind w:right="1"/>
              <w:jc w:val="center"/>
              <w:rPr>
                <w:b/>
                <w:bCs/>
                <w:spacing w:val="-5"/>
                <w:sz w:val="24"/>
                <w:szCs w:val="20"/>
              </w:rPr>
            </w:pPr>
            <w:r w:rsidRPr="003362F1">
              <w:rPr>
                <w:b/>
                <w:bCs/>
                <w:spacing w:val="-5"/>
                <w:sz w:val="24"/>
                <w:szCs w:val="20"/>
              </w:rPr>
              <w:t>Total</w:t>
            </w:r>
          </w:p>
        </w:tc>
      </w:tr>
      <w:tr w:rsidR="003362F1" w:rsidRPr="005B18A4" w14:paraId="3EC4FACD" w14:textId="77777777" w:rsidTr="007604CB">
        <w:trPr>
          <w:trHeight w:val="56"/>
          <w:jc w:val="center"/>
        </w:trPr>
        <w:tc>
          <w:tcPr>
            <w:tcW w:w="2313" w:type="dxa"/>
            <w:vMerge/>
          </w:tcPr>
          <w:p w14:paraId="3A44435A" w14:textId="77777777" w:rsidR="003362F1" w:rsidRPr="005B18A4" w:rsidRDefault="003362F1" w:rsidP="003362F1">
            <w:pPr>
              <w:rPr>
                <w:sz w:val="24"/>
                <w:szCs w:val="20"/>
              </w:rPr>
            </w:pPr>
          </w:p>
        </w:tc>
        <w:tc>
          <w:tcPr>
            <w:tcW w:w="1530" w:type="dxa"/>
          </w:tcPr>
          <w:p w14:paraId="67D89721" w14:textId="77777777" w:rsidR="003362F1" w:rsidRPr="003362F1" w:rsidRDefault="003362F1" w:rsidP="003362F1">
            <w:pPr>
              <w:pStyle w:val="TableParagraph"/>
              <w:spacing w:line="310" w:lineRule="exact"/>
              <w:ind w:right="1"/>
              <w:jc w:val="center"/>
              <w:rPr>
                <w:b/>
                <w:bCs/>
                <w:spacing w:val="-5"/>
                <w:sz w:val="24"/>
                <w:szCs w:val="20"/>
              </w:rPr>
            </w:pPr>
            <w:r w:rsidRPr="003362F1">
              <w:rPr>
                <w:b/>
                <w:bCs/>
                <w:spacing w:val="-5"/>
                <w:sz w:val="24"/>
                <w:szCs w:val="20"/>
              </w:rPr>
              <w:t>Absent</w:t>
            </w:r>
          </w:p>
        </w:tc>
        <w:tc>
          <w:tcPr>
            <w:tcW w:w="1620" w:type="dxa"/>
          </w:tcPr>
          <w:p w14:paraId="7B2AB91B" w14:textId="77777777" w:rsidR="003362F1" w:rsidRPr="003362F1" w:rsidRDefault="003362F1" w:rsidP="003362F1">
            <w:pPr>
              <w:pStyle w:val="TableParagraph"/>
              <w:spacing w:line="310" w:lineRule="exact"/>
              <w:ind w:right="1"/>
              <w:jc w:val="center"/>
              <w:rPr>
                <w:b/>
                <w:bCs/>
                <w:spacing w:val="-5"/>
                <w:sz w:val="24"/>
                <w:szCs w:val="20"/>
              </w:rPr>
            </w:pPr>
            <w:r w:rsidRPr="003362F1">
              <w:rPr>
                <w:b/>
                <w:bCs/>
                <w:spacing w:val="-5"/>
                <w:sz w:val="24"/>
                <w:szCs w:val="20"/>
              </w:rPr>
              <w:t>present</w:t>
            </w:r>
          </w:p>
        </w:tc>
        <w:tc>
          <w:tcPr>
            <w:tcW w:w="1710" w:type="dxa"/>
            <w:vMerge/>
          </w:tcPr>
          <w:p w14:paraId="310C4522" w14:textId="77777777" w:rsidR="003362F1" w:rsidRPr="003362F1" w:rsidRDefault="003362F1" w:rsidP="003362F1">
            <w:pPr>
              <w:spacing w:line="310" w:lineRule="exact"/>
              <w:ind w:right="1"/>
              <w:rPr>
                <w:rFonts w:ascii="Times New Roman" w:eastAsia="Times New Roman" w:hAnsi="Times New Roman" w:cs="Times New Roman"/>
                <w:spacing w:val="-5"/>
                <w:sz w:val="24"/>
                <w:szCs w:val="20"/>
              </w:rPr>
            </w:pPr>
          </w:p>
        </w:tc>
      </w:tr>
      <w:tr w:rsidR="003362F1" w:rsidRPr="005B18A4" w14:paraId="17A89FED" w14:textId="77777777" w:rsidTr="007604CB">
        <w:trPr>
          <w:trHeight w:val="56"/>
          <w:jc w:val="center"/>
        </w:trPr>
        <w:tc>
          <w:tcPr>
            <w:tcW w:w="2313" w:type="dxa"/>
          </w:tcPr>
          <w:p w14:paraId="25D64EF6" w14:textId="77777777" w:rsidR="003362F1" w:rsidRPr="003362F1" w:rsidRDefault="003362F1" w:rsidP="003362F1">
            <w:pPr>
              <w:pStyle w:val="TableParagraph"/>
              <w:spacing w:line="310" w:lineRule="exact"/>
              <w:ind w:right="1"/>
              <w:rPr>
                <w:spacing w:val="-5"/>
                <w:sz w:val="24"/>
                <w:szCs w:val="20"/>
              </w:rPr>
            </w:pPr>
            <w:r>
              <w:rPr>
                <w:spacing w:val="-5"/>
                <w:sz w:val="24"/>
                <w:szCs w:val="20"/>
              </w:rPr>
              <w:t>H</w:t>
            </w:r>
            <w:r w:rsidRPr="003362F1">
              <w:rPr>
                <w:spacing w:val="-5"/>
                <w:sz w:val="24"/>
                <w:szCs w:val="20"/>
              </w:rPr>
              <w:t>ealthy</w:t>
            </w:r>
          </w:p>
        </w:tc>
        <w:tc>
          <w:tcPr>
            <w:tcW w:w="1530" w:type="dxa"/>
          </w:tcPr>
          <w:p w14:paraId="299FE798"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15</w:t>
            </w:r>
          </w:p>
        </w:tc>
        <w:tc>
          <w:tcPr>
            <w:tcW w:w="1620" w:type="dxa"/>
          </w:tcPr>
          <w:p w14:paraId="76847CD8"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0</w:t>
            </w:r>
          </w:p>
        </w:tc>
        <w:tc>
          <w:tcPr>
            <w:tcW w:w="1710" w:type="dxa"/>
          </w:tcPr>
          <w:p w14:paraId="53B66760"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15</w:t>
            </w:r>
          </w:p>
        </w:tc>
      </w:tr>
      <w:tr w:rsidR="003362F1" w:rsidRPr="005B18A4" w14:paraId="2B806F28" w14:textId="77777777" w:rsidTr="007604CB">
        <w:trPr>
          <w:trHeight w:val="185"/>
          <w:jc w:val="center"/>
        </w:trPr>
        <w:tc>
          <w:tcPr>
            <w:tcW w:w="2313" w:type="dxa"/>
          </w:tcPr>
          <w:p w14:paraId="3B0BF69A" w14:textId="77777777" w:rsidR="003362F1" w:rsidRPr="003362F1" w:rsidRDefault="003362F1" w:rsidP="003362F1">
            <w:pPr>
              <w:pStyle w:val="TableParagraph"/>
              <w:ind w:right="1"/>
              <w:rPr>
                <w:spacing w:val="-5"/>
                <w:sz w:val="24"/>
                <w:szCs w:val="20"/>
              </w:rPr>
            </w:pPr>
            <w:r w:rsidRPr="003362F1">
              <w:rPr>
                <w:spacing w:val="-5"/>
                <w:sz w:val="24"/>
                <w:szCs w:val="20"/>
              </w:rPr>
              <w:lastRenderedPageBreak/>
              <w:t>Benign prostatic</w:t>
            </w:r>
          </w:p>
        </w:tc>
        <w:tc>
          <w:tcPr>
            <w:tcW w:w="1530" w:type="dxa"/>
          </w:tcPr>
          <w:p w14:paraId="550051ED" w14:textId="77777777" w:rsidR="003362F1" w:rsidRPr="003362F1" w:rsidRDefault="003362F1" w:rsidP="003362F1">
            <w:pPr>
              <w:pStyle w:val="TableParagraph"/>
              <w:spacing w:before="70"/>
              <w:ind w:right="1"/>
              <w:jc w:val="center"/>
              <w:rPr>
                <w:spacing w:val="-5"/>
                <w:sz w:val="24"/>
                <w:szCs w:val="20"/>
              </w:rPr>
            </w:pPr>
            <w:r w:rsidRPr="003362F1">
              <w:rPr>
                <w:spacing w:val="-5"/>
                <w:sz w:val="24"/>
                <w:szCs w:val="20"/>
              </w:rPr>
              <w:t>9</w:t>
            </w:r>
          </w:p>
        </w:tc>
        <w:tc>
          <w:tcPr>
            <w:tcW w:w="1620" w:type="dxa"/>
          </w:tcPr>
          <w:p w14:paraId="0853E517" w14:textId="77777777" w:rsidR="003362F1" w:rsidRPr="003362F1" w:rsidRDefault="003362F1" w:rsidP="003362F1">
            <w:pPr>
              <w:pStyle w:val="TableParagraph"/>
              <w:spacing w:before="70"/>
              <w:ind w:right="1"/>
              <w:jc w:val="center"/>
              <w:rPr>
                <w:spacing w:val="-5"/>
                <w:sz w:val="24"/>
                <w:szCs w:val="20"/>
              </w:rPr>
            </w:pPr>
            <w:r w:rsidRPr="003362F1">
              <w:rPr>
                <w:spacing w:val="-5"/>
                <w:sz w:val="24"/>
                <w:szCs w:val="20"/>
              </w:rPr>
              <w:t>6</w:t>
            </w:r>
          </w:p>
        </w:tc>
        <w:tc>
          <w:tcPr>
            <w:tcW w:w="1710" w:type="dxa"/>
          </w:tcPr>
          <w:p w14:paraId="15885DBA" w14:textId="77777777" w:rsidR="003362F1" w:rsidRPr="003362F1" w:rsidRDefault="003362F1" w:rsidP="003362F1">
            <w:pPr>
              <w:pStyle w:val="TableParagraph"/>
              <w:spacing w:before="70"/>
              <w:ind w:right="1"/>
              <w:jc w:val="center"/>
              <w:rPr>
                <w:spacing w:val="-5"/>
                <w:sz w:val="24"/>
                <w:szCs w:val="20"/>
              </w:rPr>
            </w:pPr>
            <w:r w:rsidRPr="003362F1">
              <w:rPr>
                <w:spacing w:val="-5"/>
                <w:sz w:val="24"/>
                <w:szCs w:val="20"/>
              </w:rPr>
              <w:t>15</w:t>
            </w:r>
          </w:p>
        </w:tc>
      </w:tr>
      <w:tr w:rsidR="003362F1" w:rsidRPr="005B18A4" w14:paraId="20CEB843" w14:textId="77777777" w:rsidTr="007604CB">
        <w:trPr>
          <w:trHeight w:val="56"/>
          <w:jc w:val="center"/>
        </w:trPr>
        <w:tc>
          <w:tcPr>
            <w:tcW w:w="2313" w:type="dxa"/>
          </w:tcPr>
          <w:p w14:paraId="7935090D" w14:textId="77777777" w:rsidR="003362F1" w:rsidRPr="003362F1" w:rsidRDefault="003362F1" w:rsidP="003362F1">
            <w:pPr>
              <w:pStyle w:val="TableParagraph"/>
              <w:spacing w:line="310" w:lineRule="exact"/>
              <w:ind w:right="1"/>
              <w:rPr>
                <w:spacing w:val="-5"/>
                <w:sz w:val="24"/>
                <w:szCs w:val="20"/>
              </w:rPr>
            </w:pPr>
            <w:r w:rsidRPr="003362F1">
              <w:rPr>
                <w:spacing w:val="-5"/>
                <w:sz w:val="24"/>
                <w:szCs w:val="20"/>
              </w:rPr>
              <w:t>Prostate cancer</w:t>
            </w:r>
          </w:p>
        </w:tc>
        <w:tc>
          <w:tcPr>
            <w:tcW w:w="1530" w:type="dxa"/>
          </w:tcPr>
          <w:p w14:paraId="02A9286B" w14:textId="77777777" w:rsidR="003362F1" w:rsidRPr="003362F1" w:rsidRDefault="003362F1" w:rsidP="003362F1">
            <w:pPr>
              <w:pStyle w:val="TableParagraph"/>
              <w:spacing w:before="69" w:line="310" w:lineRule="exact"/>
              <w:ind w:right="1"/>
              <w:jc w:val="center"/>
              <w:rPr>
                <w:spacing w:val="-5"/>
                <w:sz w:val="24"/>
                <w:szCs w:val="20"/>
              </w:rPr>
            </w:pPr>
            <w:r w:rsidRPr="003362F1">
              <w:rPr>
                <w:spacing w:val="-5"/>
                <w:sz w:val="24"/>
                <w:szCs w:val="20"/>
              </w:rPr>
              <w:t>2</w:t>
            </w:r>
          </w:p>
        </w:tc>
        <w:tc>
          <w:tcPr>
            <w:tcW w:w="1620" w:type="dxa"/>
          </w:tcPr>
          <w:p w14:paraId="2E804B8B" w14:textId="77777777" w:rsidR="003362F1" w:rsidRPr="003362F1" w:rsidRDefault="003362F1" w:rsidP="003362F1">
            <w:pPr>
              <w:pStyle w:val="TableParagraph"/>
              <w:spacing w:before="69" w:line="310" w:lineRule="exact"/>
              <w:ind w:right="1"/>
              <w:jc w:val="center"/>
              <w:rPr>
                <w:spacing w:val="-5"/>
                <w:sz w:val="24"/>
                <w:szCs w:val="20"/>
              </w:rPr>
            </w:pPr>
            <w:r w:rsidRPr="003362F1">
              <w:rPr>
                <w:spacing w:val="-5"/>
                <w:sz w:val="24"/>
                <w:szCs w:val="20"/>
              </w:rPr>
              <w:t>13</w:t>
            </w:r>
          </w:p>
        </w:tc>
        <w:tc>
          <w:tcPr>
            <w:tcW w:w="1710" w:type="dxa"/>
          </w:tcPr>
          <w:p w14:paraId="0ADECF98" w14:textId="77777777" w:rsidR="003362F1" w:rsidRPr="003362F1" w:rsidRDefault="003362F1" w:rsidP="003362F1">
            <w:pPr>
              <w:pStyle w:val="TableParagraph"/>
              <w:spacing w:before="69" w:line="310" w:lineRule="exact"/>
              <w:ind w:right="1"/>
              <w:jc w:val="center"/>
              <w:rPr>
                <w:spacing w:val="-5"/>
                <w:sz w:val="24"/>
                <w:szCs w:val="20"/>
              </w:rPr>
            </w:pPr>
            <w:r w:rsidRPr="003362F1">
              <w:rPr>
                <w:spacing w:val="-5"/>
                <w:sz w:val="24"/>
                <w:szCs w:val="20"/>
              </w:rPr>
              <w:t>15</w:t>
            </w:r>
          </w:p>
        </w:tc>
      </w:tr>
      <w:tr w:rsidR="003362F1" w:rsidRPr="005B18A4" w14:paraId="25933479" w14:textId="77777777" w:rsidTr="007604CB">
        <w:trPr>
          <w:trHeight w:val="56"/>
          <w:jc w:val="center"/>
        </w:trPr>
        <w:tc>
          <w:tcPr>
            <w:tcW w:w="2313" w:type="dxa"/>
          </w:tcPr>
          <w:p w14:paraId="357FA51A"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Total</w:t>
            </w:r>
          </w:p>
        </w:tc>
        <w:tc>
          <w:tcPr>
            <w:tcW w:w="1530" w:type="dxa"/>
          </w:tcPr>
          <w:p w14:paraId="7CEDAA36"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26</w:t>
            </w:r>
          </w:p>
        </w:tc>
        <w:tc>
          <w:tcPr>
            <w:tcW w:w="1620" w:type="dxa"/>
          </w:tcPr>
          <w:p w14:paraId="44A7DCAB"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19</w:t>
            </w:r>
          </w:p>
        </w:tc>
        <w:tc>
          <w:tcPr>
            <w:tcW w:w="1710" w:type="dxa"/>
          </w:tcPr>
          <w:p w14:paraId="76C95A1E" w14:textId="77777777" w:rsidR="003362F1" w:rsidRPr="003362F1" w:rsidRDefault="003362F1" w:rsidP="003362F1">
            <w:pPr>
              <w:pStyle w:val="TableParagraph"/>
              <w:spacing w:line="310" w:lineRule="exact"/>
              <w:ind w:right="1"/>
              <w:jc w:val="center"/>
              <w:rPr>
                <w:spacing w:val="-5"/>
                <w:sz w:val="24"/>
                <w:szCs w:val="20"/>
              </w:rPr>
            </w:pPr>
            <w:r w:rsidRPr="003362F1">
              <w:rPr>
                <w:spacing w:val="-5"/>
                <w:sz w:val="24"/>
                <w:szCs w:val="20"/>
              </w:rPr>
              <w:t>45</w:t>
            </w:r>
          </w:p>
        </w:tc>
      </w:tr>
    </w:tbl>
    <w:p w14:paraId="1B50DE4D" w14:textId="77777777" w:rsidR="00A17587" w:rsidRPr="00B54EAA" w:rsidRDefault="00DA1B0A" w:rsidP="00B54EAA">
      <w:pPr>
        <w:pStyle w:val="BodyText"/>
        <w:rPr>
          <w:i/>
          <w:iCs/>
          <w:sz w:val="24"/>
          <w:szCs w:val="24"/>
        </w:rPr>
      </w:pPr>
      <w:r>
        <w:rPr>
          <w:i/>
          <w:iCs/>
          <w:sz w:val="24"/>
          <w:szCs w:val="24"/>
        </w:rPr>
        <w:t xml:space="preserve">        </w:t>
      </w:r>
    </w:p>
    <w:p w14:paraId="086CE95F" w14:textId="77777777" w:rsidR="00B54EAA" w:rsidRDefault="00087BC2" w:rsidP="00B54EAA">
      <w:pPr>
        <w:spacing w:after="0" w:line="360" w:lineRule="auto"/>
        <w:ind w:left="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Table 4</w:t>
      </w:r>
      <w:r w:rsidR="00B54EAA">
        <w:rPr>
          <w:rFonts w:ascii="Times New Roman" w:eastAsia="Calibri" w:hAnsi="Times New Roman" w:cs="Times New Roman"/>
          <w:b/>
          <w:bCs/>
          <w:sz w:val="24"/>
          <w:szCs w:val="24"/>
        </w:rPr>
        <w:t xml:space="preserve">. </w:t>
      </w:r>
      <w:r w:rsidR="00B54EAA" w:rsidRPr="00B54EAA">
        <w:rPr>
          <w:rFonts w:ascii="Times New Roman" w:eastAsia="Calibri" w:hAnsi="Times New Roman" w:cs="Times New Roman"/>
          <w:b/>
          <w:bCs/>
          <w:sz w:val="24"/>
          <w:szCs w:val="24"/>
        </w:rPr>
        <w:t>The correlation between decoy cells in urine smear appearance and other cytomorphologi</w:t>
      </w:r>
      <w:r w:rsidR="00B54EAA">
        <w:rPr>
          <w:rFonts w:ascii="Times New Roman" w:eastAsia="Calibri" w:hAnsi="Times New Roman" w:cs="Times New Roman"/>
          <w:b/>
          <w:bCs/>
          <w:sz w:val="24"/>
          <w:szCs w:val="24"/>
        </w:rPr>
        <w:t>cal criteria among study groups.</w:t>
      </w:r>
    </w:p>
    <w:tbl>
      <w:tblPr>
        <w:tblStyle w:val="TableGrid"/>
        <w:tblW w:w="8160" w:type="dxa"/>
        <w:jc w:val="center"/>
        <w:tblLayout w:type="fixed"/>
        <w:tblLook w:val="01E0" w:firstRow="1" w:lastRow="1" w:firstColumn="1" w:lastColumn="1" w:noHBand="0" w:noVBand="0"/>
      </w:tblPr>
      <w:tblGrid>
        <w:gridCol w:w="2062"/>
        <w:gridCol w:w="1148"/>
        <w:gridCol w:w="1620"/>
        <w:gridCol w:w="1735"/>
        <w:gridCol w:w="1595"/>
      </w:tblGrid>
      <w:tr w:rsidR="00B54EAA" w:rsidRPr="005B18A4" w14:paraId="4C3FBABC" w14:textId="77777777" w:rsidTr="00990E06">
        <w:trPr>
          <w:trHeight w:val="56"/>
          <w:jc w:val="center"/>
        </w:trPr>
        <w:tc>
          <w:tcPr>
            <w:tcW w:w="2062" w:type="dxa"/>
            <w:vMerge w:val="restart"/>
          </w:tcPr>
          <w:p w14:paraId="55419A3B" w14:textId="77777777" w:rsidR="00B54EAA" w:rsidRPr="003362F1" w:rsidRDefault="00B54EAA" w:rsidP="00845D21">
            <w:pPr>
              <w:pStyle w:val="TableParagraph"/>
              <w:spacing w:line="310" w:lineRule="exact"/>
              <w:ind w:right="1"/>
              <w:jc w:val="center"/>
              <w:rPr>
                <w:b/>
                <w:bCs/>
                <w:spacing w:val="-5"/>
                <w:sz w:val="24"/>
                <w:szCs w:val="20"/>
              </w:rPr>
            </w:pPr>
            <w:r>
              <w:rPr>
                <w:b/>
                <w:bCs/>
                <w:spacing w:val="-5"/>
                <w:sz w:val="24"/>
                <w:szCs w:val="20"/>
              </w:rPr>
              <w:t xml:space="preserve">Variables </w:t>
            </w:r>
          </w:p>
        </w:tc>
        <w:tc>
          <w:tcPr>
            <w:tcW w:w="4503" w:type="dxa"/>
            <w:gridSpan w:val="3"/>
          </w:tcPr>
          <w:p w14:paraId="50C6B687" w14:textId="77777777" w:rsidR="00B54EAA" w:rsidRPr="003362F1" w:rsidRDefault="00B54EAA" w:rsidP="00845D21">
            <w:pPr>
              <w:pStyle w:val="TableParagraph"/>
              <w:spacing w:line="310" w:lineRule="exact"/>
              <w:ind w:right="1"/>
              <w:jc w:val="center"/>
              <w:rPr>
                <w:b/>
                <w:bCs/>
                <w:spacing w:val="-5"/>
                <w:sz w:val="24"/>
                <w:szCs w:val="20"/>
              </w:rPr>
            </w:pPr>
            <w:r w:rsidRPr="003362F1">
              <w:rPr>
                <w:b/>
                <w:bCs/>
                <w:spacing w:val="-5"/>
                <w:sz w:val="24"/>
                <w:szCs w:val="20"/>
              </w:rPr>
              <w:t>Decoy cell</w:t>
            </w:r>
          </w:p>
        </w:tc>
        <w:tc>
          <w:tcPr>
            <w:tcW w:w="1595" w:type="dxa"/>
            <w:vMerge w:val="restart"/>
          </w:tcPr>
          <w:p w14:paraId="725544DD" w14:textId="77777777" w:rsidR="00B54EAA" w:rsidRPr="00990E06" w:rsidRDefault="00990E06" w:rsidP="00845D21">
            <w:pPr>
              <w:pStyle w:val="TableParagraph"/>
              <w:spacing w:line="310" w:lineRule="exact"/>
              <w:ind w:right="1"/>
              <w:jc w:val="center"/>
              <w:rPr>
                <w:b/>
                <w:bCs/>
                <w:i/>
                <w:iCs/>
                <w:spacing w:val="-5"/>
                <w:sz w:val="24"/>
                <w:szCs w:val="20"/>
              </w:rPr>
            </w:pPr>
            <w:r w:rsidRPr="00990E06">
              <w:rPr>
                <w:b/>
                <w:bCs/>
                <w:i/>
                <w:iCs/>
                <w:spacing w:val="-5"/>
                <w:sz w:val="24"/>
                <w:szCs w:val="20"/>
              </w:rPr>
              <w:t xml:space="preserve">P. value </w:t>
            </w:r>
          </w:p>
        </w:tc>
      </w:tr>
      <w:tr w:rsidR="00B54EAA" w:rsidRPr="005B18A4" w14:paraId="181FBB4E" w14:textId="77777777" w:rsidTr="00990E06">
        <w:trPr>
          <w:trHeight w:val="56"/>
          <w:jc w:val="center"/>
        </w:trPr>
        <w:tc>
          <w:tcPr>
            <w:tcW w:w="2062" w:type="dxa"/>
            <w:vMerge/>
          </w:tcPr>
          <w:p w14:paraId="43EBA03A" w14:textId="77777777" w:rsidR="00B54EAA" w:rsidRPr="005B18A4" w:rsidRDefault="00B54EAA" w:rsidP="00B54EAA">
            <w:pPr>
              <w:rPr>
                <w:sz w:val="24"/>
                <w:szCs w:val="20"/>
              </w:rPr>
            </w:pPr>
          </w:p>
        </w:tc>
        <w:tc>
          <w:tcPr>
            <w:tcW w:w="1148" w:type="dxa"/>
          </w:tcPr>
          <w:p w14:paraId="416EBA6B" w14:textId="77777777" w:rsidR="00B54EAA" w:rsidRPr="00990E06" w:rsidRDefault="00B54EAA" w:rsidP="00B54EAA">
            <w:pPr>
              <w:pStyle w:val="TableParagraph"/>
              <w:spacing w:line="310" w:lineRule="exact"/>
              <w:ind w:right="1"/>
              <w:jc w:val="center"/>
              <w:rPr>
                <w:b/>
                <w:bCs/>
                <w:spacing w:val="-5"/>
                <w:sz w:val="24"/>
                <w:szCs w:val="20"/>
              </w:rPr>
            </w:pPr>
            <w:r w:rsidRPr="00990E06">
              <w:rPr>
                <w:b/>
                <w:bCs/>
                <w:spacing w:val="-5"/>
                <w:sz w:val="24"/>
                <w:szCs w:val="20"/>
              </w:rPr>
              <w:t>Healthy</w:t>
            </w:r>
          </w:p>
        </w:tc>
        <w:tc>
          <w:tcPr>
            <w:tcW w:w="1620" w:type="dxa"/>
          </w:tcPr>
          <w:p w14:paraId="4FF2838C" w14:textId="77777777" w:rsidR="00B54EAA" w:rsidRPr="00990E06" w:rsidRDefault="00B54EAA" w:rsidP="00B54EAA">
            <w:pPr>
              <w:pStyle w:val="TableParagraph"/>
              <w:spacing w:line="310" w:lineRule="exact"/>
              <w:ind w:right="1"/>
              <w:jc w:val="center"/>
              <w:rPr>
                <w:b/>
                <w:bCs/>
                <w:spacing w:val="-5"/>
                <w:sz w:val="24"/>
                <w:szCs w:val="20"/>
              </w:rPr>
            </w:pPr>
            <w:r w:rsidRPr="00990E06">
              <w:rPr>
                <w:b/>
                <w:bCs/>
                <w:spacing w:val="-5"/>
                <w:sz w:val="24"/>
                <w:szCs w:val="20"/>
              </w:rPr>
              <w:t>BPH</w:t>
            </w:r>
          </w:p>
        </w:tc>
        <w:tc>
          <w:tcPr>
            <w:tcW w:w="1735" w:type="dxa"/>
          </w:tcPr>
          <w:p w14:paraId="25AD622F" w14:textId="77777777" w:rsidR="00B54EAA" w:rsidRPr="00990E06" w:rsidRDefault="00B54EAA" w:rsidP="00B54EAA">
            <w:pPr>
              <w:pStyle w:val="TableParagraph"/>
              <w:spacing w:line="310" w:lineRule="exact"/>
              <w:ind w:right="1"/>
              <w:jc w:val="center"/>
              <w:rPr>
                <w:b/>
                <w:bCs/>
                <w:spacing w:val="-5"/>
                <w:sz w:val="24"/>
                <w:szCs w:val="20"/>
              </w:rPr>
            </w:pPr>
            <w:r w:rsidRPr="00990E06">
              <w:rPr>
                <w:b/>
                <w:bCs/>
                <w:spacing w:val="-5"/>
                <w:sz w:val="24"/>
                <w:szCs w:val="20"/>
              </w:rPr>
              <w:t>Prostate cancer</w:t>
            </w:r>
          </w:p>
        </w:tc>
        <w:tc>
          <w:tcPr>
            <w:tcW w:w="1595" w:type="dxa"/>
            <w:vMerge/>
          </w:tcPr>
          <w:p w14:paraId="079C7421" w14:textId="77777777" w:rsidR="00B54EAA" w:rsidRPr="003362F1" w:rsidRDefault="00B54EAA" w:rsidP="00B54EAA">
            <w:pPr>
              <w:spacing w:line="310" w:lineRule="exact"/>
              <w:ind w:right="1"/>
              <w:rPr>
                <w:rFonts w:ascii="Times New Roman" w:eastAsia="Times New Roman" w:hAnsi="Times New Roman" w:cs="Times New Roman"/>
                <w:spacing w:val="-5"/>
                <w:sz w:val="24"/>
                <w:szCs w:val="20"/>
              </w:rPr>
            </w:pPr>
          </w:p>
        </w:tc>
      </w:tr>
      <w:tr w:rsidR="00990E06" w:rsidRPr="005B18A4" w14:paraId="6965F190" w14:textId="77777777" w:rsidTr="00990E06">
        <w:trPr>
          <w:trHeight w:val="56"/>
          <w:jc w:val="center"/>
        </w:trPr>
        <w:tc>
          <w:tcPr>
            <w:tcW w:w="2062" w:type="dxa"/>
          </w:tcPr>
          <w:p w14:paraId="14616459" w14:textId="77777777" w:rsidR="00990E06" w:rsidRPr="00B54EAA" w:rsidRDefault="00990E06" w:rsidP="00990E06">
            <w:pPr>
              <w:pStyle w:val="TableParagraph"/>
              <w:spacing w:line="310" w:lineRule="exact"/>
              <w:ind w:right="1"/>
              <w:rPr>
                <w:spacing w:val="-5"/>
                <w:sz w:val="24"/>
                <w:szCs w:val="20"/>
              </w:rPr>
            </w:pPr>
            <w:r>
              <w:rPr>
                <w:spacing w:val="-5"/>
                <w:sz w:val="24"/>
                <w:szCs w:val="20"/>
              </w:rPr>
              <w:t>H</w:t>
            </w:r>
            <w:r w:rsidRPr="00B54EAA">
              <w:rPr>
                <w:spacing w:val="-5"/>
                <w:sz w:val="24"/>
                <w:szCs w:val="20"/>
              </w:rPr>
              <w:t>yperkeratosis</w:t>
            </w:r>
          </w:p>
        </w:tc>
        <w:tc>
          <w:tcPr>
            <w:tcW w:w="1148" w:type="dxa"/>
          </w:tcPr>
          <w:p w14:paraId="775368F8"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0%</w:t>
            </w:r>
          </w:p>
        </w:tc>
        <w:tc>
          <w:tcPr>
            <w:tcW w:w="1620" w:type="dxa"/>
          </w:tcPr>
          <w:p w14:paraId="55EEEC9A"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40%</w:t>
            </w:r>
          </w:p>
        </w:tc>
        <w:tc>
          <w:tcPr>
            <w:tcW w:w="1735" w:type="dxa"/>
          </w:tcPr>
          <w:p w14:paraId="49F7A92F"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46%</w:t>
            </w:r>
          </w:p>
        </w:tc>
        <w:tc>
          <w:tcPr>
            <w:tcW w:w="1595" w:type="dxa"/>
          </w:tcPr>
          <w:p w14:paraId="3D2256BA" w14:textId="77777777" w:rsidR="00990E06" w:rsidRPr="00990E06" w:rsidRDefault="00990E06" w:rsidP="00990E06">
            <w:pPr>
              <w:pStyle w:val="TableParagraph"/>
              <w:spacing w:line="310" w:lineRule="exact"/>
              <w:ind w:right="1"/>
              <w:jc w:val="center"/>
              <w:rPr>
                <w:spacing w:val="-5"/>
                <w:sz w:val="24"/>
                <w:szCs w:val="20"/>
              </w:rPr>
            </w:pPr>
            <w:r w:rsidRPr="00990E06">
              <w:rPr>
                <w:spacing w:val="-5"/>
                <w:sz w:val="24"/>
                <w:szCs w:val="20"/>
              </w:rPr>
              <w:t>0.014</w:t>
            </w:r>
          </w:p>
        </w:tc>
      </w:tr>
      <w:tr w:rsidR="00990E06" w:rsidRPr="005B18A4" w14:paraId="0507F575" w14:textId="77777777" w:rsidTr="00990E06">
        <w:trPr>
          <w:trHeight w:val="185"/>
          <w:jc w:val="center"/>
        </w:trPr>
        <w:tc>
          <w:tcPr>
            <w:tcW w:w="2062" w:type="dxa"/>
          </w:tcPr>
          <w:p w14:paraId="06F112E8" w14:textId="77777777" w:rsidR="00990E06" w:rsidRPr="00B54EAA" w:rsidRDefault="00990E06" w:rsidP="00990E06">
            <w:pPr>
              <w:pStyle w:val="TableParagraph"/>
              <w:spacing w:line="310" w:lineRule="exact"/>
              <w:ind w:right="1"/>
              <w:rPr>
                <w:spacing w:val="-5"/>
                <w:sz w:val="24"/>
                <w:szCs w:val="20"/>
              </w:rPr>
            </w:pPr>
            <w:r w:rsidRPr="00B54EAA">
              <w:rPr>
                <w:spacing w:val="-5"/>
                <w:sz w:val="24"/>
                <w:szCs w:val="20"/>
              </w:rPr>
              <w:t>Inflammatory</w:t>
            </w:r>
            <w:r>
              <w:rPr>
                <w:spacing w:val="-5"/>
                <w:sz w:val="24"/>
                <w:szCs w:val="20"/>
              </w:rPr>
              <w:t xml:space="preserve"> </w:t>
            </w:r>
            <w:r w:rsidRPr="00B54EAA">
              <w:rPr>
                <w:spacing w:val="-5"/>
                <w:sz w:val="24"/>
                <w:szCs w:val="20"/>
              </w:rPr>
              <w:t>cells</w:t>
            </w:r>
          </w:p>
        </w:tc>
        <w:tc>
          <w:tcPr>
            <w:tcW w:w="1148" w:type="dxa"/>
          </w:tcPr>
          <w:p w14:paraId="696F0FD7"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0%</w:t>
            </w:r>
          </w:p>
        </w:tc>
        <w:tc>
          <w:tcPr>
            <w:tcW w:w="1620" w:type="dxa"/>
          </w:tcPr>
          <w:p w14:paraId="64BFA8D5"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40%</w:t>
            </w:r>
          </w:p>
        </w:tc>
        <w:tc>
          <w:tcPr>
            <w:tcW w:w="1735" w:type="dxa"/>
          </w:tcPr>
          <w:p w14:paraId="27BCEBA4"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80%</w:t>
            </w:r>
          </w:p>
        </w:tc>
        <w:tc>
          <w:tcPr>
            <w:tcW w:w="1595" w:type="dxa"/>
          </w:tcPr>
          <w:p w14:paraId="15A8BA83" w14:textId="77777777" w:rsidR="00990E06" w:rsidRPr="00990E06" w:rsidRDefault="00990E06" w:rsidP="00990E06">
            <w:pPr>
              <w:pStyle w:val="TableParagraph"/>
              <w:spacing w:line="310" w:lineRule="exact"/>
              <w:ind w:right="1"/>
              <w:jc w:val="center"/>
              <w:rPr>
                <w:spacing w:val="-5"/>
                <w:sz w:val="24"/>
                <w:szCs w:val="20"/>
              </w:rPr>
            </w:pPr>
            <w:r w:rsidRPr="00990E06">
              <w:rPr>
                <w:spacing w:val="-5"/>
                <w:sz w:val="24"/>
                <w:szCs w:val="20"/>
              </w:rPr>
              <w:t>0.00</w:t>
            </w:r>
          </w:p>
        </w:tc>
      </w:tr>
      <w:tr w:rsidR="00990E06" w:rsidRPr="005B18A4" w14:paraId="7CBB868F" w14:textId="77777777" w:rsidTr="00990E06">
        <w:trPr>
          <w:trHeight w:val="56"/>
          <w:jc w:val="center"/>
        </w:trPr>
        <w:tc>
          <w:tcPr>
            <w:tcW w:w="2062" w:type="dxa"/>
          </w:tcPr>
          <w:p w14:paraId="1D603005" w14:textId="77777777" w:rsidR="00990E06" w:rsidRPr="00B54EAA" w:rsidRDefault="00990E06" w:rsidP="00990E06">
            <w:pPr>
              <w:pStyle w:val="TableParagraph"/>
              <w:spacing w:line="310" w:lineRule="exact"/>
              <w:ind w:right="1"/>
              <w:rPr>
                <w:spacing w:val="-5"/>
                <w:sz w:val="24"/>
                <w:szCs w:val="20"/>
              </w:rPr>
            </w:pPr>
            <w:r w:rsidRPr="00B54EAA">
              <w:rPr>
                <w:spacing w:val="-5"/>
                <w:sz w:val="24"/>
                <w:szCs w:val="20"/>
              </w:rPr>
              <w:t>Bacterial infection</w:t>
            </w:r>
          </w:p>
        </w:tc>
        <w:tc>
          <w:tcPr>
            <w:tcW w:w="1148" w:type="dxa"/>
          </w:tcPr>
          <w:p w14:paraId="0E1EF13B"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0%</w:t>
            </w:r>
          </w:p>
        </w:tc>
        <w:tc>
          <w:tcPr>
            <w:tcW w:w="1620" w:type="dxa"/>
          </w:tcPr>
          <w:p w14:paraId="54192DDD"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40%</w:t>
            </w:r>
          </w:p>
        </w:tc>
        <w:tc>
          <w:tcPr>
            <w:tcW w:w="1735" w:type="dxa"/>
          </w:tcPr>
          <w:p w14:paraId="6501516C" w14:textId="77777777" w:rsidR="00990E06" w:rsidRPr="00B54EAA" w:rsidRDefault="00990E06" w:rsidP="00990E06">
            <w:pPr>
              <w:pStyle w:val="TableParagraph"/>
              <w:spacing w:line="310" w:lineRule="exact"/>
              <w:ind w:right="1"/>
              <w:jc w:val="center"/>
              <w:rPr>
                <w:spacing w:val="-5"/>
                <w:sz w:val="24"/>
                <w:szCs w:val="20"/>
              </w:rPr>
            </w:pPr>
            <w:r w:rsidRPr="00B54EAA">
              <w:rPr>
                <w:spacing w:val="-5"/>
                <w:sz w:val="24"/>
                <w:szCs w:val="20"/>
              </w:rPr>
              <w:t>73%</w:t>
            </w:r>
          </w:p>
        </w:tc>
        <w:tc>
          <w:tcPr>
            <w:tcW w:w="1595" w:type="dxa"/>
          </w:tcPr>
          <w:p w14:paraId="7E9D89C7" w14:textId="77777777" w:rsidR="00990E06" w:rsidRPr="00990E06" w:rsidRDefault="00990E06" w:rsidP="00990E06">
            <w:pPr>
              <w:pStyle w:val="TableParagraph"/>
              <w:spacing w:line="310" w:lineRule="exact"/>
              <w:ind w:right="1"/>
              <w:jc w:val="center"/>
              <w:rPr>
                <w:spacing w:val="-5"/>
                <w:sz w:val="24"/>
                <w:szCs w:val="20"/>
              </w:rPr>
            </w:pPr>
            <w:r w:rsidRPr="00990E06">
              <w:rPr>
                <w:spacing w:val="-5"/>
                <w:sz w:val="24"/>
                <w:szCs w:val="20"/>
              </w:rPr>
              <w:t>0.00</w:t>
            </w:r>
          </w:p>
        </w:tc>
      </w:tr>
    </w:tbl>
    <w:p w14:paraId="4126121D" w14:textId="77777777" w:rsidR="00DA1B0A" w:rsidRDefault="00DA1B0A" w:rsidP="0091587E">
      <w:pPr>
        <w:spacing w:after="0" w:line="360" w:lineRule="auto"/>
        <w:jc w:val="both"/>
        <w:rPr>
          <w:rFonts w:ascii="Times New Roman" w:eastAsia="Calibri" w:hAnsi="Times New Roman" w:cs="Times New Roman"/>
          <w:b/>
          <w:bCs/>
          <w:sz w:val="24"/>
          <w:szCs w:val="24"/>
        </w:rPr>
      </w:pPr>
    </w:p>
    <w:p w14:paraId="6C91A73E" w14:textId="77777777" w:rsidR="00C171A0" w:rsidRDefault="00DA1B0A" w:rsidP="00C171A0">
      <w:pPr>
        <w:spacing w:after="0" w:line="360" w:lineRule="auto"/>
        <w:ind w:firstLine="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Table 5</w:t>
      </w:r>
      <w:r w:rsidR="00C171A0">
        <w:rPr>
          <w:rFonts w:ascii="Times New Roman" w:eastAsia="Calibri" w:hAnsi="Times New Roman" w:cs="Times New Roman"/>
          <w:b/>
          <w:bCs/>
          <w:sz w:val="24"/>
          <w:szCs w:val="24"/>
        </w:rPr>
        <w:t xml:space="preserve">. </w:t>
      </w:r>
      <w:r w:rsidR="00C171A0" w:rsidRPr="00C171A0">
        <w:rPr>
          <w:rFonts w:ascii="Times New Roman" w:eastAsia="Calibri" w:hAnsi="Times New Roman" w:cs="Times New Roman"/>
          <w:b/>
          <w:bCs/>
          <w:sz w:val="24"/>
          <w:szCs w:val="24"/>
        </w:rPr>
        <w:t>The correlation between decoy cell appearance and the clinical data among study groups.</w:t>
      </w:r>
    </w:p>
    <w:tbl>
      <w:tblPr>
        <w:tblStyle w:val="TableGrid"/>
        <w:tblpPr w:leftFromText="180" w:rightFromText="180" w:vertAnchor="text" w:horzAnchor="margin" w:tblpXSpec="center" w:tblpY="111"/>
        <w:tblW w:w="8160" w:type="dxa"/>
        <w:tblLayout w:type="fixed"/>
        <w:tblLook w:val="01E0" w:firstRow="1" w:lastRow="1" w:firstColumn="1" w:lastColumn="1" w:noHBand="0" w:noVBand="0"/>
      </w:tblPr>
      <w:tblGrid>
        <w:gridCol w:w="2062"/>
        <w:gridCol w:w="1148"/>
        <w:gridCol w:w="1620"/>
        <w:gridCol w:w="1735"/>
        <w:gridCol w:w="1595"/>
      </w:tblGrid>
      <w:tr w:rsidR="00C171A0" w:rsidRPr="005B18A4" w14:paraId="54EC7B04" w14:textId="77777777" w:rsidTr="00C171A0">
        <w:trPr>
          <w:trHeight w:val="56"/>
        </w:trPr>
        <w:tc>
          <w:tcPr>
            <w:tcW w:w="2062" w:type="dxa"/>
            <w:vMerge w:val="restart"/>
          </w:tcPr>
          <w:p w14:paraId="2AC9E505" w14:textId="77777777" w:rsidR="00C171A0" w:rsidRPr="003362F1" w:rsidRDefault="00C171A0" w:rsidP="00C171A0">
            <w:pPr>
              <w:pStyle w:val="TableParagraph"/>
              <w:spacing w:line="310" w:lineRule="exact"/>
              <w:ind w:right="1"/>
              <w:jc w:val="center"/>
              <w:rPr>
                <w:b/>
                <w:bCs/>
                <w:spacing w:val="-5"/>
                <w:sz w:val="24"/>
                <w:szCs w:val="20"/>
              </w:rPr>
            </w:pPr>
            <w:r>
              <w:rPr>
                <w:b/>
                <w:bCs/>
                <w:spacing w:val="-5"/>
                <w:sz w:val="24"/>
                <w:szCs w:val="20"/>
              </w:rPr>
              <w:t xml:space="preserve">Variables </w:t>
            </w:r>
          </w:p>
        </w:tc>
        <w:tc>
          <w:tcPr>
            <w:tcW w:w="4503" w:type="dxa"/>
            <w:gridSpan w:val="3"/>
          </w:tcPr>
          <w:p w14:paraId="1E63AF16" w14:textId="77777777" w:rsidR="00C171A0" w:rsidRPr="003362F1" w:rsidRDefault="00C171A0" w:rsidP="00C171A0">
            <w:pPr>
              <w:pStyle w:val="TableParagraph"/>
              <w:spacing w:line="310" w:lineRule="exact"/>
              <w:ind w:right="1"/>
              <w:jc w:val="center"/>
              <w:rPr>
                <w:b/>
                <w:bCs/>
                <w:spacing w:val="-5"/>
                <w:sz w:val="24"/>
                <w:szCs w:val="20"/>
              </w:rPr>
            </w:pPr>
            <w:r w:rsidRPr="003362F1">
              <w:rPr>
                <w:b/>
                <w:bCs/>
                <w:spacing w:val="-5"/>
                <w:sz w:val="24"/>
                <w:szCs w:val="20"/>
              </w:rPr>
              <w:t>Decoy cell</w:t>
            </w:r>
          </w:p>
        </w:tc>
        <w:tc>
          <w:tcPr>
            <w:tcW w:w="1595" w:type="dxa"/>
            <w:vMerge w:val="restart"/>
          </w:tcPr>
          <w:p w14:paraId="7140904B" w14:textId="77777777" w:rsidR="00C171A0" w:rsidRPr="00990E06" w:rsidRDefault="00C171A0" w:rsidP="00C171A0">
            <w:pPr>
              <w:pStyle w:val="TableParagraph"/>
              <w:spacing w:line="310" w:lineRule="exact"/>
              <w:ind w:right="1"/>
              <w:jc w:val="center"/>
              <w:rPr>
                <w:b/>
                <w:bCs/>
                <w:i/>
                <w:iCs/>
                <w:spacing w:val="-5"/>
                <w:sz w:val="24"/>
                <w:szCs w:val="20"/>
              </w:rPr>
            </w:pPr>
            <w:r w:rsidRPr="00990E06">
              <w:rPr>
                <w:b/>
                <w:bCs/>
                <w:i/>
                <w:iCs/>
                <w:spacing w:val="-5"/>
                <w:sz w:val="24"/>
                <w:szCs w:val="20"/>
              </w:rPr>
              <w:t xml:space="preserve">P. value </w:t>
            </w:r>
          </w:p>
        </w:tc>
      </w:tr>
      <w:tr w:rsidR="00C171A0" w:rsidRPr="005B18A4" w14:paraId="3B554F6D" w14:textId="77777777" w:rsidTr="00C171A0">
        <w:trPr>
          <w:trHeight w:val="56"/>
        </w:trPr>
        <w:tc>
          <w:tcPr>
            <w:tcW w:w="2062" w:type="dxa"/>
            <w:vMerge/>
          </w:tcPr>
          <w:p w14:paraId="0F382657" w14:textId="77777777" w:rsidR="00C171A0" w:rsidRPr="005B18A4" w:rsidRDefault="00C171A0" w:rsidP="00C171A0">
            <w:pPr>
              <w:rPr>
                <w:sz w:val="24"/>
                <w:szCs w:val="20"/>
              </w:rPr>
            </w:pPr>
          </w:p>
        </w:tc>
        <w:tc>
          <w:tcPr>
            <w:tcW w:w="1148" w:type="dxa"/>
          </w:tcPr>
          <w:p w14:paraId="7823A1EE" w14:textId="77777777" w:rsidR="00C171A0" w:rsidRPr="00990E06" w:rsidRDefault="00C171A0" w:rsidP="00C171A0">
            <w:pPr>
              <w:pStyle w:val="TableParagraph"/>
              <w:spacing w:line="310" w:lineRule="exact"/>
              <w:ind w:right="1"/>
              <w:jc w:val="center"/>
              <w:rPr>
                <w:b/>
                <w:bCs/>
                <w:spacing w:val="-5"/>
                <w:sz w:val="24"/>
                <w:szCs w:val="20"/>
              </w:rPr>
            </w:pPr>
            <w:r w:rsidRPr="00990E06">
              <w:rPr>
                <w:b/>
                <w:bCs/>
                <w:spacing w:val="-5"/>
                <w:sz w:val="24"/>
                <w:szCs w:val="20"/>
              </w:rPr>
              <w:t>Healthy</w:t>
            </w:r>
          </w:p>
        </w:tc>
        <w:tc>
          <w:tcPr>
            <w:tcW w:w="1620" w:type="dxa"/>
          </w:tcPr>
          <w:p w14:paraId="0A082EDC" w14:textId="77777777" w:rsidR="00C171A0" w:rsidRPr="00990E06" w:rsidRDefault="00C171A0" w:rsidP="00C171A0">
            <w:pPr>
              <w:pStyle w:val="TableParagraph"/>
              <w:spacing w:line="310" w:lineRule="exact"/>
              <w:ind w:right="1"/>
              <w:jc w:val="center"/>
              <w:rPr>
                <w:b/>
                <w:bCs/>
                <w:spacing w:val="-5"/>
                <w:sz w:val="24"/>
                <w:szCs w:val="20"/>
              </w:rPr>
            </w:pPr>
            <w:r w:rsidRPr="00990E06">
              <w:rPr>
                <w:b/>
                <w:bCs/>
                <w:spacing w:val="-5"/>
                <w:sz w:val="24"/>
                <w:szCs w:val="20"/>
              </w:rPr>
              <w:t>BPH</w:t>
            </w:r>
          </w:p>
        </w:tc>
        <w:tc>
          <w:tcPr>
            <w:tcW w:w="1735" w:type="dxa"/>
          </w:tcPr>
          <w:p w14:paraId="76FA6A16" w14:textId="77777777" w:rsidR="00C171A0" w:rsidRPr="00990E06" w:rsidRDefault="00C171A0" w:rsidP="00C171A0">
            <w:pPr>
              <w:pStyle w:val="TableParagraph"/>
              <w:spacing w:line="310" w:lineRule="exact"/>
              <w:ind w:right="1"/>
              <w:jc w:val="center"/>
              <w:rPr>
                <w:b/>
                <w:bCs/>
                <w:spacing w:val="-5"/>
                <w:sz w:val="24"/>
                <w:szCs w:val="20"/>
              </w:rPr>
            </w:pPr>
            <w:r w:rsidRPr="00990E06">
              <w:rPr>
                <w:b/>
                <w:bCs/>
                <w:spacing w:val="-5"/>
                <w:sz w:val="24"/>
                <w:szCs w:val="20"/>
              </w:rPr>
              <w:t>Prostate cancer</w:t>
            </w:r>
          </w:p>
        </w:tc>
        <w:tc>
          <w:tcPr>
            <w:tcW w:w="1595" w:type="dxa"/>
            <w:vMerge/>
          </w:tcPr>
          <w:p w14:paraId="7FC4C8B9" w14:textId="77777777" w:rsidR="00C171A0" w:rsidRPr="003362F1" w:rsidRDefault="00C171A0" w:rsidP="00C171A0">
            <w:pPr>
              <w:spacing w:line="310" w:lineRule="exact"/>
              <w:ind w:right="1"/>
              <w:rPr>
                <w:rFonts w:ascii="Times New Roman" w:eastAsia="Times New Roman" w:hAnsi="Times New Roman" w:cs="Times New Roman"/>
                <w:spacing w:val="-5"/>
                <w:sz w:val="24"/>
                <w:szCs w:val="20"/>
              </w:rPr>
            </w:pPr>
          </w:p>
        </w:tc>
      </w:tr>
      <w:tr w:rsidR="00863EA0" w:rsidRPr="005B18A4" w14:paraId="02CDF96A" w14:textId="77777777" w:rsidTr="00C171A0">
        <w:trPr>
          <w:trHeight w:val="56"/>
        </w:trPr>
        <w:tc>
          <w:tcPr>
            <w:tcW w:w="2062" w:type="dxa"/>
          </w:tcPr>
          <w:p w14:paraId="52D4E9EE" w14:textId="77777777" w:rsidR="00863EA0" w:rsidRPr="00863EA0" w:rsidRDefault="00863EA0" w:rsidP="00863EA0">
            <w:pPr>
              <w:pStyle w:val="TableParagraph"/>
              <w:spacing w:line="310" w:lineRule="exact"/>
              <w:ind w:right="1"/>
              <w:rPr>
                <w:spacing w:val="-5"/>
                <w:sz w:val="24"/>
                <w:szCs w:val="20"/>
              </w:rPr>
            </w:pPr>
            <w:r w:rsidRPr="00863EA0">
              <w:rPr>
                <w:spacing w:val="-5"/>
                <w:sz w:val="24"/>
                <w:szCs w:val="20"/>
              </w:rPr>
              <w:t xml:space="preserve">Recurrent </w:t>
            </w:r>
            <w:r>
              <w:rPr>
                <w:spacing w:val="-5"/>
                <w:sz w:val="24"/>
                <w:szCs w:val="20"/>
              </w:rPr>
              <w:t>UTI</w:t>
            </w:r>
          </w:p>
        </w:tc>
        <w:tc>
          <w:tcPr>
            <w:tcW w:w="1148" w:type="dxa"/>
          </w:tcPr>
          <w:p w14:paraId="4D1F276D" w14:textId="77777777" w:rsidR="00863EA0" w:rsidRPr="00863EA0" w:rsidRDefault="00863EA0" w:rsidP="00863EA0">
            <w:pPr>
              <w:pStyle w:val="TableParagraph"/>
              <w:spacing w:line="310" w:lineRule="exact"/>
              <w:jc w:val="center"/>
              <w:rPr>
                <w:spacing w:val="-5"/>
                <w:sz w:val="24"/>
                <w:szCs w:val="20"/>
              </w:rPr>
            </w:pPr>
            <w:r w:rsidRPr="00863EA0">
              <w:rPr>
                <w:spacing w:val="-5"/>
                <w:sz w:val="24"/>
                <w:szCs w:val="20"/>
              </w:rPr>
              <w:t>0%</w:t>
            </w:r>
          </w:p>
        </w:tc>
        <w:tc>
          <w:tcPr>
            <w:tcW w:w="1620" w:type="dxa"/>
          </w:tcPr>
          <w:p w14:paraId="3F3863E1" w14:textId="77777777" w:rsidR="00863EA0" w:rsidRPr="00863EA0" w:rsidRDefault="00863EA0" w:rsidP="00863EA0">
            <w:pPr>
              <w:pStyle w:val="TableParagraph"/>
              <w:spacing w:line="310" w:lineRule="exact"/>
              <w:jc w:val="center"/>
              <w:rPr>
                <w:spacing w:val="-5"/>
                <w:sz w:val="24"/>
                <w:szCs w:val="20"/>
              </w:rPr>
            </w:pPr>
            <w:r w:rsidRPr="00863EA0">
              <w:rPr>
                <w:spacing w:val="-5"/>
                <w:sz w:val="24"/>
                <w:szCs w:val="20"/>
              </w:rPr>
              <w:t>40%</w:t>
            </w:r>
          </w:p>
        </w:tc>
        <w:tc>
          <w:tcPr>
            <w:tcW w:w="1735" w:type="dxa"/>
          </w:tcPr>
          <w:p w14:paraId="715C7C10" w14:textId="77777777" w:rsidR="00863EA0" w:rsidRPr="00863EA0" w:rsidRDefault="00863EA0" w:rsidP="00863EA0">
            <w:pPr>
              <w:pStyle w:val="TableParagraph"/>
              <w:spacing w:line="310" w:lineRule="exact"/>
              <w:jc w:val="center"/>
              <w:rPr>
                <w:spacing w:val="-5"/>
                <w:sz w:val="24"/>
                <w:szCs w:val="20"/>
              </w:rPr>
            </w:pPr>
            <w:r w:rsidRPr="00863EA0">
              <w:rPr>
                <w:spacing w:val="-5"/>
                <w:sz w:val="24"/>
                <w:szCs w:val="20"/>
              </w:rPr>
              <w:t>87%</w:t>
            </w:r>
          </w:p>
        </w:tc>
        <w:tc>
          <w:tcPr>
            <w:tcW w:w="1595" w:type="dxa"/>
          </w:tcPr>
          <w:p w14:paraId="04105D0A" w14:textId="77777777" w:rsidR="00863EA0" w:rsidRPr="00863EA0" w:rsidRDefault="00863EA0" w:rsidP="00863EA0">
            <w:pPr>
              <w:pStyle w:val="TableParagraph"/>
              <w:spacing w:line="310" w:lineRule="exact"/>
              <w:ind w:right="1"/>
              <w:jc w:val="center"/>
              <w:rPr>
                <w:spacing w:val="-5"/>
                <w:sz w:val="24"/>
                <w:szCs w:val="20"/>
              </w:rPr>
            </w:pPr>
            <w:r w:rsidRPr="00863EA0">
              <w:rPr>
                <w:spacing w:val="-5"/>
                <w:sz w:val="24"/>
                <w:szCs w:val="20"/>
              </w:rPr>
              <w:t>0.00</w:t>
            </w:r>
          </w:p>
        </w:tc>
      </w:tr>
      <w:tr w:rsidR="00863EA0" w:rsidRPr="005B18A4" w14:paraId="3EF24F69" w14:textId="77777777" w:rsidTr="00C171A0">
        <w:trPr>
          <w:trHeight w:val="185"/>
        </w:trPr>
        <w:tc>
          <w:tcPr>
            <w:tcW w:w="2062" w:type="dxa"/>
          </w:tcPr>
          <w:p w14:paraId="32E61480" w14:textId="77777777" w:rsidR="00863EA0" w:rsidRPr="00863EA0" w:rsidRDefault="00863EA0" w:rsidP="00863EA0">
            <w:pPr>
              <w:pStyle w:val="TableParagraph"/>
              <w:spacing w:line="310" w:lineRule="exact"/>
              <w:ind w:right="1"/>
              <w:rPr>
                <w:spacing w:val="-5"/>
                <w:sz w:val="24"/>
                <w:szCs w:val="20"/>
              </w:rPr>
            </w:pPr>
            <w:r w:rsidRPr="00863EA0">
              <w:rPr>
                <w:spacing w:val="-5"/>
                <w:sz w:val="24"/>
                <w:szCs w:val="20"/>
              </w:rPr>
              <w:t>Family history</w:t>
            </w:r>
          </w:p>
        </w:tc>
        <w:tc>
          <w:tcPr>
            <w:tcW w:w="1148" w:type="dxa"/>
          </w:tcPr>
          <w:p w14:paraId="3FAD46CC" w14:textId="77777777" w:rsidR="00863EA0" w:rsidRPr="00863EA0" w:rsidRDefault="00863EA0" w:rsidP="00863EA0">
            <w:pPr>
              <w:pStyle w:val="TableParagraph"/>
              <w:spacing w:line="310" w:lineRule="exact"/>
              <w:ind w:right="1"/>
              <w:jc w:val="center"/>
              <w:rPr>
                <w:spacing w:val="-5"/>
                <w:sz w:val="24"/>
                <w:szCs w:val="20"/>
              </w:rPr>
            </w:pPr>
            <w:r w:rsidRPr="00863EA0">
              <w:rPr>
                <w:spacing w:val="-5"/>
                <w:sz w:val="24"/>
                <w:szCs w:val="20"/>
              </w:rPr>
              <w:t>0%</w:t>
            </w:r>
          </w:p>
        </w:tc>
        <w:tc>
          <w:tcPr>
            <w:tcW w:w="1620" w:type="dxa"/>
          </w:tcPr>
          <w:p w14:paraId="7581D7D9" w14:textId="77777777" w:rsidR="00863EA0" w:rsidRPr="00863EA0" w:rsidRDefault="00863EA0" w:rsidP="00863EA0">
            <w:pPr>
              <w:pStyle w:val="TableParagraph"/>
              <w:spacing w:line="310" w:lineRule="exact"/>
              <w:ind w:right="1"/>
              <w:jc w:val="center"/>
              <w:rPr>
                <w:spacing w:val="-5"/>
                <w:sz w:val="24"/>
                <w:szCs w:val="20"/>
              </w:rPr>
            </w:pPr>
            <w:r w:rsidRPr="00863EA0">
              <w:rPr>
                <w:spacing w:val="-5"/>
                <w:sz w:val="24"/>
                <w:szCs w:val="20"/>
              </w:rPr>
              <w:t>0%</w:t>
            </w:r>
          </w:p>
        </w:tc>
        <w:tc>
          <w:tcPr>
            <w:tcW w:w="1735" w:type="dxa"/>
          </w:tcPr>
          <w:p w14:paraId="11429493" w14:textId="77777777" w:rsidR="00863EA0" w:rsidRPr="00863EA0" w:rsidRDefault="00863EA0" w:rsidP="00863EA0">
            <w:pPr>
              <w:pStyle w:val="TableParagraph"/>
              <w:spacing w:line="310" w:lineRule="exact"/>
              <w:ind w:right="1"/>
              <w:jc w:val="center"/>
              <w:rPr>
                <w:spacing w:val="-5"/>
                <w:sz w:val="24"/>
                <w:szCs w:val="20"/>
              </w:rPr>
            </w:pPr>
            <w:r w:rsidRPr="00863EA0">
              <w:rPr>
                <w:spacing w:val="-5"/>
                <w:sz w:val="24"/>
                <w:szCs w:val="20"/>
              </w:rPr>
              <w:t>13%</w:t>
            </w:r>
          </w:p>
        </w:tc>
        <w:tc>
          <w:tcPr>
            <w:tcW w:w="1595" w:type="dxa"/>
          </w:tcPr>
          <w:p w14:paraId="424A7EE1" w14:textId="77777777" w:rsidR="00863EA0" w:rsidRPr="00863EA0" w:rsidRDefault="00863EA0" w:rsidP="00863EA0">
            <w:pPr>
              <w:pStyle w:val="TableParagraph"/>
              <w:spacing w:line="310" w:lineRule="exact"/>
              <w:ind w:right="1"/>
              <w:jc w:val="center"/>
              <w:rPr>
                <w:spacing w:val="-5"/>
                <w:sz w:val="24"/>
                <w:szCs w:val="20"/>
              </w:rPr>
            </w:pPr>
            <w:r w:rsidRPr="00863EA0">
              <w:rPr>
                <w:spacing w:val="-5"/>
                <w:sz w:val="24"/>
                <w:szCs w:val="20"/>
              </w:rPr>
              <w:t>0.13</w:t>
            </w:r>
          </w:p>
        </w:tc>
      </w:tr>
    </w:tbl>
    <w:p w14:paraId="70DD4888" w14:textId="77777777" w:rsidR="00C171A0" w:rsidRDefault="00C171A0" w:rsidP="00C10DD5">
      <w:pPr>
        <w:spacing w:after="0" w:line="360" w:lineRule="auto"/>
        <w:jc w:val="both"/>
        <w:rPr>
          <w:rFonts w:asciiTheme="majorBidi" w:eastAsia="Times New Roman" w:hAnsiTheme="majorBidi" w:cstheme="majorBidi"/>
          <w:b/>
          <w:bCs/>
          <w:color w:val="0E101A"/>
          <w:sz w:val="24"/>
          <w:szCs w:val="24"/>
        </w:rPr>
      </w:pPr>
    </w:p>
    <w:p w14:paraId="74347DFE" w14:textId="77777777" w:rsidR="00A22758" w:rsidRDefault="00E34968" w:rsidP="00C10DD5">
      <w:pPr>
        <w:spacing w:after="0" w:line="360" w:lineRule="auto"/>
        <w:jc w:val="both"/>
        <w:rPr>
          <w:rFonts w:asciiTheme="majorBidi" w:eastAsia="Times New Roman" w:hAnsiTheme="majorBidi" w:cstheme="majorBidi"/>
          <w:b/>
          <w:bCs/>
          <w:color w:val="0E101A"/>
          <w:sz w:val="24"/>
          <w:szCs w:val="24"/>
        </w:rPr>
      </w:pPr>
      <w:r>
        <w:rPr>
          <w:rFonts w:asciiTheme="majorBidi" w:eastAsia="Times New Roman" w:hAnsiTheme="majorBidi" w:cstheme="majorBidi"/>
          <w:b/>
          <w:bCs/>
          <w:color w:val="0E101A"/>
          <w:sz w:val="24"/>
          <w:szCs w:val="24"/>
        </w:rPr>
        <w:t xml:space="preserve">4. </w:t>
      </w:r>
      <w:r w:rsidRPr="00C10DD5">
        <w:rPr>
          <w:rFonts w:asciiTheme="majorBidi" w:eastAsia="Times New Roman" w:hAnsiTheme="majorBidi" w:cstheme="majorBidi"/>
          <w:b/>
          <w:bCs/>
          <w:color w:val="0E101A"/>
          <w:sz w:val="24"/>
          <w:szCs w:val="24"/>
        </w:rPr>
        <w:t>DISCUSSION</w:t>
      </w:r>
    </w:p>
    <w:p w14:paraId="1CD26B64" w14:textId="796401FB" w:rsidR="00F54911" w:rsidRDefault="00F54911" w:rsidP="00C1090C">
      <w:pPr>
        <w:spacing w:after="0" w:line="360" w:lineRule="auto"/>
        <w:jc w:val="both"/>
        <w:rPr>
          <w:rStyle w:val="Strong"/>
          <w:rFonts w:ascii="Times New Roman" w:eastAsia="Times New Roman" w:hAnsi="Times New Roman" w:cs="Times New Roman"/>
          <w:b w:val="0"/>
          <w:bCs w:val="0"/>
          <w:color w:val="0E101A"/>
          <w:sz w:val="24"/>
          <w:szCs w:val="24"/>
          <w:lang w:bidi="hi-IN"/>
        </w:rPr>
      </w:pPr>
      <w:r w:rsidRPr="00F54911">
        <w:rPr>
          <w:rStyle w:val="Strong"/>
          <w:rFonts w:ascii="Times New Roman" w:eastAsia="Times New Roman" w:hAnsi="Times New Roman" w:cs="Times New Roman"/>
          <w:b w:val="0"/>
          <w:bCs w:val="0"/>
          <w:color w:val="0E101A"/>
          <w:sz w:val="24"/>
          <w:szCs w:val="24"/>
          <w:lang w:bidi="hi-IN"/>
        </w:rPr>
        <w:t>The study supports the hypothesis that BK virus (BKV) infection is associated with prostatic diseases, particularly prostate cancer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The presence of decoy cells—a cytological hallmark of BKV reactivation—was observed in 86.7% of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cases, 40% of benign prostatic hyperplasia (BPH) cases, and was completely absent in healthy controls. This striking difference indicates a strong correlation between BKV and malignancy, highlighting the virus’s potential role in carcinogenesis. These findin</w:t>
      </w:r>
      <w:r w:rsidR="0015185C">
        <w:rPr>
          <w:rStyle w:val="Strong"/>
          <w:rFonts w:ascii="Times New Roman" w:eastAsia="Times New Roman" w:hAnsi="Times New Roman" w:cs="Times New Roman"/>
          <w:b w:val="0"/>
          <w:bCs w:val="0"/>
          <w:color w:val="0E101A"/>
          <w:sz w:val="24"/>
          <w:szCs w:val="24"/>
          <w:lang w:bidi="hi-IN"/>
        </w:rPr>
        <w:t>gs align with Monini et al (2015</w:t>
      </w:r>
      <w:r w:rsidRPr="00F54911">
        <w:rPr>
          <w:rStyle w:val="Strong"/>
          <w:rFonts w:ascii="Times New Roman" w:eastAsia="Times New Roman" w:hAnsi="Times New Roman" w:cs="Times New Roman"/>
          <w:b w:val="0"/>
          <w:bCs w:val="0"/>
          <w:color w:val="0E101A"/>
          <w:sz w:val="24"/>
          <w:szCs w:val="24"/>
          <w:lang w:bidi="hi-IN"/>
        </w:rPr>
        <w:t xml:space="preserve">) </w:t>
      </w:r>
      <w:r w:rsidRPr="00130D3F">
        <w:rPr>
          <w:rFonts w:ascii="Times New Roman" w:eastAsia="Times New Roman" w:hAnsi="Times New Roman" w:cs="Times New Roman"/>
          <w:b/>
          <w:bCs/>
          <w:color w:val="0E101A"/>
          <w:sz w:val="24"/>
          <w:szCs w:val="24"/>
          <w:lang w:bidi="hi-IN"/>
        </w:rPr>
        <w:t>[</w:t>
      </w:r>
      <w:r w:rsidR="00466AB4">
        <w:rPr>
          <w:rFonts w:ascii="Times New Roman" w:eastAsia="Times New Roman" w:hAnsi="Times New Roman" w:cs="Times New Roman"/>
          <w:b/>
          <w:bCs/>
          <w:color w:val="0E101A"/>
          <w:sz w:val="24"/>
          <w:szCs w:val="24"/>
          <w:lang w:bidi="hi-IN"/>
        </w:rPr>
        <w:t>14</w:t>
      </w:r>
      <w:r w:rsidR="0010681A">
        <w:rPr>
          <w:rFonts w:ascii="Times New Roman" w:eastAsia="Times New Roman" w:hAnsi="Times New Roman" w:cs="Times New Roman"/>
          <w:b/>
          <w:bCs/>
          <w:color w:val="0E101A"/>
          <w:sz w:val="24"/>
          <w:szCs w:val="24"/>
          <w:lang w:bidi="hi-IN"/>
        </w:rPr>
        <w:t>]</w:t>
      </w:r>
      <w:r w:rsidRPr="00F54911">
        <w:rPr>
          <w:rStyle w:val="Strong"/>
          <w:rFonts w:ascii="Times New Roman" w:eastAsia="Times New Roman" w:hAnsi="Times New Roman" w:cs="Times New Roman"/>
          <w:b w:val="0"/>
          <w:bCs w:val="0"/>
          <w:color w:val="0E101A"/>
          <w:sz w:val="24"/>
          <w:szCs w:val="24"/>
          <w:lang w:bidi="hi-IN"/>
        </w:rPr>
        <w:t xml:space="preserve">, who reported a higher prevalence of BKV DNA in prostate cancer tissues compared to BPH and healthy samples, suggesting that the virus may persist in a latent form and contribute to oncogenic transformation. Similarly, our results are supported by </w:t>
      </w:r>
      <w:proofErr w:type="spellStart"/>
      <w:r w:rsidRPr="00F54911">
        <w:rPr>
          <w:rStyle w:val="Strong"/>
          <w:rFonts w:ascii="Times New Roman" w:eastAsia="Times New Roman" w:hAnsi="Times New Roman" w:cs="Times New Roman"/>
          <w:b w:val="0"/>
          <w:bCs w:val="0"/>
          <w:color w:val="0E101A"/>
          <w:sz w:val="24"/>
          <w:szCs w:val="24"/>
          <w:lang w:bidi="hi-IN"/>
        </w:rPr>
        <w:t>Gorish</w:t>
      </w:r>
      <w:proofErr w:type="spellEnd"/>
      <w:r w:rsidRPr="00F54911">
        <w:rPr>
          <w:rStyle w:val="Strong"/>
          <w:rFonts w:ascii="Times New Roman" w:eastAsia="Times New Roman" w:hAnsi="Times New Roman" w:cs="Times New Roman"/>
          <w:b w:val="0"/>
          <w:bCs w:val="0"/>
          <w:color w:val="0E101A"/>
          <w:sz w:val="24"/>
          <w:szCs w:val="24"/>
          <w:lang w:bidi="hi-IN"/>
        </w:rPr>
        <w:t xml:space="preserve"> et al (2019) </w:t>
      </w:r>
      <w:r w:rsidRPr="00130D3F">
        <w:rPr>
          <w:rFonts w:ascii="Times New Roman" w:eastAsia="Times New Roman" w:hAnsi="Times New Roman" w:cs="Times New Roman"/>
          <w:b/>
          <w:bCs/>
          <w:color w:val="0E101A"/>
          <w:sz w:val="24"/>
          <w:szCs w:val="24"/>
          <w:lang w:bidi="hi-IN"/>
        </w:rPr>
        <w:t>[</w:t>
      </w:r>
      <w:r>
        <w:rPr>
          <w:rFonts w:ascii="Times New Roman" w:eastAsia="Times New Roman" w:hAnsi="Times New Roman" w:cs="Times New Roman"/>
          <w:b/>
          <w:bCs/>
          <w:color w:val="0E101A"/>
          <w:sz w:val="24"/>
          <w:szCs w:val="24"/>
          <w:lang w:bidi="hi-IN"/>
        </w:rPr>
        <w:t>1]</w:t>
      </w:r>
      <w:r w:rsidRPr="00F54911">
        <w:rPr>
          <w:rStyle w:val="Strong"/>
          <w:rFonts w:ascii="Times New Roman" w:eastAsia="Times New Roman" w:hAnsi="Times New Roman" w:cs="Times New Roman"/>
          <w:b w:val="0"/>
          <w:bCs w:val="0"/>
          <w:color w:val="0E101A"/>
          <w:sz w:val="24"/>
          <w:szCs w:val="24"/>
          <w:lang w:bidi="hi-IN"/>
        </w:rPr>
        <w:t>, who detected the BKV large T antigen (</w:t>
      </w:r>
      <w:proofErr w:type="spellStart"/>
      <w:r w:rsidRPr="00F54911">
        <w:rPr>
          <w:rStyle w:val="Strong"/>
          <w:rFonts w:ascii="Times New Roman" w:eastAsia="Times New Roman" w:hAnsi="Times New Roman" w:cs="Times New Roman"/>
          <w:b w:val="0"/>
          <w:bCs w:val="0"/>
          <w:color w:val="0E101A"/>
          <w:sz w:val="24"/>
          <w:szCs w:val="24"/>
          <w:lang w:bidi="hi-IN"/>
        </w:rPr>
        <w:t>LTAg</w:t>
      </w:r>
      <w:proofErr w:type="spellEnd"/>
      <w:r w:rsidRPr="00F54911">
        <w:rPr>
          <w:rStyle w:val="Strong"/>
          <w:rFonts w:ascii="Times New Roman" w:eastAsia="Times New Roman" w:hAnsi="Times New Roman" w:cs="Times New Roman"/>
          <w:b w:val="0"/>
          <w:bCs w:val="0"/>
          <w:color w:val="0E101A"/>
          <w:sz w:val="24"/>
          <w:szCs w:val="24"/>
          <w:lang w:bidi="hi-IN"/>
        </w:rPr>
        <w:t xml:space="preserve">) in 30.9% of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samples versus 7.2% in BPH, with significantly higher viral loads in cancerous tissues. </w:t>
      </w:r>
      <w:proofErr w:type="spellStart"/>
      <w:r w:rsidRPr="00F54911">
        <w:rPr>
          <w:rStyle w:val="Strong"/>
          <w:rFonts w:ascii="Times New Roman" w:eastAsia="Times New Roman" w:hAnsi="Times New Roman" w:cs="Times New Roman"/>
          <w:b w:val="0"/>
          <w:bCs w:val="0"/>
          <w:color w:val="0E101A"/>
          <w:sz w:val="24"/>
          <w:szCs w:val="24"/>
          <w:lang w:bidi="hi-IN"/>
        </w:rPr>
        <w:t>Gorish</w:t>
      </w:r>
      <w:proofErr w:type="spellEnd"/>
      <w:r w:rsidRPr="00F54911">
        <w:rPr>
          <w:rStyle w:val="Strong"/>
          <w:rFonts w:ascii="Times New Roman" w:eastAsia="Times New Roman" w:hAnsi="Times New Roman" w:cs="Times New Roman"/>
          <w:b w:val="0"/>
          <w:bCs w:val="0"/>
          <w:color w:val="0E101A"/>
          <w:sz w:val="24"/>
          <w:szCs w:val="24"/>
          <w:lang w:bidi="hi-IN"/>
        </w:rPr>
        <w:t xml:space="preserve"> et al. also observed greater </w:t>
      </w:r>
      <w:proofErr w:type="spellStart"/>
      <w:r w:rsidRPr="00F54911">
        <w:rPr>
          <w:rStyle w:val="Strong"/>
          <w:rFonts w:ascii="Times New Roman" w:eastAsia="Times New Roman" w:hAnsi="Times New Roman" w:cs="Times New Roman"/>
          <w:b w:val="0"/>
          <w:bCs w:val="0"/>
          <w:color w:val="0E101A"/>
          <w:sz w:val="24"/>
          <w:szCs w:val="24"/>
          <w:lang w:bidi="hi-IN"/>
        </w:rPr>
        <w:t>LTAg</w:t>
      </w:r>
      <w:proofErr w:type="spellEnd"/>
      <w:r w:rsidRPr="00F54911">
        <w:rPr>
          <w:rStyle w:val="Strong"/>
          <w:rFonts w:ascii="Times New Roman" w:eastAsia="Times New Roman" w:hAnsi="Times New Roman" w:cs="Times New Roman"/>
          <w:b w:val="0"/>
          <w:bCs w:val="0"/>
          <w:color w:val="0E101A"/>
          <w:sz w:val="24"/>
          <w:szCs w:val="24"/>
          <w:lang w:bidi="hi-IN"/>
        </w:rPr>
        <w:t xml:space="preserve"> expression in samples with higher Gleason scores, suggesting a link between viral activity and tumor aggressiveness. Further support comes from the Ahvaz study (2021) </w:t>
      </w:r>
      <w:r w:rsidR="00842398" w:rsidRPr="00130D3F">
        <w:rPr>
          <w:rFonts w:ascii="Times New Roman" w:eastAsia="Times New Roman" w:hAnsi="Times New Roman" w:cs="Times New Roman"/>
          <w:b/>
          <w:bCs/>
          <w:color w:val="0E101A"/>
          <w:sz w:val="24"/>
          <w:szCs w:val="24"/>
          <w:lang w:bidi="hi-IN"/>
        </w:rPr>
        <w:t>[</w:t>
      </w:r>
      <w:r w:rsidR="00842398">
        <w:rPr>
          <w:rFonts w:ascii="Times New Roman" w:eastAsia="Times New Roman" w:hAnsi="Times New Roman" w:cs="Times New Roman"/>
          <w:b/>
          <w:bCs/>
          <w:color w:val="0E101A"/>
          <w:sz w:val="24"/>
          <w:szCs w:val="24"/>
          <w:lang w:bidi="hi-IN"/>
        </w:rPr>
        <w:t>7]</w:t>
      </w:r>
      <w:r w:rsidRPr="00F54911">
        <w:rPr>
          <w:rStyle w:val="Strong"/>
          <w:rFonts w:ascii="Times New Roman" w:eastAsia="Times New Roman" w:hAnsi="Times New Roman" w:cs="Times New Roman"/>
          <w:b w:val="0"/>
          <w:bCs w:val="0"/>
          <w:color w:val="0E101A"/>
          <w:sz w:val="24"/>
          <w:szCs w:val="24"/>
          <w:lang w:bidi="hi-IN"/>
        </w:rPr>
        <w:t xml:space="preserve">, which found BKV DNA in 66% of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tissues and 36% of BPH samples (P = 0.003) using semi-nested PCR. Like our findings, the Ahvaz study </w:t>
      </w:r>
      <w:r w:rsidRPr="00F54911">
        <w:rPr>
          <w:rStyle w:val="Strong"/>
          <w:rFonts w:ascii="Times New Roman" w:eastAsia="Times New Roman" w:hAnsi="Times New Roman" w:cs="Times New Roman"/>
          <w:b w:val="0"/>
          <w:bCs w:val="0"/>
          <w:color w:val="0E101A"/>
          <w:sz w:val="24"/>
          <w:szCs w:val="24"/>
          <w:lang w:bidi="hi-IN"/>
        </w:rPr>
        <w:lastRenderedPageBreak/>
        <w:t xml:space="preserve">did not find a significant correlation between age and viral presence (P = 0.086), nor between Gleason score and BKV positivity, reinforcing the idea that BKV might act as a cofactor in cancer development, independent of patient age or histological grade. Cytologically, our study revealed a strong association between decoy cells and features like hyperkeratosis (60%), inflammatory infiltrates (83.3%), and bacterial infections (93.3%). These findings indicate a highly active microenvironment conducive to viral reactivation. This aligns with previous reports suggesting that inflammation and chronic infection may promote viral activity and transformation. Clinically, we found a significant association between decoy cells and recurrent urinary tract infections (UTIs), particularly in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patients (87%). While </w:t>
      </w:r>
      <w:proofErr w:type="spellStart"/>
      <w:r w:rsidRPr="00F54911">
        <w:rPr>
          <w:rStyle w:val="Strong"/>
          <w:rFonts w:ascii="Times New Roman" w:eastAsia="Times New Roman" w:hAnsi="Times New Roman" w:cs="Times New Roman"/>
          <w:b w:val="0"/>
          <w:bCs w:val="0"/>
          <w:color w:val="0E101A"/>
          <w:sz w:val="24"/>
          <w:szCs w:val="24"/>
          <w:lang w:bidi="hi-IN"/>
        </w:rPr>
        <w:t>Gorish</w:t>
      </w:r>
      <w:proofErr w:type="spellEnd"/>
      <w:r w:rsidRPr="00F54911">
        <w:rPr>
          <w:rStyle w:val="Strong"/>
          <w:rFonts w:ascii="Times New Roman" w:eastAsia="Times New Roman" w:hAnsi="Times New Roman" w:cs="Times New Roman"/>
          <w:b w:val="0"/>
          <w:bCs w:val="0"/>
          <w:color w:val="0E101A"/>
          <w:sz w:val="24"/>
          <w:szCs w:val="24"/>
          <w:lang w:bidi="hi-IN"/>
        </w:rPr>
        <w:t xml:space="preserve"> et al. did not explore UTIs directly, they reported environmental factors like alcohol intake and geographical variation as influencing infection rates, suggesting that both local and systemic factors may contribute to viral reactivation and disease progression. Interestingly, our urine cytology method proved more sensitive than PCR in detecting BKV activity. While decoy cells were prevalent in 86.7% of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cases, </w:t>
      </w:r>
      <w:proofErr w:type="spellStart"/>
      <w:r w:rsidRPr="00F54911">
        <w:rPr>
          <w:rStyle w:val="Strong"/>
          <w:rFonts w:ascii="Times New Roman" w:eastAsia="Times New Roman" w:hAnsi="Times New Roman" w:cs="Times New Roman"/>
          <w:b w:val="0"/>
          <w:bCs w:val="0"/>
          <w:color w:val="0E101A"/>
          <w:sz w:val="24"/>
          <w:szCs w:val="24"/>
          <w:lang w:bidi="hi-IN"/>
        </w:rPr>
        <w:t>Gorish</w:t>
      </w:r>
      <w:proofErr w:type="spellEnd"/>
      <w:r w:rsidRPr="00F54911">
        <w:rPr>
          <w:rStyle w:val="Strong"/>
          <w:rFonts w:ascii="Times New Roman" w:eastAsia="Times New Roman" w:hAnsi="Times New Roman" w:cs="Times New Roman"/>
          <w:b w:val="0"/>
          <w:bCs w:val="0"/>
          <w:color w:val="0E101A"/>
          <w:sz w:val="24"/>
          <w:szCs w:val="24"/>
          <w:lang w:bidi="hi-IN"/>
        </w:rPr>
        <w:t xml:space="preserve"> et al. only detected BKV DNA in 1 of 17 urine samples from </w:t>
      </w:r>
      <w:proofErr w:type="spellStart"/>
      <w:r w:rsidRPr="00F54911">
        <w:rPr>
          <w:rStyle w:val="Strong"/>
          <w:rFonts w:ascii="Times New Roman" w:eastAsia="Times New Roman" w:hAnsi="Times New Roman" w:cs="Times New Roman"/>
          <w:b w:val="0"/>
          <w:bCs w:val="0"/>
          <w:color w:val="0E101A"/>
          <w:sz w:val="24"/>
          <w:szCs w:val="24"/>
          <w:lang w:bidi="hi-IN"/>
        </w:rPr>
        <w:t>PCa</w:t>
      </w:r>
      <w:proofErr w:type="spellEnd"/>
      <w:r w:rsidRPr="00F54911">
        <w:rPr>
          <w:rStyle w:val="Strong"/>
          <w:rFonts w:ascii="Times New Roman" w:eastAsia="Times New Roman" w:hAnsi="Times New Roman" w:cs="Times New Roman"/>
          <w:b w:val="0"/>
          <w:bCs w:val="0"/>
          <w:color w:val="0E101A"/>
          <w:sz w:val="24"/>
          <w:szCs w:val="24"/>
          <w:lang w:bidi="hi-IN"/>
        </w:rPr>
        <w:t xml:space="preserve"> patients (5.8%), though 75% of BPH urine samples were PCR-positive. This highlights potential differences in sampling techniques and detection sensitivity, emphasizing the value of cytological screening in non-invasive BKV monitoring. All studies, including ours, found no significant association between BKV infection and genetic predisposition (e.g., family history), supporting the theory that infectious and environmental factors may outweigh hereditary influences in the pathogenesis of prostate diseases.</w:t>
      </w:r>
      <w:r w:rsidR="00D320CF">
        <w:rPr>
          <w:rStyle w:val="Strong"/>
          <w:rFonts w:ascii="Times New Roman" w:eastAsia="Times New Roman" w:hAnsi="Times New Roman" w:cs="Times New Roman"/>
          <w:b w:val="0"/>
          <w:bCs w:val="0"/>
          <w:color w:val="0E101A"/>
          <w:sz w:val="24"/>
          <w:szCs w:val="24"/>
          <w:lang w:bidi="hi-IN"/>
        </w:rPr>
        <w:t xml:space="preserve"> </w:t>
      </w:r>
      <w:r w:rsidR="00D320CF" w:rsidRPr="00905BDF">
        <w:rPr>
          <w:rStyle w:val="Strong"/>
          <w:rFonts w:ascii="Times New Roman" w:eastAsia="Times New Roman" w:hAnsi="Times New Roman" w:cs="Times New Roman"/>
          <w:b w:val="0"/>
          <w:bCs w:val="0"/>
          <w:color w:val="0E101A"/>
          <w:sz w:val="24"/>
          <w:szCs w:val="24"/>
          <w:highlight w:val="yellow"/>
          <w:lang w:bidi="hi-IN"/>
        </w:rPr>
        <w:t>BK and JC polyomaviruses (</w:t>
      </w:r>
      <w:proofErr w:type="spellStart"/>
      <w:r w:rsidR="00D320CF" w:rsidRPr="00905BDF">
        <w:rPr>
          <w:rStyle w:val="Strong"/>
          <w:rFonts w:ascii="Times New Roman" w:eastAsia="Times New Roman" w:hAnsi="Times New Roman" w:cs="Times New Roman"/>
          <w:b w:val="0"/>
          <w:bCs w:val="0"/>
          <w:color w:val="0E101A"/>
          <w:sz w:val="24"/>
          <w:szCs w:val="24"/>
          <w:highlight w:val="yellow"/>
          <w:lang w:bidi="hi-IN"/>
        </w:rPr>
        <w:t>PyV</w:t>
      </w:r>
      <w:proofErr w:type="spellEnd"/>
      <w:r w:rsidR="00D320CF" w:rsidRPr="00905BDF">
        <w:rPr>
          <w:rStyle w:val="Strong"/>
          <w:rFonts w:ascii="Times New Roman" w:eastAsia="Times New Roman" w:hAnsi="Times New Roman" w:cs="Times New Roman"/>
          <w:b w:val="0"/>
          <w:bCs w:val="0"/>
          <w:color w:val="0E101A"/>
          <w:sz w:val="24"/>
          <w:szCs w:val="24"/>
          <w:highlight w:val="yellow"/>
          <w:lang w:bidi="hi-IN"/>
        </w:rPr>
        <w:t>) have been linked to the develo</w:t>
      </w:r>
      <w:r w:rsidR="00C1090C" w:rsidRPr="00905BDF">
        <w:rPr>
          <w:rStyle w:val="Strong"/>
          <w:rFonts w:ascii="Times New Roman" w:eastAsia="Times New Roman" w:hAnsi="Times New Roman" w:cs="Times New Roman"/>
          <w:b w:val="0"/>
          <w:bCs w:val="0"/>
          <w:color w:val="0E101A"/>
          <w:sz w:val="24"/>
          <w:szCs w:val="24"/>
          <w:highlight w:val="yellow"/>
          <w:lang w:bidi="hi-IN"/>
        </w:rPr>
        <w:t xml:space="preserve">pment of various human cancers </w:t>
      </w:r>
      <w:r w:rsidR="00C1090C" w:rsidRPr="00905BDF">
        <w:rPr>
          <w:rFonts w:ascii="Times New Roman" w:eastAsia="Times New Roman" w:hAnsi="Times New Roman" w:cs="Times New Roman"/>
          <w:b/>
          <w:bCs/>
          <w:color w:val="0E101A"/>
          <w:sz w:val="24"/>
          <w:szCs w:val="24"/>
          <w:highlight w:val="yellow"/>
          <w:lang w:bidi="hi-IN"/>
        </w:rPr>
        <w:t>[15]</w:t>
      </w:r>
      <w:r w:rsidR="00C1090C" w:rsidRPr="00905BDF">
        <w:rPr>
          <w:rStyle w:val="Strong"/>
          <w:rFonts w:ascii="Times New Roman" w:eastAsia="Times New Roman" w:hAnsi="Times New Roman" w:cs="Times New Roman"/>
          <w:b w:val="0"/>
          <w:bCs w:val="0"/>
          <w:color w:val="0E101A"/>
          <w:sz w:val="24"/>
          <w:szCs w:val="24"/>
          <w:highlight w:val="yellow"/>
          <w:lang w:bidi="hi-IN"/>
        </w:rPr>
        <w:t>.</w:t>
      </w:r>
    </w:p>
    <w:p w14:paraId="4F6EA761" w14:textId="77777777" w:rsidR="00091A53" w:rsidRPr="00C10DD5" w:rsidRDefault="0004062C" w:rsidP="00C17163">
      <w:pPr>
        <w:pStyle w:val="Heading2"/>
        <w:spacing w:line="360" w:lineRule="auto"/>
        <w:jc w:val="both"/>
        <w:rPr>
          <w:rFonts w:asciiTheme="majorBidi" w:hAnsiTheme="majorBidi"/>
          <w:color w:val="0E101A"/>
          <w:sz w:val="24"/>
          <w:szCs w:val="24"/>
        </w:rPr>
      </w:pPr>
      <w:r>
        <w:rPr>
          <w:rStyle w:val="Strong"/>
          <w:rFonts w:asciiTheme="majorBidi" w:hAnsiTheme="majorBidi"/>
          <w:color w:val="0E101A"/>
          <w:sz w:val="24"/>
          <w:szCs w:val="24"/>
        </w:rPr>
        <w:t xml:space="preserve">5. </w:t>
      </w:r>
      <w:r w:rsidRPr="00C10DD5">
        <w:rPr>
          <w:rStyle w:val="Strong"/>
          <w:rFonts w:asciiTheme="majorBidi" w:hAnsiTheme="majorBidi"/>
          <w:color w:val="0E101A"/>
          <w:sz w:val="24"/>
          <w:szCs w:val="24"/>
        </w:rPr>
        <w:t>CONCLUSION </w:t>
      </w:r>
    </w:p>
    <w:p w14:paraId="63181C16" w14:textId="77777777" w:rsidR="00266868" w:rsidRDefault="00266868" w:rsidP="0004062C">
      <w:pPr>
        <w:pStyle w:val="NormalWeb"/>
        <w:spacing w:before="0" w:beforeAutospacing="0" w:after="0" w:afterAutospacing="0" w:line="360" w:lineRule="auto"/>
        <w:jc w:val="both"/>
        <w:rPr>
          <w:rFonts w:asciiTheme="majorBidi" w:hAnsiTheme="majorBidi" w:cstheme="majorBidi"/>
          <w:color w:val="0E101A"/>
        </w:rPr>
      </w:pPr>
      <w:r w:rsidRPr="00266868">
        <w:rPr>
          <w:rFonts w:asciiTheme="majorBidi" w:hAnsiTheme="majorBidi" w:cstheme="majorBidi"/>
          <w:color w:val="0E101A"/>
        </w:rPr>
        <w:t xml:space="preserve">There is a strong association between BK virus (BKV) and prostate cancer, as indicated by the high prevalence of decoy cells in </w:t>
      </w:r>
      <w:proofErr w:type="spellStart"/>
      <w:r w:rsidRPr="00266868">
        <w:rPr>
          <w:rFonts w:asciiTheme="majorBidi" w:hAnsiTheme="majorBidi" w:cstheme="majorBidi"/>
          <w:color w:val="0E101A"/>
        </w:rPr>
        <w:t>PCa</w:t>
      </w:r>
      <w:proofErr w:type="spellEnd"/>
      <w:r w:rsidRPr="00266868">
        <w:rPr>
          <w:rFonts w:asciiTheme="majorBidi" w:hAnsiTheme="majorBidi" w:cstheme="majorBidi"/>
          <w:color w:val="0E101A"/>
        </w:rPr>
        <w:t xml:space="preserve"> cases. Decoy cells were </w:t>
      </w:r>
      <w:r w:rsidR="0004062C">
        <w:rPr>
          <w:rFonts w:asciiTheme="majorBidi" w:hAnsiTheme="majorBidi" w:cstheme="majorBidi"/>
          <w:color w:val="0E101A"/>
        </w:rPr>
        <w:t>associated with cytological changes (e.g., hyperkeratosis, inflammation), bacterial infections, and recurrent urinary tract infections (UTIs)</w:t>
      </w:r>
      <w:r w:rsidRPr="00266868">
        <w:rPr>
          <w:rFonts w:asciiTheme="majorBidi" w:hAnsiTheme="majorBidi" w:cstheme="majorBidi"/>
          <w:color w:val="0E101A"/>
        </w:rPr>
        <w:t xml:space="preserve">, suggesting a reactive environment that may support viral reactivation. Urine cytology proved </w:t>
      </w:r>
      <w:r w:rsidR="0004062C">
        <w:rPr>
          <w:rFonts w:asciiTheme="majorBidi" w:hAnsiTheme="majorBidi" w:cstheme="majorBidi"/>
          <w:color w:val="0E101A"/>
        </w:rPr>
        <w:t>to be an effective</w:t>
      </w:r>
      <w:r w:rsidRPr="00266868">
        <w:rPr>
          <w:rFonts w:asciiTheme="majorBidi" w:hAnsiTheme="majorBidi" w:cstheme="majorBidi"/>
          <w:color w:val="0E101A"/>
        </w:rPr>
        <w:t xml:space="preserve"> non-invasive method for detecting BKV activity, outperforming conventional PCR in some cases.</w:t>
      </w:r>
    </w:p>
    <w:p w14:paraId="2EFA6EC1" w14:textId="77777777" w:rsidR="001242CE" w:rsidRPr="001242CE" w:rsidRDefault="0004062C" w:rsidP="001242CE">
      <w:pPr>
        <w:pStyle w:val="Heading2"/>
        <w:spacing w:line="360" w:lineRule="auto"/>
        <w:jc w:val="both"/>
        <w:rPr>
          <w:rStyle w:val="Strong"/>
          <w:rFonts w:asciiTheme="majorBidi" w:hAnsiTheme="majorBidi"/>
          <w:color w:val="0E101A"/>
          <w:sz w:val="24"/>
          <w:szCs w:val="24"/>
        </w:rPr>
      </w:pPr>
      <w:r>
        <w:rPr>
          <w:rStyle w:val="Strong"/>
          <w:rFonts w:asciiTheme="majorBidi" w:hAnsiTheme="majorBidi"/>
          <w:color w:val="0E101A"/>
          <w:sz w:val="24"/>
          <w:szCs w:val="24"/>
        </w:rPr>
        <w:t xml:space="preserve">6. </w:t>
      </w:r>
      <w:r w:rsidRPr="001242CE">
        <w:rPr>
          <w:rStyle w:val="Strong"/>
          <w:rFonts w:asciiTheme="majorBidi" w:hAnsiTheme="majorBidi"/>
          <w:color w:val="0E101A"/>
          <w:sz w:val="24"/>
          <w:szCs w:val="24"/>
        </w:rPr>
        <w:t>RECOMMENDATION</w:t>
      </w:r>
    </w:p>
    <w:p w14:paraId="5877B821" w14:textId="77777777" w:rsidR="001242CE" w:rsidRDefault="001242CE" w:rsidP="001242CE">
      <w:pPr>
        <w:pStyle w:val="NormalWeb"/>
        <w:numPr>
          <w:ilvl w:val="0"/>
          <w:numId w:val="42"/>
        </w:numPr>
        <w:spacing w:before="0" w:beforeAutospacing="0" w:after="0" w:line="360" w:lineRule="auto"/>
        <w:jc w:val="both"/>
        <w:rPr>
          <w:rFonts w:asciiTheme="majorBidi" w:hAnsiTheme="majorBidi" w:cstheme="majorBidi"/>
          <w:color w:val="0E101A"/>
        </w:rPr>
      </w:pPr>
      <w:r w:rsidRPr="001242CE">
        <w:rPr>
          <w:rFonts w:asciiTheme="majorBidi" w:hAnsiTheme="majorBidi" w:cstheme="majorBidi"/>
          <w:color w:val="0E101A"/>
        </w:rPr>
        <w:t>Integrate cytological screening into the routine evaluation of prostatic and urinary tract conditions.</w:t>
      </w:r>
    </w:p>
    <w:p w14:paraId="03DFB7E9" w14:textId="77777777" w:rsidR="001242CE" w:rsidRDefault="001242CE" w:rsidP="001242CE">
      <w:pPr>
        <w:pStyle w:val="NormalWeb"/>
        <w:numPr>
          <w:ilvl w:val="0"/>
          <w:numId w:val="42"/>
        </w:numPr>
        <w:spacing w:before="0" w:beforeAutospacing="0" w:after="0" w:line="360" w:lineRule="auto"/>
        <w:jc w:val="both"/>
        <w:rPr>
          <w:rFonts w:asciiTheme="majorBidi" w:hAnsiTheme="majorBidi" w:cstheme="majorBidi"/>
          <w:color w:val="0E101A"/>
        </w:rPr>
      </w:pPr>
      <w:r w:rsidRPr="001242CE">
        <w:rPr>
          <w:rFonts w:asciiTheme="majorBidi" w:hAnsiTheme="majorBidi" w:cstheme="majorBidi"/>
          <w:color w:val="0E101A"/>
        </w:rPr>
        <w:lastRenderedPageBreak/>
        <w:t>Use decoy cell detection as an early indicator of BK virus infection.</w:t>
      </w:r>
    </w:p>
    <w:p w14:paraId="389F2B07" w14:textId="77777777" w:rsidR="001242CE" w:rsidRDefault="001242CE" w:rsidP="001242CE">
      <w:pPr>
        <w:pStyle w:val="NormalWeb"/>
        <w:numPr>
          <w:ilvl w:val="0"/>
          <w:numId w:val="42"/>
        </w:numPr>
        <w:spacing w:before="0" w:beforeAutospacing="0" w:after="0" w:line="360" w:lineRule="auto"/>
        <w:jc w:val="both"/>
        <w:rPr>
          <w:rFonts w:asciiTheme="majorBidi" w:hAnsiTheme="majorBidi" w:cstheme="majorBidi"/>
          <w:color w:val="0E101A"/>
        </w:rPr>
      </w:pPr>
      <w:r w:rsidRPr="001242CE">
        <w:rPr>
          <w:rFonts w:asciiTheme="majorBidi" w:hAnsiTheme="majorBidi" w:cstheme="majorBidi"/>
          <w:color w:val="0E101A"/>
        </w:rPr>
        <w:t>Promote cytology as a cost-effective tool, especially in low-resource settings.</w:t>
      </w:r>
    </w:p>
    <w:p w14:paraId="4D428D06" w14:textId="77777777" w:rsidR="001242CE" w:rsidRDefault="001242CE" w:rsidP="001242CE">
      <w:pPr>
        <w:pStyle w:val="NormalWeb"/>
        <w:numPr>
          <w:ilvl w:val="0"/>
          <w:numId w:val="42"/>
        </w:numPr>
        <w:spacing w:before="0" w:beforeAutospacing="0" w:after="0" w:line="360" w:lineRule="auto"/>
        <w:jc w:val="both"/>
        <w:rPr>
          <w:rFonts w:asciiTheme="majorBidi" w:hAnsiTheme="majorBidi" w:cstheme="majorBidi"/>
          <w:color w:val="0E101A"/>
        </w:rPr>
      </w:pPr>
      <w:r w:rsidRPr="001242CE">
        <w:rPr>
          <w:rFonts w:asciiTheme="majorBidi" w:hAnsiTheme="majorBidi" w:cstheme="majorBidi"/>
          <w:color w:val="0E101A"/>
        </w:rPr>
        <w:t>Encourage further research on the role of BK virus in prostate disease progression.</w:t>
      </w:r>
    </w:p>
    <w:p w14:paraId="0D290516" w14:textId="77777777" w:rsidR="001242CE" w:rsidRPr="001242CE" w:rsidRDefault="001242CE" w:rsidP="001242CE">
      <w:pPr>
        <w:pStyle w:val="NormalWeb"/>
        <w:numPr>
          <w:ilvl w:val="0"/>
          <w:numId w:val="42"/>
        </w:numPr>
        <w:spacing w:before="0" w:beforeAutospacing="0" w:after="0" w:line="360" w:lineRule="auto"/>
        <w:jc w:val="both"/>
        <w:rPr>
          <w:rFonts w:asciiTheme="majorBidi" w:hAnsiTheme="majorBidi" w:cstheme="majorBidi"/>
          <w:color w:val="0E101A"/>
        </w:rPr>
      </w:pPr>
      <w:r w:rsidRPr="001242CE">
        <w:rPr>
          <w:rFonts w:asciiTheme="majorBidi" w:hAnsiTheme="majorBidi" w:cstheme="majorBidi"/>
          <w:color w:val="0E101A"/>
        </w:rPr>
        <w:t>Consider combining cytology with clinical and microbiological data for comprehensive diagnosis</w:t>
      </w:r>
    </w:p>
    <w:p w14:paraId="79B4D1AA" w14:textId="77777777" w:rsidR="00DF1E5F" w:rsidRDefault="00D47E70" w:rsidP="00DF1E5F">
      <w:pPr>
        <w:pStyle w:val="NormalWeb"/>
        <w:spacing w:before="240" w:beforeAutospacing="0" w:after="0" w:afterAutospacing="0" w:line="360" w:lineRule="auto"/>
        <w:jc w:val="both"/>
        <w:rPr>
          <w:rFonts w:asciiTheme="majorBidi" w:hAnsiTheme="majorBidi" w:cstheme="majorBidi"/>
          <w:b/>
          <w:bCs/>
          <w:color w:val="0E101A"/>
        </w:rPr>
      </w:pPr>
      <w:r>
        <w:rPr>
          <w:rFonts w:asciiTheme="majorBidi" w:hAnsiTheme="majorBidi" w:cstheme="majorBidi"/>
          <w:b/>
          <w:bCs/>
          <w:color w:val="0E101A"/>
        </w:rPr>
        <w:t>CONSENT</w:t>
      </w:r>
    </w:p>
    <w:p w14:paraId="28DC5B33" w14:textId="77777777" w:rsidR="00DF1E5F" w:rsidRDefault="00DF1E5F" w:rsidP="00DF1E5F">
      <w:pPr>
        <w:pStyle w:val="NormalWeb"/>
        <w:spacing w:before="0" w:beforeAutospacing="0" w:after="0" w:afterAutospacing="0" w:line="360" w:lineRule="auto"/>
        <w:jc w:val="both"/>
        <w:rPr>
          <w:rFonts w:asciiTheme="majorBidi" w:hAnsiTheme="majorBidi" w:cstheme="majorBidi"/>
          <w:color w:val="0E101A"/>
        </w:rPr>
      </w:pPr>
      <w:r>
        <w:rPr>
          <w:rFonts w:asciiTheme="majorBidi" w:hAnsiTheme="majorBidi" w:cstheme="majorBidi"/>
          <w:color w:val="0E101A"/>
        </w:rPr>
        <w:t>The patient’s written consent has been collected.</w:t>
      </w:r>
    </w:p>
    <w:p w14:paraId="28A3717F" w14:textId="77777777" w:rsidR="00DF1E5F" w:rsidRDefault="00D47E70" w:rsidP="00582292">
      <w:pPr>
        <w:pStyle w:val="NormalWeb"/>
        <w:spacing w:before="0" w:beforeAutospacing="0" w:after="0" w:afterAutospacing="0" w:line="360" w:lineRule="auto"/>
        <w:jc w:val="both"/>
        <w:rPr>
          <w:rFonts w:asciiTheme="majorBidi" w:hAnsiTheme="majorBidi" w:cstheme="majorBidi"/>
          <w:b/>
          <w:bCs/>
          <w:color w:val="0E101A"/>
        </w:rPr>
      </w:pPr>
      <w:r>
        <w:rPr>
          <w:rFonts w:asciiTheme="majorBidi" w:hAnsiTheme="majorBidi" w:cstheme="majorBidi"/>
          <w:b/>
          <w:bCs/>
          <w:color w:val="0E101A"/>
        </w:rPr>
        <w:t>ETHICAL APPROVAL</w:t>
      </w:r>
    </w:p>
    <w:p w14:paraId="2145D0EF" w14:textId="77777777" w:rsidR="00DF1E5F" w:rsidRDefault="00DF1E5F" w:rsidP="00D47E70">
      <w:pPr>
        <w:pStyle w:val="NormalWeb"/>
        <w:spacing w:before="0" w:beforeAutospacing="0" w:after="0" w:line="360" w:lineRule="auto"/>
        <w:jc w:val="both"/>
        <w:rPr>
          <w:rFonts w:asciiTheme="majorBidi" w:hAnsiTheme="majorBidi" w:cstheme="majorBidi"/>
          <w:color w:val="0E101A"/>
        </w:rPr>
      </w:pPr>
      <w:r w:rsidRPr="00DF1E5F">
        <w:rPr>
          <w:rFonts w:asciiTheme="majorBidi" w:hAnsiTheme="majorBidi" w:cstheme="majorBidi"/>
          <w:color w:val="0E101A"/>
        </w:rPr>
        <w:t xml:space="preserve">The study was approved by the Department of Histopathology and Cytology in Medical Laboratory Sciences at Shendi University, </w:t>
      </w:r>
      <w:r w:rsidR="00530114">
        <w:rPr>
          <w:rFonts w:asciiTheme="majorBidi" w:hAnsiTheme="majorBidi" w:cstheme="majorBidi"/>
          <w:color w:val="0E101A"/>
        </w:rPr>
        <w:t xml:space="preserve">and </w:t>
      </w:r>
      <w:r w:rsidRPr="00DF1E5F">
        <w:rPr>
          <w:rFonts w:asciiTheme="majorBidi" w:hAnsiTheme="majorBidi" w:cstheme="majorBidi"/>
          <w:color w:val="0E101A"/>
        </w:rPr>
        <w:t>the study was matched to the ethical review committee board. Sample collection was done after signing a written agreement with the participants. Permission for this study was obtained from the local authorities in the area of study. The aims and the benefits of this study were explained with the assurance of confidentiality.</w:t>
      </w:r>
      <w:r w:rsidR="00D47E70">
        <w:rPr>
          <w:rFonts w:asciiTheme="majorBidi" w:hAnsiTheme="majorBidi" w:cstheme="majorBidi"/>
          <w:color w:val="0E101A"/>
        </w:rPr>
        <w:t xml:space="preserve"> </w:t>
      </w:r>
      <w:r w:rsidR="00D47E70" w:rsidRPr="00D47E70">
        <w:rPr>
          <w:rFonts w:asciiTheme="majorBidi" w:hAnsiTheme="majorBidi" w:cstheme="majorBidi"/>
          <w:color w:val="0E101A"/>
        </w:rPr>
        <w:t>All protocols in this study were done according to</w:t>
      </w:r>
      <w:r w:rsidR="00D47E70">
        <w:rPr>
          <w:rFonts w:asciiTheme="majorBidi" w:hAnsiTheme="majorBidi" w:cstheme="majorBidi"/>
          <w:color w:val="0E101A"/>
        </w:rPr>
        <w:t xml:space="preserve"> </w:t>
      </w:r>
      <w:r w:rsidR="00D47E70" w:rsidRPr="00D47E70">
        <w:rPr>
          <w:rFonts w:asciiTheme="majorBidi" w:hAnsiTheme="majorBidi" w:cstheme="majorBidi"/>
          <w:color w:val="0E101A"/>
        </w:rPr>
        <w:t>the Declaration of Helsinki (1964).</w:t>
      </w:r>
    </w:p>
    <w:p w14:paraId="0E6D125B" w14:textId="77777777" w:rsidR="00D47E70" w:rsidRDefault="00D47E70" w:rsidP="00D47E70">
      <w:pPr>
        <w:pStyle w:val="NormalWeb"/>
        <w:spacing w:before="0" w:beforeAutospacing="0" w:after="0" w:afterAutospacing="0" w:line="360" w:lineRule="auto"/>
        <w:jc w:val="both"/>
        <w:rPr>
          <w:rFonts w:asciiTheme="majorBidi" w:hAnsiTheme="majorBidi" w:cstheme="majorBidi"/>
          <w:b/>
          <w:bCs/>
          <w:color w:val="0E101A"/>
        </w:rPr>
      </w:pPr>
      <w:r>
        <w:rPr>
          <w:rFonts w:asciiTheme="majorBidi" w:hAnsiTheme="majorBidi" w:cstheme="majorBidi"/>
          <w:b/>
          <w:bCs/>
          <w:color w:val="0E101A"/>
        </w:rPr>
        <w:t>DISCLAIMER (ARTIFICIAL INTELLIGENCE)</w:t>
      </w:r>
    </w:p>
    <w:p w14:paraId="0965E303" w14:textId="2933A868" w:rsidR="00D47E70" w:rsidRDefault="00D47E70" w:rsidP="00D47E70">
      <w:pPr>
        <w:widowControl w:val="0"/>
        <w:wordWrap w:val="0"/>
        <w:autoSpaceDE w:val="0"/>
        <w:autoSpaceDN w:val="0"/>
        <w:spacing w:after="0" w:line="360" w:lineRule="auto"/>
        <w:jc w:val="both"/>
        <w:rPr>
          <w:rFonts w:asciiTheme="majorBidi" w:eastAsia="Batang" w:hAnsiTheme="majorBidi" w:cstheme="majorBidi"/>
          <w:kern w:val="2"/>
          <w:sz w:val="24"/>
          <w:szCs w:val="24"/>
          <w:rtl/>
          <w:lang w:eastAsia="ko-KR"/>
        </w:rPr>
      </w:pPr>
      <w:r>
        <w:rPr>
          <w:rFonts w:asciiTheme="majorBidi" w:eastAsia="Batang" w:hAnsiTheme="majorBidi" w:cstheme="majorBidi"/>
          <w:kern w:val="2"/>
          <w:sz w:val="24"/>
          <w:szCs w:val="24"/>
          <w:lang w:eastAsia="ko-KR"/>
        </w:rPr>
        <w:t>As a result, the Author (s) declare that NO generative AI technologies such as Large Language Models (</w:t>
      </w:r>
      <w:proofErr w:type="spellStart"/>
      <w:r>
        <w:rPr>
          <w:rFonts w:asciiTheme="majorBidi" w:eastAsia="Batang" w:hAnsiTheme="majorBidi" w:cstheme="majorBidi"/>
          <w:kern w:val="2"/>
          <w:sz w:val="24"/>
          <w:szCs w:val="24"/>
          <w:lang w:eastAsia="ko-KR"/>
        </w:rPr>
        <w:t>ChatGPT</w:t>
      </w:r>
      <w:proofErr w:type="spellEnd"/>
      <w:r>
        <w:rPr>
          <w:rFonts w:asciiTheme="majorBidi" w:eastAsia="Batang" w:hAnsiTheme="majorBidi" w:cstheme="majorBidi"/>
          <w:kern w:val="2"/>
          <w:sz w:val="24"/>
          <w:szCs w:val="24"/>
          <w:lang w:eastAsia="ko-KR"/>
        </w:rPr>
        <w:t xml:space="preserve">, COPILOT, </w:t>
      </w:r>
      <w:proofErr w:type="spellStart"/>
      <w:r>
        <w:rPr>
          <w:rFonts w:asciiTheme="majorBidi" w:eastAsia="Batang" w:hAnsiTheme="majorBidi" w:cstheme="majorBidi"/>
          <w:kern w:val="2"/>
          <w:sz w:val="24"/>
          <w:szCs w:val="24"/>
          <w:lang w:eastAsia="ko-KR"/>
        </w:rPr>
        <w:t>etc</w:t>
      </w:r>
      <w:proofErr w:type="spellEnd"/>
      <w:r>
        <w:rPr>
          <w:rFonts w:asciiTheme="majorBidi" w:eastAsia="Batang" w:hAnsiTheme="majorBidi" w:cstheme="majorBidi"/>
          <w:kern w:val="2"/>
          <w:sz w:val="24"/>
          <w:szCs w:val="24"/>
          <w:lang w:eastAsia="ko-KR"/>
        </w:rPr>
        <w:t>) and text-to-image generators have been used during the writing or editing of manuscripts.</w:t>
      </w:r>
    </w:p>
    <w:p w14:paraId="7E878317" w14:textId="77777777" w:rsidR="00BE4C31" w:rsidRPr="00BE4C31" w:rsidRDefault="00BE4C31" w:rsidP="00BE4C31">
      <w:pPr>
        <w:tabs>
          <w:tab w:val="left" w:pos="5774"/>
        </w:tabs>
        <w:spacing w:after="0" w:line="360" w:lineRule="auto"/>
        <w:jc w:val="both"/>
        <w:rPr>
          <w:rFonts w:asciiTheme="majorBidi" w:hAnsiTheme="majorBidi" w:cstheme="majorBidi"/>
          <w:b/>
          <w:bCs/>
          <w:sz w:val="24"/>
          <w:szCs w:val="24"/>
          <w:highlight w:val="yellow"/>
        </w:rPr>
      </w:pPr>
      <w:r w:rsidRPr="00BE4C31">
        <w:rPr>
          <w:rFonts w:asciiTheme="majorBidi" w:hAnsiTheme="majorBidi" w:cstheme="majorBidi"/>
          <w:b/>
          <w:bCs/>
          <w:sz w:val="24"/>
          <w:szCs w:val="24"/>
          <w:highlight w:val="yellow"/>
        </w:rPr>
        <w:t>COMPETING INTERESTS DISCLAIMER</w:t>
      </w:r>
    </w:p>
    <w:p w14:paraId="2FBD0104" w14:textId="77777777" w:rsidR="00BE4C31" w:rsidRDefault="00BE4C31" w:rsidP="00BE4C31">
      <w:pPr>
        <w:tabs>
          <w:tab w:val="left" w:pos="5774"/>
        </w:tabs>
        <w:spacing w:line="360" w:lineRule="auto"/>
        <w:jc w:val="both"/>
        <w:rPr>
          <w:rFonts w:asciiTheme="majorBidi" w:hAnsiTheme="majorBidi" w:cstheme="majorBidi"/>
          <w:sz w:val="24"/>
          <w:szCs w:val="24"/>
        </w:rPr>
      </w:pPr>
      <w:r w:rsidRPr="00BE4C31">
        <w:rPr>
          <w:rFonts w:asciiTheme="majorBidi" w:hAnsiTheme="majorBidi" w:cstheme="majorBidi"/>
          <w:sz w:val="24"/>
          <w:szCs w:val="24"/>
          <w:highlight w:val="yellow"/>
        </w:rPr>
        <w:t>Authors have declared that they have no known competing financial interests OR non-financial interests, OR personal relationships that could have appeared to influence the work reported in this paper.</w:t>
      </w:r>
    </w:p>
    <w:p w14:paraId="3DD0638A" w14:textId="77777777" w:rsidR="00BE4C31" w:rsidRPr="00D47E70" w:rsidRDefault="00BE4C31" w:rsidP="00D47E70">
      <w:pPr>
        <w:widowControl w:val="0"/>
        <w:wordWrap w:val="0"/>
        <w:autoSpaceDE w:val="0"/>
        <w:autoSpaceDN w:val="0"/>
        <w:spacing w:after="0" w:line="360" w:lineRule="auto"/>
        <w:jc w:val="both"/>
        <w:rPr>
          <w:rFonts w:asciiTheme="majorBidi" w:eastAsia="Batang" w:hAnsiTheme="majorBidi" w:cstheme="majorBidi" w:hint="cs"/>
          <w:kern w:val="2"/>
          <w:sz w:val="24"/>
          <w:szCs w:val="24"/>
          <w:rtl/>
          <w:lang w:eastAsia="ko-KR" w:bidi="ar-QA"/>
        </w:rPr>
      </w:pPr>
    </w:p>
    <w:p w14:paraId="40D32163" w14:textId="77777777" w:rsidR="004819AB" w:rsidRDefault="004819AB" w:rsidP="00C10DD5">
      <w:pPr>
        <w:widowControl w:val="0"/>
        <w:wordWrap w:val="0"/>
        <w:autoSpaceDE w:val="0"/>
        <w:autoSpaceDN w:val="0"/>
        <w:spacing w:after="0" w:line="360" w:lineRule="auto"/>
        <w:jc w:val="both"/>
        <w:rPr>
          <w:rFonts w:asciiTheme="majorBidi" w:eastAsia="Batang" w:hAnsiTheme="majorBidi" w:cstheme="majorBidi"/>
          <w:b/>
          <w:bCs/>
          <w:kern w:val="2"/>
          <w:sz w:val="24"/>
          <w:szCs w:val="24"/>
          <w:lang w:eastAsia="ko-KR"/>
        </w:rPr>
      </w:pPr>
    </w:p>
    <w:p w14:paraId="1CDE0FC0" w14:textId="671F8F8E" w:rsidR="00826A03" w:rsidRPr="00C10DD5" w:rsidRDefault="00582292" w:rsidP="00C10DD5">
      <w:pPr>
        <w:widowControl w:val="0"/>
        <w:wordWrap w:val="0"/>
        <w:autoSpaceDE w:val="0"/>
        <w:autoSpaceDN w:val="0"/>
        <w:spacing w:after="0" w:line="360" w:lineRule="auto"/>
        <w:jc w:val="both"/>
        <w:rPr>
          <w:rFonts w:asciiTheme="majorBidi" w:eastAsia="Batang" w:hAnsiTheme="majorBidi" w:cstheme="majorBidi"/>
          <w:b/>
          <w:bCs/>
          <w:kern w:val="2"/>
          <w:sz w:val="24"/>
          <w:szCs w:val="24"/>
          <w:lang w:eastAsia="ko-KR"/>
        </w:rPr>
      </w:pPr>
      <w:r>
        <w:rPr>
          <w:rFonts w:asciiTheme="majorBidi" w:eastAsia="Batang" w:hAnsiTheme="majorBidi" w:cstheme="majorBidi"/>
          <w:b/>
          <w:bCs/>
          <w:kern w:val="2"/>
          <w:sz w:val="24"/>
          <w:szCs w:val="24"/>
          <w:lang w:eastAsia="ko-KR"/>
        </w:rPr>
        <w:t>References</w:t>
      </w:r>
    </w:p>
    <w:p w14:paraId="0E0F0ABA" w14:textId="77777777" w:rsidR="00636870" w:rsidRDefault="00636870" w:rsidP="00636870">
      <w:pPr>
        <w:pStyle w:val="ListParagraph"/>
        <w:numPr>
          <w:ilvl w:val="0"/>
          <w:numId w:val="41"/>
        </w:numPr>
        <w:shd w:val="clear" w:color="auto" w:fill="FFFFFF"/>
        <w:spacing w:before="225" w:after="100" w:afterAutospacing="1" w:line="360" w:lineRule="auto"/>
        <w:ind w:left="0"/>
        <w:rPr>
          <w:rStyle w:val="HTMLCite"/>
          <w:rFonts w:asciiTheme="majorBidi" w:hAnsiTheme="majorBidi" w:cstheme="majorBidi"/>
          <w:i w:val="0"/>
          <w:iCs w:val="0"/>
          <w:color w:val="1B1B1B"/>
          <w:sz w:val="24"/>
          <w:szCs w:val="24"/>
        </w:rPr>
      </w:pPr>
      <w:r w:rsidRPr="00636870">
        <w:rPr>
          <w:rStyle w:val="HTMLCite"/>
          <w:rFonts w:asciiTheme="majorBidi" w:hAnsiTheme="majorBidi" w:cstheme="majorBidi"/>
          <w:i w:val="0"/>
          <w:iCs w:val="0"/>
          <w:color w:val="1B1B1B"/>
          <w:sz w:val="24"/>
          <w:szCs w:val="24"/>
        </w:rPr>
        <w:t>Abeer AE, Mohammed OM. Pathological grading of prostate Cancer in Sudanese patients attended soba teaching hospital. University of Khartoum Graduate College Medical and Health Studies Board. 2003:5–7.</w:t>
      </w:r>
    </w:p>
    <w:p w14:paraId="721B2A1B" w14:textId="77777777" w:rsidR="00636870" w:rsidRDefault="00636870" w:rsidP="00636870">
      <w:pPr>
        <w:pStyle w:val="ListParagraph"/>
        <w:numPr>
          <w:ilvl w:val="0"/>
          <w:numId w:val="41"/>
        </w:numPr>
        <w:shd w:val="clear" w:color="auto" w:fill="FFFFFF"/>
        <w:spacing w:line="360" w:lineRule="auto"/>
        <w:ind w:left="0"/>
        <w:rPr>
          <w:rStyle w:val="HTMLCite"/>
          <w:rFonts w:asciiTheme="majorBidi" w:hAnsiTheme="majorBidi" w:cstheme="majorBidi"/>
          <w:i w:val="0"/>
          <w:iCs w:val="0"/>
          <w:color w:val="1B1B1B"/>
          <w:sz w:val="24"/>
          <w:szCs w:val="24"/>
        </w:rPr>
      </w:pPr>
      <w:r w:rsidRPr="00636870">
        <w:rPr>
          <w:rStyle w:val="HTMLCite"/>
          <w:rFonts w:asciiTheme="majorBidi" w:hAnsiTheme="majorBidi" w:cstheme="majorBidi"/>
          <w:i w:val="0"/>
          <w:iCs w:val="0"/>
          <w:color w:val="1B1B1B"/>
          <w:sz w:val="24"/>
          <w:szCs w:val="24"/>
        </w:rPr>
        <w:t xml:space="preserve">Plummer J, Noon DL. Understanding prostate cancer. Prostate Cancer Foundation of </w:t>
      </w:r>
      <w:r w:rsidRPr="00636870">
        <w:rPr>
          <w:rStyle w:val="HTMLCite"/>
          <w:rFonts w:asciiTheme="majorBidi" w:hAnsiTheme="majorBidi" w:cstheme="majorBidi"/>
          <w:i w:val="0"/>
          <w:iCs w:val="0"/>
          <w:color w:val="1B1B1B"/>
          <w:sz w:val="24"/>
          <w:szCs w:val="24"/>
        </w:rPr>
        <w:lastRenderedPageBreak/>
        <w:t>Australia. 2014:6–9 </w:t>
      </w:r>
    </w:p>
    <w:p w14:paraId="172B31EA" w14:textId="77777777" w:rsidR="00636870" w:rsidRDefault="00636870" w:rsidP="00636870">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r w:rsidRPr="00636870">
        <w:rPr>
          <w:rStyle w:val="HTMLCite"/>
          <w:rFonts w:asciiTheme="majorBidi" w:hAnsiTheme="majorBidi" w:cstheme="majorBidi"/>
          <w:i w:val="0"/>
          <w:iCs w:val="0"/>
          <w:color w:val="1B1B1B"/>
          <w:sz w:val="24"/>
          <w:szCs w:val="24"/>
        </w:rPr>
        <w:t xml:space="preserve">Rodríguez H, </w:t>
      </w:r>
      <w:proofErr w:type="spellStart"/>
      <w:r w:rsidRPr="00636870">
        <w:rPr>
          <w:rStyle w:val="HTMLCite"/>
          <w:rFonts w:asciiTheme="majorBidi" w:hAnsiTheme="majorBidi" w:cstheme="majorBidi"/>
          <w:i w:val="0"/>
          <w:iCs w:val="0"/>
          <w:color w:val="1B1B1B"/>
          <w:sz w:val="24"/>
          <w:szCs w:val="24"/>
        </w:rPr>
        <w:t>Levican</w:t>
      </w:r>
      <w:proofErr w:type="spellEnd"/>
      <w:r w:rsidRPr="00636870">
        <w:rPr>
          <w:rStyle w:val="HTMLCite"/>
          <w:rFonts w:asciiTheme="majorBidi" w:hAnsiTheme="majorBidi" w:cstheme="majorBidi"/>
          <w:i w:val="0"/>
          <w:iCs w:val="0"/>
          <w:color w:val="1B1B1B"/>
          <w:sz w:val="24"/>
          <w:szCs w:val="24"/>
        </w:rPr>
        <w:t xml:space="preserve"> J, Muñoz JP, Carrillo D, Acevedo ML, Gaggero A, León O, </w:t>
      </w:r>
      <w:proofErr w:type="spellStart"/>
      <w:r w:rsidRPr="00636870">
        <w:rPr>
          <w:rStyle w:val="HTMLCite"/>
          <w:rFonts w:asciiTheme="majorBidi" w:hAnsiTheme="majorBidi" w:cstheme="majorBidi"/>
          <w:i w:val="0"/>
          <w:iCs w:val="0"/>
          <w:color w:val="1B1B1B"/>
          <w:sz w:val="24"/>
          <w:szCs w:val="24"/>
        </w:rPr>
        <w:t>Gheit</w:t>
      </w:r>
      <w:proofErr w:type="spellEnd"/>
      <w:r w:rsidRPr="00636870">
        <w:rPr>
          <w:rStyle w:val="HTMLCite"/>
          <w:rFonts w:asciiTheme="majorBidi" w:hAnsiTheme="majorBidi" w:cstheme="majorBidi"/>
          <w:i w:val="0"/>
          <w:iCs w:val="0"/>
          <w:color w:val="1B1B1B"/>
          <w:sz w:val="24"/>
          <w:szCs w:val="24"/>
        </w:rPr>
        <w:t xml:space="preserve"> T, Espinoza-Navarro O, Castillo J, Gallegos I, Tommasino M, Aguayo F. Viral infections in prostate carcinomas in Chilean patients. Infect Agent Cancer. 2015;10(1):27.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10.1186/s13027-015-0024-y.</w:t>
      </w:r>
      <w:r w:rsidRPr="00636870">
        <w:rPr>
          <w:rFonts w:asciiTheme="majorBidi" w:hAnsiTheme="majorBidi" w:cstheme="majorBidi"/>
          <w:color w:val="1B1B1B"/>
          <w:sz w:val="24"/>
          <w:szCs w:val="24"/>
        </w:rPr>
        <w:t> </w:t>
      </w:r>
    </w:p>
    <w:p w14:paraId="6F26AB42" w14:textId="77777777" w:rsidR="00636870" w:rsidRDefault="00636870" w:rsidP="00636870">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proofErr w:type="spellStart"/>
      <w:r w:rsidRPr="00636870">
        <w:rPr>
          <w:rStyle w:val="HTMLCite"/>
          <w:rFonts w:asciiTheme="majorBidi" w:hAnsiTheme="majorBidi" w:cstheme="majorBidi"/>
          <w:i w:val="0"/>
          <w:iCs w:val="0"/>
          <w:color w:val="1B1B1B"/>
          <w:sz w:val="24"/>
          <w:szCs w:val="24"/>
        </w:rPr>
        <w:t>Delbue</w:t>
      </w:r>
      <w:proofErr w:type="spellEnd"/>
      <w:r w:rsidRPr="00636870">
        <w:rPr>
          <w:rStyle w:val="HTMLCite"/>
          <w:rFonts w:asciiTheme="majorBidi" w:hAnsiTheme="majorBidi" w:cstheme="majorBidi"/>
          <w:i w:val="0"/>
          <w:iCs w:val="0"/>
          <w:color w:val="1B1B1B"/>
          <w:sz w:val="24"/>
          <w:szCs w:val="24"/>
        </w:rPr>
        <w:t xml:space="preserve"> S, </w:t>
      </w:r>
      <w:proofErr w:type="spellStart"/>
      <w:r w:rsidRPr="00636870">
        <w:rPr>
          <w:rStyle w:val="HTMLCite"/>
          <w:rFonts w:asciiTheme="majorBidi" w:hAnsiTheme="majorBidi" w:cstheme="majorBidi"/>
          <w:i w:val="0"/>
          <w:iCs w:val="0"/>
          <w:color w:val="1B1B1B"/>
          <w:sz w:val="24"/>
          <w:szCs w:val="24"/>
        </w:rPr>
        <w:t>Matei</w:t>
      </w:r>
      <w:proofErr w:type="spellEnd"/>
      <w:r w:rsidRPr="00636870">
        <w:rPr>
          <w:rStyle w:val="HTMLCite"/>
          <w:rFonts w:asciiTheme="majorBidi" w:hAnsiTheme="majorBidi" w:cstheme="majorBidi"/>
          <w:i w:val="0"/>
          <w:iCs w:val="0"/>
          <w:color w:val="1B1B1B"/>
          <w:sz w:val="24"/>
          <w:szCs w:val="24"/>
        </w:rPr>
        <w:t xml:space="preserve"> DV, </w:t>
      </w:r>
      <w:proofErr w:type="spellStart"/>
      <w:r w:rsidRPr="00636870">
        <w:rPr>
          <w:rStyle w:val="HTMLCite"/>
          <w:rFonts w:asciiTheme="majorBidi" w:hAnsiTheme="majorBidi" w:cstheme="majorBidi"/>
          <w:i w:val="0"/>
          <w:iCs w:val="0"/>
          <w:color w:val="1B1B1B"/>
          <w:sz w:val="24"/>
          <w:szCs w:val="24"/>
        </w:rPr>
        <w:t>Carloni</w:t>
      </w:r>
      <w:proofErr w:type="spellEnd"/>
      <w:r w:rsidRPr="00636870">
        <w:rPr>
          <w:rStyle w:val="HTMLCite"/>
          <w:rFonts w:asciiTheme="majorBidi" w:hAnsiTheme="majorBidi" w:cstheme="majorBidi"/>
          <w:i w:val="0"/>
          <w:iCs w:val="0"/>
          <w:color w:val="1B1B1B"/>
          <w:sz w:val="24"/>
          <w:szCs w:val="24"/>
        </w:rPr>
        <w:t xml:space="preserve"> C, </w:t>
      </w:r>
      <w:proofErr w:type="spellStart"/>
      <w:r w:rsidRPr="00636870">
        <w:rPr>
          <w:rStyle w:val="HTMLCite"/>
          <w:rFonts w:asciiTheme="majorBidi" w:hAnsiTheme="majorBidi" w:cstheme="majorBidi"/>
          <w:i w:val="0"/>
          <w:iCs w:val="0"/>
          <w:color w:val="1B1B1B"/>
          <w:sz w:val="24"/>
          <w:szCs w:val="24"/>
        </w:rPr>
        <w:t>Pecchenini</w:t>
      </w:r>
      <w:proofErr w:type="spellEnd"/>
      <w:r w:rsidRPr="00636870">
        <w:rPr>
          <w:rStyle w:val="HTMLCite"/>
          <w:rFonts w:asciiTheme="majorBidi" w:hAnsiTheme="majorBidi" w:cstheme="majorBidi"/>
          <w:i w:val="0"/>
          <w:iCs w:val="0"/>
          <w:color w:val="1B1B1B"/>
          <w:sz w:val="24"/>
          <w:szCs w:val="24"/>
        </w:rPr>
        <w:t xml:space="preserve"> V, </w:t>
      </w:r>
      <w:proofErr w:type="spellStart"/>
      <w:r w:rsidRPr="00636870">
        <w:rPr>
          <w:rStyle w:val="HTMLCite"/>
          <w:rFonts w:asciiTheme="majorBidi" w:hAnsiTheme="majorBidi" w:cstheme="majorBidi"/>
          <w:i w:val="0"/>
          <w:iCs w:val="0"/>
          <w:color w:val="1B1B1B"/>
          <w:sz w:val="24"/>
          <w:szCs w:val="24"/>
        </w:rPr>
        <w:t>Carluccio</w:t>
      </w:r>
      <w:proofErr w:type="spellEnd"/>
      <w:r w:rsidRPr="00636870">
        <w:rPr>
          <w:rStyle w:val="HTMLCite"/>
          <w:rFonts w:asciiTheme="majorBidi" w:hAnsiTheme="majorBidi" w:cstheme="majorBidi"/>
          <w:i w:val="0"/>
          <w:iCs w:val="0"/>
          <w:color w:val="1B1B1B"/>
          <w:sz w:val="24"/>
          <w:szCs w:val="24"/>
        </w:rPr>
        <w:t xml:space="preserve"> S, </w:t>
      </w:r>
      <w:proofErr w:type="spellStart"/>
      <w:r w:rsidRPr="00636870">
        <w:rPr>
          <w:rStyle w:val="HTMLCite"/>
          <w:rFonts w:asciiTheme="majorBidi" w:hAnsiTheme="majorBidi" w:cstheme="majorBidi"/>
          <w:i w:val="0"/>
          <w:iCs w:val="0"/>
          <w:color w:val="1B1B1B"/>
          <w:sz w:val="24"/>
          <w:szCs w:val="24"/>
        </w:rPr>
        <w:t>Villani</w:t>
      </w:r>
      <w:proofErr w:type="spellEnd"/>
      <w:r w:rsidRPr="00636870">
        <w:rPr>
          <w:rStyle w:val="HTMLCite"/>
          <w:rFonts w:asciiTheme="majorBidi" w:hAnsiTheme="majorBidi" w:cstheme="majorBidi"/>
          <w:i w:val="0"/>
          <w:iCs w:val="0"/>
          <w:color w:val="1B1B1B"/>
          <w:sz w:val="24"/>
          <w:szCs w:val="24"/>
        </w:rPr>
        <w:t xml:space="preserve"> S, Tringali V, Brescia A, Ferrante P. Evidence supporting the association of </w:t>
      </w:r>
      <w:proofErr w:type="spellStart"/>
      <w:r w:rsidRPr="00636870">
        <w:rPr>
          <w:rStyle w:val="HTMLCite"/>
          <w:rFonts w:asciiTheme="majorBidi" w:hAnsiTheme="majorBidi" w:cstheme="majorBidi"/>
          <w:i w:val="0"/>
          <w:iCs w:val="0"/>
          <w:color w:val="1B1B1B"/>
          <w:sz w:val="24"/>
          <w:szCs w:val="24"/>
        </w:rPr>
        <w:t>polyomavirusBK</w:t>
      </w:r>
      <w:proofErr w:type="spellEnd"/>
      <w:r w:rsidRPr="00636870">
        <w:rPr>
          <w:rStyle w:val="HTMLCite"/>
          <w:rFonts w:asciiTheme="majorBidi" w:hAnsiTheme="majorBidi" w:cstheme="majorBidi"/>
          <w:i w:val="0"/>
          <w:iCs w:val="0"/>
          <w:color w:val="1B1B1B"/>
          <w:sz w:val="24"/>
          <w:szCs w:val="24"/>
        </w:rPr>
        <w:t xml:space="preserve"> genome with prostate cancer. Med </w:t>
      </w:r>
      <w:proofErr w:type="spellStart"/>
      <w:r w:rsidRPr="00636870">
        <w:rPr>
          <w:rStyle w:val="HTMLCite"/>
          <w:rFonts w:asciiTheme="majorBidi" w:hAnsiTheme="majorBidi" w:cstheme="majorBidi"/>
          <w:i w:val="0"/>
          <w:iCs w:val="0"/>
          <w:color w:val="1B1B1B"/>
          <w:sz w:val="24"/>
          <w:szCs w:val="24"/>
        </w:rPr>
        <w:t>MicrobiolImmunol</w:t>
      </w:r>
      <w:proofErr w:type="spellEnd"/>
      <w:r w:rsidRPr="00636870">
        <w:rPr>
          <w:rStyle w:val="HTMLCite"/>
          <w:rFonts w:asciiTheme="majorBidi" w:hAnsiTheme="majorBidi" w:cstheme="majorBidi"/>
          <w:i w:val="0"/>
          <w:iCs w:val="0"/>
          <w:color w:val="1B1B1B"/>
          <w:sz w:val="24"/>
          <w:szCs w:val="24"/>
        </w:rPr>
        <w:t xml:space="preserve">. 2013;47(11):4–6.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10.1007/s00430-013-0304-3.</w:t>
      </w:r>
      <w:r w:rsidRPr="00636870">
        <w:rPr>
          <w:rFonts w:asciiTheme="majorBidi" w:hAnsiTheme="majorBidi" w:cstheme="majorBidi"/>
          <w:color w:val="1B1B1B"/>
          <w:sz w:val="24"/>
          <w:szCs w:val="24"/>
        </w:rPr>
        <w:t> </w:t>
      </w:r>
    </w:p>
    <w:p w14:paraId="3984E73B" w14:textId="77777777" w:rsidR="00636870" w:rsidRPr="00636870" w:rsidRDefault="00636870" w:rsidP="00636870">
      <w:pPr>
        <w:pStyle w:val="ListParagraph"/>
        <w:numPr>
          <w:ilvl w:val="0"/>
          <w:numId w:val="41"/>
        </w:numPr>
        <w:shd w:val="clear" w:color="auto" w:fill="FFFFFF"/>
        <w:spacing w:line="360" w:lineRule="auto"/>
        <w:ind w:left="0"/>
        <w:rPr>
          <w:rStyle w:val="Strong"/>
          <w:rFonts w:asciiTheme="majorBidi" w:hAnsiTheme="majorBidi" w:cstheme="majorBidi"/>
          <w:b w:val="0"/>
          <w:bCs w:val="0"/>
          <w:color w:val="1B1B1B"/>
          <w:sz w:val="24"/>
          <w:szCs w:val="24"/>
        </w:rPr>
      </w:pPr>
      <w:r w:rsidRPr="00636870">
        <w:rPr>
          <w:rStyle w:val="HTMLCite"/>
          <w:rFonts w:asciiTheme="majorBidi" w:hAnsiTheme="majorBidi" w:cstheme="majorBidi"/>
          <w:i w:val="0"/>
          <w:iCs w:val="0"/>
          <w:color w:val="1B1B1B"/>
          <w:sz w:val="24"/>
          <w:szCs w:val="24"/>
        </w:rPr>
        <w:t>American Cancer Society. Global Cancer Facts &amp; Figures 4th Edition. Atlanta: American Cancer Society; 2018 page: 28–31</w:t>
      </w:r>
      <w:r w:rsidRPr="00636870">
        <w:rPr>
          <w:rStyle w:val="Strong"/>
          <w:rFonts w:asciiTheme="majorBidi" w:hAnsiTheme="majorBidi" w:cstheme="majorBidi"/>
          <w:color w:val="1B1B1B"/>
          <w:sz w:val="24"/>
          <w:szCs w:val="24"/>
        </w:rPr>
        <w:t>.</w:t>
      </w:r>
    </w:p>
    <w:p w14:paraId="3AA79DC6" w14:textId="77777777" w:rsidR="00636870" w:rsidRDefault="00636870" w:rsidP="00636870">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proofErr w:type="spellStart"/>
      <w:r w:rsidRPr="00636870">
        <w:rPr>
          <w:rStyle w:val="HTMLCite"/>
          <w:rFonts w:asciiTheme="majorBidi" w:hAnsiTheme="majorBidi" w:cstheme="majorBidi"/>
          <w:i w:val="0"/>
          <w:iCs w:val="0"/>
          <w:color w:val="1B1B1B"/>
          <w:sz w:val="24"/>
          <w:szCs w:val="24"/>
        </w:rPr>
        <w:t>Elimam</w:t>
      </w:r>
      <w:proofErr w:type="spellEnd"/>
      <w:r w:rsidRPr="00636870">
        <w:rPr>
          <w:rStyle w:val="HTMLCite"/>
          <w:rFonts w:asciiTheme="majorBidi" w:hAnsiTheme="majorBidi" w:cstheme="majorBidi"/>
          <w:i w:val="0"/>
          <w:iCs w:val="0"/>
          <w:color w:val="1B1B1B"/>
          <w:sz w:val="24"/>
          <w:szCs w:val="24"/>
        </w:rPr>
        <w:t xml:space="preserve"> ME, </w:t>
      </w:r>
      <w:proofErr w:type="spellStart"/>
      <w:r w:rsidRPr="00636870">
        <w:rPr>
          <w:rStyle w:val="HTMLCite"/>
          <w:rFonts w:asciiTheme="majorBidi" w:hAnsiTheme="majorBidi" w:cstheme="majorBidi"/>
          <w:i w:val="0"/>
          <w:iCs w:val="0"/>
          <w:color w:val="1B1B1B"/>
          <w:sz w:val="24"/>
          <w:szCs w:val="24"/>
        </w:rPr>
        <w:t>Abdelraof</w:t>
      </w:r>
      <w:proofErr w:type="spellEnd"/>
      <w:r w:rsidRPr="00636870">
        <w:rPr>
          <w:rStyle w:val="HTMLCite"/>
          <w:rFonts w:asciiTheme="majorBidi" w:hAnsiTheme="majorBidi" w:cstheme="majorBidi"/>
          <w:i w:val="0"/>
          <w:iCs w:val="0"/>
          <w:color w:val="1B1B1B"/>
          <w:sz w:val="24"/>
          <w:szCs w:val="24"/>
        </w:rPr>
        <w:t xml:space="preserve"> S. Incidence of carcinoma of the prostate in patients with Normal prostatic specific antigen following prostatectomy. Global J Med Res. 2013;13(3):25–26.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10.1016/S0377-1237(17)30546-4.</w:t>
      </w:r>
    </w:p>
    <w:p w14:paraId="4B5C7884" w14:textId="77777777" w:rsidR="00636870" w:rsidRDefault="00636870" w:rsidP="00636870">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proofErr w:type="spellStart"/>
      <w:r w:rsidRPr="00636870">
        <w:rPr>
          <w:rStyle w:val="HTMLCite"/>
          <w:rFonts w:asciiTheme="majorBidi" w:hAnsiTheme="majorBidi" w:cstheme="majorBidi"/>
          <w:i w:val="0"/>
          <w:iCs w:val="0"/>
          <w:color w:val="1B1B1B"/>
          <w:sz w:val="24"/>
          <w:szCs w:val="24"/>
        </w:rPr>
        <w:t>Adeloye</w:t>
      </w:r>
      <w:proofErr w:type="spellEnd"/>
      <w:r w:rsidRPr="00636870">
        <w:rPr>
          <w:rStyle w:val="HTMLCite"/>
          <w:rFonts w:asciiTheme="majorBidi" w:hAnsiTheme="majorBidi" w:cstheme="majorBidi"/>
          <w:i w:val="0"/>
          <w:iCs w:val="0"/>
          <w:color w:val="1B1B1B"/>
          <w:sz w:val="24"/>
          <w:szCs w:val="24"/>
        </w:rPr>
        <w:t xml:space="preserve"> Davies, David </w:t>
      </w:r>
      <w:proofErr w:type="spellStart"/>
      <w:r w:rsidRPr="00636870">
        <w:rPr>
          <w:rStyle w:val="HTMLCite"/>
          <w:rFonts w:asciiTheme="majorBidi" w:hAnsiTheme="majorBidi" w:cstheme="majorBidi"/>
          <w:i w:val="0"/>
          <w:iCs w:val="0"/>
          <w:color w:val="1B1B1B"/>
          <w:sz w:val="24"/>
          <w:szCs w:val="24"/>
        </w:rPr>
        <w:t>Rotimi</w:t>
      </w:r>
      <w:proofErr w:type="spellEnd"/>
      <w:r w:rsidRPr="00636870">
        <w:rPr>
          <w:rStyle w:val="HTMLCite"/>
          <w:rFonts w:asciiTheme="majorBidi" w:hAnsiTheme="majorBidi" w:cstheme="majorBidi"/>
          <w:i w:val="0"/>
          <w:iCs w:val="0"/>
          <w:color w:val="1B1B1B"/>
          <w:sz w:val="24"/>
          <w:szCs w:val="24"/>
        </w:rPr>
        <w:t xml:space="preserve"> </w:t>
      </w:r>
      <w:proofErr w:type="spellStart"/>
      <w:r w:rsidRPr="00636870">
        <w:rPr>
          <w:rStyle w:val="HTMLCite"/>
          <w:rFonts w:asciiTheme="majorBidi" w:hAnsiTheme="majorBidi" w:cstheme="majorBidi"/>
          <w:i w:val="0"/>
          <w:iCs w:val="0"/>
          <w:color w:val="1B1B1B"/>
          <w:sz w:val="24"/>
          <w:szCs w:val="24"/>
        </w:rPr>
        <w:t>Adedeji</w:t>
      </w:r>
      <w:proofErr w:type="spellEnd"/>
      <w:r w:rsidRPr="00636870">
        <w:rPr>
          <w:rStyle w:val="HTMLCite"/>
          <w:rFonts w:asciiTheme="majorBidi" w:hAnsiTheme="majorBidi" w:cstheme="majorBidi"/>
          <w:i w:val="0"/>
          <w:iCs w:val="0"/>
          <w:color w:val="1B1B1B"/>
          <w:sz w:val="24"/>
          <w:szCs w:val="24"/>
        </w:rPr>
        <w:t xml:space="preserve">, </w:t>
      </w:r>
      <w:proofErr w:type="spellStart"/>
      <w:r w:rsidRPr="00636870">
        <w:rPr>
          <w:rStyle w:val="HTMLCite"/>
          <w:rFonts w:asciiTheme="majorBidi" w:hAnsiTheme="majorBidi" w:cstheme="majorBidi"/>
          <w:i w:val="0"/>
          <w:iCs w:val="0"/>
          <w:color w:val="1B1B1B"/>
          <w:sz w:val="24"/>
          <w:szCs w:val="24"/>
        </w:rPr>
        <w:t>Aderemi</w:t>
      </w:r>
      <w:proofErr w:type="spellEnd"/>
      <w:r w:rsidRPr="00636870">
        <w:rPr>
          <w:rStyle w:val="HTMLCite"/>
          <w:rFonts w:asciiTheme="majorBidi" w:hAnsiTheme="majorBidi" w:cstheme="majorBidi"/>
          <w:i w:val="0"/>
          <w:iCs w:val="0"/>
          <w:color w:val="1B1B1B"/>
          <w:sz w:val="24"/>
          <w:szCs w:val="24"/>
        </w:rPr>
        <w:t xml:space="preserve"> </w:t>
      </w:r>
      <w:proofErr w:type="spellStart"/>
      <w:r w:rsidRPr="00636870">
        <w:rPr>
          <w:rStyle w:val="HTMLCite"/>
          <w:rFonts w:asciiTheme="majorBidi" w:hAnsiTheme="majorBidi" w:cstheme="majorBidi"/>
          <w:i w:val="0"/>
          <w:iCs w:val="0"/>
          <w:color w:val="1B1B1B"/>
          <w:sz w:val="24"/>
          <w:szCs w:val="24"/>
        </w:rPr>
        <w:t>Adewale</w:t>
      </w:r>
      <w:proofErr w:type="spellEnd"/>
      <w:r w:rsidRPr="00636870">
        <w:rPr>
          <w:rStyle w:val="HTMLCite"/>
          <w:rFonts w:asciiTheme="majorBidi" w:hAnsiTheme="majorBidi" w:cstheme="majorBidi"/>
          <w:i w:val="0"/>
          <w:iCs w:val="0"/>
          <w:color w:val="1B1B1B"/>
          <w:sz w:val="24"/>
          <w:szCs w:val="24"/>
        </w:rPr>
        <w:t xml:space="preserve"> Victor, </w:t>
      </w:r>
      <w:proofErr w:type="spellStart"/>
      <w:r w:rsidRPr="00636870">
        <w:rPr>
          <w:rStyle w:val="HTMLCite"/>
          <w:rFonts w:asciiTheme="majorBidi" w:hAnsiTheme="majorBidi" w:cstheme="majorBidi"/>
          <w:i w:val="0"/>
          <w:iCs w:val="0"/>
          <w:color w:val="1B1B1B"/>
          <w:sz w:val="24"/>
          <w:szCs w:val="24"/>
        </w:rPr>
        <w:t>Iseolorunkanmi</w:t>
      </w:r>
      <w:proofErr w:type="spellEnd"/>
      <w:r w:rsidRPr="00636870">
        <w:rPr>
          <w:rStyle w:val="HTMLCite"/>
          <w:rFonts w:asciiTheme="majorBidi" w:hAnsiTheme="majorBidi" w:cstheme="majorBidi"/>
          <w:i w:val="0"/>
          <w:iCs w:val="0"/>
          <w:color w:val="1B1B1B"/>
          <w:sz w:val="24"/>
          <w:szCs w:val="24"/>
        </w:rPr>
        <w:t xml:space="preserve"> Alexander, </w:t>
      </w:r>
      <w:proofErr w:type="spellStart"/>
      <w:r w:rsidRPr="00636870">
        <w:rPr>
          <w:rStyle w:val="HTMLCite"/>
          <w:rFonts w:asciiTheme="majorBidi" w:hAnsiTheme="majorBidi" w:cstheme="majorBidi"/>
          <w:i w:val="0"/>
          <w:iCs w:val="0"/>
          <w:color w:val="1B1B1B"/>
          <w:sz w:val="24"/>
          <w:szCs w:val="24"/>
        </w:rPr>
        <w:t>Oyedokun</w:t>
      </w:r>
      <w:proofErr w:type="spellEnd"/>
      <w:r w:rsidRPr="00636870">
        <w:rPr>
          <w:rStyle w:val="HTMLCite"/>
          <w:rFonts w:asciiTheme="majorBidi" w:hAnsiTheme="majorBidi" w:cstheme="majorBidi"/>
          <w:i w:val="0"/>
          <w:iCs w:val="0"/>
          <w:color w:val="1B1B1B"/>
          <w:sz w:val="24"/>
          <w:szCs w:val="24"/>
        </w:rPr>
        <w:t xml:space="preserve"> Ayo, </w:t>
      </w:r>
      <w:proofErr w:type="spellStart"/>
      <w:r w:rsidRPr="00636870">
        <w:rPr>
          <w:rStyle w:val="HTMLCite"/>
          <w:rFonts w:asciiTheme="majorBidi" w:hAnsiTheme="majorBidi" w:cstheme="majorBidi"/>
          <w:i w:val="0"/>
          <w:iCs w:val="0"/>
          <w:color w:val="1B1B1B"/>
          <w:sz w:val="24"/>
          <w:szCs w:val="24"/>
        </w:rPr>
        <w:t>Iweala</w:t>
      </w:r>
      <w:proofErr w:type="spellEnd"/>
      <w:r w:rsidRPr="00636870">
        <w:rPr>
          <w:rStyle w:val="HTMLCite"/>
          <w:rFonts w:asciiTheme="majorBidi" w:hAnsiTheme="majorBidi" w:cstheme="majorBidi"/>
          <w:i w:val="0"/>
          <w:iCs w:val="0"/>
          <w:color w:val="1B1B1B"/>
          <w:sz w:val="24"/>
          <w:szCs w:val="24"/>
        </w:rPr>
        <w:t xml:space="preserve"> </w:t>
      </w:r>
      <w:proofErr w:type="spellStart"/>
      <w:r w:rsidRPr="00636870">
        <w:rPr>
          <w:rStyle w:val="HTMLCite"/>
          <w:rFonts w:asciiTheme="majorBidi" w:hAnsiTheme="majorBidi" w:cstheme="majorBidi"/>
          <w:i w:val="0"/>
          <w:iCs w:val="0"/>
          <w:color w:val="1B1B1B"/>
          <w:sz w:val="24"/>
          <w:szCs w:val="24"/>
        </w:rPr>
        <w:t>Emeka</w:t>
      </w:r>
      <w:proofErr w:type="spellEnd"/>
      <w:r w:rsidRPr="00636870">
        <w:rPr>
          <w:rStyle w:val="HTMLCite"/>
          <w:rFonts w:asciiTheme="majorBidi" w:hAnsiTheme="majorBidi" w:cstheme="majorBidi"/>
          <w:i w:val="0"/>
          <w:iCs w:val="0"/>
          <w:color w:val="1B1B1B"/>
          <w:sz w:val="24"/>
          <w:szCs w:val="24"/>
        </w:rPr>
        <w:t xml:space="preserve"> E. J., </w:t>
      </w:r>
      <w:proofErr w:type="spellStart"/>
      <w:r w:rsidRPr="00636870">
        <w:rPr>
          <w:rStyle w:val="HTMLCite"/>
          <w:rFonts w:asciiTheme="majorBidi" w:hAnsiTheme="majorBidi" w:cstheme="majorBidi"/>
          <w:i w:val="0"/>
          <w:iCs w:val="0"/>
          <w:color w:val="1B1B1B"/>
          <w:sz w:val="24"/>
          <w:szCs w:val="24"/>
        </w:rPr>
        <w:t>Omoregbe</w:t>
      </w:r>
      <w:proofErr w:type="spellEnd"/>
      <w:r w:rsidRPr="00636870">
        <w:rPr>
          <w:rStyle w:val="HTMLCite"/>
          <w:rFonts w:asciiTheme="majorBidi" w:hAnsiTheme="majorBidi" w:cstheme="majorBidi"/>
          <w:i w:val="0"/>
          <w:iCs w:val="0"/>
          <w:color w:val="1B1B1B"/>
          <w:sz w:val="24"/>
          <w:szCs w:val="24"/>
        </w:rPr>
        <w:t xml:space="preserve"> Nicholas, Ayo Charles K. An Estimate of the Incidence of Prostate Cancer in Africa: A Systematic Review and Meta-Analysis. PLOS ONE. 2016;11(4</w:t>
      </w:r>
      <w:proofErr w:type="gramStart"/>
      <w:r w:rsidRPr="00636870">
        <w:rPr>
          <w:rStyle w:val="HTMLCite"/>
          <w:rFonts w:asciiTheme="majorBidi" w:hAnsiTheme="majorBidi" w:cstheme="majorBidi"/>
          <w:i w:val="0"/>
          <w:iCs w:val="0"/>
          <w:color w:val="1B1B1B"/>
          <w:sz w:val="24"/>
          <w:szCs w:val="24"/>
        </w:rPr>
        <w:t>):e</w:t>
      </w:r>
      <w:proofErr w:type="gramEnd"/>
      <w:r w:rsidRPr="00636870">
        <w:rPr>
          <w:rStyle w:val="HTMLCite"/>
          <w:rFonts w:asciiTheme="majorBidi" w:hAnsiTheme="majorBidi" w:cstheme="majorBidi"/>
          <w:i w:val="0"/>
          <w:iCs w:val="0"/>
          <w:color w:val="1B1B1B"/>
          <w:sz w:val="24"/>
          <w:szCs w:val="24"/>
        </w:rPr>
        <w:t xml:space="preserve">0153496.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10.1371/journal.pone.0153496.</w:t>
      </w:r>
      <w:r w:rsidRPr="00636870">
        <w:rPr>
          <w:rFonts w:asciiTheme="majorBidi" w:hAnsiTheme="majorBidi" w:cstheme="majorBidi"/>
          <w:color w:val="1B1B1B"/>
          <w:sz w:val="24"/>
          <w:szCs w:val="24"/>
        </w:rPr>
        <w:t> </w:t>
      </w:r>
    </w:p>
    <w:p w14:paraId="358833A6" w14:textId="77777777" w:rsidR="00636870" w:rsidRDefault="00636870" w:rsidP="00636870">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r w:rsidRPr="00636870">
        <w:rPr>
          <w:rStyle w:val="HTMLCite"/>
          <w:rFonts w:asciiTheme="majorBidi" w:hAnsiTheme="majorBidi" w:cstheme="majorBidi"/>
          <w:i w:val="0"/>
          <w:iCs w:val="0"/>
          <w:color w:val="1B1B1B"/>
          <w:sz w:val="24"/>
          <w:szCs w:val="24"/>
        </w:rPr>
        <w:t xml:space="preserve">Abdullah YMY, Khalifa AA. Estimating environmental and occupational factors that contribute to Cancer in Sudan. Inter J Health and Rehab Sci. 2015;4(2):116–118.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10.1002/cncr.29349.</w:t>
      </w:r>
      <w:r w:rsidRPr="00636870">
        <w:rPr>
          <w:rFonts w:asciiTheme="majorBidi" w:hAnsiTheme="majorBidi" w:cstheme="majorBidi"/>
          <w:color w:val="1B1B1B"/>
          <w:sz w:val="24"/>
          <w:szCs w:val="24"/>
        </w:rPr>
        <w:t> </w:t>
      </w:r>
    </w:p>
    <w:p w14:paraId="45323D06" w14:textId="77777777" w:rsidR="00636870" w:rsidRDefault="00636870" w:rsidP="00636870">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proofErr w:type="spellStart"/>
      <w:r w:rsidRPr="00636870">
        <w:rPr>
          <w:rStyle w:val="HTMLCite"/>
          <w:rFonts w:asciiTheme="majorBidi" w:hAnsiTheme="majorBidi" w:cstheme="majorBidi"/>
          <w:i w:val="0"/>
          <w:iCs w:val="0"/>
          <w:color w:val="1B1B1B"/>
          <w:sz w:val="24"/>
          <w:szCs w:val="24"/>
        </w:rPr>
        <w:t>Elamin</w:t>
      </w:r>
      <w:proofErr w:type="spellEnd"/>
      <w:r w:rsidRPr="00636870">
        <w:rPr>
          <w:rStyle w:val="HTMLCite"/>
          <w:rFonts w:asciiTheme="majorBidi" w:hAnsiTheme="majorBidi" w:cstheme="majorBidi"/>
          <w:i w:val="0"/>
          <w:iCs w:val="0"/>
          <w:color w:val="1B1B1B"/>
          <w:sz w:val="24"/>
          <w:szCs w:val="24"/>
        </w:rPr>
        <w:t xml:space="preserve"> </w:t>
      </w:r>
      <w:proofErr w:type="spellStart"/>
      <w:r w:rsidRPr="00636870">
        <w:rPr>
          <w:rStyle w:val="HTMLCite"/>
          <w:rFonts w:asciiTheme="majorBidi" w:hAnsiTheme="majorBidi" w:cstheme="majorBidi"/>
          <w:i w:val="0"/>
          <w:iCs w:val="0"/>
          <w:color w:val="1B1B1B"/>
          <w:sz w:val="24"/>
          <w:szCs w:val="24"/>
        </w:rPr>
        <w:t>Amany</w:t>
      </w:r>
      <w:proofErr w:type="spellEnd"/>
      <w:r w:rsidRPr="00636870">
        <w:rPr>
          <w:rStyle w:val="HTMLCite"/>
          <w:rFonts w:asciiTheme="majorBidi" w:hAnsiTheme="majorBidi" w:cstheme="majorBidi"/>
          <w:i w:val="0"/>
          <w:iCs w:val="0"/>
          <w:color w:val="1B1B1B"/>
          <w:sz w:val="24"/>
          <w:szCs w:val="24"/>
        </w:rPr>
        <w:t xml:space="preserve">, Ibrahim </w:t>
      </w:r>
      <w:proofErr w:type="spellStart"/>
      <w:r w:rsidRPr="00636870">
        <w:rPr>
          <w:rStyle w:val="HTMLCite"/>
          <w:rFonts w:asciiTheme="majorBidi" w:hAnsiTheme="majorBidi" w:cstheme="majorBidi"/>
          <w:i w:val="0"/>
          <w:iCs w:val="0"/>
          <w:color w:val="1B1B1B"/>
          <w:sz w:val="24"/>
          <w:szCs w:val="24"/>
        </w:rPr>
        <w:t>Muntaser</w:t>
      </w:r>
      <w:proofErr w:type="spellEnd"/>
      <w:r w:rsidRPr="00636870">
        <w:rPr>
          <w:rStyle w:val="HTMLCite"/>
          <w:rFonts w:asciiTheme="majorBidi" w:hAnsiTheme="majorBidi" w:cstheme="majorBidi"/>
          <w:i w:val="0"/>
          <w:iCs w:val="0"/>
          <w:color w:val="1B1B1B"/>
          <w:sz w:val="24"/>
          <w:szCs w:val="24"/>
        </w:rPr>
        <w:t xml:space="preserve"> E., </w:t>
      </w:r>
      <w:proofErr w:type="spellStart"/>
      <w:r w:rsidRPr="00636870">
        <w:rPr>
          <w:rStyle w:val="HTMLCite"/>
          <w:rFonts w:asciiTheme="majorBidi" w:hAnsiTheme="majorBidi" w:cstheme="majorBidi"/>
          <w:i w:val="0"/>
          <w:iCs w:val="0"/>
          <w:color w:val="1B1B1B"/>
          <w:sz w:val="24"/>
          <w:szCs w:val="24"/>
        </w:rPr>
        <w:t>Abuidris</w:t>
      </w:r>
      <w:proofErr w:type="spellEnd"/>
      <w:r w:rsidRPr="00636870">
        <w:rPr>
          <w:rStyle w:val="HTMLCite"/>
          <w:rFonts w:asciiTheme="majorBidi" w:hAnsiTheme="majorBidi" w:cstheme="majorBidi"/>
          <w:i w:val="0"/>
          <w:iCs w:val="0"/>
          <w:color w:val="1B1B1B"/>
          <w:sz w:val="24"/>
          <w:szCs w:val="24"/>
        </w:rPr>
        <w:t xml:space="preserve"> </w:t>
      </w:r>
      <w:proofErr w:type="spellStart"/>
      <w:r w:rsidRPr="00636870">
        <w:rPr>
          <w:rStyle w:val="HTMLCite"/>
          <w:rFonts w:asciiTheme="majorBidi" w:hAnsiTheme="majorBidi" w:cstheme="majorBidi"/>
          <w:i w:val="0"/>
          <w:iCs w:val="0"/>
          <w:color w:val="1B1B1B"/>
          <w:sz w:val="24"/>
          <w:szCs w:val="24"/>
        </w:rPr>
        <w:t>Dafalla</w:t>
      </w:r>
      <w:proofErr w:type="spellEnd"/>
      <w:r w:rsidRPr="00636870">
        <w:rPr>
          <w:rStyle w:val="HTMLCite"/>
          <w:rFonts w:asciiTheme="majorBidi" w:hAnsiTheme="majorBidi" w:cstheme="majorBidi"/>
          <w:i w:val="0"/>
          <w:iCs w:val="0"/>
          <w:color w:val="1B1B1B"/>
          <w:sz w:val="24"/>
          <w:szCs w:val="24"/>
        </w:rPr>
        <w:t xml:space="preserve">, Mohamed Kamal Eldin H., Mohammed Sulma Ibrahim. Part I: cancer in </w:t>
      </w:r>
      <w:r>
        <w:rPr>
          <w:rStyle w:val="HTMLCite"/>
          <w:rFonts w:asciiTheme="majorBidi" w:hAnsiTheme="majorBidi" w:cstheme="majorBidi"/>
          <w:i w:val="0"/>
          <w:iCs w:val="0"/>
          <w:color w:val="1B1B1B"/>
          <w:sz w:val="24"/>
          <w:szCs w:val="24"/>
        </w:rPr>
        <w:t>Sudan- burden</w:t>
      </w:r>
      <w:r w:rsidRPr="00636870">
        <w:rPr>
          <w:rStyle w:val="HTMLCite"/>
          <w:rFonts w:asciiTheme="majorBidi" w:hAnsiTheme="majorBidi" w:cstheme="majorBidi"/>
          <w:i w:val="0"/>
          <w:iCs w:val="0"/>
          <w:color w:val="1B1B1B"/>
          <w:sz w:val="24"/>
          <w:szCs w:val="24"/>
        </w:rPr>
        <w:t>, distribution, and trends</w:t>
      </w:r>
      <w:r>
        <w:rPr>
          <w:rStyle w:val="HTMLCite"/>
          <w:rFonts w:asciiTheme="majorBidi" w:hAnsiTheme="majorBidi" w:cstheme="majorBidi"/>
          <w:i w:val="0"/>
          <w:iCs w:val="0"/>
          <w:color w:val="1B1B1B"/>
          <w:sz w:val="24"/>
          <w:szCs w:val="24"/>
        </w:rPr>
        <w:t>:</w:t>
      </w:r>
      <w:r w:rsidRPr="00636870">
        <w:rPr>
          <w:rStyle w:val="HTMLCite"/>
          <w:rFonts w:asciiTheme="majorBidi" w:hAnsiTheme="majorBidi" w:cstheme="majorBidi"/>
          <w:i w:val="0"/>
          <w:iCs w:val="0"/>
          <w:color w:val="1B1B1B"/>
          <w:sz w:val="24"/>
          <w:szCs w:val="24"/>
        </w:rPr>
        <w:t xml:space="preserve"> breast, gynecological, and prostate cancers. Cancer Medicine. 2015;4(3):447–456.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10.1002/cam4.378.</w:t>
      </w:r>
      <w:r w:rsidRPr="00636870">
        <w:rPr>
          <w:rFonts w:asciiTheme="majorBidi" w:hAnsiTheme="majorBidi" w:cstheme="majorBidi"/>
          <w:color w:val="1B1B1B"/>
          <w:sz w:val="24"/>
          <w:szCs w:val="24"/>
        </w:rPr>
        <w:t> </w:t>
      </w:r>
    </w:p>
    <w:p w14:paraId="335BE13A" w14:textId="77777777" w:rsidR="00636870" w:rsidRDefault="00636870" w:rsidP="00636870">
      <w:pPr>
        <w:pStyle w:val="ListParagraph"/>
        <w:numPr>
          <w:ilvl w:val="0"/>
          <w:numId w:val="41"/>
        </w:numPr>
        <w:shd w:val="clear" w:color="auto" w:fill="FFFFFF"/>
        <w:spacing w:line="360" w:lineRule="auto"/>
        <w:ind w:left="0"/>
        <w:rPr>
          <w:rStyle w:val="HTMLCite"/>
          <w:rFonts w:asciiTheme="majorBidi" w:hAnsiTheme="majorBidi" w:cstheme="majorBidi"/>
          <w:i w:val="0"/>
          <w:iCs w:val="0"/>
          <w:color w:val="1B1B1B"/>
          <w:sz w:val="24"/>
          <w:szCs w:val="24"/>
        </w:rPr>
      </w:pPr>
      <w:proofErr w:type="spellStart"/>
      <w:r w:rsidRPr="00636870">
        <w:rPr>
          <w:rStyle w:val="HTMLCite"/>
          <w:rFonts w:asciiTheme="majorBidi" w:hAnsiTheme="majorBidi" w:cstheme="majorBidi"/>
          <w:i w:val="0"/>
          <w:iCs w:val="0"/>
          <w:color w:val="1B1B1B"/>
          <w:sz w:val="24"/>
          <w:szCs w:val="24"/>
        </w:rPr>
        <w:t>Abuelgasim</w:t>
      </w:r>
      <w:proofErr w:type="spellEnd"/>
      <w:r w:rsidRPr="00636870">
        <w:rPr>
          <w:rStyle w:val="HTMLCite"/>
          <w:rFonts w:asciiTheme="majorBidi" w:hAnsiTheme="majorBidi" w:cstheme="majorBidi"/>
          <w:i w:val="0"/>
          <w:iCs w:val="0"/>
          <w:color w:val="1B1B1B"/>
          <w:sz w:val="24"/>
          <w:szCs w:val="24"/>
        </w:rPr>
        <w:t xml:space="preserve"> A E. The Role of Cytokeratin 5/6 in Differential Diagnosis of Prostate Tumors</w:t>
      </w:r>
      <w:r w:rsidRPr="00636870">
        <w:rPr>
          <w:rStyle w:val="Strong"/>
          <w:rFonts w:asciiTheme="majorBidi" w:hAnsiTheme="majorBidi" w:cstheme="majorBidi"/>
          <w:color w:val="1B1B1B"/>
          <w:sz w:val="24"/>
          <w:szCs w:val="24"/>
        </w:rPr>
        <w:t>,</w:t>
      </w:r>
      <w:r w:rsidRPr="00636870">
        <w:rPr>
          <w:rStyle w:val="HTMLCite"/>
          <w:rFonts w:asciiTheme="majorBidi" w:hAnsiTheme="majorBidi" w:cstheme="majorBidi"/>
          <w:i w:val="0"/>
          <w:iCs w:val="0"/>
          <w:color w:val="1B1B1B"/>
          <w:sz w:val="24"/>
          <w:szCs w:val="24"/>
        </w:rPr>
        <w:t> European academic research 3 2016 ;(10): 11552–11553.</w:t>
      </w:r>
    </w:p>
    <w:p w14:paraId="66DC43F0" w14:textId="77777777" w:rsidR="00774782" w:rsidRDefault="00636870" w:rsidP="00774782">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r w:rsidRPr="00636870">
        <w:rPr>
          <w:rStyle w:val="HTMLCite"/>
          <w:rFonts w:asciiTheme="majorBidi" w:hAnsiTheme="majorBidi" w:cstheme="majorBidi"/>
          <w:i w:val="0"/>
          <w:iCs w:val="0"/>
          <w:color w:val="1B1B1B"/>
          <w:sz w:val="24"/>
          <w:szCs w:val="24"/>
        </w:rPr>
        <w:t xml:space="preserve">Adams SV, Passarelli MN, Newcomb PA. Cadmium exposure and cancer mortality in the third National Health and </w:t>
      </w:r>
      <w:r>
        <w:rPr>
          <w:rStyle w:val="HTMLCite"/>
          <w:rFonts w:asciiTheme="majorBidi" w:hAnsiTheme="majorBidi" w:cstheme="majorBidi"/>
          <w:i w:val="0"/>
          <w:iCs w:val="0"/>
          <w:color w:val="1B1B1B"/>
          <w:sz w:val="24"/>
          <w:szCs w:val="24"/>
        </w:rPr>
        <w:t>Nutrition Examination Survey</w:t>
      </w:r>
      <w:r w:rsidRPr="00636870">
        <w:rPr>
          <w:rStyle w:val="HTMLCite"/>
          <w:rFonts w:asciiTheme="majorBidi" w:hAnsiTheme="majorBidi" w:cstheme="majorBidi"/>
          <w:i w:val="0"/>
          <w:iCs w:val="0"/>
          <w:color w:val="1B1B1B"/>
          <w:sz w:val="24"/>
          <w:szCs w:val="24"/>
        </w:rPr>
        <w:t xml:space="preserve"> cohort. </w:t>
      </w:r>
      <w:proofErr w:type="spellStart"/>
      <w:r w:rsidRPr="00636870">
        <w:rPr>
          <w:rStyle w:val="HTMLCite"/>
          <w:rFonts w:asciiTheme="majorBidi" w:hAnsiTheme="majorBidi" w:cstheme="majorBidi"/>
          <w:i w:val="0"/>
          <w:iCs w:val="0"/>
          <w:color w:val="1B1B1B"/>
          <w:sz w:val="24"/>
          <w:szCs w:val="24"/>
        </w:rPr>
        <w:t>Occup</w:t>
      </w:r>
      <w:proofErr w:type="spellEnd"/>
      <w:r w:rsidRPr="00636870">
        <w:rPr>
          <w:rStyle w:val="HTMLCite"/>
          <w:rFonts w:asciiTheme="majorBidi" w:hAnsiTheme="majorBidi" w:cstheme="majorBidi"/>
          <w:i w:val="0"/>
          <w:iCs w:val="0"/>
          <w:color w:val="1B1B1B"/>
          <w:sz w:val="24"/>
          <w:szCs w:val="24"/>
        </w:rPr>
        <w:t xml:space="preserve"> Environ Med. </w:t>
      </w:r>
      <w:proofErr w:type="gramStart"/>
      <w:r w:rsidRPr="00636870">
        <w:rPr>
          <w:rStyle w:val="HTMLCite"/>
          <w:rFonts w:asciiTheme="majorBidi" w:hAnsiTheme="majorBidi" w:cstheme="majorBidi"/>
          <w:i w:val="0"/>
          <w:iCs w:val="0"/>
          <w:color w:val="1B1B1B"/>
          <w:sz w:val="24"/>
          <w:szCs w:val="24"/>
        </w:rPr>
        <w:t>2012;69:153</w:t>
      </w:r>
      <w:proofErr w:type="gramEnd"/>
      <w:r>
        <w:rPr>
          <w:rStyle w:val="HTMLCite"/>
          <w:rFonts w:asciiTheme="majorBidi" w:hAnsiTheme="majorBidi" w:cstheme="majorBidi"/>
          <w:i w:val="0"/>
          <w:iCs w:val="0"/>
          <w:color w:val="1B1B1B"/>
          <w:sz w:val="24"/>
          <w:szCs w:val="24"/>
        </w:rPr>
        <w:t xml:space="preserve"> </w:t>
      </w:r>
      <w:r w:rsidRPr="00636870">
        <w:rPr>
          <w:rStyle w:val="HTMLCite"/>
          <w:rFonts w:asciiTheme="majorBidi" w:hAnsiTheme="majorBidi" w:cstheme="majorBidi"/>
          <w:i w:val="0"/>
          <w:iCs w:val="0"/>
          <w:color w:val="1B1B1B"/>
          <w:sz w:val="24"/>
          <w:szCs w:val="24"/>
        </w:rPr>
        <w:t xml:space="preserve">156. </w:t>
      </w:r>
      <w:proofErr w:type="spellStart"/>
      <w:r w:rsidRPr="00636870">
        <w:rPr>
          <w:rStyle w:val="HTMLCite"/>
          <w:rFonts w:asciiTheme="majorBidi" w:hAnsiTheme="majorBidi" w:cstheme="majorBidi"/>
          <w:i w:val="0"/>
          <w:iCs w:val="0"/>
          <w:color w:val="1B1B1B"/>
          <w:sz w:val="24"/>
          <w:szCs w:val="24"/>
        </w:rPr>
        <w:t>doi</w:t>
      </w:r>
      <w:proofErr w:type="spellEnd"/>
      <w:r w:rsidRPr="00636870">
        <w:rPr>
          <w:rStyle w:val="HTMLCite"/>
          <w:rFonts w:asciiTheme="majorBidi" w:hAnsiTheme="majorBidi" w:cstheme="majorBidi"/>
          <w:i w:val="0"/>
          <w:iCs w:val="0"/>
          <w:color w:val="1B1B1B"/>
          <w:sz w:val="24"/>
          <w:szCs w:val="24"/>
        </w:rPr>
        <w:t>: 10.1136/oemed-2011-100111.</w:t>
      </w:r>
      <w:r w:rsidRPr="00636870">
        <w:rPr>
          <w:rFonts w:asciiTheme="majorBidi" w:hAnsiTheme="majorBidi" w:cstheme="majorBidi"/>
          <w:color w:val="1B1B1B"/>
          <w:sz w:val="24"/>
          <w:szCs w:val="24"/>
        </w:rPr>
        <w:t> </w:t>
      </w:r>
    </w:p>
    <w:p w14:paraId="2B272E2C" w14:textId="77777777" w:rsidR="00C82C74" w:rsidRDefault="00774782" w:rsidP="00C82C74">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proofErr w:type="spellStart"/>
      <w:r w:rsidRPr="00774782">
        <w:rPr>
          <w:rFonts w:asciiTheme="majorBidi" w:hAnsiTheme="majorBidi" w:cstheme="majorBidi"/>
          <w:color w:val="1B1B1B"/>
          <w:sz w:val="24"/>
          <w:szCs w:val="24"/>
        </w:rPr>
        <w:t>Sk</w:t>
      </w:r>
      <w:proofErr w:type="spellEnd"/>
      <w:r w:rsidRPr="00774782">
        <w:rPr>
          <w:rFonts w:asciiTheme="majorBidi" w:hAnsiTheme="majorBidi" w:cstheme="majorBidi"/>
          <w:color w:val="1B1B1B"/>
          <w:sz w:val="24"/>
          <w:szCs w:val="24"/>
        </w:rPr>
        <w:t xml:space="preserve"> S, Layton C, JD B. Bancroft’s theory and practice of histological techniques. Eight </w:t>
      </w:r>
      <w:proofErr w:type="spellStart"/>
      <w:r w:rsidRPr="00774782">
        <w:rPr>
          <w:rFonts w:asciiTheme="majorBidi" w:hAnsiTheme="majorBidi" w:cstheme="majorBidi"/>
          <w:color w:val="1B1B1B"/>
          <w:sz w:val="24"/>
          <w:szCs w:val="24"/>
        </w:rPr>
        <w:t>edtion</w:t>
      </w:r>
      <w:proofErr w:type="spellEnd"/>
      <w:r w:rsidRPr="00774782">
        <w:rPr>
          <w:rFonts w:asciiTheme="majorBidi" w:hAnsiTheme="majorBidi" w:cstheme="majorBidi"/>
          <w:color w:val="1B1B1B"/>
          <w:sz w:val="24"/>
          <w:szCs w:val="24"/>
        </w:rPr>
        <w:t xml:space="preserve">, </w:t>
      </w:r>
      <w:r w:rsidR="00C82C74">
        <w:rPr>
          <w:rFonts w:asciiTheme="majorBidi" w:hAnsiTheme="majorBidi" w:cstheme="majorBidi"/>
          <w:color w:val="1B1B1B"/>
          <w:sz w:val="24"/>
          <w:szCs w:val="24"/>
        </w:rPr>
        <w:t>Churchill Livingstone</w:t>
      </w:r>
      <w:r w:rsidRPr="00774782">
        <w:rPr>
          <w:rFonts w:asciiTheme="majorBidi" w:hAnsiTheme="majorBidi" w:cstheme="majorBidi"/>
          <w:color w:val="1B1B1B"/>
          <w:sz w:val="24"/>
          <w:szCs w:val="24"/>
        </w:rPr>
        <w:t xml:space="preserve"> Elsevier. 2019.</w:t>
      </w:r>
    </w:p>
    <w:p w14:paraId="19231B9D" w14:textId="77777777" w:rsidR="0020572B" w:rsidRDefault="00C82C74" w:rsidP="0020572B">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r w:rsidRPr="00C82C74">
        <w:rPr>
          <w:rFonts w:asciiTheme="majorBidi" w:hAnsiTheme="majorBidi" w:cstheme="majorBidi"/>
          <w:color w:val="1B1B1B"/>
          <w:sz w:val="24"/>
          <w:szCs w:val="24"/>
        </w:rPr>
        <w:lastRenderedPageBreak/>
        <w:t xml:space="preserve">Bancroft E A new English dyeing </w:t>
      </w:r>
      <w:proofErr w:type="spellStart"/>
      <w:proofErr w:type="gramStart"/>
      <w:r w:rsidRPr="00C82C74">
        <w:rPr>
          <w:rFonts w:asciiTheme="majorBidi" w:hAnsiTheme="majorBidi" w:cstheme="majorBidi"/>
          <w:color w:val="1B1B1B"/>
          <w:sz w:val="24"/>
          <w:szCs w:val="24"/>
        </w:rPr>
        <w:t>bock;comprehensive</w:t>
      </w:r>
      <w:proofErr w:type="spellEnd"/>
      <w:proofErr w:type="gramEnd"/>
      <w:r w:rsidRPr="00C82C74">
        <w:rPr>
          <w:rFonts w:asciiTheme="majorBidi" w:hAnsiTheme="majorBidi" w:cstheme="majorBidi"/>
          <w:color w:val="1B1B1B"/>
          <w:sz w:val="24"/>
          <w:szCs w:val="24"/>
        </w:rPr>
        <w:t xml:space="preserve"> investigations into the nature of permanent dyes</w:t>
      </w:r>
      <w:r>
        <w:rPr>
          <w:rFonts w:asciiTheme="majorBidi" w:hAnsiTheme="majorBidi" w:cstheme="majorBidi"/>
          <w:color w:val="1B1B1B"/>
          <w:sz w:val="24"/>
          <w:szCs w:val="24"/>
        </w:rPr>
        <w:t>.</w:t>
      </w:r>
      <w:r w:rsidRPr="00C82C74">
        <w:rPr>
          <w:rFonts w:asciiTheme="majorBidi" w:hAnsiTheme="majorBidi" w:cstheme="majorBidi"/>
          <w:color w:val="1B1B1B"/>
          <w:sz w:val="24"/>
          <w:szCs w:val="24"/>
        </w:rPr>
        <w:t xml:space="preserve"> Nuremberg </w:t>
      </w:r>
      <w:r>
        <w:rPr>
          <w:rFonts w:asciiTheme="majorBidi" w:hAnsiTheme="majorBidi" w:cstheme="majorBidi"/>
          <w:color w:val="1B1B1B"/>
          <w:sz w:val="24"/>
          <w:szCs w:val="24"/>
        </w:rPr>
        <w:t>Johann</w:t>
      </w:r>
      <w:r w:rsidRPr="00C82C74">
        <w:rPr>
          <w:rFonts w:asciiTheme="majorBidi" w:hAnsiTheme="majorBidi" w:cstheme="majorBidi"/>
          <w:color w:val="1B1B1B"/>
          <w:sz w:val="24"/>
          <w:szCs w:val="24"/>
        </w:rPr>
        <w:t xml:space="preserve"> Leonhard </w:t>
      </w:r>
      <w:r>
        <w:rPr>
          <w:rFonts w:asciiTheme="majorBidi" w:hAnsiTheme="majorBidi" w:cstheme="majorBidi"/>
          <w:color w:val="1B1B1B"/>
          <w:sz w:val="24"/>
          <w:szCs w:val="24"/>
        </w:rPr>
        <w:t>Schrag</w:t>
      </w:r>
      <w:r w:rsidRPr="00C82C74">
        <w:rPr>
          <w:rFonts w:asciiTheme="majorBidi" w:hAnsiTheme="majorBidi" w:cstheme="majorBidi"/>
          <w:color w:val="1B1B1B"/>
          <w:sz w:val="24"/>
          <w:szCs w:val="24"/>
        </w:rPr>
        <w:t xml:space="preserve"> 1817-1818.</w:t>
      </w:r>
    </w:p>
    <w:p w14:paraId="2A48C654" w14:textId="77777777" w:rsidR="00D320CF" w:rsidRDefault="0020572B" w:rsidP="00D320CF">
      <w:pPr>
        <w:pStyle w:val="ListParagraph"/>
        <w:numPr>
          <w:ilvl w:val="0"/>
          <w:numId w:val="41"/>
        </w:numPr>
        <w:shd w:val="clear" w:color="auto" w:fill="FFFFFF"/>
        <w:spacing w:line="360" w:lineRule="auto"/>
        <w:ind w:left="0"/>
        <w:rPr>
          <w:rFonts w:asciiTheme="majorBidi" w:hAnsiTheme="majorBidi" w:cstheme="majorBidi"/>
          <w:color w:val="1B1B1B"/>
          <w:sz w:val="24"/>
          <w:szCs w:val="24"/>
        </w:rPr>
      </w:pPr>
      <w:proofErr w:type="spellStart"/>
      <w:r w:rsidRPr="0020572B">
        <w:rPr>
          <w:rFonts w:asciiTheme="majorBidi" w:hAnsiTheme="majorBidi" w:cstheme="majorBidi"/>
          <w:color w:val="1B1B1B"/>
          <w:sz w:val="24"/>
          <w:szCs w:val="24"/>
        </w:rPr>
        <w:t>Mischitelli</w:t>
      </w:r>
      <w:proofErr w:type="spellEnd"/>
      <w:r w:rsidRPr="0020572B">
        <w:rPr>
          <w:rFonts w:asciiTheme="majorBidi" w:hAnsiTheme="majorBidi" w:cstheme="majorBidi"/>
          <w:color w:val="1B1B1B"/>
          <w:sz w:val="24"/>
          <w:szCs w:val="24"/>
        </w:rPr>
        <w:t xml:space="preserve"> M, </w:t>
      </w:r>
      <w:proofErr w:type="spellStart"/>
      <w:r w:rsidRPr="0020572B">
        <w:rPr>
          <w:rFonts w:asciiTheme="majorBidi" w:hAnsiTheme="majorBidi" w:cstheme="majorBidi"/>
          <w:color w:val="1B1B1B"/>
          <w:sz w:val="24"/>
          <w:szCs w:val="24"/>
        </w:rPr>
        <w:t>Bellizzi</w:t>
      </w:r>
      <w:proofErr w:type="spellEnd"/>
      <w:r w:rsidRPr="0020572B">
        <w:rPr>
          <w:rFonts w:asciiTheme="majorBidi" w:hAnsiTheme="majorBidi" w:cstheme="majorBidi"/>
          <w:color w:val="1B1B1B"/>
          <w:sz w:val="24"/>
          <w:szCs w:val="24"/>
        </w:rPr>
        <w:t xml:space="preserve"> A, Anzivino E, et al. Results, questions, perspectives of a study on human Polyomavirus BK and molecular actors in prostate cancer development. Cancer Genomics Proteomics. 2015;12(2):57-65.</w:t>
      </w:r>
    </w:p>
    <w:p w14:paraId="5B95705C" w14:textId="725B0E84" w:rsidR="00D320CF" w:rsidRPr="00563E4E" w:rsidRDefault="00D320CF" w:rsidP="00D320CF">
      <w:pPr>
        <w:pStyle w:val="ListParagraph"/>
        <w:numPr>
          <w:ilvl w:val="0"/>
          <w:numId w:val="41"/>
        </w:numPr>
        <w:shd w:val="clear" w:color="auto" w:fill="FFFFFF"/>
        <w:spacing w:line="360" w:lineRule="auto"/>
        <w:ind w:left="0"/>
        <w:rPr>
          <w:rFonts w:asciiTheme="majorBidi" w:hAnsiTheme="majorBidi" w:cstheme="majorBidi"/>
          <w:color w:val="1B1B1B"/>
          <w:sz w:val="24"/>
          <w:szCs w:val="24"/>
          <w:highlight w:val="yellow"/>
        </w:rPr>
      </w:pPr>
      <w:proofErr w:type="spellStart"/>
      <w:r w:rsidRPr="00563E4E">
        <w:rPr>
          <w:rFonts w:asciiTheme="majorBidi" w:hAnsiTheme="majorBidi" w:cstheme="majorBidi"/>
          <w:color w:val="1B1B1B"/>
          <w:sz w:val="24"/>
          <w:szCs w:val="24"/>
          <w:highlight w:val="yellow"/>
        </w:rPr>
        <w:t>Loutfy</w:t>
      </w:r>
      <w:proofErr w:type="spellEnd"/>
      <w:r w:rsidRPr="00563E4E">
        <w:rPr>
          <w:rFonts w:asciiTheme="majorBidi" w:hAnsiTheme="majorBidi" w:cstheme="majorBidi"/>
          <w:color w:val="1B1B1B"/>
          <w:sz w:val="24"/>
          <w:szCs w:val="24"/>
          <w:highlight w:val="yellow"/>
        </w:rPr>
        <w:t xml:space="preserve"> SA, </w:t>
      </w:r>
      <w:proofErr w:type="spellStart"/>
      <w:r w:rsidRPr="00563E4E">
        <w:rPr>
          <w:rFonts w:asciiTheme="majorBidi" w:hAnsiTheme="majorBidi" w:cstheme="majorBidi"/>
          <w:color w:val="1B1B1B"/>
          <w:sz w:val="24"/>
          <w:szCs w:val="24"/>
          <w:highlight w:val="yellow"/>
        </w:rPr>
        <w:t>Moneer</w:t>
      </w:r>
      <w:proofErr w:type="spellEnd"/>
      <w:r w:rsidRPr="00563E4E">
        <w:rPr>
          <w:rFonts w:asciiTheme="majorBidi" w:hAnsiTheme="majorBidi" w:cstheme="majorBidi"/>
          <w:color w:val="1B1B1B"/>
          <w:sz w:val="24"/>
          <w:szCs w:val="24"/>
          <w:highlight w:val="yellow"/>
        </w:rPr>
        <w:t xml:space="preserve"> MM, Salem SE, et al. Polyomavirus infections and its clinical relevance in cancer patients: A Prospective Study. J Infect Public Health. 2017;10(1):22-30. </w:t>
      </w:r>
      <w:proofErr w:type="gramStart"/>
      <w:r w:rsidRPr="00563E4E">
        <w:rPr>
          <w:rFonts w:asciiTheme="majorBidi" w:hAnsiTheme="majorBidi" w:cstheme="majorBidi"/>
          <w:color w:val="1B1B1B"/>
          <w:sz w:val="24"/>
          <w:szCs w:val="24"/>
          <w:highlight w:val="yellow"/>
        </w:rPr>
        <w:t>doi:10.1016/j.jiph</w:t>
      </w:r>
      <w:proofErr w:type="gramEnd"/>
      <w:r w:rsidRPr="00563E4E">
        <w:rPr>
          <w:rFonts w:asciiTheme="majorBidi" w:hAnsiTheme="majorBidi" w:cstheme="majorBidi"/>
          <w:color w:val="1B1B1B"/>
          <w:sz w:val="24"/>
          <w:szCs w:val="24"/>
          <w:highlight w:val="yellow"/>
        </w:rPr>
        <w:t xml:space="preserve">.2016.01.008 </w:t>
      </w:r>
    </w:p>
    <w:p w14:paraId="256D2C5E" w14:textId="77777777" w:rsidR="0010507B" w:rsidRPr="00636870" w:rsidRDefault="0010507B" w:rsidP="00636870">
      <w:pPr>
        <w:spacing w:line="360" w:lineRule="auto"/>
        <w:rPr>
          <w:rFonts w:asciiTheme="majorBidi" w:hAnsiTheme="majorBidi" w:cstheme="majorBidi"/>
          <w:sz w:val="24"/>
          <w:szCs w:val="24"/>
        </w:rPr>
      </w:pPr>
      <w:bookmarkStart w:id="0" w:name="_GoBack"/>
      <w:bookmarkEnd w:id="0"/>
    </w:p>
    <w:sectPr w:rsidR="0010507B" w:rsidRPr="00636870" w:rsidSect="00A17587">
      <w:pgSz w:w="12240" w:h="15840"/>
      <w:pgMar w:top="99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2D235" w14:textId="77777777" w:rsidR="005B146A" w:rsidRDefault="005B146A" w:rsidP="009A266A">
      <w:pPr>
        <w:spacing w:after="0" w:line="240" w:lineRule="auto"/>
      </w:pPr>
      <w:r>
        <w:separator/>
      </w:r>
    </w:p>
  </w:endnote>
  <w:endnote w:type="continuationSeparator" w:id="0">
    <w:p w14:paraId="2A5B7103" w14:textId="77777777" w:rsidR="005B146A" w:rsidRDefault="005B146A" w:rsidP="009A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F3A43" w14:textId="77777777" w:rsidR="004819AB" w:rsidRDefault="004819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5ADC9" w14:textId="77777777" w:rsidR="004819AB" w:rsidRDefault="004819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F9D2" w14:textId="77777777" w:rsidR="004819AB" w:rsidRDefault="004819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E5311" w14:textId="77777777" w:rsidR="005B146A" w:rsidRDefault="005B146A" w:rsidP="009A266A">
      <w:pPr>
        <w:spacing w:after="0" w:line="240" w:lineRule="auto"/>
      </w:pPr>
      <w:r>
        <w:separator/>
      </w:r>
    </w:p>
  </w:footnote>
  <w:footnote w:type="continuationSeparator" w:id="0">
    <w:p w14:paraId="671681FB" w14:textId="77777777" w:rsidR="005B146A" w:rsidRDefault="005B146A" w:rsidP="009A2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2DFC" w14:textId="4240600F" w:rsidR="004819AB" w:rsidRDefault="005B146A">
    <w:pPr>
      <w:pStyle w:val="Header"/>
    </w:pPr>
    <w:r>
      <w:rPr>
        <w:noProof/>
      </w:rPr>
      <w:pict w14:anchorId="34FF5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690344"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D0CF0" w14:textId="515EC301" w:rsidR="004819AB" w:rsidRDefault="005B146A">
    <w:pPr>
      <w:pStyle w:val="Header"/>
    </w:pPr>
    <w:r>
      <w:rPr>
        <w:noProof/>
      </w:rPr>
      <w:pict w14:anchorId="10095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690345"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F4D8" w14:textId="03823FDF" w:rsidR="004819AB" w:rsidRDefault="005B146A">
    <w:pPr>
      <w:pStyle w:val="Header"/>
    </w:pPr>
    <w:r>
      <w:rPr>
        <w:noProof/>
      </w:rPr>
      <w:pict w14:anchorId="09FE8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690343"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9334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0676B"/>
    <w:multiLevelType w:val="hybridMultilevel"/>
    <w:tmpl w:val="62AA9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23A9E"/>
    <w:multiLevelType w:val="hybridMultilevel"/>
    <w:tmpl w:val="FDFE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3616E"/>
    <w:multiLevelType w:val="hybridMultilevel"/>
    <w:tmpl w:val="C1C4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91F84"/>
    <w:multiLevelType w:val="hybridMultilevel"/>
    <w:tmpl w:val="7D9EA1EE"/>
    <w:lvl w:ilvl="0" w:tplc="A05C7D9A">
      <w:start w:val="51"/>
      <w:numFmt w:val="decimal"/>
      <w:lvlText w:val="%1."/>
      <w:lvlJc w:val="left"/>
      <w:pPr>
        <w:ind w:left="456" w:hanging="341"/>
      </w:pPr>
      <w:rPr>
        <w:rFonts w:ascii="Times New Roman" w:eastAsia="Times New Roman" w:hAnsi="Times New Roman" w:cs="Times New Roman" w:hint="default"/>
        <w:spacing w:val="3"/>
        <w:w w:val="100"/>
        <w:sz w:val="24"/>
        <w:szCs w:val="24"/>
        <w:lang w:val="en-US" w:eastAsia="en-US" w:bidi="ar-SA"/>
      </w:rPr>
    </w:lvl>
    <w:lvl w:ilvl="1" w:tplc="11E85AA6">
      <w:numFmt w:val="bullet"/>
      <w:lvlText w:val="•"/>
      <w:lvlJc w:val="left"/>
      <w:pPr>
        <w:ind w:left="1324" w:hanging="341"/>
      </w:pPr>
      <w:rPr>
        <w:rFonts w:hint="default"/>
        <w:lang w:val="en-US" w:eastAsia="en-US" w:bidi="ar-SA"/>
      </w:rPr>
    </w:lvl>
    <w:lvl w:ilvl="2" w:tplc="228009C6">
      <w:numFmt w:val="bullet"/>
      <w:lvlText w:val="•"/>
      <w:lvlJc w:val="left"/>
      <w:pPr>
        <w:ind w:left="2188" w:hanging="341"/>
      </w:pPr>
      <w:rPr>
        <w:rFonts w:hint="default"/>
        <w:lang w:val="en-US" w:eastAsia="en-US" w:bidi="ar-SA"/>
      </w:rPr>
    </w:lvl>
    <w:lvl w:ilvl="3" w:tplc="39BC5404">
      <w:numFmt w:val="bullet"/>
      <w:lvlText w:val="•"/>
      <w:lvlJc w:val="left"/>
      <w:pPr>
        <w:ind w:left="3052" w:hanging="341"/>
      </w:pPr>
      <w:rPr>
        <w:rFonts w:hint="default"/>
        <w:lang w:val="en-US" w:eastAsia="en-US" w:bidi="ar-SA"/>
      </w:rPr>
    </w:lvl>
    <w:lvl w:ilvl="4" w:tplc="775688E8">
      <w:numFmt w:val="bullet"/>
      <w:lvlText w:val="•"/>
      <w:lvlJc w:val="left"/>
      <w:pPr>
        <w:ind w:left="3916" w:hanging="341"/>
      </w:pPr>
      <w:rPr>
        <w:rFonts w:hint="default"/>
        <w:lang w:val="en-US" w:eastAsia="en-US" w:bidi="ar-SA"/>
      </w:rPr>
    </w:lvl>
    <w:lvl w:ilvl="5" w:tplc="CB9E0BE8">
      <w:numFmt w:val="bullet"/>
      <w:lvlText w:val="•"/>
      <w:lvlJc w:val="left"/>
      <w:pPr>
        <w:ind w:left="4780" w:hanging="341"/>
      </w:pPr>
      <w:rPr>
        <w:rFonts w:hint="default"/>
        <w:lang w:val="en-US" w:eastAsia="en-US" w:bidi="ar-SA"/>
      </w:rPr>
    </w:lvl>
    <w:lvl w:ilvl="6" w:tplc="396C3A70">
      <w:numFmt w:val="bullet"/>
      <w:lvlText w:val="•"/>
      <w:lvlJc w:val="left"/>
      <w:pPr>
        <w:ind w:left="5644" w:hanging="341"/>
      </w:pPr>
      <w:rPr>
        <w:rFonts w:hint="default"/>
        <w:lang w:val="en-US" w:eastAsia="en-US" w:bidi="ar-SA"/>
      </w:rPr>
    </w:lvl>
    <w:lvl w:ilvl="7" w:tplc="3004862C">
      <w:numFmt w:val="bullet"/>
      <w:lvlText w:val="•"/>
      <w:lvlJc w:val="left"/>
      <w:pPr>
        <w:ind w:left="6508" w:hanging="341"/>
      </w:pPr>
      <w:rPr>
        <w:rFonts w:hint="default"/>
        <w:lang w:val="en-US" w:eastAsia="en-US" w:bidi="ar-SA"/>
      </w:rPr>
    </w:lvl>
    <w:lvl w:ilvl="8" w:tplc="ECECD08C">
      <w:numFmt w:val="bullet"/>
      <w:lvlText w:val="•"/>
      <w:lvlJc w:val="left"/>
      <w:pPr>
        <w:ind w:left="7372" w:hanging="341"/>
      </w:pPr>
      <w:rPr>
        <w:rFonts w:hint="default"/>
        <w:lang w:val="en-US" w:eastAsia="en-US" w:bidi="ar-SA"/>
      </w:rPr>
    </w:lvl>
  </w:abstractNum>
  <w:abstractNum w:abstractNumId="5" w15:restartNumberingAfterBreak="0">
    <w:nsid w:val="0D3F5641"/>
    <w:multiLevelType w:val="hybridMultilevel"/>
    <w:tmpl w:val="9AD43506"/>
    <w:lvl w:ilvl="0" w:tplc="929618C8">
      <w:start w:val="1"/>
      <w:numFmt w:val="decimal"/>
      <w:lvlText w:val="%1."/>
      <w:lvlJc w:val="left"/>
      <w:pPr>
        <w:ind w:left="341" w:hanging="341"/>
      </w:pPr>
      <w:rPr>
        <w:rFonts w:hint="default"/>
        <w:spacing w:val="0"/>
        <w:w w:val="100"/>
        <w:lang w:val="en-US" w:eastAsia="en-US" w:bidi="ar-SA"/>
      </w:rPr>
    </w:lvl>
    <w:lvl w:ilvl="1" w:tplc="359E66CE">
      <w:numFmt w:val="bullet"/>
      <w:lvlText w:val="•"/>
      <w:lvlJc w:val="left"/>
      <w:pPr>
        <w:ind w:left="1324" w:hanging="341"/>
      </w:pPr>
      <w:rPr>
        <w:rFonts w:hint="default"/>
        <w:lang w:val="en-US" w:eastAsia="en-US" w:bidi="ar-SA"/>
      </w:rPr>
    </w:lvl>
    <w:lvl w:ilvl="2" w:tplc="56AEEB28">
      <w:numFmt w:val="bullet"/>
      <w:lvlText w:val="•"/>
      <w:lvlJc w:val="left"/>
      <w:pPr>
        <w:ind w:left="2188" w:hanging="341"/>
      </w:pPr>
      <w:rPr>
        <w:rFonts w:hint="default"/>
        <w:lang w:val="en-US" w:eastAsia="en-US" w:bidi="ar-SA"/>
      </w:rPr>
    </w:lvl>
    <w:lvl w:ilvl="3" w:tplc="0E5C4F96">
      <w:numFmt w:val="bullet"/>
      <w:lvlText w:val="•"/>
      <w:lvlJc w:val="left"/>
      <w:pPr>
        <w:ind w:left="3052" w:hanging="341"/>
      </w:pPr>
      <w:rPr>
        <w:rFonts w:hint="default"/>
        <w:lang w:val="en-US" w:eastAsia="en-US" w:bidi="ar-SA"/>
      </w:rPr>
    </w:lvl>
    <w:lvl w:ilvl="4" w:tplc="A85EB1BA">
      <w:numFmt w:val="bullet"/>
      <w:lvlText w:val="•"/>
      <w:lvlJc w:val="left"/>
      <w:pPr>
        <w:ind w:left="3916" w:hanging="341"/>
      </w:pPr>
      <w:rPr>
        <w:rFonts w:hint="default"/>
        <w:lang w:val="en-US" w:eastAsia="en-US" w:bidi="ar-SA"/>
      </w:rPr>
    </w:lvl>
    <w:lvl w:ilvl="5" w:tplc="AB6A7FE8">
      <w:numFmt w:val="bullet"/>
      <w:lvlText w:val="•"/>
      <w:lvlJc w:val="left"/>
      <w:pPr>
        <w:ind w:left="4780" w:hanging="341"/>
      </w:pPr>
      <w:rPr>
        <w:rFonts w:hint="default"/>
        <w:lang w:val="en-US" w:eastAsia="en-US" w:bidi="ar-SA"/>
      </w:rPr>
    </w:lvl>
    <w:lvl w:ilvl="6" w:tplc="8668D14E">
      <w:numFmt w:val="bullet"/>
      <w:lvlText w:val="•"/>
      <w:lvlJc w:val="left"/>
      <w:pPr>
        <w:ind w:left="5644" w:hanging="341"/>
      </w:pPr>
      <w:rPr>
        <w:rFonts w:hint="default"/>
        <w:lang w:val="en-US" w:eastAsia="en-US" w:bidi="ar-SA"/>
      </w:rPr>
    </w:lvl>
    <w:lvl w:ilvl="7" w:tplc="1D8E57D8">
      <w:numFmt w:val="bullet"/>
      <w:lvlText w:val="•"/>
      <w:lvlJc w:val="left"/>
      <w:pPr>
        <w:ind w:left="6508" w:hanging="341"/>
      </w:pPr>
      <w:rPr>
        <w:rFonts w:hint="default"/>
        <w:lang w:val="en-US" w:eastAsia="en-US" w:bidi="ar-SA"/>
      </w:rPr>
    </w:lvl>
    <w:lvl w:ilvl="8" w:tplc="743232C4">
      <w:numFmt w:val="bullet"/>
      <w:lvlText w:val="•"/>
      <w:lvlJc w:val="left"/>
      <w:pPr>
        <w:ind w:left="7372" w:hanging="341"/>
      </w:pPr>
      <w:rPr>
        <w:rFonts w:hint="default"/>
        <w:lang w:val="en-US" w:eastAsia="en-US" w:bidi="ar-SA"/>
      </w:rPr>
    </w:lvl>
  </w:abstractNum>
  <w:abstractNum w:abstractNumId="6" w15:restartNumberingAfterBreak="0">
    <w:nsid w:val="0F667A3F"/>
    <w:multiLevelType w:val="hybridMultilevel"/>
    <w:tmpl w:val="4588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21AD0"/>
    <w:multiLevelType w:val="hybridMultilevel"/>
    <w:tmpl w:val="AE6E6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40204"/>
    <w:multiLevelType w:val="multilevel"/>
    <w:tmpl w:val="49883DAC"/>
    <w:lvl w:ilvl="0">
      <w:start w:val="3"/>
      <w:numFmt w:val="decimal"/>
      <w:lvlText w:val="%1-"/>
      <w:lvlJc w:val="left"/>
      <w:pPr>
        <w:ind w:left="778" w:hanging="322"/>
      </w:pPr>
      <w:rPr>
        <w:rFonts w:ascii="Times New Roman" w:eastAsia="Times New Roman" w:hAnsi="Times New Roman" w:cs="Times New Roman" w:hint="default"/>
        <w:b/>
        <w:bCs/>
        <w:spacing w:val="0"/>
        <w:w w:val="100"/>
        <w:sz w:val="30"/>
        <w:szCs w:val="30"/>
        <w:lang w:val="en-US" w:eastAsia="en-US" w:bidi="ar-SA"/>
      </w:rPr>
    </w:lvl>
    <w:lvl w:ilvl="1">
      <w:start w:val="1"/>
      <w:numFmt w:val="decimal"/>
      <w:lvlText w:val="%1-%2"/>
      <w:lvlJc w:val="left"/>
      <w:pPr>
        <w:ind w:left="418" w:hanging="418"/>
      </w:pPr>
      <w:rPr>
        <w:rFonts w:ascii="Times New Roman" w:eastAsia="Times New Roman" w:hAnsi="Times New Roman" w:cs="Times New Roman" w:hint="default"/>
        <w:b/>
        <w:bCs/>
        <w:spacing w:val="-1"/>
        <w:w w:val="100"/>
        <w:sz w:val="26"/>
        <w:szCs w:val="26"/>
        <w:lang w:val="en-US" w:eastAsia="en-US" w:bidi="ar-SA"/>
      </w:rPr>
    </w:lvl>
    <w:lvl w:ilvl="2">
      <w:start w:val="1"/>
      <w:numFmt w:val="decimal"/>
      <w:lvlText w:val="%1-%2-%3"/>
      <w:lvlJc w:val="left"/>
      <w:pPr>
        <w:ind w:left="1100" w:hanging="644"/>
        <w:jc w:val="right"/>
      </w:pPr>
      <w:rPr>
        <w:rFonts w:ascii="Times New Roman" w:eastAsia="Times New Roman" w:hAnsi="Times New Roman" w:cs="Times New Roman" w:hint="default"/>
        <w:b/>
        <w:bCs/>
        <w:spacing w:val="-1"/>
        <w:w w:val="100"/>
        <w:sz w:val="26"/>
        <w:szCs w:val="26"/>
        <w:lang w:val="en-US" w:eastAsia="en-US" w:bidi="ar-SA"/>
      </w:rPr>
    </w:lvl>
    <w:lvl w:ilvl="3">
      <w:numFmt w:val="bullet"/>
      <w:lvlText w:val="•"/>
      <w:lvlJc w:val="left"/>
      <w:pPr>
        <w:ind w:left="2100" w:hanging="644"/>
      </w:pPr>
      <w:rPr>
        <w:rFonts w:hint="default"/>
        <w:lang w:val="en-US" w:eastAsia="en-US" w:bidi="ar-SA"/>
      </w:rPr>
    </w:lvl>
    <w:lvl w:ilvl="4">
      <w:numFmt w:val="bullet"/>
      <w:lvlText w:val="•"/>
      <w:lvlJc w:val="left"/>
      <w:pPr>
        <w:ind w:left="3100" w:hanging="644"/>
      </w:pPr>
      <w:rPr>
        <w:rFonts w:hint="default"/>
        <w:lang w:val="en-US" w:eastAsia="en-US" w:bidi="ar-SA"/>
      </w:rPr>
    </w:lvl>
    <w:lvl w:ilvl="5">
      <w:numFmt w:val="bullet"/>
      <w:lvlText w:val="•"/>
      <w:lvlJc w:val="left"/>
      <w:pPr>
        <w:ind w:left="4100" w:hanging="644"/>
      </w:pPr>
      <w:rPr>
        <w:rFonts w:hint="default"/>
        <w:lang w:val="en-US" w:eastAsia="en-US" w:bidi="ar-SA"/>
      </w:rPr>
    </w:lvl>
    <w:lvl w:ilvl="6">
      <w:numFmt w:val="bullet"/>
      <w:lvlText w:val="•"/>
      <w:lvlJc w:val="left"/>
      <w:pPr>
        <w:ind w:left="5100" w:hanging="644"/>
      </w:pPr>
      <w:rPr>
        <w:rFonts w:hint="default"/>
        <w:lang w:val="en-US" w:eastAsia="en-US" w:bidi="ar-SA"/>
      </w:rPr>
    </w:lvl>
    <w:lvl w:ilvl="7">
      <w:numFmt w:val="bullet"/>
      <w:lvlText w:val="•"/>
      <w:lvlJc w:val="left"/>
      <w:pPr>
        <w:ind w:left="6100" w:hanging="644"/>
      </w:pPr>
      <w:rPr>
        <w:rFonts w:hint="default"/>
        <w:lang w:val="en-US" w:eastAsia="en-US" w:bidi="ar-SA"/>
      </w:rPr>
    </w:lvl>
    <w:lvl w:ilvl="8">
      <w:numFmt w:val="bullet"/>
      <w:lvlText w:val="•"/>
      <w:lvlJc w:val="left"/>
      <w:pPr>
        <w:ind w:left="7100" w:hanging="644"/>
      </w:pPr>
      <w:rPr>
        <w:rFonts w:hint="default"/>
        <w:lang w:val="en-US" w:eastAsia="en-US" w:bidi="ar-SA"/>
      </w:rPr>
    </w:lvl>
  </w:abstractNum>
  <w:abstractNum w:abstractNumId="9" w15:restartNumberingAfterBreak="0">
    <w:nsid w:val="1A1E2CDD"/>
    <w:multiLevelType w:val="multilevel"/>
    <w:tmpl w:val="C13C990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953F6"/>
    <w:multiLevelType w:val="hybridMultilevel"/>
    <w:tmpl w:val="19CE3DC0"/>
    <w:lvl w:ilvl="0" w:tplc="72E2E66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D32A0"/>
    <w:multiLevelType w:val="multilevel"/>
    <w:tmpl w:val="9C9CA22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B1A83"/>
    <w:multiLevelType w:val="hybridMultilevel"/>
    <w:tmpl w:val="80AA6838"/>
    <w:lvl w:ilvl="0" w:tplc="8286CC94">
      <w:numFmt w:val="none"/>
      <w:lvlText w:val=""/>
      <w:lvlJc w:val="left"/>
      <w:pPr>
        <w:tabs>
          <w:tab w:val="num" w:pos="360"/>
        </w:tabs>
        <w:ind w:left="0" w:firstLine="0"/>
      </w:pPr>
    </w:lvl>
    <w:lvl w:ilvl="1" w:tplc="F79CA9C6">
      <w:numFmt w:val="bullet"/>
      <w:lvlText w:val="•"/>
      <w:lvlJc w:val="left"/>
      <w:pPr>
        <w:ind w:left="2846" w:hanging="492"/>
      </w:pPr>
      <w:rPr>
        <w:lang w:val="en-US" w:eastAsia="en-US" w:bidi="ar-SA"/>
      </w:rPr>
    </w:lvl>
    <w:lvl w:ilvl="2" w:tplc="BE2AE326">
      <w:numFmt w:val="bullet"/>
      <w:lvlText w:val="•"/>
      <w:lvlJc w:val="left"/>
      <w:pPr>
        <w:ind w:left="3753" w:hanging="492"/>
      </w:pPr>
      <w:rPr>
        <w:lang w:val="en-US" w:eastAsia="en-US" w:bidi="ar-SA"/>
      </w:rPr>
    </w:lvl>
    <w:lvl w:ilvl="3" w:tplc="EC78540E">
      <w:numFmt w:val="bullet"/>
      <w:lvlText w:val="•"/>
      <w:lvlJc w:val="left"/>
      <w:pPr>
        <w:ind w:left="4659" w:hanging="492"/>
      </w:pPr>
      <w:rPr>
        <w:lang w:val="en-US" w:eastAsia="en-US" w:bidi="ar-SA"/>
      </w:rPr>
    </w:lvl>
    <w:lvl w:ilvl="4" w:tplc="21D8E630">
      <w:numFmt w:val="bullet"/>
      <w:lvlText w:val="•"/>
      <w:lvlJc w:val="left"/>
      <w:pPr>
        <w:ind w:left="5566" w:hanging="492"/>
      </w:pPr>
      <w:rPr>
        <w:lang w:val="en-US" w:eastAsia="en-US" w:bidi="ar-SA"/>
      </w:rPr>
    </w:lvl>
    <w:lvl w:ilvl="5" w:tplc="4CE09E62">
      <w:numFmt w:val="bullet"/>
      <w:lvlText w:val="•"/>
      <w:lvlJc w:val="left"/>
      <w:pPr>
        <w:ind w:left="6473" w:hanging="492"/>
      </w:pPr>
      <w:rPr>
        <w:lang w:val="en-US" w:eastAsia="en-US" w:bidi="ar-SA"/>
      </w:rPr>
    </w:lvl>
    <w:lvl w:ilvl="6" w:tplc="8FB22882">
      <w:numFmt w:val="bullet"/>
      <w:lvlText w:val="•"/>
      <w:lvlJc w:val="left"/>
      <w:pPr>
        <w:ind w:left="7379" w:hanging="492"/>
      </w:pPr>
      <w:rPr>
        <w:lang w:val="en-US" w:eastAsia="en-US" w:bidi="ar-SA"/>
      </w:rPr>
    </w:lvl>
    <w:lvl w:ilvl="7" w:tplc="890E3E9C">
      <w:numFmt w:val="bullet"/>
      <w:lvlText w:val="•"/>
      <w:lvlJc w:val="left"/>
      <w:pPr>
        <w:ind w:left="8286" w:hanging="492"/>
      </w:pPr>
      <w:rPr>
        <w:lang w:val="en-US" w:eastAsia="en-US" w:bidi="ar-SA"/>
      </w:rPr>
    </w:lvl>
    <w:lvl w:ilvl="8" w:tplc="300EE76C">
      <w:numFmt w:val="bullet"/>
      <w:lvlText w:val="•"/>
      <w:lvlJc w:val="left"/>
      <w:pPr>
        <w:ind w:left="9193" w:hanging="492"/>
      </w:pPr>
      <w:rPr>
        <w:lang w:val="en-US" w:eastAsia="en-US" w:bidi="ar-SA"/>
      </w:rPr>
    </w:lvl>
  </w:abstractNum>
  <w:abstractNum w:abstractNumId="13" w15:restartNumberingAfterBreak="0">
    <w:nsid w:val="1FFB1845"/>
    <w:multiLevelType w:val="hybridMultilevel"/>
    <w:tmpl w:val="720255EA"/>
    <w:lvl w:ilvl="0" w:tplc="69C08286">
      <w:numFmt w:val="bullet"/>
      <w:lvlText w:val="-"/>
      <w:lvlJc w:val="left"/>
      <w:pPr>
        <w:ind w:left="456" w:hanging="154"/>
      </w:pPr>
      <w:rPr>
        <w:rFonts w:ascii="Times New Roman" w:eastAsia="Times New Roman" w:hAnsi="Times New Roman" w:cs="Times New Roman" w:hint="default"/>
        <w:w w:val="100"/>
        <w:sz w:val="26"/>
        <w:szCs w:val="26"/>
        <w:lang w:val="en-US" w:eastAsia="en-US" w:bidi="ar-SA"/>
      </w:rPr>
    </w:lvl>
    <w:lvl w:ilvl="1" w:tplc="BCA0D94A">
      <w:numFmt w:val="bullet"/>
      <w:lvlText w:val="•"/>
      <w:lvlJc w:val="left"/>
      <w:pPr>
        <w:ind w:left="1324" w:hanging="154"/>
      </w:pPr>
      <w:rPr>
        <w:rFonts w:hint="default"/>
        <w:lang w:val="en-US" w:eastAsia="en-US" w:bidi="ar-SA"/>
      </w:rPr>
    </w:lvl>
    <w:lvl w:ilvl="2" w:tplc="6D26C352">
      <w:numFmt w:val="bullet"/>
      <w:lvlText w:val="•"/>
      <w:lvlJc w:val="left"/>
      <w:pPr>
        <w:ind w:left="2188" w:hanging="154"/>
      </w:pPr>
      <w:rPr>
        <w:rFonts w:hint="default"/>
        <w:lang w:val="en-US" w:eastAsia="en-US" w:bidi="ar-SA"/>
      </w:rPr>
    </w:lvl>
    <w:lvl w:ilvl="3" w:tplc="9F446710">
      <w:numFmt w:val="bullet"/>
      <w:lvlText w:val="•"/>
      <w:lvlJc w:val="left"/>
      <w:pPr>
        <w:ind w:left="3052" w:hanging="154"/>
      </w:pPr>
      <w:rPr>
        <w:rFonts w:hint="default"/>
        <w:lang w:val="en-US" w:eastAsia="en-US" w:bidi="ar-SA"/>
      </w:rPr>
    </w:lvl>
    <w:lvl w:ilvl="4" w:tplc="3F9E17AA">
      <w:numFmt w:val="bullet"/>
      <w:lvlText w:val="•"/>
      <w:lvlJc w:val="left"/>
      <w:pPr>
        <w:ind w:left="3916" w:hanging="154"/>
      </w:pPr>
      <w:rPr>
        <w:rFonts w:hint="default"/>
        <w:lang w:val="en-US" w:eastAsia="en-US" w:bidi="ar-SA"/>
      </w:rPr>
    </w:lvl>
    <w:lvl w:ilvl="5" w:tplc="28A0E48E">
      <w:numFmt w:val="bullet"/>
      <w:lvlText w:val="•"/>
      <w:lvlJc w:val="left"/>
      <w:pPr>
        <w:ind w:left="4780" w:hanging="154"/>
      </w:pPr>
      <w:rPr>
        <w:rFonts w:hint="default"/>
        <w:lang w:val="en-US" w:eastAsia="en-US" w:bidi="ar-SA"/>
      </w:rPr>
    </w:lvl>
    <w:lvl w:ilvl="6" w:tplc="ADA055BA">
      <w:numFmt w:val="bullet"/>
      <w:lvlText w:val="•"/>
      <w:lvlJc w:val="left"/>
      <w:pPr>
        <w:ind w:left="5644" w:hanging="154"/>
      </w:pPr>
      <w:rPr>
        <w:rFonts w:hint="default"/>
        <w:lang w:val="en-US" w:eastAsia="en-US" w:bidi="ar-SA"/>
      </w:rPr>
    </w:lvl>
    <w:lvl w:ilvl="7" w:tplc="3084B072">
      <w:numFmt w:val="bullet"/>
      <w:lvlText w:val="•"/>
      <w:lvlJc w:val="left"/>
      <w:pPr>
        <w:ind w:left="6508" w:hanging="154"/>
      </w:pPr>
      <w:rPr>
        <w:rFonts w:hint="default"/>
        <w:lang w:val="en-US" w:eastAsia="en-US" w:bidi="ar-SA"/>
      </w:rPr>
    </w:lvl>
    <w:lvl w:ilvl="8" w:tplc="865014B8">
      <w:numFmt w:val="bullet"/>
      <w:lvlText w:val="•"/>
      <w:lvlJc w:val="left"/>
      <w:pPr>
        <w:ind w:left="7372" w:hanging="154"/>
      </w:pPr>
      <w:rPr>
        <w:rFonts w:hint="default"/>
        <w:lang w:val="en-US" w:eastAsia="en-US" w:bidi="ar-SA"/>
      </w:rPr>
    </w:lvl>
  </w:abstractNum>
  <w:abstractNum w:abstractNumId="14" w15:restartNumberingAfterBreak="0">
    <w:nsid w:val="20906368"/>
    <w:multiLevelType w:val="hybridMultilevel"/>
    <w:tmpl w:val="9496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2718A"/>
    <w:multiLevelType w:val="hybridMultilevel"/>
    <w:tmpl w:val="8D80F8FE"/>
    <w:lvl w:ilvl="0" w:tplc="E34EDE92">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6" w15:restartNumberingAfterBreak="0">
    <w:nsid w:val="317C2E01"/>
    <w:multiLevelType w:val="hybridMultilevel"/>
    <w:tmpl w:val="492EC9F4"/>
    <w:lvl w:ilvl="0" w:tplc="C56E8C28">
      <w:start w:val="1"/>
      <w:numFmt w:val="arabicAbjad"/>
      <w:lvlText w:val="%1-"/>
      <w:lvlJc w:val="center"/>
      <w:pPr>
        <w:tabs>
          <w:tab w:val="num" w:pos="0"/>
        </w:tabs>
        <w:ind w:left="1800"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7" w15:restartNumberingAfterBreak="0">
    <w:nsid w:val="34F67E76"/>
    <w:multiLevelType w:val="hybridMultilevel"/>
    <w:tmpl w:val="9F7243AE"/>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 w15:restartNumberingAfterBreak="0">
    <w:nsid w:val="39F36678"/>
    <w:multiLevelType w:val="hybridMultilevel"/>
    <w:tmpl w:val="31922592"/>
    <w:lvl w:ilvl="0" w:tplc="BADCFA68">
      <w:numFmt w:val="none"/>
      <w:lvlText w:val=""/>
      <w:lvlJc w:val="left"/>
      <w:pPr>
        <w:tabs>
          <w:tab w:val="num" w:pos="360"/>
        </w:tabs>
        <w:ind w:left="0" w:firstLine="0"/>
      </w:pPr>
    </w:lvl>
    <w:lvl w:ilvl="1" w:tplc="FEC2F3E0">
      <w:numFmt w:val="bullet"/>
      <w:lvlText w:val="•"/>
      <w:lvlJc w:val="left"/>
      <w:pPr>
        <w:ind w:left="2846" w:hanging="492"/>
      </w:pPr>
      <w:rPr>
        <w:lang w:val="en-US" w:eastAsia="en-US" w:bidi="ar-SA"/>
      </w:rPr>
    </w:lvl>
    <w:lvl w:ilvl="2" w:tplc="9DB6DC56">
      <w:numFmt w:val="bullet"/>
      <w:lvlText w:val="•"/>
      <w:lvlJc w:val="left"/>
      <w:pPr>
        <w:ind w:left="3753" w:hanging="492"/>
      </w:pPr>
      <w:rPr>
        <w:lang w:val="en-US" w:eastAsia="en-US" w:bidi="ar-SA"/>
      </w:rPr>
    </w:lvl>
    <w:lvl w:ilvl="3" w:tplc="8BFE12DC">
      <w:numFmt w:val="bullet"/>
      <w:lvlText w:val="•"/>
      <w:lvlJc w:val="left"/>
      <w:pPr>
        <w:ind w:left="4659" w:hanging="492"/>
      </w:pPr>
      <w:rPr>
        <w:lang w:val="en-US" w:eastAsia="en-US" w:bidi="ar-SA"/>
      </w:rPr>
    </w:lvl>
    <w:lvl w:ilvl="4" w:tplc="02245704">
      <w:numFmt w:val="bullet"/>
      <w:lvlText w:val="•"/>
      <w:lvlJc w:val="left"/>
      <w:pPr>
        <w:ind w:left="5566" w:hanging="492"/>
      </w:pPr>
      <w:rPr>
        <w:lang w:val="en-US" w:eastAsia="en-US" w:bidi="ar-SA"/>
      </w:rPr>
    </w:lvl>
    <w:lvl w:ilvl="5" w:tplc="C4FED7EC">
      <w:numFmt w:val="bullet"/>
      <w:lvlText w:val="•"/>
      <w:lvlJc w:val="left"/>
      <w:pPr>
        <w:ind w:left="6473" w:hanging="492"/>
      </w:pPr>
      <w:rPr>
        <w:lang w:val="en-US" w:eastAsia="en-US" w:bidi="ar-SA"/>
      </w:rPr>
    </w:lvl>
    <w:lvl w:ilvl="6" w:tplc="1312FDE0">
      <w:numFmt w:val="bullet"/>
      <w:lvlText w:val="•"/>
      <w:lvlJc w:val="left"/>
      <w:pPr>
        <w:ind w:left="7379" w:hanging="492"/>
      </w:pPr>
      <w:rPr>
        <w:lang w:val="en-US" w:eastAsia="en-US" w:bidi="ar-SA"/>
      </w:rPr>
    </w:lvl>
    <w:lvl w:ilvl="7" w:tplc="0AE2C0DA">
      <w:numFmt w:val="bullet"/>
      <w:lvlText w:val="•"/>
      <w:lvlJc w:val="left"/>
      <w:pPr>
        <w:ind w:left="8286" w:hanging="492"/>
      </w:pPr>
      <w:rPr>
        <w:lang w:val="en-US" w:eastAsia="en-US" w:bidi="ar-SA"/>
      </w:rPr>
    </w:lvl>
    <w:lvl w:ilvl="8" w:tplc="DD36F554">
      <w:numFmt w:val="bullet"/>
      <w:lvlText w:val="•"/>
      <w:lvlJc w:val="left"/>
      <w:pPr>
        <w:ind w:left="9193" w:hanging="492"/>
      </w:pPr>
      <w:rPr>
        <w:lang w:val="en-US" w:eastAsia="en-US" w:bidi="ar-SA"/>
      </w:rPr>
    </w:lvl>
  </w:abstractNum>
  <w:abstractNum w:abstractNumId="19" w15:restartNumberingAfterBreak="0">
    <w:nsid w:val="3B695A10"/>
    <w:multiLevelType w:val="hybridMultilevel"/>
    <w:tmpl w:val="CEE4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B3D06"/>
    <w:multiLevelType w:val="hybridMultilevel"/>
    <w:tmpl w:val="A99AF9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971AF"/>
    <w:multiLevelType w:val="hybridMultilevel"/>
    <w:tmpl w:val="0A6A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80E0E"/>
    <w:multiLevelType w:val="hybridMultilevel"/>
    <w:tmpl w:val="DFE883DC"/>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15:restartNumberingAfterBreak="0">
    <w:nsid w:val="51A31B2D"/>
    <w:multiLevelType w:val="hybridMultilevel"/>
    <w:tmpl w:val="E2628AE0"/>
    <w:lvl w:ilvl="0" w:tplc="7D4AEB32">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4" w15:restartNumberingAfterBreak="0">
    <w:nsid w:val="51CE08AB"/>
    <w:multiLevelType w:val="hybridMultilevel"/>
    <w:tmpl w:val="0B643D7A"/>
    <w:lvl w:ilvl="0" w:tplc="34C24C7A">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5" w15:restartNumberingAfterBreak="0">
    <w:nsid w:val="51EA5287"/>
    <w:multiLevelType w:val="hybridMultilevel"/>
    <w:tmpl w:val="8214ABC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8513C"/>
    <w:multiLevelType w:val="hybridMultilevel"/>
    <w:tmpl w:val="1848F4C4"/>
    <w:lvl w:ilvl="0" w:tplc="A0766B44">
      <w:start w:val="5"/>
      <w:numFmt w:val="decimal"/>
      <w:lvlText w:val="%1"/>
      <w:lvlJc w:val="left"/>
      <w:pPr>
        <w:ind w:left="931" w:hanging="476"/>
      </w:pPr>
      <w:rPr>
        <w:rFonts w:hint="default"/>
        <w:lang w:val="en-US" w:eastAsia="en-US" w:bidi="ar-SA"/>
      </w:rPr>
    </w:lvl>
    <w:lvl w:ilvl="1" w:tplc="A7363168">
      <w:numFmt w:val="none"/>
      <w:lvlText w:val=""/>
      <w:lvlJc w:val="left"/>
      <w:pPr>
        <w:tabs>
          <w:tab w:val="num" w:pos="360"/>
        </w:tabs>
      </w:pPr>
    </w:lvl>
    <w:lvl w:ilvl="2" w:tplc="D2A49946">
      <w:numFmt w:val="bullet"/>
      <w:lvlText w:val=""/>
      <w:lvlJc w:val="left"/>
      <w:pPr>
        <w:ind w:left="1306" w:hanging="341"/>
      </w:pPr>
      <w:rPr>
        <w:rFonts w:ascii="Wingdings" w:eastAsia="Wingdings" w:hAnsi="Wingdings" w:cs="Wingdings" w:hint="default"/>
        <w:w w:val="100"/>
        <w:sz w:val="26"/>
        <w:szCs w:val="26"/>
        <w:lang w:val="en-US" w:eastAsia="en-US" w:bidi="ar-SA"/>
      </w:rPr>
    </w:lvl>
    <w:lvl w:ilvl="3" w:tplc="A4862D4C">
      <w:numFmt w:val="bullet"/>
      <w:lvlText w:val="•"/>
      <w:lvlJc w:val="left"/>
      <w:pPr>
        <w:ind w:left="3033" w:hanging="341"/>
      </w:pPr>
      <w:rPr>
        <w:rFonts w:hint="default"/>
        <w:lang w:val="en-US" w:eastAsia="en-US" w:bidi="ar-SA"/>
      </w:rPr>
    </w:lvl>
    <w:lvl w:ilvl="4" w:tplc="35F8CEFC">
      <w:numFmt w:val="bullet"/>
      <w:lvlText w:val="•"/>
      <w:lvlJc w:val="left"/>
      <w:pPr>
        <w:ind w:left="3900" w:hanging="341"/>
      </w:pPr>
      <w:rPr>
        <w:rFonts w:hint="default"/>
        <w:lang w:val="en-US" w:eastAsia="en-US" w:bidi="ar-SA"/>
      </w:rPr>
    </w:lvl>
    <w:lvl w:ilvl="5" w:tplc="11F0857C">
      <w:numFmt w:val="bullet"/>
      <w:lvlText w:val="•"/>
      <w:lvlJc w:val="left"/>
      <w:pPr>
        <w:ind w:left="4766" w:hanging="341"/>
      </w:pPr>
      <w:rPr>
        <w:rFonts w:hint="default"/>
        <w:lang w:val="en-US" w:eastAsia="en-US" w:bidi="ar-SA"/>
      </w:rPr>
    </w:lvl>
    <w:lvl w:ilvl="6" w:tplc="51883522">
      <w:numFmt w:val="bullet"/>
      <w:lvlText w:val="•"/>
      <w:lvlJc w:val="left"/>
      <w:pPr>
        <w:ind w:left="5633" w:hanging="341"/>
      </w:pPr>
      <w:rPr>
        <w:rFonts w:hint="default"/>
        <w:lang w:val="en-US" w:eastAsia="en-US" w:bidi="ar-SA"/>
      </w:rPr>
    </w:lvl>
    <w:lvl w:ilvl="7" w:tplc="C2B29F24">
      <w:numFmt w:val="bullet"/>
      <w:lvlText w:val="•"/>
      <w:lvlJc w:val="left"/>
      <w:pPr>
        <w:ind w:left="6500" w:hanging="341"/>
      </w:pPr>
      <w:rPr>
        <w:rFonts w:hint="default"/>
        <w:lang w:val="en-US" w:eastAsia="en-US" w:bidi="ar-SA"/>
      </w:rPr>
    </w:lvl>
    <w:lvl w:ilvl="8" w:tplc="A666017A">
      <w:numFmt w:val="bullet"/>
      <w:lvlText w:val="•"/>
      <w:lvlJc w:val="left"/>
      <w:pPr>
        <w:ind w:left="7366" w:hanging="341"/>
      </w:pPr>
      <w:rPr>
        <w:rFonts w:hint="default"/>
        <w:lang w:val="en-US" w:eastAsia="en-US" w:bidi="ar-SA"/>
      </w:rPr>
    </w:lvl>
  </w:abstractNum>
  <w:abstractNum w:abstractNumId="27" w15:restartNumberingAfterBreak="0">
    <w:nsid w:val="56FE21F7"/>
    <w:multiLevelType w:val="hybridMultilevel"/>
    <w:tmpl w:val="2C36723A"/>
    <w:lvl w:ilvl="0" w:tplc="0409000F">
      <w:start w:val="1"/>
      <w:numFmt w:val="decimal"/>
      <w:lvlText w:val="%1."/>
      <w:lvlJc w:val="left"/>
      <w:pPr>
        <w:ind w:left="720"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8" w15:restartNumberingAfterBreak="0">
    <w:nsid w:val="5A2C022C"/>
    <w:multiLevelType w:val="hybridMultilevel"/>
    <w:tmpl w:val="81EE2480"/>
    <w:lvl w:ilvl="0" w:tplc="5ACA832C">
      <w:start w:val="1"/>
      <w:numFmt w:val="arabicAbjad"/>
      <w:lvlText w:val="%1-"/>
      <w:lvlJc w:val="center"/>
      <w:pPr>
        <w:tabs>
          <w:tab w:val="num" w:pos="1429"/>
        </w:tabs>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5EC16F02"/>
    <w:multiLevelType w:val="hybridMultilevel"/>
    <w:tmpl w:val="6442A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0725D"/>
    <w:multiLevelType w:val="hybridMultilevel"/>
    <w:tmpl w:val="50785AD8"/>
    <w:lvl w:ilvl="0" w:tplc="A86E27F4">
      <w:start w:val="64"/>
      <w:numFmt w:val="decimal"/>
      <w:lvlText w:val="%1."/>
      <w:lvlJc w:val="left"/>
      <w:pPr>
        <w:ind w:left="456" w:hanging="341"/>
      </w:pPr>
      <w:rPr>
        <w:rFonts w:ascii="Times New Roman" w:eastAsia="Times New Roman" w:hAnsi="Times New Roman" w:cs="Times New Roman" w:hint="default"/>
        <w:spacing w:val="3"/>
        <w:w w:val="100"/>
        <w:sz w:val="24"/>
        <w:szCs w:val="24"/>
        <w:lang w:val="en-US" w:eastAsia="en-US" w:bidi="ar-SA"/>
      </w:rPr>
    </w:lvl>
    <w:lvl w:ilvl="1" w:tplc="3A80B9CC">
      <w:start w:val="1"/>
      <w:numFmt w:val="lowerLetter"/>
      <w:lvlText w:val="%2-"/>
      <w:lvlJc w:val="left"/>
      <w:pPr>
        <w:ind w:left="1133" w:hanging="341"/>
      </w:pPr>
      <w:rPr>
        <w:rFonts w:ascii="Times New Roman" w:eastAsia="Times New Roman" w:hAnsi="Times New Roman" w:cs="Times New Roman" w:hint="default"/>
        <w:b/>
        <w:bCs/>
        <w:spacing w:val="0"/>
        <w:w w:val="100"/>
        <w:sz w:val="26"/>
        <w:szCs w:val="26"/>
        <w:lang w:val="en-US" w:eastAsia="en-US" w:bidi="ar-SA"/>
      </w:rPr>
    </w:lvl>
    <w:lvl w:ilvl="2" w:tplc="5F8CE322">
      <w:numFmt w:val="bullet"/>
      <w:lvlText w:val="•"/>
      <w:lvlJc w:val="left"/>
      <w:pPr>
        <w:ind w:left="2024" w:hanging="341"/>
      </w:pPr>
      <w:rPr>
        <w:rFonts w:hint="default"/>
        <w:lang w:val="en-US" w:eastAsia="en-US" w:bidi="ar-SA"/>
      </w:rPr>
    </w:lvl>
    <w:lvl w:ilvl="3" w:tplc="3E2C8126">
      <w:numFmt w:val="bullet"/>
      <w:lvlText w:val="•"/>
      <w:lvlJc w:val="left"/>
      <w:pPr>
        <w:ind w:left="2908" w:hanging="341"/>
      </w:pPr>
      <w:rPr>
        <w:rFonts w:hint="default"/>
        <w:lang w:val="en-US" w:eastAsia="en-US" w:bidi="ar-SA"/>
      </w:rPr>
    </w:lvl>
    <w:lvl w:ilvl="4" w:tplc="2FE25A3E">
      <w:numFmt w:val="bullet"/>
      <w:lvlText w:val="•"/>
      <w:lvlJc w:val="left"/>
      <w:pPr>
        <w:ind w:left="3793" w:hanging="341"/>
      </w:pPr>
      <w:rPr>
        <w:rFonts w:hint="default"/>
        <w:lang w:val="en-US" w:eastAsia="en-US" w:bidi="ar-SA"/>
      </w:rPr>
    </w:lvl>
    <w:lvl w:ilvl="5" w:tplc="8216EDCA">
      <w:numFmt w:val="bullet"/>
      <w:lvlText w:val="•"/>
      <w:lvlJc w:val="left"/>
      <w:pPr>
        <w:ind w:left="4677" w:hanging="341"/>
      </w:pPr>
      <w:rPr>
        <w:rFonts w:hint="default"/>
        <w:lang w:val="en-US" w:eastAsia="en-US" w:bidi="ar-SA"/>
      </w:rPr>
    </w:lvl>
    <w:lvl w:ilvl="6" w:tplc="1C625E60">
      <w:numFmt w:val="bullet"/>
      <w:lvlText w:val="•"/>
      <w:lvlJc w:val="left"/>
      <w:pPr>
        <w:ind w:left="5562" w:hanging="341"/>
      </w:pPr>
      <w:rPr>
        <w:rFonts w:hint="default"/>
        <w:lang w:val="en-US" w:eastAsia="en-US" w:bidi="ar-SA"/>
      </w:rPr>
    </w:lvl>
    <w:lvl w:ilvl="7" w:tplc="24A2B040">
      <w:numFmt w:val="bullet"/>
      <w:lvlText w:val="•"/>
      <w:lvlJc w:val="left"/>
      <w:pPr>
        <w:ind w:left="6446" w:hanging="341"/>
      </w:pPr>
      <w:rPr>
        <w:rFonts w:hint="default"/>
        <w:lang w:val="en-US" w:eastAsia="en-US" w:bidi="ar-SA"/>
      </w:rPr>
    </w:lvl>
    <w:lvl w:ilvl="8" w:tplc="01126C2A">
      <w:numFmt w:val="bullet"/>
      <w:lvlText w:val="•"/>
      <w:lvlJc w:val="left"/>
      <w:pPr>
        <w:ind w:left="7331" w:hanging="341"/>
      </w:pPr>
      <w:rPr>
        <w:rFonts w:hint="default"/>
        <w:lang w:val="en-US" w:eastAsia="en-US" w:bidi="ar-SA"/>
      </w:rPr>
    </w:lvl>
  </w:abstractNum>
  <w:abstractNum w:abstractNumId="31" w15:restartNumberingAfterBreak="0">
    <w:nsid w:val="62064A0C"/>
    <w:multiLevelType w:val="multilevel"/>
    <w:tmpl w:val="791EF03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2F64E3"/>
    <w:multiLevelType w:val="multilevel"/>
    <w:tmpl w:val="E9B434EA"/>
    <w:lvl w:ilvl="0">
      <w:start w:val="1"/>
      <w:numFmt w:val="decimal"/>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72F8F"/>
    <w:multiLevelType w:val="hybridMultilevel"/>
    <w:tmpl w:val="79483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4C2373"/>
    <w:multiLevelType w:val="hybridMultilevel"/>
    <w:tmpl w:val="3FE0CDA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5" w15:restartNumberingAfterBreak="0">
    <w:nsid w:val="702A3ACD"/>
    <w:multiLevelType w:val="multilevel"/>
    <w:tmpl w:val="396A138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F685B"/>
    <w:multiLevelType w:val="hybridMultilevel"/>
    <w:tmpl w:val="C454870A"/>
    <w:lvl w:ilvl="0" w:tplc="0682F7B4">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3694356"/>
    <w:multiLevelType w:val="hybridMultilevel"/>
    <w:tmpl w:val="4F1E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62CA6"/>
    <w:multiLevelType w:val="hybridMultilevel"/>
    <w:tmpl w:val="47C6E01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9" w15:restartNumberingAfterBreak="0">
    <w:nsid w:val="797A0752"/>
    <w:multiLevelType w:val="hybridMultilevel"/>
    <w:tmpl w:val="0C7063E2"/>
    <w:lvl w:ilvl="0" w:tplc="52A05FB0">
      <w:numFmt w:val="bullet"/>
      <w:lvlText w:val="-"/>
      <w:lvlJc w:val="left"/>
      <w:pPr>
        <w:ind w:left="456" w:hanging="154"/>
      </w:pPr>
      <w:rPr>
        <w:rFonts w:ascii="Times New Roman" w:eastAsia="Times New Roman" w:hAnsi="Times New Roman" w:cs="Times New Roman" w:hint="default"/>
        <w:w w:val="100"/>
        <w:sz w:val="26"/>
        <w:szCs w:val="26"/>
        <w:lang w:val="en-US" w:eastAsia="en-US" w:bidi="ar-SA"/>
      </w:rPr>
    </w:lvl>
    <w:lvl w:ilvl="1" w:tplc="54F8285C">
      <w:numFmt w:val="bullet"/>
      <w:lvlText w:val="•"/>
      <w:lvlJc w:val="left"/>
      <w:pPr>
        <w:ind w:left="1324" w:hanging="154"/>
      </w:pPr>
      <w:rPr>
        <w:rFonts w:hint="default"/>
        <w:lang w:val="en-US" w:eastAsia="en-US" w:bidi="ar-SA"/>
      </w:rPr>
    </w:lvl>
    <w:lvl w:ilvl="2" w:tplc="985A282E">
      <w:numFmt w:val="bullet"/>
      <w:lvlText w:val="•"/>
      <w:lvlJc w:val="left"/>
      <w:pPr>
        <w:ind w:left="2188" w:hanging="154"/>
      </w:pPr>
      <w:rPr>
        <w:rFonts w:hint="default"/>
        <w:lang w:val="en-US" w:eastAsia="en-US" w:bidi="ar-SA"/>
      </w:rPr>
    </w:lvl>
    <w:lvl w:ilvl="3" w:tplc="C46AB326">
      <w:numFmt w:val="bullet"/>
      <w:lvlText w:val="•"/>
      <w:lvlJc w:val="left"/>
      <w:pPr>
        <w:ind w:left="3052" w:hanging="154"/>
      </w:pPr>
      <w:rPr>
        <w:rFonts w:hint="default"/>
        <w:lang w:val="en-US" w:eastAsia="en-US" w:bidi="ar-SA"/>
      </w:rPr>
    </w:lvl>
    <w:lvl w:ilvl="4" w:tplc="65D628B6">
      <w:numFmt w:val="bullet"/>
      <w:lvlText w:val="•"/>
      <w:lvlJc w:val="left"/>
      <w:pPr>
        <w:ind w:left="3916" w:hanging="154"/>
      </w:pPr>
      <w:rPr>
        <w:rFonts w:hint="default"/>
        <w:lang w:val="en-US" w:eastAsia="en-US" w:bidi="ar-SA"/>
      </w:rPr>
    </w:lvl>
    <w:lvl w:ilvl="5" w:tplc="144853D8">
      <w:numFmt w:val="bullet"/>
      <w:lvlText w:val="•"/>
      <w:lvlJc w:val="left"/>
      <w:pPr>
        <w:ind w:left="4780" w:hanging="154"/>
      </w:pPr>
      <w:rPr>
        <w:rFonts w:hint="default"/>
        <w:lang w:val="en-US" w:eastAsia="en-US" w:bidi="ar-SA"/>
      </w:rPr>
    </w:lvl>
    <w:lvl w:ilvl="6" w:tplc="FDFC5FEE">
      <w:numFmt w:val="bullet"/>
      <w:lvlText w:val="•"/>
      <w:lvlJc w:val="left"/>
      <w:pPr>
        <w:ind w:left="5644" w:hanging="154"/>
      </w:pPr>
      <w:rPr>
        <w:rFonts w:hint="default"/>
        <w:lang w:val="en-US" w:eastAsia="en-US" w:bidi="ar-SA"/>
      </w:rPr>
    </w:lvl>
    <w:lvl w:ilvl="7" w:tplc="B896E9A0">
      <w:numFmt w:val="bullet"/>
      <w:lvlText w:val="•"/>
      <w:lvlJc w:val="left"/>
      <w:pPr>
        <w:ind w:left="6508" w:hanging="154"/>
      </w:pPr>
      <w:rPr>
        <w:rFonts w:hint="default"/>
        <w:lang w:val="en-US" w:eastAsia="en-US" w:bidi="ar-SA"/>
      </w:rPr>
    </w:lvl>
    <w:lvl w:ilvl="8" w:tplc="1C0AF770">
      <w:numFmt w:val="bullet"/>
      <w:lvlText w:val="•"/>
      <w:lvlJc w:val="left"/>
      <w:pPr>
        <w:ind w:left="7372" w:hanging="154"/>
      </w:pPr>
      <w:rPr>
        <w:rFonts w:hint="default"/>
        <w:lang w:val="en-US" w:eastAsia="en-US" w:bidi="ar-SA"/>
      </w:rPr>
    </w:lvl>
  </w:abstractNum>
  <w:abstractNum w:abstractNumId="40" w15:restartNumberingAfterBreak="0">
    <w:nsid w:val="7A7408CE"/>
    <w:multiLevelType w:val="multilevel"/>
    <w:tmpl w:val="DB3C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E00F73"/>
    <w:multiLevelType w:val="hybridMultilevel"/>
    <w:tmpl w:val="601204BA"/>
    <w:lvl w:ilvl="0" w:tplc="9822E8D6">
      <w:start w:val="3"/>
      <w:numFmt w:val="decimal"/>
      <w:lvlText w:val="%1-"/>
      <w:lvlJc w:val="left"/>
      <w:pPr>
        <w:ind w:left="778" w:hanging="322"/>
      </w:pPr>
      <w:rPr>
        <w:rFonts w:ascii="Times New Roman" w:eastAsia="Times New Roman" w:hAnsi="Times New Roman" w:cs="Times New Roman" w:hint="default"/>
        <w:b/>
        <w:bCs/>
        <w:spacing w:val="0"/>
        <w:w w:val="100"/>
        <w:sz w:val="30"/>
        <w:szCs w:val="30"/>
        <w:lang w:val="en-US" w:eastAsia="en-US" w:bidi="ar-SA"/>
      </w:rPr>
    </w:lvl>
    <w:lvl w:ilvl="1" w:tplc="F60CC5B0">
      <w:numFmt w:val="none"/>
      <w:lvlText w:val=""/>
      <w:lvlJc w:val="left"/>
      <w:pPr>
        <w:tabs>
          <w:tab w:val="num" w:pos="360"/>
        </w:tabs>
      </w:pPr>
    </w:lvl>
    <w:lvl w:ilvl="2" w:tplc="73063DFE">
      <w:numFmt w:val="none"/>
      <w:lvlText w:val=""/>
      <w:lvlJc w:val="left"/>
      <w:pPr>
        <w:tabs>
          <w:tab w:val="num" w:pos="360"/>
        </w:tabs>
      </w:pPr>
    </w:lvl>
    <w:lvl w:ilvl="3" w:tplc="BF4A1C0A">
      <w:numFmt w:val="bullet"/>
      <w:lvlText w:val="•"/>
      <w:lvlJc w:val="left"/>
      <w:pPr>
        <w:ind w:left="2100" w:hanging="644"/>
      </w:pPr>
      <w:rPr>
        <w:rFonts w:hint="default"/>
        <w:lang w:val="en-US" w:eastAsia="en-US" w:bidi="ar-SA"/>
      </w:rPr>
    </w:lvl>
    <w:lvl w:ilvl="4" w:tplc="F310715A">
      <w:numFmt w:val="bullet"/>
      <w:lvlText w:val="•"/>
      <w:lvlJc w:val="left"/>
      <w:pPr>
        <w:ind w:left="3100" w:hanging="644"/>
      </w:pPr>
      <w:rPr>
        <w:rFonts w:hint="default"/>
        <w:lang w:val="en-US" w:eastAsia="en-US" w:bidi="ar-SA"/>
      </w:rPr>
    </w:lvl>
    <w:lvl w:ilvl="5" w:tplc="1818CC48">
      <w:numFmt w:val="bullet"/>
      <w:lvlText w:val="•"/>
      <w:lvlJc w:val="left"/>
      <w:pPr>
        <w:ind w:left="4100" w:hanging="644"/>
      </w:pPr>
      <w:rPr>
        <w:rFonts w:hint="default"/>
        <w:lang w:val="en-US" w:eastAsia="en-US" w:bidi="ar-SA"/>
      </w:rPr>
    </w:lvl>
    <w:lvl w:ilvl="6" w:tplc="83EA0ABC">
      <w:numFmt w:val="bullet"/>
      <w:lvlText w:val="•"/>
      <w:lvlJc w:val="left"/>
      <w:pPr>
        <w:ind w:left="5100" w:hanging="644"/>
      </w:pPr>
      <w:rPr>
        <w:rFonts w:hint="default"/>
        <w:lang w:val="en-US" w:eastAsia="en-US" w:bidi="ar-SA"/>
      </w:rPr>
    </w:lvl>
    <w:lvl w:ilvl="7" w:tplc="1F7C5A58">
      <w:numFmt w:val="bullet"/>
      <w:lvlText w:val="•"/>
      <w:lvlJc w:val="left"/>
      <w:pPr>
        <w:ind w:left="6100" w:hanging="644"/>
      </w:pPr>
      <w:rPr>
        <w:rFonts w:hint="default"/>
        <w:lang w:val="en-US" w:eastAsia="en-US" w:bidi="ar-SA"/>
      </w:rPr>
    </w:lvl>
    <w:lvl w:ilvl="8" w:tplc="5B0A190C">
      <w:numFmt w:val="bullet"/>
      <w:lvlText w:val="•"/>
      <w:lvlJc w:val="left"/>
      <w:pPr>
        <w:ind w:left="7100" w:hanging="644"/>
      </w:pPr>
      <w:rPr>
        <w:rFonts w:hint="default"/>
        <w:lang w:val="en-US" w:eastAsia="en-US" w:bidi="ar-SA"/>
      </w:rPr>
    </w:lvl>
  </w:abstractNum>
  <w:abstractNum w:abstractNumId="42" w15:restartNumberingAfterBreak="0">
    <w:nsid w:val="7D55039E"/>
    <w:multiLevelType w:val="hybridMultilevel"/>
    <w:tmpl w:val="CC380C7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14"/>
  </w:num>
  <w:num w:numId="2">
    <w:abstractNumId w:val="7"/>
  </w:num>
  <w:num w:numId="3">
    <w:abstractNumId w:val="6"/>
  </w:num>
  <w:num w:numId="4">
    <w:abstractNumId w:val="0"/>
  </w:num>
  <w:num w:numId="5">
    <w:abstractNumId w:val="29"/>
  </w:num>
  <w:num w:numId="6">
    <w:abstractNumId w:val="25"/>
  </w:num>
  <w:num w:numId="7">
    <w:abstractNumId w:val="1"/>
  </w:num>
  <w:num w:numId="8">
    <w:abstractNumId w:val="27"/>
  </w:num>
  <w:num w:numId="9">
    <w:abstractNumId w:val="28"/>
  </w:num>
  <w:num w:numId="10">
    <w:abstractNumId w:val="23"/>
  </w:num>
  <w:num w:numId="11">
    <w:abstractNumId w:val="16"/>
  </w:num>
  <w:num w:numId="12">
    <w:abstractNumId w:val="34"/>
  </w:num>
  <w:num w:numId="13">
    <w:abstractNumId w:val="24"/>
  </w:num>
  <w:num w:numId="14">
    <w:abstractNumId w:val="38"/>
  </w:num>
  <w:num w:numId="15">
    <w:abstractNumId w:val="17"/>
  </w:num>
  <w:num w:numId="16">
    <w:abstractNumId w:val="15"/>
  </w:num>
  <w:num w:numId="17">
    <w:abstractNumId w:val="42"/>
  </w:num>
  <w:num w:numId="18">
    <w:abstractNumId w:val="22"/>
  </w:num>
  <w:num w:numId="19">
    <w:abstractNumId w:val="11"/>
  </w:num>
  <w:num w:numId="20">
    <w:abstractNumId w:val="31"/>
  </w:num>
  <w:num w:numId="21">
    <w:abstractNumId w:val="40"/>
  </w:num>
  <w:num w:numId="22">
    <w:abstractNumId w:val="9"/>
  </w:num>
  <w:num w:numId="23">
    <w:abstractNumId w:val="35"/>
  </w:num>
  <w:num w:numId="24">
    <w:abstractNumId w:val="33"/>
  </w:num>
  <w:num w:numId="25">
    <w:abstractNumId w:val="19"/>
  </w:num>
  <w:num w:numId="26">
    <w:abstractNumId w:val="10"/>
  </w:num>
  <w:num w:numId="27">
    <w:abstractNumId w:val="20"/>
  </w:num>
  <w:num w:numId="28">
    <w:abstractNumId w:val="8"/>
  </w:num>
  <w:num w:numId="29">
    <w:abstractNumId w:val="13"/>
  </w:num>
  <w:num w:numId="30">
    <w:abstractNumId w:val="5"/>
  </w:num>
  <w:num w:numId="31">
    <w:abstractNumId w:val="4"/>
  </w:num>
  <w:num w:numId="32">
    <w:abstractNumId w:val="30"/>
  </w:num>
  <w:num w:numId="33">
    <w:abstractNumId w:val="41"/>
  </w:num>
  <w:num w:numId="34">
    <w:abstractNumId w:val="39"/>
  </w:num>
  <w:num w:numId="35">
    <w:abstractNumId w:val="26"/>
  </w:num>
  <w:num w:numId="36">
    <w:abstractNumId w:val="36"/>
  </w:num>
  <w:num w:numId="37">
    <w:abstractNumId w:val="12"/>
  </w:num>
  <w:num w:numId="38">
    <w:abstractNumId w:val="18"/>
  </w:num>
  <w:num w:numId="39">
    <w:abstractNumId w:val="21"/>
  </w:num>
  <w:num w:numId="40">
    <w:abstractNumId w:val="32"/>
  </w:num>
  <w:num w:numId="41">
    <w:abstractNumId w:val="2"/>
  </w:num>
  <w:num w:numId="42">
    <w:abstractNumId w:val="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E6"/>
    <w:rsid w:val="0000026C"/>
    <w:rsid w:val="00007C9E"/>
    <w:rsid w:val="0001089E"/>
    <w:rsid w:val="00011893"/>
    <w:rsid w:val="00012720"/>
    <w:rsid w:val="00012C42"/>
    <w:rsid w:val="00015986"/>
    <w:rsid w:val="00022829"/>
    <w:rsid w:val="00025C21"/>
    <w:rsid w:val="00026DCA"/>
    <w:rsid w:val="00030B14"/>
    <w:rsid w:val="000336F7"/>
    <w:rsid w:val="00033E41"/>
    <w:rsid w:val="000341A2"/>
    <w:rsid w:val="00036DFD"/>
    <w:rsid w:val="0004062C"/>
    <w:rsid w:val="00041C89"/>
    <w:rsid w:val="00045392"/>
    <w:rsid w:val="00054125"/>
    <w:rsid w:val="00056716"/>
    <w:rsid w:val="000570F3"/>
    <w:rsid w:val="00066696"/>
    <w:rsid w:val="00071090"/>
    <w:rsid w:val="00071A5E"/>
    <w:rsid w:val="00071F8B"/>
    <w:rsid w:val="0007231D"/>
    <w:rsid w:val="00073CE2"/>
    <w:rsid w:val="00076760"/>
    <w:rsid w:val="00076D5E"/>
    <w:rsid w:val="000806F9"/>
    <w:rsid w:val="0008130A"/>
    <w:rsid w:val="0008530D"/>
    <w:rsid w:val="000859F7"/>
    <w:rsid w:val="00087BC2"/>
    <w:rsid w:val="00091A53"/>
    <w:rsid w:val="00091B4C"/>
    <w:rsid w:val="0009622B"/>
    <w:rsid w:val="00097897"/>
    <w:rsid w:val="000A07C1"/>
    <w:rsid w:val="000A2311"/>
    <w:rsid w:val="000A4138"/>
    <w:rsid w:val="000A75A1"/>
    <w:rsid w:val="000B0657"/>
    <w:rsid w:val="000B4E2A"/>
    <w:rsid w:val="000C048D"/>
    <w:rsid w:val="000C1EE5"/>
    <w:rsid w:val="000C4C80"/>
    <w:rsid w:val="000E2517"/>
    <w:rsid w:val="000E3CD8"/>
    <w:rsid w:val="000E7A61"/>
    <w:rsid w:val="000F4BEC"/>
    <w:rsid w:val="000F5724"/>
    <w:rsid w:val="00100A9F"/>
    <w:rsid w:val="00103866"/>
    <w:rsid w:val="00103F22"/>
    <w:rsid w:val="0010507B"/>
    <w:rsid w:val="001063F4"/>
    <w:rsid w:val="0010681A"/>
    <w:rsid w:val="001208A8"/>
    <w:rsid w:val="0012402C"/>
    <w:rsid w:val="001242CE"/>
    <w:rsid w:val="00124E09"/>
    <w:rsid w:val="00126CFF"/>
    <w:rsid w:val="001303E1"/>
    <w:rsid w:val="00130D3F"/>
    <w:rsid w:val="00132E18"/>
    <w:rsid w:val="00134BBA"/>
    <w:rsid w:val="00135622"/>
    <w:rsid w:val="001363A3"/>
    <w:rsid w:val="001400FF"/>
    <w:rsid w:val="001416B9"/>
    <w:rsid w:val="00142938"/>
    <w:rsid w:val="00142FF4"/>
    <w:rsid w:val="001435C0"/>
    <w:rsid w:val="00147F5C"/>
    <w:rsid w:val="0015105B"/>
    <w:rsid w:val="001514F6"/>
    <w:rsid w:val="0015185C"/>
    <w:rsid w:val="00154916"/>
    <w:rsid w:val="0016128E"/>
    <w:rsid w:val="00162A5C"/>
    <w:rsid w:val="001630E3"/>
    <w:rsid w:val="00163ED5"/>
    <w:rsid w:val="0016420C"/>
    <w:rsid w:val="00164FD7"/>
    <w:rsid w:val="00165A80"/>
    <w:rsid w:val="00171B8C"/>
    <w:rsid w:val="001772D2"/>
    <w:rsid w:val="00182F53"/>
    <w:rsid w:val="0018689F"/>
    <w:rsid w:val="00192845"/>
    <w:rsid w:val="00192AFC"/>
    <w:rsid w:val="00194133"/>
    <w:rsid w:val="00194D56"/>
    <w:rsid w:val="00195FC4"/>
    <w:rsid w:val="00196CA2"/>
    <w:rsid w:val="0019784C"/>
    <w:rsid w:val="001A1056"/>
    <w:rsid w:val="001A1281"/>
    <w:rsid w:val="001A63D2"/>
    <w:rsid w:val="001B1737"/>
    <w:rsid w:val="001B2064"/>
    <w:rsid w:val="001B271A"/>
    <w:rsid w:val="001B37E3"/>
    <w:rsid w:val="001B4D4F"/>
    <w:rsid w:val="001B54CE"/>
    <w:rsid w:val="001B66AB"/>
    <w:rsid w:val="001C13BB"/>
    <w:rsid w:val="001D0AE1"/>
    <w:rsid w:val="001D1586"/>
    <w:rsid w:val="001E550F"/>
    <w:rsid w:val="001E5781"/>
    <w:rsid w:val="001F1BF6"/>
    <w:rsid w:val="001F21A5"/>
    <w:rsid w:val="001F53F2"/>
    <w:rsid w:val="001F7FA8"/>
    <w:rsid w:val="00200914"/>
    <w:rsid w:val="00200E5E"/>
    <w:rsid w:val="00201F70"/>
    <w:rsid w:val="002039B4"/>
    <w:rsid w:val="0020572B"/>
    <w:rsid w:val="00217D2C"/>
    <w:rsid w:val="00220F70"/>
    <w:rsid w:val="00222F18"/>
    <w:rsid w:val="00222FCF"/>
    <w:rsid w:val="00224286"/>
    <w:rsid w:val="00226829"/>
    <w:rsid w:val="00231610"/>
    <w:rsid w:val="002413AB"/>
    <w:rsid w:val="00243934"/>
    <w:rsid w:val="00252FCC"/>
    <w:rsid w:val="00255B23"/>
    <w:rsid w:val="00256FEF"/>
    <w:rsid w:val="0026179C"/>
    <w:rsid w:val="002630FD"/>
    <w:rsid w:val="002645AC"/>
    <w:rsid w:val="00266868"/>
    <w:rsid w:val="00267178"/>
    <w:rsid w:val="00270DF9"/>
    <w:rsid w:val="002771E6"/>
    <w:rsid w:val="002805C1"/>
    <w:rsid w:val="00280D19"/>
    <w:rsid w:val="00281C54"/>
    <w:rsid w:val="002937DE"/>
    <w:rsid w:val="0029584B"/>
    <w:rsid w:val="00295D54"/>
    <w:rsid w:val="00296D20"/>
    <w:rsid w:val="002A306B"/>
    <w:rsid w:val="002A34B8"/>
    <w:rsid w:val="002B1841"/>
    <w:rsid w:val="002B5B20"/>
    <w:rsid w:val="002B7017"/>
    <w:rsid w:val="002B716C"/>
    <w:rsid w:val="002C0F39"/>
    <w:rsid w:val="002C1686"/>
    <w:rsid w:val="002C52A6"/>
    <w:rsid w:val="002C61D1"/>
    <w:rsid w:val="002D291C"/>
    <w:rsid w:val="002D7D46"/>
    <w:rsid w:val="002E3476"/>
    <w:rsid w:val="002E3699"/>
    <w:rsid w:val="002E4DC4"/>
    <w:rsid w:val="002F16EF"/>
    <w:rsid w:val="002F41AA"/>
    <w:rsid w:val="00302974"/>
    <w:rsid w:val="00307ACC"/>
    <w:rsid w:val="00311658"/>
    <w:rsid w:val="0031227A"/>
    <w:rsid w:val="00312ED7"/>
    <w:rsid w:val="00314A69"/>
    <w:rsid w:val="00314CBC"/>
    <w:rsid w:val="0032011A"/>
    <w:rsid w:val="00322F15"/>
    <w:rsid w:val="00331BF7"/>
    <w:rsid w:val="00333C84"/>
    <w:rsid w:val="003347BA"/>
    <w:rsid w:val="00334CBD"/>
    <w:rsid w:val="003362F1"/>
    <w:rsid w:val="00337391"/>
    <w:rsid w:val="003559E1"/>
    <w:rsid w:val="0036021D"/>
    <w:rsid w:val="0036113F"/>
    <w:rsid w:val="003619E6"/>
    <w:rsid w:val="00366560"/>
    <w:rsid w:val="003706D2"/>
    <w:rsid w:val="00371798"/>
    <w:rsid w:val="00371CD9"/>
    <w:rsid w:val="00372FF7"/>
    <w:rsid w:val="003736AD"/>
    <w:rsid w:val="00375396"/>
    <w:rsid w:val="00377B2E"/>
    <w:rsid w:val="003817AA"/>
    <w:rsid w:val="00384166"/>
    <w:rsid w:val="003908F2"/>
    <w:rsid w:val="00393760"/>
    <w:rsid w:val="00393B43"/>
    <w:rsid w:val="003947C6"/>
    <w:rsid w:val="003947E3"/>
    <w:rsid w:val="00395507"/>
    <w:rsid w:val="003A006C"/>
    <w:rsid w:val="003A27D6"/>
    <w:rsid w:val="003A3050"/>
    <w:rsid w:val="003A7353"/>
    <w:rsid w:val="003B3472"/>
    <w:rsid w:val="003B5945"/>
    <w:rsid w:val="003C041A"/>
    <w:rsid w:val="003C0FA1"/>
    <w:rsid w:val="003C4A95"/>
    <w:rsid w:val="003D2D8B"/>
    <w:rsid w:val="003D3E1D"/>
    <w:rsid w:val="003D50F9"/>
    <w:rsid w:val="003D64A4"/>
    <w:rsid w:val="003D67CF"/>
    <w:rsid w:val="003E00E2"/>
    <w:rsid w:val="003E02E5"/>
    <w:rsid w:val="003E097E"/>
    <w:rsid w:val="003E18A9"/>
    <w:rsid w:val="003E64E8"/>
    <w:rsid w:val="003F0188"/>
    <w:rsid w:val="003F025F"/>
    <w:rsid w:val="003F5884"/>
    <w:rsid w:val="00400DCD"/>
    <w:rsid w:val="004027C9"/>
    <w:rsid w:val="00402B9D"/>
    <w:rsid w:val="00405464"/>
    <w:rsid w:val="00407AA3"/>
    <w:rsid w:val="00407EE2"/>
    <w:rsid w:val="00410C6F"/>
    <w:rsid w:val="00411652"/>
    <w:rsid w:val="0042012F"/>
    <w:rsid w:val="004349CE"/>
    <w:rsid w:val="00434D3C"/>
    <w:rsid w:val="00442337"/>
    <w:rsid w:val="00443448"/>
    <w:rsid w:val="00444B00"/>
    <w:rsid w:val="0045021D"/>
    <w:rsid w:val="00453967"/>
    <w:rsid w:val="00455268"/>
    <w:rsid w:val="00455B25"/>
    <w:rsid w:val="00456531"/>
    <w:rsid w:val="00461355"/>
    <w:rsid w:val="00466AB4"/>
    <w:rsid w:val="00474201"/>
    <w:rsid w:val="004770DF"/>
    <w:rsid w:val="00480F69"/>
    <w:rsid w:val="004819AB"/>
    <w:rsid w:val="00482538"/>
    <w:rsid w:val="00482C2C"/>
    <w:rsid w:val="00484B2C"/>
    <w:rsid w:val="004859D6"/>
    <w:rsid w:val="00490169"/>
    <w:rsid w:val="00490854"/>
    <w:rsid w:val="00491F64"/>
    <w:rsid w:val="004927AE"/>
    <w:rsid w:val="00496D8C"/>
    <w:rsid w:val="004A1574"/>
    <w:rsid w:val="004A1E9F"/>
    <w:rsid w:val="004A2A43"/>
    <w:rsid w:val="004B02FD"/>
    <w:rsid w:val="004B1BCC"/>
    <w:rsid w:val="004B4331"/>
    <w:rsid w:val="004B51BE"/>
    <w:rsid w:val="004B67A5"/>
    <w:rsid w:val="004B6C37"/>
    <w:rsid w:val="004C0F72"/>
    <w:rsid w:val="004C2050"/>
    <w:rsid w:val="004C75D9"/>
    <w:rsid w:val="004D0EAB"/>
    <w:rsid w:val="004D185D"/>
    <w:rsid w:val="004D19DB"/>
    <w:rsid w:val="004D1DE5"/>
    <w:rsid w:val="004D5C18"/>
    <w:rsid w:val="004D5C1B"/>
    <w:rsid w:val="004D76E9"/>
    <w:rsid w:val="004E2092"/>
    <w:rsid w:val="004F4B66"/>
    <w:rsid w:val="004F52E6"/>
    <w:rsid w:val="004F58DF"/>
    <w:rsid w:val="004F5C62"/>
    <w:rsid w:val="005122B7"/>
    <w:rsid w:val="005170D1"/>
    <w:rsid w:val="00521873"/>
    <w:rsid w:val="00522BD6"/>
    <w:rsid w:val="00524821"/>
    <w:rsid w:val="00530114"/>
    <w:rsid w:val="00530952"/>
    <w:rsid w:val="0053345A"/>
    <w:rsid w:val="00534FA0"/>
    <w:rsid w:val="00537B2F"/>
    <w:rsid w:val="00537FB9"/>
    <w:rsid w:val="00540919"/>
    <w:rsid w:val="005535C6"/>
    <w:rsid w:val="00556DCA"/>
    <w:rsid w:val="00563E4E"/>
    <w:rsid w:val="00564BF6"/>
    <w:rsid w:val="00566B04"/>
    <w:rsid w:val="0056756A"/>
    <w:rsid w:val="00571954"/>
    <w:rsid w:val="005733AD"/>
    <w:rsid w:val="005736E3"/>
    <w:rsid w:val="00576221"/>
    <w:rsid w:val="00582292"/>
    <w:rsid w:val="00582C00"/>
    <w:rsid w:val="00582FEA"/>
    <w:rsid w:val="005836A7"/>
    <w:rsid w:val="005863A4"/>
    <w:rsid w:val="00591BC2"/>
    <w:rsid w:val="0059233B"/>
    <w:rsid w:val="00592C81"/>
    <w:rsid w:val="005969EB"/>
    <w:rsid w:val="00597441"/>
    <w:rsid w:val="005A1F22"/>
    <w:rsid w:val="005A32FB"/>
    <w:rsid w:val="005A3EC8"/>
    <w:rsid w:val="005B146A"/>
    <w:rsid w:val="005B18A4"/>
    <w:rsid w:val="005B1E10"/>
    <w:rsid w:val="005C00AF"/>
    <w:rsid w:val="005C654E"/>
    <w:rsid w:val="005C68AE"/>
    <w:rsid w:val="005D123C"/>
    <w:rsid w:val="005D579A"/>
    <w:rsid w:val="005D59C6"/>
    <w:rsid w:val="005D66CA"/>
    <w:rsid w:val="005E3040"/>
    <w:rsid w:val="005E670C"/>
    <w:rsid w:val="005E774D"/>
    <w:rsid w:val="006034C6"/>
    <w:rsid w:val="006040B7"/>
    <w:rsid w:val="00610489"/>
    <w:rsid w:val="00613144"/>
    <w:rsid w:val="0061691F"/>
    <w:rsid w:val="00625C9C"/>
    <w:rsid w:val="00630319"/>
    <w:rsid w:val="00631060"/>
    <w:rsid w:val="00632D1D"/>
    <w:rsid w:val="0063632F"/>
    <w:rsid w:val="00636870"/>
    <w:rsid w:val="00642F73"/>
    <w:rsid w:val="00645F8D"/>
    <w:rsid w:val="00647C39"/>
    <w:rsid w:val="006552F9"/>
    <w:rsid w:val="006574F4"/>
    <w:rsid w:val="00660133"/>
    <w:rsid w:val="006627A6"/>
    <w:rsid w:val="0066385F"/>
    <w:rsid w:val="006639D1"/>
    <w:rsid w:val="006705C1"/>
    <w:rsid w:val="006733ED"/>
    <w:rsid w:val="00675227"/>
    <w:rsid w:val="006775CC"/>
    <w:rsid w:val="00680F88"/>
    <w:rsid w:val="00687C5A"/>
    <w:rsid w:val="006907C5"/>
    <w:rsid w:val="00691EC7"/>
    <w:rsid w:val="00692BD2"/>
    <w:rsid w:val="00697B98"/>
    <w:rsid w:val="006A1DCB"/>
    <w:rsid w:val="006A56AA"/>
    <w:rsid w:val="006A7034"/>
    <w:rsid w:val="006B04A8"/>
    <w:rsid w:val="006B0702"/>
    <w:rsid w:val="006B55F3"/>
    <w:rsid w:val="006C0FA5"/>
    <w:rsid w:val="006C21E7"/>
    <w:rsid w:val="006D024E"/>
    <w:rsid w:val="006D0B8E"/>
    <w:rsid w:val="006D1E4B"/>
    <w:rsid w:val="006D27D3"/>
    <w:rsid w:val="006D4D8D"/>
    <w:rsid w:val="006D75AC"/>
    <w:rsid w:val="006E3D97"/>
    <w:rsid w:val="006E78B7"/>
    <w:rsid w:val="006E7F86"/>
    <w:rsid w:val="006F06DA"/>
    <w:rsid w:val="006F1D40"/>
    <w:rsid w:val="006F2CC1"/>
    <w:rsid w:val="006F781C"/>
    <w:rsid w:val="00700BCA"/>
    <w:rsid w:val="00701CEA"/>
    <w:rsid w:val="00701DFC"/>
    <w:rsid w:val="00702BF9"/>
    <w:rsid w:val="00704BA2"/>
    <w:rsid w:val="00705ECE"/>
    <w:rsid w:val="00707665"/>
    <w:rsid w:val="00716A7C"/>
    <w:rsid w:val="00716CB3"/>
    <w:rsid w:val="00723042"/>
    <w:rsid w:val="007257EF"/>
    <w:rsid w:val="00730AF4"/>
    <w:rsid w:val="00731337"/>
    <w:rsid w:val="007324D3"/>
    <w:rsid w:val="00733016"/>
    <w:rsid w:val="00737D69"/>
    <w:rsid w:val="00737D6D"/>
    <w:rsid w:val="007439B8"/>
    <w:rsid w:val="007442CE"/>
    <w:rsid w:val="007503BD"/>
    <w:rsid w:val="00750A74"/>
    <w:rsid w:val="007542E2"/>
    <w:rsid w:val="00754A5C"/>
    <w:rsid w:val="00755309"/>
    <w:rsid w:val="00756BFC"/>
    <w:rsid w:val="007604CB"/>
    <w:rsid w:val="00763A65"/>
    <w:rsid w:val="00766574"/>
    <w:rsid w:val="007708D6"/>
    <w:rsid w:val="007722BE"/>
    <w:rsid w:val="00774782"/>
    <w:rsid w:val="00774F35"/>
    <w:rsid w:val="007751A6"/>
    <w:rsid w:val="00776CFD"/>
    <w:rsid w:val="00777C13"/>
    <w:rsid w:val="007803D6"/>
    <w:rsid w:val="00783763"/>
    <w:rsid w:val="007847FE"/>
    <w:rsid w:val="0079482E"/>
    <w:rsid w:val="007A1B11"/>
    <w:rsid w:val="007A68D3"/>
    <w:rsid w:val="007A7DA3"/>
    <w:rsid w:val="007B0107"/>
    <w:rsid w:val="007B088E"/>
    <w:rsid w:val="007B0A94"/>
    <w:rsid w:val="007B3F65"/>
    <w:rsid w:val="007C004C"/>
    <w:rsid w:val="007C085D"/>
    <w:rsid w:val="007C4A9A"/>
    <w:rsid w:val="007C4D56"/>
    <w:rsid w:val="007C6250"/>
    <w:rsid w:val="007D0F97"/>
    <w:rsid w:val="007D22E8"/>
    <w:rsid w:val="007D6F63"/>
    <w:rsid w:val="007F0807"/>
    <w:rsid w:val="007F3331"/>
    <w:rsid w:val="007F58E1"/>
    <w:rsid w:val="007F6AF1"/>
    <w:rsid w:val="007F7A59"/>
    <w:rsid w:val="00800B6F"/>
    <w:rsid w:val="00804BB4"/>
    <w:rsid w:val="00805A7B"/>
    <w:rsid w:val="00807048"/>
    <w:rsid w:val="0081305C"/>
    <w:rsid w:val="00815CDC"/>
    <w:rsid w:val="00816482"/>
    <w:rsid w:val="00817C28"/>
    <w:rsid w:val="00821965"/>
    <w:rsid w:val="00823887"/>
    <w:rsid w:val="00823A48"/>
    <w:rsid w:val="00826A03"/>
    <w:rsid w:val="00832AC2"/>
    <w:rsid w:val="008357D3"/>
    <w:rsid w:val="00842398"/>
    <w:rsid w:val="0084286B"/>
    <w:rsid w:val="008437EB"/>
    <w:rsid w:val="00844782"/>
    <w:rsid w:val="0084544E"/>
    <w:rsid w:val="00845C7C"/>
    <w:rsid w:val="00845D21"/>
    <w:rsid w:val="00850421"/>
    <w:rsid w:val="008541FB"/>
    <w:rsid w:val="0085533E"/>
    <w:rsid w:val="00863495"/>
    <w:rsid w:val="00863EA0"/>
    <w:rsid w:val="008664E4"/>
    <w:rsid w:val="00867F98"/>
    <w:rsid w:val="0087242E"/>
    <w:rsid w:val="00873857"/>
    <w:rsid w:val="00875053"/>
    <w:rsid w:val="00876263"/>
    <w:rsid w:val="00876E09"/>
    <w:rsid w:val="008776FA"/>
    <w:rsid w:val="00877B2F"/>
    <w:rsid w:val="00881293"/>
    <w:rsid w:val="00885F7C"/>
    <w:rsid w:val="00891FE4"/>
    <w:rsid w:val="0089749F"/>
    <w:rsid w:val="00897600"/>
    <w:rsid w:val="008A0829"/>
    <w:rsid w:val="008A0CDA"/>
    <w:rsid w:val="008A1C8E"/>
    <w:rsid w:val="008A225B"/>
    <w:rsid w:val="008A248F"/>
    <w:rsid w:val="008A26A1"/>
    <w:rsid w:val="008A34A0"/>
    <w:rsid w:val="008A4452"/>
    <w:rsid w:val="008B25CE"/>
    <w:rsid w:val="008C2644"/>
    <w:rsid w:val="008C3E0B"/>
    <w:rsid w:val="008C44CC"/>
    <w:rsid w:val="008C6AD2"/>
    <w:rsid w:val="008E0B90"/>
    <w:rsid w:val="008E3A4E"/>
    <w:rsid w:val="008E5101"/>
    <w:rsid w:val="008E7F6B"/>
    <w:rsid w:val="008F1543"/>
    <w:rsid w:val="008F4CBE"/>
    <w:rsid w:val="008F750F"/>
    <w:rsid w:val="0090220A"/>
    <w:rsid w:val="00905BDF"/>
    <w:rsid w:val="009122C0"/>
    <w:rsid w:val="009123D5"/>
    <w:rsid w:val="009128BA"/>
    <w:rsid w:val="00912AB7"/>
    <w:rsid w:val="00913525"/>
    <w:rsid w:val="0091563C"/>
    <w:rsid w:val="0091587E"/>
    <w:rsid w:val="009211EA"/>
    <w:rsid w:val="0092211C"/>
    <w:rsid w:val="00930E8E"/>
    <w:rsid w:val="00931348"/>
    <w:rsid w:val="0093443B"/>
    <w:rsid w:val="0093574D"/>
    <w:rsid w:val="00937523"/>
    <w:rsid w:val="00940B71"/>
    <w:rsid w:val="00940C07"/>
    <w:rsid w:val="0094197F"/>
    <w:rsid w:val="00950551"/>
    <w:rsid w:val="00952173"/>
    <w:rsid w:val="009530DF"/>
    <w:rsid w:val="00954F52"/>
    <w:rsid w:val="00957D1E"/>
    <w:rsid w:val="00957F49"/>
    <w:rsid w:val="00962736"/>
    <w:rsid w:val="009629B5"/>
    <w:rsid w:val="00967345"/>
    <w:rsid w:val="00971666"/>
    <w:rsid w:val="0097202B"/>
    <w:rsid w:val="0097241A"/>
    <w:rsid w:val="00973A8F"/>
    <w:rsid w:val="00980D78"/>
    <w:rsid w:val="00981615"/>
    <w:rsid w:val="009825C6"/>
    <w:rsid w:val="0098382D"/>
    <w:rsid w:val="00983A9C"/>
    <w:rsid w:val="00985317"/>
    <w:rsid w:val="00986515"/>
    <w:rsid w:val="00986A6F"/>
    <w:rsid w:val="00987DC2"/>
    <w:rsid w:val="00990E06"/>
    <w:rsid w:val="009921EF"/>
    <w:rsid w:val="009A266A"/>
    <w:rsid w:val="009A73FE"/>
    <w:rsid w:val="009B524B"/>
    <w:rsid w:val="009B5B08"/>
    <w:rsid w:val="009B752E"/>
    <w:rsid w:val="009C719F"/>
    <w:rsid w:val="009C7823"/>
    <w:rsid w:val="009C7D68"/>
    <w:rsid w:val="009D2DB3"/>
    <w:rsid w:val="009D62B3"/>
    <w:rsid w:val="009E06C1"/>
    <w:rsid w:val="009E0E02"/>
    <w:rsid w:val="009E1701"/>
    <w:rsid w:val="009F0BBE"/>
    <w:rsid w:val="009F25FC"/>
    <w:rsid w:val="009F2E6A"/>
    <w:rsid w:val="009F3F08"/>
    <w:rsid w:val="009F4A90"/>
    <w:rsid w:val="009F53A0"/>
    <w:rsid w:val="00A0489F"/>
    <w:rsid w:val="00A07902"/>
    <w:rsid w:val="00A10986"/>
    <w:rsid w:val="00A11EA5"/>
    <w:rsid w:val="00A12E66"/>
    <w:rsid w:val="00A17587"/>
    <w:rsid w:val="00A22758"/>
    <w:rsid w:val="00A249B6"/>
    <w:rsid w:val="00A2539C"/>
    <w:rsid w:val="00A25D0D"/>
    <w:rsid w:val="00A26176"/>
    <w:rsid w:val="00A330C9"/>
    <w:rsid w:val="00A41768"/>
    <w:rsid w:val="00A43BD1"/>
    <w:rsid w:val="00A454B4"/>
    <w:rsid w:val="00A473BF"/>
    <w:rsid w:val="00A47BC9"/>
    <w:rsid w:val="00A529A2"/>
    <w:rsid w:val="00A5460C"/>
    <w:rsid w:val="00A547CC"/>
    <w:rsid w:val="00A54F58"/>
    <w:rsid w:val="00A54F9D"/>
    <w:rsid w:val="00A61B25"/>
    <w:rsid w:val="00A63003"/>
    <w:rsid w:val="00A63CFB"/>
    <w:rsid w:val="00A67477"/>
    <w:rsid w:val="00A67E37"/>
    <w:rsid w:val="00A73EBD"/>
    <w:rsid w:val="00A75DE6"/>
    <w:rsid w:val="00A764DB"/>
    <w:rsid w:val="00A77050"/>
    <w:rsid w:val="00A82DB7"/>
    <w:rsid w:val="00A83A81"/>
    <w:rsid w:val="00A8402B"/>
    <w:rsid w:val="00A8404A"/>
    <w:rsid w:val="00A84205"/>
    <w:rsid w:val="00A84411"/>
    <w:rsid w:val="00A8756C"/>
    <w:rsid w:val="00A92CF4"/>
    <w:rsid w:val="00A935B6"/>
    <w:rsid w:val="00AA6A4E"/>
    <w:rsid w:val="00AA7CA1"/>
    <w:rsid w:val="00AB146E"/>
    <w:rsid w:val="00AB2315"/>
    <w:rsid w:val="00AB259E"/>
    <w:rsid w:val="00AB7870"/>
    <w:rsid w:val="00AC017F"/>
    <w:rsid w:val="00AC1ACD"/>
    <w:rsid w:val="00AC4386"/>
    <w:rsid w:val="00AC556E"/>
    <w:rsid w:val="00AC7A60"/>
    <w:rsid w:val="00AD0742"/>
    <w:rsid w:val="00AE3614"/>
    <w:rsid w:val="00AE5781"/>
    <w:rsid w:val="00AE5A16"/>
    <w:rsid w:val="00AF0CF4"/>
    <w:rsid w:val="00AF10B2"/>
    <w:rsid w:val="00AF1C8D"/>
    <w:rsid w:val="00AF5ACF"/>
    <w:rsid w:val="00AF6B53"/>
    <w:rsid w:val="00AF70A2"/>
    <w:rsid w:val="00B0142B"/>
    <w:rsid w:val="00B01FE5"/>
    <w:rsid w:val="00B0311D"/>
    <w:rsid w:val="00B04120"/>
    <w:rsid w:val="00B05E52"/>
    <w:rsid w:val="00B0756A"/>
    <w:rsid w:val="00B0776C"/>
    <w:rsid w:val="00B10F8D"/>
    <w:rsid w:val="00B11426"/>
    <w:rsid w:val="00B227D4"/>
    <w:rsid w:val="00B24BFB"/>
    <w:rsid w:val="00B400E3"/>
    <w:rsid w:val="00B40610"/>
    <w:rsid w:val="00B44BFB"/>
    <w:rsid w:val="00B54EAA"/>
    <w:rsid w:val="00B60EC8"/>
    <w:rsid w:val="00B61967"/>
    <w:rsid w:val="00B71F7E"/>
    <w:rsid w:val="00B72945"/>
    <w:rsid w:val="00B77030"/>
    <w:rsid w:val="00B779CC"/>
    <w:rsid w:val="00B808B5"/>
    <w:rsid w:val="00B81408"/>
    <w:rsid w:val="00B83928"/>
    <w:rsid w:val="00B9385E"/>
    <w:rsid w:val="00B93F16"/>
    <w:rsid w:val="00B96D77"/>
    <w:rsid w:val="00B97DD2"/>
    <w:rsid w:val="00BA0D91"/>
    <w:rsid w:val="00BA455A"/>
    <w:rsid w:val="00BA6988"/>
    <w:rsid w:val="00BA7AA9"/>
    <w:rsid w:val="00BA7C72"/>
    <w:rsid w:val="00BC5D8C"/>
    <w:rsid w:val="00BC671C"/>
    <w:rsid w:val="00BD0035"/>
    <w:rsid w:val="00BD3FAF"/>
    <w:rsid w:val="00BD4AC1"/>
    <w:rsid w:val="00BD528F"/>
    <w:rsid w:val="00BD5DA0"/>
    <w:rsid w:val="00BE4C31"/>
    <w:rsid w:val="00BF0490"/>
    <w:rsid w:val="00BF3EAC"/>
    <w:rsid w:val="00C1090C"/>
    <w:rsid w:val="00C10DD5"/>
    <w:rsid w:val="00C132DB"/>
    <w:rsid w:val="00C15CAA"/>
    <w:rsid w:val="00C17163"/>
    <w:rsid w:val="00C171A0"/>
    <w:rsid w:val="00C2210F"/>
    <w:rsid w:val="00C250E3"/>
    <w:rsid w:val="00C2595A"/>
    <w:rsid w:val="00C33A2E"/>
    <w:rsid w:val="00C3714D"/>
    <w:rsid w:val="00C43D81"/>
    <w:rsid w:val="00C476FB"/>
    <w:rsid w:val="00C63822"/>
    <w:rsid w:val="00C64BDF"/>
    <w:rsid w:val="00C650B9"/>
    <w:rsid w:val="00C65AF4"/>
    <w:rsid w:val="00C661A5"/>
    <w:rsid w:val="00C72515"/>
    <w:rsid w:val="00C77D09"/>
    <w:rsid w:val="00C82C74"/>
    <w:rsid w:val="00C900A0"/>
    <w:rsid w:val="00C90F99"/>
    <w:rsid w:val="00C9306B"/>
    <w:rsid w:val="00C935B2"/>
    <w:rsid w:val="00C93D43"/>
    <w:rsid w:val="00C97245"/>
    <w:rsid w:val="00CA0CCB"/>
    <w:rsid w:val="00CA2C0D"/>
    <w:rsid w:val="00CA468E"/>
    <w:rsid w:val="00CA7A50"/>
    <w:rsid w:val="00CB2994"/>
    <w:rsid w:val="00CB613D"/>
    <w:rsid w:val="00CC2DCE"/>
    <w:rsid w:val="00CC6FDE"/>
    <w:rsid w:val="00CD1AEE"/>
    <w:rsid w:val="00CE4B9D"/>
    <w:rsid w:val="00CE5324"/>
    <w:rsid w:val="00CE7444"/>
    <w:rsid w:val="00CF69F3"/>
    <w:rsid w:val="00CF6EFC"/>
    <w:rsid w:val="00D02FA5"/>
    <w:rsid w:val="00D067F3"/>
    <w:rsid w:val="00D12971"/>
    <w:rsid w:val="00D13F02"/>
    <w:rsid w:val="00D16B92"/>
    <w:rsid w:val="00D20549"/>
    <w:rsid w:val="00D22B53"/>
    <w:rsid w:val="00D30239"/>
    <w:rsid w:val="00D320CF"/>
    <w:rsid w:val="00D41BF5"/>
    <w:rsid w:val="00D47E70"/>
    <w:rsid w:val="00D50398"/>
    <w:rsid w:val="00D50948"/>
    <w:rsid w:val="00D568BD"/>
    <w:rsid w:val="00D63DB8"/>
    <w:rsid w:val="00D70879"/>
    <w:rsid w:val="00D737D6"/>
    <w:rsid w:val="00D84365"/>
    <w:rsid w:val="00D901D7"/>
    <w:rsid w:val="00D90ACB"/>
    <w:rsid w:val="00D972CE"/>
    <w:rsid w:val="00DA0BD5"/>
    <w:rsid w:val="00DA1B0A"/>
    <w:rsid w:val="00DA284D"/>
    <w:rsid w:val="00DA4957"/>
    <w:rsid w:val="00DB5BB8"/>
    <w:rsid w:val="00DB6EC9"/>
    <w:rsid w:val="00DC088B"/>
    <w:rsid w:val="00DC2134"/>
    <w:rsid w:val="00DD2418"/>
    <w:rsid w:val="00DD27E8"/>
    <w:rsid w:val="00DD2987"/>
    <w:rsid w:val="00DD3E3B"/>
    <w:rsid w:val="00DE20CC"/>
    <w:rsid w:val="00DE3C88"/>
    <w:rsid w:val="00DE5123"/>
    <w:rsid w:val="00DE7A52"/>
    <w:rsid w:val="00DF11A5"/>
    <w:rsid w:val="00DF1E5F"/>
    <w:rsid w:val="00DF227C"/>
    <w:rsid w:val="00DF2351"/>
    <w:rsid w:val="00DF4804"/>
    <w:rsid w:val="00DF4F30"/>
    <w:rsid w:val="00DF61E9"/>
    <w:rsid w:val="00DF6263"/>
    <w:rsid w:val="00DF6BF1"/>
    <w:rsid w:val="00DF76F7"/>
    <w:rsid w:val="00E002C5"/>
    <w:rsid w:val="00E01E99"/>
    <w:rsid w:val="00E039A9"/>
    <w:rsid w:val="00E132FE"/>
    <w:rsid w:val="00E1630D"/>
    <w:rsid w:val="00E17CFB"/>
    <w:rsid w:val="00E202E6"/>
    <w:rsid w:val="00E211E5"/>
    <w:rsid w:val="00E2300C"/>
    <w:rsid w:val="00E23536"/>
    <w:rsid w:val="00E23C66"/>
    <w:rsid w:val="00E26C26"/>
    <w:rsid w:val="00E27466"/>
    <w:rsid w:val="00E32D7F"/>
    <w:rsid w:val="00E33FF7"/>
    <w:rsid w:val="00E34968"/>
    <w:rsid w:val="00E35035"/>
    <w:rsid w:val="00E367EE"/>
    <w:rsid w:val="00E37C85"/>
    <w:rsid w:val="00E404DD"/>
    <w:rsid w:val="00E413AF"/>
    <w:rsid w:val="00E417B2"/>
    <w:rsid w:val="00E41BC3"/>
    <w:rsid w:val="00E438FB"/>
    <w:rsid w:val="00E4555E"/>
    <w:rsid w:val="00E460A3"/>
    <w:rsid w:val="00E4630F"/>
    <w:rsid w:val="00E46EE2"/>
    <w:rsid w:val="00E5079E"/>
    <w:rsid w:val="00E50DC1"/>
    <w:rsid w:val="00E56174"/>
    <w:rsid w:val="00E56207"/>
    <w:rsid w:val="00E62083"/>
    <w:rsid w:val="00E7298B"/>
    <w:rsid w:val="00E72BE9"/>
    <w:rsid w:val="00E72E18"/>
    <w:rsid w:val="00E82E36"/>
    <w:rsid w:val="00E9772B"/>
    <w:rsid w:val="00EA2949"/>
    <w:rsid w:val="00EB275A"/>
    <w:rsid w:val="00EB59A2"/>
    <w:rsid w:val="00EC5240"/>
    <w:rsid w:val="00EC6191"/>
    <w:rsid w:val="00EC6DED"/>
    <w:rsid w:val="00ED1FAF"/>
    <w:rsid w:val="00ED54B2"/>
    <w:rsid w:val="00EE17D8"/>
    <w:rsid w:val="00EE49B5"/>
    <w:rsid w:val="00EE5FBA"/>
    <w:rsid w:val="00EF01B9"/>
    <w:rsid w:val="00EF0464"/>
    <w:rsid w:val="00EF04A2"/>
    <w:rsid w:val="00EF3C5F"/>
    <w:rsid w:val="00EF58C6"/>
    <w:rsid w:val="00F011E1"/>
    <w:rsid w:val="00F079CF"/>
    <w:rsid w:val="00F11E90"/>
    <w:rsid w:val="00F179D1"/>
    <w:rsid w:val="00F20589"/>
    <w:rsid w:val="00F20F13"/>
    <w:rsid w:val="00F219EF"/>
    <w:rsid w:val="00F22B8E"/>
    <w:rsid w:val="00F264A7"/>
    <w:rsid w:val="00F27335"/>
    <w:rsid w:val="00F2744A"/>
    <w:rsid w:val="00F30509"/>
    <w:rsid w:val="00F31844"/>
    <w:rsid w:val="00F40B03"/>
    <w:rsid w:val="00F4213F"/>
    <w:rsid w:val="00F43DBF"/>
    <w:rsid w:val="00F500B9"/>
    <w:rsid w:val="00F52397"/>
    <w:rsid w:val="00F53846"/>
    <w:rsid w:val="00F54911"/>
    <w:rsid w:val="00F634CB"/>
    <w:rsid w:val="00F6415C"/>
    <w:rsid w:val="00F70C6E"/>
    <w:rsid w:val="00F749CD"/>
    <w:rsid w:val="00F77C3A"/>
    <w:rsid w:val="00F80680"/>
    <w:rsid w:val="00F843E2"/>
    <w:rsid w:val="00F85AD9"/>
    <w:rsid w:val="00F9080A"/>
    <w:rsid w:val="00F94B7B"/>
    <w:rsid w:val="00F96266"/>
    <w:rsid w:val="00F96E88"/>
    <w:rsid w:val="00F97FFD"/>
    <w:rsid w:val="00FA1A7F"/>
    <w:rsid w:val="00FA3636"/>
    <w:rsid w:val="00FA4286"/>
    <w:rsid w:val="00FA4769"/>
    <w:rsid w:val="00FA5482"/>
    <w:rsid w:val="00FA6F04"/>
    <w:rsid w:val="00FA6FEE"/>
    <w:rsid w:val="00FB3441"/>
    <w:rsid w:val="00FB3FF0"/>
    <w:rsid w:val="00FB7AB5"/>
    <w:rsid w:val="00FC1F73"/>
    <w:rsid w:val="00FC5BF6"/>
    <w:rsid w:val="00FC736C"/>
    <w:rsid w:val="00FD35C6"/>
    <w:rsid w:val="00FD3A94"/>
    <w:rsid w:val="00FD7AA9"/>
    <w:rsid w:val="00FE6DF0"/>
    <w:rsid w:val="00FF0418"/>
    <w:rsid w:val="00FF1632"/>
    <w:rsid w:val="00FF2B7E"/>
    <w:rsid w:val="00FF46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770D3D"/>
  <w15:docId w15:val="{92CB118F-A3FB-4C61-A757-0F7AE4BA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A2"/>
  </w:style>
  <w:style w:type="paragraph" w:styleId="Heading1">
    <w:name w:val="heading 1"/>
    <w:basedOn w:val="Normal"/>
    <w:next w:val="Normal"/>
    <w:link w:val="Heading1Char"/>
    <w:uiPriority w:val="9"/>
    <w:qFormat/>
    <w:rsid w:val="009F53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002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C1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FC1F73"/>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unhideWhenUsed/>
    <w:qFormat/>
    <w:rsid w:val="00E002C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7C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7C72"/>
    <w:rPr>
      <w:b/>
      <w:bCs/>
    </w:rPr>
  </w:style>
  <w:style w:type="character" w:styleId="Emphasis">
    <w:name w:val="Emphasis"/>
    <w:basedOn w:val="DefaultParagraphFont"/>
    <w:uiPriority w:val="20"/>
    <w:qFormat/>
    <w:rsid w:val="00BA7C72"/>
    <w:rPr>
      <w:i/>
      <w:iCs/>
    </w:rPr>
  </w:style>
  <w:style w:type="character" w:styleId="Hyperlink">
    <w:name w:val="Hyperlink"/>
    <w:basedOn w:val="DefaultParagraphFont"/>
    <w:uiPriority w:val="99"/>
    <w:unhideWhenUsed/>
    <w:rsid w:val="00BA7C72"/>
    <w:rPr>
      <w:color w:val="0000FF"/>
      <w:u w:val="single"/>
    </w:rPr>
  </w:style>
  <w:style w:type="paragraph" w:customStyle="1" w:styleId="ParaAttribute4">
    <w:name w:val="ParaAttribute4"/>
    <w:rsid w:val="00A473BF"/>
    <w:pPr>
      <w:widowControl w:val="0"/>
      <w:wordWrap w:val="0"/>
      <w:spacing w:after="0" w:line="240" w:lineRule="auto"/>
      <w:ind w:left="720" w:firstLine="360"/>
      <w:jc w:val="both"/>
    </w:pPr>
    <w:rPr>
      <w:rFonts w:ascii="Times New Roman" w:eastAsia="Batang" w:hAnsi="Times New Roman" w:cs="Times New Roman"/>
      <w:sz w:val="20"/>
      <w:szCs w:val="20"/>
    </w:rPr>
  </w:style>
  <w:style w:type="table" w:styleId="TableGrid">
    <w:name w:val="Table Grid"/>
    <w:basedOn w:val="TableNormal"/>
    <w:uiPriority w:val="39"/>
    <w:rsid w:val="00A473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660133"/>
    <w:pPr>
      <w:widowControl w:val="0"/>
      <w:wordWrap w:val="0"/>
      <w:autoSpaceDE w:val="0"/>
      <w:autoSpaceDN w:val="0"/>
      <w:spacing w:after="0" w:line="240" w:lineRule="auto"/>
      <w:ind w:left="400"/>
      <w:jc w:val="both"/>
    </w:pPr>
    <w:rPr>
      <w:rFonts w:ascii="Batang" w:eastAsia="Batang" w:hAnsi="Times New Roman" w:cs="Times New Roman"/>
      <w:kern w:val="2"/>
      <w:sz w:val="20"/>
      <w:szCs w:val="20"/>
      <w:lang w:eastAsia="ko-KR"/>
    </w:rPr>
  </w:style>
  <w:style w:type="paragraph" w:customStyle="1" w:styleId="ListParagraph1">
    <w:name w:val="List Paragraph1"/>
    <w:basedOn w:val="Normal"/>
    <w:qFormat/>
    <w:rsid w:val="00660133"/>
    <w:pPr>
      <w:bidi/>
      <w:ind w:left="720"/>
      <w:contextualSpacing/>
    </w:pPr>
    <w:rPr>
      <w:rFonts w:ascii="Calibri" w:eastAsia="Calibri" w:hAnsi="Calibri" w:cs="Arial"/>
    </w:rPr>
  </w:style>
  <w:style w:type="paragraph" w:customStyle="1" w:styleId="Default">
    <w:name w:val="Default"/>
    <w:uiPriority w:val="99"/>
    <w:rsid w:val="0020091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B2"/>
    <w:rPr>
      <w:rFonts w:ascii="Tahoma" w:hAnsi="Tahoma" w:cs="Tahoma"/>
      <w:sz w:val="16"/>
      <w:szCs w:val="16"/>
    </w:rPr>
  </w:style>
  <w:style w:type="paragraph" w:customStyle="1" w:styleId="Normal1">
    <w:name w:val="Normal1"/>
    <w:rsid w:val="00453967"/>
    <w:pPr>
      <w:spacing w:after="160" w:line="259" w:lineRule="auto"/>
    </w:pPr>
    <w:rPr>
      <w:rFonts w:ascii="Calibri" w:eastAsia="Calibri" w:hAnsi="Calibri" w:cs="Calibri"/>
    </w:rPr>
  </w:style>
  <w:style w:type="character" w:customStyle="1" w:styleId="sw">
    <w:name w:val="sw"/>
    <w:basedOn w:val="DefaultParagraphFont"/>
    <w:rsid w:val="00C90F99"/>
  </w:style>
  <w:style w:type="paragraph" w:styleId="Header">
    <w:name w:val="header"/>
    <w:basedOn w:val="Normal"/>
    <w:link w:val="HeaderChar"/>
    <w:uiPriority w:val="99"/>
    <w:unhideWhenUsed/>
    <w:rsid w:val="009A2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6A"/>
  </w:style>
  <w:style w:type="paragraph" w:styleId="Footer">
    <w:name w:val="footer"/>
    <w:basedOn w:val="Normal"/>
    <w:link w:val="FooterChar"/>
    <w:uiPriority w:val="99"/>
    <w:unhideWhenUsed/>
    <w:rsid w:val="009A2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6A"/>
  </w:style>
  <w:style w:type="paragraph" w:styleId="BodyText">
    <w:name w:val="Body Text"/>
    <w:basedOn w:val="Normal"/>
    <w:link w:val="BodyTextChar"/>
    <w:uiPriority w:val="1"/>
    <w:qFormat/>
    <w:rsid w:val="00A454B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454B4"/>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FC1F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1F73"/>
    <w:rPr>
      <w:rFonts w:ascii="Calibri" w:eastAsia="Times New Roman" w:hAnsi="Calibri" w:cs="Times New Roman"/>
      <w:b/>
      <w:bCs/>
      <w:sz w:val="28"/>
      <w:szCs w:val="28"/>
    </w:rPr>
  </w:style>
  <w:style w:type="character" w:customStyle="1" w:styleId="emphb">
    <w:name w:val="emph_b"/>
    <w:basedOn w:val="DefaultParagraphFont"/>
    <w:rsid w:val="00FC1F73"/>
  </w:style>
  <w:style w:type="paragraph" w:styleId="Caption">
    <w:name w:val="caption"/>
    <w:basedOn w:val="Normal"/>
    <w:next w:val="Normal"/>
    <w:uiPriority w:val="35"/>
    <w:qFormat/>
    <w:rsid w:val="00FC1F73"/>
    <w:pPr>
      <w:spacing w:line="240" w:lineRule="auto"/>
    </w:pPr>
    <w:rPr>
      <w:rFonts w:ascii="Calibri" w:eastAsia="Calibri" w:hAnsi="Calibri" w:cs="Arial"/>
      <w:b/>
      <w:bCs/>
      <w:color w:val="4F81BD"/>
      <w:sz w:val="18"/>
      <w:szCs w:val="18"/>
    </w:rPr>
  </w:style>
  <w:style w:type="paragraph" w:customStyle="1" w:styleId="DecimalAligned">
    <w:name w:val="Decimal Aligned"/>
    <w:basedOn w:val="Normal"/>
    <w:uiPriority w:val="40"/>
    <w:qFormat/>
    <w:rsid w:val="00FC1F73"/>
    <w:pPr>
      <w:tabs>
        <w:tab w:val="decimal" w:pos="360"/>
      </w:tabs>
    </w:pPr>
    <w:rPr>
      <w:rFonts w:ascii="Calibri" w:eastAsia="Times New Roman" w:hAnsi="Calibri" w:cs="Arial"/>
    </w:rPr>
  </w:style>
  <w:style w:type="character" w:styleId="SubtleEmphasis">
    <w:name w:val="Subtle Emphasis"/>
    <w:uiPriority w:val="19"/>
    <w:qFormat/>
    <w:rsid w:val="00FC1F73"/>
    <w:rPr>
      <w:rFonts w:eastAsia="Times New Roman" w:cs="Arial"/>
      <w:bCs w:val="0"/>
      <w:i/>
      <w:iCs/>
      <w:color w:val="808080"/>
      <w:szCs w:val="22"/>
      <w:lang w:val="en-US"/>
    </w:rPr>
  </w:style>
  <w:style w:type="table" w:styleId="MediumShading2-Accent5">
    <w:name w:val="Medium Shading 2 Accent 5"/>
    <w:basedOn w:val="TableNormal"/>
    <w:uiPriority w:val="64"/>
    <w:rsid w:val="00FC1F73"/>
    <w:pPr>
      <w:spacing w:after="0" w:line="240" w:lineRule="auto"/>
    </w:pPr>
    <w:rPr>
      <w:rFonts w:ascii="Calibri" w:eastAsia="Times New Roman" w:hAnsi="Calibri" w:cs="Arial"/>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FC1F73"/>
    <w:pPr>
      <w:spacing w:after="0" w:line="240" w:lineRule="auto"/>
    </w:pPr>
    <w:rPr>
      <w:rFonts w:ascii="Cambria" w:eastAsia="Times New Roman" w:hAnsi="Cambria" w:cs="Times New Roman"/>
      <w:color w:val="000000"/>
      <w:sz w:val="20"/>
      <w:szCs w:val="2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FC1F73"/>
    <w:pPr>
      <w:spacing w:after="0" w:line="240" w:lineRule="auto"/>
    </w:pPr>
    <w:rPr>
      <w:rFonts w:ascii="Calibri" w:eastAsia="Times New Roman" w:hAnsi="Calibri" w:cs="Arial"/>
      <w:sz w:val="20"/>
      <w:szCs w:val="20"/>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alendar1">
    <w:name w:val="Calendar 1"/>
    <w:basedOn w:val="TableNormal"/>
    <w:uiPriority w:val="99"/>
    <w:qFormat/>
    <w:rsid w:val="00FC1F73"/>
    <w:pPr>
      <w:spacing w:after="0" w:line="240" w:lineRule="auto"/>
    </w:pPr>
    <w:rPr>
      <w:rFonts w:ascii="Calibri" w:eastAsia="Times New Roman" w:hAnsi="Calibri" w:cs="Arial"/>
      <w:sz w:val="20"/>
      <w:szCs w:val="20"/>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LightList-Accent2">
    <w:name w:val="Light List Accent 2"/>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4">
    <w:name w:val="Light Shading Accent 4"/>
    <w:basedOn w:val="TableNormal"/>
    <w:uiPriority w:val="60"/>
    <w:rsid w:val="00FC1F73"/>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1">
    <w:name w:val="Light Grid1"/>
    <w:basedOn w:val="TableNormal"/>
    <w:uiPriority w:val="62"/>
    <w:rsid w:val="00FC1F7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11">
    <w:name w:val="Medium Shading 2 - Accent 11"/>
    <w:basedOn w:val="TableNormal"/>
    <w:uiPriority w:val="64"/>
    <w:rsid w:val="00FC1F7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FC1F73"/>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5">
    <w:name w:val="Light List Accent 5"/>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2-Accent2">
    <w:name w:val="Medium Shading 2 Accent 2"/>
    <w:basedOn w:val="TableNormal"/>
    <w:uiPriority w:val="64"/>
    <w:rsid w:val="00FC1F7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FC1F7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C1F73"/>
    <w:rPr>
      <w:rFonts w:ascii="Calibri" w:eastAsia="Calibri" w:hAnsi="Calibri" w:cs="Times New Roman"/>
      <w:sz w:val="20"/>
      <w:szCs w:val="20"/>
    </w:rPr>
  </w:style>
  <w:style w:type="character" w:styleId="FootnoteReference">
    <w:name w:val="footnote reference"/>
    <w:uiPriority w:val="99"/>
    <w:semiHidden/>
    <w:unhideWhenUsed/>
    <w:rsid w:val="00FC1F73"/>
    <w:rPr>
      <w:vertAlign w:val="superscript"/>
    </w:rPr>
  </w:style>
  <w:style w:type="paragraph" w:styleId="EndnoteText">
    <w:name w:val="endnote text"/>
    <w:basedOn w:val="Normal"/>
    <w:link w:val="EndnoteTextChar"/>
    <w:uiPriority w:val="99"/>
    <w:semiHidden/>
    <w:unhideWhenUsed/>
    <w:rsid w:val="00FC1F73"/>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FC1F73"/>
    <w:rPr>
      <w:rFonts w:ascii="Calibri" w:eastAsia="Calibri" w:hAnsi="Calibri" w:cs="Times New Roman"/>
      <w:sz w:val="20"/>
      <w:szCs w:val="20"/>
    </w:rPr>
  </w:style>
  <w:style w:type="character" w:styleId="EndnoteReference">
    <w:name w:val="endnote reference"/>
    <w:uiPriority w:val="99"/>
    <w:semiHidden/>
    <w:unhideWhenUsed/>
    <w:rsid w:val="00FC1F73"/>
    <w:rPr>
      <w:vertAlign w:val="superscript"/>
    </w:rPr>
  </w:style>
  <w:style w:type="character" w:customStyle="1" w:styleId="tgc">
    <w:name w:val="_tgc"/>
    <w:rsid w:val="00FC1F73"/>
  </w:style>
  <w:style w:type="paragraph" w:styleId="NoSpacing">
    <w:name w:val="No Spacing"/>
    <w:uiPriority w:val="1"/>
    <w:qFormat/>
    <w:rsid w:val="00FC1F73"/>
    <w:pPr>
      <w:spacing w:after="0" w:line="240" w:lineRule="auto"/>
    </w:pPr>
    <w:rPr>
      <w:rFonts w:ascii="Calibri" w:eastAsia="Calibri" w:hAnsi="Calibri" w:cs="Arial"/>
    </w:rPr>
  </w:style>
  <w:style w:type="paragraph" w:customStyle="1" w:styleId="1">
    <w:name w:val="سرد الفقرات1"/>
    <w:basedOn w:val="Normal"/>
    <w:qFormat/>
    <w:rsid w:val="00FC1F73"/>
    <w:pPr>
      <w:ind w:left="720"/>
      <w:contextualSpacing/>
    </w:pPr>
    <w:rPr>
      <w:rFonts w:ascii="Calibri" w:eastAsia="Times New Roman" w:hAnsi="Calibri" w:cs="Arial"/>
    </w:rPr>
  </w:style>
  <w:style w:type="character" w:customStyle="1" w:styleId="fontstyle01">
    <w:name w:val="fontstyle01"/>
    <w:rsid w:val="00FC1F73"/>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FC1F73"/>
    <w:pPr>
      <w:widowControl w:val="0"/>
      <w:autoSpaceDE w:val="0"/>
      <w:autoSpaceDN w:val="0"/>
      <w:spacing w:after="0" w:line="240" w:lineRule="auto"/>
    </w:pPr>
    <w:rPr>
      <w:rFonts w:ascii="Times New Roman" w:eastAsia="Times New Roman" w:hAnsi="Times New Roman" w:cs="Times New Roman"/>
    </w:rPr>
  </w:style>
  <w:style w:type="character" w:customStyle="1" w:styleId="CharAttribute7">
    <w:name w:val="CharAttribute7"/>
    <w:rsid w:val="004B1BCC"/>
    <w:rPr>
      <w:rFonts w:ascii="Cambria" w:eastAsia="Cambria" w:hAnsi="Cambria"/>
      <w:b/>
      <w:sz w:val="24"/>
    </w:rPr>
  </w:style>
  <w:style w:type="paragraph" w:customStyle="1" w:styleId="ParaAttribute8">
    <w:name w:val="ParaAttribute8"/>
    <w:rsid w:val="004B1BCC"/>
    <w:pPr>
      <w:widowControl w:val="0"/>
      <w:wordWrap w:val="0"/>
      <w:spacing w:before="280" w:after="280" w:line="240" w:lineRule="auto"/>
      <w:ind w:left="720"/>
      <w:jc w:val="both"/>
    </w:pPr>
    <w:rPr>
      <w:rFonts w:ascii="Times New Roman" w:eastAsia="Batang" w:hAnsi="Times New Roman" w:cs="Times New Roman"/>
      <w:sz w:val="20"/>
      <w:szCs w:val="20"/>
    </w:rPr>
  </w:style>
  <w:style w:type="character" w:customStyle="1" w:styleId="mixed-citation">
    <w:name w:val="mixed-citation"/>
    <w:basedOn w:val="DefaultParagraphFont"/>
    <w:rsid w:val="00817C28"/>
  </w:style>
  <w:style w:type="character" w:customStyle="1" w:styleId="ref-journal">
    <w:name w:val="ref-journal"/>
    <w:basedOn w:val="DefaultParagraphFont"/>
    <w:rsid w:val="00817C28"/>
  </w:style>
  <w:style w:type="character" w:customStyle="1" w:styleId="nowrap">
    <w:name w:val="nowrap"/>
    <w:basedOn w:val="DefaultParagraphFont"/>
    <w:rsid w:val="00817C28"/>
  </w:style>
  <w:style w:type="character" w:customStyle="1" w:styleId="ref-title">
    <w:name w:val="ref-title"/>
    <w:basedOn w:val="DefaultParagraphFont"/>
    <w:rsid w:val="00817C28"/>
  </w:style>
  <w:style w:type="character" w:customStyle="1" w:styleId="ref-vol">
    <w:name w:val="ref-vol"/>
    <w:basedOn w:val="DefaultParagraphFont"/>
    <w:rsid w:val="00817C28"/>
  </w:style>
  <w:style w:type="character" w:customStyle="1" w:styleId="CharAttribute13">
    <w:name w:val="CharAttribute13"/>
    <w:rsid w:val="006B04A8"/>
    <w:rPr>
      <w:rFonts w:ascii="Cambria" w:eastAsia="Cambria"/>
      <w:b/>
      <w:sz w:val="28"/>
    </w:rPr>
  </w:style>
  <w:style w:type="paragraph" w:customStyle="1" w:styleId="ParaAttribute5">
    <w:name w:val="ParaAttribute5"/>
    <w:rsid w:val="00A764DB"/>
    <w:pPr>
      <w:wordWrap w:val="0"/>
      <w:spacing w:after="0" w:line="240" w:lineRule="auto"/>
    </w:pPr>
    <w:rPr>
      <w:rFonts w:ascii="Times New Roman" w:eastAsia="□□" w:hAnsi="Times New Roman" w:cs="Times New Roman"/>
      <w:sz w:val="20"/>
      <w:szCs w:val="20"/>
    </w:rPr>
  </w:style>
  <w:style w:type="paragraph" w:customStyle="1" w:styleId="ParaAttribute18">
    <w:name w:val="ParaAttribute18"/>
    <w:rsid w:val="00A764DB"/>
    <w:pPr>
      <w:wordWrap w:val="0"/>
      <w:spacing w:line="240" w:lineRule="auto"/>
    </w:pPr>
    <w:rPr>
      <w:rFonts w:ascii="Times New Roman" w:eastAsia="□□" w:hAnsi="Times New Roman" w:cs="Times New Roman"/>
      <w:sz w:val="20"/>
      <w:szCs w:val="20"/>
    </w:rPr>
  </w:style>
  <w:style w:type="character" w:customStyle="1" w:styleId="CharAttribute31">
    <w:name w:val="CharAttribute31"/>
    <w:rsid w:val="00A764DB"/>
    <w:rPr>
      <w:rFonts w:ascii="Times New Roman" w:eastAsia="Times New Roman"/>
      <w:b/>
      <w:sz w:val="28"/>
    </w:rPr>
  </w:style>
  <w:style w:type="character" w:customStyle="1" w:styleId="hps">
    <w:name w:val="hps"/>
    <w:basedOn w:val="DefaultParagraphFont"/>
    <w:rsid w:val="00867F98"/>
  </w:style>
  <w:style w:type="character" w:customStyle="1" w:styleId="Heading1Char">
    <w:name w:val="Heading 1 Char"/>
    <w:basedOn w:val="DefaultParagraphFont"/>
    <w:link w:val="Heading1"/>
    <w:uiPriority w:val="9"/>
    <w:rsid w:val="009F53A0"/>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E002C5"/>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E002C5"/>
    <w:rPr>
      <w:rFonts w:asciiTheme="majorHAnsi" w:eastAsiaTheme="majorEastAsia" w:hAnsiTheme="majorHAnsi" w:cstheme="majorBidi"/>
      <w:color w:val="365F91" w:themeColor="accent1" w:themeShade="BF"/>
      <w:sz w:val="26"/>
      <w:szCs w:val="26"/>
    </w:rPr>
  </w:style>
  <w:style w:type="character" w:customStyle="1" w:styleId="element-citation">
    <w:name w:val="element-citation"/>
    <w:basedOn w:val="DefaultParagraphFont"/>
    <w:rsid w:val="00056716"/>
  </w:style>
  <w:style w:type="character" w:styleId="HTMLCite">
    <w:name w:val="HTML Cite"/>
    <w:basedOn w:val="DefaultParagraphFont"/>
    <w:uiPriority w:val="99"/>
    <w:semiHidden/>
    <w:unhideWhenUsed/>
    <w:rsid w:val="00636870"/>
    <w:rPr>
      <w:i/>
      <w:iCs/>
    </w:rPr>
  </w:style>
  <w:style w:type="character" w:customStyle="1" w:styleId="label">
    <w:name w:val="label"/>
    <w:basedOn w:val="DefaultParagraphFont"/>
    <w:rsid w:val="00636870"/>
  </w:style>
  <w:style w:type="character" w:customStyle="1" w:styleId="UnresolvedMention">
    <w:name w:val="Unresolved Mention"/>
    <w:basedOn w:val="DefaultParagraphFont"/>
    <w:uiPriority w:val="99"/>
    <w:semiHidden/>
    <w:unhideWhenUsed/>
    <w:rsid w:val="00186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8263">
      <w:bodyDiv w:val="1"/>
      <w:marLeft w:val="0"/>
      <w:marRight w:val="0"/>
      <w:marTop w:val="0"/>
      <w:marBottom w:val="0"/>
      <w:divBdr>
        <w:top w:val="none" w:sz="0" w:space="0" w:color="auto"/>
        <w:left w:val="none" w:sz="0" w:space="0" w:color="auto"/>
        <w:bottom w:val="none" w:sz="0" w:space="0" w:color="auto"/>
        <w:right w:val="none" w:sz="0" w:space="0" w:color="auto"/>
      </w:divBdr>
      <w:divsChild>
        <w:div w:id="2083675150">
          <w:marLeft w:val="0"/>
          <w:marRight w:val="0"/>
          <w:marTop w:val="200"/>
          <w:marBottom w:val="200"/>
          <w:divBdr>
            <w:top w:val="none" w:sz="0" w:space="0" w:color="auto"/>
            <w:left w:val="none" w:sz="0" w:space="0" w:color="auto"/>
            <w:bottom w:val="none" w:sz="0" w:space="0" w:color="auto"/>
            <w:right w:val="none" w:sz="0" w:space="0" w:color="auto"/>
          </w:divBdr>
        </w:div>
        <w:div w:id="631134914">
          <w:marLeft w:val="0"/>
          <w:marRight w:val="0"/>
          <w:marTop w:val="200"/>
          <w:marBottom w:val="200"/>
          <w:divBdr>
            <w:top w:val="none" w:sz="0" w:space="0" w:color="auto"/>
            <w:left w:val="none" w:sz="0" w:space="0" w:color="auto"/>
            <w:bottom w:val="none" w:sz="0" w:space="0" w:color="auto"/>
            <w:right w:val="none" w:sz="0" w:space="0" w:color="auto"/>
          </w:divBdr>
        </w:div>
        <w:div w:id="1469322508">
          <w:marLeft w:val="0"/>
          <w:marRight w:val="0"/>
          <w:marTop w:val="200"/>
          <w:marBottom w:val="200"/>
          <w:divBdr>
            <w:top w:val="none" w:sz="0" w:space="0" w:color="auto"/>
            <w:left w:val="none" w:sz="0" w:space="0" w:color="auto"/>
            <w:bottom w:val="none" w:sz="0" w:space="0" w:color="auto"/>
            <w:right w:val="none" w:sz="0" w:space="0" w:color="auto"/>
          </w:divBdr>
        </w:div>
      </w:divsChild>
    </w:div>
    <w:div w:id="23943174">
      <w:bodyDiv w:val="1"/>
      <w:marLeft w:val="0"/>
      <w:marRight w:val="0"/>
      <w:marTop w:val="0"/>
      <w:marBottom w:val="0"/>
      <w:divBdr>
        <w:top w:val="none" w:sz="0" w:space="0" w:color="auto"/>
        <w:left w:val="none" w:sz="0" w:space="0" w:color="auto"/>
        <w:bottom w:val="none" w:sz="0" w:space="0" w:color="auto"/>
        <w:right w:val="none" w:sz="0" w:space="0" w:color="auto"/>
      </w:divBdr>
    </w:div>
    <w:div w:id="45882625">
      <w:bodyDiv w:val="1"/>
      <w:marLeft w:val="0"/>
      <w:marRight w:val="0"/>
      <w:marTop w:val="0"/>
      <w:marBottom w:val="0"/>
      <w:divBdr>
        <w:top w:val="none" w:sz="0" w:space="0" w:color="auto"/>
        <w:left w:val="none" w:sz="0" w:space="0" w:color="auto"/>
        <w:bottom w:val="none" w:sz="0" w:space="0" w:color="auto"/>
        <w:right w:val="none" w:sz="0" w:space="0" w:color="auto"/>
      </w:divBdr>
    </w:div>
    <w:div w:id="60760852">
      <w:bodyDiv w:val="1"/>
      <w:marLeft w:val="0"/>
      <w:marRight w:val="0"/>
      <w:marTop w:val="0"/>
      <w:marBottom w:val="0"/>
      <w:divBdr>
        <w:top w:val="none" w:sz="0" w:space="0" w:color="auto"/>
        <w:left w:val="none" w:sz="0" w:space="0" w:color="auto"/>
        <w:bottom w:val="none" w:sz="0" w:space="0" w:color="auto"/>
        <w:right w:val="none" w:sz="0" w:space="0" w:color="auto"/>
      </w:divBdr>
    </w:div>
    <w:div w:id="110132207">
      <w:bodyDiv w:val="1"/>
      <w:marLeft w:val="0"/>
      <w:marRight w:val="0"/>
      <w:marTop w:val="0"/>
      <w:marBottom w:val="0"/>
      <w:divBdr>
        <w:top w:val="none" w:sz="0" w:space="0" w:color="auto"/>
        <w:left w:val="none" w:sz="0" w:space="0" w:color="auto"/>
        <w:bottom w:val="none" w:sz="0" w:space="0" w:color="auto"/>
        <w:right w:val="none" w:sz="0" w:space="0" w:color="auto"/>
      </w:divBdr>
    </w:div>
    <w:div w:id="182403850">
      <w:bodyDiv w:val="1"/>
      <w:marLeft w:val="0"/>
      <w:marRight w:val="0"/>
      <w:marTop w:val="0"/>
      <w:marBottom w:val="0"/>
      <w:divBdr>
        <w:top w:val="none" w:sz="0" w:space="0" w:color="auto"/>
        <w:left w:val="none" w:sz="0" w:space="0" w:color="auto"/>
        <w:bottom w:val="none" w:sz="0" w:space="0" w:color="auto"/>
        <w:right w:val="none" w:sz="0" w:space="0" w:color="auto"/>
      </w:divBdr>
    </w:div>
    <w:div w:id="183323526">
      <w:bodyDiv w:val="1"/>
      <w:marLeft w:val="0"/>
      <w:marRight w:val="0"/>
      <w:marTop w:val="0"/>
      <w:marBottom w:val="0"/>
      <w:divBdr>
        <w:top w:val="none" w:sz="0" w:space="0" w:color="auto"/>
        <w:left w:val="none" w:sz="0" w:space="0" w:color="auto"/>
        <w:bottom w:val="none" w:sz="0" w:space="0" w:color="auto"/>
        <w:right w:val="none" w:sz="0" w:space="0" w:color="auto"/>
      </w:divBdr>
    </w:div>
    <w:div w:id="202326717">
      <w:bodyDiv w:val="1"/>
      <w:marLeft w:val="0"/>
      <w:marRight w:val="0"/>
      <w:marTop w:val="0"/>
      <w:marBottom w:val="0"/>
      <w:divBdr>
        <w:top w:val="none" w:sz="0" w:space="0" w:color="auto"/>
        <w:left w:val="none" w:sz="0" w:space="0" w:color="auto"/>
        <w:bottom w:val="none" w:sz="0" w:space="0" w:color="auto"/>
        <w:right w:val="none" w:sz="0" w:space="0" w:color="auto"/>
      </w:divBdr>
    </w:div>
    <w:div w:id="203638373">
      <w:bodyDiv w:val="1"/>
      <w:marLeft w:val="0"/>
      <w:marRight w:val="0"/>
      <w:marTop w:val="0"/>
      <w:marBottom w:val="0"/>
      <w:divBdr>
        <w:top w:val="none" w:sz="0" w:space="0" w:color="auto"/>
        <w:left w:val="none" w:sz="0" w:space="0" w:color="auto"/>
        <w:bottom w:val="none" w:sz="0" w:space="0" w:color="auto"/>
        <w:right w:val="none" w:sz="0" w:space="0" w:color="auto"/>
      </w:divBdr>
    </w:div>
    <w:div w:id="203715714">
      <w:bodyDiv w:val="1"/>
      <w:marLeft w:val="0"/>
      <w:marRight w:val="0"/>
      <w:marTop w:val="0"/>
      <w:marBottom w:val="0"/>
      <w:divBdr>
        <w:top w:val="none" w:sz="0" w:space="0" w:color="auto"/>
        <w:left w:val="none" w:sz="0" w:space="0" w:color="auto"/>
        <w:bottom w:val="none" w:sz="0" w:space="0" w:color="auto"/>
        <w:right w:val="none" w:sz="0" w:space="0" w:color="auto"/>
      </w:divBdr>
    </w:div>
    <w:div w:id="215161526">
      <w:bodyDiv w:val="1"/>
      <w:marLeft w:val="0"/>
      <w:marRight w:val="0"/>
      <w:marTop w:val="0"/>
      <w:marBottom w:val="0"/>
      <w:divBdr>
        <w:top w:val="none" w:sz="0" w:space="0" w:color="auto"/>
        <w:left w:val="none" w:sz="0" w:space="0" w:color="auto"/>
        <w:bottom w:val="none" w:sz="0" w:space="0" w:color="auto"/>
        <w:right w:val="none" w:sz="0" w:space="0" w:color="auto"/>
      </w:divBdr>
    </w:div>
    <w:div w:id="261956437">
      <w:bodyDiv w:val="1"/>
      <w:marLeft w:val="0"/>
      <w:marRight w:val="0"/>
      <w:marTop w:val="0"/>
      <w:marBottom w:val="0"/>
      <w:divBdr>
        <w:top w:val="none" w:sz="0" w:space="0" w:color="auto"/>
        <w:left w:val="none" w:sz="0" w:space="0" w:color="auto"/>
        <w:bottom w:val="none" w:sz="0" w:space="0" w:color="auto"/>
        <w:right w:val="none" w:sz="0" w:space="0" w:color="auto"/>
      </w:divBdr>
    </w:div>
    <w:div w:id="299654702">
      <w:bodyDiv w:val="1"/>
      <w:marLeft w:val="0"/>
      <w:marRight w:val="0"/>
      <w:marTop w:val="0"/>
      <w:marBottom w:val="0"/>
      <w:divBdr>
        <w:top w:val="none" w:sz="0" w:space="0" w:color="auto"/>
        <w:left w:val="none" w:sz="0" w:space="0" w:color="auto"/>
        <w:bottom w:val="none" w:sz="0" w:space="0" w:color="auto"/>
        <w:right w:val="none" w:sz="0" w:space="0" w:color="auto"/>
      </w:divBdr>
    </w:div>
    <w:div w:id="301814384">
      <w:bodyDiv w:val="1"/>
      <w:marLeft w:val="0"/>
      <w:marRight w:val="0"/>
      <w:marTop w:val="0"/>
      <w:marBottom w:val="0"/>
      <w:divBdr>
        <w:top w:val="none" w:sz="0" w:space="0" w:color="auto"/>
        <w:left w:val="none" w:sz="0" w:space="0" w:color="auto"/>
        <w:bottom w:val="none" w:sz="0" w:space="0" w:color="auto"/>
        <w:right w:val="none" w:sz="0" w:space="0" w:color="auto"/>
      </w:divBdr>
      <w:divsChild>
        <w:div w:id="1223518269">
          <w:marLeft w:val="0"/>
          <w:marRight w:val="0"/>
          <w:marTop w:val="0"/>
          <w:marBottom w:val="0"/>
          <w:divBdr>
            <w:top w:val="none" w:sz="0" w:space="0" w:color="auto"/>
            <w:left w:val="none" w:sz="0" w:space="0" w:color="auto"/>
            <w:bottom w:val="none" w:sz="0" w:space="0" w:color="auto"/>
            <w:right w:val="none" w:sz="0" w:space="0" w:color="auto"/>
          </w:divBdr>
        </w:div>
      </w:divsChild>
    </w:div>
    <w:div w:id="356585458">
      <w:bodyDiv w:val="1"/>
      <w:marLeft w:val="0"/>
      <w:marRight w:val="0"/>
      <w:marTop w:val="0"/>
      <w:marBottom w:val="0"/>
      <w:divBdr>
        <w:top w:val="none" w:sz="0" w:space="0" w:color="auto"/>
        <w:left w:val="none" w:sz="0" w:space="0" w:color="auto"/>
        <w:bottom w:val="none" w:sz="0" w:space="0" w:color="auto"/>
        <w:right w:val="none" w:sz="0" w:space="0" w:color="auto"/>
      </w:divBdr>
    </w:div>
    <w:div w:id="401023486">
      <w:bodyDiv w:val="1"/>
      <w:marLeft w:val="0"/>
      <w:marRight w:val="0"/>
      <w:marTop w:val="0"/>
      <w:marBottom w:val="0"/>
      <w:divBdr>
        <w:top w:val="none" w:sz="0" w:space="0" w:color="auto"/>
        <w:left w:val="none" w:sz="0" w:space="0" w:color="auto"/>
        <w:bottom w:val="none" w:sz="0" w:space="0" w:color="auto"/>
        <w:right w:val="none" w:sz="0" w:space="0" w:color="auto"/>
      </w:divBdr>
    </w:div>
    <w:div w:id="427503464">
      <w:bodyDiv w:val="1"/>
      <w:marLeft w:val="0"/>
      <w:marRight w:val="0"/>
      <w:marTop w:val="0"/>
      <w:marBottom w:val="0"/>
      <w:divBdr>
        <w:top w:val="none" w:sz="0" w:space="0" w:color="auto"/>
        <w:left w:val="none" w:sz="0" w:space="0" w:color="auto"/>
        <w:bottom w:val="none" w:sz="0" w:space="0" w:color="auto"/>
        <w:right w:val="none" w:sz="0" w:space="0" w:color="auto"/>
      </w:divBdr>
    </w:div>
    <w:div w:id="443307754">
      <w:bodyDiv w:val="1"/>
      <w:marLeft w:val="0"/>
      <w:marRight w:val="0"/>
      <w:marTop w:val="0"/>
      <w:marBottom w:val="0"/>
      <w:divBdr>
        <w:top w:val="none" w:sz="0" w:space="0" w:color="auto"/>
        <w:left w:val="none" w:sz="0" w:space="0" w:color="auto"/>
        <w:bottom w:val="none" w:sz="0" w:space="0" w:color="auto"/>
        <w:right w:val="none" w:sz="0" w:space="0" w:color="auto"/>
      </w:divBdr>
    </w:div>
    <w:div w:id="529148851">
      <w:bodyDiv w:val="1"/>
      <w:marLeft w:val="0"/>
      <w:marRight w:val="0"/>
      <w:marTop w:val="0"/>
      <w:marBottom w:val="0"/>
      <w:divBdr>
        <w:top w:val="none" w:sz="0" w:space="0" w:color="auto"/>
        <w:left w:val="none" w:sz="0" w:space="0" w:color="auto"/>
        <w:bottom w:val="none" w:sz="0" w:space="0" w:color="auto"/>
        <w:right w:val="none" w:sz="0" w:space="0" w:color="auto"/>
      </w:divBdr>
    </w:div>
    <w:div w:id="569773826">
      <w:bodyDiv w:val="1"/>
      <w:marLeft w:val="0"/>
      <w:marRight w:val="0"/>
      <w:marTop w:val="0"/>
      <w:marBottom w:val="0"/>
      <w:divBdr>
        <w:top w:val="none" w:sz="0" w:space="0" w:color="auto"/>
        <w:left w:val="none" w:sz="0" w:space="0" w:color="auto"/>
        <w:bottom w:val="none" w:sz="0" w:space="0" w:color="auto"/>
        <w:right w:val="none" w:sz="0" w:space="0" w:color="auto"/>
      </w:divBdr>
    </w:div>
    <w:div w:id="571739910">
      <w:bodyDiv w:val="1"/>
      <w:marLeft w:val="0"/>
      <w:marRight w:val="0"/>
      <w:marTop w:val="0"/>
      <w:marBottom w:val="0"/>
      <w:divBdr>
        <w:top w:val="none" w:sz="0" w:space="0" w:color="auto"/>
        <w:left w:val="none" w:sz="0" w:space="0" w:color="auto"/>
        <w:bottom w:val="none" w:sz="0" w:space="0" w:color="auto"/>
        <w:right w:val="none" w:sz="0" w:space="0" w:color="auto"/>
      </w:divBdr>
    </w:div>
    <w:div w:id="572542443">
      <w:bodyDiv w:val="1"/>
      <w:marLeft w:val="0"/>
      <w:marRight w:val="0"/>
      <w:marTop w:val="0"/>
      <w:marBottom w:val="0"/>
      <w:divBdr>
        <w:top w:val="none" w:sz="0" w:space="0" w:color="auto"/>
        <w:left w:val="none" w:sz="0" w:space="0" w:color="auto"/>
        <w:bottom w:val="none" w:sz="0" w:space="0" w:color="auto"/>
        <w:right w:val="none" w:sz="0" w:space="0" w:color="auto"/>
      </w:divBdr>
    </w:div>
    <w:div w:id="573054196">
      <w:bodyDiv w:val="1"/>
      <w:marLeft w:val="0"/>
      <w:marRight w:val="0"/>
      <w:marTop w:val="0"/>
      <w:marBottom w:val="0"/>
      <w:divBdr>
        <w:top w:val="none" w:sz="0" w:space="0" w:color="auto"/>
        <w:left w:val="none" w:sz="0" w:space="0" w:color="auto"/>
        <w:bottom w:val="none" w:sz="0" w:space="0" w:color="auto"/>
        <w:right w:val="none" w:sz="0" w:space="0" w:color="auto"/>
      </w:divBdr>
    </w:div>
    <w:div w:id="580331407">
      <w:bodyDiv w:val="1"/>
      <w:marLeft w:val="0"/>
      <w:marRight w:val="0"/>
      <w:marTop w:val="0"/>
      <w:marBottom w:val="0"/>
      <w:divBdr>
        <w:top w:val="none" w:sz="0" w:space="0" w:color="auto"/>
        <w:left w:val="none" w:sz="0" w:space="0" w:color="auto"/>
        <w:bottom w:val="none" w:sz="0" w:space="0" w:color="auto"/>
        <w:right w:val="none" w:sz="0" w:space="0" w:color="auto"/>
      </w:divBdr>
    </w:div>
    <w:div w:id="608397691">
      <w:bodyDiv w:val="1"/>
      <w:marLeft w:val="0"/>
      <w:marRight w:val="0"/>
      <w:marTop w:val="0"/>
      <w:marBottom w:val="0"/>
      <w:divBdr>
        <w:top w:val="none" w:sz="0" w:space="0" w:color="auto"/>
        <w:left w:val="none" w:sz="0" w:space="0" w:color="auto"/>
        <w:bottom w:val="none" w:sz="0" w:space="0" w:color="auto"/>
        <w:right w:val="none" w:sz="0" w:space="0" w:color="auto"/>
      </w:divBdr>
      <w:divsChild>
        <w:div w:id="1870218686">
          <w:marLeft w:val="0"/>
          <w:marRight w:val="0"/>
          <w:marTop w:val="0"/>
          <w:marBottom w:val="0"/>
          <w:divBdr>
            <w:top w:val="none" w:sz="0" w:space="0" w:color="auto"/>
            <w:left w:val="none" w:sz="0" w:space="0" w:color="auto"/>
            <w:bottom w:val="none" w:sz="0" w:space="0" w:color="auto"/>
            <w:right w:val="none" w:sz="0" w:space="0" w:color="auto"/>
          </w:divBdr>
        </w:div>
      </w:divsChild>
    </w:div>
    <w:div w:id="639120091">
      <w:bodyDiv w:val="1"/>
      <w:marLeft w:val="0"/>
      <w:marRight w:val="0"/>
      <w:marTop w:val="0"/>
      <w:marBottom w:val="0"/>
      <w:divBdr>
        <w:top w:val="none" w:sz="0" w:space="0" w:color="auto"/>
        <w:left w:val="none" w:sz="0" w:space="0" w:color="auto"/>
        <w:bottom w:val="none" w:sz="0" w:space="0" w:color="auto"/>
        <w:right w:val="none" w:sz="0" w:space="0" w:color="auto"/>
      </w:divBdr>
    </w:div>
    <w:div w:id="651297365">
      <w:bodyDiv w:val="1"/>
      <w:marLeft w:val="0"/>
      <w:marRight w:val="0"/>
      <w:marTop w:val="0"/>
      <w:marBottom w:val="0"/>
      <w:divBdr>
        <w:top w:val="none" w:sz="0" w:space="0" w:color="auto"/>
        <w:left w:val="none" w:sz="0" w:space="0" w:color="auto"/>
        <w:bottom w:val="none" w:sz="0" w:space="0" w:color="auto"/>
        <w:right w:val="none" w:sz="0" w:space="0" w:color="auto"/>
      </w:divBdr>
    </w:div>
    <w:div w:id="662856473">
      <w:bodyDiv w:val="1"/>
      <w:marLeft w:val="0"/>
      <w:marRight w:val="0"/>
      <w:marTop w:val="0"/>
      <w:marBottom w:val="0"/>
      <w:divBdr>
        <w:top w:val="none" w:sz="0" w:space="0" w:color="auto"/>
        <w:left w:val="none" w:sz="0" w:space="0" w:color="auto"/>
        <w:bottom w:val="none" w:sz="0" w:space="0" w:color="auto"/>
        <w:right w:val="none" w:sz="0" w:space="0" w:color="auto"/>
      </w:divBdr>
    </w:div>
    <w:div w:id="689601188">
      <w:bodyDiv w:val="1"/>
      <w:marLeft w:val="0"/>
      <w:marRight w:val="0"/>
      <w:marTop w:val="0"/>
      <w:marBottom w:val="0"/>
      <w:divBdr>
        <w:top w:val="none" w:sz="0" w:space="0" w:color="auto"/>
        <w:left w:val="none" w:sz="0" w:space="0" w:color="auto"/>
        <w:bottom w:val="none" w:sz="0" w:space="0" w:color="auto"/>
        <w:right w:val="none" w:sz="0" w:space="0" w:color="auto"/>
      </w:divBdr>
      <w:divsChild>
        <w:div w:id="1525902489">
          <w:marLeft w:val="0"/>
          <w:marRight w:val="0"/>
          <w:marTop w:val="200"/>
          <w:marBottom w:val="200"/>
          <w:divBdr>
            <w:top w:val="none" w:sz="0" w:space="0" w:color="auto"/>
            <w:left w:val="none" w:sz="0" w:space="0" w:color="auto"/>
            <w:bottom w:val="none" w:sz="0" w:space="0" w:color="auto"/>
            <w:right w:val="none" w:sz="0" w:space="0" w:color="auto"/>
          </w:divBdr>
        </w:div>
        <w:div w:id="1223905198">
          <w:marLeft w:val="0"/>
          <w:marRight w:val="0"/>
          <w:marTop w:val="200"/>
          <w:marBottom w:val="200"/>
          <w:divBdr>
            <w:top w:val="none" w:sz="0" w:space="0" w:color="auto"/>
            <w:left w:val="none" w:sz="0" w:space="0" w:color="auto"/>
            <w:bottom w:val="none" w:sz="0" w:space="0" w:color="auto"/>
            <w:right w:val="none" w:sz="0" w:space="0" w:color="auto"/>
          </w:divBdr>
        </w:div>
        <w:div w:id="1530603297">
          <w:marLeft w:val="0"/>
          <w:marRight w:val="0"/>
          <w:marTop w:val="200"/>
          <w:marBottom w:val="200"/>
          <w:divBdr>
            <w:top w:val="none" w:sz="0" w:space="0" w:color="auto"/>
            <w:left w:val="none" w:sz="0" w:space="0" w:color="auto"/>
            <w:bottom w:val="none" w:sz="0" w:space="0" w:color="auto"/>
            <w:right w:val="none" w:sz="0" w:space="0" w:color="auto"/>
          </w:divBdr>
        </w:div>
        <w:div w:id="927956766">
          <w:marLeft w:val="0"/>
          <w:marRight w:val="0"/>
          <w:marTop w:val="200"/>
          <w:marBottom w:val="200"/>
          <w:divBdr>
            <w:top w:val="none" w:sz="0" w:space="0" w:color="auto"/>
            <w:left w:val="none" w:sz="0" w:space="0" w:color="auto"/>
            <w:bottom w:val="none" w:sz="0" w:space="0" w:color="auto"/>
            <w:right w:val="none" w:sz="0" w:space="0" w:color="auto"/>
          </w:divBdr>
        </w:div>
        <w:div w:id="1294484140">
          <w:marLeft w:val="0"/>
          <w:marRight w:val="0"/>
          <w:marTop w:val="200"/>
          <w:marBottom w:val="200"/>
          <w:divBdr>
            <w:top w:val="none" w:sz="0" w:space="0" w:color="auto"/>
            <w:left w:val="none" w:sz="0" w:space="0" w:color="auto"/>
            <w:bottom w:val="none" w:sz="0" w:space="0" w:color="auto"/>
            <w:right w:val="none" w:sz="0" w:space="0" w:color="auto"/>
          </w:divBdr>
        </w:div>
        <w:div w:id="1484353382">
          <w:marLeft w:val="0"/>
          <w:marRight w:val="0"/>
          <w:marTop w:val="200"/>
          <w:marBottom w:val="200"/>
          <w:divBdr>
            <w:top w:val="none" w:sz="0" w:space="0" w:color="auto"/>
            <w:left w:val="none" w:sz="0" w:space="0" w:color="auto"/>
            <w:bottom w:val="none" w:sz="0" w:space="0" w:color="auto"/>
            <w:right w:val="none" w:sz="0" w:space="0" w:color="auto"/>
          </w:divBdr>
        </w:div>
        <w:div w:id="1111824763">
          <w:marLeft w:val="0"/>
          <w:marRight w:val="0"/>
          <w:marTop w:val="200"/>
          <w:marBottom w:val="200"/>
          <w:divBdr>
            <w:top w:val="none" w:sz="0" w:space="0" w:color="auto"/>
            <w:left w:val="none" w:sz="0" w:space="0" w:color="auto"/>
            <w:bottom w:val="none" w:sz="0" w:space="0" w:color="auto"/>
            <w:right w:val="none" w:sz="0" w:space="0" w:color="auto"/>
          </w:divBdr>
        </w:div>
        <w:div w:id="227571655">
          <w:marLeft w:val="0"/>
          <w:marRight w:val="0"/>
          <w:marTop w:val="200"/>
          <w:marBottom w:val="200"/>
          <w:divBdr>
            <w:top w:val="none" w:sz="0" w:space="0" w:color="auto"/>
            <w:left w:val="none" w:sz="0" w:space="0" w:color="auto"/>
            <w:bottom w:val="none" w:sz="0" w:space="0" w:color="auto"/>
            <w:right w:val="none" w:sz="0" w:space="0" w:color="auto"/>
          </w:divBdr>
        </w:div>
      </w:divsChild>
    </w:div>
    <w:div w:id="697704499">
      <w:bodyDiv w:val="1"/>
      <w:marLeft w:val="0"/>
      <w:marRight w:val="0"/>
      <w:marTop w:val="0"/>
      <w:marBottom w:val="0"/>
      <w:divBdr>
        <w:top w:val="none" w:sz="0" w:space="0" w:color="auto"/>
        <w:left w:val="none" w:sz="0" w:space="0" w:color="auto"/>
        <w:bottom w:val="none" w:sz="0" w:space="0" w:color="auto"/>
        <w:right w:val="none" w:sz="0" w:space="0" w:color="auto"/>
      </w:divBdr>
    </w:div>
    <w:div w:id="700087013">
      <w:bodyDiv w:val="1"/>
      <w:marLeft w:val="0"/>
      <w:marRight w:val="0"/>
      <w:marTop w:val="0"/>
      <w:marBottom w:val="0"/>
      <w:divBdr>
        <w:top w:val="none" w:sz="0" w:space="0" w:color="auto"/>
        <w:left w:val="none" w:sz="0" w:space="0" w:color="auto"/>
        <w:bottom w:val="none" w:sz="0" w:space="0" w:color="auto"/>
        <w:right w:val="none" w:sz="0" w:space="0" w:color="auto"/>
      </w:divBdr>
    </w:div>
    <w:div w:id="702638750">
      <w:bodyDiv w:val="1"/>
      <w:marLeft w:val="0"/>
      <w:marRight w:val="0"/>
      <w:marTop w:val="0"/>
      <w:marBottom w:val="0"/>
      <w:divBdr>
        <w:top w:val="none" w:sz="0" w:space="0" w:color="auto"/>
        <w:left w:val="none" w:sz="0" w:space="0" w:color="auto"/>
        <w:bottom w:val="none" w:sz="0" w:space="0" w:color="auto"/>
        <w:right w:val="none" w:sz="0" w:space="0" w:color="auto"/>
      </w:divBdr>
    </w:div>
    <w:div w:id="714619815">
      <w:bodyDiv w:val="1"/>
      <w:marLeft w:val="0"/>
      <w:marRight w:val="0"/>
      <w:marTop w:val="0"/>
      <w:marBottom w:val="0"/>
      <w:divBdr>
        <w:top w:val="none" w:sz="0" w:space="0" w:color="auto"/>
        <w:left w:val="none" w:sz="0" w:space="0" w:color="auto"/>
        <w:bottom w:val="none" w:sz="0" w:space="0" w:color="auto"/>
        <w:right w:val="none" w:sz="0" w:space="0" w:color="auto"/>
      </w:divBdr>
    </w:div>
    <w:div w:id="739984704">
      <w:bodyDiv w:val="1"/>
      <w:marLeft w:val="0"/>
      <w:marRight w:val="0"/>
      <w:marTop w:val="0"/>
      <w:marBottom w:val="0"/>
      <w:divBdr>
        <w:top w:val="none" w:sz="0" w:space="0" w:color="auto"/>
        <w:left w:val="none" w:sz="0" w:space="0" w:color="auto"/>
        <w:bottom w:val="none" w:sz="0" w:space="0" w:color="auto"/>
        <w:right w:val="none" w:sz="0" w:space="0" w:color="auto"/>
      </w:divBdr>
    </w:div>
    <w:div w:id="768282656">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802581966">
      <w:bodyDiv w:val="1"/>
      <w:marLeft w:val="0"/>
      <w:marRight w:val="0"/>
      <w:marTop w:val="0"/>
      <w:marBottom w:val="0"/>
      <w:divBdr>
        <w:top w:val="none" w:sz="0" w:space="0" w:color="auto"/>
        <w:left w:val="none" w:sz="0" w:space="0" w:color="auto"/>
        <w:bottom w:val="none" w:sz="0" w:space="0" w:color="auto"/>
        <w:right w:val="none" w:sz="0" w:space="0" w:color="auto"/>
      </w:divBdr>
    </w:div>
    <w:div w:id="857424562">
      <w:bodyDiv w:val="1"/>
      <w:marLeft w:val="0"/>
      <w:marRight w:val="0"/>
      <w:marTop w:val="0"/>
      <w:marBottom w:val="0"/>
      <w:divBdr>
        <w:top w:val="none" w:sz="0" w:space="0" w:color="auto"/>
        <w:left w:val="none" w:sz="0" w:space="0" w:color="auto"/>
        <w:bottom w:val="none" w:sz="0" w:space="0" w:color="auto"/>
        <w:right w:val="none" w:sz="0" w:space="0" w:color="auto"/>
      </w:divBdr>
    </w:div>
    <w:div w:id="867449214">
      <w:bodyDiv w:val="1"/>
      <w:marLeft w:val="0"/>
      <w:marRight w:val="0"/>
      <w:marTop w:val="0"/>
      <w:marBottom w:val="0"/>
      <w:divBdr>
        <w:top w:val="none" w:sz="0" w:space="0" w:color="auto"/>
        <w:left w:val="none" w:sz="0" w:space="0" w:color="auto"/>
        <w:bottom w:val="none" w:sz="0" w:space="0" w:color="auto"/>
        <w:right w:val="none" w:sz="0" w:space="0" w:color="auto"/>
      </w:divBdr>
    </w:div>
    <w:div w:id="880242364">
      <w:bodyDiv w:val="1"/>
      <w:marLeft w:val="0"/>
      <w:marRight w:val="0"/>
      <w:marTop w:val="0"/>
      <w:marBottom w:val="0"/>
      <w:divBdr>
        <w:top w:val="none" w:sz="0" w:space="0" w:color="auto"/>
        <w:left w:val="none" w:sz="0" w:space="0" w:color="auto"/>
        <w:bottom w:val="none" w:sz="0" w:space="0" w:color="auto"/>
        <w:right w:val="none" w:sz="0" w:space="0" w:color="auto"/>
      </w:divBdr>
    </w:div>
    <w:div w:id="892353704">
      <w:bodyDiv w:val="1"/>
      <w:marLeft w:val="0"/>
      <w:marRight w:val="0"/>
      <w:marTop w:val="0"/>
      <w:marBottom w:val="0"/>
      <w:divBdr>
        <w:top w:val="none" w:sz="0" w:space="0" w:color="auto"/>
        <w:left w:val="none" w:sz="0" w:space="0" w:color="auto"/>
        <w:bottom w:val="none" w:sz="0" w:space="0" w:color="auto"/>
        <w:right w:val="none" w:sz="0" w:space="0" w:color="auto"/>
      </w:divBdr>
    </w:div>
    <w:div w:id="907105855">
      <w:bodyDiv w:val="1"/>
      <w:marLeft w:val="0"/>
      <w:marRight w:val="0"/>
      <w:marTop w:val="0"/>
      <w:marBottom w:val="0"/>
      <w:divBdr>
        <w:top w:val="none" w:sz="0" w:space="0" w:color="auto"/>
        <w:left w:val="none" w:sz="0" w:space="0" w:color="auto"/>
        <w:bottom w:val="none" w:sz="0" w:space="0" w:color="auto"/>
        <w:right w:val="none" w:sz="0" w:space="0" w:color="auto"/>
      </w:divBdr>
    </w:div>
    <w:div w:id="913471520">
      <w:bodyDiv w:val="1"/>
      <w:marLeft w:val="0"/>
      <w:marRight w:val="0"/>
      <w:marTop w:val="0"/>
      <w:marBottom w:val="0"/>
      <w:divBdr>
        <w:top w:val="none" w:sz="0" w:space="0" w:color="auto"/>
        <w:left w:val="none" w:sz="0" w:space="0" w:color="auto"/>
        <w:bottom w:val="none" w:sz="0" w:space="0" w:color="auto"/>
        <w:right w:val="none" w:sz="0" w:space="0" w:color="auto"/>
      </w:divBdr>
    </w:div>
    <w:div w:id="947084392">
      <w:bodyDiv w:val="1"/>
      <w:marLeft w:val="0"/>
      <w:marRight w:val="0"/>
      <w:marTop w:val="0"/>
      <w:marBottom w:val="0"/>
      <w:divBdr>
        <w:top w:val="none" w:sz="0" w:space="0" w:color="auto"/>
        <w:left w:val="none" w:sz="0" w:space="0" w:color="auto"/>
        <w:bottom w:val="none" w:sz="0" w:space="0" w:color="auto"/>
        <w:right w:val="none" w:sz="0" w:space="0" w:color="auto"/>
      </w:divBdr>
    </w:div>
    <w:div w:id="975993601">
      <w:bodyDiv w:val="1"/>
      <w:marLeft w:val="0"/>
      <w:marRight w:val="0"/>
      <w:marTop w:val="0"/>
      <w:marBottom w:val="0"/>
      <w:divBdr>
        <w:top w:val="none" w:sz="0" w:space="0" w:color="auto"/>
        <w:left w:val="none" w:sz="0" w:space="0" w:color="auto"/>
        <w:bottom w:val="none" w:sz="0" w:space="0" w:color="auto"/>
        <w:right w:val="none" w:sz="0" w:space="0" w:color="auto"/>
      </w:divBdr>
    </w:div>
    <w:div w:id="990477888">
      <w:bodyDiv w:val="1"/>
      <w:marLeft w:val="0"/>
      <w:marRight w:val="0"/>
      <w:marTop w:val="0"/>
      <w:marBottom w:val="0"/>
      <w:divBdr>
        <w:top w:val="none" w:sz="0" w:space="0" w:color="auto"/>
        <w:left w:val="none" w:sz="0" w:space="0" w:color="auto"/>
        <w:bottom w:val="none" w:sz="0" w:space="0" w:color="auto"/>
        <w:right w:val="none" w:sz="0" w:space="0" w:color="auto"/>
      </w:divBdr>
    </w:div>
    <w:div w:id="1020744663">
      <w:bodyDiv w:val="1"/>
      <w:marLeft w:val="0"/>
      <w:marRight w:val="0"/>
      <w:marTop w:val="0"/>
      <w:marBottom w:val="0"/>
      <w:divBdr>
        <w:top w:val="none" w:sz="0" w:space="0" w:color="auto"/>
        <w:left w:val="none" w:sz="0" w:space="0" w:color="auto"/>
        <w:bottom w:val="none" w:sz="0" w:space="0" w:color="auto"/>
        <w:right w:val="none" w:sz="0" w:space="0" w:color="auto"/>
      </w:divBdr>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
    <w:div w:id="1088886572">
      <w:bodyDiv w:val="1"/>
      <w:marLeft w:val="0"/>
      <w:marRight w:val="0"/>
      <w:marTop w:val="0"/>
      <w:marBottom w:val="0"/>
      <w:divBdr>
        <w:top w:val="none" w:sz="0" w:space="0" w:color="auto"/>
        <w:left w:val="none" w:sz="0" w:space="0" w:color="auto"/>
        <w:bottom w:val="none" w:sz="0" w:space="0" w:color="auto"/>
        <w:right w:val="none" w:sz="0" w:space="0" w:color="auto"/>
      </w:divBdr>
    </w:div>
    <w:div w:id="1096054098">
      <w:bodyDiv w:val="1"/>
      <w:marLeft w:val="0"/>
      <w:marRight w:val="0"/>
      <w:marTop w:val="0"/>
      <w:marBottom w:val="0"/>
      <w:divBdr>
        <w:top w:val="none" w:sz="0" w:space="0" w:color="auto"/>
        <w:left w:val="none" w:sz="0" w:space="0" w:color="auto"/>
        <w:bottom w:val="none" w:sz="0" w:space="0" w:color="auto"/>
        <w:right w:val="none" w:sz="0" w:space="0" w:color="auto"/>
      </w:divBdr>
    </w:div>
    <w:div w:id="1105538392">
      <w:bodyDiv w:val="1"/>
      <w:marLeft w:val="0"/>
      <w:marRight w:val="0"/>
      <w:marTop w:val="0"/>
      <w:marBottom w:val="0"/>
      <w:divBdr>
        <w:top w:val="none" w:sz="0" w:space="0" w:color="auto"/>
        <w:left w:val="none" w:sz="0" w:space="0" w:color="auto"/>
        <w:bottom w:val="none" w:sz="0" w:space="0" w:color="auto"/>
        <w:right w:val="none" w:sz="0" w:space="0" w:color="auto"/>
      </w:divBdr>
    </w:div>
    <w:div w:id="1129517363">
      <w:bodyDiv w:val="1"/>
      <w:marLeft w:val="0"/>
      <w:marRight w:val="0"/>
      <w:marTop w:val="0"/>
      <w:marBottom w:val="0"/>
      <w:divBdr>
        <w:top w:val="none" w:sz="0" w:space="0" w:color="auto"/>
        <w:left w:val="none" w:sz="0" w:space="0" w:color="auto"/>
        <w:bottom w:val="none" w:sz="0" w:space="0" w:color="auto"/>
        <w:right w:val="none" w:sz="0" w:space="0" w:color="auto"/>
      </w:divBdr>
    </w:div>
    <w:div w:id="1129857791">
      <w:bodyDiv w:val="1"/>
      <w:marLeft w:val="0"/>
      <w:marRight w:val="0"/>
      <w:marTop w:val="0"/>
      <w:marBottom w:val="0"/>
      <w:divBdr>
        <w:top w:val="none" w:sz="0" w:space="0" w:color="auto"/>
        <w:left w:val="none" w:sz="0" w:space="0" w:color="auto"/>
        <w:bottom w:val="none" w:sz="0" w:space="0" w:color="auto"/>
        <w:right w:val="none" w:sz="0" w:space="0" w:color="auto"/>
      </w:divBdr>
    </w:div>
    <w:div w:id="1151218976">
      <w:bodyDiv w:val="1"/>
      <w:marLeft w:val="0"/>
      <w:marRight w:val="0"/>
      <w:marTop w:val="0"/>
      <w:marBottom w:val="0"/>
      <w:divBdr>
        <w:top w:val="none" w:sz="0" w:space="0" w:color="auto"/>
        <w:left w:val="none" w:sz="0" w:space="0" w:color="auto"/>
        <w:bottom w:val="none" w:sz="0" w:space="0" w:color="auto"/>
        <w:right w:val="none" w:sz="0" w:space="0" w:color="auto"/>
      </w:divBdr>
    </w:div>
    <w:div w:id="1201479858">
      <w:bodyDiv w:val="1"/>
      <w:marLeft w:val="0"/>
      <w:marRight w:val="0"/>
      <w:marTop w:val="0"/>
      <w:marBottom w:val="0"/>
      <w:divBdr>
        <w:top w:val="none" w:sz="0" w:space="0" w:color="auto"/>
        <w:left w:val="none" w:sz="0" w:space="0" w:color="auto"/>
        <w:bottom w:val="none" w:sz="0" w:space="0" w:color="auto"/>
        <w:right w:val="none" w:sz="0" w:space="0" w:color="auto"/>
      </w:divBdr>
    </w:div>
    <w:div w:id="1221674468">
      <w:bodyDiv w:val="1"/>
      <w:marLeft w:val="0"/>
      <w:marRight w:val="0"/>
      <w:marTop w:val="0"/>
      <w:marBottom w:val="0"/>
      <w:divBdr>
        <w:top w:val="none" w:sz="0" w:space="0" w:color="auto"/>
        <w:left w:val="none" w:sz="0" w:space="0" w:color="auto"/>
        <w:bottom w:val="none" w:sz="0" w:space="0" w:color="auto"/>
        <w:right w:val="none" w:sz="0" w:space="0" w:color="auto"/>
      </w:divBdr>
    </w:div>
    <w:div w:id="1230771893">
      <w:bodyDiv w:val="1"/>
      <w:marLeft w:val="0"/>
      <w:marRight w:val="0"/>
      <w:marTop w:val="0"/>
      <w:marBottom w:val="0"/>
      <w:divBdr>
        <w:top w:val="none" w:sz="0" w:space="0" w:color="auto"/>
        <w:left w:val="none" w:sz="0" w:space="0" w:color="auto"/>
        <w:bottom w:val="none" w:sz="0" w:space="0" w:color="auto"/>
        <w:right w:val="none" w:sz="0" w:space="0" w:color="auto"/>
      </w:divBdr>
    </w:div>
    <w:div w:id="1234580564">
      <w:bodyDiv w:val="1"/>
      <w:marLeft w:val="0"/>
      <w:marRight w:val="0"/>
      <w:marTop w:val="0"/>
      <w:marBottom w:val="0"/>
      <w:divBdr>
        <w:top w:val="none" w:sz="0" w:space="0" w:color="auto"/>
        <w:left w:val="none" w:sz="0" w:space="0" w:color="auto"/>
        <w:bottom w:val="none" w:sz="0" w:space="0" w:color="auto"/>
        <w:right w:val="none" w:sz="0" w:space="0" w:color="auto"/>
      </w:divBdr>
    </w:div>
    <w:div w:id="1234773603">
      <w:bodyDiv w:val="1"/>
      <w:marLeft w:val="0"/>
      <w:marRight w:val="0"/>
      <w:marTop w:val="0"/>
      <w:marBottom w:val="0"/>
      <w:divBdr>
        <w:top w:val="none" w:sz="0" w:space="0" w:color="auto"/>
        <w:left w:val="none" w:sz="0" w:space="0" w:color="auto"/>
        <w:bottom w:val="none" w:sz="0" w:space="0" w:color="auto"/>
        <w:right w:val="none" w:sz="0" w:space="0" w:color="auto"/>
      </w:divBdr>
      <w:divsChild>
        <w:div w:id="956065678">
          <w:marLeft w:val="0"/>
          <w:marRight w:val="0"/>
          <w:marTop w:val="0"/>
          <w:marBottom w:val="0"/>
          <w:divBdr>
            <w:top w:val="none" w:sz="0" w:space="0" w:color="auto"/>
            <w:left w:val="none" w:sz="0" w:space="0" w:color="auto"/>
            <w:bottom w:val="none" w:sz="0" w:space="0" w:color="auto"/>
            <w:right w:val="none" w:sz="0" w:space="0" w:color="auto"/>
          </w:divBdr>
        </w:div>
      </w:divsChild>
    </w:div>
    <w:div w:id="1249921292">
      <w:bodyDiv w:val="1"/>
      <w:marLeft w:val="0"/>
      <w:marRight w:val="0"/>
      <w:marTop w:val="0"/>
      <w:marBottom w:val="0"/>
      <w:divBdr>
        <w:top w:val="none" w:sz="0" w:space="0" w:color="auto"/>
        <w:left w:val="none" w:sz="0" w:space="0" w:color="auto"/>
        <w:bottom w:val="none" w:sz="0" w:space="0" w:color="auto"/>
        <w:right w:val="none" w:sz="0" w:space="0" w:color="auto"/>
      </w:divBdr>
    </w:div>
    <w:div w:id="1270818619">
      <w:bodyDiv w:val="1"/>
      <w:marLeft w:val="0"/>
      <w:marRight w:val="0"/>
      <w:marTop w:val="0"/>
      <w:marBottom w:val="0"/>
      <w:divBdr>
        <w:top w:val="none" w:sz="0" w:space="0" w:color="auto"/>
        <w:left w:val="none" w:sz="0" w:space="0" w:color="auto"/>
        <w:bottom w:val="none" w:sz="0" w:space="0" w:color="auto"/>
        <w:right w:val="none" w:sz="0" w:space="0" w:color="auto"/>
      </w:divBdr>
    </w:div>
    <w:div w:id="1344554479">
      <w:bodyDiv w:val="1"/>
      <w:marLeft w:val="0"/>
      <w:marRight w:val="0"/>
      <w:marTop w:val="0"/>
      <w:marBottom w:val="0"/>
      <w:divBdr>
        <w:top w:val="none" w:sz="0" w:space="0" w:color="auto"/>
        <w:left w:val="none" w:sz="0" w:space="0" w:color="auto"/>
        <w:bottom w:val="none" w:sz="0" w:space="0" w:color="auto"/>
        <w:right w:val="none" w:sz="0" w:space="0" w:color="auto"/>
      </w:divBdr>
      <w:divsChild>
        <w:div w:id="452791295">
          <w:marLeft w:val="0"/>
          <w:marRight w:val="0"/>
          <w:marTop w:val="0"/>
          <w:marBottom w:val="0"/>
          <w:divBdr>
            <w:top w:val="none" w:sz="0" w:space="0" w:color="auto"/>
            <w:left w:val="none" w:sz="0" w:space="0" w:color="auto"/>
            <w:bottom w:val="none" w:sz="0" w:space="0" w:color="auto"/>
            <w:right w:val="none" w:sz="0" w:space="0" w:color="auto"/>
          </w:divBdr>
        </w:div>
      </w:divsChild>
    </w:div>
    <w:div w:id="1383560974">
      <w:bodyDiv w:val="1"/>
      <w:marLeft w:val="0"/>
      <w:marRight w:val="0"/>
      <w:marTop w:val="0"/>
      <w:marBottom w:val="0"/>
      <w:divBdr>
        <w:top w:val="none" w:sz="0" w:space="0" w:color="auto"/>
        <w:left w:val="none" w:sz="0" w:space="0" w:color="auto"/>
        <w:bottom w:val="none" w:sz="0" w:space="0" w:color="auto"/>
        <w:right w:val="none" w:sz="0" w:space="0" w:color="auto"/>
      </w:divBdr>
    </w:div>
    <w:div w:id="1385563099">
      <w:bodyDiv w:val="1"/>
      <w:marLeft w:val="0"/>
      <w:marRight w:val="0"/>
      <w:marTop w:val="0"/>
      <w:marBottom w:val="0"/>
      <w:divBdr>
        <w:top w:val="none" w:sz="0" w:space="0" w:color="auto"/>
        <w:left w:val="none" w:sz="0" w:space="0" w:color="auto"/>
        <w:bottom w:val="none" w:sz="0" w:space="0" w:color="auto"/>
        <w:right w:val="none" w:sz="0" w:space="0" w:color="auto"/>
      </w:divBdr>
    </w:div>
    <w:div w:id="1388993382">
      <w:bodyDiv w:val="1"/>
      <w:marLeft w:val="0"/>
      <w:marRight w:val="0"/>
      <w:marTop w:val="0"/>
      <w:marBottom w:val="0"/>
      <w:divBdr>
        <w:top w:val="none" w:sz="0" w:space="0" w:color="auto"/>
        <w:left w:val="none" w:sz="0" w:space="0" w:color="auto"/>
        <w:bottom w:val="none" w:sz="0" w:space="0" w:color="auto"/>
        <w:right w:val="none" w:sz="0" w:space="0" w:color="auto"/>
      </w:divBdr>
    </w:div>
    <w:div w:id="1389111012">
      <w:bodyDiv w:val="1"/>
      <w:marLeft w:val="0"/>
      <w:marRight w:val="0"/>
      <w:marTop w:val="0"/>
      <w:marBottom w:val="0"/>
      <w:divBdr>
        <w:top w:val="none" w:sz="0" w:space="0" w:color="auto"/>
        <w:left w:val="none" w:sz="0" w:space="0" w:color="auto"/>
        <w:bottom w:val="none" w:sz="0" w:space="0" w:color="auto"/>
        <w:right w:val="none" w:sz="0" w:space="0" w:color="auto"/>
      </w:divBdr>
    </w:div>
    <w:div w:id="1392772192">
      <w:bodyDiv w:val="1"/>
      <w:marLeft w:val="0"/>
      <w:marRight w:val="0"/>
      <w:marTop w:val="0"/>
      <w:marBottom w:val="0"/>
      <w:divBdr>
        <w:top w:val="none" w:sz="0" w:space="0" w:color="auto"/>
        <w:left w:val="none" w:sz="0" w:space="0" w:color="auto"/>
        <w:bottom w:val="none" w:sz="0" w:space="0" w:color="auto"/>
        <w:right w:val="none" w:sz="0" w:space="0" w:color="auto"/>
      </w:divBdr>
    </w:div>
    <w:div w:id="1424375676">
      <w:bodyDiv w:val="1"/>
      <w:marLeft w:val="0"/>
      <w:marRight w:val="0"/>
      <w:marTop w:val="0"/>
      <w:marBottom w:val="0"/>
      <w:divBdr>
        <w:top w:val="none" w:sz="0" w:space="0" w:color="auto"/>
        <w:left w:val="none" w:sz="0" w:space="0" w:color="auto"/>
        <w:bottom w:val="none" w:sz="0" w:space="0" w:color="auto"/>
        <w:right w:val="none" w:sz="0" w:space="0" w:color="auto"/>
      </w:divBdr>
      <w:divsChild>
        <w:div w:id="1635601886">
          <w:marLeft w:val="0"/>
          <w:marRight w:val="0"/>
          <w:marTop w:val="0"/>
          <w:marBottom w:val="0"/>
          <w:divBdr>
            <w:top w:val="none" w:sz="0" w:space="0" w:color="auto"/>
            <w:left w:val="none" w:sz="0" w:space="0" w:color="auto"/>
            <w:bottom w:val="none" w:sz="0" w:space="0" w:color="auto"/>
            <w:right w:val="none" w:sz="0" w:space="0" w:color="auto"/>
          </w:divBdr>
          <w:divsChild>
            <w:div w:id="1450778682">
              <w:marLeft w:val="0"/>
              <w:marRight w:val="0"/>
              <w:marTop w:val="0"/>
              <w:marBottom w:val="0"/>
              <w:divBdr>
                <w:top w:val="none" w:sz="0" w:space="0" w:color="auto"/>
                <w:left w:val="none" w:sz="0" w:space="0" w:color="auto"/>
                <w:bottom w:val="none" w:sz="0" w:space="0" w:color="auto"/>
                <w:right w:val="none" w:sz="0" w:space="0" w:color="auto"/>
              </w:divBdr>
              <w:divsChild>
                <w:div w:id="2041709000">
                  <w:marLeft w:val="0"/>
                  <w:marRight w:val="0"/>
                  <w:marTop w:val="0"/>
                  <w:marBottom w:val="0"/>
                  <w:divBdr>
                    <w:top w:val="none" w:sz="0" w:space="0" w:color="auto"/>
                    <w:left w:val="none" w:sz="0" w:space="0" w:color="auto"/>
                    <w:bottom w:val="none" w:sz="0" w:space="0" w:color="auto"/>
                    <w:right w:val="none" w:sz="0" w:space="0" w:color="auto"/>
                  </w:divBdr>
                  <w:divsChild>
                    <w:div w:id="1568111464">
                      <w:marLeft w:val="0"/>
                      <w:marRight w:val="0"/>
                      <w:marTop w:val="0"/>
                      <w:marBottom w:val="0"/>
                      <w:divBdr>
                        <w:top w:val="none" w:sz="0" w:space="0" w:color="auto"/>
                        <w:left w:val="none" w:sz="0" w:space="0" w:color="auto"/>
                        <w:bottom w:val="none" w:sz="0" w:space="0" w:color="auto"/>
                        <w:right w:val="none" w:sz="0" w:space="0" w:color="auto"/>
                      </w:divBdr>
                      <w:divsChild>
                        <w:div w:id="774397521">
                          <w:marLeft w:val="0"/>
                          <w:marRight w:val="0"/>
                          <w:marTop w:val="0"/>
                          <w:marBottom w:val="0"/>
                          <w:divBdr>
                            <w:top w:val="none" w:sz="0" w:space="0" w:color="auto"/>
                            <w:left w:val="none" w:sz="0" w:space="0" w:color="auto"/>
                            <w:bottom w:val="none" w:sz="0" w:space="0" w:color="auto"/>
                            <w:right w:val="none" w:sz="0" w:space="0" w:color="auto"/>
                          </w:divBdr>
                          <w:divsChild>
                            <w:div w:id="237132047">
                              <w:marLeft w:val="0"/>
                              <w:marRight w:val="0"/>
                              <w:marTop w:val="0"/>
                              <w:marBottom w:val="0"/>
                              <w:divBdr>
                                <w:top w:val="none" w:sz="0" w:space="0" w:color="auto"/>
                                <w:left w:val="none" w:sz="0" w:space="0" w:color="auto"/>
                                <w:bottom w:val="none" w:sz="0" w:space="0" w:color="auto"/>
                                <w:right w:val="none" w:sz="0" w:space="0" w:color="auto"/>
                              </w:divBdr>
                              <w:divsChild>
                                <w:div w:id="1973906406">
                                  <w:marLeft w:val="0"/>
                                  <w:marRight w:val="0"/>
                                  <w:marTop w:val="0"/>
                                  <w:marBottom w:val="0"/>
                                  <w:divBdr>
                                    <w:top w:val="none" w:sz="0" w:space="0" w:color="auto"/>
                                    <w:left w:val="none" w:sz="0" w:space="0" w:color="auto"/>
                                    <w:bottom w:val="none" w:sz="0" w:space="0" w:color="auto"/>
                                    <w:right w:val="none" w:sz="0" w:space="0" w:color="auto"/>
                                  </w:divBdr>
                                  <w:divsChild>
                                    <w:div w:id="832766849">
                                      <w:marLeft w:val="0"/>
                                      <w:marRight w:val="0"/>
                                      <w:marTop w:val="0"/>
                                      <w:marBottom w:val="0"/>
                                      <w:divBdr>
                                        <w:top w:val="none" w:sz="0" w:space="0" w:color="auto"/>
                                        <w:left w:val="none" w:sz="0" w:space="0" w:color="auto"/>
                                        <w:bottom w:val="none" w:sz="0" w:space="0" w:color="auto"/>
                                        <w:right w:val="none" w:sz="0" w:space="0" w:color="auto"/>
                                      </w:divBdr>
                                      <w:divsChild>
                                        <w:div w:id="19596775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46457">
          <w:marLeft w:val="0"/>
          <w:marRight w:val="0"/>
          <w:marTop w:val="0"/>
          <w:marBottom w:val="0"/>
          <w:divBdr>
            <w:top w:val="none" w:sz="0" w:space="0" w:color="auto"/>
            <w:left w:val="none" w:sz="0" w:space="0" w:color="auto"/>
            <w:bottom w:val="none" w:sz="0" w:space="0" w:color="auto"/>
            <w:right w:val="none" w:sz="0" w:space="0" w:color="auto"/>
          </w:divBdr>
          <w:divsChild>
            <w:div w:id="1838837514">
              <w:marLeft w:val="0"/>
              <w:marRight w:val="0"/>
              <w:marTop w:val="0"/>
              <w:marBottom w:val="0"/>
              <w:divBdr>
                <w:top w:val="none" w:sz="0" w:space="0" w:color="auto"/>
                <w:left w:val="none" w:sz="0" w:space="0" w:color="auto"/>
                <w:bottom w:val="none" w:sz="0" w:space="0" w:color="auto"/>
                <w:right w:val="none" w:sz="0" w:space="0" w:color="auto"/>
              </w:divBdr>
              <w:divsChild>
                <w:div w:id="292953793">
                  <w:marLeft w:val="0"/>
                  <w:marRight w:val="0"/>
                  <w:marTop w:val="0"/>
                  <w:marBottom w:val="0"/>
                  <w:divBdr>
                    <w:top w:val="none" w:sz="0" w:space="0" w:color="auto"/>
                    <w:left w:val="none" w:sz="0" w:space="0" w:color="auto"/>
                    <w:bottom w:val="none" w:sz="0" w:space="0" w:color="auto"/>
                    <w:right w:val="none" w:sz="0" w:space="0" w:color="auto"/>
                  </w:divBdr>
                  <w:divsChild>
                    <w:div w:id="627977540">
                      <w:marLeft w:val="0"/>
                      <w:marRight w:val="0"/>
                      <w:marTop w:val="0"/>
                      <w:marBottom w:val="0"/>
                      <w:divBdr>
                        <w:top w:val="none" w:sz="0" w:space="0" w:color="auto"/>
                        <w:left w:val="none" w:sz="0" w:space="0" w:color="auto"/>
                        <w:bottom w:val="none" w:sz="0" w:space="0" w:color="auto"/>
                        <w:right w:val="none" w:sz="0" w:space="0" w:color="auto"/>
                      </w:divBdr>
                      <w:divsChild>
                        <w:div w:id="532810572">
                          <w:marLeft w:val="0"/>
                          <w:marRight w:val="0"/>
                          <w:marTop w:val="0"/>
                          <w:marBottom w:val="0"/>
                          <w:divBdr>
                            <w:top w:val="none" w:sz="0" w:space="0" w:color="auto"/>
                            <w:left w:val="none" w:sz="0" w:space="0" w:color="auto"/>
                            <w:bottom w:val="none" w:sz="0" w:space="0" w:color="auto"/>
                            <w:right w:val="none" w:sz="0" w:space="0" w:color="auto"/>
                          </w:divBdr>
                          <w:divsChild>
                            <w:div w:id="1822306298">
                              <w:marLeft w:val="0"/>
                              <w:marRight w:val="0"/>
                              <w:marTop w:val="0"/>
                              <w:marBottom w:val="0"/>
                              <w:divBdr>
                                <w:top w:val="none" w:sz="0" w:space="0" w:color="auto"/>
                                <w:left w:val="none" w:sz="0" w:space="0" w:color="auto"/>
                                <w:bottom w:val="none" w:sz="0" w:space="0" w:color="auto"/>
                                <w:right w:val="none" w:sz="0" w:space="0" w:color="auto"/>
                              </w:divBdr>
                            </w:div>
                            <w:div w:id="661280445">
                              <w:marLeft w:val="0"/>
                              <w:marRight w:val="0"/>
                              <w:marTop w:val="0"/>
                              <w:marBottom w:val="0"/>
                              <w:divBdr>
                                <w:top w:val="none" w:sz="0" w:space="0" w:color="auto"/>
                                <w:left w:val="none" w:sz="0" w:space="0" w:color="auto"/>
                                <w:bottom w:val="none" w:sz="0" w:space="0" w:color="auto"/>
                                <w:right w:val="none" w:sz="0" w:space="0" w:color="auto"/>
                              </w:divBdr>
                              <w:divsChild>
                                <w:div w:id="573130935">
                                  <w:marLeft w:val="0"/>
                                  <w:marRight w:val="0"/>
                                  <w:marTop w:val="0"/>
                                  <w:marBottom w:val="0"/>
                                  <w:divBdr>
                                    <w:top w:val="none" w:sz="0" w:space="0" w:color="auto"/>
                                    <w:left w:val="none" w:sz="0" w:space="0" w:color="auto"/>
                                    <w:bottom w:val="none" w:sz="0" w:space="0" w:color="auto"/>
                                    <w:right w:val="none" w:sz="0" w:space="0" w:color="auto"/>
                                  </w:divBdr>
                                </w:div>
                                <w:div w:id="861430839">
                                  <w:marLeft w:val="0"/>
                                  <w:marRight w:val="0"/>
                                  <w:marTop w:val="0"/>
                                  <w:marBottom w:val="0"/>
                                  <w:divBdr>
                                    <w:top w:val="none" w:sz="0" w:space="0" w:color="auto"/>
                                    <w:left w:val="none" w:sz="0" w:space="0" w:color="auto"/>
                                    <w:bottom w:val="none" w:sz="0" w:space="0" w:color="auto"/>
                                    <w:right w:val="none" w:sz="0" w:space="0" w:color="auto"/>
                                  </w:divBdr>
                                </w:div>
                                <w:div w:id="1220627973">
                                  <w:marLeft w:val="0"/>
                                  <w:marRight w:val="0"/>
                                  <w:marTop w:val="0"/>
                                  <w:marBottom w:val="0"/>
                                  <w:divBdr>
                                    <w:top w:val="none" w:sz="0" w:space="0" w:color="auto"/>
                                    <w:left w:val="none" w:sz="0" w:space="0" w:color="auto"/>
                                    <w:bottom w:val="none" w:sz="0" w:space="0" w:color="auto"/>
                                    <w:right w:val="none" w:sz="0" w:space="0" w:color="auto"/>
                                  </w:divBdr>
                                </w:div>
                                <w:div w:id="875118310">
                                  <w:marLeft w:val="0"/>
                                  <w:marRight w:val="0"/>
                                  <w:marTop w:val="0"/>
                                  <w:marBottom w:val="0"/>
                                  <w:divBdr>
                                    <w:top w:val="none" w:sz="0" w:space="0" w:color="auto"/>
                                    <w:left w:val="none" w:sz="0" w:space="0" w:color="auto"/>
                                    <w:bottom w:val="none" w:sz="0" w:space="0" w:color="auto"/>
                                    <w:right w:val="none" w:sz="0" w:space="0" w:color="auto"/>
                                  </w:divBdr>
                                </w:div>
                              </w:divsChild>
                            </w:div>
                            <w:div w:id="267857187">
                              <w:marLeft w:val="0"/>
                              <w:marRight w:val="0"/>
                              <w:marTop w:val="0"/>
                              <w:marBottom w:val="0"/>
                              <w:divBdr>
                                <w:top w:val="none" w:sz="0" w:space="0" w:color="auto"/>
                                <w:left w:val="none" w:sz="0" w:space="0" w:color="auto"/>
                                <w:bottom w:val="none" w:sz="0" w:space="0" w:color="auto"/>
                                <w:right w:val="none" w:sz="0" w:space="0" w:color="auto"/>
                              </w:divBdr>
                              <w:divsChild>
                                <w:div w:id="757100031">
                                  <w:marLeft w:val="0"/>
                                  <w:marRight w:val="0"/>
                                  <w:marTop w:val="0"/>
                                  <w:marBottom w:val="0"/>
                                  <w:divBdr>
                                    <w:top w:val="none" w:sz="0" w:space="0" w:color="auto"/>
                                    <w:left w:val="none" w:sz="0" w:space="0" w:color="auto"/>
                                    <w:bottom w:val="none" w:sz="0" w:space="0" w:color="auto"/>
                                    <w:right w:val="none" w:sz="0" w:space="0" w:color="auto"/>
                                  </w:divBdr>
                                </w:div>
                                <w:div w:id="1930504214">
                                  <w:marLeft w:val="0"/>
                                  <w:marRight w:val="0"/>
                                  <w:marTop w:val="0"/>
                                  <w:marBottom w:val="0"/>
                                  <w:divBdr>
                                    <w:top w:val="none" w:sz="0" w:space="0" w:color="auto"/>
                                    <w:left w:val="none" w:sz="0" w:space="0" w:color="auto"/>
                                    <w:bottom w:val="none" w:sz="0" w:space="0" w:color="auto"/>
                                    <w:right w:val="none" w:sz="0" w:space="0" w:color="auto"/>
                                  </w:divBdr>
                                </w:div>
                                <w:div w:id="1863006043">
                                  <w:marLeft w:val="0"/>
                                  <w:marRight w:val="0"/>
                                  <w:marTop w:val="0"/>
                                  <w:marBottom w:val="0"/>
                                  <w:divBdr>
                                    <w:top w:val="none" w:sz="0" w:space="0" w:color="auto"/>
                                    <w:left w:val="none" w:sz="0" w:space="0" w:color="auto"/>
                                    <w:bottom w:val="none" w:sz="0" w:space="0" w:color="auto"/>
                                    <w:right w:val="none" w:sz="0" w:space="0" w:color="auto"/>
                                  </w:divBdr>
                                </w:div>
                                <w:div w:id="11346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613316">
      <w:bodyDiv w:val="1"/>
      <w:marLeft w:val="0"/>
      <w:marRight w:val="0"/>
      <w:marTop w:val="0"/>
      <w:marBottom w:val="0"/>
      <w:divBdr>
        <w:top w:val="none" w:sz="0" w:space="0" w:color="auto"/>
        <w:left w:val="none" w:sz="0" w:space="0" w:color="auto"/>
        <w:bottom w:val="none" w:sz="0" w:space="0" w:color="auto"/>
        <w:right w:val="none" w:sz="0" w:space="0" w:color="auto"/>
      </w:divBdr>
    </w:div>
    <w:div w:id="1553227132">
      <w:bodyDiv w:val="1"/>
      <w:marLeft w:val="0"/>
      <w:marRight w:val="0"/>
      <w:marTop w:val="0"/>
      <w:marBottom w:val="0"/>
      <w:divBdr>
        <w:top w:val="none" w:sz="0" w:space="0" w:color="auto"/>
        <w:left w:val="none" w:sz="0" w:space="0" w:color="auto"/>
        <w:bottom w:val="none" w:sz="0" w:space="0" w:color="auto"/>
        <w:right w:val="none" w:sz="0" w:space="0" w:color="auto"/>
      </w:divBdr>
    </w:div>
    <w:div w:id="1553301023">
      <w:bodyDiv w:val="1"/>
      <w:marLeft w:val="0"/>
      <w:marRight w:val="0"/>
      <w:marTop w:val="0"/>
      <w:marBottom w:val="0"/>
      <w:divBdr>
        <w:top w:val="none" w:sz="0" w:space="0" w:color="auto"/>
        <w:left w:val="none" w:sz="0" w:space="0" w:color="auto"/>
        <w:bottom w:val="none" w:sz="0" w:space="0" w:color="auto"/>
        <w:right w:val="none" w:sz="0" w:space="0" w:color="auto"/>
      </w:divBdr>
    </w:div>
    <w:div w:id="1554347858">
      <w:bodyDiv w:val="1"/>
      <w:marLeft w:val="0"/>
      <w:marRight w:val="0"/>
      <w:marTop w:val="0"/>
      <w:marBottom w:val="0"/>
      <w:divBdr>
        <w:top w:val="none" w:sz="0" w:space="0" w:color="auto"/>
        <w:left w:val="none" w:sz="0" w:space="0" w:color="auto"/>
        <w:bottom w:val="none" w:sz="0" w:space="0" w:color="auto"/>
        <w:right w:val="none" w:sz="0" w:space="0" w:color="auto"/>
      </w:divBdr>
    </w:div>
    <w:div w:id="1569028697">
      <w:bodyDiv w:val="1"/>
      <w:marLeft w:val="0"/>
      <w:marRight w:val="0"/>
      <w:marTop w:val="0"/>
      <w:marBottom w:val="0"/>
      <w:divBdr>
        <w:top w:val="none" w:sz="0" w:space="0" w:color="auto"/>
        <w:left w:val="none" w:sz="0" w:space="0" w:color="auto"/>
        <w:bottom w:val="none" w:sz="0" w:space="0" w:color="auto"/>
        <w:right w:val="none" w:sz="0" w:space="0" w:color="auto"/>
      </w:divBdr>
      <w:divsChild>
        <w:div w:id="1477533484">
          <w:marLeft w:val="0"/>
          <w:marRight w:val="0"/>
          <w:marTop w:val="200"/>
          <w:marBottom w:val="200"/>
          <w:divBdr>
            <w:top w:val="none" w:sz="0" w:space="0" w:color="auto"/>
            <w:left w:val="none" w:sz="0" w:space="0" w:color="auto"/>
            <w:bottom w:val="none" w:sz="0" w:space="0" w:color="auto"/>
            <w:right w:val="none" w:sz="0" w:space="0" w:color="auto"/>
          </w:divBdr>
        </w:div>
        <w:div w:id="1359355244">
          <w:marLeft w:val="0"/>
          <w:marRight w:val="0"/>
          <w:marTop w:val="200"/>
          <w:marBottom w:val="200"/>
          <w:divBdr>
            <w:top w:val="none" w:sz="0" w:space="0" w:color="auto"/>
            <w:left w:val="none" w:sz="0" w:space="0" w:color="auto"/>
            <w:bottom w:val="none" w:sz="0" w:space="0" w:color="auto"/>
            <w:right w:val="none" w:sz="0" w:space="0" w:color="auto"/>
          </w:divBdr>
        </w:div>
        <w:div w:id="1453935753">
          <w:marLeft w:val="0"/>
          <w:marRight w:val="0"/>
          <w:marTop w:val="200"/>
          <w:marBottom w:val="200"/>
          <w:divBdr>
            <w:top w:val="none" w:sz="0" w:space="0" w:color="auto"/>
            <w:left w:val="none" w:sz="0" w:space="0" w:color="auto"/>
            <w:bottom w:val="none" w:sz="0" w:space="0" w:color="auto"/>
            <w:right w:val="none" w:sz="0" w:space="0" w:color="auto"/>
          </w:divBdr>
        </w:div>
        <w:div w:id="1156340057">
          <w:marLeft w:val="0"/>
          <w:marRight w:val="0"/>
          <w:marTop w:val="200"/>
          <w:marBottom w:val="200"/>
          <w:divBdr>
            <w:top w:val="none" w:sz="0" w:space="0" w:color="auto"/>
            <w:left w:val="none" w:sz="0" w:space="0" w:color="auto"/>
            <w:bottom w:val="none" w:sz="0" w:space="0" w:color="auto"/>
            <w:right w:val="none" w:sz="0" w:space="0" w:color="auto"/>
          </w:divBdr>
        </w:div>
      </w:divsChild>
    </w:div>
    <w:div w:id="1610820826">
      <w:bodyDiv w:val="1"/>
      <w:marLeft w:val="0"/>
      <w:marRight w:val="0"/>
      <w:marTop w:val="0"/>
      <w:marBottom w:val="0"/>
      <w:divBdr>
        <w:top w:val="none" w:sz="0" w:space="0" w:color="auto"/>
        <w:left w:val="none" w:sz="0" w:space="0" w:color="auto"/>
        <w:bottom w:val="none" w:sz="0" w:space="0" w:color="auto"/>
        <w:right w:val="none" w:sz="0" w:space="0" w:color="auto"/>
      </w:divBdr>
    </w:div>
    <w:div w:id="1659113739">
      <w:bodyDiv w:val="1"/>
      <w:marLeft w:val="0"/>
      <w:marRight w:val="0"/>
      <w:marTop w:val="0"/>
      <w:marBottom w:val="0"/>
      <w:divBdr>
        <w:top w:val="none" w:sz="0" w:space="0" w:color="auto"/>
        <w:left w:val="none" w:sz="0" w:space="0" w:color="auto"/>
        <w:bottom w:val="none" w:sz="0" w:space="0" w:color="auto"/>
        <w:right w:val="none" w:sz="0" w:space="0" w:color="auto"/>
      </w:divBdr>
    </w:div>
    <w:div w:id="1696929014">
      <w:bodyDiv w:val="1"/>
      <w:marLeft w:val="0"/>
      <w:marRight w:val="0"/>
      <w:marTop w:val="0"/>
      <w:marBottom w:val="0"/>
      <w:divBdr>
        <w:top w:val="none" w:sz="0" w:space="0" w:color="auto"/>
        <w:left w:val="none" w:sz="0" w:space="0" w:color="auto"/>
        <w:bottom w:val="none" w:sz="0" w:space="0" w:color="auto"/>
        <w:right w:val="none" w:sz="0" w:space="0" w:color="auto"/>
      </w:divBdr>
    </w:div>
    <w:div w:id="1707440094">
      <w:bodyDiv w:val="1"/>
      <w:marLeft w:val="0"/>
      <w:marRight w:val="0"/>
      <w:marTop w:val="0"/>
      <w:marBottom w:val="0"/>
      <w:divBdr>
        <w:top w:val="none" w:sz="0" w:space="0" w:color="auto"/>
        <w:left w:val="none" w:sz="0" w:space="0" w:color="auto"/>
        <w:bottom w:val="none" w:sz="0" w:space="0" w:color="auto"/>
        <w:right w:val="none" w:sz="0" w:space="0" w:color="auto"/>
      </w:divBdr>
    </w:div>
    <w:div w:id="1732581153">
      <w:bodyDiv w:val="1"/>
      <w:marLeft w:val="0"/>
      <w:marRight w:val="0"/>
      <w:marTop w:val="0"/>
      <w:marBottom w:val="0"/>
      <w:divBdr>
        <w:top w:val="none" w:sz="0" w:space="0" w:color="auto"/>
        <w:left w:val="none" w:sz="0" w:space="0" w:color="auto"/>
        <w:bottom w:val="none" w:sz="0" w:space="0" w:color="auto"/>
        <w:right w:val="none" w:sz="0" w:space="0" w:color="auto"/>
      </w:divBdr>
    </w:div>
    <w:div w:id="1733768686">
      <w:bodyDiv w:val="1"/>
      <w:marLeft w:val="0"/>
      <w:marRight w:val="0"/>
      <w:marTop w:val="0"/>
      <w:marBottom w:val="0"/>
      <w:divBdr>
        <w:top w:val="none" w:sz="0" w:space="0" w:color="auto"/>
        <w:left w:val="none" w:sz="0" w:space="0" w:color="auto"/>
        <w:bottom w:val="none" w:sz="0" w:space="0" w:color="auto"/>
        <w:right w:val="none" w:sz="0" w:space="0" w:color="auto"/>
      </w:divBdr>
    </w:div>
    <w:div w:id="1740133623">
      <w:bodyDiv w:val="1"/>
      <w:marLeft w:val="0"/>
      <w:marRight w:val="0"/>
      <w:marTop w:val="0"/>
      <w:marBottom w:val="0"/>
      <w:divBdr>
        <w:top w:val="none" w:sz="0" w:space="0" w:color="auto"/>
        <w:left w:val="none" w:sz="0" w:space="0" w:color="auto"/>
        <w:bottom w:val="none" w:sz="0" w:space="0" w:color="auto"/>
        <w:right w:val="none" w:sz="0" w:space="0" w:color="auto"/>
      </w:divBdr>
    </w:div>
    <w:div w:id="1779832239">
      <w:bodyDiv w:val="1"/>
      <w:marLeft w:val="0"/>
      <w:marRight w:val="0"/>
      <w:marTop w:val="0"/>
      <w:marBottom w:val="0"/>
      <w:divBdr>
        <w:top w:val="none" w:sz="0" w:space="0" w:color="auto"/>
        <w:left w:val="none" w:sz="0" w:space="0" w:color="auto"/>
        <w:bottom w:val="none" w:sz="0" w:space="0" w:color="auto"/>
        <w:right w:val="none" w:sz="0" w:space="0" w:color="auto"/>
      </w:divBdr>
    </w:div>
    <w:div w:id="1841504767">
      <w:bodyDiv w:val="1"/>
      <w:marLeft w:val="0"/>
      <w:marRight w:val="0"/>
      <w:marTop w:val="0"/>
      <w:marBottom w:val="0"/>
      <w:divBdr>
        <w:top w:val="none" w:sz="0" w:space="0" w:color="auto"/>
        <w:left w:val="none" w:sz="0" w:space="0" w:color="auto"/>
        <w:bottom w:val="none" w:sz="0" w:space="0" w:color="auto"/>
        <w:right w:val="none" w:sz="0" w:space="0" w:color="auto"/>
      </w:divBdr>
    </w:div>
    <w:div w:id="1891071716">
      <w:bodyDiv w:val="1"/>
      <w:marLeft w:val="0"/>
      <w:marRight w:val="0"/>
      <w:marTop w:val="0"/>
      <w:marBottom w:val="0"/>
      <w:divBdr>
        <w:top w:val="none" w:sz="0" w:space="0" w:color="auto"/>
        <w:left w:val="none" w:sz="0" w:space="0" w:color="auto"/>
        <w:bottom w:val="none" w:sz="0" w:space="0" w:color="auto"/>
        <w:right w:val="none" w:sz="0" w:space="0" w:color="auto"/>
      </w:divBdr>
    </w:div>
    <w:div w:id="1908832205">
      <w:bodyDiv w:val="1"/>
      <w:marLeft w:val="0"/>
      <w:marRight w:val="0"/>
      <w:marTop w:val="0"/>
      <w:marBottom w:val="0"/>
      <w:divBdr>
        <w:top w:val="none" w:sz="0" w:space="0" w:color="auto"/>
        <w:left w:val="none" w:sz="0" w:space="0" w:color="auto"/>
        <w:bottom w:val="none" w:sz="0" w:space="0" w:color="auto"/>
        <w:right w:val="none" w:sz="0" w:space="0" w:color="auto"/>
      </w:divBdr>
      <w:divsChild>
        <w:div w:id="1245646891">
          <w:marLeft w:val="0"/>
          <w:marRight w:val="0"/>
          <w:marTop w:val="200"/>
          <w:marBottom w:val="200"/>
          <w:divBdr>
            <w:top w:val="none" w:sz="0" w:space="0" w:color="auto"/>
            <w:left w:val="none" w:sz="0" w:space="0" w:color="auto"/>
            <w:bottom w:val="none" w:sz="0" w:space="0" w:color="auto"/>
            <w:right w:val="none" w:sz="0" w:space="0" w:color="auto"/>
          </w:divBdr>
        </w:div>
        <w:div w:id="1086923800">
          <w:marLeft w:val="0"/>
          <w:marRight w:val="0"/>
          <w:marTop w:val="200"/>
          <w:marBottom w:val="200"/>
          <w:divBdr>
            <w:top w:val="none" w:sz="0" w:space="0" w:color="auto"/>
            <w:left w:val="none" w:sz="0" w:space="0" w:color="auto"/>
            <w:bottom w:val="none" w:sz="0" w:space="0" w:color="auto"/>
            <w:right w:val="none" w:sz="0" w:space="0" w:color="auto"/>
          </w:divBdr>
        </w:div>
        <w:div w:id="1109282020">
          <w:marLeft w:val="0"/>
          <w:marRight w:val="0"/>
          <w:marTop w:val="200"/>
          <w:marBottom w:val="200"/>
          <w:divBdr>
            <w:top w:val="none" w:sz="0" w:space="0" w:color="auto"/>
            <w:left w:val="none" w:sz="0" w:space="0" w:color="auto"/>
            <w:bottom w:val="none" w:sz="0" w:space="0" w:color="auto"/>
            <w:right w:val="none" w:sz="0" w:space="0" w:color="auto"/>
          </w:divBdr>
        </w:div>
        <w:div w:id="2006471683">
          <w:marLeft w:val="0"/>
          <w:marRight w:val="0"/>
          <w:marTop w:val="200"/>
          <w:marBottom w:val="200"/>
          <w:divBdr>
            <w:top w:val="none" w:sz="0" w:space="0" w:color="auto"/>
            <w:left w:val="none" w:sz="0" w:space="0" w:color="auto"/>
            <w:bottom w:val="none" w:sz="0" w:space="0" w:color="auto"/>
            <w:right w:val="none" w:sz="0" w:space="0" w:color="auto"/>
          </w:divBdr>
        </w:div>
        <w:div w:id="363558964">
          <w:marLeft w:val="0"/>
          <w:marRight w:val="0"/>
          <w:marTop w:val="200"/>
          <w:marBottom w:val="200"/>
          <w:divBdr>
            <w:top w:val="none" w:sz="0" w:space="0" w:color="auto"/>
            <w:left w:val="none" w:sz="0" w:space="0" w:color="auto"/>
            <w:bottom w:val="none" w:sz="0" w:space="0" w:color="auto"/>
            <w:right w:val="none" w:sz="0" w:space="0" w:color="auto"/>
          </w:divBdr>
        </w:div>
        <w:div w:id="144321225">
          <w:marLeft w:val="0"/>
          <w:marRight w:val="0"/>
          <w:marTop w:val="200"/>
          <w:marBottom w:val="200"/>
          <w:divBdr>
            <w:top w:val="none" w:sz="0" w:space="0" w:color="auto"/>
            <w:left w:val="none" w:sz="0" w:space="0" w:color="auto"/>
            <w:bottom w:val="none" w:sz="0" w:space="0" w:color="auto"/>
            <w:right w:val="none" w:sz="0" w:space="0" w:color="auto"/>
          </w:divBdr>
        </w:div>
      </w:divsChild>
    </w:div>
    <w:div w:id="1985116956">
      <w:bodyDiv w:val="1"/>
      <w:marLeft w:val="0"/>
      <w:marRight w:val="0"/>
      <w:marTop w:val="0"/>
      <w:marBottom w:val="0"/>
      <w:divBdr>
        <w:top w:val="none" w:sz="0" w:space="0" w:color="auto"/>
        <w:left w:val="none" w:sz="0" w:space="0" w:color="auto"/>
        <w:bottom w:val="none" w:sz="0" w:space="0" w:color="auto"/>
        <w:right w:val="none" w:sz="0" w:space="0" w:color="auto"/>
      </w:divBdr>
    </w:div>
    <w:div w:id="2009091956">
      <w:bodyDiv w:val="1"/>
      <w:marLeft w:val="0"/>
      <w:marRight w:val="0"/>
      <w:marTop w:val="0"/>
      <w:marBottom w:val="0"/>
      <w:divBdr>
        <w:top w:val="none" w:sz="0" w:space="0" w:color="auto"/>
        <w:left w:val="none" w:sz="0" w:space="0" w:color="auto"/>
        <w:bottom w:val="none" w:sz="0" w:space="0" w:color="auto"/>
        <w:right w:val="none" w:sz="0" w:space="0" w:color="auto"/>
      </w:divBdr>
    </w:div>
    <w:div w:id="2013603746">
      <w:bodyDiv w:val="1"/>
      <w:marLeft w:val="0"/>
      <w:marRight w:val="0"/>
      <w:marTop w:val="0"/>
      <w:marBottom w:val="0"/>
      <w:divBdr>
        <w:top w:val="none" w:sz="0" w:space="0" w:color="auto"/>
        <w:left w:val="none" w:sz="0" w:space="0" w:color="auto"/>
        <w:bottom w:val="none" w:sz="0" w:space="0" w:color="auto"/>
        <w:right w:val="none" w:sz="0" w:space="0" w:color="auto"/>
      </w:divBdr>
    </w:div>
    <w:div w:id="2048334572">
      <w:bodyDiv w:val="1"/>
      <w:marLeft w:val="0"/>
      <w:marRight w:val="0"/>
      <w:marTop w:val="0"/>
      <w:marBottom w:val="0"/>
      <w:divBdr>
        <w:top w:val="none" w:sz="0" w:space="0" w:color="auto"/>
        <w:left w:val="none" w:sz="0" w:space="0" w:color="auto"/>
        <w:bottom w:val="none" w:sz="0" w:space="0" w:color="auto"/>
        <w:right w:val="none" w:sz="0" w:space="0" w:color="auto"/>
      </w:divBdr>
    </w:div>
    <w:div w:id="2058772664">
      <w:bodyDiv w:val="1"/>
      <w:marLeft w:val="0"/>
      <w:marRight w:val="0"/>
      <w:marTop w:val="0"/>
      <w:marBottom w:val="0"/>
      <w:divBdr>
        <w:top w:val="none" w:sz="0" w:space="0" w:color="auto"/>
        <w:left w:val="none" w:sz="0" w:space="0" w:color="auto"/>
        <w:bottom w:val="none" w:sz="0" w:space="0" w:color="auto"/>
        <w:right w:val="none" w:sz="0" w:space="0" w:color="auto"/>
      </w:divBdr>
    </w:div>
    <w:div w:id="20708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576E9-31B6-4596-8C0E-D47B460B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11</Pages>
  <Words>3150</Words>
  <Characters>18119</Characters>
  <Application>Microsoft Office Word</Application>
  <DocSecurity>0</DocSecurity>
  <Lines>411</Lines>
  <Paragraphs>195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155</cp:revision>
  <dcterms:created xsi:type="dcterms:W3CDTF">2024-07-03T18:11:00Z</dcterms:created>
  <dcterms:modified xsi:type="dcterms:W3CDTF">2025-06-26T16:10:00Z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f22396da8ad28050cbe5d3e649fac72ee406f6986d5a9c76c1d8c0549e8d406a</vt:lpwstr>
  </property>
</Properties>
</file>