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A2C6D" w14:textId="77777777" w:rsidR="00383723" w:rsidRDefault="00383723" w:rsidP="00383723">
      <w:pPr>
        <w:jc w:val="center"/>
        <w:rPr>
          <w:rFonts w:ascii="Arial" w:hAnsi="Arial" w:cs="Arial"/>
          <w:b/>
          <w:sz w:val="36"/>
          <w:szCs w:val="36"/>
        </w:rPr>
      </w:pPr>
      <w:r w:rsidRPr="00383723">
        <w:rPr>
          <w:rFonts w:ascii="Arial" w:hAnsi="Arial" w:cs="Arial"/>
          <w:b/>
          <w:sz w:val="36"/>
          <w:szCs w:val="36"/>
        </w:rPr>
        <w:t>OCCURRENCE OF ROTAVIRUS INFECTION AND ASSOCIATED SOCIO-DEMOGRAPHIC RISK FACTORS AMONG CHILDREN UNDER FIVE WITH DIARRHOEA IN ABUJA, NIGERIA</w:t>
      </w:r>
    </w:p>
    <w:p w14:paraId="624E7DAE" w14:textId="77777777" w:rsidR="00F951C6" w:rsidRPr="00FF0F8B" w:rsidRDefault="00F951C6" w:rsidP="00F951C6">
      <w:pPr>
        <w:jc w:val="both"/>
        <w:rPr>
          <w:rFonts w:ascii="Arial" w:hAnsi="Arial" w:cs="Arial"/>
          <w:sz w:val="22"/>
          <w:szCs w:val="22"/>
        </w:rPr>
      </w:pPr>
      <w:r w:rsidRPr="00FF0F8B">
        <w:rPr>
          <w:rFonts w:ascii="Arial" w:hAnsi="Arial" w:cs="Arial"/>
          <w:b/>
          <w:bCs/>
          <w:sz w:val="22"/>
          <w:szCs w:val="22"/>
        </w:rPr>
        <w:t>ABSTRACT</w:t>
      </w:r>
    </w:p>
    <w:p w14:paraId="78385DD7" w14:textId="77777777" w:rsidR="00F951C6" w:rsidRPr="00FF0F8B" w:rsidRDefault="00F951C6" w:rsidP="00F951C6">
      <w:pPr>
        <w:jc w:val="both"/>
        <w:rPr>
          <w:rFonts w:ascii="Arial" w:hAnsi="Arial" w:cs="Arial"/>
          <w:sz w:val="20"/>
          <w:szCs w:val="20"/>
        </w:rPr>
      </w:pPr>
      <w:r w:rsidRPr="00FF0F8B">
        <w:rPr>
          <w:rFonts w:ascii="Arial" w:hAnsi="Arial" w:cs="Arial"/>
          <w:b/>
          <w:bCs/>
          <w:sz w:val="20"/>
          <w:szCs w:val="20"/>
        </w:rPr>
        <w:t>Background:</w:t>
      </w:r>
      <w:r w:rsidRPr="00FF0F8B">
        <w:rPr>
          <w:rFonts w:ascii="Arial" w:hAnsi="Arial" w:cs="Arial"/>
          <w:sz w:val="20"/>
          <w:szCs w:val="20"/>
        </w:rPr>
        <w:t xml:space="preserve"> Rotavirus remains a leading etiological agent of acute gastroenteritis and severe </w:t>
      </w:r>
      <w:proofErr w:type="spellStart"/>
      <w:r w:rsidRPr="00FF0F8B">
        <w:rPr>
          <w:rFonts w:ascii="Arial" w:hAnsi="Arial" w:cs="Arial"/>
          <w:sz w:val="20"/>
          <w:szCs w:val="20"/>
        </w:rPr>
        <w:t>diarrhoea</w:t>
      </w:r>
      <w:proofErr w:type="spellEnd"/>
      <w:r w:rsidRPr="00FF0F8B">
        <w:rPr>
          <w:rFonts w:ascii="Arial" w:hAnsi="Arial" w:cs="Arial"/>
          <w:sz w:val="20"/>
          <w:szCs w:val="20"/>
        </w:rPr>
        <w:t xml:space="preserve"> in young children globally. Despite the availability of effective vaccines, the burden of disease remains substantial in low-resource settings due to poor vaccine uptake, poor sanitation, and limited surveillance.</w:t>
      </w:r>
    </w:p>
    <w:p w14:paraId="2574F4F2" w14:textId="77777777" w:rsidR="00F951C6" w:rsidRPr="00FF0F8B" w:rsidRDefault="00F951C6" w:rsidP="00F951C6">
      <w:pPr>
        <w:jc w:val="both"/>
        <w:rPr>
          <w:rFonts w:ascii="Arial" w:hAnsi="Arial" w:cs="Arial"/>
          <w:sz w:val="20"/>
          <w:szCs w:val="20"/>
        </w:rPr>
      </w:pPr>
      <w:r w:rsidRPr="00FF0F8B">
        <w:rPr>
          <w:rFonts w:ascii="Arial" w:hAnsi="Arial" w:cs="Arial"/>
          <w:b/>
          <w:bCs/>
          <w:sz w:val="20"/>
          <w:szCs w:val="20"/>
        </w:rPr>
        <w:t>Objective:</w:t>
      </w:r>
      <w:r w:rsidRPr="00FF0F8B">
        <w:rPr>
          <w:rFonts w:ascii="Arial" w:hAnsi="Arial" w:cs="Arial"/>
          <w:sz w:val="20"/>
          <w:szCs w:val="20"/>
        </w:rPr>
        <w:t xml:space="preserve"> This study aimed to investigate the occurrence of rotavirus infection and to establish associations between socio-demographic risk factors and rotavirus </w:t>
      </w:r>
      <w:proofErr w:type="spellStart"/>
      <w:r w:rsidRPr="00FF0F8B">
        <w:rPr>
          <w:rFonts w:ascii="Arial" w:hAnsi="Arial" w:cs="Arial"/>
          <w:sz w:val="20"/>
          <w:szCs w:val="20"/>
        </w:rPr>
        <w:t>diarrhoea</w:t>
      </w:r>
      <w:proofErr w:type="spellEnd"/>
      <w:r w:rsidRPr="00FF0F8B">
        <w:rPr>
          <w:rFonts w:ascii="Arial" w:hAnsi="Arial" w:cs="Arial"/>
          <w:sz w:val="20"/>
          <w:szCs w:val="20"/>
        </w:rPr>
        <w:t xml:space="preserve"> among children under five attending hospitals in Abuja Municipal Area Council (AMAC), Nigeria.</w:t>
      </w:r>
    </w:p>
    <w:p w14:paraId="12E5BADD" w14:textId="77777777" w:rsidR="00F951C6" w:rsidRPr="00FF0F8B" w:rsidRDefault="00F951C6" w:rsidP="00F951C6">
      <w:pPr>
        <w:jc w:val="both"/>
        <w:rPr>
          <w:rFonts w:ascii="Arial" w:hAnsi="Arial" w:cs="Arial"/>
          <w:sz w:val="20"/>
          <w:szCs w:val="20"/>
        </w:rPr>
      </w:pPr>
      <w:r w:rsidRPr="00FF0F8B">
        <w:rPr>
          <w:rFonts w:ascii="Arial" w:hAnsi="Arial" w:cs="Arial"/>
          <w:b/>
          <w:bCs/>
          <w:sz w:val="20"/>
          <w:szCs w:val="20"/>
        </w:rPr>
        <w:t>Methods:</w:t>
      </w:r>
      <w:r w:rsidRPr="00FF0F8B">
        <w:rPr>
          <w:rFonts w:ascii="Arial" w:hAnsi="Arial" w:cs="Arial"/>
          <w:sz w:val="20"/>
          <w:szCs w:val="20"/>
        </w:rPr>
        <w:t xml:space="preserve"> A total of 200 stool samples were collected from children under five years presenting with </w:t>
      </w:r>
      <w:proofErr w:type="spellStart"/>
      <w:r w:rsidRPr="00FF0F8B">
        <w:rPr>
          <w:rFonts w:ascii="Arial" w:hAnsi="Arial" w:cs="Arial"/>
          <w:sz w:val="20"/>
          <w:szCs w:val="20"/>
        </w:rPr>
        <w:t>diarrhoea</w:t>
      </w:r>
      <w:proofErr w:type="spellEnd"/>
      <w:r w:rsidRPr="00FF0F8B">
        <w:rPr>
          <w:rFonts w:ascii="Arial" w:hAnsi="Arial" w:cs="Arial"/>
          <w:sz w:val="20"/>
          <w:szCs w:val="20"/>
        </w:rPr>
        <w:t xml:space="preserve"> across selected hospitals in AMAC. Rotavirus antigens were detected using Enzyme-Linked Immunosorbent Assay (ELISA). Structured questionnaires captured socio-demographic and clinical data. Chi-square tests and logistic regression were used to determine associations between rotavirus occurrence and risk factors.</w:t>
      </w:r>
    </w:p>
    <w:p w14:paraId="123E66B0" w14:textId="77777777" w:rsidR="00F951C6" w:rsidRPr="00FF0F8B" w:rsidRDefault="00F951C6" w:rsidP="00F951C6">
      <w:pPr>
        <w:jc w:val="both"/>
        <w:rPr>
          <w:rFonts w:ascii="Arial" w:hAnsi="Arial" w:cs="Arial"/>
          <w:sz w:val="20"/>
          <w:szCs w:val="20"/>
        </w:rPr>
      </w:pPr>
      <w:r w:rsidRPr="00FF0F8B">
        <w:rPr>
          <w:rFonts w:ascii="Arial" w:hAnsi="Arial" w:cs="Arial"/>
          <w:b/>
          <w:bCs/>
          <w:sz w:val="20"/>
          <w:szCs w:val="20"/>
        </w:rPr>
        <w:t>Results:</w:t>
      </w:r>
      <w:r w:rsidRPr="00FF0F8B">
        <w:rPr>
          <w:rFonts w:ascii="Arial" w:hAnsi="Arial" w:cs="Arial"/>
          <w:sz w:val="20"/>
          <w:szCs w:val="20"/>
        </w:rPr>
        <w:t xml:space="preserve"> Rotavirus antigen was detected in 20 out of 200 children (10.0%). Infants aged 0–11 months exhibited the highest prevalence (40%, p &lt; 0.05). Significant associations were observed between rotavirus infection and feeding method, handwashing after defecation, maternal age, maternal education level, source of drinking water, and sanitation practices (p &lt; 0.05). Children of mothers aged 20–29 years accounted for 55% of rotavirus-positive cases. Mixed-fed children showed a significantly higher infection rate (45%) compared to exclusively breastfed children (15%).</w:t>
      </w:r>
    </w:p>
    <w:p w14:paraId="7EF61C77" w14:textId="77777777" w:rsidR="00F951C6" w:rsidRPr="00FF0F8B" w:rsidRDefault="00F951C6" w:rsidP="00F951C6">
      <w:pPr>
        <w:jc w:val="both"/>
        <w:rPr>
          <w:rFonts w:ascii="Arial" w:hAnsi="Arial" w:cs="Arial"/>
          <w:sz w:val="20"/>
          <w:szCs w:val="20"/>
        </w:rPr>
      </w:pPr>
      <w:r w:rsidRPr="00FF0F8B">
        <w:rPr>
          <w:rFonts w:ascii="Arial" w:hAnsi="Arial" w:cs="Arial"/>
          <w:b/>
          <w:bCs/>
          <w:sz w:val="20"/>
          <w:szCs w:val="20"/>
        </w:rPr>
        <w:t>Conclusion:</w:t>
      </w:r>
      <w:r w:rsidRPr="00FF0F8B">
        <w:rPr>
          <w:rFonts w:ascii="Arial" w:hAnsi="Arial" w:cs="Arial"/>
          <w:sz w:val="20"/>
          <w:szCs w:val="20"/>
        </w:rPr>
        <w:t xml:space="preserve"> The study highlights rotavirus as a notable cause of </w:t>
      </w:r>
      <w:proofErr w:type="spellStart"/>
      <w:r w:rsidRPr="00FF0F8B">
        <w:rPr>
          <w:rFonts w:ascii="Arial" w:hAnsi="Arial" w:cs="Arial"/>
          <w:sz w:val="20"/>
          <w:szCs w:val="20"/>
        </w:rPr>
        <w:t>paediatric</w:t>
      </w:r>
      <w:proofErr w:type="spellEnd"/>
      <w:r w:rsidRPr="00FF0F8B">
        <w:rPr>
          <w:rFonts w:ascii="Arial" w:hAnsi="Arial" w:cs="Arial"/>
          <w:sz w:val="20"/>
          <w:szCs w:val="20"/>
        </w:rPr>
        <w:t xml:space="preserve"> </w:t>
      </w:r>
      <w:proofErr w:type="spellStart"/>
      <w:r w:rsidRPr="00FF0F8B">
        <w:rPr>
          <w:rFonts w:ascii="Arial" w:hAnsi="Arial" w:cs="Arial"/>
          <w:sz w:val="20"/>
          <w:szCs w:val="20"/>
        </w:rPr>
        <w:t>diarrhoea</w:t>
      </w:r>
      <w:proofErr w:type="spellEnd"/>
      <w:r w:rsidRPr="00FF0F8B">
        <w:rPr>
          <w:rFonts w:ascii="Arial" w:hAnsi="Arial" w:cs="Arial"/>
          <w:sz w:val="20"/>
          <w:szCs w:val="20"/>
        </w:rPr>
        <w:t xml:space="preserve"> in AMAC. Socio-demographic factors, especially related to feeding practices</w:t>
      </w:r>
      <w:r>
        <w:rPr>
          <w:rFonts w:ascii="Arial" w:hAnsi="Arial" w:cs="Arial"/>
          <w:sz w:val="20"/>
          <w:szCs w:val="20"/>
        </w:rPr>
        <w:t xml:space="preserve"> </w:t>
      </w:r>
      <w:r w:rsidRPr="00FF0F8B">
        <w:rPr>
          <w:rFonts w:ascii="Arial" w:hAnsi="Arial" w:cs="Arial"/>
          <w:sz w:val="20"/>
          <w:szCs w:val="20"/>
        </w:rPr>
        <w:t xml:space="preserve">play a significant role in the transmission of infection. </w:t>
      </w:r>
      <w:r>
        <w:rPr>
          <w:rFonts w:ascii="Arial" w:hAnsi="Arial" w:cs="Arial"/>
          <w:sz w:val="20"/>
          <w:szCs w:val="20"/>
        </w:rPr>
        <w:t>P</w:t>
      </w:r>
      <w:r w:rsidRPr="00FF0F8B">
        <w:rPr>
          <w:rFonts w:ascii="Arial" w:hAnsi="Arial" w:cs="Arial"/>
          <w:sz w:val="20"/>
          <w:szCs w:val="20"/>
        </w:rPr>
        <w:t>romoting exclusive breastfeeding, and improving hygiene education among caregivers are recommended.</w:t>
      </w:r>
    </w:p>
    <w:p w14:paraId="42AEF9B7" w14:textId="77777777" w:rsidR="00F951C6" w:rsidRPr="00FF0F8B" w:rsidRDefault="00F951C6" w:rsidP="00F951C6">
      <w:pPr>
        <w:jc w:val="both"/>
        <w:rPr>
          <w:rFonts w:ascii="Arial" w:hAnsi="Arial" w:cs="Arial"/>
          <w:i/>
          <w:iCs/>
          <w:sz w:val="20"/>
          <w:szCs w:val="20"/>
        </w:rPr>
      </w:pPr>
      <w:r w:rsidRPr="00FF0F8B">
        <w:rPr>
          <w:rFonts w:ascii="Arial" w:hAnsi="Arial" w:cs="Arial"/>
          <w:b/>
          <w:bCs/>
          <w:i/>
          <w:iCs/>
          <w:sz w:val="20"/>
          <w:szCs w:val="20"/>
        </w:rPr>
        <w:t>Keywords:</w:t>
      </w:r>
      <w:r w:rsidRPr="00FF0F8B">
        <w:rPr>
          <w:rFonts w:ascii="Arial" w:hAnsi="Arial" w:cs="Arial"/>
          <w:i/>
          <w:iCs/>
          <w:sz w:val="20"/>
          <w:szCs w:val="20"/>
        </w:rPr>
        <w:t xml:space="preserve"> Rotavirus, Socio-demographic risk factors, </w:t>
      </w:r>
      <w:proofErr w:type="spellStart"/>
      <w:r w:rsidRPr="00FF0F8B">
        <w:rPr>
          <w:rFonts w:ascii="Arial" w:hAnsi="Arial" w:cs="Arial"/>
          <w:i/>
          <w:iCs/>
          <w:sz w:val="20"/>
          <w:szCs w:val="20"/>
        </w:rPr>
        <w:t>Diarrhoea</w:t>
      </w:r>
      <w:proofErr w:type="spellEnd"/>
      <w:r w:rsidRPr="00FF0F8B">
        <w:rPr>
          <w:rFonts w:ascii="Arial" w:hAnsi="Arial" w:cs="Arial"/>
          <w:i/>
          <w:iCs/>
          <w:sz w:val="20"/>
          <w:szCs w:val="20"/>
        </w:rPr>
        <w:t>, Children under five, Abuja, ELISA, Feeding practices</w:t>
      </w:r>
    </w:p>
    <w:p w14:paraId="4DAEBE51" w14:textId="77777777" w:rsidR="00F951C6" w:rsidRPr="00FF0F8B" w:rsidRDefault="00F951C6" w:rsidP="00F951C6">
      <w:pPr>
        <w:jc w:val="both"/>
      </w:pPr>
    </w:p>
    <w:p w14:paraId="43C8054A" w14:textId="77777777" w:rsidR="00F951C6" w:rsidRPr="00FF0F8B" w:rsidRDefault="00F951C6" w:rsidP="00F951C6">
      <w:pPr>
        <w:rPr>
          <w:b/>
          <w:bCs/>
        </w:rPr>
      </w:pPr>
      <w:r w:rsidRPr="00FF0F8B">
        <w:rPr>
          <w:b/>
          <w:bCs/>
        </w:rPr>
        <w:t xml:space="preserve">1. </w:t>
      </w:r>
      <w:r w:rsidRPr="007457EC">
        <w:rPr>
          <w:b/>
          <w:bCs/>
          <w:sz w:val="22"/>
          <w:szCs w:val="22"/>
        </w:rPr>
        <w:t>INTRODUCTION</w:t>
      </w:r>
    </w:p>
    <w:p w14:paraId="6B7FB5E1" w14:textId="77777777" w:rsidR="00F951C6" w:rsidRPr="00FF0F8B" w:rsidRDefault="00F951C6" w:rsidP="00F951C6">
      <w:pPr>
        <w:jc w:val="both"/>
        <w:rPr>
          <w:rFonts w:ascii="Arial" w:hAnsi="Arial" w:cs="Arial"/>
          <w:sz w:val="20"/>
          <w:szCs w:val="20"/>
        </w:rPr>
      </w:pPr>
      <w:proofErr w:type="spellStart"/>
      <w:r w:rsidRPr="00FF0F8B">
        <w:rPr>
          <w:rFonts w:ascii="Arial" w:hAnsi="Arial" w:cs="Arial"/>
          <w:sz w:val="20"/>
          <w:szCs w:val="20"/>
        </w:rPr>
        <w:t>Diarrhoeal</w:t>
      </w:r>
      <w:proofErr w:type="spellEnd"/>
      <w:r w:rsidRPr="00FF0F8B">
        <w:rPr>
          <w:rFonts w:ascii="Arial" w:hAnsi="Arial" w:cs="Arial"/>
          <w:sz w:val="20"/>
          <w:szCs w:val="20"/>
        </w:rPr>
        <w:t xml:space="preserve"> diseases remain a major public health challenge globally, particularly among children under the age of five in developing countries. The World Health Organization (WHO, 2017) estimates that </w:t>
      </w:r>
      <w:proofErr w:type="spellStart"/>
      <w:r w:rsidRPr="00FF0F8B">
        <w:rPr>
          <w:rFonts w:ascii="Arial" w:hAnsi="Arial" w:cs="Arial"/>
          <w:sz w:val="20"/>
          <w:szCs w:val="20"/>
        </w:rPr>
        <w:t>diarrhoea</w:t>
      </w:r>
      <w:proofErr w:type="spellEnd"/>
      <w:r w:rsidRPr="00FF0F8B">
        <w:rPr>
          <w:rFonts w:ascii="Arial" w:hAnsi="Arial" w:cs="Arial"/>
          <w:sz w:val="20"/>
          <w:szCs w:val="20"/>
        </w:rPr>
        <w:t xml:space="preserve"> is responsible for approximately 480,000 deaths annually among children under five, making it the second leading cause of death in this age group after pneumonia. These deaths are largely preventable through cost-effective interventions, including improved hygiene, access to clean water, and vaccination.</w:t>
      </w:r>
    </w:p>
    <w:p w14:paraId="1D717C51" w14:textId="77777777" w:rsidR="00F951C6" w:rsidRPr="00FF0F8B" w:rsidRDefault="00F951C6" w:rsidP="00F951C6">
      <w:pPr>
        <w:jc w:val="both"/>
        <w:rPr>
          <w:rFonts w:ascii="Arial" w:hAnsi="Arial" w:cs="Arial"/>
          <w:sz w:val="20"/>
          <w:szCs w:val="20"/>
        </w:rPr>
      </w:pPr>
      <w:r w:rsidRPr="00FF0F8B">
        <w:rPr>
          <w:rFonts w:ascii="Arial" w:hAnsi="Arial" w:cs="Arial"/>
          <w:sz w:val="20"/>
          <w:szCs w:val="20"/>
        </w:rPr>
        <w:t xml:space="preserve">Among the numerous causative agents of </w:t>
      </w:r>
      <w:proofErr w:type="spellStart"/>
      <w:r w:rsidRPr="00FF0F8B">
        <w:rPr>
          <w:rFonts w:ascii="Arial" w:hAnsi="Arial" w:cs="Arial"/>
          <w:sz w:val="20"/>
          <w:szCs w:val="20"/>
        </w:rPr>
        <w:t>paediatric</w:t>
      </w:r>
      <w:proofErr w:type="spellEnd"/>
      <w:r w:rsidRPr="00FF0F8B">
        <w:rPr>
          <w:rFonts w:ascii="Arial" w:hAnsi="Arial" w:cs="Arial"/>
          <w:sz w:val="20"/>
          <w:szCs w:val="20"/>
        </w:rPr>
        <w:t xml:space="preserve"> </w:t>
      </w:r>
      <w:proofErr w:type="spellStart"/>
      <w:r w:rsidRPr="00FF0F8B">
        <w:rPr>
          <w:rFonts w:ascii="Arial" w:hAnsi="Arial" w:cs="Arial"/>
          <w:sz w:val="20"/>
          <w:szCs w:val="20"/>
        </w:rPr>
        <w:t>diarrhoea</w:t>
      </w:r>
      <w:proofErr w:type="spellEnd"/>
      <w:r w:rsidRPr="00FF0F8B">
        <w:rPr>
          <w:rFonts w:ascii="Arial" w:hAnsi="Arial" w:cs="Arial"/>
          <w:sz w:val="20"/>
          <w:szCs w:val="20"/>
        </w:rPr>
        <w:t xml:space="preserve">, rotavirus is widely recognized as the leading cause of severe and acute gastroenteritis in infants and young children (Tate et al., 2016). Rotavirus accounts for nearly 40% of hospitalizations for acute gastroenteritis in children below five years, especially </w:t>
      </w:r>
      <w:r w:rsidRPr="00FF0F8B">
        <w:rPr>
          <w:rFonts w:ascii="Arial" w:hAnsi="Arial" w:cs="Arial"/>
          <w:sz w:val="20"/>
          <w:szCs w:val="20"/>
        </w:rPr>
        <w:lastRenderedPageBreak/>
        <w:t>in low- and middle-income countries (Dennehy, 201</w:t>
      </w:r>
      <w:r>
        <w:rPr>
          <w:rFonts w:ascii="Arial" w:hAnsi="Arial" w:cs="Arial"/>
          <w:sz w:val="20"/>
          <w:szCs w:val="20"/>
        </w:rPr>
        <w:t>2</w:t>
      </w:r>
      <w:r w:rsidRPr="00FF0F8B">
        <w:rPr>
          <w:rFonts w:ascii="Arial" w:hAnsi="Arial" w:cs="Arial"/>
          <w:sz w:val="20"/>
          <w:szCs w:val="20"/>
        </w:rPr>
        <w:t xml:space="preserve">; Parashar et al., 2013). The virus is a non-enveloped, double-stranded RNA virus belonging to the family </w:t>
      </w:r>
      <w:r w:rsidRPr="00FF0F8B">
        <w:rPr>
          <w:rFonts w:ascii="Arial" w:hAnsi="Arial" w:cs="Arial"/>
          <w:i/>
          <w:iCs/>
          <w:sz w:val="20"/>
          <w:szCs w:val="20"/>
        </w:rPr>
        <w:t>Reoviridae</w:t>
      </w:r>
      <w:r w:rsidRPr="00FF0F8B">
        <w:rPr>
          <w:rFonts w:ascii="Arial" w:hAnsi="Arial" w:cs="Arial"/>
          <w:sz w:val="20"/>
          <w:szCs w:val="20"/>
        </w:rPr>
        <w:t xml:space="preserve"> and comprises several species, with Group A being the most common and clinically significant in humans (Crawford et al., 2017).</w:t>
      </w:r>
    </w:p>
    <w:p w14:paraId="25BAE168" w14:textId="5EF6F422" w:rsidR="00F951C6" w:rsidRPr="00FF0F8B" w:rsidRDefault="00F951C6" w:rsidP="00F951C6">
      <w:pPr>
        <w:jc w:val="both"/>
        <w:rPr>
          <w:rFonts w:ascii="Arial" w:hAnsi="Arial" w:cs="Arial"/>
          <w:sz w:val="20"/>
          <w:szCs w:val="20"/>
        </w:rPr>
      </w:pPr>
      <w:r w:rsidRPr="00FF0F8B">
        <w:rPr>
          <w:rFonts w:ascii="Arial" w:hAnsi="Arial" w:cs="Arial"/>
          <w:sz w:val="20"/>
          <w:szCs w:val="20"/>
        </w:rPr>
        <w:t xml:space="preserve">Rotavirus is primarily transmitted via the </w:t>
      </w:r>
      <w:proofErr w:type="spellStart"/>
      <w:r w:rsidRPr="00FF0F8B">
        <w:rPr>
          <w:rFonts w:ascii="Arial" w:hAnsi="Arial" w:cs="Arial"/>
          <w:sz w:val="20"/>
          <w:szCs w:val="20"/>
        </w:rPr>
        <w:t>faecal</w:t>
      </w:r>
      <w:proofErr w:type="spellEnd"/>
      <w:r w:rsidRPr="00FF0F8B">
        <w:rPr>
          <w:rFonts w:ascii="Arial" w:hAnsi="Arial" w:cs="Arial"/>
          <w:sz w:val="20"/>
          <w:szCs w:val="20"/>
        </w:rPr>
        <w:t xml:space="preserve">-oral route, through contaminated food, water, surfaces, or direct person-to-person contact. Following ingestion, the virus infects the enterocytes lining the small intestine, resulting in malabsorption, disruption of tight junctions, and secretory </w:t>
      </w:r>
      <w:proofErr w:type="spellStart"/>
      <w:r w:rsidRPr="00FF0F8B">
        <w:rPr>
          <w:rFonts w:ascii="Arial" w:hAnsi="Arial" w:cs="Arial"/>
          <w:sz w:val="20"/>
          <w:szCs w:val="20"/>
        </w:rPr>
        <w:t>diarrhoea</w:t>
      </w:r>
      <w:proofErr w:type="spellEnd"/>
      <w:r w:rsidRPr="00FF0F8B">
        <w:rPr>
          <w:rFonts w:ascii="Arial" w:hAnsi="Arial" w:cs="Arial"/>
          <w:sz w:val="20"/>
          <w:szCs w:val="20"/>
        </w:rPr>
        <w:t xml:space="preserve">. The characteristic triad of symptoms—watery </w:t>
      </w:r>
      <w:proofErr w:type="spellStart"/>
      <w:r w:rsidRPr="00FF0F8B">
        <w:rPr>
          <w:rFonts w:ascii="Arial" w:hAnsi="Arial" w:cs="Arial"/>
          <w:sz w:val="20"/>
          <w:szCs w:val="20"/>
        </w:rPr>
        <w:t>diarrhoea</w:t>
      </w:r>
      <w:proofErr w:type="spellEnd"/>
      <w:r w:rsidRPr="00FF0F8B">
        <w:rPr>
          <w:rFonts w:ascii="Arial" w:hAnsi="Arial" w:cs="Arial"/>
          <w:sz w:val="20"/>
          <w:szCs w:val="20"/>
        </w:rPr>
        <w:t>, vomiting, and fever—often leads to rapid dehydration, necessitating hospital admission, especially in infants.</w:t>
      </w:r>
    </w:p>
    <w:p w14:paraId="0D660C2E" w14:textId="77777777" w:rsidR="00F951C6" w:rsidRPr="00FF0F8B" w:rsidRDefault="00F951C6" w:rsidP="00F951C6">
      <w:pPr>
        <w:jc w:val="both"/>
        <w:rPr>
          <w:rFonts w:ascii="Arial" w:hAnsi="Arial" w:cs="Arial"/>
          <w:sz w:val="20"/>
          <w:szCs w:val="20"/>
        </w:rPr>
      </w:pPr>
      <w:r w:rsidRPr="00FF0F8B">
        <w:rPr>
          <w:rFonts w:ascii="Arial" w:hAnsi="Arial" w:cs="Arial"/>
          <w:sz w:val="20"/>
          <w:szCs w:val="20"/>
        </w:rPr>
        <w:t>Despite the ubiquity of infection—nearly all children are infected with rotavirus by the age of five—subsequent infections are typically less severe due to the development of mucosal immunity (Suleiman &amp; Usman, 2020; Dennehy, 201</w:t>
      </w:r>
      <w:r>
        <w:rPr>
          <w:rFonts w:ascii="Arial" w:hAnsi="Arial" w:cs="Arial"/>
          <w:sz w:val="20"/>
          <w:szCs w:val="20"/>
        </w:rPr>
        <w:t>2</w:t>
      </w:r>
      <w:r w:rsidRPr="00FF0F8B">
        <w:rPr>
          <w:rFonts w:ascii="Arial" w:hAnsi="Arial" w:cs="Arial"/>
          <w:sz w:val="20"/>
          <w:szCs w:val="20"/>
        </w:rPr>
        <w:t>). However, in many developing countries, repeated exposures, malnutrition, and limited access to timely healthcare contribute to sustained high morbidity and mortality from the virus (Walker et al., 2013).</w:t>
      </w:r>
    </w:p>
    <w:p w14:paraId="1EEDF96F" w14:textId="77777777" w:rsidR="00F951C6" w:rsidRPr="00FF0F8B" w:rsidRDefault="00F951C6" w:rsidP="00F951C6">
      <w:pPr>
        <w:jc w:val="both"/>
        <w:rPr>
          <w:rFonts w:ascii="Arial" w:hAnsi="Arial" w:cs="Arial"/>
          <w:sz w:val="20"/>
          <w:szCs w:val="20"/>
        </w:rPr>
      </w:pPr>
      <w:r w:rsidRPr="00FF0F8B">
        <w:rPr>
          <w:rFonts w:ascii="Arial" w:hAnsi="Arial" w:cs="Arial"/>
          <w:sz w:val="20"/>
          <w:szCs w:val="20"/>
        </w:rPr>
        <w:t xml:space="preserve">Nigeria introduced the rotavirus vaccine into its national immunization </w:t>
      </w:r>
      <w:proofErr w:type="spellStart"/>
      <w:r w:rsidRPr="00FF0F8B">
        <w:rPr>
          <w:rFonts w:ascii="Arial" w:hAnsi="Arial" w:cs="Arial"/>
          <w:sz w:val="20"/>
          <w:szCs w:val="20"/>
        </w:rPr>
        <w:t>programme</w:t>
      </w:r>
      <w:proofErr w:type="spellEnd"/>
      <w:r w:rsidRPr="00FF0F8B">
        <w:rPr>
          <w:rFonts w:ascii="Arial" w:hAnsi="Arial" w:cs="Arial"/>
          <w:sz w:val="20"/>
          <w:szCs w:val="20"/>
        </w:rPr>
        <w:t xml:space="preserve"> only recently, and vaccine coverage remains inconsistent across regions. A combination of challenges, including vaccine hesitancy, poor infrastructure, and limited public awareness, has hindered the attainment of optimal coverage levels (</w:t>
      </w:r>
      <w:r>
        <w:rPr>
          <w:rFonts w:ascii="Arial" w:hAnsi="Arial" w:cs="Arial"/>
          <w:sz w:val="20"/>
          <w:szCs w:val="20"/>
        </w:rPr>
        <w:t>Amos</w:t>
      </w:r>
      <w:r w:rsidRPr="00FF0F8B">
        <w:rPr>
          <w:rFonts w:ascii="Arial" w:hAnsi="Arial" w:cs="Arial"/>
          <w:sz w:val="20"/>
          <w:szCs w:val="20"/>
        </w:rPr>
        <w:t xml:space="preserve"> et al., 202</w:t>
      </w:r>
      <w:r>
        <w:rPr>
          <w:rFonts w:ascii="Arial" w:hAnsi="Arial" w:cs="Arial"/>
          <w:sz w:val="20"/>
          <w:szCs w:val="20"/>
        </w:rPr>
        <w:t>4</w:t>
      </w:r>
      <w:r w:rsidRPr="00FF0F8B">
        <w:rPr>
          <w:rFonts w:ascii="Arial" w:hAnsi="Arial" w:cs="Arial"/>
          <w:sz w:val="20"/>
          <w:szCs w:val="20"/>
        </w:rPr>
        <w:t>). As a result, the burden of rotavirus remains substantial. Local studies have highlighted persistently high infection rates, particularly in densely populated urban settings with poor sanitation and inadequate water supply (</w:t>
      </w:r>
      <w:proofErr w:type="spellStart"/>
      <w:r w:rsidRPr="0025026B">
        <w:rPr>
          <w:rFonts w:ascii="Arial" w:hAnsi="Arial" w:cs="Arial"/>
          <w:sz w:val="20"/>
          <w:szCs w:val="20"/>
        </w:rPr>
        <w:t>Digwo</w:t>
      </w:r>
      <w:proofErr w:type="spellEnd"/>
      <w:r w:rsidRPr="0025026B">
        <w:rPr>
          <w:rFonts w:ascii="Arial" w:hAnsi="Arial" w:cs="Arial"/>
          <w:sz w:val="20"/>
          <w:szCs w:val="20"/>
        </w:rPr>
        <w:t xml:space="preserve"> </w:t>
      </w:r>
      <w:r w:rsidRPr="00FF0F8B">
        <w:rPr>
          <w:rFonts w:ascii="Arial" w:hAnsi="Arial" w:cs="Arial"/>
          <w:sz w:val="20"/>
          <w:szCs w:val="20"/>
        </w:rPr>
        <w:t xml:space="preserve">et al., 2023). For instance, Suleiman and </w:t>
      </w:r>
      <w:proofErr w:type="spellStart"/>
      <w:r w:rsidRPr="00FF0F8B">
        <w:rPr>
          <w:rFonts w:ascii="Arial" w:hAnsi="Arial" w:cs="Arial"/>
          <w:sz w:val="20"/>
          <w:szCs w:val="20"/>
        </w:rPr>
        <w:t>Dutsinma</w:t>
      </w:r>
      <w:proofErr w:type="spellEnd"/>
      <w:r w:rsidRPr="00FF0F8B">
        <w:rPr>
          <w:rFonts w:ascii="Arial" w:hAnsi="Arial" w:cs="Arial"/>
          <w:sz w:val="20"/>
          <w:szCs w:val="20"/>
        </w:rPr>
        <w:t xml:space="preserve"> (2020) reported a 28% prevalence of rotavirus infection among children presenting with </w:t>
      </w:r>
      <w:proofErr w:type="spellStart"/>
      <w:r w:rsidRPr="00FF0F8B">
        <w:rPr>
          <w:rFonts w:ascii="Arial" w:hAnsi="Arial" w:cs="Arial"/>
          <w:sz w:val="20"/>
          <w:szCs w:val="20"/>
        </w:rPr>
        <w:t>diarrhoea</w:t>
      </w:r>
      <w:proofErr w:type="spellEnd"/>
      <w:r w:rsidRPr="00FF0F8B">
        <w:rPr>
          <w:rFonts w:ascii="Arial" w:hAnsi="Arial" w:cs="Arial"/>
          <w:sz w:val="20"/>
          <w:szCs w:val="20"/>
        </w:rPr>
        <w:t xml:space="preserve"> at </w:t>
      </w:r>
      <w:proofErr w:type="spellStart"/>
      <w:r w:rsidRPr="00FF0F8B">
        <w:rPr>
          <w:rFonts w:ascii="Arial" w:hAnsi="Arial" w:cs="Arial"/>
          <w:sz w:val="20"/>
          <w:szCs w:val="20"/>
        </w:rPr>
        <w:t>Hasiya</w:t>
      </w:r>
      <w:proofErr w:type="spellEnd"/>
      <w:r w:rsidRPr="00FF0F8B">
        <w:rPr>
          <w:rFonts w:ascii="Arial" w:hAnsi="Arial" w:cs="Arial"/>
          <w:sz w:val="20"/>
          <w:szCs w:val="20"/>
        </w:rPr>
        <w:t xml:space="preserve"> </w:t>
      </w:r>
      <w:proofErr w:type="spellStart"/>
      <w:r w:rsidRPr="00FF0F8B">
        <w:rPr>
          <w:rFonts w:ascii="Arial" w:hAnsi="Arial" w:cs="Arial"/>
          <w:sz w:val="20"/>
          <w:szCs w:val="20"/>
        </w:rPr>
        <w:t>Bayero</w:t>
      </w:r>
      <w:proofErr w:type="spellEnd"/>
      <w:r w:rsidRPr="00FF0F8B">
        <w:rPr>
          <w:rFonts w:ascii="Arial" w:hAnsi="Arial" w:cs="Arial"/>
          <w:sz w:val="20"/>
          <w:szCs w:val="20"/>
        </w:rPr>
        <w:t xml:space="preserve"> Pediatric Hospital in Kano, Northern Nigeria.</w:t>
      </w:r>
    </w:p>
    <w:p w14:paraId="2A86DE0F" w14:textId="77777777" w:rsidR="00F951C6" w:rsidRPr="00FF0F8B" w:rsidRDefault="00F951C6" w:rsidP="00F951C6">
      <w:pPr>
        <w:jc w:val="both"/>
        <w:rPr>
          <w:rFonts w:ascii="Arial" w:hAnsi="Arial" w:cs="Arial"/>
          <w:sz w:val="20"/>
          <w:szCs w:val="20"/>
        </w:rPr>
      </w:pPr>
      <w:r w:rsidRPr="00FF0F8B">
        <w:rPr>
          <w:rFonts w:ascii="Arial" w:hAnsi="Arial" w:cs="Arial"/>
          <w:sz w:val="20"/>
          <w:szCs w:val="20"/>
        </w:rPr>
        <w:t xml:space="preserve">Understanding the socio-demographic and environmental factors influencing rotavirus transmission is essential for tailoring public health interventions. In urban </w:t>
      </w:r>
      <w:proofErr w:type="spellStart"/>
      <w:r w:rsidRPr="00FF0F8B">
        <w:rPr>
          <w:rFonts w:ascii="Arial" w:hAnsi="Arial" w:cs="Arial"/>
          <w:sz w:val="20"/>
          <w:szCs w:val="20"/>
        </w:rPr>
        <w:t>centres</w:t>
      </w:r>
      <w:proofErr w:type="spellEnd"/>
      <w:r w:rsidRPr="00FF0F8B">
        <w:rPr>
          <w:rFonts w:ascii="Arial" w:hAnsi="Arial" w:cs="Arial"/>
          <w:sz w:val="20"/>
          <w:szCs w:val="20"/>
        </w:rPr>
        <w:t xml:space="preserve"> such as Abuja Municipal Area Council (AMAC), where varying socio-economic conditions exist side by side, the interplay of maternal education, hygiene practices, water quality, and feeding </w:t>
      </w:r>
      <w:proofErr w:type="spellStart"/>
      <w:r w:rsidRPr="00FF0F8B">
        <w:rPr>
          <w:rFonts w:ascii="Arial" w:hAnsi="Arial" w:cs="Arial"/>
          <w:sz w:val="20"/>
          <w:szCs w:val="20"/>
        </w:rPr>
        <w:t>behaviours</w:t>
      </w:r>
      <w:proofErr w:type="spellEnd"/>
      <w:r w:rsidRPr="00FF0F8B">
        <w:rPr>
          <w:rFonts w:ascii="Arial" w:hAnsi="Arial" w:cs="Arial"/>
          <w:sz w:val="20"/>
          <w:szCs w:val="20"/>
        </w:rPr>
        <w:t xml:space="preserve"> may significantly influence infection dynamics.</w:t>
      </w:r>
    </w:p>
    <w:p w14:paraId="1301AAE9" w14:textId="77777777" w:rsidR="00F951C6" w:rsidRPr="00FF0F8B" w:rsidRDefault="00F951C6" w:rsidP="00F951C6">
      <w:pPr>
        <w:jc w:val="both"/>
        <w:rPr>
          <w:rFonts w:ascii="Arial" w:hAnsi="Arial" w:cs="Arial"/>
          <w:sz w:val="20"/>
          <w:szCs w:val="20"/>
        </w:rPr>
      </w:pPr>
      <w:r w:rsidRPr="00FF0F8B">
        <w:rPr>
          <w:rFonts w:ascii="Arial" w:hAnsi="Arial" w:cs="Arial"/>
          <w:sz w:val="20"/>
          <w:szCs w:val="20"/>
        </w:rPr>
        <w:t xml:space="preserve">This study was therefore designed to assess the occurrence of rotavirus infection and to explore the association between socio-demographic risk factors and rotavirus </w:t>
      </w:r>
      <w:proofErr w:type="spellStart"/>
      <w:r w:rsidRPr="00FF0F8B">
        <w:rPr>
          <w:rFonts w:ascii="Arial" w:hAnsi="Arial" w:cs="Arial"/>
          <w:sz w:val="20"/>
          <w:szCs w:val="20"/>
        </w:rPr>
        <w:t>diarrhoea</w:t>
      </w:r>
      <w:proofErr w:type="spellEnd"/>
      <w:r w:rsidRPr="00FF0F8B">
        <w:rPr>
          <w:rFonts w:ascii="Arial" w:hAnsi="Arial" w:cs="Arial"/>
          <w:sz w:val="20"/>
          <w:szCs w:val="20"/>
        </w:rPr>
        <w:t xml:space="preserve"> in children under five years presenting with acute </w:t>
      </w:r>
      <w:proofErr w:type="spellStart"/>
      <w:r w:rsidRPr="00FF0F8B">
        <w:rPr>
          <w:rFonts w:ascii="Arial" w:hAnsi="Arial" w:cs="Arial"/>
          <w:sz w:val="20"/>
          <w:szCs w:val="20"/>
        </w:rPr>
        <w:t>diarrhoea</w:t>
      </w:r>
      <w:proofErr w:type="spellEnd"/>
      <w:r w:rsidRPr="00FF0F8B">
        <w:rPr>
          <w:rFonts w:ascii="Arial" w:hAnsi="Arial" w:cs="Arial"/>
          <w:sz w:val="20"/>
          <w:szCs w:val="20"/>
        </w:rPr>
        <w:t xml:space="preserve"> in AMAC, Federal Capital Territory (FCT), Nigeria. Findings from this study are expected to inform local policies on child health, vaccine delivery, and community-based hygiene promotion.</w:t>
      </w:r>
    </w:p>
    <w:p w14:paraId="42066EBB" w14:textId="77777777" w:rsidR="00F951C6" w:rsidRPr="00FF0F8B" w:rsidRDefault="00F951C6" w:rsidP="00F951C6">
      <w:pPr>
        <w:jc w:val="both"/>
      </w:pPr>
    </w:p>
    <w:p w14:paraId="0BD2DDB8" w14:textId="77777777" w:rsidR="00F951C6" w:rsidRPr="00FF0F8B" w:rsidRDefault="00F951C6" w:rsidP="00F951C6">
      <w:pPr>
        <w:jc w:val="both"/>
      </w:pPr>
    </w:p>
    <w:p w14:paraId="339090E5" w14:textId="77777777" w:rsidR="00F951C6" w:rsidRPr="00FF0F8B" w:rsidRDefault="00F951C6" w:rsidP="00F951C6">
      <w:pPr>
        <w:jc w:val="both"/>
        <w:rPr>
          <w:rFonts w:ascii="Arial" w:hAnsi="Arial" w:cs="Arial"/>
          <w:b/>
          <w:bCs/>
          <w:sz w:val="22"/>
          <w:szCs w:val="22"/>
        </w:rPr>
      </w:pPr>
      <w:r w:rsidRPr="00FF0F8B">
        <w:rPr>
          <w:rFonts w:ascii="Arial" w:hAnsi="Arial" w:cs="Arial"/>
          <w:b/>
          <w:bCs/>
          <w:sz w:val="22"/>
          <w:szCs w:val="22"/>
        </w:rPr>
        <w:t>2. MATERIALS AND METHODS</w:t>
      </w:r>
    </w:p>
    <w:p w14:paraId="4C136BBF" w14:textId="77777777" w:rsidR="00F951C6" w:rsidRPr="00B25C2C" w:rsidRDefault="00F951C6" w:rsidP="00F951C6">
      <w:pPr>
        <w:pStyle w:val="Heading2"/>
        <w:rPr>
          <w:rFonts w:ascii="Arial" w:hAnsi="Arial" w:cs="Arial"/>
          <w:b/>
          <w:bCs/>
          <w:color w:val="auto"/>
          <w:sz w:val="20"/>
          <w:szCs w:val="20"/>
        </w:rPr>
      </w:pPr>
      <w:r w:rsidRPr="00B25C2C">
        <w:rPr>
          <w:rFonts w:ascii="Arial" w:hAnsi="Arial" w:cs="Arial"/>
          <w:b/>
          <w:bCs/>
          <w:color w:val="auto"/>
          <w:sz w:val="20"/>
          <w:szCs w:val="20"/>
        </w:rPr>
        <w:t>2.1 Study Area</w:t>
      </w:r>
    </w:p>
    <w:p w14:paraId="20194DF6" w14:textId="77777777" w:rsidR="00F951C6" w:rsidRDefault="00F951C6" w:rsidP="00F951C6">
      <w:pPr>
        <w:jc w:val="both"/>
        <w:rPr>
          <w:rFonts w:ascii="Arial" w:hAnsi="Arial" w:cs="Arial"/>
          <w:sz w:val="20"/>
          <w:szCs w:val="20"/>
        </w:rPr>
      </w:pPr>
      <w:r w:rsidRPr="00FF0F8B">
        <w:rPr>
          <w:rFonts w:ascii="Arial" w:hAnsi="Arial" w:cs="Arial"/>
          <w:sz w:val="20"/>
          <w:szCs w:val="20"/>
        </w:rPr>
        <w:t xml:space="preserve">The study was conducted in Abuja Municipal Area Council (AMAC). </w:t>
      </w:r>
      <w:r w:rsidRPr="00A61734">
        <w:rPr>
          <w:rFonts w:ascii="Arial" w:hAnsi="Arial" w:cs="Arial"/>
          <w:sz w:val="20"/>
          <w:szCs w:val="20"/>
        </w:rPr>
        <w:t>Abuja, the capital territory of the Federal Republic of Nigeria, is located within 9.07</w:t>
      </w:r>
      <w:r w:rsidRPr="00A61734">
        <w:rPr>
          <w:rFonts w:ascii="Arial" w:hAnsi="Arial" w:cs="Arial"/>
          <w:sz w:val="20"/>
          <w:szCs w:val="20"/>
          <w:vertAlign w:val="superscript"/>
        </w:rPr>
        <w:t>o</w:t>
      </w:r>
      <w:r w:rsidRPr="00A61734">
        <w:rPr>
          <w:rFonts w:ascii="Arial" w:hAnsi="Arial" w:cs="Arial"/>
          <w:sz w:val="20"/>
          <w:szCs w:val="20"/>
        </w:rPr>
        <w:t>N and 7.6</w:t>
      </w:r>
      <w:r w:rsidRPr="00A61734">
        <w:rPr>
          <w:rFonts w:ascii="Arial" w:hAnsi="Arial" w:cs="Arial"/>
          <w:sz w:val="20"/>
          <w:szCs w:val="20"/>
          <w:vertAlign w:val="superscript"/>
        </w:rPr>
        <w:t>o</w:t>
      </w:r>
      <w:r w:rsidRPr="00A61734">
        <w:rPr>
          <w:rFonts w:ascii="Arial" w:hAnsi="Arial" w:cs="Arial"/>
          <w:sz w:val="20"/>
          <w:szCs w:val="20"/>
        </w:rPr>
        <w:t>E occupying 1769sqkm (</w:t>
      </w:r>
      <w:proofErr w:type="spellStart"/>
      <w:r w:rsidRPr="00A61734">
        <w:rPr>
          <w:rFonts w:ascii="Arial" w:hAnsi="Arial" w:cs="Arial"/>
          <w:sz w:val="20"/>
          <w:szCs w:val="20"/>
        </w:rPr>
        <w:t>Orisakwe</w:t>
      </w:r>
      <w:proofErr w:type="spellEnd"/>
      <w:r w:rsidRPr="00A61734">
        <w:rPr>
          <w:rFonts w:ascii="Arial" w:hAnsi="Arial" w:cs="Arial"/>
          <w:sz w:val="20"/>
          <w:szCs w:val="20"/>
        </w:rPr>
        <w:t xml:space="preserve"> et al., 2017). </w:t>
      </w:r>
      <w:r>
        <w:rPr>
          <w:rFonts w:ascii="Arial" w:hAnsi="Arial" w:cs="Arial"/>
          <w:sz w:val="20"/>
          <w:szCs w:val="20"/>
        </w:rPr>
        <w:t>O</w:t>
      </w:r>
      <w:r w:rsidRPr="00FF0F8B">
        <w:rPr>
          <w:rFonts w:ascii="Arial" w:hAnsi="Arial" w:cs="Arial"/>
          <w:sz w:val="20"/>
          <w:szCs w:val="20"/>
        </w:rPr>
        <w:t>ne of the six administrative area councils in Nigeria’s Federal Capital Territory (FCT). AMAC encompasses the city of Abuja and surrounding suburbs, with a population estimated at over 1.4 million people. It is characterized by a heterogeneous population with varied socio-economic backgrounds, which include civil servants, artisans, traders, and rural settlers</w:t>
      </w:r>
      <w:r>
        <w:rPr>
          <w:rFonts w:ascii="Arial" w:hAnsi="Arial" w:cs="Arial"/>
          <w:sz w:val="20"/>
          <w:szCs w:val="20"/>
        </w:rPr>
        <w:t xml:space="preserve">. </w:t>
      </w:r>
      <w:r w:rsidRPr="00A61734">
        <w:rPr>
          <w:rFonts w:ascii="Arial" w:hAnsi="Arial" w:cs="Arial"/>
          <w:sz w:val="20"/>
          <w:szCs w:val="20"/>
        </w:rPr>
        <w:t xml:space="preserve">The hospitals that were be used in this study includes; National Hospital, </w:t>
      </w:r>
      <w:proofErr w:type="spellStart"/>
      <w:r w:rsidRPr="00A61734">
        <w:rPr>
          <w:rFonts w:ascii="Arial" w:hAnsi="Arial" w:cs="Arial"/>
          <w:sz w:val="20"/>
          <w:szCs w:val="20"/>
        </w:rPr>
        <w:t>Garki</w:t>
      </w:r>
      <w:proofErr w:type="spellEnd"/>
      <w:r w:rsidRPr="00A61734">
        <w:rPr>
          <w:rFonts w:ascii="Arial" w:hAnsi="Arial" w:cs="Arial"/>
          <w:sz w:val="20"/>
          <w:szCs w:val="20"/>
        </w:rPr>
        <w:t xml:space="preserve"> General Hospital and Federal Medical Centre, Abuja.</w:t>
      </w:r>
    </w:p>
    <w:p w14:paraId="05D0AC77" w14:textId="77777777" w:rsidR="00F951C6" w:rsidRPr="00B25C2C" w:rsidRDefault="00F951C6" w:rsidP="00F951C6">
      <w:pPr>
        <w:pStyle w:val="Heading2"/>
        <w:rPr>
          <w:rFonts w:ascii="Arial" w:hAnsi="Arial" w:cs="Arial"/>
          <w:b/>
          <w:bCs/>
          <w:color w:val="auto"/>
          <w:sz w:val="20"/>
          <w:szCs w:val="20"/>
        </w:rPr>
      </w:pPr>
      <w:r w:rsidRPr="00B25C2C">
        <w:rPr>
          <w:rFonts w:ascii="Arial" w:hAnsi="Arial" w:cs="Arial"/>
          <w:b/>
          <w:bCs/>
          <w:color w:val="auto"/>
          <w:sz w:val="20"/>
          <w:szCs w:val="20"/>
        </w:rPr>
        <w:lastRenderedPageBreak/>
        <w:t>2.2 Study Design and Population</w:t>
      </w:r>
    </w:p>
    <w:p w14:paraId="3174F965" w14:textId="77777777" w:rsidR="00F951C6" w:rsidRPr="00FF0F8B" w:rsidRDefault="00F951C6" w:rsidP="00F951C6">
      <w:pPr>
        <w:jc w:val="both"/>
        <w:rPr>
          <w:rFonts w:ascii="Arial" w:hAnsi="Arial" w:cs="Arial"/>
          <w:sz w:val="20"/>
          <w:szCs w:val="20"/>
        </w:rPr>
      </w:pPr>
      <w:r w:rsidRPr="00FF0F8B">
        <w:rPr>
          <w:rFonts w:ascii="Arial" w:hAnsi="Arial" w:cs="Arial"/>
          <w:sz w:val="20"/>
          <w:szCs w:val="20"/>
        </w:rPr>
        <w:t xml:space="preserve">This was a cross-sectional, hospital-based study targeting children aged 0–59 months who presented with acute </w:t>
      </w:r>
      <w:proofErr w:type="spellStart"/>
      <w:r w:rsidRPr="00FF0F8B">
        <w:rPr>
          <w:rFonts w:ascii="Arial" w:hAnsi="Arial" w:cs="Arial"/>
          <w:sz w:val="20"/>
          <w:szCs w:val="20"/>
        </w:rPr>
        <w:t>diarrhoea</w:t>
      </w:r>
      <w:proofErr w:type="spellEnd"/>
      <w:r w:rsidRPr="00FF0F8B">
        <w:rPr>
          <w:rFonts w:ascii="Arial" w:hAnsi="Arial" w:cs="Arial"/>
          <w:sz w:val="20"/>
          <w:szCs w:val="20"/>
        </w:rPr>
        <w:t xml:space="preserve"> at selected public and private hospitals within AMAC. Acute </w:t>
      </w:r>
      <w:proofErr w:type="spellStart"/>
      <w:r w:rsidRPr="00FF0F8B">
        <w:rPr>
          <w:rFonts w:ascii="Arial" w:hAnsi="Arial" w:cs="Arial"/>
          <w:sz w:val="20"/>
          <w:szCs w:val="20"/>
        </w:rPr>
        <w:t>diarrhoea</w:t>
      </w:r>
      <w:proofErr w:type="spellEnd"/>
      <w:r w:rsidRPr="00FF0F8B">
        <w:rPr>
          <w:rFonts w:ascii="Arial" w:hAnsi="Arial" w:cs="Arial"/>
          <w:sz w:val="20"/>
          <w:szCs w:val="20"/>
        </w:rPr>
        <w:t xml:space="preserve"> was defined, based on WHO guidelines, as the passage of three or more loose or watery stools within a 24-hour period lasting for less than 14 days (WHO, 2017). Inclusion criteria were children presenting with acute </w:t>
      </w:r>
      <w:proofErr w:type="spellStart"/>
      <w:r w:rsidRPr="00FF0F8B">
        <w:rPr>
          <w:rFonts w:ascii="Arial" w:hAnsi="Arial" w:cs="Arial"/>
          <w:sz w:val="20"/>
          <w:szCs w:val="20"/>
        </w:rPr>
        <w:t>diarrhoea</w:t>
      </w:r>
      <w:proofErr w:type="spellEnd"/>
      <w:r w:rsidRPr="00FF0F8B">
        <w:rPr>
          <w:rFonts w:ascii="Arial" w:hAnsi="Arial" w:cs="Arial"/>
          <w:sz w:val="20"/>
          <w:szCs w:val="20"/>
        </w:rPr>
        <w:t xml:space="preserve"> whose parents or guardians gave informed consent. Exclusion criteria included children who had taken antibiotics or probiotics in the past seven days, and those with chronic </w:t>
      </w:r>
      <w:proofErr w:type="spellStart"/>
      <w:r w:rsidRPr="00FF0F8B">
        <w:rPr>
          <w:rFonts w:ascii="Arial" w:hAnsi="Arial" w:cs="Arial"/>
          <w:sz w:val="20"/>
          <w:szCs w:val="20"/>
        </w:rPr>
        <w:t>diarrhoeal</w:t>
      </w:r>
      <w:proofErr w:type="spellEnd"/>
      <w:r w:rsidRPr="00FF0F8B">
        <w:rPr>
          <w:rFonts w:ascii="Arial" w:hAnsi="Arial" w:cs="Arial"/>
          <w:sz w:val="20"/>
          <w:szCs w:val="20"/>
        </w:rPr>
        <w:t xml:space="preserve"> conditions or other underlying severe illnesses.</w:t>
      </w:r>
    </w:p>
    <w:p w14:paraId="6F9058F4" w14:textId="77777777" w:rsidR="00F951C6" w:rsidRPr="00B9308B" w:rsidRDefault="00F951C6" w:rsidP="00F951C6">
      <w:pPr>
        <w:pStyle w:val="Heading2"/>
        <w:rPr>
          <w:rFonts w:ascii="Arial" w:hAnsi="Arial" w:cs="Arial"/>
          <w:b/>
          <w:bCs/>
          <w:color w:val="auto"/>
          <w:sz w:val="20"/>
          <w:szCs w:val="20"/>
        </w:rPr>
      </w:pPr>
      <w:r w:rsidRPr="00B9308B">
        <w:rPr>
          <w:rFonts w:ascii="Arial" w:hAnsi="Arial" w:cs="Arial"/>
          <w:b/>
          <w:bCs/>
          <w:color w:val="auto"/>
          <w:sz w:val="20"/>
          <w:szCs w:val="20"/>
        </w:rPr>
        <w:t>2.3 Sample Size Determination</w:t>
      </w:r>
    </w:p>
    <w:p w14:paraId="0FB16A80" w14:textId="77777777" w:rsidR="00F951C6" w:rsidRPr="00FF0F8B" w:rsidRDefault="00F951C6" w:rsidP="00F951C6">
      <w:pPr>
        <w:jc w:val="both"/>
        <w:rPr>
          <w:rFonts w:ascii="Arial" w:hAnsi="Arial" w:cs="Arial"/>
          <w:sz w:val="20"/>
          <w:szCs w:val="20"/>
        </w:rPr>
      </w:pPr>
      <w:r w:rsidRPr="00B25C2C">
        <w:rPr>
          <w:rFonts w:ascii="Arial" w:hAnsi="Arial" w:cs="Arial"/>
          <w:sz w:val="20"/>
          <w:szCs w:val="20"/>
        </w:rPr>
        <w:t xml:space="preserve">The occurrence of Rotavirus among children 5 years and below with </w:t>
      </w:r>
      <w:proofErr w:type="spellStart"/>
      <w:r w:rsidRPr="00B25C2C">
        <w:rPr>
          <w:rFonts w:ascii="Arial" w:hAnsi="Arial" w:cs="Arial"/>
          <w:sz w:val="20"/>
          <w:szCs w:val="20"/>
        </w:rPr>
        <w:t>diarrheoa</w:t>
      </w:r>
      <w:proofErr w:type="spellEnd"/>
      <w:r w:rsidRPr="00B25C2C">
        <w:rPr>
          <w:rFonts w:ascii="Arial" w:hAnsi="Arial" w:cs="Arial"/>
          <w:sz w:val="20"/>
          <w:szCs w:val="20"/>
        </w:rPr>
        <w:t xml:space="preserve"> in Gwagwalada, Abuja has been hypothesized to be approximately 15% (Adebola et al., 2014). To obtain the same prevalence with an error of 5% and 955 confidence level, the minimum estimated sample size was 196 using Open EPI V. 23, although 200 samples were collected.</w:t>
      </w:r>
    </w:p>
    <w:p w14:paraId="6667997A" w14:textId="6CFECC84" w:rsidR="00F951C6" w:rsidRPr="00B9308B" w:rsidRDefault="00F951C6" w:rsidP="00F951C6">
      <w:pPr>
        <w:pStyle w:val="Heading2"/>
        <w:rPr>
          <w:rFonts w:ascii="Arial" w:hAnsi="Arial" w:cs="Arial"/>
          <w:b/>
          <w:bCs/>
          <w:color w:val="auto"/>
          <w:sz w:val="20"/>
          <w:szCs w:val="20"/>
        </w:rPr>
      </w:pPr>
      <w:r w:rsidRPr="00B9308B">
        <w:rPr>
          <w:rFonts w:ascii="Arial" w:hAnsi="Arial" w:cs="Arial"/>
          <w:b/>
          <w:bCs/>
          <w:color w:val="auto"/>
          <w:sz w:val="20"/>
          <w:szCs w:val="20"/>
        </w:rPr>
        <w:t>2.</w:t>
      </w:r>
      <w:r w:rsidR="008E5B34">
        <w:rPr>
          <w:rFonts w:ascii="Arial" w:hAnsi="Arial" w:cs="Arial"/>
          <w:b/>
          <w:bCs/>
          <w:color w:val="auto"/>
          <w:sz w:val="20"/>
          <w:szCs w:val="20"/>
        </w:rPr>
        <w:t>4</w:t>
      </w:r>
      <w:r w:rsidRPr="00B9308B">
        <w:rPr>
          <w:rFonts w:ascii="Arial" w:hAnsi="Arial" w:cs="Arial"/>
          <w:b/>
          <w:bCs/>
          <w:color w:val="auto"/>
          <w:sz w:val="20"/>
          <w:szCs w:val="20"/>
        </w:rPr>
        <w:t xml:space="preserve"> Sample Collection and Laboratory Analysis</w:t>
      </w:r>
    </w:p>
    <w:p w14:paraId="2F77D701" w14:textId="77777777" w:rsidR="00F951C6" w:rsidRPr="00FF0F8B" w:rsidRDefault="00F951C6" w:rsidP="00F951C6">
      <w:pPr>
        <w:jc w:val="both"/>
        <w:rPr>
          <w:rFonts w:ascii="Arial" w:hAnsi="Arial" w:cs="Arial"/>
          <w:sz w:val="20"/>
          <w:szCs w:val="20"/>
        </w:rPr>
      </w:pPr>
      <w:r w:rsidRPr="00FF0F8B">
        <w:rPr>
          <w:rFonts w:ascii="Arial" w:hAnsi="Arial" w:cs="Arial"/>
          <w:sz w:val="20"/>
          <w:szCs w:val="20"/>
        </w:rPr>
        <w:t>Fresh stool samples were collected from eligible children using sterile wide-mouthed, leak-proof containers and immediately labeled with unique identifiers. The samples were transported on ice (2–8°C) to the Microbiology Laboratory of IBB University within 6 hours of collection. Detection of Group A rotavirus antigens was conducted using a commercial Enzyme-Linked Immunosorbent Assay (ELISA) kit (Generic Assay, Germany), following the manufacturer’s protocol. The ELISA method is highly sensitive and specific for rotavirus detection, with a reported sensitivity of 93.4% and specificity of 98.1% (Patel et al., 2013). Positive and negative controls were included in each assay run.</w:t>
      </w:r>
    </w:p>
    <w:p w14:paraId="23801A9B" w14:textId="33FA5675" w:rsidR="00F951C6" w:rsidRPr="00B9308B" w:rsidRDefault="00F951C6" w:rsidP="00F951C6">
      <w:pPr>
        <w:pStyle w:val="Heading2"/>
        <w:rPr>
          <w:rFonts w:ascii="Arial" w:hAnsi="Arial" w:cs="Arial"/>
          <w:b/>
          <w:bCs/>
          <w:color w:val="auto"/>
          <w:sz w:val="20"/>
          <w:szCs w:val="20"/>
        </w:rPr>
      </w:pPr>
      <w:r w:rsidRPr="00B9308B">
        <w:rPr>
          <w:rFonts w:ascii="Arial" w:hAnsi="Arial" w:cs="Arial"/>
          <w:b/>
          <w:bCs/>
          <w:color w:val="auto"/>
          <w:sz w:val="20"/>
          <w:szCs w:val="20"/>
        </w:rPr>
        <w:t>2.</w:t>
      </w:r>
      <w:r w:rsidR="008E5B34">
        <w:rPr>
          <w:rFonts w:ascii="Arial" w:hAnsi="Arial" w:cs="Arial"/>
          <w:b/>
          <w:bCs/>
          <w:color w:val="auto"/>
          <w:sz w:val="20"/>
          <w:szCs w:val="20"/>
        </w:rPr>
        <w:t>5</w:t>
      </w:r>
      <w:r w:rsidRPr="00B9308B">
        <w:rPr>
          <w:rFonts w:ascii="Arial" w:hAnsi="Arial" w:cs="Arial"/>
          <w:b/>
          <w:bCs/>
          <w:color w:val="auto"/>
          <w:sz w:val="20"/>
          <w:szCs w:val="20"/>
        </w:rPr>
        <w:t xml:space="preserve"> Socio-demographic Data Collection</w:t>
      </w:r>
    </w:p>
    <w:p w14:paraId="04896C9A" w14:textId="77777777" w:rsidR="00F951C6" w:rsidRPr="00FF0F8B" w:rsidRDefault="00F951C6" w:rsidP="00F951C6">
      <w:pPr>
        <w:jc w:val="both"/>
        <w:rPr>
          <w:rFonts w:ascii="Arial" w:hAnsi="Arial" w:cs="Arial"/>
          <w:sz w:val="20"/>
          <w:szCs w:val="20"/>
        </w:rPr>
      </w:pPr>
      <w:r w:rsidRPr="00FF0F8B">
        <w:rPr>
          <w:rFonts w:ascii="Arial" w:hAnsi="Arial" w:cs="Arial"/>
          <w:sz w:val="20"/>
          <w:szCs w:val="20"/>
        </w:rPr>
        <w:t>Caregivers were interviewed using a structured, pre-tested questionnaire to obtain data on the child’s demographic characteristics (age, sex, feeding history), maternal factors (age, education level, occupation), environmental and hygiene-related variables (source of drinking water, water storage practices, handwashing behavior), and sanitation practices. The questionnaire was administered in English or Hausa, depending on caregiver preference, by trained field assistants.</w:t>
      </w:r>
    </w:p>
    <w:p w14:paraId="2717FD94" w14:textId="41DDCB99" w:rsidR="00F951C6" w:rsidRPr="00B9308B" w:rsidRDefault="00F951C6" w:rsidP="00F951C6">
      <w:pPr>
        <w:pStyle w:val="Heading2"/>
        <w:rPr>
          <w:rFonts w:ascii="Arial" w:hAnsi="Arial" w:cs="Arial"/>
          <w:b/>
          <w:bCs/>
          <w:color w:val="auto"/>
          <w:sz w:val="20"/>
          <w:szCs w:val="20"/>
        </w:rPr>
      </w:pPr>
      <w:r w:rsidRPr="00B9308B">
        <w:rPr>
          <w:rFonts w:ascii="Arial" w:hAnsi="Arial" w:cs="Arial"/>
          <w:b/>
          <w:bCs/>
          <w:color w:val="auto"/>
          <w:sz w:val="20"/>
          <w:szCs w:val="20"/>
        </w:rPr>
        <w:t>2.</w:t>
      </w:r>
      <w:r w:rsidR="008E5B34">
        <w:rPr>
          <w:rFonts w:ascii="Arial" w:hAnsi="Arial" w:cs="Arial"/>
          <w:b/>
          <w:bCs/>
          <w:color w:val="auto"/>
          <w:sz w:val="20"/>
          <w:szCs w:val="20"/>
        </w:rPr>
        <w:t>6</w:t>
      </w:r>
      <w:r w:rsidRPr="00B9308B">
        <w:rPr>
          <w:rFonts w:ascii="Arial" w:hAnsi="Arial" w:cs="Arial"/>
          <w:b/>
          <w:bCs/>
          <w:color w:val="auto"/>
          <w:sz w:val="20"/>
          <w:szCs w:val="20"/>
        </w:rPr>
        <w:t xml:space="preserve"> Data Analysis</w:t>
      </w:r>
    </w:p>
    <w:p w14:paraId="5E67E1FE" w14:textId="77777777" w:rsidR="00F951C6" w:rsidRPr="00FF0F8B" w:rsidRDefault="00F951C6" w:rsidP="00F951C6">
      <w:pPr>
        <w:jc w:val="both"/>
        <w:rPr>
          <w:rFonts w:ascii="Arial" w:hAnsi="Arial" w:cs="Arial"/>
          <w:sz w:val="20"/>
          <w:szCs w:val="20"/>
        </w:rPr>
      </w:pPr>
      <w:r w:rsidRPr="00FF0F8B">
        <w:rPr>
          <w:rFonts w:ascii="Arial" w:hAnsi="Arial" w:cs="Arial"/>
          <w:sz w:val="20"/>
          <w:szCs w:val="20"/>
        </w:rPr>
        <w:t>All collected data were entered into SPSS version 25.0 (IBM Corp, Armonk, NY, USA) for statistical analysis. Descriptive statistics (means, frequencies, and percentages) were computed to summarize baseline characteristics. Chi-square tests (χ²) were used to evaluate associations between categorical socio-demographic variables and rotavirus positivity. To adjust for potential confounding, binary logistic regression was conducted to identify independent predictors of rotavirus infection. A p-value &lt; 0.05 was considered statistically significant for all inferential analyses.</w:t>
      </w:r>
    </w:p>
    <w:p w14:paraId="5255B533" w14:textId="77777777" w:rsidR="00F951C6" w:rsidRDefault="00F951C6" w:rsidP="00F951C6">
      <w:pPr>
        <w:jc w:val="both"/>
        <w:rPr>
          <w:b/>
          <w:bCs/>
        </w:rPr>
      </w:pPr>
    </w:p>
    <w:p w14:paraId="3D153CE5" w14:textId="77777777" w:rsidR="00F951C6" w:rsidRPr="00507C3A" w:rsidRDefault="00F951C6" w:rsidP="00F951C6">
      <w:pPr>
        <w:jc w:val="both"/>
        <w:rPr>
          <w:rFonts w:ascii="Arial" w:hAnsi="Arial" w:cs="Arial"/>
          <w:b/>
          <w:bCs/>
          <w:sz w:val="22"/>
          <w:szCs w:val="22"/>
        </w:rPr>
      </w:pPr>
      <w:r w:rsidRPr="007455B3">
        <w:rPr>
          <w:rFonts w:ascii="Arial" w:hAnsi="Arial" w:cs="Arial"/>
          <w:b/>
          <w:bCs/>
          <w:sz w:val="22"/>
          <w:szCs w:val="22"/>
        </w:rPr>
        <w:t>3. RESULTS</w:t>
      </w:r>
      <w:r>
        <w:rPr>
          <w:rFonts w:ascii="Arial" w:hAnsi="Arial" w:cs="Arial"/>
          <w:b/>
          <w:bCs/>
          <w:sz w:val="22"/>
          <w:szCs w:val="22"/>
        </w:rPr>
        <w:t xml:space="preserve"> AND DISCUSSION</w:t>
      </w:r>
    </w:p>
    <w:p w14:paraId="72CDEF16" w14:textId="77777777" w:rsidR="00F951C6" w:rsidRPr="00B9308B" w:rsidRDefault="00F951C6" w:rsidP="00F951C6">
      <w:pPr>
        <w:pStyle w:val="Heading2"/>
        <w:rPr>
          <w:rFonts w:ascii="Arial" w:hAnsi="Arial" w:cs="Arial"/>
          <w:b/>
          <w:bCs/>
          <w:color w:val="auto"/>
          <w:sz w:val="20"/>
          <w:szCs w:val="20"/>
        </w:rPr>
      </w:pPr>
      <w:r w:rsidRPr="00B9308B">
        <w:rPr>
          <w:rFonts w:ascii="Arial" w:hAnsi="Arial" w:cs="Arial"/>
          <w:b/>
          <w:bCs/>
          <w:color w:val="auto"/>
          <w:sz w:val="20"/>
          <w:szCs w:val="20"/>
        </w:rPr>
        <w:t>3.1 Prevalence of Rotavirus Infection</w:t>
      </w:r>
    </w:p>
    <w:p w14:paraId="615A0D49" w14:textId="77777777" w:rsidR="00F951C6" w:rsidRPr="00507C3A" w:rsidRDefault="00F951C6" w:rsidP="00F951C6">
      <w:pPr>
        <w:jc w:val="both"/>
        <w:rPr>
          <w:rFonts w:ascii="Arial" w:hAnsi="Arial" w:cs="Arial"/>
          <w:sz w:val="20"/>
          <w:szCs w:val="20"/>
        </w:rPr>
      </w:pPr>
      <w:r w:rsidRPr="00507C3A">
        <w:rPr>
          <w:rFonts w:ascii="Arial" w:hAnsi="Arial" w:cs="Arial"/>
          <w:sz w:val="20"/>
          <w:szCs w:val="20"/>
        </w:rPr>
        <w:t xml:space="preserve">Out of the 200 children aged 0–59 months enrolled in the study, rotavirus antigen was detected in 20 cases, indicating a prevalence rate of 10.0%. The distribution of cases by age revealed that infection was most prevalent in infants aged 0–11 months, who accounted for 40% (8/20) of positive cases. This was followed by children aged 12–23 months (30%, 6/20), 24–35 months (15%, 3/20), 36–47 months (10%, 2/20), and </w:t>
      </w:r>
      <w:r w:rsidRPr="00507C3A">
        <w:rPr>
          <w:rFonts w:ascii="Arial" w:hAnsi="Arial" w:cs="Arial"/>
          <w:sz w:val="20"/>
          <w:szCs w:val="20"/>
        </w:rPr>
        <w:lastRenderedPageBreak/>
        <w:t>48–59 months (5%, 1/20). The age-related differences in prevalence were statistically significant (</w:t>
      </w:r>
      <w:r w:rsidRPr="00443916">
        <w:rPr>
          <w:rFonts w:ascii="Arial" w:hAnsi="Arial" w:cs="Arial"/>
          <w:i/>
          <w:iCs/>
          <w:sz w:val="20"/>
          <w:szCs w:val="20"/>
        </w:rPr>
        <w:t>P</w:t>
      </w:r>
      <w:r w:rsidRPr="00507C3A">
        <w:rPr>
          <w:rFonts w:ascii="Arial" w:hAnsi="Arial" w:cs="Arial"/>
          <w:sz w:val="20"/>
          <w:szCs w:val="20"/>
        </w:rPr>
        <w:t>&lt; 0.05), suggesting that younger age is a key risk factor for rotavirus infection.</w:t>
      </w:r>
    </w:p>
    <w:p w14:paraId="56BC91BE" w14:textId="77777777" w:rsidR="00F951C6" w:rsidRPr="00507C3A" w:rsidRDefault="00F951C6" w:rsidP="00F951C6">
      <w:pPr>
        <w:jc w:val="both"/>
        <w:rPr>
          <w:rFonts w:ascii="Arial" w:hAnsi="Arial" w:cs="Arial"/>
          <w:b/>
          <w:bCs/>
          <w:sz w:val="20"/>
          <w:szCs w:val="20"/>
        </w:rPr>
      </w:pPr>
      <w:r w:rsidRPr="00507C3A">
        <w:rPr>
          <w:rFonts w:ascii="Arial" w:hAnsi="Arial" w:cs="Arial"/>
          <w:b/>
          <w:bCs/>
          <w:sz w:val="20"/>
          <w:szCs w:val="20"/>
        </w:rPr>
        <w:t>Table 1: Age Distribution of Rotavirus-Positive Children</w:t>
      </w: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2009"/>
        <w:gridCol w:w="1639"/>
        <w:gridCol w:w="1520"/>
      </w:tblGrid>
      <w:tr w:rsidR="00F951C6" w:rsidRPr="00507C3A" w14:paraId="7B3717A7" w14:textId="77777777" w:rsidTr="00F8123E">
        <w:trPr>
          <w:tblHeader/>
          <w:tblCellSpacing w:w="15" w:type="dxa"/>
        </w:trPr>
        <w:tc>
          <w:tcPr>
            <w:tcW w:w="0" w:type="auto"/>
            <w:tcBorders>
              <w:top w:val="nil"/>
              <w:bottom w:val="single" w:sz="4" w:space="0" w:color="auto"/>
            </w:tcBorders>
            <w:vAlign w:val="center"/>
            <w:hideMark/>
          </w:tcPr>
          <w:p w14:paraId="1B301944" w14:textId="77777777" w:rsidR="00F951C6" w:rsidRPr="00507C3A" w:rsidRDefault="00F951C6" w:rsidP="00F8123E">
            <w:pPr>
              <w:jc w:val="both"/>
              <w:rPr>
                <w:rFonts w:ascii="Arial" w:hAnsi="Arial" w:cs="Arial"/>
                <w:b/>
                <w:bCs/>
                <w:sz w:val="20"/>
                <w:szCs w:val="20"/>
              </w:rPr>
            </w:pPr>
            <w:r w:rsidRPr="00507C3A">
              <w:rPr>
                <w:rFonts w:ascii="Arial" w:hAnsi="Arial" w:cs="Arial"/>
                <w:b/>
                <w:bCs/>
                <w:sz w:val="20"/>
                <w:szCs w:val="20"/>
              </w:rPr>
              <w:t>Age Group (Months)</w:t>
            </w:r>
          </w:p>
        </w:tc>
        <w:tc>
          <w:tcPr>
            <w:tcW w:w="0" w:type="auto"/>
            <w:tcBorders>
              <w:top w:val="nil"/>
              <w:bottom w:val="single" w:sz="4" w:space="0" w:color="auto"/>
            </w:tcBorders>
            <w:vAlign w:val="center"/>
            <w:hideMark/>
          </w:tcPr>
          <w:p w14:paraId="1F46071E" w14:textId="77777777" w:rsidR="00F951C6" w:rsidRPr="00507C3A" w:rsidRDefault="00F951C6" w:rsidP="00F8123E">
            <w:pPr>
              <w:jc w:val="both"/>
              <w:rPr>
                <w:rFonts w:ascii="Arial" w:hAnsi="Arial" w:cs="Arial"/>
                <w:b/>
                <w:bCs/>
                <w:sz w:val="20"/>
                <w:szCs w:val="20"/>
              </w:rPr>
            </w:pPr>
            <w:r w:rsidRPr="00507C3A">
              <w:rPr>
                <w:rFonts w:ascii="Arial" w:hAnsi="Arial" w:cs="Arial"/>
                <w:b/>
                <w:bCs/>
                <w:sz w:val="20"/>
                <w:szCs w:val="20"/>
              </w:rPr>
              <w:t>Number Positive</w:t>
            </w:r>
          </w:p>
        </w:tc>
        <w:tc>
          <w:tcPr>
            <w:tcW w:w="0" w:type="auto"/>
            <w:tcBorders>
              <w:top w:val="nil"/>
              <w:bottom w:val="single" w:sz="4" w:space="0" w:color="auto"/>
            </w:tcBorders>
            <w:vAlign w:val="center"/>
            <w:hideMark/>
          </w:tcPr>
          <w:p w14:paraId="5C8BD354" w14:textId="77777777" w:rsidR="00F951C6" w:rsidRPr="00507C3A" w:rsidRDefault="00F951C6" w:rsidP="00F8123E">
            <w:pPr>
              <w:jc w:val="both"/>
              <w:rPr>
                <w:rFonts w:ascii="Arial" w:hAnsi="Arial" w:cs="Arial"/>
                <w:b/>
                <w:bCs/>
                <w:sz w:val="20"/>
                <w:szCs w:val="20"/>
              </w:rPr>
            </w:pPr>
            <w:r w:rsidRPr="00507C3A">
              <w:rPr>
                <w:rFonts w:ascii="Arial" w:hAnsi="Arial" w:cs="Arial"/>
                <w:b/>
                <w:bCs/>
                <w:sz w:val="20"/>
                <w:szCs w:val="20"/>
              </w:rPr>
              <w:t>Percentage (%)</w:t>
            </w:r>
          </w:p>
        </w:tc>
      </w:tr>
      <w:tr w:rsidR="00F951C6" w:rsidRPr="00507C3A" w14:paraId="7AA42E3F" w14:textId="77777777" w:rsidTr="00F8123E">
        <w:trPr>
          <w:tblCellSpacing w:w="15" w:type="dxa"/>
        </w:trPr>
        <w:tc>
          <w:tcPr>
            <w:tcW w:w="0" w:type="auto"/>
            <w:vAlign w:val="center"/>
            <w:hideMark/>
          </w:tcPr>
          <w:p w14:paraId="0B934F37"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0–11</w:t>
            </w:r>
          </w:p>
        </w:tc>
        <w:tc>
          <w:tcPr>
            <w:tcW w:w="0" w:type="auto"/>
            <w:vAlign w:val="center"/>
            <w:hideMark/>
          </w:tcPr>
          <w:p w14:paraId="2D52BA09"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8</w:t>
            </w:r>
          </w:p>
        </w:tc>
        <w:tc>
          <w:tcPr>
            <w:tcW w:w="0" w:type="auto"/>
            <w:vAlign w:val="center"/>
            <w:hideMark/>
          </w:tcPr>
          <w:p w14:paraId="59B7C8EE"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40.0</w:t>
            </w:r>
          </w:p>
        </w:tc>
      </w:tr>
      <w:tr w:rsidR="00F951C6" w:rsidRPr="00507C3A" w14:paraId="62A55427" w14:textId="77777777" w:rsidTr="00F8123E">
        <w:trPr>
          <w:tblCellSpacing w:w="15" w:type="dxa"/>
        </w:trPr>
        <w:tc>
          <w:tcPr>
            <w:tcW w:w="0" w:type="auto"/>
            <w:vAlign w:val="center"/>
            <w:hideMark/>
          </w:tcPr>
          <w:p w14:paraId="078F1449"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12–23</w:t>
            </w:r>
          </w:p>
        </w:tc>
        <w:tc>
          <w:tcPr>
            <w:tcW w:w="0" w:type="auto"/>
            <w:vAlign w:val="center"/>
            <w:hideMark/>
          </w:tcPr>
          <w:p w14:paraId="1709EF7E"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6</w:t>
            </w:r>
          </w:p>
        </w:tc>
        <w:tc>
          <w:tcPr>
            <w:tcW w:w="0" w:type="auto"/>
            <w:vAlign w:val="center"/>
            <w:hideMark/>
          </w:tcPr>
          <w:p w14:paraId="73356660"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30.0</w:t>
            </w:r>
          </w:p>
        </w:tc>
      </w:tr>
      <w:tr w:rsidR="00F951C6" w:rsidRPr="00507C3A" w14:paraId="4B2C3FCC" w14:textId="77777777" w:rsidTr="00F8123E">
        <w:trPr>
          <w:tblCellSpacing w:w="15" w:type="dxa"/>
        </w:trPr>
        <w:tc>
          <w:tcPr>
            <w:tcW w:w="0" w:type="auto"/>
            <w:vAlign w:val="center"/>
            <w:hideMark/>
          </w:tcPr>
          <w:p w14:paraId="7B9A4FEE"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24–35</w:t>
            </w:r>
          </w:p>
        </w:tc>
        <w:tc>
          <w:tcPr>
            <w:tcW w:w="0" w:type="auto"/>
            <w:vAlign w:val="center"/>
            <w:hideMark/>
          </w:tcPr>
          <w:p w14:paraId="69F94FA6"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3</w:t>
            </w:r>
          </w:p>
        </w:tc>
        <w:tc>
          <w:tcPr>
            <w:tcW w:w="0" w:type="auto"/>
            <w:vAlign w:val="center"/>
            <w:hideMark/>
          </w:tcPr>
          <w:p w14:paraId="1C718C9E"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15.0</w:t>
            </w:r>
          </w:p>
        </w:tc>
      </w:tr>
      <w:tr w:rsidR="00F951C6" w:rsidRPr="00507C3A" w14:paraId="5A70F0F6" w14:textId="77777777" w:rsidTr="00F8123E">
        <w:trPr>
          <w:tblCellSpacing w:w="15" w:type="dxa"/>
        </w:trPr>
        <w:tc>
          <w:tcPr>
            <w:tcW w:w="0" w:type="auto"/>
            <w:vAlign w:val="center"/>
            <w:hideMark/>
          </w:tcPr>
          <w:p w14:paraId="7B984A00"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36–47</w:t>
            </w:r>
          </w:p>
        </w:tc>
        <w:tc>
          <w:tcPr>
            <w:tcW w:w="0" w:type="auto"/>
            <w:vAlign w:val="center"/>
            <w:hideMark/>
          </w:tcPr>
          <w:p w14:paraId="1C5BDA7D"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2</w:t>
            </w:r>
          </w:p>
        </w:tc>
        <w:tc>
          <w:tcPr>
            <w:tcW w:w="0" w:type="auto"/>
            <w:vAlign w:val="center"/>
            <w:hideMark/>
          </w:tcPr>
          <w:p w14:paraId="0AD9A3E3"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10.0</w:t>
            </w:r>
          </w:p>
        </w:tc>
      </w:tr>
      <w:tr w:rsidR="00F951C6" w:rsidRPr="00507C3A" w14:paraId="08410F6B" w14:textId="77777777" w:rsidTr="00F8123E">
        <w:trPr>
          <w:tblCellSpacing w:w="15" w:type="dxa"/>
        </w:trPr>
        <w:tc>
          <w:tcPr>
            <w:tcW w:w="0" w:type="auto"/>
            <w:tcBorders>
              <w:top w:val="nil"/>
              <w:bottom w:val="single" w:sz="4" w:space="0" w:color="auto"/>
            </w:tcBorders>
            <w:vAlign w:val="center"/>
            <w:hideMark/>
          </w:tcPr>
          <w:p w14:paraId="39D901BB"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48–59</w:t>
            </w:r>
          </w:p>
        </w:tc>
        <w:tc>
          <w:tcPr>
            <w:tcW w:w="0" w:type="auto"/>
            <w:tcBorders>
              <w:top w:val="nil"/>
              <w:bottom w:val="single" w:sz="4" w:space="0" w:color="auto"/>
            </w:tcBorders>
            <w:vAlign w:val="center"/>
            <w:hideMark/>
          </w:tcPr>
          <w:p w14:paraId="55244025"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1</w:t>
            </w:r>
          </w:p>
        </w:tc>
        <w:tc>
          <w:tcPr>
            <w:tcW w:w="0" w:type="auto"/>
            <w:tcBorders>
              <w:top w:val="nil"/>
              <w:bottom w:val="single" w:sz="4" w:space="0" w:color="auto"/>
            </w:tcBorders>
            <w:vAlign w:val="center"/>
            <w:hideMark/>
          </w:tcPr>
          <w:p w14:paraId="6ABDA3C8"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5.0</w:t>
            </w:r>
          </w:p>
        </w:tc>
      </w:tr>
    </w:tbl>
    <w:p w14:paraId="42F93498" w14:textId="77777777" w:rsidR="00F951C6" w:rsidRPr="00507C3A" w:rsidRDefault="00F951C6" w:rsidP="00F951C6">
      <w:pPr>
        <w:jc w:val="both"/>
        <w:rPr>
          <w:rFonts w:ascii="Arial" w:hAnsi="Arial" w:cs="Arial"/>
          <w:sz w:val="20"/>
          <w:szCs w:val="20"/>
        </w:rPr>
      </w:pPr>
      <w:r w:rsidRPr="00507C3A">
        <w:rPr>
          <w:rFonts w:ascii="Arial" w:hAnsi="Arial" w:cs="Arial"/>
          <w:sz w:val="20"/>
          <w:szCs w:val="20"/>
        </w:rPr>
        <w:t>In terms of gender, 11 of the rotavirus-positive cases were male (55%), while 9 were female (45%). Although a slightly higher number of males were infected, this difference was not statistically significant (</w:t>
      </w:r>
      <w:r>
        <w:rPr>
          <w:rFonts w:ascii="Arial" w:hAnsi="Arial" w:cs="Arial"/>
          <w:i/>
          <w:iCs/>
          <w:sz w:val="20"/>
          <w:szCs w:val="20"/>
        </w:rPr>
        <w:t>P</w:t>
      </w:r>
      <w:r w:rsidRPr="00507C3A">
        <w:rPr>
          <w:rFonts w:ascii="Arial" w:hAnsi="Arial" w:cs="Arial"/>
          <w:sz w:val="20"/>
          <w:szCs w:val="20"/>
        </w:rPr>
        <w:t xml:space="preserve"> &gt; .05), indicating no clear gender-based susceptibility.</w:t>
      </w:r>
    </w:p>
    <w:p w14:paraId="6D6371F3" w14:textId="77777777" w:rsidR="00F951C6" w:rsidRPr="00507C3A" w:rsidRDefault="00F951C6" w:rsidP="00F951C6">
      <w:pPr>
        <w:jc w:val="both"/>
        <w:rPr>
          <w:rFonts w:ascii="Arial" w:hAnsi="Arial" w:cs="Arial"/>
          <w:b/>
          <w:bCs/>
          <w:sz w:val="20"/>
          <w:szCs w:val="20"/>
        </w:rPr>
      </w:pPr>
      <w:r w:rsidRPr="00507C3A">
        <w:rPr>
          <w:rFonts w:ascii="Arial" w:hAnsi="Arial" w:cs="Arial"/>
          <w:b/>
          <w:bCs/>
          <w:sz w:val="20"/>
          <w:szCs w:val="20"/>
        </w:rPr>
        <w:t>3.2 Child-Related Factors and Rotavirus Infection</w:t>
      </w:r>
    </w:p>
    <w:p w14:paraId="1B17631A" w14:textId="77777777" w:rsidR="00F951C6" w:rsidRPr="00507C3A" w:rsidRDefault="00F951C6" w:rsidP="00F951C6">
      <w:pPr>
        <w:jc w:val="both"/>
        <w:rPr>
          <w:rFonts w:ascii="Arial" w:hAnsi="Arial" w:cs="Arial"/>
          <w:sz w:val="20"/>
          <w:szCs w:val="20"/>
        </w:rPr>
      </w:pPr>
      <w:r w:rsidRPr="00507C3A">
        <w:rPr>
          <w:rFonts w:ascii="Arial" w:hAnsi="Arial" w:cs="Arial"/>
          <w:sz w:val="20"/>
          <w:szCs w:val="20"/>
        </w:rPr>
        <w:t>Feeding practices were significantly associated with rotavirus infection (</w:t>
      </w:r>
      <w:r>
        <w:rPr>
          <w:rFonts w:ascii="Arial" w:hAnsi="Arial" w:cs="Arial"/>
          <w:i/>
          <w:iCs/>
          <w:sz w:val="20"/>
          <w:szCs w:val="20"/>
        </w:rPr>
        <w:t>P</w:t>
      </w:r>
      <w:r w:rsidRPr="00507C3A">
        <w:rPr>
          <w:rFonts w:ascii="Arial" w:hAnsi="Arial" w:cs="Arial"/>
          <w:sz w:val="20"/>
          <w:szCs w:val="20"/>
        </w:rPr>
        <w:t xml:space="preserve"> &lt; .05). The highest proportion of infected children (45%) were those who received mixed feeding (both breast milk and formula), followed by those who were exclusively breastfed (15%) and those fed with bottle/formula only (10%). These findings suggest that mixed feeding may compromise protective immunity from breast milk while introducing possible contamination risks associated with improper bottle hygiene or water quality.</w:t>
      </w:r>
    </w:p>
    <w:p w14:paraId="6B419E9B" w14:textId="77777777" w:rsidR="00F951C6" w:rsidRPr="007455B3" w:rsidRDefault="00F951C6" w:rsidP="00F951C6">
      <w:pPr>
        <w:jc w:val="both"/>
        <w:rPr>
          <w:rFonts w:ascii="Arial" w:hAnsi="Arial" w:cs="Arial"/>
          <w:sz w:val="20"/>
          <w:szCs w:val="20"/>
        </w:rPr>
      </w:pPr>
    </w:p>
    <w:p w14:paraId="4F6E890F" w14:textId="77777777" w:rsidR="00F951C6" w:rsidRDefault="00F951C6" w:rsidP="00F951C6">
      <w:pPr>
        <w:jc w:val="both"/>
        <w:rPr>
          <w:rFonts w:ascii="Arial" w:hAnsi="Arial" w:cs="Arial"/>
          <w:sz w:val="20"/>
          <w:szCs w:val="20"/>
        </w:rPr>
      </w:pPr>
    </w:p>
    <w:p w14:paraId="5E8CDBE4" w14:textId="77777777" w:rsidR="00F951C6" w:rsidRDefault="00F951C6" w:rsidP="00F951C6">
      <w:pPr>
        <w:jc w:val="both"/>
        <w:rPr>
          <w:rFonts w:ascii="Arial" w:hAnsi="Arial" w:cs="Arial"/>
          <w:sz w:val="20"/>
          <w:szCs w:val="20"/>
        </w:rPr>
      </w:pPr>
    </w:p>
    <w:p w14:paraId="5CDC92B1" w14:textId="77777777" w:rsidR="00F951C6" w:rsidRPr="007455B3" w:rsidRDefault="00F951C6" w:rsidP="00F951C6">
      <w:pPr>
        <w:jc w:val="both"/>
        <w:rPr>
          <w:rFonts w:ascii="Arial" w:hAnsi="Arial" w:cs="Arial"/>
          <w:sz w:val="20"/>
          <w:szCs w:val="20"/>
        </w:rPr>
      </w:pPr>
    </w:p>
    <w:p w14:paraId="14F47A7A" w14:textId="77777777" w:rsidR="00F951C6" w:rsidRPr="00507C3A" w:rsidRDefault="00F951C6" w:rsidP="00F951C6">
      <w:pPr>
        <w:jc w:val="both"/>
        <w:rPr>
          <w:rFonts w:ascii="Arial" w:hAnsi="Arial" w:cs="Arial"/>
          <w:b/>
          <w:bCs/>
          <w:sz w:val="20"/>
          <w:szCs w:val="20"/>
        </w:rPr>
      </w:pPr>
      <w:r w:rsidRPr="00507C3A">
        <w:rPr>
          <w:rFonts w:ascii="Arial" w:hAnsi="Arial" w:cs="Arial"/>
          <w:b/>
          <w:bCs/>
          <w:sz w:val="20"/>
          <w:szCs w:val="20"/>
        </w:rPr>
        <w:t>Table 2: Feeding Practices and Rotavirus Positivity</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10"/>
        <w:gridCol w:w="2172"/>
        <w:gridCol w:w="787"/>
      </w:tblGrid>
      <w:tr w:rsidR="00F951C6" w:rsidRPr="00507C3A" w14:paraId="6E0AEF85" w14:textId="77777777" w:rsidTr="00F8123E">
        <w:trPr>
          <w:tblHeader/>
          <w:tblCellSpacing w:w="15" w:type="dxa"/>
        </w:trPr>
        <w:tc>
          <w:tcPr>
            <w:tcW w:w="0" w:type="auto"/>
            <w:tcBorders>
              <w:top w:val="nil"/>
              <w:bottom w:val="single" w:sz="4" w:space="0" w:color="auto"/>
            </w:tcBorders>
            <w:vAlign w:val="center"/>
            <w:hideMark/>
          </w:tcPr>
          <w:p w14:paraId="020B5C90" w14:textId="77777777" w:rsidR="00F951C6" w:rsidRPr="00507C3A" w:rsidRDefault="00F951C6" w:rsidP="00F8123E">
            <w:pPr>
              <w:jc w:val="both"/>
              <w:rPr>
                <w:rFonts w:ascii="Arial" w:hAnsi="Arial" w:cs="Arial"/>
                <w:b/>
                <w:bCs/>
                <w:sz w:val="20"/>
                <w:szCs w:val="20"/>
              </w:rPr>
            </w:pPr>
            <w:r w:rsidRPr="00507C3A">
              <w:rPr>
                <w:rFonts w:ascii="Arial" w:hAnsi="Arial" w:cs="Arial"/>
                <w:b/>
                <w:bCs/>
                <w:sz w:val="20"/>
                <w:szCs w:val="20"/>
              </w:rPr>
              <w:t>Feeding Method</w:t>
            </w:r>
          </w:p>
        </w:tc>
        <w:tc>
          <w:tcPr>
            <w:tcW w:w="0" w:type="auto"/>
            <w:tcBorders>
              <w:top w:val="nil"/>
              <w:bottom w:val="single" w:sz="4" w:space="0" w:color="auto"/>
            </w:tcBorders>
            <w:vAlign w:val="center"/>
            <w:hideMark/>
          </w:tcPr>
          <w:p w14:paraId="08EAA34F" w14:textId="77777777" w:rsidR="00F951C6" w:rsidRPr="00507C3A" w:rsidRDefault="00F951C6" w:rsidP="00F8123E">
            <w:pPr>
              <w:jc w:val="both"/>
              <w:rPr>
                <w:rFonts w:ascii="Arial" w:hAnsi="Arial" w:cs="Arial"/>
                <w:b/>
                <w:bCs/>
                <w:sz w:val="20"/>
                <w:szCs w:val="20"/>
              </w:rPr>
            </w:pPr>
            <w:r w:rsidRPr="00507C3A">
              <w:rPr>
                <w:rFonts w:ascii="Arial" w:hAnsi="Arial" w:cs="Arial"/>
                <w:b/>
                <w:bCs/>
                <w:sz w:val="20"/>
                <w:szCs w:val="20"/>
              </w:rPr>
              <w:t>Rotavirus Positive (%)</w:t>
            </w:r>
          </w:p>
        </w:tc>
        <w:tc>
          <w:tcPr>
            <w:tcW w:w="0" w:type="auto"/>
            <w:tcBorders>
              <w:top w:val="nil"/>
              <w:bottom w:val="single" w:sz="4" w:space="0" w:color="auto"/>
            </w:tcBorders>
            <w:vAlign w:val="center"/>
            <w:hideMark/>
          </w:tcPr>
          <w:p w14:paraId="2C87BA83" w14:textId="77777777" w:rsidR="00F951C6" w:rsidRPr="00507C3A" w:rsidRDefault="00F951C6" w:rsidP="00F8123E">
            <w:pPr>
              <w:jc w:val="both"/>
              <w:rPr>
                <w:rFonts w:ascii="Arial" w:hAnsi="Arial" w:cs="Arial"/>
                <w:b/>
                <w:bCs/>
                <w:sz w:val="20"/>
                <w:szCs w:val="20"/>
              </w:rPr>
            </w:pPr>
            <w:r w:rsidRPr="00507C3A">
              <w:rPr>
                <w:rFonts w:ascii="Arial" w:hAnsi="Arial" w:cs="Arial"/>
                <w:b/>
                <w:bCs/>
                <w:i/>
                <w:iCs/>
                <w:sz w:val="20"/>
                <w:szCs w:val="20"/>
              </w:rPr>
              <w:t>P</w:t>
            </w:r>
            <w:r w:rsidRPr="00507C3A">
              <w:rPr>
                <w:rFonts w:ascii="Arial" w:hAnsi="Arial" w:cs="Arial"/>
                <w:b/>
                <w:bCs/>
                <w:sz w:val="20"/>
                <w:szCs w:val="20"/>
              </w:rPr>
              <w:t>-value</w:t>
            </w:r>
          </w:p>
        </w:tc>
      </w:tr>
      <w:tr w:rsidR="00F951C6" w:rsidRPr="00507C3A" w14:paraId="708A7F52" w14:textId="77777777" w:rsidTr="00F8123E">
        <w:trPr>
          <w:tblCellSpacing w:w="15" w:type="dxa"/>
        </w:trPr>
        <w:tc>
          <w:tcPr>
            <w:tcW w:w="0" w:type="auto"/>
            <w:vAlign w:val="center"/>
            <w:hideMark/>
          </w:tcPr>
          <w:p w14:paraId="3493BE43"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Exclusive Breastfeeding</w:t>
            </w:r>
          </w:p>
        </w:tc>
        <w:tc>
          <w:tcPr>
            <w:tcW w:w="0" w:type="auto"/>
            <w:vAlign w:val="center"/>
            <w:hideMark/>
          </w:tcPr>
          <w:p w14:paraId="22F6D2A7"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15.0</w:t>
            </w:r>
          </w:p>
        </w:tc>
        <w:tc>
          <w:tcPr>
            <w:tcW w:w="0" w:type="auto"/>
            <w:vAlign w:val="center"/>
            <w:hideMark/>
          </w:tcPr>
          <w:p w14:paraId="71FC20FD"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&lt;.05</w:t>
            </w:r>
          </w:p>
        </w:tc>
      </w:tr>
      <w:tr w:rsidR="00F951C6" w:rsidRPr="00507C3A" w14:paraId="003A5056" w14:textId="77777777" w:rsidTr="00F8123E">
        <w:trPr>
          <w:tblCellSpacing w:w="15" w:type="dxa"/>
        </w:trPr>
        <w:tc>
          <w:tcPr>
            <w:tcW w:w="0" w:type="auto"/>
            <w:vAlign w:val="center"/>
            <w:hideMark/>
          </w:tcPr>
          <w:p w14:paraId="0C435EE9"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Mixed Feeding</w:t>
            </w:r>
          </w:p>
        </w:tc>
        <w:tc>
          <w:tcPr>
            <w:tcW w:w="0" w:type="auto"/>
            <w:vAlign w:val="center"/>
            <w:hideMark/>
          </w:tcPr>
          <w:p w14:paraId="0F9CB656"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45.0</w:t>
            </w:r>
          </w:p>
        </w:tc>
        <w:tc>
          <w:tcPr>
            <w:tcW w:w="0" w:type="auto"/>
            <w:vAlign w:val="center"/>
            <w:hideMark/>
          </w:tcPr>
          <w:p w14:paraId="0A0BC2BC" w14:textId="77777777" w:rsidR="00F951C6" w:rsidRPr="00507C3A" w:rsidRDefault="00F951C6" w:rsidP="00F8123E">
            <w:pPr>
              <w:jc w:val="both"/>
              <w:rPr>
                <w:rFonts w:ascii="Arial" w:hAnsi="Arial" w:cs="Arial"/>
                <w:sz w:val="20"/>
                <w:szCs w:val="20"/>
              </w:rPr>
            </w:pPr>
          </w:p>
        </w:tc>
      </w:tr>
      <w:tr w:rsidR="00F951C6" w:rsidRPr="00507C3A" w14:paraId="34D42A06" w14:textId="77777777" w:rsidTr="00F8123E">
        <w:trPr>
          <w:tblCellSpacing w:w="15" w:type="dxa"/>
        </w:trPr>
        <w:tc>
          <w:tcPr>
            <w:tcW w:w="0" w:type="auto"/>
            <w:vAlign w:val="center"/>
            <w:hideMark/>
          </w:tcPr>
          <w:p w14:paraId="5828A2E5"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Bottle Feeding Only</w:t>
            </w:r>
          </w:p>
        </w:tc>
        <w:tc>
          <w:tcPr>
            <w:tcW w:w="0" w:type="auto"/>
            <w:vAlign w:val="center"/>
            <w:hideMark/>
          </w:tcPr>
          <w:p w14:paraId="29FE191D"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10.0</w:t>
            </w:r>
          </w:p>
        </w:tc>
        <w:tc>
          <w:tcPr>
            <w:tcW w:w="0" w:type="auto"/>
            <w:vAlign w:val="center"/>
            <w:hideMark/>
          </w:tcPr>
          <w:p w14:paraId="1416414F" w14:textId="77777777" w:rsidR="00F951C6" w:rsidRPr="00507C3A" w:rsidRDefault="00F951C6" w:rsidP="00F8123E">
            <w:pPr>
              <w:jc w:val="both"/>
              <w:rPr>
                <w:rFonts w:ascii="Arial" w:hAnsi="Arial" w:cs="Arial"/>
                <w:sz w:val="20"/>
                <w:szCs w:val="20"/>
              </w:rPr>
            </w:pPr>
          </w:p>
        </w:tc>
      </w:tr>
    </w:tbl>
    <w:p w14:paraId="4A5CF61B" w14:textId="77777777" w:rsidR="00F951C6" w:rsidRPr="000B5490" w:rsidRDefault="00F951C6" w:rsidP="00F951C6">
      <w:pPr>
        <w:jc w:val="both"/>
        <w:rPr>
          <w:rFonts w:ascii="Arial" w:hAnsi="Arial" w:cs="Arial"/>
          <w:b/>
          <w:bCs/>
          <w:sz w:val="20"/>
          <w:szCs w:val="20"/>
        </w:rPr>
      </w:pPr>
      <w:r w:rsidRPr="000B5490">
        <w:rPr>
          <w:rFonts w:ascii="Arial" w:hAnsi="Arial" w:cs="Arial"/>
          <w:b/>
          <w:bCs/>
          <w:sz w:val="20"/>
          <w:szCs w:val="20"/>
        </w:rPr>
        <w:t>NS – Not Significant</w:t>
      </w:r>
    </w:p>
    <w:p w14:paraId="6B5A400C" w14:textId="77777777" w:rsidR="00F951C6" w:rsidRPr="00507C3A" w:rsidRDefault="00F951C6" w:rsidP="00F951C6">
      <w:pPr>
        <w:jc w:val="both"/>
        <w:rPr>
          <w:rFonts w:ascii="Arial" w:hAnsi="Arial" w:cs="Arial"/>
          <w:sz w:val="20"/>
          <w:szCs w:val="20"/>
        </w:rPr>
      </w:pPr>
      <w:r w:rsidRPr="00507C3A">
        <w:rPr>
          <w:rFonts w:ascii="Arial" w:hAnsi="Arial" w:cs="Arial"/>
          <w:sz w:val="20"/>
          <w:szCs w:val="20"/>
        </w:rPr>
        <w:t>Hand hygiene practices were also significantly associated with infection. Children whose caregivers reported not washing hands after defecation or cleaning the child had a significantly higher rate of rotavirus positivity (</w:t>
      </w:r>
      <w:r w:rsidRPr="00443916">
        <w:rPr>
          <w:rFonts w:ascii="Arial" w:hAnsi="Arial" w:cs="Arial"/>
          <w:i/>
          <w:iCs/>
          <w:sz w:val="20"/>
          <w:szCs w:val="20"/>
        </w:rPr>
        <w:t>P</w:t>
      </w:r>
      <w:r w:rsidRPr="00507C3A">
        <w:rPr>
          <w:rFonts w:ascii="Arial" w:hAnsi="Arial" w:cs="Arial"/>
          <w:sz w:val="20"/>
          <w:szCs w:val="20"/>
        </w:rPr>
        <w:t xml:space="preserve"> = 0.01). These findings underline the role of poor hygiene in the </w:t>
      </w:r>
      <w:proofErr w:type="spellStart"/>
      <w:r w:rsidRPr="00507C3A">
        <w:rPr>
          <w:rFonts w:ascii="Arial" w:hAnsi="Arial" w:cs="Arial"/>
          <w:sz w:val="20"/>
          <w:szCs w:val="20"/>
        </w:rPr>
        <w:t>faeco</w:t>
      </w:r>
      <w:proofErr w:type="spellEnd"/>
      <w:r w:rsidRPr="00507C3A">
        <w:rPr>
          <w:rFonts w:ascii="Arial" w:hAnsi="Arial" w:cs="Arial"/>
          <w:sz w:val="20"/>
          <w:szCs w:val="20"/>
        </w:rPr>
        <w:t>-oral transmission of rotavirus in domestic settings.</w:t>
      </w:r>
    </w:p>
    <w:p w14:paraId="00580F30" w14:textId="77777777" w:rsidR="00F951C6" w:rsidRPr="00507C3A" w:rsidRDefault="00F951C6" w:rsidP="00F951C6">
      <w:pPr>
        <w:jc w:val="both"/>
        <w:rPr>
          <w:rFonts w:ascii="Arial" w:hAnsi="Arial" w:cs="Arial"/>
          <w:b/>
          <w:bCs/>
          <w:sz w:val="20"/>
          <w:szCs w:val="20"/>
        </w:rPr>
      </w:pPr>
      <w:r w:rsidRPr="00507C3A">
        <w:rPr>
          <w:rFonts w:ascii="Arial" w:hAnsi="Arial" w:cs="Arial"/>
          <w:b/>
          <w:bCs/>
          <w:sz w:val="20"/>
          <w:szCs w:val="20"/>
        </w:rPr>
        <w:lastRenderedPageBreak/>
        <w:t>3.3 Maternal and Household Factors</w:t>
      </w:r>
    </w:p>
    <w:p w14:paraId="4D4B5D9B" w14:textId="77777777" w:rsidR="00F951C6" w:rsidRPr="00507C3A" w:rsidRDefault="00F951C6" w:rsidP="00F951C6">
      <w:pPr>
        <w:jc w:val="both"/>
        <w:rPr>
          <w:rFonts w:ascii="Arial" w:hAnsi="Arial" w:cs="Arial"/>
          <w:sz w:val="20"/>
          <w:szCs w:val="20"/>
        </w:rPr>
      </w:pPr>
      <w:r w:rsidRPr="00507C3A">
        <w:rPr>
          <w:rFonts w:ascii="Arial" w:hAnsi="Arial" w:cs="Arial"/>
          <w:sz w:val="20"/>
          <w:szCs w:val="20"/>
        </w:rPr>
        <w:t>Maternal age and education level were found to influence rotavirus infection rates. The highest proportion of infected children (55%) were born to mothers aged 20–29 years, followed by those aged 30–39 years (30%), ≥40 years (10%), and &lt;20 years (5%). The association between maternal age and infection was statistically significant (</w:t>
      </w:r>
      <w:r w:rsidRPr="00507C3A">
        <w:rPr>
          <w:rFonts w:ascii="Arial" w:hAnsi="Arial" w:cs="Arial"/>
          <w:i/>
          <w:iCs/>
          <w:sz w:val="20"/>
          <w:szCs w:val="20"/>
        </w:rPr>
        <w:t>P</w:t>
      </w:r>
      <w:r w:rsidRPr="00507C3A">
        <w:rPr>
          <w:rFonts w:ascii="Arial" w:hAnsi="Arial" w:cs="Arial"/>
          <w:sz w:val="20"/>
          <w:szCs w:val="20"/>
        </w:rPr>
        <w:t xml:space="preserve"> &lt; .05), suggesting possible links with reproductive experience, health-seeking </w:t>
      </w:r>
      <w:proofErr w:type="spellStart"/>
      <w:r w:rsidRPr="00507C3A">
        <w:rPr>
          <w:rFonts w:ascii="Arial" w:hAnsi="Arial" w:cs="Arial"/>
          <w:sz w:val="20"/>
          <w:szCs w:val="20"/>
        </w:rPr>
        <w:t>behaviour</w:t>
      </w:r>
      <w:proofErr w:type="spellEnd"/>
      <w:r w:rsidRPr="00507C3A">
        <w:rPr>
          <w:rFonts w:ascii="Arial" w:hAnsi="Arial" w:cs="Arial"/>
          <w:sz w:val="20"/>
          <w:szCs w:val="20"/>
        </w:rPr>
        <w:t>, or childcare practices.</w:t>
      </w:r>
    </w:p>
    <w:p w14:paraId="5F52F3DA" w14:textId="77777777" w:rsidR="00F951C6" w:rsidRPr="00507C3A" w:rsidRDefault="00F951C6" w:rsidP="00F951C6">
      <w:pPr>
        <w:jc w:val="both"/>
        <w:rPr>
          <w:rFonts w:ascii="Arial" w:hAnsi="Arial" w:cs="Arial"/>
          <w:sz w:val="20"/>
          <w:szCs w:val="20"/>
        </w:rPr>
      </w:pPr>
      <w:r w:rsidRPr="00507C3A">
        <w:rPr>
          <w:rFonts w:ascii="Arial" w:hAnsi="Arial" w:cs="Arial"/>
          <w:sz w:val="20"/>
          <w:szCs w:val="20"/>
        </w:rPr>
        <w:t>Maternal education level also demonstrated a strong association with infection risk. Children of mothers with tertiary education accounted for the majority of rotavirus cases (60%), followed by those with secondary education (30%) and primary education (10%). The correlation was statistically significant (</w:t>
      </w:r>
      <w:r w:rsidRPr="00443916">
        <w:rPr>
          <w:rFonts w:ascii="Arial" w:hAnsi="Arial" w:cs="Arial"/>
          <w:i/>
          <w:iCs/>
          <w:sz w:val="20"/>
          <w:szCs w:val="20"/>
        </w:rPr>
        <w:t>P</w:t>
      </w:r>
      <w:r w:rsidRPr="00507C3A">
        <w:rPr>
          <w:rFonts w:ascii="Arial" w:hAnsi="Arial" w:cs="Arial"/>
          <w:sz w:val="20"/>
          <w:szCs w:val="20"/>
        </w:rPr>
        <w:t xml:space="preserve"> &lt; .05), though counterintuitive, as higher education would be expected to confer better health practices. This finding may reflect lifestyle factors such as earlier childcare outsourcing or reliance on formula feeding in educated, working-class mothers.</w:t>
      </w:r>
    </w:p>
    <w:p w14:paraId="0C61D3AE" w14:textId="77777777" w:rsidR="00F951C6" w:rsidRPr="00507C3A" w:rsidRDefault="00F951C6" w:rsidP="00F951C6">
      <w:pPr>
        <w:jc w:val="both"/>
        <w:rPr>
          <w:rFonts w:ascii="Arial" w:hAnsi="Arial" w:cs="Arial"/>
          <w:b/>
          <w:bCs/>
          <w:sz w:val="20"/>
          <w:szCs w:val="20"/>
        </w:rPr>
      </w:pPr>
      <w:r w:rsidRPr="00507C3A">
        <w:rPr>
          <w:rFonts w:ascii="Arial" w:hAnsi="Arial" w:cs="Arial"/>
          <w:b/>
          <w:bCs/>
          <w:sz w:val="20"/>
          <w:szCs w:val="20"/>
        </w:rPr>
        <w:t>Table 3: Maternal Age and Education</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2250"/>
        <w:gridCol w:w="1620"/>
        <w:gridCol w:w="1530"/>
        <w:gridCol w:w="1530"/>
        <w:gridCol w:w="50"/>
      </w:tblGrid>
      <w:tr w:rsidR="00F951C6" w:rsidRPr="007455B3" w14:paraId="75991DCA" w14:textId="77777777" w:rsidTr="00F8123E">
        <w:trPr>
          <w:tblHeader/>
          <w:tblCellSpacing w:w="15" w:type="dxa"/>
        </w:trPr>
        <w:tc>
          <w:tcPr>
            <w:tcW w:w="2205" w:type="dxa"/>
            <w:tcBorders>
              <w:top w:val="single" w:sz="4" w:space="0" w:color="auto"/>
              <w:bottom w:val="single" w:sz="4" w:space="0" w:color="auto"/>
            </w:tcBorders>
            <w:vAlign w:val="center"/>
            <w:hideMark/>
          </w:tcPr>
          <w:p w14:paraId="200279C1" w14:textId="77777777" w:rsidR="00F951C6" w:rsidRPr="00507C3A" w:rsidRDefault="00F951C6" w:rsidP="00F8123E">
            <w:pPr>
              <w:jc w:val="both"/>
              <w:rPr>
                <w:rFonts w:ascii="Arial" w:hAnsi="Arial" w:cs="Arial"/>
                <w:b/>
                <w:bCs/>
                <w:sz w:val="20"/>
                <w:szCs w:val="20"/>
              </w:rPr>
            </w:pPr>
            <w:r w:rsidRPr="00507C3A">
              <w:rPr>
                <w:rFonts w:ascii="Arial" w:hAnsi="Arial" w:cs="Arial"/>
                <w:b/>
                <w:bCs/>
                <w:sz w:val="20"/>
                <w:szCs w:val="20"/>
              </w:rPr>
              <w:t>Maternal Age Group</w:t>
            </w:r>
          </w:p>
        </w:tc>
        <w:tc>
          <w:tcPr>
            <w:tcW w:w="1590" w:type="dxa"/>
            <w:tcBorders>
              <w:top w:val="single" w:sz="4" w:space="0" w:color="auto"/>
              <w:bottom w:val="single" w:sz="4" w:space="0" w:color="auto"/>
            </w:tcBorders>
            <w:vAlign w:val="center"/>
            <w:hideMark/>
          </w:tcPr>
          <w:p w14:paraId="1A0595CA" w14:textId="77777777" w:rsidR="00F951C6" w:rsidRPr="00507C3A" w:rsidRDefault="00F951C6" w:rsidP="00F8123E">
            <w:pPr>
              <w:jc w:val="both"/>
              <w:rPr>
                <w:rFonts w:ascii="Arial" w:hAnsi="Arial" w:cs="Arial"/>
                <w:b/>
                <w:bCs/>
                <w:sz w:val="20"/>
                <w:szCs w:val="20"/>
              </w:rPr>
            </w:pPr>
            <w:r w:rsidRPr="00507C3A">
              <w:rPr>
                <w:rFonts w:ascii="Arial" w:hAnsi="Arial" w:cs="Arial"/>
                <w:b/>
                <w:bCs/>
                <w:sz w:val="20"/>
                <w:szCs w:val="20"/>
              </w:rPr>
              <w:t>No. Positive</w:t>
            </w:r>
          </w:p>
        </w:tc>
        <w:tc>
          <w:tcPr>
            <w:tcW w:w="1500" w:type="dxa"/>
            <w:tcBorders>
              <w:top w:val="single" w:sz="4" w:space="0" w:color="auto"/>
              <w:bottom w:val="single" w:sz="4" w:space="0" w:color="auto"/>
            </w:tcBorders>
            <w:vAlign w:val="center"/>
            <w:hideMark/>
          </w:tcPr>
          <w:p w14:paraId="63503475" w14:textId="77777777" w:rsidR="00F951C6" w:rsidRPr="00507C3A" w:rsidRDefault="00F951C6" w:rsidP="00F8123E">
            <w:pPr>
              <w:jc w:val="both"/>
              <w:rPr>
                <w:rFonts w:ascii="Arial" w:hAnsi="Arial" w:cs="Arial"/>
                <w:b/>
                <w:bCs/>
                <w:sz w:val="20"/>
                <w:szCs w:val="20"/>
              </w:rPr>
            </w:pPr>
            <w:r w:rsidRPr="00507C3A">
              <w:rPr>
                <w:rFonts w:ascii="Arial" w:hAnsi="Arial" w:cs="Arial"/>
                <w:b/>
                <w:bCs/>
                <w:sz w:val="20"/>
                <w:szCs w:val="20"/>
              </w:rPr>
              <w:t>% Positive</w:t>
            </w:r>
          </w:p>
        </w:tc>
        <w:tc>
          <w:tcPr>
            <w:tcW w:w="1535" w:type="dxa"/>
            <w:gridSpan w:val="2"/>
            <w:tcBorders>
              <w:top w:val="single" w:sz="4" w:space="0" w:color="auto"/>
              <w:bottom w:val="single" w:sz="4" w:space="0" w:color="auto"/>
            </w:tcBorders>
            <w:vAlign w:val="center"/>
            <w:hideMark/>
          </w:tcPr>
          <w:p w14:paraId="16F950B0" w14:textId="77777777" w:rsidR="00F951C6" w:rsidRPr="00507C3A" w:rsidRDefault="00F951C6" w:rsidP="00F8123E">
            <w:pPr>
              <w:jc w:val="both"/>
              <w:rPr>
                <w:rFonts w:ascii="Arial" w:hAnsi="Arial" w:cs="Arial"/>
                <w:b/>
                <w:bCs/>
                <w:sz w:val="20"/>
                <w:szCs w:val="20"/>
              </w:rPr>
            </w:pPr>
            <w:r w:rsidRPr="00507C3A">
              <w:rPr>
                <w:rFonts w:ascii="Arial" w:hAnsi="Arial" w:cs="Arial"/>
                <w:b/>
                <w:bCs/>
                <w:sz w:val="20"/>
                <w:szCs w:val="20"/>
              </w:rPr>
              <w:t>p-value</w:t>
            </w:r>
          </w:p>
        </w:tc>
      </w:tr>
      <w:tr w:rsidR="00F951C6" w:rsidRPr="007455B3" w14:paraId="7B864C6E" w14:textId="77777777" w:rsidTr="00F8123E">
        <w:trPr>
          <w:tblCellSpacing w:w="15" w:type="dxa"/>
        </w:trPr>
        <w:tc>
          <w:tcPr>
            <w:tcW w:w="2205" w:type="dxa"/>
            <w:vAlign w:val="center"/>
            <w:hideMark/>
          </w:tcPr>
          <w:p w14:paraId="0E18D4E2"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&lt;20</w:t>
            </w:r>
          </w:p>
        </w:tc>
        <w:tc>
          <w:tcPr>
            <w:tcW w:w="1590" w:type="dxa"/>
            <w:vAlign w:val="center"/>
            <w:hideMark/>
          </w:tcPr>
          <w:p w14:paraId="69AB9760"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1</w:t>
            </w:r>
          </w:p>
        </w:tc>
        <w:tc>
          <w:tcPr>
            <w:tcW w:w="1500" w:type="dxa"/>
            <w:vAlign w:val="center"/>
            <w:hideMark/>
          </w:tcPr>
          <w:p w14:paraId="76DB1D55"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5.0</w:t>
            </w:r>
          </w:p>
        </w:tc>
        <w:tc>
          <w:tcPr>
            <w:tcW w:w="1535" w:type="dxa"/>
            <w:gridSpan w:val="2"/>
            <w:vAlign w:val="center"/>
            <w:hideMark/>
          </w:tcPr>
          <w:p w14:paraId="4F012F74"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&lt;.05</w:t>
            </w:r>
          </w:p>
        </w:tc>
      </w:tr>
      <w:tr w:rsidR="00F951C6" w:rsidRPr="007455B3" w14:paraId="26B8848F" w14:textId="77777777" w:rsidTr="00F8123E">
        <w:trPr>
          <w:tblCellSpacing w:w="15" w:type="dxa"/>
        </w:trPr>
        <w:tc>
          <w:tcPr>
            <w:tcW w:w="2205" w:type="dxa"/>
            <w:vAlign w:val="center"/>
            <w:hideMark/>
          </w:tcPr>
          <w:p w14:paraId="6A2F0940"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20–29</w:t>
            </w:r>
          </w:p>
        </w:tc>
        <w:tc>
          <w:tcPr>
            <w:tcW w:w="1590" w:type="dxa"/>
            <w:vAlign w:val="center"/>
            <w:hideMark/>
          </w:tcPr>
          <w:p w14:paraId="2982CEAB"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11</w:t>
            </w:r>
          </w:p>
        </w:tc>
        <w:tc>
          <w:tcPr>
            <w:tcW w:w="1500" w:type="dxa"/>
            <w:vAlign w:val="center"/>
            <w:hideMark/>
          </w:tcPr>
          <w:p w14:paraId="1A3F379C"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55.0</w:t>
            </w:r>
          </w:p>
        </w:tc>
        <w:tc>
          <w:tcPr>
            <w:tcW w:w="1535" w:type="dxa"/>
            <w:gridSpan w:val="2"/>
            <w:vAlign w:val="center"/>
            <w:hideMark/>
          </w:tcPr>
          <w:p w14:paraId="06452C13" w14:textId="77777777" w:rsidR="00F951C6" w:rsidRPr="00507C3A" w:rsidRDefault="00F951C6" w:rsidP="00F8123E">
            <w:pPr>
              <w:jc w:val="both"/>
              <w:rPr>
                <w:rFonts w:ascii="Arial" w:hAnsi="Arial" w:cs="Arial"/>
                <w:sz w:val="20"/>
                <w:szCs w:val="20"/>
              </w:rPr>
            </w:pPr>
          </w:p>
        </w:tc>
      </w:tr>
      <w:tr w:rsidR="00F951C6" w:rsidRPr="007455B3" w14:paraId="20E81E94" w14:textId="77777777" w:rsidTr="00F8123E">
        <w:trPr>
          <w:tblCellSpacing w:w="15" w:type="dxa"/>
        </w:trPr>
        <w:tc>
          <w:tcPr>
            <w:tcW w:w="2205" w:type="dxa"/>
            <w:vAlign w:val="center"/>
            <w:hideMark/>
          </w:tcPr>
          <w:p w14:paraId="0FC22982"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30–39</w:t>
            </w:r>
          </w:p>
        </w:tc>
        <w:tc>
          <w:tcPr>
            <w:tcW w:w="1590" w:type="dxa"/>
            <w:vAlign w:val="center"/>
            <w:hideMark/>
          </w:tcPr>
          <w:p w14:paraId="26BF259D"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6</w:t>
            </w:r>
          </w:p>
        </w:tc>
        <w:tc>
          <w:tcPr>
            <w:tcW w:w="1500" w:type="dxa"/>
            <w:vAlign w:val="center"/>
            <w:hideMark/>
          </w:tcPr>
          <w:p w14:paraId="0E12B328"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30.0</w:t>
            </w:r>
          </w:p>
        </w:tc>
        <w:tc>
          <w:tcPr>
            <w:tcW w:w="1535" w:type="dxa"/>
            <w:gridSpan w:val="2"/>
            <w:vAlign w:val="center"/>
            <w:hideMark/>
          </w:tcPr>
          <w:p w14:paraId="7E6FC511" w14:textId="77777777" w:rsidR="00F951C6" w:rsidRPr="00507C3A" w:rsidRDefault="00F951C6" w:rsidP="00F8123E">
            <w:pPr>
              <w:jc w:val="both"/>
              <w:rPr>
                <w:rFonts w:ascii="Arial" w:hAnsi="Arial" w:cs="Arial"/>
                <w:sz w:val="20"/>
                <w:szCs w:val="20"/>
              </w:rPr>
            </w:pPr>
          </w:p>
        </w:tc>
      </w:tr>
      <w:tr w:rsidR="00F951C6" w:rsidRPr="007455B3" w14:paraId="6FC569AD" w14:textId="77777777" w:rsidTr="00F8123E">
        <w:trPr>
          <w:tblCellSpacing w:w="15" w:type="dxa"/>
        </w:trPr>
        <w:tc>
          <w:tcPr>
            <w:tcW w:w="2205" w:type="dxa"/>
            <w:vAlign w:val="center"/>
            <w:hideMark/>
          </w:tcPr>
          <w:p w14:paraId="03E9E1EB"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≥40</w:t>
            </w:r>
          </w:p>
        </w:tc>
        <w:tc>
          <w:tcPr>
            <w:tcW w:w="1590" w:type="dxa"/>
            <w:vAlign w:val="center"/>
            <w:hideMark/>
          </w:tcPr>
          <w:p w14:paraId="3E8CB928"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2</w:t>
            </w:r>
          </w:p>
        </w:tc>
        <w:tc>
          <w:tcPr>
            <w:tcW w:w="1500" w:type="dxa"/>
            <w:vAlign w:val="center"/>
            <w:hideMark/>
          </w:tcPr>
          <w:p w14:paraId="37A803A1"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10.0</w:t>
            </w:r>
          </w:p>
        </w:tc>
        <w:tc>
          <w:tcPr>
            <w:tcW w:w="1535" w:type="dxa"/>
            <w:gridSpan w:val="2"/>
            <w:vAlign w:val="center"/>
            <w:hideMark/>
          </w:tcPr>
          <w:p w14:paraId="43A017FF" w14:textId="77777777" w:rsidR="00F951C6" w:rsidRPr="00507C3A" w:rsidRDefault="00F951C6" w:rsidP="00F8123E">
            <w:pPr>
              <w:jc w:val="both"/>
              <w:rPr>
                <w:rFonts w:ascii="Arial" w:hAnsi="Arial" w:cs="Arial"/>
                <w:sz w:val="20"/>
                <w:szCs w:val="20"/>
              </w:rPr>
            </w:pPr>
          </w:p>
        </w:tc>
      </w:tr>
      <w:tr w:rsidR="00F951C6" w:rsidRPr="007455B3" w14:paraId="15FC679B" w14:textId="77777777" w:rsidTr="00F8123E">
        <w:trPr>
          <w:gridAfter w:val="1"/>
          <w:wAfter w:w="5" w:type="dxa"/>
          <w:tblHeader/>
          <w:tblCellSpacing w:w="15" w:type="dxa"/>
        </w:trPr>
        <w:tc>
          <w:tcPr>
            <w:tcW w:w="2205" w:type="dxa"/>
            <w:vAlign w:val="center"/>
            <w:hideMark/>
          </w:tcPr>
          <w:p w14:paraId="0373FC1A" w14:textId="77777777" w:rsidR="00F951C6" w:rsidRPr="00507C3A" w:rsidRDefault="00F951C6" w:rsidP="00F8123E">
            <w:pPr>
              <w:jc w:val="both"/>
              <w:rPr>
                <w:rFonts w:ascii="Arial" w:hAnsi="Arial" w:cs="Arial"/>
                <w:b/>
                <w:bCs/>
                <w:sz w:val="20"/>
                <w:szCs w:val="20"/>
              </w:rPr>
            </w:pPr>
            <w:r w:rsidRPr="00507C3A">
              <w:rPr>
                <w:rFonts w:ascii="Arial" w:hAnsi="Arial" w:cs="Arial"/>
                <w:b/>
                <w:bCs/>
                <w:sz w:val="20"/>
                <w:szCs w:val="20"/>
              </w:rPr>
              <w:t>Maternal Education</w:t>
            </w:r>
          </w:p>
        </w:tc>
        <w:tc>
          <w:tcPr>
            <w:tcW w:w="1590" w:type="dxa"/>
            <w:vAlign w:val="center"/>
            <w:hideMark/>
          </w:tcPr>
          <w:p w14:paraId="139B1471" w14:textId="77777777" w:rsidR="00F951C6" w:rsidRPr="00507C3A" w:rsidRDefault="00F951C6" w:rsidP="00F8123E">
            <w:pPr>
              <w:jc w:val="both"/>
              <w:rPr>
                <w:rFonts w:ascii="Arial" w:hAnsi="Arial" w:cs="Arial"/>
                <w:b/>
                <w:bCs/>
                <w:sz w:val="20"/>
                <w:szCs w:val="20"/>
              </w:rPr>
            </w:pPr>
          </w:p>
        </w:tc>
        <w:tc>
          <w:tcPr>
            <w:tcW w:w="1500" w:type="dxa"/>
            <w:vAlign w:val="center"/>
            <w:hideMark/>
          </w:tcPr>
          <w:p w14:paraId="3F6BDFDC" w14:textId="77777777" w:rsidR="00F951C6" w:rsidRPr="00507C3A" w:rsidRDefault="00F951C6" w:rsidP="00F8123E">
            <w:pPr>
              <w:jc w:val="both"/>
              <w:rPr>
                <w:rFonts w:ascii="Arial" w:hAnsi="Arial" w:cs="Arial"/>
                <w:b/>
                <w:bCs/>
                <w:sz w:val="20"/>
                <w:szCs w:val="20"/>
              </w:rPr>
            </w:pPr>
          </w:p>
        </w:tc>
        <w:tc>
          <w:tcPr>
            <w:tcW w:w="1500" w:type="dxa"/>
            <w:vAlign w:val="center"/>
            <w:hideMark/>
          </w:tcPr>
          <w:p w14:paraId="2877C63A" w14:textId="77777777" w:rsidR="00F951C6" w:rsidRPr="00507C3A" w:rsidRDefault="00F951C6" w:rsidP="00F8123E">
            <w:pPr>
              <w:jc w:val="both"/>
              <w:rPr>
                <w:rFonts w:ascii="Arial" w:hAnsi="Arial" w:cs="Arial"/>
                <w:b/>
                <w:bCs/>
                <w:sz w:val="20"/>
                <w:szCs w:val="20"/>
              </w:rPr>
            </w:pPr>
          </w:p>
        </w:tc>
      </w:tr>
      <w:tr w:rsidR="00F951C6" w:rsidRPr="007455B3" w14:paraId="23FAA153" w14:textId="77777777" w:rsidTr="00F8123E">
        <w:trPr>
          <w:gridAfter w:val="1"/>
          <w:wAfter w:w="5" w:type="dxa"/>
          <w:tblCellSpacing w:w="15" w:type="dxa"/>
        </w:trPr>
        <w:tc>
          <w:tcPr>
            <w:tcW w:w="2205" w:type="dxa"/>
            <w:vAlign w:val="center"/>
            <w:hideMark/>
          </w:tcPr>
          <w:p w14:paraId="0F1F5232"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Primary</w:t>
            </w:r>
          </w:p>
        </w:tc>
        <w:tc>
          <w:tcPr>
            <w:tcW w:w="1590" w:type="dxa"/>
            <w:vAlign w:val="center"/>
            <w:hideMark/>
          </w:tcPr>
          <w:p w14:paraId="3FA0F413"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2</w:t>
            </w:r>
          </w:p>
        </w:tc>
        <w:tc>
          <w:tcPr>
            <w:tcW w:w="1500" w:type="dxa"/>
            <w:vAlign w:val="center"/>
            <w:hideMark/>
          </w:tcPr>
          <w:p w14:paraId="1CC04150"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10.0</w:t>
            </w:r>
          </w:p>
        </w:tc>
        <w:tc>
          <w:tcPr>
            <w:tcW w:w="1500" w:type="dxa"/>
            <w:vAlign w:val="center"/>
            <w:hideMark/>
          </w:tcPr>
          <w:p w14:paraId="16966DAF" w14:textId="77777777" w:rsidR="00F951C6" w:rsidRPr="00507C3A" w:rsidRDefault="00F951C6" w:rsidP="00F8123E">
            <w:pPr>
              <w:jc w:val="both"/>
              <w:rPr>
                <w:rFonts w:ascii="Arial" w:hAnsi="Arial" w:cs="Arial"/>
                <w:sz w:val="20"/>
                <w:szCs w:val="20"/>
              </w:rPr>
            </w:pPr>
          </w:p>
        </w:tc>
      </w:tr>
      <w:tr w:rsidR="00F951C6" w:rsidRPr="007455B3" w14:paraId="01F8BCFD" w14:textId="77777777" w:rsidTr="00F8123E">
        <w:trPr>
          <w:gridAfter w:val="1"/>
          <w:wAfter w:w="5" w:type="dxa"/>
          <w:tblCellSpacing w:w="15" w:type="dxa"/>
        </w:trPr>
        <w:tc>
          <w:tcPr>
            <w:tcW w:w="2205" w:type="dxa"/>
            <w:vAlign w:val="center"/>
            <w:hideMark/>
          </w:tcPr>
          <w:p w14:paraId="610BC351"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Secondary</w:t>
            </w:r>
          </w:p>
        </w:tc>
        <w:tc>
          <w:tcPr>
            <w:tcW w:w="1590" w:type="dxa"/>
            <w:vAlign w:val="center"/>
            <w:hideMark/>
          </w:tcPr>
          <w:p w14:paraId="1B50F649"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6</w:t>
            </w:r>
          </w:p>
        </w:tc>
        <w:tc>
          <w:tcPr>
            <w:tcW w:w="1500" w:type="dxa"/>
            <w:vAlign w:val="center"/>
            <w:hideMark/>
          </w:tcPr>
          <w:p w14:paraId="0C050BAA"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30.0</w:t>
            </w:r>
          </w:p>
        </w:tc>
        <w:tc>
          <w:tcPr>
            <w:tcW w:w="1500" w:type="dxa"/>
            <w:vAlign w:val="center"/>
            <w:hideMark/>
          </w:tcPr>
          <w:p w14:paraId="389D34A0"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&lt;.</w:t>
            </w:r>
            <w:r w:rsidRPr="007455B3">
              <w:rPr>
                <w:rFonts w:ascii="Arial" w:hAnsi="Arial" w:cs="Arial"/>
                <w:sz w:val="20"/>
                <w:szCs w:val="20"/>
              </w:rPr>
              <w:t>0</w:t>
            </w:r>
            <w:r w:rsidRPr="00507C3A">
              <w:rPr>
                <w:rFonts w:ascii="Arial" w:hAnsi="Arial" w:cs="Arial"/>
                <w:sz w:val="20"/>
                <w:szCs w:val="20"/>
              </w:rPr>
              <w:t>5</w:t>
            </w:r>
          </w:p>
        </w:tc>
      </w:tr>
      <w:tr w:rsidR="00F951C6" w:rsidRPr="007455B3" w14:paraId="49D3E794" w14:textId="77777777" w:rsidTr="00F8123E">
        <w:trPr>
          <w:gridAfter w:val="1"/>
          <w:wAfter w:w="5" w:type="dxa"/>
          <w:tblCellSpacing w:w="15" w:type="dxa"/>
        </w:trPr>
        <w:tc>
          <w:tcPr>
            <w:tcW w:w="2205" w:type="dxa"/>
            <w:tcBorders>
              <w:bottom w:val="single" w:sz="4" w:space="0" w:color="auto"/>
            </w:tcBorders>
            <w:vAlign w:val="center"/>
            <w:hideMark/>
          </w:tcPr>
          <w:p w14:paraId="3E76E7BD"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Tertiary</w:t>
            </w:r>
          </w:p>
        </w:tc>
        <w:tc>
          <w:tcPr>
            <w:tcW w:w="1590" w:type="dxa"/>
            <w:tcBorders>
              <w:bottom w:val="single" w:sz="4" w:space="0" w:color="auto"/>
            </w:tcBorders>
            <w:vAlign w:val="center"/>
            <w:hideMark/>
          </w:tcPr>
          <w:p w14:paraId="72A50F7B"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12</w:t>
            </w:r>
          </w:p>
        </w:tc>
        <w:tc>
          <w:tcPr>
            <w:tcW w:w="1500" w:type="dxa"/>
            <w:tcBorders>
              <w:bottom w:val="single" w:sz="4" w:space="0" w:color="auto"/>
            </w:tcBorders>
            <w:vAlign w:val="center"/>
            <w:hideMark/>
          </w:tcPr>
          <w:p w14:paraId="414FE003" w14:textId="77777777" w:rsidR="00F951C6" w:rsidRPr="00507C3A" w:rsidRDefault="00F951C6" w:rsidP="00F8123E">
            <w:pPr>
              <w:jc w:val="both"/>
              <w:rPr>
                <w:rFonts w:ascii="Arial" w:hAnsi="Arial" w:cs="Arial"/>
                <w:sz w:val="20"/>
                <w:szCs w:val="20"/>
              </w:rPr>
            </w:pPr>
            <w:r w:rsidRPr="00507C3A">
              <w:rPr>
                <w:rFonts w:ascii="Arial" w:hAnsi="Arial" w:cs="Arial"/>
                <w:sz w:val="20"/>
                <w:szCs w:val="20"/>
              </w:rPr>
              <w:t>60.0</w:t>
            </w:r>
          </w:p>
        </w:tc>
        <w:tc>
          <w:tcPr>
            <w:tcW w:w="1500" w:type="dxa"/>
            <w:tcBorders>
              <w:bottom w:val="single" w:sz="4" w:space="0" w:color="auto"/>
            </w:tcBorders>
            <w:vAlign w:val="center"/>
            <w:hideMark/>
          </w:tcPr>
          <w:p w14:paraId="3051B685" w14:textId="77777777" w:rsidR="00F951C6" w:rsidRPr="00507C3A" w:rsidRDefault="00F951C6" w:rsidP="00F8123E">
            <w:pPr>
              <w:jc w:val="both"/>
              <w:rPr>
                <w:rFonts w:ascii="Arial" w:hAnsi="Arial" w:cs="Arial"/>
                <w:sz w:val="20"/>
                <w:szCs w:val="20"/>
              </w:rPr>
            </w:pPr>
          </w:p>
        </w:tc>
      </w:tr>
    </w:tbl>
    <w:p w14:paraId="6167FBBF" w14:textId="77777777" w:rsidR="00F951C6" w:rsidRPr="000B5490" w:rsidRDefault="00F951C6" w:rsidP="00F951C6">
      <w:pPr>
        <w:jc w:val="both"/>
        <w:rPr>
          <w:rFonts w:ascii="Arial" w:hAnsi="Arial" w:cs="Arial"/>
          <w:b/>
          <w:bCs/>
          <w:sz w:val="20"/>
          <w:szCs w:val="20"/>
        </w:rPr>
      </w:pPr>
      <w:r w:rsidRPr="007455B3">
        <w:rPr>
          <w:rFonts w:ascii="Arial" w:hAnsi="Arial" w:cs="Arial"/>
          <w:sz w:val="20"/>
          <w:szCs w:val="20"/>
        </w:rPr>
        <w:br w:type="textWrapping" w:clear="all"/>
      </w:r>
      <w:r w:rsidRPr="000B5490">
        <w:rPr>
          <w:rFonts w:ascii="Arial" w:hAnsi="Arial" w:cs="Arial"/>
          <w:b/>
          <w:bCs/>
          <w:sz w:val="20"/>
          <w:szCs w:val="20"/>
        </w:rPr>
        <w:t>NS – Not Significant</w:t>
      </w:r>
    </w:p>
    <w:p w14:paraId="6D31A633" w14:textId="77777777" w:rsidR="00F951C6" w:rsidRPr="00221682" w:rsidRDefault="00F951C6" w:rsidP="00F951C6">
      <w:pPr>
        <w:jc w:val="both"/>
        <w:rPr>
          <w:rFonts w:ascii="Arial" w:hAnsi="Arial" w:cs="Arial"/>
          <w:b/>
          <w:bCs/>
          <w:sz w:val="22"/>
          <w:szCs w:val="22"/>
        </w:rPr>
      </w:pPr>
      <w:r>
        <w:rPr>
          <w:rFonts w:ascii="Arial" w:hAnsi="Arial" w:cs="Arial"/>
          <w:b/>
          <w:bCs/>
          <w:sz w:val="22"/>
          <w:szCs w:val="22"/>
        </w:rPr>
        <w:t>3.</w:t>
      </w:r>
      <w:r w:rsidRPr="007455B3">
        <w:rPr>
          <w:rFonts w:ascii="Arial" w:hAnsi="Arial" w:cs="Arial"/>
          <w:b/>
          <w:bCs/>
          <w:sz w:val="22"/>
          <w:szCs w:val="22"/>
        </w:rPr>
        <w:t>4 Discussion</w:t>
      </w:r>
    </w:p>
    <w:p w14:paraId="24C1EE3C" w14:textId="77777777" w:rsidR="00F951C6" w:rsidRPr="00221682" w:rsidRDefault="00F951C6" w:rsidP="00F951C6">
      <w:pPr>
        <w:jc w:val="both"/>
        <w:rPr>
          <w:rFonts w:ascii="Arial" w:hAnsi="Arial" w:cs="Arial"/>
          <w:sz w:val="20"/>
          <w:szCs w:val="20"/>
        </w:rPr>
      </w:pPr>
      <w:r w:rsidRPr="00221682">
        <w:rPr>
          <w:rFonts w:ascii="Arial" w:hAnsi="Arial" w:cs="Arial"/>
          <w:sz w:val="20"/>
          <w:szCs w:val="20"/>
        </w:rPr>
        <w:t xml:space="preserve">This study sought to determine the occurrence of rotavirus infection and its associated socio-demographic and environmental risk factors among children under five years of age presenting with </w:t>
      </w:r>
      <w:proofErr w:type="spellStart"/>
      <w:r w:rsidRPr="00221682">
        <w:rPr>
          <w:rFonts w:ascii="Arial" w:hAnsi="Arial" w:cs="Arial"/>
          <w:sz w:val="20"/>
          <w:szCs w:val="20"/>
        </w:rPr>
        <w:t>diarrhoea</w:t>
      </w:r>
      <w:proofErr w:type="spellEnd"/>
      <w:r w:rsidRPr="00221682">
        <w:rPr>
          <w:rFonts w:ascii="Arial" w:hAnsi="Arial" w:cs="Arial"/>
          <w:sz w:val="20"/>
          <w:szCs w:val="20"/>
        </w:rPr>
        <w:t xml:space="preserve"> in Abuja Municipal Area Council (AMAC), Nigeria. The findings revealed a rotavirus prevalence rate of 10.0%, highlighting an ongoing public health concern within the region. While this prevalence falls within the range of moderate endemicity, it remains consistent with the urban rotavirus burden previously documented in parts of Nigeria and sub-Saharan Africa (</w:t>
      </w:r>
      <w:proofErr w:type="spellStart"/>
      <w:r w:rsidRPr="0025026B">
        <w:rPr>
          <w:rFonts w:ascii="Arial" w:hAnsi="Arial" w:cs="Arial"/>
          <w:sz w:val="20"/>
          <w:szCs w:val="20"/>
        </w:rPr>
        <w:t>Digwo</w:t>
      </w:r>
      <w:proofErr w:type="spellEnd"/>
      <w:r w:rsidRPr="0025026B">
        <w:rPr>
          <w:rFonts w:ascii="Arial" w:hAnsi="Arial" w:cs="Arial"/>
          <w:sz w:val="20"/>
          <w:szCs w:val="20"/>
        </w:rPr>
        <w:t xml:space="preserve"> </w:t>
      </w:r>
      <w:r w:rsidRPr="00221682">
        <w:rPr>
          <w:rFonts w:ascii="Arial" w:hAnsi="Arial" w:cs="Arial"/>
          <w:sz w:val="20"/>
          <w:szCs w:val="20"/>
        </w:rPr>
        <w:t xml:space="preserve">et al., 2023; </w:t>
      </w:r>
      <w:proofErr w:type="spellStart"/>
      <w:r w:rsidRPr="00221682">
        <w:rPr>
          <w:rFonts w:ascii="Arial" w:hAnsi="Arial" w:cs="Arial"/>
          <w:sz w:val="20"/>
          <w:szCs w:val="20"/>
        </w:rPr>
        <w:t>Muenchhoff</w:t>
      </w:r>
      <w:proofErr w:type="spellEnd"/>
      <w:r w:rsidRPr="00221682">
        <w:rPr>
          <w:rFonts w:ascii="Arial" w:hAnsi="Arial" w:cs="Arial"/>
          <w:sz w:val="20"/>
          <w:szCs w:val="20"/>
        </w:rPr>
        <w:t xml:space="preserve"> &amp; </w:t>
      </w:r>
      <w:proofErr w:type="spellStart"/>
      <w:r w:rsidRPr="00221682">
        <w:rPr>
          <w:rFonts w:ascii="Arial" w:hAnsi="Arial" w:cs="Arial"/>
          <w:sz w:val="20"/>
          <w:szCs w:val="20"/>
        </w:rPr>
        <w:t>Goulder</w:t>
      </w:r>
      <w:proofErr w:type="spellEnd"/>
      <w:r w:rsidRPr="00221682">
        <w:rPr>
          <w:rFonts w:ascii="Arial" w:hAnsi="Arial" w:cs="Arial"/>
          <w:sz w:val="20"/>
          <w:szCs w:val="20"/>
        </w:rPr>
        <w:t>, 2014).</w:t>
      </w:r>
    </w:p>
    <w:p w14:paraId="3EDD4971" w14:textId="77777777" w:rsidR="00F951C6" w:rsidRPr="00221682" w:rsidRDefault="00F951C6" w:rsidP="00F951C6">
      <w:pPr>
        <w:jc w:val="both"/>
        <w:rPr>
          <w:rFonts w:ascii="Arial" w:hAnsi="Arial" w:cs="Arial"/>
          <w:sz w:val="20"/>
          <w:szCs w:val="20"/>
        </w:rPr>
      </w:pPr>
      <w:r w:rsidRPr="00221682">
        <w:rPr>
          <w:rFonts w:ascii="Arial" w:hAnsi="Arial" w:cs="Arial"/>
          <w:sz w:val="20"/>
          <w:szCs w:val="20"/>
        </w:rPr>
        <w:t xml:space="preserve">Compared to studies conducted in Northern Nigeria, such as Suleiman and </w:t>
      </w:r>
      <w:proofErr w:type="spellStart"/>
      <w:r w:rsidRPr="00221682">
        <w:rPr>
          <w:rFonts w:ascii="Arial" w:hAnsi="Arial" w:cs="Arial"/>
          <w:sz w:val="20"/>
          <w:szCs w:val="20"/>
        </w:rPr>
        <w:t>Dutsinma</w:t>
      </w:r>
      <w:proofErr w:type="spellEnd"/>
      <w:r w:rsidRPr="00221682">
        <w:rPr>
          <w:rFonts w:ascii="Arial" w:hAnsi="Arial" w:cs="Arial"/>
          <w:sz w:val="20"/>
          <w:szCs w:val="20"/>
        </w:rPr>
        <w:t xml:space="preserve"> (2020) who reported a 28% prevalence in Kano, and Garba et al. (20</w:t>
      </w:r>
      <w:r>
        <w:rPr>
          <w:rFonts w:ascii="Arial" w:hAnsi="Arial" w:cs="Arial"/>
          <w:sz w:val="20"/>
          <w:szCs w:val="20"/>
        </w:rPr>
        <w:t>19</w:t>
      </w:r>
      <w:r w:rsidRPr="00221682">
        <w:rPr>
          <w:rFonts w:ascii="Arial" w:hAnsi="Arial" w:cs="Arial"/>
          <w:sz w:val="20"/>
          <w:szCs w:val="20"/>
        </w:rPr>
        <w:t xml:space="preserve">) who observed </w:t>
      </w:r>
      <w:r>
        <w:rPr>
          <w:rFonts w:ascii="Arial" w:hAnsi="Arial" w:cs="Arial"/>
          <w:sz w:val="20"/>
          <w:szCs w:val="20"/>
        </w:rPr>
        <w:t>18</w:t>
      </w:r>
      <w:r w:rsidRPr="00221682">
        <w:rPr>
          <w:rFonts w:ascii="Arial" w:hAnsi="Arial" w:cs="Arial"/>
          <w:sz w:val="20"/>
          <w:szCs w:val="20"/>
        </w:rPr>
        <w:t>% in Yobe State, the lower prevalence in AMAC may reflect a relatively better access to healthcare services, water supply, and hygiene facilities in the Federal Capital Territory. Nonetheless, the continued detection of rotavirus cases, despite improvements in infrastructure, suggests gaps in prevention strategies such as vaccination uptake, public awareness, and hygiene education.</w:t>
      </w:r>
    </w:p>
    <w:p w14:paraId="4A573F21" w14:textId="77777777" w:rsidR="00F951C6" w:rsidRPr="00221682" w:rsidRDefault="00F951C6" w:rsidP="00F951C6">
      <w:pPr>
        <w:jc w:val="both"/>
        <w:rPr>
          <w:rFonts w:ascii="Arial" w:hAnsi="Arial" w:cs="Arial"/>
          <w:b/>
          <w:bCs/>
          <w:sz w:val="20"/>
          <w:szCs w:val="20"/>
        </w:rPr>
      </w:pPr>
      <w:r w:rsidRPr="00221682">
        <w:rPr>
          <w:rFonts w:ascii="Arial" w:hAnsi="Arial" w:cs="Arial"/>
          <w:b/>
          <w:bCs/>
          <w:sz w:val="20"/>
          <w:szCs w:val="20"/>
        </w:rPr>
        <w:lastRenderedPageBreak/>
        <w:t>Age-related Vulnerability</w:t>
      </w:r>
    </w:p>
    <w:p w14:paraId="101DAEFB" w14:textId="1A484063" w:rsidR="00F951C6" w:rsidRPr="00221682" w:rsidRDefault="00F951C6" w:rsidP="00F951C6">
      <w:pPr>
        <w:jc w:val="both"/>
        <w:rPr>
          <w:rFonts w:ascii="Arial" w:hAnsi="Arial" w:cs="Arial"/>
          <w:sz w:val="20"/>
          <w:szCs w:val="20"/>
        </w:rPr>
      </w:pPr>
      <w:r w:rsidRPr="00221682">
        <w:rPr>
          <w:rFonts w:ascii="Arial" w:hAnsi="Arial" w:cs="Arial"/>
          <w:sz w:val="20"/>
          <w:szCs w:val="20"/>
        </w:rPr>
        <w:t xml:space="preserve">The highest burden of infection was recorded among infants aged 0–11 months, accounting for 40% of rotavirus-positive cases. This age-related susceptibility is well documented in global literature (Tate et al., 2016; Walker et al., 2013). Infants are at elevated risk due to immature immune systems, early weaning, and increased hand-to-mouth </w:t>
      </w:r>
      <w:proofErr w:type="spellStart"/>
      <w:r w:rsidRPr="00221682">
        <w:rPr>
          <w:rFonts w:ascii="Arial" w:hAnsi="Arial" w:cs="Arial"/>
          <w:sz w:val="20"/>
          <w:szCs w:val="20"/>
        </w:rPr>
        <w:t>behaviour</w:t>
      </w:r>
      <w:proofErr w:type="spellEnd"/>
      <w:r w:rsidRPr="00221682">
        <w:rPr>
          <w:rFonts w:ascii="Arial" w:hAnsi="Arial" w:cs="Arial"/>
          <w:sz w:val="20"/>
          <w:szCs w:val="20"/>
        </w:rPr>
        <w:t xml:space="preserve">, all of which facilitate </w:t>
      </w:r>
      <w:proofErr w:type="spellStart"/>
      <w:r w:rsidRPr="00221682">
        <w:rPr>
          <w:rFonts w:ascii="Arial" w:hAnsi="Arial" w:cs="Arial"/>
          <w:sz w:val="20"/>
          <w:szCs w:val="20"/>
        </w:rPr>
        <w:t>faeco</w:t>
      </w:r>
      <w:proofErr w:type="spellEnd"/>
      <w:r w:rsidRPr="00221682">
        <w:rPr>
          <w:rFonts w:ascii="Arial" w:hAnsi="Arial" w:cs="Arial"/>
          <w:sz w:val="20"/>
          <w:szCs w:val="20"/>
        </w:rPr>
        <w:t>-oral transmission of pathogens like rotavirus. Moreover, in resource-limited settings, early exposure to unsafe water and contaminated feeding utensils exacerbates infection risks. These findings reinforce the importance of introducing the rotavirus vaccine early in infancy, ideally before the age of 6 months as recommended by WHO (2021).</w:t>
      </w:r>
    </w:p>
    <w:p w14:paraId="5DCE8C6D" w14:textId="77777777" w:rsidR="00F951C6" w:rsidRPr="00221682" w:rsidRDefault="00F951C6" w:rsidP="00F951C6">
      <w:pPr>
        <w:jc w:val="both"/>
        <w:rPr>
          <w:rFonts w:ascii="Arial" w:hAnsi="Arial" w:cs="Arial"/>
          <w:b/>
          <w:bCs/>
          <w:sz w:val="20"/>
          <w:szCs w:val="20"/>
        </w:rPr>
      </w:pPr>
      <w:r w:rsidRPr="00221682">
        <w:rPr>
          <w:rFonts w:ascii="Arial" w:hAnsi="Arial" w:cs="Arial"/>
          <w:b/>
          <w:bCs/>
          <w:sz w:val="20"/>
          <w:szCs w:val="20"/>
        </w:rPr>
        <w:t>Feeding Practices</w:t>
      </w:r>
    </w:p>
    <w:p w14:paraId="57EE291B" w14:textId="77777777" w:rsidR="00F951C6" w:rsidRPr="00221682" w:rsidRDefault="00F951C6" w:rsidP="00F951C6">
      <w:pPr>
        <w:jc w:val="both"/>
        <w:rPr>
          <w:rFonts w:ascii="Arial" w:hAnsi="Arial" w:cs="Arial"/>
          <w:sz w:val="20"/>
          <w:szCs w:val="20"/>
        </w:rPr>
      </w:pPr>
      <w:r w:rsidRPr="00221682">
        <w:rPr>
          <w:rFonts w:ascii="Arial" w:hAnsi="Arial" w:cs="Arial"/>
          <w:sz w:val="20"/>
          <w:szCs w:val="20"/>
        </w:rPr>
        <w:t>Feeding practices were a significant determinant of infection. Children on mixed feeding (i.e., receiving both breast milk and formula or other liquids) had the highest rate of rotavirus positivity (45%). In contrast, those who were exclusively breastfed had significantly lower rates (15%). This supports evidence from Nwachukwu et al. (2023) and other studies, indicating that exclusive breastfeeding provides immunological protection, particularly through the transfer of maternal antibodies such as IgA, which can neutralize enteric pathogens in the gut.</w:t>
      </w:r>
    </w:p>
    <w:p w14:paraId="66ABE625" w14:textId="77777777" w:rsidR="00F951C6" w:rsidRPr="00221682" w:rsidRDefault="00F951C6" w:rsidP="00F951C6">
      <w:pPr>
        <w:jc w:val="both"/>
        <w:rPr>
          <w:rFonts w:ascii="Arial" w:hAnsi="Arial" w:cs="Arial"/>
          <w:sz w:val="20"/>
          <w:szCs w:val="20"/>
        </w:rPr>
      </w:pPr>
      <w:r w:rsidRPr="00221682">
        <w:rPr>
          <w:rFonts w:ascii="Arial" w:hAnsi="Arial" w:cs="Arial"/>
          <w:sz w:val="20"/>
          <w:szCs w:val="20"/>
        </w:rPr>
        <w:t>Mixed feeding often involves the use of feeding bottles, which, if inadequately sterilized, become vectors for pathogen transmission (</w:t>
      </w:r>
      <w:proofErr w:type="spellStart"/>
      <w:r w:rsidRPr="00221682">
        <w:rPr>
          <w:rFonts w:ascii="Arial" w:hAnsi="Arial" w:cs="Arial"/>
          <w:sz w:val="20"/>
          <w:szCs w:val="20"/>
        </w:rPr>
        <w:t>Onanuga</w:t>
      </w:r>
      <w:proofErr w:type="spellEnd"/>
      <w:r w:rsidRPr="00221682">
        <w:rPr>
          <w:rFonts w:ascii="Arial" w:hAnsi="Arial" w:cs="Arial"/>
          <w:sz w:val="20"/>
          <w:szCs w:val="20"/>
        </w:rPr>
        <w:t xml:space="preserve"> et al., 2017). Additionally, formula is typically prepared with water, and if the water source is contaminated or improperly stored, it may serve as a medium for introducing rotavirus. These insights underscore the World Health Organization’s guidance advocating for exclusive breastfeeding for the first six months of life (WHO, 2021).</w:t>
      </w:r>
    </w:p>
    <w:p w14:paraId="6BA90483" w14:textId="77777777" w:rsidR="00F951C6" w:rsidRPr="00221682" w:rsidRDefault="00F951C6" w:rsidP="00F951C6">
      <w:pPr>
        <w:jc w:val="both"/>
        <w:rPr>
          <w:rFonts w:ascii="Arial" w:hAnsi="Arial" w:cs="Arial"/>
          <w:b/>
          <w:bCs/>
          <w:sz w:val="20"/>
          <w:szCs w:val="20"/>
        </w:rPr>
      </w:pPr>
      <w:r w:rsidRPr="00221682">
        <w:rPr>
          <w:rFonts w:ascii="Arial" w:hAnsi="Arial" w:cs="Arial"/>
          <w:b/>
          <w:bCs/>
          <w:sz w:val="20"/>
          <w:szCs w:val="20"/>
        </w:rPr>
        <w:t xml:space="preserve">Hygiene and </w:t>
      </w:r>
      <w:proofErr w:type="spellStart"/>
      <w:r w:rsidRPr="00221682">
        <w:rPr>
          <w:rFonts w:ascii="Arial" w:hAnsi="Arial" w:cs="Arial"/>
          <w:b/>
          <w:bCs/>
          <w:sz w:val="20"/>
          <w:szCs w:val="20"/>
        </w:rPr>
        <w:t>Behavioural</w:t>
      </w:r>
      <w:proofErr w:type="spellEnd"/>
      <w:r w:rsidRPr="00221682">
        <w:rPr>
          <w:rFonts w:ascii="Arial" w:hAnsi="Arial" w:cs="Arial"/>
          <w:b/>
          <w:bCs/>
          <w:sz w:val="20"/>
          <w:szCs w:val="20"/>
        </w:rPr>
        <w:t xml:space="preserve"> Practices</w:t>
      </w:r>
    </w:p>
    <w:p w14:paraId="4E1F0515" w14:textId="77777777" w:rsidR="00F951C6" w:rsidRPr="00221682" w:rsidRDefault="00F951C6" w:rsidP="00F951C6">
      <w:pPr>
        <w:jc w:val="both"/>
        <w:rPr>
          <w:rFonts w:ascii="Arial" w:hAnsi="Arial" w:cs="Arial"/>
          <w:sz w:val="20"/>
          <w:szCs w:val="20"/>
        </w:rPr>
      </w:pPr>
      <w:r w:rsidRPr="00221682">
        <w:rPr>
          <w:rFonts w:ascii="Arial" w:hAnsi="Arial" w:cs="Arial"/>
          <w:sz w:val="20"/>
          <w:szCs w:val="20"/>
        </w:rPr>
        <w:t>Poor hygiene practices, particularly the failure to wash hands after defecation or after cleaning a child, were strongly associated with rotavirus infection in this study. This finding aligns with earlier reports from both Nigerian and regional studies, which emphasized that hand hygiene plays a pivotal role in interrupting the transmission of enteric viruses (Garba et al., 20</w:t>
      </w:r>
      <w:r>
        <w:rPr>
          <w:rFonts w:ascii="Arial" w:hAnsi="Arial" w:cs="Arial"/>
          <w:sz w:val="20"/>
          <w:szCs w:val="20"/>
        </w:rPr>
        <w:t>19</w:t>
      </w:r>
      <w:r w:rsidRPr="00221682">
        <w:rPr>
          <w:rFonts w:ascii="Arial" w:hAnsi="Arial" w:cs="Arial"/>
          <w:sz w:val="20"/>
          <w:szCs w:val="20"/>
        </w:rPr>
        <w:t xml:space="preserve">; </w:t>
      </w:r>
      <w:r>
        <w:rPr>
          <w:rFonts w:ascii="Arial" w:hAnsi="Arial" w:cs="Arial"/>
          <w:sz w:val="20"/>
          <w:szCs w:val="20"/>
        </w:rPr>
        <w:t>Adamu</w:t>
      </w:r>
      <w:r w:rsidRPr="00221682">
        <w:rPr>
          <w:rFonts w:ascii="Arial" w:hAnsi="Arial" w:cs="Arial"/>
          <w:sz w:val="20"/>
          <w:szCs w:val="20"/>
        </w:rPr>
        <w:t xml:space="preserve"> et al., 2022). Handwashing with soap and water is recognized as a low-cost but highly effective intervention that can reduce </w:t>
      </w:r>
      <w:proofErr w:type="spellStart"/>
      <w:r w:rsidRPr="00221682">
        <w:rPr>
          <w:rFonts w:ascii="Arial" w:hAnsi="Arial" w:cs="Arial"/>
          <w:sz w:val="20"/>
          <w:szCs w:val="20"/>
        </w:rPr>
        <w:t>diarrhoea</w:t>
      </w:r>
      <w:proofErr w:type="spellEnd"/>
      <w:r w:rsidRPr="00221682">
        <w:rPr>
          <w:rFonts w:ascii="Arial" w:hAnsi="Arial" w:cs="Arial"/>
          <w:sz w:val="20"/>
          <w:szCs w:val="20"/>
        </w:rPr>
        <w:t xml:space="preserve"> incidence by up to 40% (Curtis &amp; Cairncross, 2003).</w:t>
      </w:r>
    </w:p>
    <w:p w14:paraId="1712DB43" w14:textId="77777777" w:rsidR="00F951C6" w:rsidRPr="00221682" w:rsidRDefault="00F951C6" w:rsidP="00F951C6">
      <w:pPr>
        <w:jc w:val="both"/>
        <w:rPr>
          <w:rFonts w:ascii="Arial" w:hAnsi="Arial" w:cs="Arial"/>
          <w:sz w:val="20"/>
          <w:szCs w:val="20"/>
        </w:rPr>
      </w:pPr>
      <w:r w:rsidRPr="00221682">
        <w:rPr>
          <w:rFonts w:ascii="Arial" w:hAnsi="Arial" w:cs="Arial"/>
          <w:sz w:val="20"/>
          <w:szCs w:val="20"/>
        </w:rPr>
        <w:t>Unfortunately, hand hygiene compliance remains suboptimal in many parts of sub-Saharan Africa, largely due to lack of awareness, inconsistent water supply, and cultural practices. These challenges highlight the need for community-based health education programs tailored to local beliefs and practices.</w:t>
      </w:r>
    </w:p>
    <w:p w14:paraId="49724AA4" w14:textId="77777777" w:rsidR="00F951C6" w:rsidRPr="00221682" w:rsidRDefault="00F951C6" w:rsidP="00F951C6">
      <w:pPr>
        <w:jc w:val="both"/>
        <w:rPr>
          <w:rFonts w:ascii="Arial" w:hAnsi="Arial" w:cs="Arial"/>
          <w:b/>
          <w:bCs/>
          <w:sz w:val="20"/>
          <w:szCs w:val="20"/>
        </w:rPr>
      </w:pPr>
      <w:r w:rsidRPr="00221682">
        <w:rPr>
          <w:rFonts w:ascii="Arial" w:hAnsi="Arial" w:cs="Arial"/>
          <w:b/>
          <w:bCs/>
          <w:sz w:val="20"/>
          <w:szCs w:val="20"/>
        </w:rPr>
        <w:t>Maternal Characteristics</w:t>
      </w:r>
    </w:p>
    <w:p w14:paraId="40A66359" w14:textId="77777777" w:rsidR="00F951C6" w:rsidRPr="00221682" w:rsidRDefault="00F951C6" w:rsidP="00F951C6">
      <w:pPr>
        <w:jc w:val="both"/>
        <w:rPr>
          <w:rFonts w:ascii="Arial" w:hAnsi="Arial" w:cs="Arial"/>
          <w:sz w:val="20"/>
          <w:szCs w:val="20"/>
        </w:rPr>
      </w:pPr>
      <w:r w:rsidRPr="00221682">
        <w:rPr>
          <w:rFonts w:ascii="Arial" w:hAnsi="Arial" w:cs="Arial"/>
          <w:sz w:val="20"/>
          <w:szCs w:val="20"/>
        </w:rPr>
        <w:t xml:space="preserve">One of the more unexpected findings was the higher prevalence of rotavirus infection among children of mothers with tertiary education. While it is generally assumed that educated mothers practice better hygiene and feeding habits, studies have shown that higher education is sometimes associated with early return to work, use of daycare </w:t>
      </w:r>
      <w:proofErr w:type="spellStart"/>
      <w:r w:rsidRPr="00221682">
        <w:rPr>
          <w:rFonts w:ascii="Arial" w:hAnsi="Arial" w:cs="Arial"/>
          <w:sz w:val="20"/>
          <w:szCs w:val="20"/>
        </w:rPr>
        <w:t>centres</w:t>
      </w:r>
      <w:proofErr w:type="spellEnd"/>
      <w:r w:rsidRPr="00221682">
        <w:rPr>
          <w:rFonts w:ascii="Arial" w:hAnsi="Arial" w:cs="Arial"/>
          <w:sz w:val="20"/>
          <w:szCs w:val="20"/>
        </w:rPr>
        <w:t xml:space="preserve">, and dependence on alternate caregivers, which may reduce the exclusivity of breastfeeding and increase exposure to pathogens (Mwenda et al., </w:t>
      </w:r>
      <w:r>
        <w:rPr>
          <w:rFonts w:ascii="Arial" w:hAnsi="Arial" w:cs="Arial"/>
          <w:sz w:val="20"/>
          <w:szCs w:val="20"/>
        </w:rPr>
        <w:t>2018</w:t>
      </w:r>
      <w:r w:rsidRPr="00221682">
        <w:rPr>
          <w:rFonts w:ascii="Arial" w:hAnsi="Arial" w:cs="Arial"/>
          <w:sz w:val="20"/>
          <w:szCs w:val="20"/>
        </w:rPr>
        <w:t xml:space="preserve">; </w:t>
      </w:r>
      <w:r>
        <w:rPr>
          <w:rFonts w:ascii="Arial" w:hAnsi="Arial" w:cs="Arial"/>
          <w:sz w:val="20"/>
          <w:szCs w:val="20"/>
        </w:rPr>
        <w:t xml:space="preserve">Amos </w:t>
      </w:r>
      <w:r w:rsidRPr="00221682">
        <w:rPr>
          <w:rFonts w:ascii="Arial" w:hAnsi="Arial" w:cs="Arial"/>
          <w:sz w:val="20"/>
          <w:szCs w:val="20"/>
        </w:rPr>
        <w:t>et al., 202</w:t>
      </w:r>
      <w:r>
        <w:rPr>
          <w:rFonts w:ascii="Arial" w:hAnsi="Arial" w:cs="Arial"/>
          <w:sz w:val="20"/>
          <w:szCs w:val="20"/>
        </w:rPr>
        <w:t>4</w:t>
      </w:r>
      <w:r w:rsidRPr="00221682">
        <w:rPr>
          <w:rFonts w:ascii="Arial" w:hAnsi="Arial" w:cs="Arial"/>
          <w:sz w:val="20"/>
          <w:szCs w:val="20"/>
        </w:rPr>
        <w:t>).</w:t>
      </w:r>
    </w:p>
    <w:p w14:paraId="4A3E2B24" w14:textId="77777777" w:rsidR="00F951C6" w:rsidRPr="00221682" w:rsidRDefault="00F951C6" w:rsidP="00F951C6">
      <w:pPr>
        <w:jc w:val="both"/>
        <w:rPr>
          <w:rFonts w:ascii="Arial" w:hAnsi="Arial" w:cs="Arial"/>
          <w:sz w:val="20"/>
          <w:szCs w:val="20"/>
        </w:rPr>
      </w:pPr>
      <w:r w:rsidRPr="00221682">
        <w:rPr>
          <w:rFonts w:ascii="Arial" w:hAnsi="Arial" w:cs="Arial"/>
          <w:sz w:val="20"/>
          <w:szCs w:val="20"/>
        </w:rPr>
        <w:t xml:space="preserve">Additionally, caregivers from higher socio-economic classes may rely on commercial infant formulas, which are not always prepared under hygienic conditions. In contrast, mothers with lower education levels may breastfeed for longer due to limited access to alternatives. These dynamics reflect the complex interplay between socio-economic status, maternal </w:t>
      </w:r>
      <w:proofErr w:type="spellStart"/>
      <w:r w:rsidRPr="00221682">
        <w:rPr>
          <w:rFonts w:ascii="Arial" w:hAnsi="Arial" w:cs="Arial"/>
          <w:sz w:val="20"/>
          <w:szCs w:val="20"/>
        </w:rPr>
        <w:t>behaviour</w:t>
      </w:r>
      <w:proofErr w:type="spellEnd"/>
      <w:r w:rsidRPr="00221682">
        <w:rPr>
          <w:rFonts w:ascii="Arial" w:hAnsi="Arial" w:cs="Arial"/>
          <w:sz w:val="20"/>
          <w:szCs w:val="20"/>
        </w:rPr>
        <w:t>, and child health outcomes, and underscore the importance of targeting all education levels with tailored public health messaging.</w:t>
      </w:r>
    </w:p>
    <w:p w14:paraId="4E09EDCD" w14:textId="77777777" w:rsidR="00F951C6" w:rsidRPr="00221682" w:rsidRDefault="00F951C6" w:rsidP="00F951C6">
      <w:pPr>
        <w:jc w:val="both"/>
        <w:rPr>
          <w:rFonts w:ascii="Arial" w:hAnsi="Arial" w:cs="Arial"/>
          <w:b/>
          <w:bCs/>
          <w:sz w:val="20"/>
          <w:szCs w:val="20"/>
        </w:rPr>
      </w:pPr>
      <w:r w:rsidRPr="00221682">
        <w:rPr>
          <w:rFonts w:ascii="Arial" w:hAnsi="Arial" w:cs="Arial"/>
          <w:b/>
          <w:bCs/>
          <w:sz w:val="20"/>
          <w:szCs w:val="20"/>
        </w:rPr>
        <w:t>Gender Distribution</w:t>
      </w:r>
    </w:p>
    <w:p w14:paraId="6DF4B6A0" w14:textId="77777777" w:rsidR="00F951C6" w:rsidRPr="00221682" w:rsidRDefault="00F951C6" w:rsidP="00F951C6">
      <w:pPr>
        <w:jc w:val="both"/>
        <w:rPr>
          <w:rFonts w:ascii="Arial" w:hAnsi="Arial" w:cs="Arial"/>
          <w:sz w:val="20"/>
          <w:szCs w:val="20"/>
        </w:rPr>
      </w:pPr>
      <w:r w:rsidRPr="00221682">
        <w:rPr>
          <w:rFonts w:ascii="Arial" w:hAnsi="Arial" w:cs="Arial"/>
          <w:sz w:val="20"/>
          <w:szCs w:val="20"/>
        </w:rPr>
        <w:lastRenderedPageBreak/>
        <w:t>Although there was no statistically significant difference between male and female children in terms of rotavirus infection, a slightly higher number of cases occurred in males (55%). This gender pattern is consistent with findings from Kaduna and other studies across Nigeria, though the biological rationale remains unclear (Mohammed et al., 2016). Some researchers hypothesize that male children may receive more health-seeking attention, leading to a higher likelihood of diagnosis and hospital presentation (</w:t>
      </w:r>
      <w:r w:rsidRPr="0025026B">
        <w:rPr>
          <w:rFonts w:ascii="Arial" w:hAnsi="Arial" w:cs="Arial"/>
          <w:sz w:val="20"/>
          <w:szCs w:val="20"/>
        </w:rPr>
        <w:t xml:space="preserve">Piccini </w:t>
      </w:r>
      <w:r w:rsidRPr="00221682">
        <w:rPr>
          <w:rFonts w:ascii="Arial" w:hAnsi="Arial" w:cs="Arial"/>
          <w:sz w:val="20"/>
          <w:szCs w:val="20"/>
        </w:rPr>
        <w:t>et al., 201</w:t>
      </w:r>
      <w:r>
        <w:rPr>
          <w:rFonts w:ascii="Arial" w:hAnsi="Arial" w:cs="Arial"/>
          <w:sz w:val="20"/>
          <w:szCs w:val="20"/>
        </w:rPr>
        <w:t>8</w:t>
      </w:r>
      <w:r w:rsidRPr="00221682">
        <w:rPr>
          <w:rFonts w:ascii="Arial" w:hAnsi="Arial" w:cs="Arial"/>
          <w:sz w:val="20"/>
          <w:szCs w:val="20"/>
        </w:rPr>
        <w:t>). However, gender-based differences in rotavirus susceptibility remain inconclusive and merit further exploration.</w:t>
      </w:r>
    </w:p>
    <w:p w14:paraId="600EFA34" w14:textId="77777777" w:rsidR="00F951C6" w:rsidRPr="00221682" w:rsidRDefault="00F951C6" w:rsidP="00F951C6">
      <w:pPr>
        <w:jc w:val="both"/>
        <w:rPr>
          <w:rFonts w:ascii="Arial" w:hAnsi="Arial" w:cs="Arial"/>
          <w:b/>
          <w:bCs/>
          <w:sz w:val="20"/>
          <w:szCs w:val="20"/>
        </w:rPr>
      </w:pPr>
      <w:r w:rsidRPr="00221682">
        <w:rPr>
          <w:rFonts w:ascii="Arial" w:hAnsi="Arial" w:cs="Arial"/>
          <w:b/>
          <w:bCs/>
          <w:sz w:val="20"/>
          <w:szCs w:val="20"/>
        </w:rPr>
        <w:t>Environmental and Sanitation Factors</w:t>
      </w:r>
    </w:p>
    <w:p w14:paraId="39A19441" w14:textId="77777777" w:rsidR="00F951C6" w:rsidRPr="00221682" w:rsidRDefault="00F951C6" w:rsidP="00F951C6">
      <w:pPr>
        <w:jc w:val="both"/>
        <w:rPr>
          <w:rFonts w:ascii="Arial" w:hAnsi="Arial" w:cs="Arial"/>
          <w:sz w:val="20"/>
          <w:szCs w:val="20"/>
        </w:rPr>
      </w:pPr>
      <w:r w:rsidRPr="00221682">
        <w:rPr>
          <w:rFonts w:ascii="Arial" w:hAnsi="Arial" w:cs="Arial"/>
          <w:sz w:val="20"/>
          <w:szCs w:val="20"/>
        </w:rPr>
        <w:t>Water source and storage practices emerged as significant risk factors in the transmission of rotavirus. Children from households using tap water and storing it in covered drums had higher infection rates. Although tap water is generally assumed to be safe, intermittent supply, unhygienic storage, and infrequent pipe flushing can result in microbial contamination (</w:t>
      </w:r>
      <w:r>
        <w:rPr>
          <w:rFonts w:ascii="Arial" w:hAnsi="Arial" w:cs="Arial"/>
          <w:sz w:val="20"/>
          <w:szCs w:val="20"/>
        </w:rPr>
        <w:t>Adamu</w:t>
      </w:r>
      <w:r w:rsidRPr="00221682">
        <w:rPr>
          <w:rFonts w:ascii="Arial" w:hAnsi="Arial" w:cs="Arial"/>
          <w:sz w:val="20"/>
          <w:szCs w:val="20"/>
        </w:rPr>
        <w:t xml:space="preserve"> et al., 2022). Moreover, even treated water can be re-contaminated during storage, especially when stored in wide-mouthed or uncovered containers.</w:t>
      </w:r>
    </w:p>
    <w:p w14:paraId="06C142A8" w14:textId="77777777" w:rsidR="00F951C6" w:rsidRPr="00221682" w:rsidRDefault="00F951C6" w:rsidP="00F951C6">
      <w:pPr>
        <w:jc w:val="both"/>
        <w:rPr>
          <w:rFonts w:ascii="Arial" w:hAnsi="Arial" w:cs="Arial"/>
          <w:sz w:val="20"/>
          <w:szCs w:val="20"/>
        </w:rPr>
      </w:pPr>
      <w:r w:rsidRPr="00221682">
        <w:rPr>
          <w:rFonts w:ascii="Arial" w:hAnsi="Arial" w:cs="Arial"/>
          <w:sz w:val="20"/>
          <w:szCs w:val="20"/>
        </w:rPr>
        <w:t>Studies have shown that rotavirus can persist on surfaces for several days and survive in water sources despite standard chlorination levels (</w:t>
      </w:r>
      <w:proofErr w:type="spellStart"/>
      <w:r w:rsidRPr="0025026B">
        <w:rPr>
          <w:rFonts w:ascii="Arial" w:hAnsi="Arial" w:cs="Arial"/>
          <w:sz w:val="20"/>
          <w:szCs w:val="20"/>
        </w:rPr>
        <w:t>Awere-Duodu</w:t>
      </w:r>
      <w:proofErr w:type="spellEnd"/>
      <w:r w:rsidRPr="0025026B">
        <w:rPr>
          <w:rFonts w:ascii="Arial" w:hAnsi="Arial" w:cs="Arial"/>
          <w:sz w:val="20"/>
          <w:szCs w:val="20"/>
        </w:rPr>
        <w:t xml:space="preserve"> </w:t>
      </w:r>
      <w:r w:rsidRPr="00221682">
        <w:rPr>
          <w:rFonts w:ascii="Arial" w:hAnsi="Arial" w:cs="Arial"/>
          <w:sz w:val="20"/>
          <w:szCs w:val="20"/>
        </w:rPr>
        <w:t>et al., 202</w:t>
      </w:r>
      <w:r>
        <w:rPr>
          <w:rFonts w:ascii="Arial" w:hAnsi="Arial" w:cs="Arial"/>
          <w:sz w:val="20"/>
          <w:szCs w:val="20"/>
        </w:rPr>
        <w:t>4</w:t>
      </w:r>
      <w:r w:rsidRPr="00221682">
        <w:rPr>
          <w:rFonts w:ascii="Arial" w:hAnsi="Arial" w:cs="Arial"/>
          <w:sz w:val="20"/>
          <w:szCs w:val="20"/>
        </w:rPr>
        <w:t xml:space="preserve">). This raises concerns about current domestic water handling practices and emphasizes the need for both infrastructural improvement and </w:t>
      </w:r>
      <w:proofErr w:type="spellStart"/>
      <w:r w:rsidRPr="00221682">
        <w:rPr>
          <w:rFonts w:ascii="Arial" w:hAnsi="Arial" w:cs="Arial"/>
          <w:sz w:val="20"/>
          <w:szCs w:val="20"/>
        </w:rPr>
        <w:t>behavioural</w:t>
      </w:r>
      <w:proofErr w:type="spellEnd"/>
      <w:r w:rsidRPr="00221682">
        <w:rPr>
          <w:rFonts w:ascii="Arial" w:hAnsi="Arial" w:cs="Arial"/>
          <w:sz w:val="20"/>
          <w:szCs w:val="20"/>
        </w:rPr>
        <w:t xml:space="preserve"> change communication.</w:t>
      </w:r>
    </w:p>
    <w:p w14:paraId="3F26CD9F" w14:textId="77777777" w:rsidR="00F951C6" w:rsidRPr="00221682" w:rsidRDefault="00F951C6" w:rsidP="00F951C6">
      <w:pPr>
        <w:jc w:val="both"/>
        <w:rPr>
          <w:rFonts w:ascii="Arial" w:hAnsi="Arial" w:cs="Arial"/>
          <w:sz w:val="20"/>
          <w:szCs w:val="20"/>
        </w:rPr>
      </w:pPr>
      <w:r w:rsidRPr="00221682">
        <w:rPr>
          <w:rFonts w:ascii="Arial" w:hAnsi="Arial" w:cs="Arial"/>
          <w:sz w:val="20"/>
          <w:szCs w:val="20"/>
        </w:rPr>
        <w:t>Furthermore, poor waste disposal and open defecation, still common in many peri-urban Nigerian communities, create fertile grounds for the environmental spread of rotavirus and other enteric pathogens. Integrated Water, Sanitation, and Hygiene (WASH) interventions remain central to reducing this risk (UNICEF, 2020).</w:t>
      </w:r>
    </w:p>
    <w:p w14:paraId="4EAB1524" w14:textId="77777777" w:rsidR="00F951C6" w:rsidRPr="00221682" w:rsidRDefault="00F951C6" w:rsidP="00F951C6">
      <w:pPr>
        <w:jc w:val="both"/>
        <w:rPr>
          <w:rFonts w:ascii="Arial" w:hAnsi="Arial" w:cs="Arial"/>
          <w:b/>
          <w:bCs/>
          <w:sz w:val="20"/>
          <w:szCs w:val="20"/>
        </w:rPr>
      </w:pPr>
      <w:r w:rsidRPr="00221682">
        <w:rPr>
          <w:rFonts w:ascii="Arial" w:hAnsi="Arial" w:cs="Arial"/>
          <w:b/>
          <w:bCs/>
          <w:sz w:val="20"/>
          <w:szCs w:val="20"/>
        </w:rPr>
        <w:t>Implications for Public Health</w:t>
      </w:r>
    </w:p>
    <w:p w14:paraId="1456F1C1" w14:textId="77777777" w:rsidR="00F951C6" w:rsidRPr="00221682" w:rsidRDefault="00F951C6" w:rsidP="00F951C6">
      <w:pPr>
        <w:jc w:val="both"/>
        <w:rPr>
          <w:rFonts w:ascii="Arial" w:hAnsi="Arial" w:cs="Arial"/>
          <w:sz w:val="20"/>
          <w:szCs w:val="20"/>
        </w:rPr>
      </w:pPr>
      <w:r w:rsidRPr="00221682">
        <w:rPr>
          <w:rFonts w:ascii="Arial" w:hAnsi="Arial" w:cs="Arial"/>
          <w:sz w:val="20"/>
          <w:szCs w:val="20"/>
        </w:rPr>
        <w:t>The findings from this study have important implications for public health policy and practice. First, they underscore the continued relevance of rotavirus vaccination in Nigeria’s immunization strategy.</w:t>
      </w:r>
      <w:r>
        <w:rPr>
          <w:rFonts w:ascii="Arial" w:hAnsi="Arial" w:cs="Arial"/>
          <w:sz w:val="20"/>
          <w:szCs w:val="20"/>
        </w:rPr>
        <w:t xml:space="preserve"> </w:t>
      </w:r>
      <w:r w:rsidRPr="00BA4109">
        <w:rPr>
          <w:rFonts w:ascii="Arial" w:hAnsi="Arial" w:cs="Arial"/>
          <w:sz w:val="20"/>
          <w:szCs w:val="20"/>
        </w:rPr>
        <w:t> </w:t>
      </w:r>
      <w:r w:rsidRPr="00221682">
        <w:rPr>
          <w:rFonts w:ascii="Arial" w:hAnsi="Arial" w:cs="Arial"/>
          <w:sz w:val="20"/>
          <w:szCs w:val="20"/>
        </w:rPr>
        <w:t xml:space="preserve"> Despite the vaccine’s inclusion in the national schedule, coverage and awareness remain low in many communities. </w:t>
      </w:r>
      <w:r w:rsidRPr="00BA4109">
        <w:rPr>
          <w:rFonts w:ascii="Arial" w:hAnsi="Arial" w:cs="Arial"/>
          <w:sz w:val="20"/>
          <w:szCs w:val="20"/>
        </w:rPr>
        <w:t xml:space="preserve">Local and national infrastructure are inadequate for basic surveillance of </w:t>
      </w:r>
      <w:proofErr w:type="spellStart"/>
      <w:r w:rsidRPr="00BA4109">
        <w:rPr>
          <w:rFonts w:ascii="Arial" w:hAnsi="Arial" w:cs="Arial"/>
          <w:sz w:val="20"/>
          <w:szCs w:val="20"/>
        </w:rPr>
        <w:t>diarrhoeal</w:t>
      </w:r>
      <w:proofErr w:type="spellEnd"/>
      <w:r w:rsidRPr="00BA4109">
        <w:rPr>
          <w:rFonts w:ascii="Arial" w:hAnsi="Arial" w:cs="Arial"/>
          <w:sz w:val="20"/>
          <w:szCs w:val="20"/>
        </w:rPr>
        <w:t xml:space="preserve"> disease, and this will have to be improved, together with access to virological stool testing, to monitor the planned vaccine program</w:t>
      </w:r>
      <w:r>
        <w:rPr>
          <w:rFonts w:ascii="Arial" w:hAnsi="Arial" w:cs="Arial"/>
          <w:sz w:val="20"/>
          <w:szCs w:val="20"/>
        </w:rPr>
        <w:t xml:space="preserve"> (</w:t>
      </w:r>
      <w:r w:rsidRPr="00BA4109">
        <w:rPr>
          <w:rFonts w:ascii="Arial" w:hAnsi="Arial" w:cs="Arial"/>
          <w:sz w:val="20"/>
          <w:szCs w:val="20"/>
          <w:lang w:val="en-GB"/>
        </w:rPr>
        <w:t>Balarabe-Musa, 2023</w:t>
      </w:r>
      <w:r w:rsidRPr="00BA4109">
        <w:rPr>
          <w:rFonts w:ascii="Arial" w:hAnsi="Arial" w:cs="Arial"/>
          <w:sz w:val="20"/>
          <w:szCs w:val="20"/>
        </w:rPr>
        <w:t>).</w:t>
      </w:r>
      <w:r w:rsidRPr="00221682">
        <w:rPr>
          <w:rFonts w:ascii="Arial" w:hAnsi="Arial" w:cs="Arial"/>
          <w:sz w:val="20"/>
          <w:szCs w:val="20"/>
        </w:rPr>
        <w:t xml:space="preserve"> Second, the results highlight the need for multi-level interventions, combining vaccination with education on infant feeding, maternal hygiene, and household sanitation.</w:t>
      </w:r>
    </w:p>
    <w:p w14:paraId="66852D43" w14:textId="77777777" w:rsidR="00F951C6" w:rsidRPr="00221682" w:rsidRDefault="00F951C6" w:rsidP="00F951C6">
      <w:pPr>
        <w:jc w:val="both"/>
        <w:rPr>
          <w:rFonts w:ascii="Arial" w:hAnsi="Arial" w:cs="Arial"/>
          <w:sz w:val="20"/>
          <w:szCs w:val="20"/>
        </w:rPr>
      </w:pPr>
      <w:r w:rsidRPr="00221682">
        <w:rPr>
          <w:rFonts w:ascii="Arial" w:hAnsi="Arial" w:cs="Arial"/>
          <w:sz w:val="20"/>
          <w:szCs w:val="20"/>
        </w:rPr>
        <w:t xml:space="preserve">Targeted health education programs for mothers, regardless of their educational status, are crucial. These programs should emphasize the risks of mixed feeding, the importance of safe water handling, and consistent hand hygiene. Policymakers must also prioritize the expansion of clean water infrastructure and support </w:t>
      </w:r>
      <w:proofErr w:type="spellStart"/>
      <w:r w:rsidRPr="00221682">
        <w:rPr>
          <w:rFonts w:ascii="Arial" w:hAnsi="Arial" w:cs="Arial"/>
          <w:sz w:val="20"/>
          <w:szCs w:val="20"/>
        </w:rPr>
        <w:t>behaviour</w:t>
      </w:r>
      <w:proofErr w:type="spellEnd"/>
      <w:r w:rsidRPr="00221682">
        <w:rPr>
          <w:rFonts w:ascii="Arial" w:hAnsi="Arial" w:cs="Arial"/>
          <w:sz w:val="20"/>
          <w:szCs w:val="20"/>
        </w:rPr>
        <w:t xml:space="preserve"> change initiatives at the community level.</w:t>
      </w:r>
    </w:p>
    <w:p w14:paraId="1E264D5E" w14:textId="77777777" w:rsidR="00F951C6" w:rsidRPr="00FF0F8B" w:rsidRDefault="00F951C6" w:rsidP="00F951C6">
      <w:pPr>
        <w:jc w:val="both"/>
      </w:pPr>
    </w:p>
    <w:p w14:paraId="3E72C373" w14:textId="77777777" w:rsidR="00F951C6" w:rsidRPr="00221682" w:rsidRDefault="00F951C6" w:rsidP="00F951C6">
      <w:pPr>
        <w:jc w:val="both"/>
        <w:rPr>
          <w:rFonts w:ascii="Arial" w:hAnsi="Arial" w:cs="Arial"/>
          <w:b/>
          <w:bCs/>
          <w:sz w:val="22"/>
          <w:szCs w:val="22"/>
        </w:rPr>
      </w:pPr>
      <w:r>
        <w:rPr>
          <w:rFonts w:ascii="Arial" w:hAnsi="Arial" w:cs="Arial"/>
          <w:b/>
          <w:bCs/>
          <w:sz w:val="22"/>
          <w:szCs w:val="22"/>
        </w:rPr>
        <w:t>4</w:t>
      </w:r>
      <w:r w:rsidRPr="00221682">
        <w:rPr>
          <w:rFonts w:ascii="Arial" w:hAnsi="Arial" w:cs="Arial"/>
          <w:b/>
          <w:bCs/>
          <w:sz w:val="22"/>
          <w:szCs w:val="22"/>
        </w:rPr>
        <w:t>. CONCLUSION</w:t>
      </w:r>
    </w:p>
    <w:p w14:paraId="53C0E460" w14:textId="77777777" w:rsidR="00F951C6" w:rsidRPr="00221682" w:rsidRDefault="00F951C6" w:rsidP="00F951C6">
      <w:pPr>
        <w:jc w:val="both"/>
        <w:rPr>
          <w:rFonts w:ascii="Arial" w:hAnsi="Arial" w:cs="Arial"/>
          <w:sz w:val="20"/>
          <w:szCs w:val="20"/>
        </w:rPr>
      </w:pPr>
      <w:r w:rsidRPr="00221682">
        <w:rPr>
          <w:rFonts w:ascii="Arial" w:hAnsi="Arial" w:cs="Arial"/>
          <w:sz w:val="20"/>
          <w:szCs w:val="20"/>
        </w:rPr>
        <w:t xml:space="preserve">This study has demonstrated that rotavirus infection remains a significant cause of </w:t>
      </w:r>
      <w:proofErr w:type="spellStart"/>
      <w:r w:rsidRPr="00221682">
        <w:rPr>
          <w:rFonts w:ascii="Arial" w:hAnsi="Arial" w:cs="Arial"/>
          <w:sz w:val="20"/>
          <w:szCs w:val="20"/>
        </w:rPr>
        <w:t>diarrhoeal</w:t>
      </w:r>
      <w:proofErr w:type="spellEnd"/>
      <w:r w:rsidRPr="00221682">
        <w:rPr>
          <w:rFonts w:ascii="Arial" w:hAnsi="Arial" w:cs="Arial"/>
          <w:sz w:val="20"/>
          <w:szCs w:val="20"/>
        </w:rPr>
        <w:t xml:space="preserve"> illness among children under five years of age in Abuja Municipal Area Council (AMAC), Nigeria. Although the overall prevalence of 10% may appear modest compared to figures from other parts of the country, it nonetheless reflects an ongoing burden that demands continued public health attention. The highest incidence was observed among infants aged 0–11 months, highlighting the critical vulnerability of this age group due to immature immune systems and increased exposure to contaminated environments.</w:t>
      </w:r>
    </w:p>
    <w:p w14:paraId="2A06094C" w14:textId="77777777" w:rsidR="00F951C6" w:rsidRPr="00221682" w:rsidRDefault="00F951C6" w:rsidP="00F951C6">
      <w:pPr>
        <w:jc w:val="both"/>
        <w:rPr>
          <w:rFonts w:ascii="Arial" w:hAnsi="Arial" w:cs="Arial"/>
          <w:sz w:val="20"/>
          <w:szCs w:val="20"/>
        </w:rPr>
      </w:pPr>
      <w:r w:rsidRPr="00221682">
        <w:rPr>
          <w:rFonts w:ascii="Arial" w:hAnsi="Arial" w:cs="Arial"/>
          <w:sz w:val="20"/>
          <w:szCs w:val="20"/>
        </w:rPr>
        <w:lastRenderedPageBreak/>
        <w:t xml:space="preserve">Several socio-demographic and </w:t>
      </w:r>
      <w:proofErr w:type="spellStart"/>
      <w:r w:rsidRPr="00221682">
        <w:rPr>
          <w:rFonts w:ascii="Arial" w:hAnsi="Arial" w:cs="Arial"/>
          <w:sz w:val="20"/>
          <w:szCs w:val="20"/>
        </w:rPr>
        <w:t>behavioural</w:t>
      </w:r>
      <w:proofErr w:type="spellEnd"/>
      <w:r w:rsidRPr="00221682">
        <w:rPr>
          <w:rFonts w:ascii="Arial" w:hAnsi="Arial" w:cs="Arial"/>
          <w:sz w:val="20"/>
          <w:szCs w:val="20"/>
        </w:rPr>
        <w:t xml:space="preserve"> factors were significantly associated with rotavirus infection. These included feeding practices</w:t>
      </w:r>
      <w:r>
        <w:rPr>
          <w:rFonts w:ascii="Arial" w:hAnsi="Arial" w:cs="Arial"/>
          <w:sz w:val="20"/>
          <w:szCs w:val="20"/>
        </w:rPr>
        <w:t xml:space="preserve"> </w:t>
      </w:r>
      <w:r w:rsidRPr="00221682">
        <w:rPr>
          <w:rFonts w:ascii="Arial" w:hAnsi="Arial" w:cs="Arial"/>
          <w:sz w:val="20"/>
          <w:szCs w:val="20"/>
        </w:rPr>
        <w:t>particularly mixed feeding</w:t>
      </w:r>
      <w:r>
        <w:rPr>
          <w:rFonts w:ascii="Arial" w:hAnsi="Arial" w:cs="Arial"/>
          <w:sz w:val="20"/>
          <w:szCs w:val="20"/>
        </w:rPr>
        <w:t xml:space="preserve"> </w:t>
      </w:r>
      <w:r w:rsidRPr="00221682">
        <w:rPr>
          <w:rFonts w:ascii="Arial" w:hAnsi="Arial" w:cs="Arial"/>
          <w:sz w:val="20"/>
          <w:szCs w:val="20"/>
        </w:rPr>
        <w:t xml:space="preserve">as well as poor hand hygiene, young maternal age, higher maternal education, and inadequate water and sanitation infrastructure. The paradoxical association of infection with tertiary maternal education suggests the need for broader awareness campaigns that transcend educational status and address </w:t>
      </w:r>
      <w:proofErr w:type="spellStart"/>
      <w:r w:rsidRPr="00221682">
        <w:rPr>
          <w:rFonts w:ascii="Arial" w:hAnsi="Arial" w:cs="Arial"/>
          <w:sz w:val="20"/>
          <w:szCs w:val="20"/>
        </w:rPr>
        <w:t>behavioural</w:t>
      </w:r>
      <w:proofErr w:type="spellEnd"/>
      <w:r w:rsidRPr="00221682">
        <w:rPr>
          <w:rFonts w:ascii="Arial" w:hAnsi="Arial" w:cs="Arial"/>
          <w:sz w:val="20"/>
          <w:szCs w:val="20"/>
        </w:rPr>
        <w:t xml:space="preserve"> and environmental risks.</w:t>
      </w:r>
    </w:p>
    <w:p w14:paraId="449F7AF5" w14:textId="77777777" w:rsidR="00F951C6" w:rsidRPr="00221682" w:rsidRDefault="00F951C6" w:rsidP="00F951C6">
      <w:pPr>
        <w:jc w:val="both"/>
        <w:rPr>
          <w:rFonts w:ascii="Arial" w:hAnsi="Arial" w:cs="Arial"/>
          <w:sz w:val="20"/>
          <w:szCs w:val="20"/>
        </w:rPr>
      </w:pPr>
      <w:r w:rsidRPr="00221682">
        <w:rPr>
          <w:rFonts w:ascii="Arial" w:hAnsi="Arial" w:cs="Arial"/>
          <w:sz w:val="20"/>
          <w:szCs w:val="20"/>
        </w:rPr>
        <w:t>In light of these findings, targeted interventions are recommended to reduce the incidence of rotavirus infection. These should include increased coverage and awareness of rotavirus vaccination, promotion of exclusive breastfeeding, hygiene education for caregivers, and improved access to clean water and sanitation. Multisectoral approaches involving health, education, and water authorities are essential to addressing this complex public health challenge effectively.</w:t>
      </w:r>
    </w:p>
    <w:p w14:paraId="353CD462" w14:textId="77777777" w:rsidR="00F951C6" w:rsidRPr="00221682" w:rsidRDefault="00F951C6" w:rsidP="00F951C6">
      <w:pPr>
        <w:jc w:val="both"/>
        <w:rPr>
          <w:rFonts w:ascii="Arial" w:hAnsi="Arial" w:cs="Arial"/>
          <w:b/>
          <w:bCs/>
          <w:sz w:val="22"/>
          <w:szCs w:val="22"/>
        </w:rPr>
      </w:pPr>
      <w:r>
        <w:rPr>
          <w:rFonts w:ascii="Arial" w:hAnsi="Arial" w:cs="Arial"/>
          <w:b/>
          <w:bCs/>
          <w:sz w:val="22"/>
          <w:szCs w:val="22"/>
        </w:rPr>
        <w:t xml:space="preserve">4.1 </w:t>
      </w:r>
      <w:r w:rsidRPr="007455B3">
        <w:rPr>
          <w:rFonts w:ascii="Arial" w:hAnsi="Arial" w:cs="Arial"/>
          <w:b/>
          <w:bCs/>
          <w:sz w:val="22"/>
          <w:szCs w:val="22"/>
        </w:rPr>
        <w:t xml:space="preserve">RECOMMENDATIONS </w:t>
      </w:r>
    </w:p>
    <w:p w14:paraId="79AC8319" w14:textId="77777777" w:rsidR="00F951C6" w:rsidRPr="00221682" w:rsidRDefault="00F951C6" w:rsidP="00F951C6">
      <w:pPr>
        <w:numPr>
          <w:ilvl w:val="0"/>
          <w:numId w:val="5"/>
        </w:numPr>
        <w:jc w:val="both"/>
        <w:rPr>
          <w:rFonts w:ascii="Arial" w:hAnsi="Arial" w:cs="Arial"/>
          <w:sz w:val="20"/>
          <w:szCs w:val="20"/>
        </w:rPr>
      </w:pPr>
      <w:r w:rsidRPr="00221682">
        <w:rPr>
          <w:rFonts w:ascii="Arial" w:hAnsi="Arial" w:cs="Arial"/>
          <w:sz w:val="20"/>
          <w:szCs w:val="20"/>
        </w:rPr>
        <w:t>Promote exclusive breastfeeding during the first six months of life to enhance infant immunity against enteric infections.</w:t>
      </w:r>
    </w:p>
    <w:p w14:paraId="6A2E4B91" w14:textId="77777777" w:rsidR="00F951C6" w:rsidRPr="00221682" w:rsidRDefault="00F951C6" w:rsidP="00F951C6">
      <w:pPr>
        <w:numPr>
          <w:ilvl w:val="0"/>
          <w:numId w:val="5"/>
        </w:numPr>
        <w:jc w:val="both"/>
        <w:rPr>
          <w:rFonts w:ascii="Arial" w:hAnsi="Arial" w:cs="Arial"/>
          <w:sz w:val="20"/>
          <w:szCs w:val="20"/>
        </w:rPr>
      </w:pPr>
      <w:r w:rsidRPr="00221682">
        <w:rPr>
          <w:rFonts w:ascii="Arial" w:hAnsi="Arial" w:cs="Arial"/>
          <w:sz w:val="20"/>
          <w:szCs w:val="20"/>
        </w:rPr>
        <w:t>Intensify hygiene education and awareness campaigns for mothers and caregivers, especially during antenatal and postnatal care.</w:t>
      </w:r>
    </w:p>
    <w:p w14:paraId="0D15F2B0" w14:textId="77777777" w:rsidR="00F951C6" w:rsidRDefault="00F951C6" w:rsidP="00F951C6">
      <w:pPr>
        <w:numPr>
          <w:ilvl w:val="0"/>
          <w:numId w:val="5"/>
        </w:numPr>
        <w:jc w:val="both"/>
        <w:rPr>
          <w:rFonts w:ascii="Arial" w:hAnsi="Arial" w:cs="Arial"/>
          <w:sz w:val="20"/>
          <w:szCs w:val="20"/>
        </w:rPr>
      </w:pPr>
      <w:r w:rsidRPr="00221682">
        <w:rPr>
          <w:rFonts w:ascii="Arial" w:hAnsi="Arial" w:cs="Arial"/>
          <w:sz w:val="20"/>
          <w:szCs w:val="20"/>
        </w:rPr>
        <w:t>Strengthen rotavirus prevention efforts by scaling up vaccination coverage and improving access to clean water and sanitation facilities to reduce environmental transmission.</w:t>
      </w:r>
    </w:p>
    <w:p w14:paraId="1E0C0AD4" w14:textId="77777777" w:rsidR="00F951C6" w:rsidRDefault="00F951C6" w:rsidP="00F951C6">
      <w:pPr>
        <w:jc w:val="both"/>
        <w:rPr>
          <w:rFonts w:ascii="Arial" w:hAnsi="Arial" w:cs="Arial"/>
          <w:sz w:val="20"/>
          <w:szCs w:val="20"/>
        </w:rPr>
      </w:pPr>
    </w:p>
    <w:p w14:paraId="4F082608" w14:textId="77777777" w:rsidR="00F951C6" w:rsidRPr="00F33AA3" w:rsidRDefault="00F951C6" w:rsidP="00F951C6">
      <w:pPr>
        <w:rPr>
          <w:rFonts w:ascii="Arial" w:hAnsi="Arial" w:cs="Arial"/>
          <w:b/>
          <w:bCs/>
          <w:sz w:val="22"/>
          <w:szCs w:val="22"/>
        </w:rPr>
      </w:pPr>
      <w:r w:rsidRPr="00F33AA3">
        <w:rPr>
          <w:rFonts w:ascii="Arial" w:hAnsi="Arial" w:cs="Arial"/>
          <w:b/>
          <w:bCs/>
          <w:sz w:val="22"/>
          <w:szCs w:val="22"/>
        </w:rPr>
        <w:t>Disclaimer (Artificial intelligence)</w:t>
      </w:r>
    </w:p>
    <w:p w14:paraId="06A7D188" w14:textId="77777777" w:rsidR="00F951C6" w:rsidRPr="00F33AA3" w:rsidRDefault="00F951C6" w:rsidP="00F951C6">
      <w:pPr>
        <w:rPr>
          <w:rFonts w:ascii="Arial" w:hAnsi="Arial" w:cs="Arial"/>
          <w:sz w:val="20"/>
          <w:szCs w:val="20"/>
        </w:rPr>
      </w:pPr>
      <w:r w:rsidRPr="00F33AA3">
        <w:rPr>
          <w:rFonts w:ascii="Arial" w:hAnsi="Arial" w:cs="Arial"/>
          <w:sz w:val="20"/>
          <w:szCs w:val="20"/>
        </w:rPr>
        <w:t xml:space="preserve">Author(s) hereby declare that NO generative AI technologies such as Large Language Models (ChatGPT, COPILOT, etc.) and text-to-image generators have been used during the writing or editing of this manuscript. </w:t>
      </w:r>
    </w:p>
    <w:p w14:paraId="7671AEC8" w14:textId="77777777" w:rsidR="00E8605A" w:rsidRPr="00FF0F8B" w:rsidRDefault="00E8605A" w:rsidP="00E8605A">
      <w:pPr>
        <w:jc w:val="both"/>
        <w:rPr>
          <w:rFonts w:ascii="Arial" w:hAnsi="Arial" w:cs="Arial"/>
          <w:sz w:val="22"/>
          <w:szCs w:val="22"/>
        </w:rPr>
      </w:pPr>
      <w:bookmarkStart w:id="0" w:name="_Hlk201708310"/>
      <w:r w:rsidRPr="00FF0F8B">
        <w:rPr>
          <w:rFonts w:ascii="Arial" w:hAnsi="Arial" w:cs="Arial"/>
          <w:b/>
          <w:bCs/>
          <w:sz w:val="22"/>
          <w:szCs w:val="22"/>
        </w:rPr>
        <w:t>ACKNOWLEDGEMENTS</w:t>
      </w:r>
    </w:p>
    <w:p w14:paraId="024B3010" w14:textId="77777777" w:rsidR="00E8605A" w:rsidRPr="00FF0F8B" w:rsidRDefault="00E8605A" w:rsidP="00E8605A">
      <w:pPr>
        <w:jc w:val="both"/>
        <w:rPr>
          <w:rFonts w:ascii="Arial" w:hAnsi="Arial" w:cs="Arial"/>
          <w:sz w:val="20"/>
          <w:szCs w:val="20"/>
        </w:rPr>
      </w:pPr>
      <w:r w:rsidRPr="00FF0F8B">
        <w:rPr>
          <w:rFonts w:ascii="Arial" w:hAnsi="Arial" w:cs="Arial"/>
          <w:sz w:val="20"/>
          <w:szCs w:val="20"/>
        </w:rPr>
        <w:t>The authors acknowledge the contributions of laboratory staff, participating hospitals, and the caregivers of children involved in the study.</w:t>
      </w:r>
    </w:p>
    <w:p w14:paraId="197F7D9A" w14:textId="77777777" w:rsidR="00E8605A" w:rsidRPr="00FF0F8B" w:rsidRDefault="00E8605A" w:rsidP="00E8605A">
      <w:pPr>
        <w:jc w:val="both"/>
        <w:rPr>
          <w:rFonts w:ascii="Arial" w:hAnsi="Arial" w:cs="Arial"/>
          <w:sz w:val="22"/>
          <w:szCs w:val="22"/>
        </w:rPr>
      </w:pPr>
      <w:r w:rsidRPr="00FF0F8B">
        <w:rPr>
          <w:rFonts w:ascii="Arial" w:hAnsi="Arial" w:cs="Arial"/>
          <w:b/>
          <w:bCs/>
          <w:sz w:val="22"/>
          <w:szCs w:val="22"/>
        </w:rPr>
        <w:t>ETHICAL APPROVAL</w:t>
      </w:r>
      <w:r>
        <w:rPr>
          <w:rFonts w:ascii="Arial" w:hAnsi="Arial" w:cs="Arial"/>
          <w:b/>
          <w:bCs/>
          <w:sz w:val="22"/>
          <w:szCs w:val="22"/>
        </w:rPr>
        <w:t xml:space="preserve"> AND Consent</w:t>
      </w:r>
    </w:p>
    <w:p w14:paraId="4B0241BB" w14:textId="77777777" w:rsidR="00E8605A" w:rsidRDefault="00E8605A" w:rsidP="00E8605A">
      <w:pPr>
        <w:jc w:val="both"/>
        <w:rPr>
          <w:rFonts w:ascii="Arial" w:hAnsi="Arial" w:cs="Arial"/>
          <w:sz w:val="20"/>
          <w:szCs w:val="20"/>
        </w:rPr>
      </w:pPr>
      <w:r w:rsidRPr="008E1F56">
        <w:rPr>
          <w:rFonts w:ascii="Arial" w:hAnsi="Arial" w:cs="Arial"/>
          <w:sz w:val="20"/>
          <w:szCs w:val="20"/>
        </w:rPr>
        <w:t>Ethical approval for the study was obtained from the Health Research Ethical Committee (HREC) at the Federal Ministry of Health, Abuja with approval number – FHREC/2023/01/221/01/221/01-11-23. Additionally, administrative permission was secured from the management of each participating health facility. Written informed consent was obtained from caregivers before the commencement of data and sample collection. Participants' confidentiality and the anonymity of their data were ensured throughout the research process.</w:t>
      </w:r>
    </w:p>
    <w:p w14:paraId="30A08A09" w14:textId="77777777" w:rsidR="00E8605A" w:rsidRPr="00FF0F8B" w:rsidRDefault="00E8605A" w:rsidP="00E8605A">
      <w:pPr>
        <w:jc w:val="both"/>
        <w:rPr>
          <w:rFonts w:ascii="Arial" w:hAnsi="Arial" w:cs="Arial"/>
          <w:sz w:val="22"/>
          <w:szCs w:val="22"/>
        </w:rPr>
      </w:pPr>
      <w:r w:rsidRPr="004B13F5">
        <w:rPr>
          <w:rFonts w:ascii="Arial" w:hAnsi="Arial" w:cs="Arial"/>
          <w:b/>
          <w:bCs/>
          <w:sz w:val="22"/>
          <w:szCs w:val="22"/>
        </w:rPr>
        <w:t>COMPETING INTERESTS</w:t>
      </w:r>
    </w:p>
    <w:p w14:paraId="19DC52B7" w14:textId="77777777" w:rsidR="00E8605A" w:rsidRPr="00FF0F8B" w:rsidRDefault="00E8605A" w:rsidP="00E8605A">
      <w:pPr>
        <w:jc w:val="both"/>
        <w:rPr>
          <w:rFonts w:ascii="Arial" w:hAnsi="Arial" w:cs="Arial"/>
          <w:sz w:val="20"/>
          <w:szCs w:val="20"/>
        </w:rPr>
      </w:pPr>
      <w:r w:rsidRPr="00FF0F8B">
        <w:rPr>
          <w:rFonts w:ascii="Arial" w:hAnsi="Arial" w:cs="Arial"/>
          <w:sz w:val="20"/>
          <w:szCs w:val="20"/>
        </w:rPr>
        <w:t>THE AUTHORS DECLARE NO COMPETING INTERESTS.</w:t>
      </w:r>
    </w:p>
    <w:p w14:paraId="345DE8FC" w14:textId="77777777" w:rsidR="00E8605A" w:rsidRPr="003114E5" w:rsidRDefault="00E8605A" w:rsidP="00E8605A">
      <w:pPr>
        <w:jc w:val="both"/>
        <w:rPr>
          <w:rFonts w:ascii="Arial" w:hAnsi="Arial" w:cs="Arial"/>
          <w:b/>
          <w:bCs/>
          <w:sz w:val="22"/>
          <w:szCs w:val="22"/>
        </w:rPr>
      </w:pPr>
      <w:r w:rsidRPr="004B13F5">
        <w:rPr>
          <w:rFonts w:ascii="Arial" w:hAnsi="Arial" w:cs="Arial"/>
          <w:b/>
          <w:bCs/>
          <w:sz w:val="22"/>
          <w:szCs w:val="22"/>
        </w:rPr>
        <w:t>AUTHORS' CONTRIBUTIONS</w:t>
      </w:r>
    </w:p>
    <w:p w14:paraId="11BFCF5C" w14:textId="77777777" w:rsidR="00E8605A" w:rsidRPr="003114E5" w:rsidRDefault="00E8605A" w:rsidP="00E8605A">
      <w:pPr>
        <w:jc w:val="both"/>
        <w:rPr>
          <w:rFonts w:ascii="Arial" w:hAnsi="Arial" w:cs="Arial"/>
          <w:sz w:val="20"/>
          <w:szCs w:val="20"/>
        </w:rPr>
      </w:pPr>
      <w:r w:rsidRPr="003114E5">
        <w:rPr>
          <w:rFonts w:ascii="Arial" w:hAnsi="Arial" w:cs="Arial"/>
          <w:sz w:val="20"/>
          <w:szCs w:val="20"/>
        </w:rPr>
        <w:t xml:space="preserve">SULEIMAN, K.O. CONCEIVED AND DESIGNED THE STUDY, CONDUCTED THE LABORATORY ANALYSES, COLLECTED AND ANALYZED THE DATA, AND DRAFTED THE INITIAL MANUSCRIPT. KOLO, I. AND BABA, J. SERVED AS ACADEMIC SUPERVISORS; THEY PROVIDED CRITICAL </w:t>
      </w:r>
      <w:r w:rsidRPr="003114E5">
        <w:rPr>
          <w:rFonts w:ascii="Arial" w:hAnsi="Arial" w:cs="Arial"/>
          <w:sz w:val="20"/>
          <w:szCs w:val="20"/>
        </w:rPr>
        <w:lastRenderedPageBreak/>
        <w:t>GUIDANCE THROUGHOUT THE RESEARCH PROCESS AND THOROUGHLY REVIEWED AND EDITED THE MANUSCRIPT FOR INTELLECTUAL CONTENT. ALL AUTHORS READ AND APPROVED THE FINAL VERSION OF THE MANUSCRIPT.</w:t>
      </w:r>
    </w:p>
    <w:bookmarkEnd w:id="0"/>
    <w:p w14:paraId="6F1E12F7" w14:textId="77777777" w:rsidR="00F951C6" w:rsidRDefault="00F951C6" w:rsidP="00F951C6">
      <w:pPr>
        <w:jc w:val="both"/>
        <w:rPr>
          <w:rFonts w:ascii="Arial" w:hAnsi="Arial" w:cs="Arial"/>
          <w:sz w:val="20"/>
          <w:szCs w:val="20"/>
        </w:rPr>
      </w:pPr>
    </w:p>
    <w:p w14:paraId="6FCA6F49" w14:textId="77777777" w:rsidR="00F951C6" w:rsidRDefault="00F951C6" w:rsidP="00F951C6">
      <w:pPr>
        <w:jc w:val="both"/>
        <w:rPr>
          <w:rFonts w:ascii="Arial" w:hAnsi="Arial" w:cs="Arial"/>
          <w:b/>
          <w:bCs/>
          <w:sz w:val="22"/>
          <w:szCs w:val="22"/>
        </w:rPr>
      </w:pPr>
    </w:p>
    <w:p w14:paraId="441C308A" w14:textId="77777777" w:rsidR="00F951C6" w:rsidRPr="003114E5" w:rsidRDefault="00F951C6" w:rsidP="00F951C6">
      <w:pPr>
        <w:jc w:val="both"/>
        <w:rPr>
          <w:rFonts w:ascii="Arial" w:hAnsi="Arial" w:cs="Arial"/>
          <w:b/>
          <w:bCs/>
          <w:sz w:val="22"/>
          <w:szCs w:val="22"/>
        </w:rPr>
      </w:pPr>
      <w:r w:rsidRPr="003114E5">
        <w:rPr>
          <w:rFonts w:ascii="Arial" w:hAnsi="Arial" w:cs="Arial"/>
          <w:b/>
          <w:bCs/>
          <w:sz w:val="22"/>
          <w:szCs w:val="22"/>
        </w:rPr>
        <w:t>REFERENCES</w:t>
      </w:r>
    </w:p>
    <w:p w14:paraId="087F0311" w14:textId="77777777" w:rsidR="00F951C6" w:rsidRPr="006F563E" w:rsidRDefault="00F951C6" w:rsidP="00F951C6">
      <w:pPr>
        <w:jc w:val="both"/>
        <w:rPr>
          <w:rFonts w:ascii="Arial" w:hAnsi="Arial" w:cs="Arial"/>
          <w:sz w:val="20"/>
          <w:szCs w:val="20"/>
        </w:rPr>
      </w:pPr>
      <w:proofErr w:type="spellStart"/>
      <w:r w:rsidRPr="00F8123E">
        <w:rPr>
          <w:rFonts w:ascii="Arial" w:hAnsi="Arial" w:cs="Arial"/>
          <w:sz w:val="20"/>
          <w:szCs w:val="20"/>
          <w:highlight w:val="yellow"/>
        </w:rPr>
        <w:t>Adamu</w:t>
      </w:r>
      <w:proofErr w:type="spellEnd"/>
      <w:r w:rsidRPr="00F8123E">
        <w:rPr>
          <w:rFonts w:ascii="Arial" w:hAnsi="Arial" w:cs="Arial"/>
          <w:sz w:val="20"/>
          <w:szCs w:val="20"/>
          <w:highlight w:val="yellow"/>
        </w:rPr>
        <w:t xml:space="preserve">, I., Andrade, F. C. D &amp; Singleton, C. R. (2022). Availability of Drinking Water Source and the Prevalence of Diarrhea among Nigerian Households. </w:t>
      </w:r>
      <w:r w:rsidRPr="00F8123E">
        <w:rPr>
          <w:rFonts w:ascii="Arial" w:hAnsi="Arial" w:cs="Arial"/>
          <w:i/>
          <w:iCs/>
          <w:sz w:val="20"/>
          <w:szCs w:val="20"/>
          <w:highlight w:val="yellow"/>
        </w:rPr>
        <w:t xml:space="preserve">American Journal of Tropical Medicine and </w:t>
      </w:r>
      <w:proofErr w:type="spellStart"/>
      <w:r w:rsidRPr="00F8123E">
        <w:rPr>
          <w:rFonts w:ascii="Arial" w:hAnsi="Arial" w:cs="Arial"/>
          <w:i/>
          <w:iCs/>
          <w:sz w:val="20"/>
          <w:szCs w:val="20"/>
          <w:highlight w:val="yellow"/>
        </w:rPr>
        <w:t>Hygeine</w:t>
      </w:r>
      <w:proofErr w:type="spellEnd"/>
      <w:r w:rsidRPr="00F8123E">
        <w:rPr>
          <w:rFonts w:ascii="Arial" w:hAnsi="Arial" w:cs="Arial"/>
          <w:i/>
          <w:iCs/>
          <w:sz w:val="20"/>
          <w:szCs w:val="20"/>
          <w:highlight w:val="yellow"/>
        </w:rPr>
        <w:t>.</w:t>
      </w:r>
      <w:r w:rsidRPr="00F8123E">
        <w:rPr>
          <w:rFonts w:ascii="Arial" w:hAnsi="Arial" w:cs="Arial"/>
          <w:sz w:val="20"/>
          <w:szCs w:val="20"/>
          <w:highlight w:val="yellow"/>
        </w:rPr>
        <w:t xml:space="preserve"> 107(4):893-897. </w:t>
      </w:r>
      <w:hyperlink r:id="rId5" w:anchor="ref-list1" w:history="1">
        <w:r w:rsidRPr="00F8123E">
          <w:rPr>
            <w:rStyle w:val="Hyperlink"/>
            <w:highlight w:val="yellow"/>
          </w:rPr>
          <w:t>https://pmc.ncbi.nlm.nih.gov/articles/PMC9651543/#ref-list1</w:t>
        </w:r>
      </w:hyperlink>
    </w:p>
    <w:p w14:paraId="0BA549FE" w14:textId="77777777" w:rsidR="00F951C6" w:rsidRPr="0025026B" w:rsidRDefault="00F951C6" w:rsidP="00F951C6">
      <w:pPr>
        <w:jc w:val="both"/>
        <w:rPr>
          <w:rFonts w:ascii="Arial" w:hAnsi="Arial" w:cs="Arial"/>
          <w:sz w:val="20"/>
          <w:szCs w:val="20"/>
        </w:rPr>
      </w:pPr>
      <w:r w:rsidRPr="00F8123E">
        <w:rPr>
          <w:rFonts w:ascii="Arial" w:hAnsi="Arial" w:cs="Arial"/>
          <w:sz w:val="20"/>
          <w:szCs w:val="20"/>
          <w:highlight w:val="yellow"/>
        </w:rPr>
        <w:t xml:space="preserve">Amos A. O., Afolabi, O. E., Amene T., Adedoyin, B. A., Abia, C. N., </w:t>
      </w:r>
      <w:proofErr w:type="spellStart"/>
      <w:r w:rsidRPr="00F8123E">
        <w:rPr>
          <w:rFonts w:ascii="Arial" w:hAnsi="Arial" w:cs="Arial"/>
          <w:sz w:val="20"/>
          <w:szCs w:val="20"/>
          <w:highlight w:val="yellow"/>
        </w:rPr>
        <w:t>Eyoanwan</w:t>
      </w:r>
      <w:proofErr w:type="spellEnd"/>
      <w:r w:rsidRPr="00F8123E">
        <w:rPr>
          <w:rFonts w:ascii="Arial" w:hAnsi="Arial" w:cs="Arial"/>
          <w:sz w:val="20"/>
          <w:szCs w:val="20"/>
          <w:highlight w:val="yellow"/>
        </w:rPr>
        <w:t xml:space="preserve">, I., </w:t>
      </w:r>
      <w:proofErr w:type="spellStart"/>
      <w:r w:rsidRPr="00F8123E">
        <w:rPr>
          <w:rFonts w:ascii="Arial" w:hAnsi="Arial" w:cs="Arial"/>
          <w:sz w:val="20"/>
          <w:szCs w:val="20"/>
          <w:highlight w:val="yellow"/>
        </w:rPr>
        <w:t>Opone</w:t>
      </w:r>
      <w:proofErr w:type="spellEnd"/>
      <w:r w:rsidRPr="00F8123E">
        <w:rPr>
          <w:rFonts w:ascii="Arial" w:hAnsi="Arial" w:cs="Arial"/>
          <w:sz w:val="20"/>
          <w:szCs w:val="20"/>
          <w:highlight w:val="yellow"/>
        </w:rPr>
        <w:t xml:space="preserve">, I. S., Chizoba U., </w:t>
      </w:r>
      <w:proofErr w:type="spellStart"/>
      <w:r w:rsidRPr="00F8123E">
        <w:rPr>
          <w:rFonts w:ascii="Arial" w:hAnsi="Arial" w:cs="Arial"/>
          <w:sz w:val="20"/>
          <w:szCs w:val="20"/>
          <w:highlight w:val="yellow"/>
        </w:rPr>
        <w:t>Oriotor</w:t>
      </w:r>
      <w:proofErr w:type="spellEnd"/>
      <w:r w:rsidRPr="00F8123E">
        <w:rPr>
          <w:rFonts w:ascii="Arial" w:hAnsi="Arial" w:cs="Arial"/>
          <w:sz w:val="20"/>
          <w:szCs w:val="20"/>
          <w:highlight w:val="yellow"/>
        </w:rPr>
        <w:t xml:space="preserve">, E., </w:t>
      </w:r>
      <w:proofErr w:type="spellStart"/>
      <w:r w:rsidRPr="00F8123E">
        <w:rPr>
          <w:rFonts w:ascii="Arial" w:hAnsi="Arial" w:cs="Arial"/>
          <w:sz w:val="20"/>
          <w:szCs w:val="20"/>
          <w:highlight w:val="yellow"/>
        </w:rPr>
        <w:t>Salissou</w:t>
      </w:r>
      <w:proofErr w:type="spellEnd"/>
      <w:r w:rsidRPr="00F8123E">
        <w:rPr>
          <w:rFonts w:ascii="Arial" w:hAnsi="Arial" w:cs="Arial"/>
          <w:sz w:val="20"/>
          <w:szCs w:val="20"/>
          <w:highlight w:val="yellow"/>
        </w:rPr>
        <w:t xml:space="preserve">, A. S., Oyeyemi, E., Bamidele, F. R., Bamidele, O. O., Sina-Odunsi, A., </w:t>
      </w:r>
      <w:proofErr w:type="spellStart"/>
      <w:r w:rsidRPr="00F8123E">
        <w:rPr>
          <w:rFonts w:ascii="Arial" w:hAnsi="Arial" w:cs="Arial"/>
          <w:sz w:val="20"/>
          <w:szCs w:val="20"/>
          <w:highlight w:val="yellow"/>
        </w:rPr>
        <w:t>Olutoye</w:t>
      </w:r>
      <w:proofErr w:type="spellEnd"/>
      <w:r w:rsidRPr="00F8123E">
        <w:rPr>
          <w:rFonts w:ascii="Arial" w:hAnsi="Arial" w:cs="Arial"/>
          <w:sz w:val="20"/>
          <w:szCs w:val="20"/>
          <w:highlight w:val="yellow"/>
        </w:rPr>
        <w:t xml:space="preserve">, A &amp; </w:t>
      </w:r>
      <w:proofErr w:type="spellStart"/>
      <w:r w:rsidRPr="00F8123E">
        <w:rPr>
          <w:rFonts w:ascii="Arial" w:hAnsi="Arial" w:cs="Arial"/>
          <w:sz w:val="20"/>
          <w:szCs w:val="20"/>
          <w:highlight w:val="yellow"/>
        </w:rPr>
        <w:t>Oladunni</w:t>
      </w:r>
      <w:proofErr w:type="spellEnd"/>
      <w:r w:rsidRPr="00F8123E">
        <w:rPr>
          <w:rFonts w:ascii="Arial" w:hAnsi="Arial" w:cs="Arial"/>
          <w:sz w:val="20"/>
          <w:szCs w:val="20"/>
          <w:highlight w:val="yellow"/>
        </w:rPr>
        <w:t>, N. O. (2024). Rotavirus surveillance and vaccination in Nigeria: current challenges and important next steps.</w:t>
      </w:r>
      <w:r w:rsidRPr="00F8123E">
        <w:rPr>
          <w:rFonts w:ascii="Arial" w:hAnsi="Arial" w:cs="Arial"/>
          <w:i/>
          <w:iCs/>
          <w:sz w:val="20"/>
          <w:szCs w:val="20"/>
          <w:highlight w:val="yellow"/>
        </w:rPr>
        <w:t xml:space="preserve"> Pan African Medical Journal-One Health. </w:t>
      </w:r>
      <w:r w:rsidRPr="00F8123E">
        <w:rPr>
          <w:rFonts w:ascii="Arial" w:hAnsi="Arial" w:cs="Arial"/>
          <w:sz w:val="20"/>
          <w:szCs w:val="20"/>
          <w:highlight w:val="yellow"/>
        </w:rPr>
        <w:t xml:space="preserve">13:21. </w:t>
      </w:r>
      <w:hyperlink r:id="rId6" w:history="1">
        <w:r w:rsidRPr="00F8123E">
          <w:rPr>
            <w:rStyle w:val="Hyperlink"/>
            <w:highlight w:val="yellow"/>
          </w:rPr>
          <w:t>https://www.one-health.panafrican-med-journal.com/content/article/13/21/full/</w:t>
        </w:r>
      </w:hyperlink>
    </w:p>
    <w:p w14:paraId="5F144C32" w14:textId="77777777" w:rsidR="00F951C6" w:rsidRDefault="00F951C6" w:rsidP="00F951C6">
      <w:pPr>
        <w:jc w:val="both"/>
        <w:rPr>
          <w:rFonts w:ascii="Arial" w:hAnsi="Arial" w:cs="Arial"/>
          <w:sz w:val="20"/>
          <w:szCs w:val="20"/>
        </w:rPr>
      </w:pPr>
      <w:proofErr w:type="spellStart"/>
      <w:r w:rsidRPr="00F8123E">
        <w:rPr>
          <w:rFonts w:ascii="Arial" w:hAnsi="Arial" w:cs="Arial"/>
          <w:sz w:val="20"/>
          <w:szCs w:val="20"/>
          <w:highlight w:val="yellow"/>
        </w:rPr>
        <w:t>Awere-Duodu</w:t>
      </w:r>
      <w:proofErr w:type="spellEnd"/>
      <w:r w:rsidRPr="00F8123E">
        <w:rPr>
          <w:rFonts w:ascii="Arial" w:hAnsi="Arial" w:cs="Arial"/>
          <w:sz w:val="20"/>
          <w:szCs w:val="20"/>
          <w:highlight w:val="yellow"/>
        </w:rPr>
        <w:t xml:space="preserve"> A, Donkor ES. (2024). Rotavirus in Water Environments: A Systematic Review and Meta-Analysis. </w:t>
      </w:r>
      <w:proofErr w:type="spellStart"/>
      <w:r w:rsidRPr="00F8123E">
        <w:rPr>
          <w:rFonts w:ascii="Arial" w:hAnsi="Arial" w:cs="Arial"/>
          <w:i/>
          <w:iCs/>
          <w:sz w:val="20"/>
          <w:szCs w:val="20"/>
          <w:highlight w:val="yellow"/>
        </w:rPr>
        <w:t>Environental</w:t>
      </w:r>
      <w:proofErr w:type="spellEnd"/>
      <w:r w:rsidRPr="00F8123E">
        <w:rPr>
          <w:rFonts w:ascii="Arial" w:hAnsi="Arial" w:cs="Arial"/>
          <w:i/>
          <w:iCs/>
          <w:sz w:val="20"/>
          <w:szCs w:val="20"/>
          <w:highlight w:val="yellow"/>
        </w:rPr>
        <w:t xml:space="preserve"> Health Insights</w:t>
      </w:r>
      <w:r w:rsidRPr="00F8123E">
        <w:rPr>
          <w:rFonts w:ascii="Arial" w:hAnsi="Arial" w:cs="Arial"/>
          <w:sz w:val="20"/>
          <w:szCs w:val="20"/>
          <w:highlight w:val="yellow"/>
        </w:rPr>
        <w:t xml:space="preserve">. 18:11786302241276667. </w:t>
      </w:r>
      <w:hyperlink r:id="rId7" w:history="1">
        <w:r w:rsidRPr="00F8123E">
          <w:rPr>
            <w:rStyle w:val="Hyperlink"/>
            <w:rFonts w:ascii="Arial" w:hAnsi="Arial" w:cs="Arial"/>
            <w:sz w:val="20"/>
            <w:szCs w:val="20"/>
            <w:highlight w:val="yellow"/>
          </w:rPr>
          <w:t>https://pmc.ncbi.nlm.nih.gov/articles/PMC11494518/</w:t>
        </w:r>
      </w:hyperlink>
      <w:r w:rsidRPr="00645E7B">
        <w:rPr>
          <w:rFonts w:ascii="Arial" w:hAnsi="Arial" w:cs="Arial"/>
          <w:sz w:val="20"/>
          <w:szCs w:val="20"/>
        </w:rPr>
        <w:t xml:space="preserve"> </w:t>
      </w:r>
    </w:p>
    <w:p w14:paraId="28BBF979" w14:textId="77777777" w:rsidR="00F951C6" w:rsidRPr="0025026B" w:rsidRDefault="00F951C6" w:rsidP="00F951C6">
      <w:pPr>
        <w:jc w:val="both"/>
        <w:rPr>
          <w:rFonts w:ascii="Arial" w:hAnsi="Arial" w:cs="Arial"/>
          <w:sz w:val="20"/>
          <w:szCs w:val="20"/>
        </w:rPr>
      </w:pPr>
      <w:r w:rsidRPr="00F8123E">
        <w:rPr>
          <w:rFonts w:ascii="Arial" w:hAnsi="Arial" w:cs="Arial"/>
          <w:sz w:val="20"/>
          <w:szCs w:val="20"/>
          <w:highlight w:val="yellow"/>
        </w:rPr>
        <w:t xml:space="preserve">Balarabe-Musa, B. (2023). Burden of Rotavirus </w:t>
      </w:r>
      <w:proofErr w:type="spellStart"/>
      <w:r w:rsidRPr="00F8123E">
        <w:rPr>
          <w:rFonts w:ascii="Arial" w:hAnsi="Arial" w:cs="Arial"/>
          <w:sz w:val="20"/>
          <w:szCs w:val="20"/>
          <w:highlight w:val="yellow"/>
        </w:rPr>
        <w:t>Diarrhoea</w:t>
      </w:r>
      <w:proofErr w:type="spellEnd"/>
      <w:r w:rsidRPr="00F8123E">
        <w:rPr>
          <w:rFonts w:ascii="Arial" w:hAnsi="Arial" w:cs="Arial"/>
          <w:sz w:val="20"/>
          <w:szCs w:val="20"/>
          <w:highlight w:val="yellow"/>
        </w:rPr>
        <w:t xml:space="preserve"> in Children in Abuja. Asian Journal of Research in Infectious Diseases, 12(4), 15–21.</w:t>
      </w:r>
      <w:r w:rsidRPr="00645E7B">
        <w:rPr>
          <w:rFonts w:ascii="Arial" w:hAnsi="Arial" w:cs="Arial"/>
          <w:sz w:val="20"/>
          <w:szCs w:val="20"/>
        </w:rPr>
        <w:t xml:space="preserve"> </w:t>
      </w:r>
    </w:p>
    <w:p w14:paraId="4E5E7298" w14:textId="77777777" w:rsidR="00F951C6" w:rsidRPr="003114E5" w:rsidRDefault="00F951C6" w:rsidP="00F951C6">
      <w:pPr>
        <w:jc w:val="both"/>
        <w:rPr>
          <w:rFonts w:ascii="Arial" w:hAnsi="Arial" w:cs="Arial"/>
          <w:sz w:val="20"/>
          <w:szCs w:val="20"/>
        </w:rPr>
      </w:pPr>
      <w:r w:rsidRPr="00951AE2">
        <w:rPr>
          <w:rFonts w:ascii="Arial" w:hAnsi="Arial" w:cs="Arial"/>
          <w:sz w:val="20"/>
          <w:szCs w:val="20"/>
          <w:highlight w:val="yellow"/>
        </w:rPr>
        <w:t xml:space="preserve">Crawford, S. E., Ramani, S &amp; Tate, J. E. (2017). Rotavirus infection. </w:t>
      </w:r>
      <w:r w:rsidRPr="00951AE2">
        <w:rPr>
          <w:rFonts w:ascii="Arial" w:hAnsi="Arial" w:cs="Arial"/>
          <w:i/>
          <w:iCs/>
          <w:sz w:val="20"/>
          <w:szCs w:val="20"/>
          <w:highlight w:val="yellow"/>
        </w:rPr>
        <w:t>Nature Reviews Disease Primers</w:t>
      </w:r>
      <w:r w:rsidRPr="00951AE2">
        <w:rPr>
          <w:rFonts w:ascii="Arial" w:hAnsi="Arial" w:cs="Arial"/>
          <w:sz w:val="20"/>
          <w:szCs w:val="20"/>
          <w:highlight w:val="yellow"/>
        </w:rPr>
        <w:t>, 3, 17083.</w:t>
      </w:r>
      <w:bookmarkStart w:id="1" w:name="_GoBack"/>
      <w:bookmarkEnd w:id="1"/>
    </w:p>
    <w:p w14:paraId="185F10AE" w14:textId="77777777" w:rsidR="00F951C6" w:rsidRPr="003114E5" w:rsidRDefault="00F951C6" w:rsidP="00F951C6">
      <w:pPr>
        <w:jc w:val="both"/>
        <w:rPr>
          <w:rFonts w:ascii="Arial" w:hAnsi="Arial" w:cs="Arial"/>
          <w:sz w:val="20"/>
          <w:szCs w:val="20"/>
        </w:rPr>
      </w:pPr>
      <w:r w:rsidRPr="00951AE2">
        <w:rPr>
          <w:rFonts w:ascii="Arial" w:hAnsi="Arial" w:cs="Arial"/>
          <w:sz w:val="20"/>
          <w:szCs w:val="20"/>
          <w:highlight w:val="yellow"/>
        </w:rPr>
        <w:t xml:space="preserve">Curtis, V., &amp; Cairncross, S. (2003). Effect of washing hands with soap on </w:t>
      </w:r>
      <w:proofErr w:type="spellStart"/>
      <w:r w:rsidRPr="00951AE2">
        <w:rPr>
          <w:rFonts w:ascii="Arial" w:hAnsi="Arial" w:cs="Arial"/>
          <w:sz w:val="20"/>
          <w:szCs w:val="20"/>
          <w:highlight w:val="yellow"/>
        </w:rPr>
        <w:t>diarrhoea</w:t>
      </w:r>
      <w:proofErr w:type="spellEnd"/>
      <w:r w:rsidRPr="00951AE2">
        <w:rPr>
          <w:rFonts w:ascii="Arial" w:hAnsi="Arial" w:cs="Arial"/>
          <w:sz w:val="20"/>
          <w:szCs w:val="20"/>
          <w:highlight w:val="yellow"/>
        </w:rPr>
        <w:t xml:space="preserve"> risk in the community: A systematic review. </w:t>
      </w:r>
      <w:r w:rsidRPr="00951AE2">
        <w:rPr>
          <w:rFonts w:ascii="Arial" w:hAnsi="Arial" w:cs="Arial"/>
          <w:i/>
          <w:iCs/>
          <w:sz w:val="20"/>
          <w:szCs w:val="20"/>
          <w:highlight w:val="yellow"/>
        </w:rPr>
        <w:t>The Lancet Infectious Diseases</w:t>
      </w:r>
      <w:r w:rsidRPr="00951AE2">
        <w:rPr>
          <w:rFonts w:ascii="Arial" w:hAnsi="Arial" w:cs="Arial"/>
          <w:sz w:val="20"/>
          <w:szCs w:val="20"/>
          <w:highlight w:val="yellow"/>
        </w:rPr>
        <w:t>, 3(5), 275–281.</w:t>
      </w:r>
    </w:p>
    <w:p w14:paraId="120FA66D" w14:textId="77777777" w:rsidR="00F951C6" w:rsidRPr="0025026B" w:rsidRDefault="00F951C6" w:rsidP="00F951C6">
      <w:pPr>
        <w:jc w:val="both"/>
        <w:rPr>
          <w:rFonts w:ascii="Arial" w:hAnsi="Arial" w:cs="Arial"/>
          <w:sz w:val="20"/>
          <w:szCs w:val="20"/>
        </w:rPr>
      </w:pPr>
      <w:r w:rsidRPr="00F8123E">
        <w:rPr>
          <w:rFonts w:ascii="Arial" w:hAnsi="Arial" w:cs="Arial"/>
          <w:sz w:val="20"/>
          <w:szCs w:val="20"/>
          <w:highlight w:val="yellow"/>
        </w:rPr>
        <w:t xml:space="preserve">Dennehy, P. H. (2012). Rotavirus infection: an update on management and prevention. </w:t>
      </w:r>
      <w:r w:rsidRPr="00F8123E">
        <w:rPr>
          <w:rFonts w:ascii="Arial" w:hAnsi="Arial" w:cs="Arial"/>
          <w:i/>
          <w:iCs/>
          <w:sz w:val="20"/>
          <w:szCs w:val="20"/>
          <w:highlight w:val="yellow"/>
        </w:rPr>
        <w:t>Advances in Pediatrics</w:t>
      </w:r>
      <w:r w:rsidRPr="00F8123E">
        <w:rPr>
          <w:rFonts w:ascii="Arial" w:hAnsi="Arial" w:cs="Arial"/>
          <w:sz w:val="20"/>
          <w:szCs w:val="20"/>
          <w:highlight w:val="yellow"/>
        </w:rPr>
        <w:t xml:space="preserve">. 59(1):47-74. </w:t>
      </w:r>
      <w:hyperlink r:id="rId8" w:history="1">
        <w:r w:rsidRPr="00F8123E">
          <w:rPr>
            <w:rStyle w:val="Hyperlink"/>
            <w:highlight w:val="yellow"/>
          </w:rPr>
          <w:t>https://pubmed.ncbi.nlm.nih.gov/22789574/</w:t>
        </w:r>
      </w:hyperlink>
    </w:p>
    <w:p w14:paraId="7D705473" w14:textId="77777777" w:rsidR="00F951C6" w:rsidRDefault="00F951C6" w:rsidP="00F951C6">
      <w:pPr>
        <w:jc w:val="both"/>
        <w:rPr>
          <w:rFonts w:ascii="Arial" w:hAnsi="Arial" w:cs="Arial"/>
          <w:sz w:val="20"/>
          <w:szCs w:val="20"/>
        </w:rPr>
      </w:pPr>
      <w:proofErr w:type="spellStart"/>
      <w:r w:rsidRPr="00F8123E">
        <w:rPr>
          <w:rFonts w:ascii="Arial" w:hAnsi="Arial" w:cs="Arial"/>
          <w:sz w:val="20"/>
          <w:szCs w:val="20"/>
          <w:highlight w:val="yellow"/>
        </w:rPr>
        <w:t>Digwo</w:t>
      </w:r>
      <w:proofErr w:type="spellEnd"/>
      <w:r w:rsidRPr="00F8123E">
        <w:rPr>
          <w:rFonts w:ascii="Arial" w:hAnsi="Arial" w:cs="Arial"/>
          <w:sz w:val="20"/>
          <w:szCs w:val="20"/>
          <w:highlight w:val="yellow"/>
        </w:rPr>
        <w:t xml:space="preserve">, D., </w:t>
      </w:r>
      <w:proofErr w:type="spellStart"/>
      <w:r w:rsidRPr="00F8123E">
        <w:rPr>
          <w:rFonts w:ascii="Arial" w:hAnsi="Arial" w:cs="Arial"/>
          <w:sz w:val="20"/>
          <w:szCs w:val="20"/>
          <w:highlight w:val="yellow"/>
        </w:rPr>
        <w:t>Chidebelu</w:t>
      </w:r>
      <w:proofErr w:type="spellEnd"/>
      <w:r w:rsidRPr="00F8123E">
        <w:rPr>
          <w:rFonts w:ascii="Arial" w:hAnsi="Arial" w:cs="Arial"/>
          <w:sz w:val="20"/>
          <w:szCs w:val="20"/>
          <w:highlight w:val="yellow"/>
        </w:rPr>
        <w:t xml:space="preserve">, P., Ugwu, K., </w:t>
      </w:r>
      <w:proofErr w:type="spellStart"/>
      <w:r w:rsidRPr="00F8123E">
        <w:rPr>
          <w:rFonts w:ascii="Arial" w:hAnsi="Arial" w:cs="Arial"/>
          <w:sz w:val="20"/>
          <w:szCs w:val="20"/>
          <w:highlight w:val="yellow"/>
        </w:rPr>
        <w:t>Adediji</w:t>
      </w:r>
      <w:proofErr w:type="spellEnd"/>
      <w:r w:rsidRPr="00F8123E">
        <w:rPr>
          <w:rFonts w:ascii="Arial" w:hAnsi="Arial" w:cs="Arial"/>
          <w:sz w:val="20"/>
          <w:szCs w:val="20"/>
          <w:highlight w:val="yellow"/>
        </w:rPr>
        <w:t xml:space="preserve">, A., Farkas, K. &amp; </w:t>
      </w:r>
      <w:proofErr w:type="spellStart"/>
      <w:r w:rsidRPr="00F8123E">
        <w:rPr>
          <w:rFonts w:ascii="Arial" w:hAnsi="Arial" w:cs="Arial"/>
          <w:sz w:val="20"/>
          <w:szCs w:val="20"/>
          <w:highlight w:val="yellow"/>
        </w:rPr>
        <w:t>Chigor</w:t>
      </w:r>
      <w:proofErr w:type="spellEnd"/>
      <w:r w:rsidRPr="00F8123E">
        <w:rPr>
          <w:rFonts w:ascii="Arial" w:hAnsi="Arial" w:cs="Arial"/>
          <w:sz w:val="20"/>
          <w:szCs w:val="20"/>
          <w:highlight w:val="yellow"/>
        </w:rPr>
        <w:t xml:space="preserve">, V. (2023). Prevalence and relative risk of Rotavirus Gastroenteritis in children under five years in Nigeria: a systematic review and meta-analysis. </w:t>
      </w:r>
      <w:r w:rsidRPr="00F8123E">
        <w:rPr>
          <w:rFonts w:ascii="Arial" w:hAnsi="Arial" w:cs="Arial"/>
          <w:i/>
          <w:iCs/>
          <w:sz w:val="20"/>
          <w:szCs w:val="20"/>
          <w:highlight w:val="yellow"/>
        </w:rPr>
        <w:t>Pathogen and Global Health</w:t>
      </w:r>
      <w:r w:rsidRPr="00F8123E">
        <w:rPr>
          <w:rFonts w:ascii="Arial" w:hAnsi="Arial" w:cs="Arial"/>
          <w:sz w:val="20"/>
          <w:szCs w:val="20"/>
          <w:highlight w:val="yellow"/>
        </w:rPr>
        <w:t xml:space="preserve">. 117(1):24-35. </w:t>
      </w:r>
      <w:hyperlink r:id="rId9" w:history="1">
        <w:r w:rsidRPr="00F8123E">
          <w:rPr>
            <w:rStyle w:val="Hyperlink"/>
            <w:highlight w:val="yellow"/>
          </w:rPr>
          <w:t>https://pmc.ncbi.nlm.nih.gov/articles/PMC9848363/</w:t>
        </w:r>
      </w:hyperlink>
    </w:p>
    <w:p w14:paraId="5964AA19" w14:textId="77777777" w:rsidR="00F951C6" w:rsidRPr="0025026B" w:rsidRDefault="00F951C6" w:rsidP="00F951C6">
      <w:pPr>
        <w:jc w:val="both"/>
        <w:rPr>
          <w:rFonts w:ascii="Arial" w:hAnsi="Arial" w:cs="Arial"/>
          <w:sz w:val="20"/>
          <w:szCs w:val="20"/>
        </w:rPr>
      </w:pPr>
      <w:r w:rsidRPr="002C673A">
        <w:rPr>
          <w:rFonts w:ascii="Arial" w:hAnsi="Arial" w:cs="Arial"/>
          <w:sz w:val="20"/>
          <w:szCs w:val="20"/>
          <w:highlight w:val="yellow"/>
        </w:rPr>
        <w:t xml:space="preserve">Garba, J., </w:t>
      </w:r>
      <w:proofErr w:type="spellStart"/>
      <w:r w:rsidRPr="002C673A">
        <w:rPr>
          <w:rFonts w:ascii="Arial" w:hAnsi="Arial" w:cs="Arial"/>
          <w:sz w:val="20"/>
          <w:szCs w:val="20"/>
          <w:highlight w:val="yellow"/>
        </w:rPr>
        <w:t>Faleke</w:t>
      </w:r>
      <w:proofErr w:type="spellEnd"/>
      <w:r w:rsidRPr="002C673A">
        <w:rPr>
          <w:rFonts w:ascii="Arial" w:hAnsi="Arial" w:cs="Arial"/>
          <w:sz w:val="20"/>
          <w:szCs w:val="20"/>
          <w:highlight w:val="yellow"/>
        </w:rPr>
        <w:t xml:space="preserve">, O. O., Magaji, A. A., Alkali, B. R., Nwankwo, I. O., &amp; </w:t>
      </w:r>
      <w:proofErr w:type="spellStart"/>
      <w:r w:rsidRPr="002C673A">
        <w:rPr>
          <w:rFonts w:ascii="Arial" w:hAnsi="Arial" w:cs="Arial"/>
          <w:sz w:val="20"/>
          <w:szCs w:val="20"/>
          <w:highlight w:val="yellow"/>
        </w:rPr>
        <w:t>Dzikwi</w:t>
      </w:r>
      <w:proofErr w:type="spellEnd"/>
      <w:r w:rsidRPr="002C673A">
        <w:rPr>
          <w:rFonts w:ascii="Arial" w:hAnsi="Arial" w:cs="Arial"/>
          <w:sz w:val="20"/>
          <w:szCs w:val="20"/>
          <w:highlight w:val="yellow"/>
        </w:rPr>
        <w:t>, A. A. (2019). Prevalence of Group A Rotavirus, Some Risk Factors and Clinical Signs of the Infection in Children Under Five Years in Yobe State, Nigeria. </w:t>
      </w:r>
      <w:proofErr w:type="spellStart"/>
      <w:r w:rsidRPr="002C673A">
        <w:rPr>
          <w:rFonts w:ascii="Arial" w:hAnsi="Arial" w:cs="Arial"/>
          <w:i/>
          <w:iCs/>
          <w:sz w:val="20"/>
          <w:szCs w:val="20"/>
          <w:highlight w:val="yellow"/>
        </w:rPr>
        <w:t>Notulae</w:t>
      </w:r>
      <w:proofErr w:type="spellEnd"/>
      <w:r w:rsidRPr="002C673A">
        <w:rPr>
          <w:rFonts w:ascii="Arial" w:hAnsi="Arial" w:cs="Arial"/>
          <w:i/>
          <w:iCs/>
          <w:sz w:val="20"/>
          <w:szCs w:val="20"/>
          <w:highlight w:val="yellow"/>
        </w:rPr>
        <w:t xml:space="preserve"> Scientia </w:t>
      </w:r>
      <w:proofErr w:type="spellStart"/>
      <w:r w:rsidRPr="002C673A">
        <w:rPr>
          <w:rFonts w:ascii="Arial" w:hAnsi="Arial" w:cs="Arial"/>
          <w:i/>
          <w:iCs/>
          <w:sz w:val="20"/>
          <w:szCs w:val="20"/>
          <w:highlight w:val="yellow"/>
        </w:rPr>
        <w:t>Biologicae</w:t>
      </w:r>
      <w:proofErr w:type="spellEnd"/>
      <w:r w:rsidRPr="002C673A">
        <w:rPr>
          <w:rFonts w:ascii="Arial" w:hAnsi="Arial" w:cs="Arial"/>
          <w:sz w:val="20"/>
          <w:szCs w:val="20"/>
          <w:highlight w:val="yellow"/>
        </w:rPr>
        <w:t>, </w:t>
      </w:r>
      <w:r w:rsidRPr="002C673A">
        <w:rPr>
          <w:rFonts w:ascii="Arial" w:hAnsi="Arial" w:cs="Arial"/>
          <w:i/>
          <w:iCs/>
          <w:sz w:val="20"/>
          <w:szCs w:val="20"/>
          <w:highlight w:val="yellow"/>
        </w:rPr>
        <w:t>11</w:t>
      </w:r>
      <w:r w:rsidRPr="002C673A">
        <w:rPr>
          <w:rFonts w:ascii="Arial" w:hAnsi="Arial" w:cs="Arial"/>
          <w:sz w:val="20"/>
          <w:szCs w:val="20"/>
          <w:highlight w:val="yellow"/>
        </w:rPr>
        <w:t xml:space="preserve">(3), 332–339. </w:t>
      </w:r>
      <w:hyperlink r:id="rId10" w:history="1">
        <w:r w:rsidRPr="002C673A">
          <w:rPr>
            <w:rStyle w:val="Hyperlink"/>
            <w:highlight w:val="yellow"/>
          </w:rPr>
          <w:t>https://www.notulaebiologicae.ro/index.php/nsb/article/view/10474/9218</w:t>
        </w:r>
      </w:hyperlink>
    </w:p>
    <w:p w14:paraId="05DE77B3" w14:textId="77777777" w:rsidR="00F951C6" w:rsidRDefault="00F951C6" w:rsidP="00F951C6">
      <w:pPr>
        <w:jc w:val="both"/>
        <w:rPr>
          <w:rFonts w:ascii="Arial" w:hAnsi="Arial" w:cs="Arial"/>
          <w:sz w:val="20"/>
          <w:szCs w:val="20"/>
        </w:rPr>
      </w:pPr>
      <w:r w:rsidRPr="00951AE2">
        <w:rPr>
          <w:rFonts w:ascii="Arial" w:hAnsi="Arial" w:cs="Arial"/>
          <w:sz w:val="20"/>
          <w:szCs w:val="20"/>
          <w:highlight w:val="yellow"/>
        </w:rPr>
        <w:t xml:space="preserve">Mohammed, A. A., Aminu, M., Ado, S. A., Jatau, E. D &amp; </w:t>
      </w:r>
      <w:proofErr w:type="spellStart"/>
      <w:r w:rsidRPr="00951AE2">
        <w:rPr>
          <w:rFonts w:ascii="Arial" w:hAnsi="Arial" w:cs="Arial"/>
          <w:sz w:val="20"/>
          <w:szCs w:val="20"/>
          <w:highlight w:val="yellow"/>
        </w:rPr>
        <w:t>Esona</w:t>
      </w:r>
      <w:proofErr w:type="spellEnd"/>
      <w:r w:rsidRPr="00951AE2">
        <w:rPr>
          <w:rFonts w:ascii="Arial" w:hAnsi="Arial" w:cs="Arial"/>
          <w:sz w:val="20"/>
          <w:szCs w:val="20"/>
          <w:highlight w:val="yellow"/>
        </w:rPr>
        <w:t xml:space="preserve">, M. D. (2016). Prevalence of rotavirus among children under five years of age with </w:t>
      </w:r>
      <w:proofErr w:type="spellStart"/>
      <w:r w:rsidRPr="00951AE2">
        <w:rPr>
          <w:rFonts w:ascii="Arial" w:hAnsi="Arial" w:cs="Arial"/>
          <w:sz w:val="20"/>
          <w:szCs w:val="20"/>
          <w:highlight w:val="yellow"/>
        </w:rPr>
        <w:t>diarrhoea</w:t>
      </w:r>
      <w:proofErr w:type="spellEnd"/>
      <w:r w:rsidRPr="00951AE2">
        <w:rPr>
          <w:rFonts w:ascii="Arial" w:hAnsi="Arial" w:cs="Arial"/>
          <w:sz w:val="20"/>
          <w:szCs w:val="20"/>
          <w:highlight w:val="yellow"/>
        </w:rPr>
        <w:t xml:space="preserve"> in Kaduna State, Nigeria. Nigerian journal of </w:t>
      </w:r>
      <w:proofErr w:type="spellStart"/>
      <w:r w:rsidRPr="00951AE2">
        <w:rPr>
          <w:rFonts w:ascii="Arial" w:hAnsi="Arial" w:cs="Arial"/>
          <w:sz w:val="20"/>
          <w:szCs w:val="20"/>
          <w:highlight w:val="yellow"/>
        </w:rPr>
        <w:t>pepediatrics</w:t>
      </w:r>
      <w:proofErr w:type="spellEnd"/>
      <w:r w:rsidRPr="00951AE2">
        <w:rPr>
          <w:rFonts w:ascii="Arial" w:hAnsi="Arial" w:cs="Arial"/>
          <w:sz w:val="20"/>
          <w:szCs w:val="20"/>
          <w:highlight w:val="yellow"/>
        </w:rPr>
        <w:t>. 43 (4).</w:t>
      </w:r>
    </w:p>
    <w:p w14:paraId="42A2AFBF" w14:textId="77777777" w:rsidR="00F951C6" w:rsidRPr="0025026B" w:rsidRDefault="00F951C6" w:rsidP="00F951C6">
      <w:pPr>
        <w:jc w:val="both"/>
        <w:rPr>
          <w:rFonts w:ascii="Arial" w:hAnsi="Arial" w:cs="Arial"/>
          <w:sz w:val="20"/>
          <w:szCs w:val="20"/>
        </w:rPr>
      </w:pPr>
      <w:r w:rsidRPr="002C673A">
        <w:rPr>
          <w:rFonts w:ascii="Arial" w:hAnsi="Arial" w:cs="Arial"/>
          <w:sz w:val="20"/>
          <w:szCs w:val="20"/>
          <w:highlight w:val="yellow"/>
        </w:rPr>
        <w:t xml:space="preserve">Mwenda, J. M., Parashar, U. D., Cohen, A. L &amp; Tate, J. E. (2018). Impact of rotavirus vaccines in Sub-Saharan African countries. </w:t>
      </w:r>
      <w:r w:rsidRPr="002C673A">
        <w:rPr>
          <w:rFonts w:ascii="Arial" w:hAnsi="Arial" w:cs="Arial"/>
          <w:i/>
          <w:iCs/>
          <w:sz w:val="20"/>
          <w:szCs w:val="20"/>
          <w:highlight w:val="yellow"/>
        </w:rPr>
        <w:t>Vaccine</w:t>
      </w:r>
      <w:r w:rsidRPr="002C673A">
        <w:rPr>
          <w:rFonts w:ascii="Arial" w:hAnsi="Arial" w:cs="Arial"/>
          <w:sz w:val="20"/>
          <w:szCs w:val="20"/>
          <w:highlight w:val="yellow"/>
        </w:rPr>
        <w:t xml:space="preserve">. 2018 Nov 12;36(47):7119-7123. </w:t>
      </w:r>
      <w:hyperlink r:id="rId11" w:history="1">
        <w:r w:rsidRPr="002C673A">
          <w:rPr>
            <w:rStyle w:val="Hyperlink"/>
            <w:highlight w:val="yellow"/>
          </w:rPr>
          <w:t>https://pmc.ncbi.nlm.nih.gov/articles/PMC11726318/</w:t>
        </w:r>
      </w:hyperlink>
    </w:p>
    <w:p w14:paraId="763D022F" w14:textId="77777777" w:rsidR="00F951C6" w:rsidRDefault="00F951C6" w:rsidP="00F951C6">
      <w:pPr>
        <w:jc w:val="both"/>
        <w:rPr>
          <w:rFonts w:ascii="Arial" w:hAnsi="Arial" w:cs="Arial"/>
          <w:sz w:val="20"/>
          <w:szCs w:val="20"/>
        </w:rPr>
      </w:pPr>
      <w:r w:rsidRPr="00951AE2">
        <w:rPr>
          <w:rFonts w:ascii="Arial" w:hAnsi="Arial" w:cs="Arial"/>
          <w:sz w:val="20"/>
          <w:szCs w:val="20"/>
          <w:highlight w:val="yellow"/>
        </w:rPr>
        <w:lastRenderedPageBreak/>
        <w:t xml:space="preserve">Nwachukwu, T. I., </w:t>
      </w:r>
      <w:proofErr w:type="spellStart"/>
      <w:r w:rsidRPr="00951AE2">
        <w:rPr>
          <w:rFonts w:ascii="Arial" w:hAnsi="Arial" w:cs="Arial"/>
          <w:sz w:val="20"/>
          <w:szCs w:val="20"/>
          <w:highlight w:val="yellow"/>
        </w:rPr>
        <w:t>Uhegbu</w:t>
      </w:r>
      <w:proofErr w:type="spellEnd"/>
      <w:r w:rsidRPr="00951AE2">
        <w:rPr>
          <w:rFonts w:ascii="Arial" w:hAnsi="Arial" w:cs="Arial"/>
          <w:sz w:val="20"/>
          <w:szCs w:val="20"/>
          <w:highlight w:val="yellow"/>
        </w:rPr>
        <w:t xml:space="preserve">, K., </w:t>
      </w:r>
      <w:proofErr w:type="spellStart"/>
      <w:r w:rsidRPr="00951AE2">
        <w:rPr>
          <w:rFonts w:ascii="Arial" w:hAnsi="Arial" w:cs="Arial"/>
          <w:sz w:val="20"/>
          <w:szCs w:val="20"/>
          <w:highlight w:val="yellow"/>
        </w:rPr>
        <w:t>Ikobah</w:t>
      </w:r>
      <w:proofErr w:type="spellEnd"/>
      <w:r w:rsidRPr="00951AE2">
        <w:rPr>
          <w:rFonts w:ascii="Arial" w:hAnsi="Arial" w:cs="Arial"/>
          <w:sz w:val="20"/>
          <w:szCs w:val="20"/>
          <w:highlight w:val="yellow"/>
        </w:rPr>
        <w:t xml:space="preserve">, J., Etuk, I. S., </w:t>
      </w:r>
      <w:proofErr w:type="spellStart"/>
      <w:r w:rsidRPr="00951AE2">
        <w:rPr>
          <w:rFonts w:ascii="Arial" w:hAnsi="Arial" w:cs="Arial"/>
          <w:sz w:val="20"/>
          <w:szCs w:val="20"/>
          <w:highlight w:val="yellow"/>
        </w:rPr>
        <w:t>Muoneke</w:t>
      </w:r>
      <w:proofErr w:type="spellEnd"/>
      <w:r w:rsidRPr="00951AE2">
        <w:rPr>
          <w:rFonts w:ascii="Arial" w:hAnsi="Arial" w:cs="Arial"/>
          <w:sz w:val="20"/>
          <w:szCs w:val="20"/>
          <w:highlight w:val="yellow"/>
        </w:rPr>
        <w:t xml:space="preserve">, L., &amp; Asuquo, A. E. (2023). Prevalence of rotavirus infection in children with acute watery </w:t>
      </w:r>
      <w:proofErr w:type="spellStart"/>
      <w:r w:rsidRPr="00951AE2">
        <w:rPr>
          <w:rFonts w:ascii="Arial" w:hAnsi="Arial" w:cs="Arial"/>
          <w:sz w:val="20"/>
          <w:szCs w:val="20"/>
          <w:highlight w:val="yellow"/>
        </w:rPr>
        <w:t>diarrhoea</w:t>
      </w:r>
      <w:proofErr w:type="spellEnd"/>
      <w:r w:rsidRPr="00951AE2">
        <w:rPr>
          <w:rFonts w:ascii="Arial" w:hAnsi="Arial" w:cs="Arial"/>
          <w:sz w:val="20"/>
          <w:szCs w:val="20"/>
          <w:highlight w:val="yellow"/>
        </w:rPr>
        <w:t xml:space="preserve"> in Calabar, Nigeria. Journal of Medicine in Africa, 6(1).</w:t>
      </w:r>
    </w:p>
    <w:p w14:paraId="1D89B013" w14:textId="77777777" w:rsidR="00F951C6" w:rsidRPr="003114E5" w:rsidRDefault="00F951C6" w:rsidP="00F951C6">
      <w:pPr>
        <w:jc w:val="both"/>
        <w:rPr>
          <w:rFonts w:ascii="Arial" w:hAnsi="Arial" w:cs="Arial"/>
          <w:sz w:val="20"/>
          <w:szCs w:val="20"/>
        </w:rPr>
      </w:pPr>
      <w:r w:rsidRPr="00951AE2">
        <w:rPr>
          <w:rFonts w:ascii="Arial" w:hAnsi="Arial" w:cs="Arial"/>
          <w:sz w:val="20"/>
          <w:szCs w:val="20"/>
          <w:highlight w:val="yellow"/>
        </w:rPr>
        <w:t xml:space="preserve">Parashar, U. D., </w:t>
      </w:r>
      <w:proofErr w:type="spellStart"/>
      <w:r w:rsidRPr="00951AE2">
        <w:rPr>
          <w:rFonts w:ascii="Arial" w:hAnsi="Arial" w:cs="Arial"/>
          <w:sz w:val="20"/>
          <w:szCs w:val="20"/>
          <w:highlight w:val="yellow"/>
        </w:rPr>
        <w:t>Hummelman</w:t>
      </w:r>
      <w:proofErr w:type="spellEnd"/>
      <w:r w:rsidRPr="00951AE2">
        <w:rPr>
          <w:rFonts w:ascii="Arial" w:hAnsi="Arial" w:cs="Arial"/>
          <w:sz w:val="20"/>
          <w:szCs w:val="20"/>
          <w:highlight w:val="yellow"/>
        </w:rPr>
        <w:t xml:space="preserve">, E. G., Bresee, J. S., Miller, M. A., &amp; Glass, R. I. (2013). Global illness and deaths caused by rotavirus disease in children. </w:t>
      </w:r>
      <w:r w:rsidRPr="00951AE2">
        <w:rPr>
          <w:rFonts w:ascii="Arial" w:hAnsi="Arial" w:cs="Arial"/>
          <w:i/>
          <w:iCs/>
          <w:sz w:val="20"/>
          <w:szCs w:val="20"/>
          <w:highlight w:val="yellow"/>
        </w:rPr>
        <w:t>Emerging Infectious Diseases</w:t>
      </w:r>
      <w:r w:rsidRPr="00951AE2">
        <w:rPr>
          <w:rFonts w:ascii="Arial" w:hAnsi="Arial" w:cs="Arial"/>
          <w:sz w:val="20"/>
          <w:szCs w:val="20"/>
          <w:highlight w:val="yellow"/>
        </w:rPr>
        <w:t>, 9(5), 565–572.</w:t>
      </w:r>
    </w:p>
    <w:p w14:paraId="46348B10" w14:textId="77777777" w:rsidR="00F951C6" w:rsidRPr="003114E5" w:rsidRDefault="00F951C6" w:rsidP="00F951C6">
      <w:pPr>
        <w:jc w:val="both"/>
        <w:rPr>
          <w:rFonts w:ascii="Arial" w:hAnsi="Arial" w:cs="Arial"/>
          <w:sz w:val="20"/>
          <w:szCs w:val="20"/>
        </w:rPr>
      </w:pPr>
      <w:r w:rsidRPr="00951AE2">
        <w:rPr>
          <w:rFonts w:ascii="Arial" w:hAnsi="Arial" w:cs="Arial"/>
          <w:sz w:val="20"/>
          <w:szCs w:val="20"/>
          <w:highlight w:val="yellow"/>
        </w:rPr>
        <w:t xml:space="preserve">Patel, M. M., Steele, D., Gentsch, J. R., Wecker, J., Glass, R. I., &amp; Parashar, U. D. (2013). Real-world impact of rotavirus vaccination. </w:t>
      </w:r>
      <w:r w:rsidRPr="00951AE2">
        <w:rPr>
          <w:rFonts w:ascii="Arial" w:hAnsi="Arial" w:cs="Arial"/>
          <w:i/>
          <w:iCs/>
          <w:sz w:val="20"/>
          <w:szCs w:val="20"/>
          <w:highlight w:val="yellow"/>
        </w:rPr>
        <w:t>Pediatric Infectious Disease Journal</w:t>
      </w:r>
      <w:r w:rsidRPr="00951AE2">
        <w:rPr>
          <w:rFonts w:ascii="Arial" w:hAnsi="Arial" w:cs="Arial"/>
          <w:sz w:val="20"/>
          <w:szCs w:val="20"/>
          <w:highlight w:val="yellow"/>
        </w:rPr>
        <w:t>, 30(1 Suppl), S1–S5.</w:t>
      </w:r>
    </w:p>
    <w:p w14:paraId="68C7CD8F" w14:textId="77777777" w:rsidR="00F951C6" w:rsidRPr="0025026B" w:rsidRDefault="00F951C6" w:rsidP="00F951C6">
      <w:pPr>
        <w:jc w:val="both"/>
        <w:rPr>
          <w:rFonts w:ascii="Arial" w:hAnsi="Arial" w:cs="Arial"/>
          <w:sz w:val="20"/>
          <w:szCs w:val="20"/>
        </w:rPr>
      </w:pPr>
      <w:r w:rsidRPr="002C673A">
        <w:rPr>
          <w:rFonts w:ascii="Arial" w:hAnsi="Arial" w:cs="Arial"/>
          <w:sz w:val="20"/>
          <w:szCs w:val="20"/>
          <w:highlight w:val="yellow"/>
        </w:rPr>
        <w:t xml:space="preserve">Piccini, P., Montagnani, C., de Martino, M. (2018). Gender disparity in pediatrics: a review of the current literature. </w:t>
      </w:r>
      <w:r w:rsidRPr="002C673A">
        <w:rPr>
          <w:rFonts w:ascii="Arial" w:hAnsi="Arial" w:cs="Arial"/>
          <w:i/>
          <w:iCs/>
          <w:sz w:val="20"/>
          <w:szCs w:val="20"/>
          <w:highlight w:val="yellow"/>
        </w:rPr>
        <w:t>Italian Journal of Pediatrics</w:t>
      </w:r>
      <w:r w:rsidRPr="002C673A">
        <w:rPr>
          <w:rFonts w:ascii="Arial" w:hAnsi="Arial" w:cs="Arial"/>
          <w:sz w:val="20"/>
          <w:szCs w:val="20"/>
          <w:highlight w:val="yellow"/>
        </w:rPr>
        <w:t xml:space="preserve">. 44(1):1. </w:t>
      </w:r>
      <w:hyperlink r:id="rId12" w:history="1">
        <w:r w:rsidRPr="002C673A">
          <w:rPr>
            <w:rStyle w:val="Hyperlink"/>
            <w:highlight w:val="yellow"/>
          </w:rPr>
          <w:t>https://pmc.ncbi.nlm.nih.gov/articles/PMC5748940/</w:t>
        </w:r>
      </w:hyperlink>
    </w:p>
    <w:p w14:paraId="5425E49A" w14:textId="77777777" w:rsidR="00F951C6" w:rsidRPr="002C673A" w:rsidRDefault="00F951C6" w:rsidP="00F951C6">
      <w:pPr>
        <w:jc w:val="both"/>
        <w:rPr>
          <w:rFonts w:ascii="Arial" w:hAnsi="Arial" w:cs="Arial"/>
          <w:color w:val="FF0000"/>
          <w:sz w:val="20"/>
          <w:szCs w:val="20"/>
        </w:rPr>
      </w:pPr>
      <w:r w:rsidRPr="002C673A">
        <w:rPr>
          <w:rFonts w:ascii="Arial" w:hAnsi="Arial" w:cs="Arial"/>
          <w:color w:val="FF0000"/>
          <w:sz w:val="20"/>
          <w:szCs w:val="20"/>
        </w:rPr>
        <w:t xml:space="preserve">Ramani, S., </w:t>
      </w:r>
      <w:proofErr w:type="spellStart"/>
      <w:r w:rsidRPr="002C673A">
        <w:rPr>
          <w:rFonts w:ascii="Arial" w:hAnsi="Arial" w:cs="Arial"/>
          <w:color w:val="FF0000"/>
          <w:sz w:val="20"/>
          <w:szCs w:val="20"/>
        </w:rPr>
        <w:t>Sowmyanarayanan</w:t>
      </w:r>
      <w:proofErr w:type="spellEnd"/>
      <w:r w:rsidRPr="002C673A">
        <w:rPr>
          <w:rFonts w:ascii="Arial" w:hAnsi="Arial" w:cs="Arial"/>
          <w:color w:val="FF0000"/>
          <w:sz w:val="20"/>
          <w:szCs w:val="20"/>
        </w:rPr>
        <w:t xml:space="preserve">, T. V., &amp; Kang, G. (2016). Diagnosis of rotavirus infection: The old and the new. </w:t>
      </w:r>
      <w:r w:rsidRPr="002C673A">
        <w:rPr>
          <w:rFonts w:ascii="Arial" w:hAnsi="Arial" w:cs="Arial"/>
          <w:i/>
          <w:iCs/>
          <w:color w:val="FF0000"/>
          <w:sz w:val="20"/>
          <w:szCs w:val="20"/>
        </w:rPr>
        <w:t>Indian Journal of Medical Research</w:t>
      </w:r>
      <w:r w:rsidRPr="002C673A">
        <w:rPr>
          <w:rFonts w:ascii="Arial" w:hAnsi="Arial" w:cs="Arial"/>
          <w:color w:val="FF0000"/>
          <w:sz w:val="20"/>
          <w:szCs w:val="20"/>
        </w:rPr>
        <w:t>, 143(5), 632–639.</w:t>
      </w:r>
    </w:p>
    <w:p w14:paraId="4CBFD93D" w14:textId="77777777" w:rsidR="00F951C6" w:rsidRPr="003114E5" w:rsidRDefault="00F951C6" w:rsidP="00F951C6">
      <w:pPr>
        <w:jc w:val="both"/>
        <w:rPr>
          <w:rFonts w:ascii="Arial" w:hAnsi="Arial" w:cs="Arial"/>
          <w:sz w:val="20"/>
          <w:szCs w:val="20"/>
        </w:rPr>
      </w:pPr>
      <w:r w:rsidRPr="00951AE2">
        <w:rPr>
          <w:rFonts w:ascii="Arial" w:hAnsi="Arial" w:cs="Arial"/>
          <w:sz w:val="20"/>
          <w:szCs w:val="20"/>
          <w:highlight w:val="yellow"/>
        </w:rPr>
        <w:t xml:space="preserve">Suleiman, K. O., &amp; Usman, A. D. (2020). Incidence of Rotavirus Among Children with </w:t>
      </w:r>
      <w:proofErr w:type="spellStart"/>
      <w:r w:rsidRPr="00951AE2">
        <w:rPr>
          <w:rFonts w:ascii="Arial" w:hAnsi="Arial" w:cs="Arial"/>
          <w:sz w:val="20"/>
          <w:szCs w:val="20"/>
          <w:highlight w:val="yellow"/>
        </w:rPr>
        <w:t>Diarrhoea</w:t>
      </w:r>
      <w:proofErr w:type="spellEnd"/>
      <w:r w:rsidRPr="00951AE2">
        <w:rPr>
          <w:rFonts w:ascii="Arial" w:hAnsi="Arial" w:cs="Arial"/>
          <w:sz w:val="20"/>
          <w:szCs w:val="20"/>
          <w:highlight w:val="yellow"/>
        </w:rPr>
        <w:t xml:space="preserve"> Attending </w:t>
      </w:r>
      <w:proofErr w:type="spellStart"/>
      <w:r w:rsidRPr="00951AE2">
        <w:rPr>
          <w:rFonts w:ascii="Arial" w:hAnsi="Arial" w:cs="Arial"/>
          <w:sz w:val="20"/>
          <w:szCs w:val="20"/>
          <w:highlight w:val="yellow"/>
        </w:rPr>
        <w:t>Hasiya</w:t>
      </w:r>
      <w:proofErr w:type="spellEnd"/>
      <w:r w:rsidRPr="00951AE2">
        <w:rPr>
          <w:rFonts w:ascii="Arial" w:hAnsi="Arial" w:cs="Arial"/>
          <w:sz w:val="20"/>
          <w:szCs w:val="20"/>
          <w:highlight w:val="yellow"/>
        </w:rPr>
        <w:t xml:space="preserve"> </w:t>
      </w:r>
      <w:proofErr w:type="spellStart"/>
      <w:r w:rsidRPr="00951AE2">
        <w:rPr>
          <w:rFonts w:ascii="Arial" w:hAnsi="Arial" w:cs="Arial"/>
          <w:sz w:val="20"/>
          <w:szCs w:val="20"/>
          <w:highlight w:val="yellow"/>
        </w:rPr>
        <w:t>Bayero</w:t>
      </w:r>
      <w:proofErr w:type="spellEnd"/>
      <w:r w:rsidRPr="00951AE2">
        <w:rPr>
          <w:rFonts w:ascii="Arial" w:hAnsi="Arial" w:cs="Arial"/>
          <w:sz w:val="20"/>
          <w:szCs w:val="20"/>
          <w:highlight w:val="yellow"/>
        </w:rPr>
        <w:t xml:space="preserve"> Pediatric Hospital, Kano. </w:t>
      </w:r>
      <w:r w:rsidRPr="00951AE2">
        <w:rPr>
          <w:rFonts w:ascii="Arial" w:hAnsi="Arial" w:cs="Arial"/>
          <w:i/>
          <w:iCs/>
          <w:sz w:val="20"/>
          <w:szCs w:val="20"/>
          <w:highlight w:val="yellow"/>
        </w:rPr>
        <w:t>Acta Scientific Microbiology</w:t>
      </w:r>
      <w:r w:rsidRPr="00951AE2">
        <w:rPr>
          <w:rFonts w:ascii="Arial" w:hAnsi="Arial" w:cs="Arial"/>
          <w:sz w:val="20"/>
          <w:szCs w:val="20"/>
          <w:highlight w:val="yellow"/>
        </w:rPr>
        <w:t>, 3(3), 01-08.</w:t>
      </w:r>
    </w:p>
    <w:p w14:paraId="76FDC536" w14:textId="77777777" w:rsidR="00F951C6" w:rsidRPr="003114E5" w:rsidRDefault="00F951C6" w:rsidP="00F951C6">
      <w:pPr>
        <w:jc w:val="both"/>
        <w:rPr>
          <w:rFonts w:ascii="Arial" w:hAnsi="Arial" w:cs="Arial"/>
          <w:sz w:val="20"/>
          <w:szCs w:val="20"/>
        </w:rPr>
      </w:pPr>
      <w:r w:rsidRPr="00951AE2">
        <w:rPr>
          <w:rFonts w:ascii="Arial" w:hAnsi="Arial" w:cs="Arial"/>
          <w:sz w:val="20"/>
          <w:szCs w:val="20"/>
          <w:highlight w:val="yellow"/>
        </w:rPr>
        <w:t xml:space="preserve">Tate, J. E., Burton, A. H., Boschi-Pinto, C., Steele, A. D., Duque, J., &amp; Parashar, U. D. (2016). 2008 estimate of worldwide rotavirus-associated mortality in children younger than 5 years before the introduction of universal rotavirus vaccination </w:t>
      </w:r>
      <w:proofErr w:type="spellStart"/>
      <w:r w:rsidRPr="00951AE2">
        <w:rPr>
          <w:rFonts w:ascii="Arial" w:hAnsi="Arial" w:cs="Arial"/>
          <w:sz w:val="20"/>
          <w:szCs w:val="20"/>
          <w:highlight w:val="yellow"/>
        </w:rPr>
        <w:t>programmes</w:t>
      </w:r>
      <w:proofErr w:type="spellEnd"/>
      <w:r w:rsidRPr="00951AE2">
        <w:rPr>
          <w:rFonts w:ascii="Arial" w:hAnsi="Arial" w:cs="Arial"/>
          <w:sz w:val="20"/>
          <w:szCs w:val="20"/>
          <w:highlight w:val="yellow"/>
        </w:rPr>
        <w:t xml:space="preserve">: A systematic review and meta-analysis. </w:t>
      </w:r>
      <w:r w:rsidRPr="00951AE2">
        <w:rPr>
          <w:rFonts w:ascii="Arial" w:hAnsi="Arial" w:cs="Arial"/>
          <w:i/>
          <w:iCs/>
          <w:sz w:val="20"/>
          <w:szCs w:val="20"/>
          <w:highlight w:val="yellow"/>
        </w:rPr>
        <w:t>The Lancet Infectious Diseases</w:t>
      </w:r>
      <w:r w:rsidRPr="00951AE2">
        <w:rPr>
          <w:rFonts w:ascii="Arial" w:hAnsi="Arial" w:cs="Arial"/>
          <w:sz w:val="20"/>
          <w:szCs w:val="20"/>
          <w:highlight w:val="yellow"/>
        </w:rPr>
        <w:t>, 12(2), 136–141</w:t>
      </w:r>
      <w:r w:rsidRPr="003114E5">
        <w:rPr>
          <w:rFonts w:ascii="Arial" w:hAnsi="Arial" w:cs="Arial"/>
          <w:sz w:val="20"/>
          <w:szCs w:val="20"/>
        </w:rPr>
        <w:t>.</w:t>
      </w:r>
    </w:p>
    <w:p w14:paraId="00839079" w14:textId="77777777" w:rsidR="00F951C6" w:rsidRPr="003114E5" w:rsidRDefault="00F951C6" w:rsidP="00F951C6">
      <w:pPr>
        <w:jc w:val="both"/>
        <w:rPr>
          <w:rFonts w:ascii="Arial" w:hAnsi="Arial" w:cs="Arial"/>
          <w:sz w:val="20"/>
          <w:szCs w:val="20"/>
        </w:rPr>
      </w:pPr>
      <w:r w:rsidRPr="002C673A">
        <w:rPr>
          <w:rFonts w:ascii="Arial" w:hAnsi="Arial" w:cs="Arial"/>
          <w:sz w:val="20"/>
          <w:szCs w:val="20"/>
          <w:highlight w:val="yellow"/>
        </w:rPr>
        <w:t xml:space="preserve">UNICEF. (2020). </w:t>
      </w:r>
      <w:r w:rsidRPr="002C673A">
        <w:rPr>
          <w:rFonts w:ascii="Arial" w:hAnsi="Arial" w:cs="Arial"/>
          <w:i/>
          <w:iCs/>
          <w:sz w:val="20"/>
          <w:szCs w:val="20"/>
          <w:highlight w:val="yellow"/>
        </w:rPr>
        <w:t>State of the World's Children 2020: Children, Food and Nutrition</w:t>
      </w:r>
      <w:r w:rsidRPr="002C673A">
        <w:rPr>
          <w:rFonts w:ascii="Arial" w:hAnsi="Arial" w:cs="Arial"/>
          <w:sz w:val="20"/>
          <w:szCs w:val="20"/>
          <w:highlight w:val="yellow"/>
        </w:rPr>
        <w:t>.</w:t>
      </w:r>
    </w:p>
    <w:p w14:paraId="524A1C24" w14:textId="77777777" w:rsidR="00F951C6" w:rsidRPr="003114E5" w:rsidRDefault="00F951C6" w:rsidP="00F951C6">
      <w:pPr>
        <w:jc w:val="both"/>
        <w:rPr>
          <w:rFonts w:ascii="Arial" w:hAnsi="Arial" w:cs="Arial"/>
          <w:sz w:val="20"/>
          <w:szCs w:val="20"/>
        </w:rPr>
      </w:pPr>
      <w:r w:rsidRPr="00951AE2">
        <w:rPr>
          <w:rFonts w:ascii="Arial" w:hAnsi="Arial" w:cs="Arial"/>
          <w:sz w:val="20"/>
          <w:szCs w:val="20"/>
          <w:highlight w:val="yellow"/>
        </w:rPr>
        <w:t xml:space="preserve">Walker, C. L. F., Rudan, I &amp; Liu, L. (2013). Global burden of childhood pneumonia and </w:t>
      </w:r>
      <w:proofErr w:type="spellStart"/>
      <w:r w:rsidRPr="00951AE2">
        <w:rPr>
          <w:rFonts w:ascii="Arial" w:hAnsi="Arial" w:cs="Arial"/>
          <w:sz w:val="20"/>
          <w:szCs w:val="20"/>
          <w:highlight w:val="yellow"/>
        </w:rPr>
        <w:t>diarrhoea</w:t>
      </w:r>
      <w:proofErr w:type="spellEnd"/>
      <w:r w:rsidRPr="00951AE2">
        <w:rPr>
          <w:rFonts w:ascii="Arial" w:hAnsi="Arial" w:cs="Arial"/>
          <w:sz w:val="20"/>
          <w:szCs w:val="20"/>
          <w:highlight w:val="yellow"/>
        </w:rPr>
        <w:t xml:space="preserve">. The Lancet, 381(9875), 1405-1416.World Health Organization. (2017). </w:t>
      </w:r>
      <w:proofErr w:type="spellStart"/>
      <w:r w:rsidRPr="00951AE2">
        <w:rPr>
          <w:rFonts w:ascii="Arial" w:hAnsi="Arial" w:cs="Arial"/>
          <w:i/>
          <w:iCs/>
          <w:sz w:val="20"/>
          <w:szCs w:val="20"/>
          <w:highlight w:val="yellow"/>
        </w:rPr>
        <w:t>Diarrhoeal</w:t>
      </w:r>
      <w:proofErr w:type="spellEnd"/>
      <w:r w:rsidRPr="00951AE2">
        <w:rPr>
          <w:rFonts w:ascii="Arial" w:hAnsi="Arial" w:cs="Arial"/>
          <w:i/>
          <w:iCs/>
          <w:sz w:val="20"/>
          <w:szCs w:val="20"/>
          <w:highlight w:val="yellow"/>
        </w:rPr>
        <w:t xml:space="preserve"> disease fact sheet</w:t>
      </w:r>
      <w:r w:rsidRPr="00951AE2">
        <w:rPr>
          <w:rFonts w:ascii="Arial" w:hAnsi="Arial" w:cs="Arial"/>
          <w:sz w:val="20"/>
          <w:szCs w:val="20"/>
          <w:highlight w:val="yellow"/>
        </w:rPr>
        <w:t>.</w:t>
      </w:r>
      <w:r w:rsidRPr="003114E5">
        <w:rPr>
          <w:rFonts w:ascii="Arial" w:hAnsi="Arial" w:cs="Arial"/>
          <w:sz w:val="20"/>
          <w:szCs w:val="20"/>
        </w:rPr>
        <w:t xml:space="preserve"> </w:t>
      </w:r>
    </w:p>
    <w:p w14:paraId="0026750A" w14:textId="77777777" w:rsidR="00F951C6" w:rsidRPr="003114E5" w:rsidRDefault="00F951C6" w:rsidP="00F951C6">
      <w:pPr>
        <w:jc w:val="both"/>
        <w:rPr>
          <w:rFonts w:ascii="Arial" w:hAnsi="Arial" w:cs="Arial"/>
          <w:sz w:val="20"/>
          <w:szCs w:val="20"/>
        </w:rPr>
      </w:pPr>
      <w:r w:rsidRPr="00951AE2">
        <w:rPr>
          <w:rFonts w:ascii="Arial" w:hAnsi="Arial" w:cs="Arial"/>
          <w:sz w:val="20"/>
          <w:szCs w:val="20"/>
          <w:highlight w:val="yellow"/>
        </w:rPr>
        <w:t xml:space="preserve">World Health Organization. (2021). </w:t>
      </w:r>
      <w:r w:rsidRPr="00951AE2">
        <w:rPr>
          <w:rFonts w:ascii="Arial" w:hAnsi="Arial" w:cs="Arial"/>
          <w:i/>
          <w:iCs/>
          <w:sz w:val="20"/>
          <w:szCs w:val="20"/>
          <w:highlight w:val="yellow"/>
        </w:rPr>
        <w:t>Rotavirus vaccines: WHO position paper – July 2021</w:t>
      </w:r>
      <w:r w:rsidRPr="00951AE2">
        <w:rPr>
          <w:rFonts w:ascii="Arial" w:hAnsi="Arial" w:cs="Arial"/>
          <w:sz w:val="20"/>
          <w:szCs w:val="20"/>
          <w:highlight w:val="yellow"/>
        </w:rPr>
        <w:t xml:space="preserve">. </w:t>
      </w:r>
      <w:r w:rsidRPr="00951AE2">
        <w:rPr>
          <w:rFonts w:ascii="Arial" w:hAnsi="Arial" w:cs="Arial"/>
          <w:i/>
          <w:iCs/>
          <w:sz w:val="20"/>
          <w:szCs w:val="20"/>
          <w:highlight w:val="yellow"/>
        </w:rPr>
        <w:t>Weekly Epidemiological Record</w:t>
      </w:r>
      <w:r w:rsidRPr="00951AE2">
        <w:rPr>
          <w:rFonts w:ascii="Arial" w:hAnsi="Arial" w:cs="Arial"/>
          <w:sz w:val="20"/>
          <w:szCs w:val="20"/>
          <w:highlight w:val="yellow"/>
        </w:rPr>
        <w:t>, 96(28), 301–319.</w:t>
      </w:r>
    </w:p>
    <w:p w14:paraId="4DB570A6" w14:textId="32EEC37B" w:rsidR="00FF0F8B" w:rsidRPr="00FF0F8B" w:rsidRDefault="00FF0F8B" w:rsidP="00FF0F8B">
      <w:pPr>
        <w:jc w:val="both"/>
        <w:rPr>
          <w:rFonts w:ascii="Arial" w:hAnsi="Arial" w:cs="Arial"/>
          <w:sz w:val="20"/>
          <w:szCs w:val="20"/>
        </w:rPr>
      </w:pPr>
    </w:p>
    <w:p w14:paraId="6A7A1C8C" w14:textId="77777777" w:rsidR="00FF0F8B" w:rsidRDefault="00FF0F8B" w:rsidP="00FF0F8B">
      <w:pPr>
        <w:jc w:val="both"/>
      </w:pPr>
    </w:p>
    <w:sectPr w:rsidR="00FF0F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114C1"/>
    <w:multiLevelType w:val="multilevel"/>
    <w:tmpl w:val="EABA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250D14"/>
    <w:multiLevelType w:val="multilevel"/>
    <w:tmpl w:val="C44C3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EB25D8"/>
    <w:multiLevelType w:val="multilevel"/>
    <w:tmpl w:val="ECAE5D0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635F96"/>
    <w:multiLevelType w:val="multilevel"/>
    <w:tmpl w:val="AC20B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F501F2"/>
    <w:multiLevelType w:val="multilevel"/>
    <w:tmpl w:val="7A660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F8B"/>
    <w:rsid w:val="00221682"/>
    <w:rsid w:val="00245CBA"/>
    <w:rsid w:val="002C673A"/>
    <w:rsid w:val="003114E5"/>
    <w:rsid w:val="00383723"/>
    <w:rsid w:val="00443916"/>
    <w:rsid w:val="00451817"/>
    <w:rsid w:val="004B13F5"/>
    <w:rsid w:val="00507C3A"/>
    <w:rsid w:val="0064516C"/>
    <w:rsid w:val="006F12BD"/>
    <w:rsid w:val="007455B3"/>
    <w:rsid w:val="007457EC"/>
    <w:rsid w:val="00760616"/>
    <w:rsid w:val="008E1F56"/>
    <w:rsid w:val="008E5B34"/>
    <w:rsid w:val="00910EB6"/>
    <w:rsid w:val="00922CA6"/>
    <w:rsid w:val="00951AE2"/>
    <w:rsid w:val="00983530"/>
    <w:rsid w:val="00A61734"/>
    <w:rsid w:val="00B25C2C"/>
    <w:rsid w:val="00B768A4"/>
    <w:rsid w:val="00B9308B"/>
    <w:rsid w:val="00C95811"/>
    <w:rsid w:val="00E8605A"/>
    <w:rsid w:val="00E965DF"/>
    <w:rsid w:val="00EC5D49"/>
    <w:rsid w:val="00F328BF"/>
    <w:rsid w:val="00F8123E"/>
    <w:rsid w:val="00F951C6"/>
    <w:rsid w:val="00FD4355"/>
    <w:rsid w:val="00FF0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3B01C"/>
  <w15:chartTrackingRefBased/>
  <w15:docId w15:val="{8AC212C0-BFF4-41C3-9705-3B7E50AE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F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F0F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0F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0F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0F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0F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F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F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F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F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F0F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0F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0F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0F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0F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F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F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F8B"/>
    <w:rPr>
      <w:rFonts w:eastAsiaTheme="majorEastAsia" w:cstheme="majorBidi"/>
      <w:color w:val="272727" w:themeColor="text1" w:themeTint="D8"/>
    </w:rPr>
  </w:style>
  <w:style w:type="paragraph" w:styleId="Title">
    <w:name w:val="Title"/>
    <w:basedOn w:val="Normal"/>
    <w:next w:val="Normal"/>
    <w:link w:val="TitleChar"/>
    <w:uiPriority w:val="10"/>
    <w:qFormat/>
    <w:rsid w:val="00FF0F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F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F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F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F8B"/>
    <w:pPr>
      <w:spacing w:before="160"/>
      <w:jc w:val="center"/>
    </w:pPr>
    <w:rPr>
      <w:i/>
      <w:iCs/>
      <w:color w:val="404040" w:themeColor="text1" w:themeTint="BF"/>
    </w:rPr>
  </w:style>
  <w:style w:type="character" w:customStyle="1" w:styleId="QuoteChar">
    <w:name w:val="Quote Char"/>
    <w:basedOn w:val="DefaultParagraphFont"/>
    <w:link w:val="Quote"/>
    <w:uiPriority w:val="29"/>
    <w:rsid w:val="00FF0F8B"/>
    <w:rPr>
      <w:i/>
      <w:iCs/>
      <w:color w:val="404040" w:themeColor="text1" w:themeTint="BF"/>
    </w:rPr>
  </w:style>
  <w:style w:type="paragraph" w:styleId="ListParagraph">
    <w:name w:val="List Paragraph"/>
    <w:basedOn w:val="Normal"/>
    <w:uiPriority w:val="34"/>
    <w:qFormat/>
    <w:rsid w:val="00FF0F8B"/>
    <w:pPr>
      <w:ind w:left="720"/>
      <w:contextualSpacing/>
    </w:pPr>
  </w:style>
  <w:style w:type="character" w:styleId="IntenseEmphasis">
    <w:name w:val="Intense Emphasis"/>
    <w:basedOn w:val="DefaultParagraphFont"/>
    <w:uiPriority w:val="21"/>
    <w:qFormat/>
    <w:rsid w:val="00FF0F8B"/>
    <w:rPr>
      <w:i/>
      <w:iCs/>
      <w:color w:val="2F5496" w:themeColor="accent1" w:themeShade="BF"/>
    </w:rPr>
  </w:style>
  <w:style w:type="paragraph" w:styleId="IntenseQuote">
    <w:name w:val="Intense Quote"/>
    <w:basedOn w:val="Normal"/>
    <w:next w:val="Normal"/>
    <w:link w:val="IntenseQuoteChar"/>
    <w:uiPriority w:val="30"/>
    <w:qFormat/>
    <w:rsid w:val="00FF0F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0F8B"/>
    <w:rPr>
      <w:i/>
      <w:iCs/>
      <w:color w:val="2F5496" w:themeColor="accent1" w:themeShade="BF"/>
    </w:rPr>
  </w:style>
  <w:style w:type="character" w:styleId="IntenseReference">
    <w:name w:val="Intense Reference"/>
    <w:basedOn w:val="DefaultParagraphFont"/>
    <w:uiPriority w:val="32"/>
    <w:qFormat/>
    <w:rsid w:val="00FF0F8B"/>
    <w:rPr>
      <w:b/>
      <w:bCs/>
      <w:smallCaps/>
      <w:color w:val="2F5496" w:themeColor="accent1" w:themeShade="BF"/>
      <w:spacing w:val="5"/>
    </w:rPr>
  </w:style>
  <w:style w:type="character" w:styleId="Hyperlink">
    <w:name w:val="Hyperlink"/>
    <w:basedOn w:val="DefaultParagraphFont"/>
    <w:uiPriority w:val="99"/>
    <w:unhideWhenUsed/>
    <w:rsid w:val="003114E5"/>
    <w:rPr>
      <w:color w:val="0563C1" w:themeColor="hyperlink"/>
      <w:u w:val="single"/>
    </w:rPr>
  </w:style>
  <w:style w:type="character" w:styleId="UnresolvedMention">
    <w:name w:val="Unresolved Mention"/>
    <w:basedOn w:val="DefaultParagraphFont"/>
    <w:uiPriority w:val="99"/>
    <w:semiHidden/>
    <w:unhideWhenUsed/>
    <w:rsid w:val="003114E5"/>
    <w:rPr>
      <w:color w:val="605E5C"/>
      <w:shd w:val="clear" w:color="auto" w:fill="E1DFDD"/>
    </w:rPr>
  </w:style>
  <w:style w:type="character" w:styleId="FollowedHyperlink">
    <w:name w:val="FollowedHyperlink"/>
    <w:basedOn w:val="DefaultParagraphFont"/>
    <w:uiPriority w:val="99"/>
    <w:semiHidden/>
    <w:unhideWhenUsed/>
    <w:rsid w:val="00F812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37876">
      <w:bodyDiv w:val="1"/>
      <w:marLeft w:val="0"/>
      <w:marRight w:val="0"/>
      <w:marTop w:val="0"/>
      <w:marBottom w:val="0"/>
      <w:divBdr>
        <w:top w:val="none" w:sz="0" w:space="0" w:color="auto"/>
        <w:left w:val="none" w:sz="0" w:space="0" w:color="auto"/>
        <w:bottom w:val="none" w:sz="0" w:space="0" w:color="auto"/>
        <w:right w:val="none" w:sz="0" w:space="0" w:color="auto"/>
      </w:divBdr>
    </w:div>
    <w:div w:id="343091041">
      <w:bodyDiv w:val="1"/>
      <w:marLeft w:val="0"/>
      <w:marRight w:val="0"/>
      <w:marTop w:val="0"/>
      <w:marBottom w:val="0"/>
      <w:divBdr>
        <w:top w:val="none" w:sz="0" w:space="0" w:color="auto"/>
        <w:left w:val="none" w:sz="0" w:space="0" w:color="auto"/>
        <w:bottom w:val="none" w:sz="0" w:space="0" w:color="auto"/>
        <w:right w:val="none" w:sz="0" w:space="0" w:color="auto"/>
      </w:divBdr>
      <w:divsChild>
        <w:div w:id="230703677">
          <w:marLeft w:val="0"/>
          <w:marRight w:val="0"/>
          <w:marTop w:val="0"/>
          <w:marBottom w:val="0"/>
          <w:divBdr>
            <w:top w:val="none" w:sz="0" w:space="0" w:color="auto"/>
            <w:left w:val="none" w:sz="0" w:space="0" w:color="auto"/>
            <w:bottom w:val="none" w:sz="0" w:space="0" w:color="auto"/>
            <w:right w:val="none" w:sz="0" w:space="0" w:color="auto"/>
          </w:divBdr>
        </w:div>
        <w:div w:id="468017362">
          <w:marLeft w:val="0"/>
          <w:marRight w:val="0"/>
          <w:marTop w:val="0"/>
          <w:marBottom w:val="0"/>
          <w:divBdr>
            <w:top w:val="none" w:sz="0" w:space="0" w:color="auto"/>
            <w:left w:val="none" w:sz="0" w:space="0" w:color="auto"/>
            <w:bottom w:val="none" w:sz="0" w:space="0" w:color="auto"/>
            <w:right w:val="none" w:sz="0" w:space="0" w:color="auto"/>
          </w:divBdr>
        </w:div>
        <w:div w:id="759910106">
          <w:marLeft w:val="0"/>
          <w:marRight w:val="0"/>
          <w:marTop w:val="0"/>
          <w:marBottom w:val="0"/>
          <w:divBdr>
            <w:top w:val="none" w:sz="0" w:space="0" w:color="auto"/>
            <w:left w:val="none" w:sz="0" w:space="0" w:color="auto"/>
            <w:bottom w:val="none" w:sz="0" w:space="0" w:color="auto"/>
            <w:right w:val="none" w:sz="0" w:space="0" w:color="auto"/>
          </w:divBdr>
        </w:div>
        <w:div w:id="942877663">
          <w:marLeft w:val="0"/>
          <w:marRight w:val="0"/>
          <w:marTop w:val="0"/>
          <w:marBottom w:val="0"/>
          <w:divBdr>
            <w:top w:val="none" w:sz="0" w:space="0" w:color="auto"/>
            <w:left w:val="none" w:sz="0" w:space="0" w:color="auto"/>
            <w:bottom w:val="none" w:sz="0" w:space="0" w:color="auto"/>
            <w:right w:val="none" w:sz="0" w:space="0" w:color="auto"/>
          </w:divBdr>
        </w:div>
        <w:div w:id="1389378582">
          <w:marLeft w:val="0"/>
          <w:marRight w:val="0"/>
          <w:marTop w:val="0"/>
          <w:marBottom w:val="0"/>
          <w:divBdr>
            <w:top w:val="none" w:sz="0" w:space="0" w:color="auto"/>
            <w:left w:val="none" w:sz="0" w:space="0" w:color="auto"/>
            <w:bottom w:val="none" w:sz="0" w:space="0" w:color="auto"/>
            <w:right w:val="none" w:sz="0" w:space="0" w:color="auto"/>
          </w:divBdr>
        </w:div>
        <w:div w:id="2038702440">
          <w:marLeft w:val="0"/>
          <w:marRight w:val="0"/>
          <w:marTop w:val="0"/>
          <w:marBottom w:val="0"/>
          <w:divBdr>
            <w:top w:val="none" w:sz="0" w:space="0" w:color="auto"/>
            <w:left w:val="none" w:sz="0" w:space="0" w:color="auto"/>
            <w:bottom w:val="none" w:sz="0" w:space="0" w:color="auto"/>
            <w:right w:val="none" w:sz="0" w:space="0" w:color="auto"/>
          </w:divBdr>
        </w:div>
        <w:div w:id="2082286617">
          <w:marLeft w:val="0"/>
          <w:marRight w:val="0"/>
          <w:marTop w:val="0"/>
          <w:marBottom w:val="0"/>
          <w:divBdr>
            <w:top w:val="none" w:sz="0" w:space="0" w:color="auto"/>
            <w:left w:val="none" w:sz="0" w:space="0" w:color="auto"/>
            <w:bottom w:val="none" w:sz="0" w:space="0" w:color="auto"/>
            <w:right w:val="none" w:sz="0" w:space="0" w:color="auto"/>
          </w:divBdr>
        </w:div>
      </w:divsChild>
    </w:div>
    <w:div w:id="357126059">
      <w:bodyDiv w:val="1"/>
      <w:marLeft w:val="0"/>
      <w:marRight w:val="0"/>
      <w:marTop w:val="0"/>
      <w:marBottom w:val="0"/>
      <w:divBdr>
        <w:top w:val="none" w:sz="0" w:space="0" w:color="auto"/>
        <w:left w:val="none" w:sz="0" w:space="0" w:color="auto"/>
        <w:bottom w:val="none" w:sz="0" w:space="0" w:color="auto"/>
        <w:right w:val="none" w:sz="0" w:space="0" w:color="auto"/>
      </w:divBdr>
    </w:div>
    <w:div w:id="504707807">
      <w:bodyDiv w:val="1"/>
      <w:marLeft w:val="0"/>
      <w:marRight w:val="0"/>
      <w:marTop w:val="0"/>
      <w:marBottom w:val="0"/>
      <w:divBdr>
        <w:top w:val="none" w:sz="0" w:space="0" w:color="auto"/>
        <w:left w:val="none" w:sz="0" w:space="0" w:color="auto"/>
        <w:bottom w:val="none" w:sz="0" w:space="0" w:color="auto"/>
        <w:right w:val="none" w:sz="0" w:space="0" w:color="auto"/>
      </w:divBdr>
    </w:div>
    <w:div w:id="518930283">
      <w:bodyDiv w:val="1"/>
      <w:marLeft w:val="0"/>
      <w:marRight w:val="0"/>
      <w:marTop w:val="0"/>
      <w:marBottom w:val="0"/>
      <w:divBdr>
        <w:top w:val="none" w:sz="0" w:space="0" w:color="auto"/>
        <w:left w:val="none" w:sz="0" w:space="0" w:color="auto"/>
        <w:bottom w:val="none" w:sz="0" w:space="0" w:color="auto"/>
        <w:right w:val="none" w:sz="0" w:space="0" w:color="auto"/>
      </w:divBdr>
    </w:div>
    <w:div w:id="522327983">
      <w:bodyDiv w:val="1"/>
      <w:marLeft w:val="0"/>
      <w:marRight w:val="0"/>
      <w:marTop w:val="0"/>
      <w:marBottom w:val="0"/>
      <w:divBdr>
        <w:top w:val="none" w:sz="0" w:space="0" w:color="auto"/>
        <w:left w:val="none" w:sz="0" w:space="0" w:color="auto"/>
        <w:bottom w:val="none" w:sz="0" w:space="0" w:color="auto"/>
        <w:right w:val="none" w:sz="0" w:space="0" w:color="auto"/>
      </w:divBdr>
    </w:div>
    <w:div w:id="605625041">
      <w:bodyDiv w:val="1"/>
      <w:marLeft w:val="0"/>
      <w:marRight w:val="0"/>
      <w:marTop w:val="0"/>
      <w:marBottom w:val="0"/>
      <w:divBdr>
        <w:top w:val="none" w:sz="0" w:space="0" w:color="auto"/>
        <w:left w:val="none" w:sz="0" w:space="0" w:color="auto"/>
        <w:bottom w:val="none" w:sz="0" w:space="0" w:color="auto"/>
        <w:right w:val="none" w:sz="0" w:space="0" w:color="auto"/>
      </w:divBdr>
      <w:divsChild>
        <w:div w:id="200021723">
          <w:marLeft w:val="0"/>
          <w:marRight w:val="0"/>
          <w:marTop w:val="0"/>
          <w:marBottom w:val="0"/>
          <w:divBdr>
            <w:top w:val="none" w:sz="0" w:space="0" w:color="auto"/>
            <w:left w:val="none" w:sz="0" w:space="0" w:color="auto"/>
            <w:bottom w:val="none" w:sz="0" w:space="0" w:color="auto"/>
            <w:right w:val="none" w:sz="0" w:space="0" w:color="auto"/>
          </w:divBdr>
        </w:div>
        <w:div w:id="492337827">
          <w:marLeft w:val="0"/>
          <w:marRight w:val="0"/>
          <w:marTop w:val="0"/>
          <w:marBottom w:val="0"/>
          <w:divBdr>
            <w:top w:val="none" w:sz="0" w:space="0" w:color="auto"/>
            <w:left w:val="none" w:sz="0" w:space="0" w:color="auto"/>
            <w:bottom w:val="none" w:sz="0" w:space="0" w:color="auto"/>
            <w:right w:val="none" w:sz="0" w:space="0" w:color="auto"/>
          </w:divBdr>
        </w:div>
        <w:div w:id="693846755">
          <w:marLeft w:val="0"/>
          <w:marRight w:val="0"/>
          <w:marTop w:val="0"/>
          <w:marBottom w:val="0"/>
          <w:divBdr>
            <w:top w:val="none" w:sz="0" w:space="0" w:color="auto"/>
            <w:left w:val="none" w:sz="0" w:space="0" w:color="auto"/>
            <w:bottom w:val="none" w:sz="0" w:space="0" w:color="auto"/>
            <w:right w:val="none" w:sz="0" w:space="0" w:color="auto"/>
          </w:divBdr>
        </w:div>
        <w:div w:id="768160383">
          <w:marLeft w:val="0"/>
          <w:marRight w:val="0"/>
          <w:marTop w:val="0"/>
          <w:marBottom w:val="0"/>
          <w:divBdr>
            <w:top w:val="none" w:sz="0" w:space="0" w:color="auto"/>
            <w:left w:val="none" w:sz="0" w:space="0" w:color="auto"/>
            <w:bottom w:val="none" w:sz="0" w:space="0" w:color="auto"/>
            <w:right w:val="none" w:sz="0" w:space="0" w:color="auto"/>
          </w:divBdr>
        </w:div>
        <w:div w:id="1359890998">
          <w:marLeft w:val="0"/>
          <w:marRight w:val="0"/>
          <w:marTop w:val="0"/>
          <w:marBottom w:val="0"/>
          <w:divBdr>
            <w:top w:val="none" w:sz="0" w:space="0" w:color="auto"/>
            <w:left w:val="none" w:sz="0" w:space="0" w:color="auto"/>
            <w:bottom w:val="none" w:sz="0" w:space="0" w:color="auto"/>
            <w:right w:val="none" w:sz="0" w:space="0" w:color="auto"/>
          </w:divBdr>
        </w:div>
        <w:div w:id="1549411874">
          <w:marLeft w:val="0"/>
          <w:marRight w:val="0"/>
          <w:marTop w:val="0"/>
          <w:marBottom w:val="0"/>
          <w:divBdr>
            <w:top w:val="none" w:sz="0" w:space="0" w:color="auto"/>
            <w:left w:val="none" w:sz="0" w:space="0" w:color="auto"/>
            <w:bottom w:val="none" w:sz="0" w:space="0" w:color="auto"/>
            <w:right w:val="none" w:sz="0" w:space="0" w:color="auto"/>
          </w:divBdr>
        </w:div>
        <w:div w:id="1824466339">
          <w:marLeft w:val="0"/>
          <w:marRight w:val="0"/>
          <w:marTop w:val="0"/>
          <w:marBottom w:val="0"/>
          <w:divBdr>
            <w:top w:val="none" w:sz="0" w:space="0" w:color="auto"/>
            <w:left w:val="none" w:sz="0" w:space="0" w:color="auto"/>
            <w:bottom w:val="none" w:sz="0" w:space="0" w:color="auto"/>
            <w:right w:val="none" w:sz="0" w:space="0" w:color="auto"/>
          </w:divBdr>
        </w:div>
      </w:divsChild>
    </w:div>
    <w:div w:id="722290605">
      <w:bodyDiv w:val="1"/>
      <w:marLeft w:val="0"/>
      <w:marRight w:val="0"/>
      <w:marTop w:val="0"/>
      <w:marBottom w:val="0"/>
      <w:divBdr>
        <w:top w:val="none" w:sz="0" w:space="0" w:color="auto"/>
        <w:left w:val="none" w:sz="0" w:space="0" w:color="auto"/>
        <w:bottom w:val="none" w:sz="0" w:space="0" w:color="auto"/>
        <w:right w:val="none" w:sz="0" w:space="0" w:color="auto"/>
      </w:divBdr>
      <w:divsChild>
        <w:div w:id="624193758">
          <w:marLeft w:val="0"/>
          <w:marRight w:val="0"/>
          <w:marTop w:val="0"/>
          <w:marBottom w:val="0"/>
          <w:divBdr>
            <w:top w:val="none" w:sz="0" w:space="0" w:color="auto"/>
            <w:left w:val="none" w:sz="0" w:space="0" w:color="auto"/>
            <w:bottom w:val="none" w:sz="0" w:space="0" w:color="auto"/>
            <w:right w:val="none" w:sz="0" w:space="0" w:color="auto"/>
          </w:divBdr>
          <w:divsChild>
            <w:div w:id="1030490661">
              <w:marLeft w:val="0"/>
              <w:marRight w:val="0"/>
              <w:marTop w:val="0"/>
              <w:marBottom w:val="0"/>
              <w:divBdr>
                <w:top w:val="none" w:sz="0" w:space="0" w:color="auto"/>
                <w:left w:val="none" w:sz="0" w:space="0" w:color="auto"/>
                <w:bottom w:val="none" w:sz="0" w:space="0" w:color="auto"/>
                <w:right w:val="none" w:sz="0" w:space="0" w:color="auto"/>
              </w:divBdr>
              <w:divsChild>
                <w:div w:id="1097360279">
                  <w:marLeft w:val="0"/>
                  <w:marRight w:val="0"/>
                  <w:marTop w:val="0"/>
                  <w:marBottom w:val="0"/>
                  <w:divBdr>
                    <w:top w:val="none" w:sz="0" w:space="0" w:color="auto"/>
                    <w:left w:val="none" w:sz="0" w:space="0" w:color="auto"/>
                    <w:bottom w:val="none" w:sz="0" w:space="0" w:color="auto"/>
                    <w:right w:val="none" w:sz="0" w:space="0" w:color="auto"/>
                  </w:divBdr>
                  <w:divsChild>
                    <w:div w:id="568198256">
                      <w:marLeft w:val="0"/>
                      <w:marRight w:val="0"/>
                      <w:marTop w:val="0"/>
                      <w:marBottom w:val="0"/>
                      <w:divBdr>
                        <w:top w:val="none" w:sz="0" w:space="0" w:color="auto"/>
                        <w:left w:val="none" w:sz="0" w:space="0" w:color="auto"/>
                        <w:bottom w:val="none" w:sz="0" w:space="0" w:color="auto"/>
                        <w:right w:val="none" w:sz="0" w:space="0" w:color="auto"/>
                      </w:divBdr>
                      <w:divsChild>
                        <w:div w:id="295335581">
                          <w:marLeft w:val="0"/>
                          <w:marRight w:val="0"/>
                          <w:marTop w:val="0"/>
                          <w:marBottom w:val="0"/>
                          <w:divBdr>
                            <w:top w:val="none" w:sz="0" w:space="0" w:color="auto"/>
                            <w:left w:val="none" w:sz="0" w:space="0" w:color="auto"/>
                            <w:bottom w:val="none" w:sz="0" w:space="0" w:color="auto"/>
                            <w:right w:val="none" w:sz="0" w:space="0" w:color="auto"/>
                          </w:divBdr>
                          <w:divsChild>
                            <w:div w:id="1767117936">
                              <w:marLeft w:val="0"/>
                              <w:marRight w:val="0"/>
                              <w:marTop w:val="0"/>
                              <w:marBottom w:val="0"/>
                              <w:divBdr>
                                <w:top w:val="none" w:sz="0" w:space="0" w:color="auto"/>
                                <w:left w:val="none" w:sz="0" w:space="0" w:color="auto"/>
                                <w:bottom w:val="none" w:sz="0" w:space="0" w:color="auto"/>
                                <w:right w:val="none" w:sz="0" w:space="0" w:color="auto"/>
                              </w:divBdr>
                              <w:divsChild>
                                <w:div w:id="1207908882">
                                  <w:marLeft w:val="0"/>
                                  <w:marRight w:val="0"/>
                                  <w:marTop w:val="0"/>
                                  <w:marBottom w:val="0"/>
                                  <w:divBdr>
                                    <w:top w:val="none" w:sz="0" w:space="0" w:color="auto"/>
                                    <w:left w:val="none" w:sz="0" w:space="0" w:color="auto"/>
                                    <w:bottom w:val="none" w:sz="0" w:space="0" w:color="auto"/>
                                    <w:right w:val="none" w:sz="0" w:space="0" w:color="auto"/>
                                  </w:divBdr>
                                  <w:divsChild>
                                    <w:div w:id="20668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1370805">
      <w:bodyDiv w:val="1"/>
      <w:marLeft w:val="0"/>
      <w:marRight w:val="0"/>
      <w:marTop w:val="0"/>
      <w:marBottom w:val="0"/>
      <w:divBdr>
        <w:top w:val="none" w:sz="0" w:space="0" w:color="auto"/>
        <w:left w:val="none" w:sz="0" w:space="0" w:color="auto"/>
        <w:bottom w:val="none" w:sz="0" w:space="0" w:color="auto"/>
        <w:right w:val="none" w:sz="0" w:space="0" w:color="auto"/>
      </w:divBdr>
      <w:divsChild>
        <w:div w:id="258755337">
          <w:marLeft w:val="0"/>
          <w:marRight w:val="0"/>
          <w:marTop w:val="0"/>
          <w:marBottom w:val="0"/>
          <w:divBdr>
            <w:top w:val="none" w:sz="0" w:space="0" w:color="auto"/>
            <w:left w:val="none" w:sz="0" w:space="0" w:color="auto"/>
            <w:bottom w:val="none" w:sz="0" w:space="0" w:color="auto"/>
            <w:right w:val="none" w:sz="0" w:space="0" w:color="auto"/>
          </w:divBdr>
          <w:divsChild>
            <w:div w:id="38480489">
              <w:marLeft w:val="0"/>
              <w:marRight w:val="0"/>
              <w:marTop w:val="0"/>
              <w:marBottom w:val="0"/>
              <w:divBdr>
                <w:top w:val="none" w:sz="0" w:space="0" w:color="auto"/>
                <w:left w:val="none" w:sz="0" w:space="0" w:color="auto"/>
                <w:bottom w:val="none" w:sz="0" w:space="0" w:color="auto"/>
                <w:right w:val="none" w:sz="0" w:space="0" w:color="auto"/>
              </w:divBdr>
            </w:div>
          </w:divsChild>
        </w:div>
        <w:div w:id="1085801528">
          <w:marLeft w:val="0"/>
          <w:marRight w:val="0"/>
          <w:marTop w:val="0"/>
          <w:marBottom w:val="0"/>
          <w:divBdr>
            <w:top w:val="none" w:sz="0" w:space="0" w:color="auto"/>
            <w:left w:val="none" w:sz="0" w:space="0" w:color="auto"/>
            <w:bottom w:val="none" w:sz="0" w:space="0" w:color="auto"/>
            <w:right w:val="none" w:sz="0" w:space="0" w:color="auto"/>
          </w:divBdr>
          <w:divsChild>
            <w:div w:id="593049369">
              <w:marLeft w:val="0"/>
              <w:marRight w:val="0"/>
              <w:marTop w:val="0"/>
              <w:marBottom w:val="0"/>
              <w:divBdr>
                <w:top w:val="none" w:sz="0" w:space="0" w:color="auto"/>
                <w:left w:val="none" w:sz="0" w:space="0" w:color="auto"/>
                <w:bottom w:val="none" w:sz="0" w:space="0" w:color="auto"/>
                <w:right w:val="none" w:sz="0" w:space="0" w:color="auto"/>
              </w:divBdr>
            </w:div>
          </w:divsChild>
        </w:div>
        <w:div w:id="1370303175">
          <w:marLeft w:val="0"/>
          <w:marRight w:val="0"/>
          <w:marTop w:val="0"/>
          <w:marBottom w:val="0"/>
          <w:divBdr>
            <w:top w:val="none" w:sz="0" w:space="0" w:color="auto"/>
            <w:left w:val="none" w:sz="0" w:space="0" w:color="auto"/>
            <w:bottom w:val="none" w:sz="0" w:space="0" w:color="auto"/>
            <w:right w:val="none" w:sz="0" w:space="0" w:color="auto"/>
          </w:divBdr>
          <w:divsChild>
            <w:div w:id="122899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12910">
      <w:bodyDiv w:val="1"/>
      <w:marLeft w:val="0"/>
      <w:marRight w:val="0"/>
      <w:marTop w:val="0"/>
      <w:marBottom w:val="0"/>
      <w:divBdr>
        <w:top w:val="none" w:sz="0" w:space="0" w:color="auto"/>
        <w:left w:val="none" w:sz="0" w:space="0" w:color="auto"/>
        <w:bottom w:val="none" w:sz="0" w:space="0" w:color="auto"/>
        <w:right w:val="none" w:sz="0" w:space="0" w:color="auto"/>
      </w:divBdr>
    </w:div>
    <w:div w:id="1063600310">
      <w:bodyDiv w:val="1"/>
      <w:marLeft w:val="0"/>
      <w:marRight w:val="0"/>
      <w:marTop w:val="0"/>
      <w:marBottom w:val="0"/>
      <w:divBdr>
        <w:top w:val="none" w:sz="0" w:space="0" w:color="auto"/>
        <w:left w:val="none" w:sz="0" w:space="0" w:color="auto"/>
        <w:bottom w:val="none" w:sz="0" w:space="0" w:color="auto"/>
        <w:right w:val="none" w:sz="0" w:space="0" w:color="auto"/>
      </w:divBdr>
    </w:div>
    <w:div w:id="1078135738">
      <w:bodyDiv w:val="1"/>
      <w:marLeft w:val="0"/>
      <w:marRight w:val="0"/>
      <w:marTop w:val="0"/>
      <w:marBottom w:val="0"/>
      <w:divBdr>
        <w:top w:val="none" w:sz="0" w:space="0" w:color="auto"/>
        <w:left w:val="none" w:sz="0" w:space="0" w:color="auto"/>
        <w:bottom w:val="none" w:sz="0" w:space="0" w:color="auto"/>
        <w:right w:val="none" w:sz="0" w:space="0" w:color="auto"/>
      </w:divBdr>
    </w:div>
    <w:div w:id="1299191087">
      <w:bodyDiv w:val="1"/>
      <w:marLeft w:val="0"/>
      <w:marRight w:val="0"/>
      <w:marTop w:val="0"/>
      <w:marBottom w:val="0"/>
      <w:divBdr>
        <w:top w:val="none" w:sz="0" w:space="0" w:color="auto"/>
        <w:left w:val="none" w:sz="0" w:space="0" w:color="auto"/>
        <w:bottom w:val="none" w:sz="0" w:space="0" w:color="auto"/>
        <w:right w:val="none" w:sz="0" w:space="0" w:color="auto"/>
      </w:divBdr>
    </w:div>
    <w:div w:id="1302465624">
      <w:bodyDiv w:val="1"/>
      <w:marLeft w:val="0"/>
      <w:marRight w:val="0"/>
      <w:marTop w:val="0"/>
      <w:marBottom w:val="0"/>
      <w:divBdr>
        <w:top w:val="none" w:sz="0" w:space="0" w:color="auto"/>
        <w:left w:val="none" w:sz="0" w:space="0" w:color="auto"/>
        <w:bottom w:val="none" w:sz="0" w:space="0" w:color="auto"/>
        <w:right w:val="none" w:sz="0" w:space="0" w:color="auto"/>
      </w:divBdr>
      <w:divsChild>
        <w:div w:id="645822754">
          <w:marLeft w:val="0"/>
          <w:marRight w:val="0"/>
          <w:marTop w:val="0"/>
          <w:marBottom w:val="0"/>
          <w:divBdr>
            <w:top w:val="none" w:sz="0" w:space="0" w:color="auto"/>
            <w:left w:val="none" w:sz="0" w:space="0" w:color="auto"/>
            <w:bottom w:val="none" w:sz="0" w:space="0" w:color="auto"/>
            <w:right w:val="none" w:sz="0" w:space="0" w:color="auto"/>
          </w:divBdr>
          <w:divsChild>
            <w:div w:id="100607867">
              <w:marLeft w:val="0"/>
              <w:marRight w:val="0"/>
              <w:marTop w:val="0"/>
              <w:marBottom w:val="0"/>
              <w:divBdr>
                <w:top w:val="none" w:sz="0" w:space="0" w:color="auto"/>
                <w:left w:val="none" w:sz="0" w:space="0" w:color="auto"/>
                <w:bottom w:val="none" w:sz="0" w:space="0" w:color="auto"/>
                <w:right w:val="none" w:sz="0" w:space="0" w:color="auto"/>
              </w:divBdr>
            </w:div>
          </w:divsChild>
        </w:div>
        <w:div w:id="1857235515">
          <w:marLeft w:val="0"/>
          <w:marRight w:val="0"/>
          <w:marTop w:val="0"/>
          <w:marBottom w:val="0"/>
          <w:divBdr>
            <w:top w:val="none" w:sz="0" w:space="0" w:color="auto"/>
            <w:left w:val="none" w:sz="0" w:space="0" w:color="auto"/>
            <w:bottom w:val="none" w:sz="0" w:space="0" w:color="auto"/>
            <w:right w:val="none" w:sz="0" w:space="0" w:color="auto"/>
          </w:divBdr>
          <w:divsChild>
            <w:div w:id="1059283647">
              <w:marLeft w:val="0"/>
              <w:marRight w:val="0"/>
              <w:marTop w:val="0"/>
              <w:marBottom w:val="0"/>
              <w:divBdr>
                <w:top w:val="none" w:sz="0" w:space="0" w:color="auto"/>
                <w:left w:val="none" w:sz="0" w:space="0" w:color="auto"/>
                <w:bottom w:val="none" w:sz="0" w:space="0" w:color="auto"/>
                <w:right w:val="none" w:sz="0" w:space="0" w:color="auto"/>
              </w:divBdr>
            </w:div>
          </w:divsChild>
        </w:div>
        <w:div w:id="2075228725">
          <w:marLeft w:val="0"/>
          <w:marRight w:val="0"/>
          <w:marTop w:val="0"/>
          <w:marBottom w:val="0"/>
          <w:divBdr>
            <w:top w:val="none" w:sz="0" w:space="0" w:color="auto"/>
            <w:left w:val="none" w:sz="0" w:space="0" w:color="auto"/>
            <w:bottom w:val="none" w:sz="0" w:space="0" w:color="auto"/>
            <w:right w:val="none" w:sz="0" w:space="0" w:color="auto"/>
          </w:divBdr>
          <w:divsChild>
            <w:div w:id="138433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51835">
      <w:bodyDiv w:val="1"/>
      <w:marLeft w:val="0"/>
      <w:marRight w:val="0"/>
      <w:marTop w:val="0"/>
      <w:marBottom w:val="0"/>
      <w:divBdr>
        <w:top w:val="none" w:sz="0" w:space="0" w:color="auto"/>
        <w:left w:val="none" w:sz="0" w:space="0" w:color="auto"/>
        <w:bottom w:val="none" w:sz="0" w:space="0" w:color="auto"/>
        <w:right w:val="none" w:sz="0" w:space="0" w:color="auto"/>
      </w:divBdr>
      <w:divsChild>
        <w:div w:id="1173959325">
          <w:marLeft w:val="0"/>
          <w:marRight w:val="0"/>
          <w:marTop w:val="0"/>
          <w:marBottom w:val="0"/>
          <w:divBdr>
            <w:top w:val="none" w:sz="0" w:space="0" w:color="auto"/>
            <w:left w:val="none" w:sz="0" w:space="0" w:color="auto"/>
            <w:bottom w:val="none" w:sz="0" w:space="0" w:color="auto"/>
            <w:right w:val="none" w:sz="0" w:space="0" w:color="auto"/>
          </w:divBdr>
          <w:divsChild>
            <w:div w:id="1624265015">
              <w:marLeft w:val="0"/>
              <w:marRight w:val="0"/>
              <w:marTop w:val="0"/>
              <w:marBottom w:val="0"/>
              <w:divBdr>
                <w:top w:val="none" w:sz="0" w:space="0" w:color="auto"/>
                <w:left w:val="none" w:sz="0" w:space="0" w:color="auto"/>
                <w:bottom w:val="none" w:sz="0" w:space="0" w:color="auto"/>
                <w:right w:val="none" w:sz="0" w:space="0" w:color="auto"/>
              </w:divBdr>
              <w:divsChild>
                <w:div w:id="1237127055">
                  <w:marLeft w:val="0"/>
                  <w:marRight w:val="0"/>
                  <w:marTop w:val="0"/>
                  <w:marBottom w:val="0"/>
                  <w:divBdr>
                    <w:top w:val="none" w:sz="0" w:space="0" w:color="auto"/>
                    <w:left w:val="none" w:sz="0" w:space="0" w:color="auto"/>
                    <w:bottom w:val="none" w:sz="0" w:space="0" w:color="auto"/>
                    <w:right w:val="none" w:sz="0" w:space="0" w:color="auto"/>
                  </w:divBdr>
                  <w:divsChild>
                    <w:div w:id="1254975464">
                      <w:marLeft w:val="0"/>
                      <w:marRight w:val="0"/>
                      <w:marTop w:val="0"/>
                      <w:marBottom w:val="0"/>
                      <w:divBdr>
                        <w:top w:val="none" w:sz="0" w:space="0" w:color="auto"/>
                        <w:left w:val="none" w:sz="0" w:space="0" w:color="auto"/>
                        <w:bottom w:val="none" w:sz="0" w:space="0" w:color="auto"/>
                        <w:right w:val="none" w:sz="0" w:space="0" w:color="auto"/>
                      </w:divBdr>
                      <w:divsChild>
                        <w:div w:id="589505253">
                          <w:marLeft w:val="0"/>
                          <w:marRight w:val="0"/>
                          <w:marTop w:val="0"/>
                          <w:marBottom w:val="0"/>
                          <w:divBdr>
                            <w:top w:val="none" w:sz="0" w:space="0" w:color="auto"/>
                            <w:left w:val="none" w:sz="0" w:space="0" w:color="auto"/>
                            <w:bottom w:val="none" w:sz="0" w:space="0" w:color="auto"/>
                            <w:right w:val="none" w:sz="0" w:space="0" w:color="auto"/>
                          </w:divBdr>
                          <w:divsChild>
                            <w:div w:id="1820881182">
                              <w:marLeft w:val="0"/>
                              <w:marRight w:val="0"/>
                              <w:marTop w:val="0"/>
                              <w:marBottom w:val="0"/>
                              <w:divBdr>
                                <w:top w:val="none" w:sz="0" w:space="0" w:color="auto"/>
                                <w:left w:val="none" w:sz="0" w:space="0" w:color="auto"/>
                                <w:bottom w:val="none" w:sz="0" w:space="0" w:color="auto"/>
                                <w:right w:val="none" w:sz="0" w:space="0" w:color="auto"/>
                              </w:divBdr>
                              <w:divsChild>
                                <w:div w:id="716592123">
                                  <w:marLeft w:val="0"/>
                                  <w:marRight w:val="0"/>
                                  <w:marTop w:val="0"/>
                                  <w:marBottom w:val="0"/>
                                  <w:divBdr>
                                    <w:top w:val="none" w:sz="0" w:space="0" w:color="auto"/>
                                    <w:left w:val="none" w:sz="0" w:space="0" w:color="auto"/>
                                    <w:bottom w:val="none" w:sz="0" w:space="0" w:color="auto"/>
                                    <w:right w:val="none" w:sz="0" w:space="0" w:color="auto"/>
                                  </w:divBdr>
                                  <w:divsChild>
                                    <w:div w:id="61829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6932323">
      <w:bodyDiv w:val="1"/>
      <w:marLeft w:val="0"/>
      <w:marRight w:val="0"/>
      <w:marTop w:val="0"/>
      <w:marBottom w:val="0"/>
      <w:divBdr>
        <w:top w:val="none" w:sz="0" w:space="0" w:color="auto"/>
        <w:left w:val="none" w:sz="0" w:space="0" w:color="auto"/>
        <w:bottom w:val="none" w:sz="0" w:space="0" w:color="auto"/>
        <w:right w:val="none" w:sz="0" w:space="0" w:color="auto"/>
      </w:divBdr>
    </w:div>
    <w:div w:id="1922106649">
      <w:bodyDiv w:val="1"/>
      <w:marLeft w:val="0"/>
      <w:marRight w:val="0"/>
      <w:marTop w:val="0"/>
      <w:marBottom w:val="0"/>
      <w:divBdr>
        <w:top w:val="none" w:sz="0" w:space="0" w:color="auto"/>
        <w:left w:val="none" w:sz="0" w:space="0" w:color="auto"/>
        <w:bottom w:val="none" w:sz="0" w:space="0" w:color="auto"/>
        <w:right w:val="none" w:sz="0" w:space="0" w:color="auto"/>
      </w:divBdr>
    </w:div>
    <w:div w:id="1935556228">
      <w:bodyDiv w:val="1"/>
      <w:marLeft w:val="0"/>
      <w:marRight w:val="0"/>
      <w:marTop w:val="0"/>
      <w:marBottom w:val="0"/>
      <w:divBdr>
        <w:top w:val="none" w:sz="0" w:space="0" w:color="auto"/>
        <w:left w:val="none" w:sz="0" w:space="0" w:color="auto"/>
        <w:bottom w:val="none" w:sz="0" w:space="0" w:color="auto"/>
        <w:right w:val="none" w:sz="0" w:space="0" w:color="auto"/>
      </w:divBdr>
    </w:div>
    <w:div w:id="2032366392">
      <w:bodyDiv w:val="1"/>
      <w:marLeft w:val="0"/>
      <w:marRight w:val="0"/>
      <w:marTop w:val="0"/>
      <w:marBottom w:val="0"/>
      <w:divBdr>
        <w:top w:val="none" w:sz="0" w:space="0" w:color="auto"/>
        <w:left w:val="none" w:sz="0" w:space="0" w:color="auto"/>
        <w:bottom w:val="none" w:sz="0" w:space="0" w:color="auto"/>
        <w:right w:val="none" w:sz="0" w:space="0" w:color="auto"/>
      </w:divBdr>
    </w:div>
    <w:div w:id="213956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2278957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mc.ncbi.nlm.nih.gov/articles/PMC11494518/" TargetMode="External"/><Relationship Id="rId12" Type="http://schemas.openxmlformats.org/officeDocument/2006/relationships/hyperlink" Target="https://pmc.ncbi.nlm.nih.gov/articles/PMC57489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ne-health.panafrican-med-journal.com/content/article/13/21/full/" TargetMode="External"/><Relationship Id="rId11" Type="http://schemas.openxmlformats.org/officeDocument/2006/relationships/hyperlink" Target="https://pmc.ncbi.nlm.nih.gov/articles/PMC11726318/" TargetMode="External"/><Relationship Id="rId5" Type="http://schemas.openxmlformats.org/officeDocument/2006/relationships/hyperlink" Target="https://pmc.ncbi.nlm.nih.gov/articles/PMC9651543/" TargetMode="External"/><Relationship Id="rId10" Type="http://schemas.openxmlformats.org/officeDocument/2006/relationships/hyperlink" Target="https://www.notulaebiologicae.ro/index.php/nsb/article/view/10474/9218" TargetMode="External"/><Relationship Id="rId4" Type="http://schemas.openxmlformats.org/officeDocument/2006/relationships/webSettings" Target="webSettings.xml"/><Relationship Id="rId9" Type="http://schemas.openxmlformats.org/officeDocument/2006/relationships/hyperlink" Target="https://pmc.ncbi.nlm.nih.gov/articles/PMC984836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4425</Words>
  <Characters>25229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6</cp:revision>
  <dcterms:created xsi:type="dcterms:W3CDTF">2025-07-03T19:44:00Z</dcterms:created>
  <dcterms:modified xsi:type="dcterms:W3CDTF">2025-07-07T05:38:00Z</dcterms:modified>
</cp:coreProperties>
</file>