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109D8" w14:textId="77777777" w:rsidR="00FE3D25" w:rsidRPr="00AE5BE3" w:rsidRDefault="00FE3D25" w:rsidP="00FE3D25">
      <w:pPr>
        <w:spacing w:before="100" w:beforeAutospacing="1" w:after="100" w:afterAutospacing="1" w:line="480" w:lineRule="auto"/>
        <w:jc w:val="right"/>
        <w:outlineLvl w:val="2"/>
        <w:rPr>
          <w:rFonts w:ascii="Times New Roman" w:hAnsi="Times New Roman"/>
          <w:b/>
          <w:bCs/>
          <w:sz w:val="24"/>
          <w:szCs w:val="24"/>
        </w:rPr>
      </w:pPr>
      <w:r w:rsidRPr="00010ACF">
        <w:rPr>
          <w:rFonts w:ascii="Times New Roman" w:hAnsi="Times New Roman"/>
          <w:b/>
          <w:bCs/>
          <w:sz w:val="24"/>
          <w:szCs w:val="24"/>
          <w:highlight w:val="yellow"/>
        </w:rPr>
        <w:t xml:space="preserve">Attitudes and Stigma toward Dementia Among Medical and Environmental Health Students at the School of Health and </w:t>
      </w:r>
      <w:r>
        <w:rPr>
          <w:rFonts w:ascii="Times New Roman" w:hAnsi="Times New Roman"/>
          <w:b/>
          <w:bCs/>
          <w:sz w:val="24"/>
          <w:szCs w:val="24"/>
          <w:highlight w:val="yellow"/>
        </w:rPr>
        <w:t>Medical Sciences</w:t>
      </w:r>
      <w:r w:rsidRPr="00010ACF">
        <w:rPr>
          <w:rFonts w:ascii="Times New Roman" w:hAnsi="Times New Roman"/>
          <w:b/>
          <w:bCs/>
          <w:sz w:val="24"/>
          <w:szCs w:val="24"/>
          <w:highlight w:val="yellow"/>
        </w:rPr>
        <w:t xml:space="preserve"> at the State University of Zanzibar </w:t>
      </w:r>
    </w:p>
    <w:p w14:paraId="5A438194" w14:textId="77777777" w:rsidR="00FE3D25" w:rsidRPr="008D10AE" w:rsidRDefault="00FE3D25" w:rsidP="00FE3D25">
      <w:pPr>
        <w:spacing w:before="100" w:beforeAutospacing="1" w:after="100" w:afterAutospacing="1" w:line="240" w:lineRule="auto"/>
        <w:outlineLvl w:val="2"/>
        <w:rPr>
          <w:rFonts w:ascii="Arial" w:hAnsi="Arial" w:cs="Arial"/>
          <w:b/>
          <w:bCs/>
          <w:sz w:val="24"/>
          <w:szCs w:val="24"/>
        </w:rPr>
      </w:pPr>
    </w:p>
    <w:p w14:paraId="6ACEE9FF" w14:textId="77777777" w:rsidR="00FE3D25" w:rsidRPr="008D10AE" w:rsidRDefault="00FE3D25" w:rsidP="00FE3D25">
      <w:pPr>
        <w:pStyle w:val="NormalWeb"/>
        <w:rPr>
          <w:rFonts w:ascii="Arial" w:hAnsi="Arial" w:cs="Arial"/>
          <w:b/>
          <w:bCs/>
        </w:rPr>
      </w:pPr>
      <w:r>
        <w:rPr>
          <w:rFonts w:ascii="Arial" w:hAnsi="Arial" w:cs="Arial"/>
          <w:b/>
          <w:bCs/>
        </w:rPr>
        <w:t>ABSTRACT</w:t>
      </w:r>
      <w:r w:rsidRPr="008D10AE">
        <w:rPr>
          <w:rFonts w:ascii="Arial" w:hAnsi="Arial" w:cs="Arial"/>
          <w:b/>
          <w:bCs/>
        </w:rPr>
        <w:t>:</w:t>
      </w:r>
    </w:p>
    <w:p w14:paraId="1EF3D6AC" w14:textId="77777777" w:rsidR="00FE3D25" w:rsidRPr="008D10AE" w:rsidRDefault="00FE3D25" w:rsidP="00FE3D25">
      <w:pPr>
        <w:pStyle w:val="NormalWeb"/>
        <w:jc w:val="both"/>
        <w:rPr>
          <w:rFonts w:ascii="Arial" w:hAnsi="Arial" w:cs="Arial"/>
        </w:rPr>
      </w:pPr>
      <w:r w:rsidRPr="008D10AE">
        <w:rPr>
          <w:rFonts w:ascii="Arial" w:hAnsi="Arial" w:cs="Arial"/>
        </w:rPr>
        <w:t xml:space="preserve"> </w:t>
      </w:r>
      <w:r w:rsidRPr="00F44081">
        <w:rPr>
          <w:rFonts w:ascii="Arial" w:hAnsi="Arial" w:cs="Arial"/>
          <w:b/>
        </w:rPr>
        <w:t>Introduction:</w:t>
      </w:r>
      <w:r w:rsidRPr="008D10AE">
        <w:rPr>
          <w:rFonts w:ascii="Arial" w:hAnsi="Arial" w:cs="Arial"/>
        </w:rPr>
        <w:t xml:space="preserve"> Public stigma involves negative stereotypes of dementia patients as burdensome, leading to social distancing, while self-stigma refers to individuals with dementia internalizing these views, affecting their mental well-being. Structural stigma encompasses systemic barriers, including insufficient healthcare policies and resources. The role of medical students in shaping attitudes toward dementia</w:t>
      </w:r>
      <w:r>
        <w:rPr>
          <w:rFonts w:ascii="Arial" w:hAnsi="Arial" w:cs="Arial"/>
        </w:rPr>
        <w:t xml:space="preserve"> is noteworthy, as they may hold negative perceptions that can impact</w:t>
      </w:r>
      <w:r w:rsidRPr="008D10AE">
        <w:rPr>
          <w:rFonts w:ascii="Arial" w:hAnsi="Arial" w:cs="Arial"/>
        </w:rPr>
        <w:t xml:space="preserve"> </w:t>
      </w:r>
      <w:r>
        <w:rPr>
          <w:rFonts w:ascii="Arial" w:hAnsi="Arial" w:cs="Arial"/>
        </w:rPr>
        <w:t>the quality of patient care</w:t>
      </w:r>
      <w:r w:rsidRPr="008D10AE">
        <w:rPr>
          <w:rFonts w:ascii="Arial" w:hAnsi="Arial" w:cs="Arial"/>
        </w:rPr>
        <w:t xml:space="preserve">. </w:t>
      </w:r>
    </w:p>
    <w:p w14:paraId="0B7F41DB" w14:textId="77777777" w:rsidR="00FE3D25" w:rsidRPr="008D10AE" w:rsidRDefault="00FE3D25" w:rsidP="00FE3D25">
      <w:pPr>
        <w:pStyle w:val="NormalWeb"/>
        <w:jc w:val="both"/>
        <w:rPr>
          <w:rFonts w:ascii="Arial" w:hAnsi="Arial" w:cs="Arial"/>
        </w:rPr>
      </w:pPr>
      <w:r w:rsidRPr="00F44081">
        <w:rPr>
          <w:rFonts w:ascii="Arial" w:hAnsi="Arial" w:cs="Arial"/>
          <w:b/>
        </w:rPr>
        <w:t>Objective:</w:t>
      </w:r>
      <w:r w:rsidRPr="008D10AE">
        <w:rPr>
          <w:rFonts w:ascii="Arial" w:hAnsi="Arial" w:cs="Arial"/>
        </w:rPr>
        <w:t xml:space="preserve"> </w:t>
      </w:r>
      <w:r w:rsidRPr="008D10AE">
        <w:rPr>
          <w:rFonts w:ascii="Arial" w:hAnsi="Arial" w:cs="Arial"/>
          <w:color w:val="212121"/>
        </w:rPr>
        <w:t xml:space="preserve">To assess </w:t>
      </w:r>
      <w:r>
        <w:rPr>
          <w:rFonts w:ascii="Arial" w:hAnsi="Arial" w:cs="Arial"/>
          <w:color w:val="212121"/>
        </w:rPr>
        <w:t>attitudes</w:t>
      </w:r>
      <w:r w:rsidRPr="008D10AE">
        <w:rPr>
          <w:rFonts w:ascii="Arial" w:hAnsi="Arial" w:cs="Arial"/>
          <w:color w:val="212121"/>
        </w:rPr>
        <w:t xml:space="preserve"> and stigma about dementia among medical and environmental health students at the State University of Zanzibar.</w:t>
      </w:r>
    </w:p>
    <w:p w14:paraId="2C0E18F8" w14:textId="77777777" w:rsidR="00FE3D25" w:rsidRPr="008D10AE" w:rsidRDefault="00FE3D25" w:rsidP="00FE3D25">
      <w:pPr>
        <w:pStyle w:val="NormalWeb"/>
        <w:jc w:val="both"/>
        <w:rPr>
          <w:rFonts w:ascii="Arial" w:hAnsi="Arial" w:cs="Arial"/>
        </w:rPr>
      </w:pPr>
      <w:r>
        <w:rPr>
          <w:rFonts w:ascii="Arial" w:hAnsi="Arial" w:cs="Arial"/>
          <w:b/>
        </w:rPr>
        <w:t>Methods</w:t>
      </w:r>
      <w:r w:rsidRPr="00F44081">
        <w:rPr>
          <w:rFonts w:ascii="Arial" w:hAnsi="Arial" w:cs="Arial"/>
          <w:b/>
        </w:rPr>
        <w:t>:</w:t>
      </w:r>
      <w:r w:rsidRPr="008D10AE">
        <w:rPr>
          <w:rFonts w:ascii="Arial" w:hAnsi="Arial" w:cs="Arial"/>
        </w:rPr>
        <w:t xml:space="preserve"> </w:t>
      </w:r>
      <w:r w:rsidRPr="00010ACF">
        <w:rPr>
          <w:rFonts w:ascii="Arial" w:hAnsi="Arial" w:cs="Arial"/>
          <w:highlight w:val="yellow"/>
        </w:rPr>
        <w:t xml:space="preserve">A descriptive cross-sectional design was used to assess dementia-related </w:t>
      </w:r>
      <w:r>
        <w:rPr>
          <w:rFonts w:ascii="Arial" w:hAnsi="Arial" w:cs="Arial"/>
          <w:highlight w:val="yellow"/>
        </w:rPr>
        <w:t>attitudes</w:t>
      </w:r>
      <w:r w:rsidRPr="00010ACF">
        <w:rPr>
          <w:rFonts w:ascii="Arial" w:hAnsi="Arial" w:cs="Arial"/>
          <w:highlight w:val="yellow"/>
        </w:rPr>
        <w:t xml:space="preserve"> and stigma among Medical and Environmental Health Students</w:t>
      </w:r>
      <w:r w:rsidRPr="008D10AE">
        <w:rPr>
          <w:rFonts w:ascii="Arial" w:hAnsi="Arial" w:cs="Arial"/>
        </w:rPr>
        <w:t xml:space="preserve">. </w:t>
      </w:r>
    </w:p>
    <w:p w14:paraId="33E0B497" w14:textId="77777777" w:rsidR="00FE3D25" w:rsidRDefault="00FE3D25" w:rsidP="00FE3D25">
      <w:pPr>
        <w:pStyle w:val="NormalWeb"/>
        <w:jc w:val="both"/>
        <w:rPr>
          <w:rFonts w:ascii="Arial" w:hAnsi="Arial" w:cs="Arial"/>
        </w:rPr>
      </w:pPr>
      <w:r w:rsidRPr="00F44081">
        <w:rPr>
          <w:rFonts w:ascii="Arial" w:hAnsi="Arial" w:cs="Arial"/>
          <w:b/>
        </w:rPr>
        <w:t xml:space="preserve">Results: </w:t>
      </w:r>
      <w:r w:rsidRPr="00010ACF">
        <w:rPr>
          <w:rFonts w:ascii="Arial" w:hAnsi="Arial" w:cs="Arial"/>
          <w:highlight w:val="yellow"/>
        </w:rPr>
        <w:t>The sample size was 150 students</w:t>
      </w:r>
      <w:r w:rsidRPr="00010ACF">
        <w:rPr>
          <w:rFonts w:ascii="Arial" w:hAnsi="Arial" w:cs="Arial"/>
          <w:b/>
          <w:highlight w:val="yellow"/>
        </w:rPr>
        <w:t xml:space="preserve">, </w:t>
      </w:r>
      <w:r w:rsidR="001637FC">
        <w:rPr>
          <w:rFonts w:ascii="Arial" w:hAnsi="Arial" w:cs="Arial"/>
          <w:highlight w:val="yellow"/>
        </w:rPr>
        <w:t xml:space="preserve">100% responded to </w:t>
      </w:r>
      <w:r w:rsidRPr="00010ACF">
        <w:rPr>
          <w:rFonts w:ascii="Arial" w:hAnsi="Arial" w:cs="Arial"/>
          <w:highlight w:val="yellow"/>
        </w:rPr>
        <w:t>the questionnaire</w:t>
      </w:r>
      <w:r>
        <w:rPr>
          <w:rFonts w:ascii="Arial" w:hAnsi="Arial" w:cs="Arial"/>
          <w:b/>
        </w:rPr>
        <w:t>.</w:t>
      </w:r>
      <w:r w:rsidRPr="008D10AE">
        <w:rPr>
          <w:rFonts w:ascii="Arial" w:hAnsi="Arial" w:cs="Arial"/>
        </w:rPr>
        <w:t xml:space="preserve"> (e.g., 76.7% would live with a family member with dementia and 86.0% disagreed with feeling ashamed if a family member had dementia.</w:t>
      </w:r>
      <w:r>
        <w:rPr>
          <w:rFonts w:ascii="Arial" w:hAnsi="Arial" w:cs="Arial"/>
        </w:rPr>
        <w:t>).</w:t>
      </w:r>
      <w:r w:rsidRPr="008D10AE">
        <w:rPr>
          <w:rFonts w:ascii="Arial" w:hAnsi="Arial" w:cs="Arial"/>
        </w:rPr>
        <w:t xml:space="preserve"> </w:t>
      </w:r>
      <w:r>
        <w:rPr>
          <w:rFonts w:ascii="Arial" w:hAnsi="Arial" w:cs="Arial"/>
        </w:rPr>
        <w:t>A</w:t>
      </w:r>
      <w:r w:rsidRPr="008D10AE">
        <w:rPr>
          <w:rFonts w:ascii="Arial" w:hAnsi="Arial" w:cs="Arial"/>
        </w:rPr>
        <w:t xml:space="preserve"> significant proportion exhibited high levels of stigma (Notably, 64.7% strongly agreed they would not want their family to know if they had dementia), particularly regarding social distancing and family shame. </w:t>
      </w:r>
    </w:p>
    <w:p w14:paraId="4E7CDE2B" w14:textId="77777777" w:rsidR="00FE3D25" w:rsidRPr="008D10AE" w:rsidRDefault="00FE3D25" w:rsidP="00FE3D25">
      <w:pPr>
        <w:pStyle w:val="NormalWeb"/>
        <w:jc w:val="both"/>
        <w:rPr>
          <w:rFonts w:ascii="Arial" w:hAnsi="Arial" w:cs="Arial"/>
        </w:rPr>
      </w:pPr>
      <w:r w:rsidRPr="00010ACF">
        <w:rPr>
          <w:rFonts w:ascii="Arial" w:hAnsi="Arial" w:cs="Arial"/>
          <w:b/>
          <w:highlight w:val="yellow"/>
        </w:rPr>
        <w:t>Discussion</w:t>
      </w:r>
      <w:r w:rsidRPr="00010ACF">
        <w:rPr>
          <w:rFonts w:ascii="Arial" w:hAnsi="Arial" w:cs="Arial"/>
          <w:highlight w:val="yellow"/>
        </w:rPr>
        <w:t>: Most students demonstrated positive attitudes</w:t>
      </w:r>
      <w:r>
        <w:rPr>
          <w:rFonts w:ascii="Arial" w:hAnsi="Arial" w:cs="Arial"/>
          <w:highlight w:val="yellow"/>
        </w:rPr>
        <w:t xml:space="preserve"> overall</w:t>
      </w:r>
      <w:r w:rsidRPr="00010ACF">
        <w:rPr>
          <w:rFonts w:ascii="Arial" w:hAnsi="Arial" w:cs="Arial"/>
          <w:highlight w:val="yellow"/>
        </w:rPr>
        <w:t>, but a significant proportion exhibited high levels</w:t>
      </w:r>
      <w:r>
        <w:rPr>
          <w:rFonts w:ascii="Arial" w:hAnsi="Arial" w:cs="Arial"/>
        </w:rPr>
        <w:t xml:space="preserve"> </w:t>
      </w:r>
      <w:r w:rsidRPr="00010ACF">
        <w:rPr>
          <w:rFonts w:ascii="Arial" w:hAnsi="Arial" w:cs="Arial"/>
          <w:highlight w:val="yellow"/>
        </w:rPr>
        <w:t>of stigma</w:t>
      </w:r>
      <w:r w:rsidR="001637FC">
        <w:rPr>
          <w:rFonts w:ascii="Arial" w:hAnsi="Arial" w:cs="Arial"/>
        </w:rPr>
        <w:t>. Approximately</w:t>
      </w:r>
      <w:r w:rsidRPr="00B2399A">
        <w:rPr>
          <w:rFonts w:ascii="Arial" w:hAnsi="Arial" w:cs="Arial"/>
          <w:highlight w:val="yellow"/>
        </w:rPr>
        <w:t xml:space="preserve"> 80% of students are not afraid to engage in conversations with someone who has dementia</w:t>
      </w:r>
      <w:r w:rsidRPr="00010ACF">
        <w:rPr>
          <w:rFonts w:ascii="Arial" w:hAnsi="Arial" w:cs="Arial"/>
          <w:highlight w:val="yellow"/>
        </w:rPr>
        <w:t>.</w:t>
      </w:r>
      <w:r>
        <w:rPr>
          <w:rFonts w:ascii="Arial" w:hAnsi="Arial" w:cs="Arial"/>
          <w:highlight w:val="yellow"/>
        </w:rPr>
        <w:t xml:space="preserve"> </w:t>
      </w:r>
      <w:r w:rsidRPr="00010ACF">
        <w:rPr>
          <w:rFonts w:ascii="Arial" w:hAnsi="Arial" w:cs="Arial"/>
          <w:highlight w:val="yellow"/>
        </w:rPr>
        <w:t xml:space="preserve">There </w:t>
      </w:r>
      <w:r>
        <w:rPr>
          <w:rFonts w:ascii="Arial" w:hAnsi="Arial" w:cs="Arial"/>
          <w:highlight w:val="yellow"/>
        </w:rPr>
        <w:t>was</w:t>
      </w:r>
      <w:r w:rsidRPr="00010ACF">
        <w:rPr>
          <w:rFonts w:ascii="Arial" w:hAnsi="Arial" w:cs="Arial"/>
          <w:highlight w:val="yellow"/>
        </w:rPr>
        <w:t xml:space="preserve"> a discrepancy between positive attitudes and harmful societal </w:t>
      </w:r>
      <w:proofErr w:type="spellStart"/>
      <w:r w:rsidR="001637FC">
        <w:rPr>
          <w:rFonts w:ascii="Arial" w:hAnsi="Arial" w:cs="Arial"/>
          <w:highlight w:val="yellow"/>
        </w:rPr>
        <w:t>behaviours</w:t>
      </w:r>
      <w:proofErr w:type="spellEnd"/>
      <w:r w:rsidRPr="00010ACF">
        <w:rPr>
          <w:rFonts w:ascii="Arial" w:hAnsi="Arial" w:cs="Arial"/>
          <w:highlight w:val="yellow"/>
        </w:rPr>
        <w:t>, such as avoidance and isolation.</w:t>
      </w:r>
    </w:p>
    <w:p w14:paraId="2764053E" w14:textId="77777777" w:rsidR="00FE3D25" w:rsidRPr="00424ACA" w:rsidRDefault="00FE3D25" w:rsidP="00FE3D25">
      <w:pPr>
        <w:spacing w:before="100" w:beforeAutospacing="1" w:after="100" w:afterAutospacing="1" w:line="240" w:lineRule="auto"/>
        <w:jc w:val="both"/>
        <w:rPr>
          <w:rFonts w:ascii="Arial" w:hAnsi="Arial" w:cs="Arial"/>
          <w:sz w:val="24"/>
          <w:szCs w:val="24"/>
        </w:rPr>
      </w:pPr>
      <w:r w:rsidRPr="00F44081">
        <w:rPr>
          <w:rFonts w:ascii="Arial" w:hAnsi="Arial" w:cs="Arial"/>
          <w:b/>
          <w:bCs/>
        </w:rPr>
        <w:t>Conclusion:</w:t>
      </w:r>
      <w:r w:rsidRPr="008D10AE">
        <w:rPr>
          <w:rFonts w:ascii="Arial" w:hAnsi="Arial" w:cs="Arial"/>
          <w:bCs/>
        </w:rPr>
        <w:t xml:space="preserve"> </w:t>
      </w:r>
      <w:r w:rsidRPr="008D10AE">
        <w:rPr>
          <w:rFonts w:ascii="Arial" w:hAnsi="Arial" w:cs="Arial"/>
        </w:rPr>
        <w:t>The majority of participants in this study display</w:t>
      </w:r>
      <w:r>
        <w:rPr>
          <w:rFonts w:ascii="Arial" w:hAnsi="Arial" w:cs="Arial"/>
        </w:rPr>
        <w:t xml:space="preserve">ed </w:t>
      </w:r>
      <w:r w:rsidRPr="008D10AE">
        <w:rPr>
          <w:rFonts w:ascii="Arial" w:hAnsi="Arial" w:cs="Arial"/>
        </w:rPr>
        <w:t xml:space="preserve">a positive attitude toward dementia. However, </w:t>
      </w:r>
      <w:r w:rsidRPr="00010ACF">
        <w:rPr>
          <w:rFonts w:ascii="Arial" w:hAnsi="Arial" w:cs="Arial"/>
          <w:highlight w:val="yellow"/>
        </w:rPr>
        <w:t>some negative attitudes</w:t>
      </w:r>
      <w:r w:rsidR="001637FC">
        <w:rPr>
          <w:rFonts w:ascii="Arial" w:hAnsi="Arial" w:cs="Arial"/>
          <w:highlight w:val="yellow"/>
        </w:rPr>
        <w:t>,</w:t>
      </w:r>
      <w:r w:rsidRPr="008D10AE">
        <w:rPr>
          <w:rFonts w:ascii="Arial" w:hAnsi="Arial" w:cs="Arial"/>
        </w:rPr>
        <w:t xml:space="preserve"> including discrimination and social isolation, remain prevalent. These </w:t>
      </w:r>
      <w:r>
        <w:rPr>
          <w:rFonts w:ascii="Arial" w:hAnsi="Arial" w:cs="Arial"/>
        </w:rPr>
        <w:t xml:space="preserve">attitudes, </w:t>
      </w:r>
      <w:r w:rsidRPr="008D10AE">
        <w:rPr>
          <w:rFonts w:ascii="Arial" w:hAnsi="Arial" w:cs="Arial"/>
        </w:rPr>
        <w:t>such as avoidance, may hinder early diagnosis and impede access to adequate treatment for individuals with dementia.</w:t>
      </w:r>
      <w:r w:rsidRPr="00630D13">
        <w:rPr>
          <w:rFonts w:ascii="Arial" w:hAnsi="Arial" w:cs="Arial"/>
          <w:sz w:val="24"/>
          <w:szCs w:val="24"/>
          <w:highlight w:val="yellow"/>
        </w:rPr>
        <w:t xml:space="preserve"> </w:t>
      </w:r>
      <w:r w:rsidRPr="00424ACA">
        <w:rPr>
          <w:rFonts w:ascii="Arial" w:hAnsi="Arial" w:cs="Arial"/>
          <w:sz w:val="24"/>
          <w:szCs w:val="24"/>
          <w:highlight w:val="yellow"/>
        </w:rPr>
        <w:t xml:space="preserve">The findings highlight a notable presence of stigma: many students indicated they would prefer that their family did not know if they had dementia, even as </w:t>
      </w:r>
      <w:r w:rsidRPr="00825E27">
        <w:rPr>
          <w:rFonts w:ascii="Arial" w:hAnsi="Arial" w:cs="Arial"/>
          <w:sz w:val="24"/>
          <w:szCs w:val="24"/>
          <w:highlight w:val="yellow"/>
        </w:rPr>
        <w:t xml:space="preserve">an important subgroup </w:t>
      </w:r>
      <w:r>
        <w:rPr>
          <w:rFonts w:ascii="Arial" w:hAnsi="Arial" w:cs="Arial"/>
          <w:sz w:val="24"/>
          <w:szCs w:val="24"/>
          <w:highlight w:val="yellow"/>
        </w:rPr>
        <w:t>is</w:t>
      </w:r>
      <w:r w:rsidRPr="00825E27">
        <w:rPr>
          <w:rFonts w:ascii="Arial" w:hAnsi="Arial" w:cs="Arial"/>
          <w:sz w:val="24"/>
          <w:szCs w:val="24"/>
          <w:highlight w:val="yellow"/>
        </w:rPr>
        <w:t xml:space="preserve"> upset </w:t>
      </w:r>
      <w:r w:rsidRPr="00424ACA">
        <w:rPr>
          <w:rFonts w:ascii="Arial" w:hAnsi="Arial" w:cs="Arial"/>
          <w:sz w:val="24"/>
          <w:szCs w:val="24"/>
          <w:highlight w:val="yellow"/>
        </w:rPr>
        <w:t>with the idea that time spent with</w:t>
      </w:r>
      <w:r w:rsidRPr="00825E27">
        <w:rPr>
          <w:rFonts w:ascii="Arial" w:hAnsi="Arial" w:cs="Arial"/>
          <w:sz w:val="24"/>
          <w:szCs w:val="24"/>
          <w:highlight w:val="yellow"/>
        </w:rPr>
        <w:t xml:space="preserve"> dementia.</w:t>
      </w:r>
    </w:p>
    <w:p w14:paraId="4329EB66" w14:textId="77777777" w:rsidR="00FE3D25" w:rsidRPr="008D10AE" w:rsidRDefault="00FE3D25" w:rsidP="00FE3D25">
      <w:pPr>
        <w:pStyle w:val="NormalWeb"/>
        <w:jc w:val="both"/>
        <w:rPr>
          <w:rFonts w:ascii="Arial" w:hAnsi="Arial" w:cs="Arial"/>
        </w:rPr>
      </w:pPr>
    </w:p>
    <w:p w14:paraId="3A3873A8" w14:textId="77777777" w:rsidR="00FE3D25" w:rsidRPr="008D10AE" w:rsidRDefault="00FE3D25" w:rsidP="00FE3D25">
      <w:pPr>
        <w:spacing w:before="100" w:beforeAutospacing="1" w:after="100" w:afterAutospacing="1" w:line="240" w:lineRule="auto"/>
        <w:jc w:val="both"/>
        <w:outlineLvl w:val="2"/>
        <w:rPr>
          <w:rFonts w:ascii="Arial" w:hAnsi="Arial" w:cs="Arial"/>
          <w:bCs/>
          <w:sz w:val="24"/>
          <w:szCs w:val="24"/>
        </w:rPr>
      </w:pPr>
      <w:r w:rsidRPr="008D10AE">
        <w:rPr>
          <w:rFonts w:ascii="Arial" w:hAnsi="Arial" w:cs="Arial"/>
          <w:bCs/>
          <w:sz w:val="24"/>
          <w:szCs w:val="24"/>
        </w:rPr>
        <w:t>Key words: dementia, attitudes, stigma, students, Zanzibar, Tanzania</w:t>
      </w:r>
    </w:p>
    <w:p w14:paraId="22B9D870" w14:textId="77777777" w:rsidR="00FE3D25" w:rsidRDefault="00FE3D25" w:rsidP="00FE3D25">
      <w:pPr>
        <w:spacing w:before="100" w:beforeAutospacing="1" w:after="100" w:afterAutospacing="1" w:line="240" w:lineRule="auto"/>
        <w:jc w:val="both"/>
        <w:outlineLvl w:val="2"/>
        <w:rPr>
          <w:rFonts w:ascii="Arial" w:hAnsi="Arial" w:cs="Arial"/>
          <w:b/>
          <w:bCs/>
          <w:sz w:val="24"/>
          <w:szCs w:val="24"/>
        </w:rPr>
      </w:pPr>
    </w:p>
    <w:p w14:paraId="4EB10373" w14:textId="77777777" w:rsidR="00FE3D25" w:rsidRPr="008D10AE" w:rsidRDefault="00FE3D25" w:rsidP="00FE3D25">
      <w:pPr>
        <w:spacing w:before="100" w:beforeAutospacing="1" w:after="100" w:afterAutospacing="1" w:line="240" w:lineRule="auto"/>
        <w:jc w:val="both"/>
        <w:outlineLvl w:val="2"/>
        <w:rPr>
          <w:rFonts w:ascii="Arial" w:hAnsi="Arial" w:cs="Arial"/>
          <w:b/>
          <w:bCs/>
          <w:sz w:val="24"/>
          <w:szCs w:val="24"/>
        </w:rPr>
      </w:pPr>
      <w:r w:rsidRPr="008D10AE">
        <w:rPr>
          <w:rFonts w:ascii="Arial" w:hAnsi="Arial" w:cs="Arial"/>
          <w:b/>
          <w:bCs/>
          <w:sz w:val="24"/>
          <w:szCs w:val="24"/>
        </w:rPr>
        <w:lastRenderedPageBreak/>
        <w:t>Introduction</w:t>
      </w:r>
    </w:p>
    <w:p w14:paraId="77DE268B"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sz w:val="24"/>
          <w:szCs w:val="24"/>
        </w:rPr>
        <w:t xml:space="preserve">Stigma is a deeply rooted societal issue that has significant implications for individuals and groups, particularly when it comes to health conditions like dementia. It refers to the negative perception or disapproval attached to individuals or groups who possess </w:t>
      </w:r>
      <w:r>
        <w:rPr>
          <w:rFonts w:ascii="Arial" w:hAnsi="Arial" w:cs="Arial"/>
          <w:sz w:val="24"/>
          <w:szCs w:val="24"/>
        </w:rPr>
        <w:t>specific</w:t>
      </w:r>
      <w:r w:rsidRPr="008D10AE">
        <w:rPr>
          <w:rFonts w:ascii="Arial" w:hAnsi="Arial" w:cs="Arial"/>
          <w:sz w:val="24"/>
          <w:szCs w:val="24"/>
        </w:rPr>
        <w:t xml:space="preserve"> characteristics or engage in </w:t>
      </w:r>
      <w:proofErr w:type="spellStart"/>
      <w:r>
        <w:rPr>
          <w:rFonts w:ascii="Arial" w:hAnsi="Arial" w:cs="Arial"/>
          <w:sz w:val="24"/>
          <w:szCs w:val="24"/>
        </w:rPr>
        <w:t>behaviours</w:t>
      </w:r>
      <w:proofErr w:type="spellEnd"/>
      <w:r w:rsidRPr="008D10AE">
        <w:rPr>
          <w:rFonts w:ascii="Arial" w:hAnsi="Arial" w:cs="Arial"/>
          <w:sz w:val="24"/>
          <w:szCs w:val="24"/>
        </w:rPr>
        <w:t xml:space="preserve"> that are perceived as deviant or undesirable</w:t>
      </w:r>
      <w:r>
        <w:rPr>
          <w:rFonts w:ascii="Arial" w:hAnsi="Arial" w:cs="Arial"/>
          <w:sz w:val="24"/>
          <w:szCs w:val="24"/>
        </w:rPr>
        <w:t xml:space="preserve"> </w:t>
      </w:r>
      <w:r w:rsidR="001637FC">
        <w:rPr>
          <w:rFonts w:ascii="Arial" w:hAnsi="Arial" w:cs="Arial"/>
          <w:sz w:val="24"/>
          <w:szCs w:val="24"/>
        </w:rPr>
        <w:fldChar w:fldCharType="begin" w:fldLock="1"/>
      </w:r>
      <w:r w:rsidR="001637FC">
        <w:rPr>
          <w:rFonts w:ascii="Arial" w:hAnsi="Arial" w:cs="Arial"/>
          <w:sz w:val="24"/>
          <w:szCs w:val="24"/>
        </w:rPr>
        <w:instrText>ADDIN CSL_CITATION {"citationItems":[{"id":"ITEM-1","itemData":{"DOI":"10.4269/ajtmh.24-0203","author":[{"dropping-particle":"","family":"Dossen","given":"S Benedict","non-dropping-particle":"","parse-names":false,"suffix":""},{"dropping-particle":"","family":"Mulbah","given":"J Mike","non-dropping-particle":"","parse-names":false,"suffix":""},{"dropping-particle":"","family":"Hargreaves","given":"April","non-dropping-particle":"","parse-names":false,"suffix":""},{"dropping-particle":"","family":"Kumar","given":"Samhita","non-dropping-particle":"","parse-names":false,"suffix":""},{"dropping-particle":"","family":"Mothersill","given":"David","non-dropping-particle":"","parse-names":false,"suffix":""},{"dropping-particle":"","family":"Loughnane","given":"Gerard","non-dropping-particle":"","parse-names":false,"suffix":""},{"dropping-particle":"","family":"Byrd","given":"Eve","non-dropping-particle":"","parse-names":false,"suffix":""},{"dropping-particle":"","family":"Nyakoon","given":"Angie Tarr","non-dropping-particle":"","parse-names":false,"suffix":""},{"dropping-particle":"","family":"Quoi","given":"Joseph S","non-dropping-particle":"","parse-names":false,"suffix":""},{"dropping-particle":"","family":"Ebuenyi","given":"Ikenna D","non-dropping-particle":"","parse-names":false,"suffix":""}],"id":"ITEM-1","issue":"Suppl 3","issued":{"date-parts":[["2024"]]},"page":"93-104","title":"Assessing Stigma Toward Mental , Neurological , and Substance Use Disorders in Liberia : A Population Representative Study","type":"article-journal","volume":"111"},"uris":["http://www.mendeley.com/documents/?uuid=73cbf68d-50d5-4d26-a7a9-1f331b666118"]}],"mendeley":{"formattedCitation":"[1]","plainTextFormattedCitation":"[1]","previouslyFormattedCitation":"[1]"},"properties":{"noteIndex":0},"schema":"https://github.com/citation-style-language/schema/raw/master/csl-citation.json"}</w:instrText>
      </w:r>
      <w:r w:rsidR="001637FC">
        <w:rPr>
          <w:rFonts w:ascii="Arial" w:hAnsi="Arial" w:cs="Arial"/>
          <w:sz w:val="24"/>
          <w:szCs w:val="24"/>
        </w:rPr>
        <w:fldChar w:fldCharType="separate"/>
      </w:r>
      <w:r w:rsidR="001637FC" w:rsidRPr="001637FC">
        <w:rPr>
          <w:rFonts w:ascii="Arial" w:hAnsi="Arial" w:cs="Arial"/>
          <w:noProof/>
          <w:sz w:val="24"/>
          <w:szCs w:val="24"/>
        </w:rPr>
        <w:t>[1]</w:t>
      </w:r>
      <w:r w:rsidR="001637FC">
        <w:rPr>
          <w:rFonts w:ascii="Arial" w:hAnsi="Arial" w:cs="Arial"/>
          <w:sz w:val="24"/>
          <w:szCs w:val="24"/>
        </w:rPr>
        <w:fldChar w:fldCharType="end"/>
      </w:r>
      <w:r>
        <w:rPr>
          <w:rFonts w:ascii="Arial" w:hAnsi="Arial" w:cs="Arial"/>
          <w:sz w:val="24"/>
          <w:szCs w:val="24"/>
        </w:rPr>
        <w:t>.</w:t>
      </w:r>
      <w:r w:rsidRPr="008D10AE">
        <w:rPr>
          <w:rFonts w:ascii="Arial" w:hAnsi="Arial" w:cs="Arial"/>
          <w:sz w:val="24"/>
          <w:szCs w:val="24"/>
        </w:rPr>
        <w:t xml:space="preserve"> </w:t>
      </w:r>
    </w:p>
    <w:p w14:paraId="2079A58C"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sz w:val="24"/>
          <w:szCs w:val="24"/>
        </w:rPr>
        <w:t xml:space="preserve">There are different types of stigma, each with its unique manifestations and consequences. </w:t>
      </w:r>
      <w:r w:rsidRPr="008D10AE">
        <w:rPr>
          <w:rFonts w:ascii="Arial" w:hAnsi="Arial" w:cs="Arial"/>
          <w:b/>
          <w:bCs/>
          <w:sz w:val="24"/>
          <w:szCs w:val="24"/>
        </w:rPr>
        <w:t>Public stigma</w:t>
      </w:r>
      <w:r w:rsidRPr="008D10AE">
        <w:rPr>
          <w:rFonts w:ascii="Arial" w:hAnsi="Arial" w:cs="Arial"/>
          <w:sz w:val="24"/>
          <w:szCs w:val="24"/>
        </w:rPr>
        <w:t xml:space="preserve"> refers to the general societal perception of individuals with dementia and the prejudices they face. This often includes negative stereotypes that those with dementia are incapable, dependent, or burdensome</w:t>
      </w:r>
      <w:r>
        <w:rPr>
          <w:rFonts w:ascii="Arial" w:hAnsi="Arial" w:cs="Arial"/>
          <w:sz w:val="24"/>
          <w:szCs w:val="24"/>
        </w:rPr>
        <w:t>;</w:t>
      </w:r>
      <w:r w:rsidRPr="008D10AE">
        <w:rPr>
          <w:rFonts w:ascii="Arial" w:hAnsi="Arial" w:cs="Arial"/>
          <w:sz w:val="24"/>
          <w:szCs w:val="24"/>
        </w:rPr>
        <w:t xml:space="preserve"> public stigma can produce social distance from people living with dementia</w:t>
      </w:r>
      <w:r>
        <w:rPr>
          <w:rFonts w:ascii="Arial" w:hAnsi="Arial" w:cs="Arial"/>
          <w:sz w:val="24"/>
          <w:szCs w:val="24"/>
        </w:rPr>
        <w:fldChar w:fldCharType="begin" w:fldLock="1"/>
      </w:r>
      <w:r w:rsidR="001637FC">
        <w:rPr>
          <w:rFonts w:ascii="Arial" w:hAnsi="Arial" w:cs="Arial"/>
          <w:sz w:val="24"/>
          <w:szCs w:val="24"/>
        </w:rPr>
        <w:instrText>ADDIN CSL_CITATION {"citationItems":[{"id":"ITEM-1","itemData":{"DOI":"10.1371/journal.pone.0317911","ISSN":"1932-6203","abstract":"Background Dementia presents significant challenges, including social exclusion, which can be exacerbated by public stigma. This study aimed to clarify how social distances, a common measure of public stigma, towards people living with dementia and its associated factors vary with clinical stage, presence of behavioral and psychological symptoms of dementia (BPSD), and living arrangements.  Methods The study involved 2,589 Japanese participants aged 40 to 90 years. They were exposed to one of four vignettes depicting an 80-year-old woman progressing from normal ageing to mild, moderate, and severe dementia: Vignette A (living with husband, without BPSD); Vignette B (living with husband, with BPSD); Vignette C (living alone, without BPSD); and Vignette D (living alone, with BPSD).  Results Social distance showed no significant differences in the normal aging and mild stage of dementia across all vignettes. At the moderate stage, social distance was higher for individuals exhibiting BPSD, regardless of living arrangement. At the severe stage, the lowest social distance was observed towards individuals living with their family without BPSD, whereas the highest was towards those living alone, exhibiting BPSD. For Vignette A, possession of social capital (p&lt;0.001) and having experience of social contact with people living with dementia (PLWD) (p = 0.001–0.007) were independently associated with lower social distance across all dementia stages. In addition, in the mild stage of dementia, high perceived social support (p = 0.005) and having knowledge about dementia (p = 0.036) were associated with lower social distance, but not in the moderate or severe stage of dementia. For Vignette D, possession of social capital (p≤0.001) and having experience of social contact with PLWD (p&lt;0.001 to p = 0.006) were independently associated with lower social distance across all dementia stages. In mild dementia, female sex (p = 0.004) and knowledge about dementia (p = 0.026) were associated with lower social distance. Furthermore, in mild and moderate dementia, living in rural area (p = 0.003–0.048) was associated with lower social distance.  Conclusions Social distance is higher toward PLWD who live alone and exhibit BPSD than toward those who live with family and/or do not show BPSD, indicating a higher risk of exclusion for the former. Moreover, factors affecting social distance towards PLWD vary across different clinical stages of dementia. While greater knowledge about…","author":[{"dropping-particle":"","family":"Ito","given":"Kae","non-dropping-particle":"","parse-names":false,"suffix":""},{"dropping-particle":"","family":"Tsuda","given":"Shuji","non-dropping-particle":"","parse-names":false,"suffix":""}],"container-title":"PLOS ONE","id":"ITEM-1","issue":"1","issued":{"date-parts":[["2025","3"]]},"page":"e0317911","title":"Effects of clinical stage, behavioral and psychological symptoms of dementia, and living arrangement on social distance towards people with dementia","type":"article-journal","volume":"20"},"uris":["http://www.mendeley.com/documents/?uuid=8015f4fe-b13f-4a96-867d-b1f0653c81fb","http://www.mendeley.com/documents/?uuid=ab745de0-0360-4ee4-9fd0-18440e568b6e"]}],"mendeley":{"formattedCitation":"[2]","plainTextFormattedCitation":"[2]","previouslyFormattedCitation":"[2]"},"properties":{"noteIndex":0},"schema":"https://github.com/citation-style-language/schema/raw/master/csl-citation.json"}</w:instrText>
      </w:r>
      <w:r>
        <w:rPr>
          <w:rFonts w:ascii="Arial" w:hAnsi="Arial" w:cs="Arial"/>
          <w:sz w:val="24"/>
          <w:szCs w:val="24"/>
        </w:rPr>
        <w:fldChar w:fldCharType="separate"/>
      </w:r>
      <w:r w:rsidRPr="0069174A">
        <w:rPr>
          <w:rFonts w:ascii="Arial" w:hAnsi="Arial" w:cs="Arial"/>
          <w:noProof/>
          <w:sz w:val="24"/>
          <w:szCs w:val="24"/>
        </w:rPr>
        <w:t>[2]</w:t>
      </w:r>
      <w:r>
        <w:rPr>
          <w:rFonts w:ascii="Arial" w:hAnsi="Arial" w:cs="Arial"/>
          <w:sz w:val="24"/>
          <w:szCs w:val="24"/>
        </w:rPr>
        <w:fldChar w:fldCharType="end"/>
      </w:r>
      <w:r>
        <w:rPr>
          <w:rFonts w:ascii="Arial" w:hAnsi="Arial" w:cs="Arial"/>
          <w:sz w:val="24"/>
          <w:szCs w:val="24"/>
        </w:rPr>
        <w:t>.</w:t>
      </w:r>
      <w:r w:rsidRPr="008D10AE">
        <w:rPr>
          <w:rFonts w:ascii="Arial" w:hAnsi="Arial" w:cs="Arial"/>
          <w:sz w:val="24"/>
          <w:szCs w:val="24"/>
        </w:rPr>
        <w:t xml:space="preserve"> </w:t>
      </w:r>
      <w:r w:rsidRPr="008D10AE">
        <w:rPr>
          <w:rFonts w:ascii="Arial" w:hAnsi="Arial" w:cs="Arial"/>
          <w:b/>
          <w:bCs/>
          <w:sz w:val="24"/>
          <w:szCs w:val="24"/>
        </w:rPr>
        <w:t>Self-stigma</w:t>
      </w:r>
      <w:r w:rsidRPr="008D10AE">
        <w:rPr>
          <w:rFonts w:ascii="Arial" w:hAnsi="Arial" w:cs="Arial"/>
          <w:sz w:val="24"/>
          <w:szCs w:val="24"/>
        </w:rPr>
        <w:t xml:space="preserve">, on the other hand, occurs when individuals with dementia internalize these societal beliefs and develop negative feelings about themselves, often leading to social withdrawal and reduced </w:t>
      </w:r>
      <w:r>
        <w:rPr>
          <w:rFonts w:ascii="Arial" w:hAnsi="Arial" w:cs="Arial"/>
          <w:sz w:val="24"/>
          <w:szCs w:val="24"/>
        </w:rPr>
        <w:t>engagement in care or treatment</w:t>
      </w:r>
      <w:r w:rsidRPr="008D10AE">
        <w:rPr>
          <w:rFonts w:ascii="Arial" w:hAnsi="Arial" w:cs="Arial"/>
          <w:sz w:val="24"/>
          <w:szCs w:val="24"/>
        </w:rPr>
        <w:t xml:space="preserve"> </w:t>
      </w:r>
      <w:r>
        <w:rPr>
          <w:rFonts w:ascii="Arial" w:hAnsi="Arial" w:cs="Arial"/>
          <w:sz w:val="24"/>
          <w:szCs w:val="24"/>
        </w:rPr>
        <w:fldChar w:fldCharType="begin" w:fldLock="1"/>
      </w:r>
      <w:r w:rsidR="001637FC">
        <w:rPr>
          <w:rFonts w:ascii="Arial" w:hAnsi="Arial" w:cs="Arial"/>
          <w:sz w:val="24"/>
          <w:szCs w:val="24"/>
        </w:rPr>
        <w:instrText>ADDIN CSL_CITATION {"citationItems":[{"id":"ITEM-1","itemData":{"DOI":"10.1186/s12877-020-1505-4","ISSN":"1471-2318","abstract":"Background Research in the area of public stigma and Alzheimer’s disease (AD) is limited to examining stigmatic beliefs towards persons aged 65 and over (i.e., persons with late-onset dementia). The aim of the present study was to compare college students’ stigmatic attributions towards an older and a younger person with AD, using an attributional model of stigma.  Method A cross-sectional study was conducted with 375 college students (mean age = 25.5, 58.9% female, 64.3% Jewish) who answered a computerized, self-administered, structured questionnaire after being presented with one of two randomly distributed vignettes varying in the age of the person with AD – 80 or 50 years of age. Cognitive, emotional and behavioral attributions of stigma were assessed using an adapted version of the Attribution Questionnaire. Other variables examined included background information, experiences and concerns about developing AD. T-tests and Ordinary Least Square (OLS) hierarchical regressions were used to analyze results.  Results Similar to previous studies, students’ levels of dementia stigma were low to moderate. Negative attributions were consistently and significantly higher (β = .17 to .33, p &lt; .01), and positive attributions were significantly lower (β = −.26, p &lt; .01) when the target person was younger rather than older.  Conclusion The differences in stigmatic beliefs towards a younger and older person with AD point to the theoretical and practical importance of clearly stating the age of the target person in stigma studies as well as in programs aimed at reducing public stigma towards persons with AD.","author":[{"dropping-particle":"","family":"Werner","given":"Perla","non-dropping-particle":"","parse-names":false,"suffix":""},{"dropping-particle":"","family":"Raviv-Turgeman","given":"Lilach","non-dropping-particle":"","parse-names":false,"suffix":""},{"dropping-particle":"","family":"Corrigan","given":"Patrick W","non-dropping-particle":"","parse-names":false,"suffix":""}],"container-title":"BMC Geriatrics","id":"ITEM-1","issued":{"date-parts":[["2020","8"]]},"page":"104","title":"The influence of the age of dementia onset on college students’ stigmatic attributions towards a person with dementia","type":"article-journal","volume":"20"},"uris":["http://www.mendeley.com/documents/?uuid=cdb90bb1-df96-496b-a0b7-b1f66bd27a1c","http://www.mendeley.com/documents/?uuid=7064da25-08ce-42ee-9391-8ef7e8e9d272"]}],"mendeley":{"formattedCitation":"[3]","plainTextFormattedCitation":"[3]","previouslyFormattedCitation":"[3]"},"properties":{"noteIndex":0},"schema":"https://github.com/citation-style-language/schema/raw/master/csl-citation.json"}</w:instrText>
      </w:r>
      <w:r>
        <w:rPr>
          <w:rFonts w:ascii="Arial" w:hAnsi="Arial" w:cs="Arial"/>
          <w:sz w:val="24"/>
          <w:szCs w:val="24"/>
        </w:rPr>
        <w:fldChar w:fldCharType="separate"/>
      </w:r>
      <w:r w:rsidRPr="0069174A">
        <w:rPr>
          <w:rFonts w:ascii="Arial" w:hAnsi="Arial" w:cs="Arial"/>
          <w:noProof/>
          <w:sz w:val="24"/>
          <w:szCs w:val="24"/>
        </w:rPr>
        <w:t>[3]</w:t>
      </w:r>
      <w:r>
        <w:rPr>
          <w:rFonts w:ascii="Arial" w:hAnsi="Arial" w:cs="Arial"/>
          <w:sz w:val="24"/>
          <w:szCs w:val="24"/>
        </w:rPr>
        <w:fldChar w:fldCharType="end"/>
      </w:r>
      <w:r>
        <w:rPr>
          <w:rFonts w:ascii="Arial" w:hAnsi="Arial" w:cs="Arial"/>
          <w:sz w:val="24"/>
          <w:szCs w:val="24"/>
        </w:rPr>
        <w:fldChar w:fldCharType="begin" w:fldLock="1"/>
      </w:r>
      <w:r w:rsidR="001637FC">
        <w:rPr>
          <w:rFonts w:ascii="Arial" w:hAnsi="Arial" w:cs="Arial"/>
          <w:sz w:val="24"/>
          <w:szCs w:val="24"/>
        </w:rPr>
        <w:instrText>ADDIN CSL_CITATION {"citationItems":[{"id":"ITEM-1","itemData":{"DOI":"10.3389/fpsyt.2020.00573","ISSN":"1664-0640","abstract":"Psychiatric emergencies are severe behavioral changes secondary to worsening mental illness. Such situations present a risk to the patient and other people, so they need immediate therapeutic intervention. They are associated with feelings of fear, anger, prejudice, and even exclusion. The attitudes of professionals and factors related to the workplace culture in health can help to perpetuate stereotypes and interfere with the quality of care. Stigma has undesirable consequences in patients with mental disorders. Certain measures can reduce stigma and provide a more dignified way for patients to recover from the crisis. This article aims to discuss the causes of stigma, ways of dealing with it, and achievements that have been made in psychiatric emergency care settings.","author":[{"dropping-particle":"","family":"Silva","given":"Antônio Geraldo","non-dropping-particle":"da","parse-names":false,"suffix":""},{"dropping-particle":"","family":"Baldaçara","given":"Leonardo","non-dropping-particle":"","parse-names":false,"suffix":""},{"dropping-particle":"","family":"Cavalcante","given":"Daniel A","non-dropping-particle":"","parse-names":false,"suffix":""},{"dropping-particle":"","family":"Fasanella","given":"Nicoli Abrão","non-dropping-particle":"","parse-names":false,"suffix":""},{"dropping-particle":"","family":"Palha","given":"Antônio Pacheco","non-dropping-particle":"","parse-names":false,"suffix":""}],"container-title":"Frontiers in Psychiatry","id":"ITEM-1","issued":{"date-parts":[["2020"]]},"language":"eng","page":"573","title":"The Impact of Mental Illness Stigma on Psychiatric Emergencies","type":"article-journal","volume":"11"},"uris":["http://www.mendeley.com/documents/?uuid=2879eb13-a508-498d-9e86-11b21a1c5a8e","http://www.mendeley.com/documents/?uuid=a2ea449b-a69d-456d-ac9a-e00d552045cd"]}],"mendeley":{"formattedCitation":"[4]","plainTextFormattedCitation":"[4]","previouslyFormattedCitation":"[4]"},"properties":{"noteIndex":0},"schema":"https://github.com/citation-style-language/schema/raw/master/csl-citation.json"}</w:instrText>
      </w:r>
      <w:r>
        <w:rPr>
          <w:rFonts w:ascii="Arial" w:hAnsi="Arial" w:cs="Arial"/>
          <w:sz w:val="24"/>
          <w:szCs w:val="24"/>
        </w:rPr>
        <w:fldChar w:fldCharType="separate"/>
      </w:r>
      <w:r w:rsidRPr="0069174A">
        <w:rPr>
          <w:rFonts w:ascii="Arial" w:hAnsi="Arial" w:cs="Arial"/>
          <w:noProof/>
          <w:sz w:val="24"/>
          <w:szCs w:val="24"/>
        </w:rPr>
        <w:t>[4]</w:t>
      </w:r>
      <w:r>
        <w:rPr>
          <w:rFonts w:ascii="Arial" w:hAnsi="Arial" w:cs="Arial"/>
          <w:sz w:val="24"/>
          <w:szCs w:val="24"/>
        </w:rPr>
        <w:fldChar w:fldCharType="end"/>
      </w:r>
      <w:r>
        <w:rPr>
          <w:rFonts w:ascii="Arial" w:hAnsi="Arial" w:cs="Arial"/>
          <w:sz w:val="24"/>
          <w:szCs w:val="24"/>
        </w:rPr>
        <w:t>.</w:t>
      </w:r>
      <w:r w:rsidRPr="008D10AE">
        <w:rPr>
          <w:rFonts w:ascii="Arial" w:hAnsi="Arial" w:cs="Arial"/>
          <w:sz w:val="24"/>
          <w:szCs w:val="24"/>
        </w:rPr>
        <w:t xml:space="preserve"> Another form of stigma, </w:t>
      </w:r>
      <w:r w:rsidRPr="008D10AE">
        <w:rPr>
          <w:rFonts w:ascii="Arial" w:hAnsi="Arial" w:cs="Arial"/>
          <w:b/>
          <w:bCs/>
          <w:sz w:val="24"/>
          <w:szCs w:val="24"/>
        </w:rPr>
        <w:t>structural stigma</w:t>
      </w:r>
      <w:r w:rsidRPr="008D10AE">
        <w:rPr>
          <w:rFonts w:ascii="Arial" w:hAnsi="Arial" w:cs="Arial"/>
          <w:sz w:val="24"/>
          <w:szCs w:val="24"/>
        </w:rPr>
        <w:t xml:space="preserve">, pertains to the institutional and systemic barriers that exist in society, such as </w:t>
      </w:r>
      <w:r>
        <w:rPr>
          <w:rFonts w:ascii="Arial" w:hAnsi="Arial" w:cs="Arial"/>
          <w:sz w:val="24"/>
          <w:szCs w:val="24"/>
        </w:rPr>
        <w:t xml:space="preserve">a </w:t>
      </w:r>
      <w:r w:rsidRPr="008D10AE">
        <w:rPr>
          <w:rFonts w:ascii="Arial" w:hAnsi="Arial" w:cs="Arial"/>
          <w:sz w:val="24"/>
          <w:szCs w:val="24"/>
        </w:rPr>
        <w:t>lack of adequate healthcare policies or resources</w:t>
      </w:r>
      <w:r>
        <w:rPr>
          <w:rFonts w:ascii="Arial" w:hAnsi="Arial" w:cs="Arial"/>
          <w:sz w:val="24"/>
          <w:szCs w:val="24"/>
        </w:rPr>
        <w:t xml:space="preserve"> to support those with dementia</w:t>
      </w:r>
      <w:r>
        <w:rPr>
          <w:rFonts w:ascii="Arial" w:hAnsi="Arial" w:cs="Arial"/>
          <w:sz w:val="24"/>
          <w:szCs w:val="24"/>
        </w:rPr>
        <w:fldChar w:fldCharType="begin" w:fldLock="1"/>
      </w:r>
      <w:r w:rsidR="001637FC">
        <w:rPr>
          <w:rFonts w:ascii="Arial" w:hAnsi="Arial" w:cs="Arial"/>
          <w:sz w:val="24"/>
          <w:szCs w:val="24"/>
        </w:rPr>
        <w:instrText>ADDIN CSL_CITATION {"citationItems":[{"id":"ITEM-1","itemData":{"DOI":"10.1136/bmjopen-2021-060033","ISSN":"2044-6055, 2044-6055","abstract":"Introduction  Stigma and discrimination among healthcare workers can hinder diagnosis and the provision of appropriate care in dementia. This study is aimed at developing, delivering and evaluating the feasibility of a group antistigma intervention to improve knowledge, attitudes and behaviours in relation to people living with dementia among community health workers (CHWs). Methods and analysis  This will be a randomised controlled feasibility trial conducted with 150 CHWs from 14 primary care units (PCUs) in São Paulo, Brazil. PCUs will be randomly allocated (1:1) in two parallel groups—experimental group or control group. Participants from PCUs allocated to the experimental group will receive a 3-­day group intervention involving audio-­visual and printed materials as well as elements of social contact. The control group will keep their usual routine. Knowledge, attitude and intended behaviour stigma-­based outcomes will be assessed at baseline and at follow-­up (30 days after intervention) to both groups, with additional questions on feasibility for the experimental group at follow-u­ p. Around 10–15 participants will take part in follow-­up semistructured interviews to further explore feasibility. Quantitative analyses will follow an ‘intention to treat’ approach. Qualitative data will be analysed using content analysis. Ethics and dissemination  This study was approved by the National Commission for Ethics in Research in Brazil (n. 5.510.113). Every participant will sign a consent form. Results will be disseminated through academic journals and events related to dementia. The intervention materials will be made available online.","author":[{"dropping-particle":"","family":"Oliveira","given":"Déborah","non-dropping-particle":"","parse-names":false,"suffix":""},{"dropping-particle":"","family":"Godoy","given":"Carolina","non-dropping-particle":"","parse-names":false,"suffix":""},{"dropping-particle":"","family":"Mata","given":"Fabiana A F","non-dropping-particle":"Da","parse-names":false,"suffix":""},{"dropping-particle":"","family":"Mateus","given":"Elaine","non-dropping-particle":"","parse-names":false,"suffix":""},{"dropping-particle":"","family":"Franzon","given":"Ana Carolina Arruda","non-dropping-particle":"","parse-names":false,"suffix":""},{"dropping-particle":"","family":"Farina","given":"Nicolas","non-dropping-particle":"","parse-names":false,"suffix":""},{"dropping-particle":"","family":"Evans-Lacko","given":"Sara","non-dropping-particle":"","parse-names":false,"suffix":""},{"dropping-particle":"","family":"Ferri","given":"Cleusa P","non-dropping-particle":"","parse-names":false,"suffix":""}],"container-title":"BMJ Open","id":"ITEM-1","issue":"7","issued":{"date-parts":[["2022","4"]]},"language":"en","page":"e060033","title":"Reducing dementia-related stigma and discrimination among community health workers in Brazil: protocol for a randomised controlled feasibility trial","type":"article-journal","volume":"12"},"uris":["http://www.mendeley.com/documents/?uuid=2a3bdf9e-e63c-4c5d-a53c-31511eab689d","http://www.mendeley.com/documents/?uuid=fade3bfb-da30-4fed-9f6f-ce679ec4e7cc"]}],"mendeley":{"formattedCitation":"[5]","plainTextFormattedCitation":"[5]","previouslyFormattedCitation":"[5]"},"properties":{"noteIndex":0},"schema":"https://github.com/citation-style-language/schema/raw/master/csl-citation.json"}</w:instrText>
      </w:r>
      <w:r>
        <w:rPr>
          <w:rFonts w:ascii="Arial" w:hAnsi="Arial" w:cs="Arial"/>
          <w:sz w:val="24"/>
          <w:szCs w:val="24"/>
        </w:rPr>
        <w:fldChar w:fldCharType="separate"/>
      </w:r>
      <w:r w:rsidRPr="0069174A">
        <w:rPr>
          <w:rFonts w:ascii="Arial" w:hAnsi="Arial" w:cs="Arial"/>
          <w:noProof/>
          <w:sz w:val="24"/>
          <w:szCs w:val="24"/>
        </w:rPr>
        <w:t>[5]</w:t>
      </w:r>
      <w:r>
        <w:rPr>
          <w:rFonts w:ascii="Arial" w:hAnsi="Arial" w:cs="Arial"/>
          <w:sz w:val="24"/>
          <w:szCs w:val="24"/>
        </w:rPr>
        <w:fldChar w:fldCharType="end"/>
      </w:r>
      <w:r w:rsidRPr="008D10AE">
        <w:rPr>
          <w:rFonts w:ascii="Arial" w:hAnsi="Arial" w:cs="Arial"/>
          <w:sz w:val="24"/>
          <w:szCs w:val="24"/>
        </w:rPr>
        <w:t xml:space="preserve"> </w:t>
      </w:r>
      <w:r>
        <w:rPr>
          <w:rFonts w:ascii="Arial" w:hAnsi="Arial" w:cs="Arial"/>
          <w:sz w:val="24"/>
          <w:szCs w:val="24"/>
        </w:rPr>
        <w:fldChar w:fldCharType="begin" w:fldLock="1"/>
      </w:r>
      <w:r w:rsidR="001637FC">
        <w:rPr>
          <w:rFonts w:ascii="Arial" w:hAnsi="Arial" w:cs="Arial"/>
          <w:sz w:val="24"/>
          <w:szCs w:val="24"/>
        </w:rPr>
        <w:instrText>ADDIN CSL_CITATION {"citationItems":[{"id":"ITEM-1","itemData":{"DOI":"10.1016/S1474-4422(24)00404-6","ISSN":"1474-4422, 1474-4465","author":[{"dropping-particle":"","family":"Neurology","given":"The Lancet","non-dropping-particle":"","parse-names":false,"suffix":""}],"container-title":"The Lancet Neurology","id":"ITEM-1","issue":"11","issued":{"date-parts":[["2024","3"]]},"language":"English","page":"1063","title":"Dementia-related stigma is still pervasive","type":"article-journal","volume":"23"},"uris":["http://www.mendeley.com/documents/?uuid=e4520ec8-4702-48d9-9807-b3991bd6f0b9","http://www.mendeley.com/documents/?uuid=f2593f1f-80ec-41a4-9ca8-9dbbb539735b"]}],"mendeley":{"formattedCitation":"[6]","plainTextFormattedCitation":"[6]","previouslyFormattedCitation":"[6]"},"properties":{"noteIndex":0},"schema":"https://github.com/citation-style-language/schema/raw/master/csl-citation.json"}</w:instrText>
      </w:r>
      <w:r>
        <w:rPr>
          <w:rFonts w:ascii="Arial" w:hAnsi="Arial" w:cs="Arial"/>
          <w:sz w:val="24"/>
          <w:szCs w:val="24"/>
        </w:rPr>
        <w:fldChar w:fldCharType="separate"/>
      </w:r>
      <w:r w:rsidRPr="0069174A">
        <w:rPr>
          <w:rFonts w:ascii="Arial" w:hAnsi="Arial" w:cs="Arial"/>
          <w:noProof/>
          <w:sz w:val="24"/>
          <w:szCs w:val="24"/>
        </w:rPr>
        <w:t>[6]</w:t>
      </w:r>
      <w:r>
        <w:rPr>
          <w:rFonts w:ascii="Arial" w:hAnsi="Arial" w:cs="Arial"/>
          <w:sz w:val="24"/>
          <w:szCs w:val="24"/>
        </w:rPr>
        <w:fldChar w:fldCharType="end"/>
      </w:r>
      <w:r>
        <w:rPr>
          <w:rFonts w:ascii="Arial" w:hAnsi="Arial" w:cs="Arial"/>
          <w:sz w:val="24"/>
          <w:szCs w:val="24"/>
        </w:rPr>
        <w:t xml:space="preserve">. </w:t>
      </w:r>
      <w:r w:rsidRPr="00BA66CF">
        <w:rPr>
          <w:rFonts w:ascii="Arial" w:hAnsi="Arial" w:cs="Arial"/>
          <w:sz w:val="24"/>
          <w:szCs w:val="24"/>
          <w:highlight w:val="yellow"/>
        </w:rPr>
        <w:t>Stigma towards people with dementia can have profound effects on their mental health, treatment outcomes, and quality of life, as well as the overall societal response to the disease. The stigmatization of dementia is compounded by widespread misconceptions, lack of understanding, and societal attitudes towards ageing and cognitive decline, which continue to persist across cultures, regions, and communities</w:t>
      </w:r>
      <w:r w:rsidRPr="00BA66CF">
        <w:rPr>
          <w:rFonts w:ascii="Arial" w:hAnsi="Arial" w:cs="Arial"/>
          <w:sz w:val="24"/>
          <w:szCs w:val="24"/>
          <w:highlight w:val="yellow"/>
        </w:rPr>
        <w:fldChar w:fldCharType="begin" w:fldLock="1"/>
      </w:r>
      <w:r w:rsidR="001637FC">
        <w:rPr>
          <w:rFonts w:ascii="Arial" w:hAnsi="Arial" w:cs="Arial"/>
          <w:sz w:val="24"/>
          <w:szCs w:val="24"/>
          <w:highlight w:val="yellow"/>
        </w:rPr>
        <w:instrText>ADDIN CSL_CITATION {"citationItems":[{"id":"ITEM-1","itemData":{"DOI":"10.3233/JAD-201004;PAGEGROUP:STRING:PUBLICATION","ISSN":"18758908","PMID":"33185610","abstract":"In a broad sense, the concept of social stigmatization (from the Greek word 'stigma', or sign) refers to the attitude of social disapproval and the negative reception of a specific group of people due to the characteristic features of this group. The problem of stigma affects many people, and it is also present in medicine and affects people with dementia. Social stigma of people with dementia is a worldwide problem. The severity of this phenomenon depends on several factors, including gender, age, level of education, religiosity, cultural differences, and the severity of cognitive disorders. Stigmatization can have numerous negative consequences. It leads to rejection, discrimination, and exclusion of stigmatized people from participation in various areas of social life. It also affects close relatives. The main goal of this review paper is to present the problem of stigma among people with dementia, discuss the results of represented research that deals with this issue, to approximate the elements that make up this process, and to present the negative consequences of stigma. Detailed knowledge of this phenomenon provides opportunity to reduce the extent of stigma and improve the quality of life people suffering from dementia. It is worth emphasizing the role of an individual approach to the patient and the need to educate the public about dementia.","author":[{"dropping-particle":"","family":"Rewerska-Juśko","given":"Magdalena","non-dropping-particle":"","parse-names":false,"suffix":""},{"dropping-particle":"","family":"Rejdak","given":"Konrad","non-dropping-particle":"","parse-names":false,"suffix":""}],"container-title":"Journal of Alzheimer's Disease","id":"ITEM-1","issue":"4","issued":{"date-parts":[["2020"]]},"page":"1339-1343","publisher":"IOS Press BV","title":"Social Stigma of People with Dementia","type":"article-journal","volume":"78"},"uris":["http://www.mendeley.com/documents/?uuid=e57d33ee-cf60-3433-b1ca-f732f440a94c","http://www.mendeley.com/documents/?uuid=f13e03a0-c8f0-48d9-a20f-6403ac51ab33"]}],"mendeley":{"formattedCitation":"[7]","plainTextFormattedCitation":"[7]","previouslyFormattedCitation":"[7]"},"properties":{"noteIndex":0},"schema":"https://github.com/citation-style-language/schema/raw/master/csl-citation.json"}</w:instrText>
      </w:r>
      <w:r w:rsidRPr="00BA66CF">
        <w:rPr>
          <w:rFonts w:ascii="Arial" w:hAnsi="Arial" w:cs="Arial"/>
          <w:sz w:val="24"/>
          <w:szCs w:val="24"/>
          <w:highlight w:val="yellow"/>
        </w:rPr>
        <w:fldChar w:fldCharType="separate"/>
      </w:r>
      <w:r w:rsidRPr="00BA66CF">
        <w:rPr>
          <w:rFonts w:ascii="Arial" w:hAnsi="Arial" w:cs="Arial"/>
          <w:noProof/>
          <w:sz w:val="24"/>
          <w:szCs w:val="24"/>
          <w:highlight w:val="yellow"/>
        </w:rPr>
        <w:t>[7]</w:t>
      </w:r>
      <w:r w:rsidRPr="00BA66CF">
        <w:rPr>
          <w:rFonts w:ascii="Arial" w:hAnsi="Arial" w:cs="Arial"/>
          <w:sz w:val="24"/>
          <w:szCs w:val="24"/>
          <w:highlight w:val="yellow"/>
        </w:rPr>
        <w:fldChar w:fldCharType="end"/>
      </w:r>
      <w:r w:rsidRPr="00BA66CF">
        <w:rPr>
          <w:rFonts w:ascii="Arial" w:hAnsi="Arial" w:cs="Arial"/>
          <w:sz w:val="24"/>
          <w:szCs w:val="24"/>
          <w:highlight w:val="yellow"/>
        </w:rPr>
        <w:t xml:space="preserve"> </w:t>
      </w:r>
      <w:r w:rsidR="009C3BF9">
        <w:rPr>
          <w:rFonts w:ascii="Arial" w:hAnsi="Arial" w:cs="Arial"/>
          <w:sz w:val="24"/>
          <w:szCs w:val="24"/>
          <w:highlight w:val="yellow"/>
        </w:rPr>
        <w:fldChar w:fldCharType="begin" w:fldLock="1"/>
      </w:r>
      <w:r w:rsidR="00910B42">
        <w:rPr>
          <w:rFonts w:ascii="Arial" w:hAnsi="Arial" w:cs="Arial"/>
          <w:sz w:val="24"/>
          <w:szCs w:val="24"/>
          <w:highlight w:val="yellow"/>
        </w:rPr>
        <w:instrText>ADDIN CSL_CITATION {"citationItems":[{"id":"ITEM-1","itemData":{"author":[{"dropping-particle":"","family":"Brigiano","given":"Marco","non-dropping-particle":"","parse-names":false,"suffix":""},{"dropping-particle":"","family":"Calabrese","given":"Lara","non-dropping-particle":"","parse-names":false,"suffix":""},{"dropping-particle":"","family":"Chirico","given":"Ilaria","non-dropping-particle":"","parse-names":false,"suffix":""},{"dropping-particle":"","family":"Trolese","given":"Sara","non-dropping-particle":"","parse-names":false,"suffix":""},{"dropping-particle":"","family":"Quartarone","given":"Martina","non-dropping-particle":"","parse-names":false,"suffix":""},{"dropping-particle":"","family":"Forte","given":"Ludovica","non-dropping-particle":"","parse-names":false,"suffix":""},{"dropping-particle":"","family":"Annini","given":"Alice","non-dropping-particle":"","parse-names":false,"suffix":""},{"dropping-particle":"","family":"Murri","given":"Martino Belvederi","non-dropping-particle":"","parse-names":false,"suffix":""},{"dropping-particle":"","family":"Chattat","given":"Rabih","non-dropping-particle":"","parse-names":false,"suffix":""}],"id":"ITEM-1","issued":{"date-parts":[["2025"]]},"page":"1-26","title":"Within My Walls , I Escape Being Underestimated : A Systematic Review and Thematic Synthesis of Stigma and Help-Seeking in Dementia","type":"article-journal"},"uris":["http://www.mendeley.com/documents/?uuid=eb4e687e-8401-4c90-8edc-82f9338779f3"]}],"mendeley":{"formattedCitation":"[8]","plainTextFormattedCitation":"[8]","previouslyFormattedCitation":"[8]"},"properties":{"noteIndex":0},"schema":"https://github.com/citation-style-language/schema/raw/master/csl-citation.json"}</w:instrText>
      </w:r>
      <w:r w:rsidR="009C3BF9">
        <w:rPr>
          <w:rFonts w:ascii="Arial" w:hAnsi="Arial" w:cs="Arial"/>
          <w:sz w:val="24"/>
          <w:szCs w:val="24"/>
          <w:highlight w:val="yellow"/>
        </w:rPr>
        <w:fldChar w:fldCharType="separate"/>
      </w:r>
      <w:r w:rsidR="009C3BF9" w:rsidRPr="009C3BF9">
        <w:rPr>
          <w:rFonts w:ascii="Arial" w:hAnsi="Arial" w:cs="Arial"/>
          <w:noProof/>
          <w:sz w:val="24"/>
          <w:szCs w:val="24"/>
          <w:highlight w:val="yellow"/>
        </w:rPr>
        <w:t>[8]</w:t>
      </w:r>
      <w:r w:rsidR="009C3BF9">
        <w:rPr>
          <w:rFonts w:ascii="Arial" w:hAnsi="Arial" w:cs="Arial"/>
          <w:sz w:val="24"/>
          <w:szCs w:val="24"/>
          <w:highlight w:val="yellow"/>
        </w:rPr>
        <w:fldChar w:fldCharType="end"/>
      </w:r>
      <w:r w:rsidRPr="00BA66CF">
        <w:rPr>
          <w:rFonts w:ascii="Arial" w:hAnsi="Arial" w:cs="Arial"/>
          <w:sz w:val="24"/>
          <w:szCs w:val="24"/>
          <w:highlight w:val="yellow"/>
        </w:rPr>
        <w:t>.</w:t>
      </w:r>
    </w:p>
    <w:p w14:paraId="75D0B9DB" w14:textId="77777777" w:rsidR="00FE3D25" w:rsidRPr="008D10AE" w:rsidRDefault="00FE3D25" w:rsidP="00FE3D25">
      <w:pPr>
        <w:spacing w:before="100" w:beforeAutospacing="1" w:after="100" w:afterAutospacing="1" w:line="240" w:lineRule="auto"/>
        <w:jc w:val="both"/>
        <w:rPr>
          <w:rFonts w:ascii="Arial" w:hAnsi="Arial" w:cs="Arial"/>
          <w:sz w:val="24"/>
          <w:szCs w:val="24"/>
        </w:rPr>
      </w:pPr>
    </w:p>
    <w:p w14:paraId="63770A21"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sz w:val="24"/>
          <w:szCs w:val="24"/>
        </w:rPr>
        <w:t>In addition to stigma, attitudes towards dementia play a crucial role in determining how individuals with dementia are treated</w:t>
      </w:r>
      <w:r>
        <w:rPr>
          <w:rFonts w:ascii="Arial" w:hAnsi="Arial" w:cs="Arial"/>
          <w:sz w:val="24"/>
          <w:szCs w:val="24"/>
        </w:rPr>
        <w:fldChar w:fldCharType="begin" w:fldLock="1"/>
      </w:r>
      <w:r w:rsidR="001637FC">
        <w:rPr>
          <w:rFonts w:ascii="Arial" w:hAnsi="Arial" w:cs="Arial"/>
          <w:sz w:val="24"/>
          <w:szCs w:val="24"/>
        </w:rPr>
        <w:instrText>ADDIN CSL_CITATION {"citationItems":[{"id":"ITEM-1","itemData":{"DOI":"10.1093/ijpp/riaa015","ISSN":"0961-7671","abstract":"To describe pharmacy students’ attitude towards providing pharmaceutical care (PC) to patients with anxiety and their knowledge of psychotropic medicines (PM).A cross-sectional emailed survey was sent to all 200 pharmacy students (fourth and fifth year) in one Jordanian university. Statistical analysis included descriptive statistics and chi-square test.A total of 134 responses were received (response rate 67%). About two-thirds of students (87, 64.9%) would like to give enough time to patients with anxiety to discuss their medications. Only half of students knew correctly that alprazolam (53.7%) and diazepam (50.0%) are categorized as anxiolytics. Undertaking a course in psychiatry was significantly associated with better students’ knowledge in PM (P &amp;lt; 0.05).Despite positive attitudes towards providing PC to patients with anxiety, policy makers should include courses on psychiatric pharmacotherapy in pharmacy curricula to improve pharmacy students’ knowledge of PM.","author":[{"dropping-particle":"","family":"Jomaa","given":"Esraa E","non-dropping-particle":"Al","parse-names":false,"suffix":""},{"dropping-particle":"","family":"Abdel-Qader","given":"Derar H","non-dropping-particle":"","parse-names":false,"suffix":""},{"dropping-particle":"","family":"Silverthorne","given":"Jennifer","non-dropping-particle":"","parse-names":false,"suffix":""},{"dropping-particle":"","family":"Hamadi","given":"Salim","non-dropping-particle":"","parse-names":false,"suffix":""},{"dropping-particle":"","family":"Meslamani","given":"Ahmad Z","non-dropping-particle":"Al","parse-names":false,"suffix":""}],"container-title":"International Journal of Pharmacy Practice","id":"ITEM-1","issue":"2","issued":{"date-parts":[["2021","7"]]},"page":"196-199","title":"Pharmacy students’ attitude towards providing pharmaceutical care to patients with anxiety and their knowledge of psychotropic medicines in Jordan","type":"article-journal","volume":"29"},"uris":["http://www.mendeley.com/documents/?uuid=5cbb7a0b-9fa6-4431-a275-8e59662d052a","http://www.mendeley.com/documents/?uuid=b31a3790-c33f-4512-b34a-198aaa5f336c"]}],"mendeley":{"formattedCitation":"[9]","plainTextFormattedCitation":"[9]","previouslyFormattedCitation":"[9]"},"properties":{"noteIndex":0},"schema":"https://github.com/citation-style-language/schema/raw/master/csl-citation.json"}</w:instrText>
      </w:r>
      <w:r>
        <w:rPr>
          <w:rFonts w:ascii="Arial" w:hAnsi="Arial" w:cs="Arial"/>
          <w:sz w:val="24"/>
          <w:szCs w:val="24"/>
        </w:rPr>
        <w:fldChar w:fldCharType="separate"/>
      </w:r>
      <w:r w:rsidRPr="00B219B8">
        <w:rPr>
          <w:rFonts w:ascii="Arial" w:hAnsi="Arial" w:cs="Arial"/>
          <w:noProof/>
          <w:sz w:val="24"/>
          <w:szCs w:val="24"/>
        </w:rPr>
        <w:t>[9]</w:t>
      </w:r>
      <w:r>
        <w:rPr>
          <w:rFonts w:ascii="Arial" w:hAnsi="Arial" w:cs="Arial"/>
          <w:sz w:val="24"/>
          <w:szCs w:val="24"/>
        </w:rPr>
        <w:fldChar w:fldCharType="end"/>
      </w:r>
      <w:r w:rsidRPr="008D10AE">
        <w:rPr>
          <w:rFonts w:ascii="Arial" w:hAnsi="Arial" w:cs="Arial"/>
          <w:sz w:val="24"/>
          <w:szCs w:val="24"/>
        </w:rPr>
        <w:t xml:space="preserve">. Attitudes are defined as the evaluative judgments that individuals make about people, objects, or events based on their beliefs, feelings, and </w:t>
      </w:r>
      <w:proofErr w:type="spellStart"/>
      <w:r>
        <w:rPr>
          <w:rFonts w:ascii="Arial" w:hAnsi="Arial" w:cs="Arial"/>
          <w:sz w:val="24"/>
          <w:szCs w:val="24"/>
        </w:rPr>
        <w:t>behaviours</w:t>
      </w:r>
      <w:proofErr w:type="spellEnd"/>
      <w:r w:rsidRPr="008D10AE">
        <w:rPr>
          <w:rFonts w:ascii="Arial" w:hAnsi="Arial" w:cs="Arial"/>
          <w:sz w:val="24"/>
          <w:szCs w:val="24"/>
        </w:rPr>
        <w:t>. In the case of dementia, attitudes can range from positive and empathetic to negative and discriminatory, depending on individual and societal perceptions of the condition. Medical students, as future healthcare providers, play a critical role in shaping attitudes towards dementia in healthcare settings. However, research suggests that medical students may hold negative attitudes towards dementia, which can impact their clinical practices and the quality of care they provide to individuals living with the condition</w:t>
      </w:r>
      <w:r w:rsidR="00910B42">
        <w:rPr>
          <w:rFonts w:ascii="Arial" w:hAnsi="Arial" w:cs="Arial"/>
          <w:sz w:val="24"/>
          <w:szCs w:val="24"/>
        </w:rPr>
        <w:t xml:space="preserve"> </w:t>
      </w:r>
      <w:r w:rsidR="00910B42">
        <w:rPr>
          <w:rFonts w:ascii="Arial" w:hAnsi="Arial" w:cs="Arial"/>
          <w:sz w:val="24"/>
          <w:szCs w:val="24"/>
        </w:rPr>
        <w:fldChar w:fldCharType="begin" w:fldLock="1"/>
      </w:r>
      <w:r w:rsidR="008105F7">
        <w:rPr>
          <w:rFonts w:ascii="Arial" w:hAnsi="Arial" w:cs="Arial"/>
          <w:sz w:val="24"/>
          <w:szCs w:val="24"/>
        </w:rPr>
        <w:instrText>ADDIN CSL_CITATION {"citationItems":[{"id":"ITEM-1","itemData":{"DOI":"10.4102/hsag.v29i0.2692","ISSN":"20719736","abstract":"Background: Dementia is a significant public health concern and a leading cause of disability and dependency among elderly individuals globally. However, there is currently limited research examining the perceptions and attitudes of healthcare providers, including nursing students, in Namibia. Aim: This study aimed to examine nursing students’ perceptions and attitudes of caring for patients with dementia. Setting: The study was conducted at two university campuses in Namibia. Methods: A quantitative correlational design was employed to conveniently recruit 196 third-and fourth-year nursing students between April and August 2023, utilising the Geriatric In-Hospital Nursing Care Questionnaire (GerINCQ) online survey. Data were analysed using SPSSv28 for descriptive and inferential statistics. Results: The perception score ranged from 2.26 to 2.43, indicating negative attitudes and perceptions towards dementia care. The highest mean perception of 2.43 (95% CI = 2.3–2.55) was on reacting to challenging behaviour and the lowest was on professional responsibility 2.26 (95% CI = 2.12–2.4). Correlations were observed between age and performed interventions (r = 0.66; p = 0.01) and gender and dementia-sensitive care (r = 0.52; p = 0.01). Conclusion: The study revealed unfavourable attitudes and perceptions towards dementia care among nursing students, contrary to the optimistic anticipation. The results highlight the urgent need to develop and integrate dementia care strategies and practices into nursing education curricula. Contribution: This study provides valuable data for informing quality assurance initiatives aimed at improving nursing training in dementia care.","author":[{"dropping-particle":"","family":"Tomas","given":"Nestor","non-dropping-particle":"","parse-names":false,"suffix":""},{"dropping-particle":"","family":"Mangundu","given":"Andrias M.","non-dropping-particle":"","parse-names":false,"suffix":""}],"container-title":"Health SA Gesondheid","id":"ITEM-1","issued":{"date-parts":[["2024"]]},"page":"1-8","title":"Nursing students’ perceptions and attitudes towards dementia care in Namibia","type":"article-journal","volume":"29"},"uris":["http://www.mendeley.com/documents/?uuid=3f39dc6a-13c7-4e6a-b970-848d3ba58179"]}],"mendeley":{"formattedCitation":"[10]","plainTextFormattedCitation":"[10]","previouslyFormattedCitation":"[10]"},"properties":{"noteIndex":0},"schema":"https://github.com/citation-style-language/schema/raw/master/csl-citation.json"}</w:instrText>
      </w:r>
      <w:r w:rsidR="00910B42">
        <w:rPr>
          <w:rFonts w:ascii="Arial" w:hAnsi="Arial" w:cs="Arial"/>
          <w:sz w:val="24"/>
          <w:szCs w:val="24"/>
        </w:rPr>
        <w:fldChar w:fldCharType="separate"/>
      </w:r>
      <w:r w:rsidR="00910B42" w:rsidRPr="00910B42">
        <w:rPr>
          <w:rFonts w:ascii="Arial" w:hAnsi="Arial" w:cs="Arial"/>
          <w:noProof/>
          <w:sz w:val="24"/>
          <w:szCs w:val="24"/>
        </w:rPr>
        <w:t>[10]</w:t>
      </w:r>
      <w:r w:rsidR="00910B42">
        <w:rPr>
          <w:rFonts w:ascii="Arial" w:hAnsi="Arial" w:cs="Arial"/>
          <w:sz w:val="24"/>
          <w:szCs w:val="24"/>
        </w:rPr>
        <w:fldChar w:fldCharType="end"/>
      </w:r>
    </w:p>
    <w:p w14:paraId="68CC92B1"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sz w:val="24"/>
          <w:szCs w:val="24"/>
        </w:rPr>
        <w:t>The impact of stigma towards dementia is significant and far-reaching, both for individuals with dementia and the broader community. Stigmatization can contribute to social isolation, delay in diagnosis, and reduced access to healthcare services for those with dementia. Furthermore, stigma can deter people from seeking early diagnosis and treatment, resulting in poorer outcomes and diminished quality of life. This can be particularly problematic in low-income countries, where stigma and misinformation about dementia may be more pervasive, and the availability of healthcare services and educ</w:t>
      </w:r>
      <w:r>
        <w:rPr>
          <w:rFonts w:ascii="Arial" w:hAnsi="Arial" w:cs="Arial"/>
          <w:sz w:val="24"/>
          <w:szCs w:val="24"/>
        </w:rPr>
        <w:t xml:space="preserve">ational programs may be limited </w:t>
      </w:r>
      <w:r>
        <w:rPr>
          <w:rFonts w:ascii="Arial" w:hAnsi="Arial" w:cs="Arial"/>
          <w:sz w:val="24"/>
          <w:szCs w:val="24"/>
        </w:rPr>
        <w:fldChar w:fldCharType="begin" w:fldLock="1"/>
      </w:r>
      <w:r w:rsidR="008105F7">
        <w:rPr>
          <w:rFonts w:ascii="Arial" w:hAnsi="Arial" w:cs="Arial"/>
          <w:sz w:val="24"/>
          <w:szCs w:val="24"/>
        </w:rPr>
        <w:instrText>ADDIN CSL_CITATION {"citationItems":[{"id":"ITEM-1","itemData":{"DOI":"10.1080/02701960.2021.1999938","ISSN":"15453847","PMID":"34791985","abstract":"The lack of public awareness and understanding of dementia affects the experiences of people living with dementia and their families. Dementia education and training for the general public have been gradually disseminated. We conducted a systematic scoping review guided by PRISMA-ScR to map existing evidence and identify dementia education and training available to the general public. From the four electronic databases, 41 articles were identified. Dementia education has three main purposes: dementia friendliness (n = 25), early diagnosis/help-seeking (n = 10), and prevention (n = 6). Education aimed at dementia friendliness was delivered in the community (n = 6), schools/universities (n =14), workplaces (n = 2), and online (n = 3). Interventions aimed at early diagnosis and prevention were often conducted in communities with middle-aged and older people or specific ethnic groups. Eleven dementia-friendliness studies reported on the interaction with people living with dementia to reduce stigma. Dementia knowledge, attitudes, and preventive behaviors were assessed as outcomes. Though randomized controlled trials were conducted in early diagnosis and prevention studies via e-learning, they were not performed in dementia-friendliness studies. Therefore, there is a need to further accumulate evidence of dementia education for each of these purposes.","author":[{"dropping-particle":"","family":"Matsumoto","given":"Hiroshige","non-dropping-particle":"","parse-names":false,"suffix":""},{"dropping-particle":"","family":"Maeda","given":"Akari","non-dropping-particle":"","parse-names":false,"suffix":""},{"dropping-particle":"","family":"Igarashi","given":"Ayumi","non-dropping-particle":"","parse-names":false,"suffix":""},{"dropping-particle":"","family":"Weller","given":"Carolina","non-dropping-particle":"","parse-names":false,"suffix":""},{"dropping-particle":"","family":"Yamamoto-Mitani","given":"Noriko","non-dropping-particle":"","parse-names":false,"suffix":""}],"container-title":"Gerontology and Geriatrics Education","id":"ITEM-1","issue":"2","issued":{"date-parts":[["2023"]]},"page":"154-184","publisher":"Routledge","title":"Dementia education and training for the general public: A scoping review","type":"article-journal","volume":"44"},"uris":["http://www.mendeley.com/documents/?uuid=fb8bd039-385f-4d32-a2b1-101126067da5","http://www.mendeley.com/documents/?uuid=6be5f7a1-b515-4361-8001-9ae46e155840"]}],"mendeley":{"formattedCitation":"[11]","plainTextFormattedCitation":"[11]","previouslyFormattedCitation":"[11]"},"properties":{"noteIndex":0},"schema":"https://github.com/citation-style-language/schema/raw/master/csl-citation.json"}</w:instrText>
      </w:r>
      <w:r>
        <w:rPr>
          <w:rFonts w:ascii="Arial" w:hAnsi="Arial" w:cs="Arial"/>
          <w:sz w:val="24"/>
          <w:szCs w:val="24"/>
        </w:rPr>
        <w:fldChar w:fldCharType="separate"/>
      </w:r>
      <w:r w:rsidR="00910B42" w:rsidRPr="00910B42">
        <w:rPr>
          <w:rFonts w:ascii="Arial" w:hAnsi="Arial" w:cs="Arial"/>
          <w:noProof/>
          <w:sz w:val="24"/>
          <w:szCs w:val="24"/>
        </w:rPr>
        <w:t>[11]</w:t>
      </w:r>
      <w:r>
        <w:rPr>
          <w:rFonts w:ascii="Arial" w:hAnsi="Arial" w:cs="Arial"/>
          <w:sz w:val="24"/>
          <w:szCs w:val="24"/>
        </w:rPr>
        <w:fldChar w:fldCharType="end"/>
      </w:r>
      <w:r>
        <w:rPr>
          <w:rFonts w:ascii="Arial" w:hAnsi="Arial" w:cs="Arial"/>
          <w:sz w:val="24"/>
          <w:szCs w:val="24"/>
        </w:rPr>
        <w:fldChar w:fldCharType="begin" w:fldLock="1"/>
      </w:r>
      <w:r w:rsidR="008105F7">
        <w:rPr>
          <w:rFonts w:ascii="Arial" w:hAnsi="Arial" w:cs="Arial"/>
          <w:sz w:val="24"/>
          <w:szCs w:val="24"/>
        </w:rPr>
        <w:instrText>ADDIN CSL_CITATION {"citationItems":[{"id":"ITEM-1","itemData":{"DOI":"10.3389/fpsyt.2023.1278944","ISSN":"1664-0640","abstract":"Dementia is a global health concern that affects individuals irrespective of their cultural or linguistic backgrounds. However, research has long recognized the pronounced stigma associated with dementia, particularly within Culturally and Linguistically Diverse (CALD) communities. This article seeks to summarize the underlying factors contributing to the heightened levels of dementia stigma within CALD communities, through a review of the literature. Our examination shows that cultural beliefs, language barriers, limited awareness, and the impact of migration on perceptions of aging and cognitive decline are contributing factors. Consequently, our analysis highlights the need for tailored, culturally appropriate interventions aimed at mitigating stigma and enhancing dementia care within CALD populations. Our proposed solutions, built on a social-ecological approach, highlights the critical role of collaborative efforts involving policymakers, healthcare providers, community organizations, and CALD community members in fostering a more dementia-inclusive society. This perspective piece aims to shed light on the distinct challenges faced by CALD communities, while advocating for a holistic approach to redefine perceptions and care strategies tailored to these populations.","author":[{"dropping-particle":"","family":"Siette","given":"Joyce","non-dropping-particle":"","parse-names":false,"suffix":""},{"dropping-particle":"","family":"Meka","given":"Anjani","non-dropping-particle":"","parse-names":false,"suffix":""},{"dropping-particle":"","family":"Antoniades","given":"Josefine","non-dropping-particle":"","parse-names":false,"suffix":""}],"container-title":"Frontiers in Psychiatry","id":"ITEM-1","issued":{"date-parts":[["2023","8"]]},"page":"1278944","title":"Breaking the barriers: overcoming dementia-related stigma in minority communities","type":"article-journal","volume":"14"},"uris":["http://www.mendeley.com/documents/?uuid=6f6458a0-083b-4620-b7b0-e29419681485","http://www.mendeley.com/documents/?uuid=229cb78e-ec75-48ed-83da-e0aa3b7021fc"]}],"mendeley":{"formattedCitation":"[12]","plainTextFormattedCitation":"[12]","previouslyFormattedCitation":"[12]"},"properties":{"noteIndex":0},"schema":"https://github.com/citation-style-language/schema/raw/master/csl-citation.json"}</w:instrText>
      </w:r>
      <w:r>
        <w:rPr>
          <w:rFonts w:ascii="Arial" w:hAnsi="Arial" w:cs="Arial"/>
          <w:sz w:val="24"/>
          <w:szCs w:val="24"/>
        </w:rPr>
        <w:fldChar w:fldCharType="separate"/>
      </w:r>
      <w:r w:rsidR="00910B42" w:rsidRPr="00910B42">
        <w:rPr>
          <w:rFonts w:ascii="Arial" w:hAnsi="Arial" w:cs="Arial"/>
          <w:noProof/>
          <w:sz w:val="24"/>
          <w:szCs w:val="24"/>
        </w:rPr>
        <w:t>[12]</w:t>
      </w:r>
      <w:r>
        <w:rPr>
          <w:rFonts w:ascii="Arial" w:hAnsi="Arial" w:cs="Arial"/>
          <w:sz w:val="24"/>
          <w:szCs w:val="24"/>
        </w:rPr>
        <w:fldChar w:fldCharType="end"/>
      </w:r>
      <w:r>
        <w:rPr>
          <w:rFonts w:ascii="Arial" w:hAnsi="Arial" w:cs="Arial"/>
          <w:sz w:val="24"/>
          <w:szCs w:val="24"/>
        </w:rPr>
        <w:fldChar w:fldCharType="begin" w:fldLock="1"/>
      </w:r>
      <w:r w:rsidR="00910B42">
        <w:rPr>
          <w:rFonts w:ascii="Arial" w:hAnsi="Arial" w:cs="Arial"/>
          <w:sz w:val="24"/>
          <w:szCs w:val="24"/>
        </w:rPr>
        <w:instrText>ADDIN CSL_CITATION {"citationItems":[{"id":"ITEM-1","itemData":{"author":[{"dropping-particle":"","family":"Brigiano","given":"Marco","non-dropping-particle":"","parse-names":false,"suffix":""},{"dropping-particle":"","family":"Calabrese","given":"Lara","non-dropping-particle":"","parse-names":false,"suffix":""},{"dropping-particle":"","family":"Chirico","given":"Ilaria","non-dropping-particle":"","parse-names":false,"suffix":""},{"dropping-particle":"","family":"Trolese","given":"Sara","non-dropping-particle":"","parse-names":false,"suffix":""},{"dropping-particle":"","family":"Quartarone","given":"Martina","non-dropping-particle":"","parse-names":false,"suffix":""},{"dropping-particle":"","family":"Forte","given":"Ludovica","non-dropping-particle":"","parse-names":false,"suffix":""},{"dropping-particle":"","family":"Annini","given":"Alice","non-dropping-particle":"","parse-names":false,"suffix":""},{"dropping-particle":"","family":"Murri","given":"Martino Belvederi","non-dropping-particle":"","parse-names":false,"suffix":""},{"dropping-particle":"","family":"Chattat","given":"Rabih","non-dropping-particle":"","parse-names":false,"suffix":""}],"id":"ITEM-1","issued":{"date-parts":[["2025"]]},"page":"1-26","title":"Within My Walls , I Escape Being Underestimated : A Systematic Review and Thematic Synthesis of Stigma and Help-Seeking in Dementia","type":"article-journal"},"uris":["http://www.mendeley.com/documents/?uuid=d358da70-1c5c-43d7-9011-aece4764312f","http://www.mendeley.com/documents/?uuid=eb4e687e-8401-4c90-8edc-82f9338779f3"]}],"mendeley":{"formattedCitation":"[8]","plainTextFormattedCitation":"[8]","previouslyFormattedCitation":"[8]"},"properties":{"noteIndex":0},"schema":"https://github.com/citation-style-language/schema/raw/master/csl-citation.json"}</w:instrText>
      </w:r>
      <w:r>
        <w:rPr>
          <w:rFonts w:ascii="Arial" w:hAnsi="Arial" w:cs="Arial"/>
          <w:sz w:val="24"/>
          <w:szCs w:val="24"/>
        </w:rPr>
        <w:fldChar w:fldCharType="separate"/>
      </w:r>
      <w:r w:rsidR="009C3BF9" w:rsidRPr="009C3BF9">
        <w:rPr>
          <w:rFonts w:ascii="Arial" w:hAnsi="Arial" w:cs="Arial"/>
          <w:noProof/>
          <w:sz w:val="24"/>
          <w:szCs w:val="24"/>
        </w:rPr>
        <w:t>[8]</w:t>
      </w:r>
      <w:r>
        <w:rPr>
          <w:rFonts w:ascii="Arial" w:hAnsi="Arial" w:cs="Arial"/>
          <w:sz w:val="24"/>
          <w:szCs w:val="24"/>
        </w:rPr>
        <w:fldChar w:fldCharType="end"/>
      </w:r>
      <w:r w:rsidRPr="008D10AE">
        <w:rPr>
          <w:rFonts w:ascii="Arial" w:hAnsi="Arial" w:cs="Arial"/>
          <w:sz w:val="24"/>
          <w:szCs w:val="24"/>
        </w:rPr>
        <w:t xml:space="preserve"> </w:t>
      </w:r>
      <w:r>
        <w:rPr>
          <w:rFonts w:ascii="Arial" w:hAnsi="Arial" w:cs="Arial"/>
          <w:sz w:val="24"/>
          <w:szCs w:val="24"/>
        </w:rPr>
        <w:fldChar w:fldCharType="begin" w:fldLock="1"/>
      </w:r>
      <w:r w:rsidR="008105F7">
        <w:rPr>
          <w:rFonts w:ascii="Arial" w:hAnsi="Arial" w:cs="Arial"/>
          <w:sz w:val="24"/>
          <w:szCs w:val="24"/>
        </w:rPr>
        <w:instrText>ADDIN CSL_CITATION {"citationItems":[{"id":"ITEM-1","itemData":{"DOI":"10.1093/jphsr/rmab007","ISSN":"1759-8893","abstract":"Evaluating Jordanian pharmacists’ roles in psychiatry from psychiatrists perspective.An electronic survey was sent to 100 psychiatrists registered in the Jordanian Psychiatrists Association. Statistical analysis included descriptive statistics and multivariate logistic regression.A total of 80 psychiatrists completed the survey (response rate 80%). Most psychiatrists thought that pharmacists are unable to give individuals with mental illness enough time to discuss their medications (62/80, 77.6%) and to monitor psychotropic medications (PM) efficacy (50/80, 62.6%). Around half of respondents thought that, in the future, pharmacists would not be able to suggest PM for patients (42/80, 52.6%), nor changes in PM dosages (37/80, 46.3%). Most psychiatrists emphasized the importance of psychiatric courses to improve pharmacists’ role.Although psychiatrists were generally not satisfied with the current role of pharmacists, they had positive expectations about pharmacists’ competency to do certain activities and to assist them in designing drug therapy plans.","author":[{"dropping-particle":"","family":"Abdel-Qader","given":"Derar H","non-dropping-particle":"","parse-names":false,"suffix":""},{"dropping-particle":"","family":"Jomaa","given":"Esraa E","non-dropping-particle":"Al","parse-names":false,"suffix":""},{"dropping-particle":"","family":"Silverthorne","given":"Jennifer","non-dropping-particle":"","parse-names":false,"suffix":""},{"dropping-particle":"","family":"Shnaigat","given":"Walid","non-dropping-particle":"","parse-names":false,"suffix":""},{"dropping-particle":"","family":"Hamadi","given":"Salim","non-dropping-particle":"","parse-names":false,"suffix":""},{"dropping-particle":"","family":"Meslamani","given":"Ahmad Z","non-dropping-particle":"Al","parse-names":false,"suffix":""}],"container-title":"Journal of Pharmaceutical Health Services Research","id":"ITEM-1","issue":"2","issued":{"date-parts":[["2021","7"]]},"page":"317-320","title":"Evaluating psychiatrists’ attitudes and expectations about pharmacists’ role in psychiatry in Jordan","type":"article-journal","volume":"12"},"uris":["http://www.mendeley.com/documents/?uuid=cf7e4ca7-2fde-444a-aff8-f6257d7f02cc","http://www.mendeley.com/documents/?uuid=953f17c3-6069-4954-ae60-3e6691a245e6"]}],"mendeley":{"formattedCitation":"[13]","plainTextFormattedCitation":"[13]","previouslyFormattedCitation":"[13]"},"properties":{"noteIndex":0},"schema":"https://github.com/citation-style-language/schema/raw/master/csl-citation.json"}</w:instrText>
      </w:r>
      <w:r>
        <w:rPr>
          <w:rFonts w:ascii="Arial" w:hAnsi="Arial" w:cs="Arial"/>
          <w:sz w:val="24"/>
          <w:szCs w:val="24"/>
        </w:rPr>
        <w:fldChar w:fldCharType="separate"/>
      </w:r>
      <w:r w:rsidR="00910B42" w:rsidRPr="00910B42">
        <w:rPr>
          <w:rFonts w:ascii="Arial" w:hAnsi="Arial" w:cs="Arial"/>
          <w:noProof/>
          <w:sz w:val="24"/>
          <w:szCs w:val="24"/>
        </w:rPr>
        <w:t>[13]</w:t>
      </w:r>
      <w:r>
        <w:rPr>
          <w:rFonts w:ascii="Arial" w:hAnsi="Arial" w:cs="Arial"/>
          <w:sz w:val="24"/>
          <w:szCs w:val="24"/>
        </w:rPr>
        <w:fldChar w:fldCharType="end"/>
      </w:r>
      <w:r>
        <w:rPr>
          <w:rFonts w:ascii="Arial" w:hAnsi="Arial" w:cs="Arial"/>
          <w:sz w:val="24"/>
          <w:szCs w:val="24"/>
        </w:rPr>
        <w:t>.</w:t>
      </w:r>
    </w:p>
    <w:p w14:paraId="0B247010" w14:textId="77777777" w:rsidR="00FE3D25" w:rsidRPr="007855B1" w:rsidRDefault="00FE3D25" w:rsidP="00FE3D25">
      <w:pPr>
        <w:spacing w:before="100" w:beforeAutospacing="1" w:after="100" w:afterAutospacing="1" w:line="240" w:lineRule="auto"/>
        <w:jc w:val="both"/>
        <w:rPr>
          <w:rFonts w:ascii="Arial" w:hAnsi="Arial" w:cs="Arial"/>
          <w:sz w:val="24"/>
          <w:szCs w:val="24"/>
        </w:rPr>
      </w:pPr>
      <w:r w:rsidRPr="007855B1">
        <w:rPr>
          <w:rFonts w:ascii="Arial" w:hAnsi="Arial" w:cs="Arial"/>
          <w:sz w:val="24"/>
          <w:szCs w:val="24"/>
        </w:rPr>
        <w:lastRenderedPageBreak/>
        <w:t xml:space="preserve">Stigma related to dementia is a global issue, affecting both high- and low-income countries. In Western nations like </w:t>
      </w:r>
      <w:r w:rsidR="008105F7">
        <w:rPr>
          <w:rFonts w:ascii="Arial" w:hAnsi="Arial" w:cs="Arial"/>
          <w:sz w:val="24"/>
          <w:szCs w:val="24"/>
        </w:rPr>
        <w:t>Dublin</w:t>
      </w:r>
      <w:r w:rsidRPr="007855B1">
        <w:rPr>
          <w:rFonts w:ascii="Arial" w:hAnsi="Arial" w:cs="Arial"/>
          <w:sz w:val="24"/>
          <w:szCs w:val="24"/>
        </w:rPr>
        <w:t>, growing awareness has not eliminated the persistent perception of dementia as a loss of personhood, leading to societal devaluat</w:t>
      </w:r>
      <w:r w:rsidR="008105F7">
        <w:rPr>
          <w:rFonts w:ascii="Arial" w:hAnsi="Arial" w:cs="Arial"/>
          <w:sz w:val="24"/>
          <w:szCs w:val="24"/>
        </w:rPr>
        <w:t xml:space="preserve">ion of affected individuals </w:t>
      </w:r>
      <w:r w:rsidR="008105F7">
        <w:rPr>
          <w:rFonts w:ascii="Arial" w:hAnsi="Arial" w:cs="Arial"/>
          <w:sz w:val="24"/>
          <w:szCs w:val="24"/>
        </w:rPr>
        <w:fldChar w:fldCharType="begin" w:fldLock="1"/>
      </w:r>
      <w:r w:rsidR="005C2287">
        <w:rPr>
          <w:rFonts w:ascii="Arial" w:hAnsi="Arial" w:cs="Arial"/>
          <w:sz w:val="24"/>
          <w:szCs w:val="24"/>
        </w:rPr>
        <w:instrText>ADDIN CSL_CITATION {"citationItems":[{"id":"ITEM-1","itemData":{"author":[{"dropping-particle":"","family":"Ireland","given":"Trinity College","non-dropping-particle":"","parse-names":false,"suffix":""}],"container-title":"School of Nursing and Midwifery Ireland","id":"ITEM-1","issue":"August","issued":{"date-parts":[["2006"]]},"page":"1-116","title":"Perceptions of Stigma in Dementia : An Exploratory Study The School of Nursing and Midwifery Trinity College Dublin","type":"article-journal"},"uris":["http://www.mendeley.com/documents/?uuid=d58865b8-17ef-43b5-a27f-8adfcd63d067"]}],"mendeley":{"formattedCitation":"[14]","plainTextFormattedCitation":"[14]","previouslyFormattedCitation":"[14]"},"properties":{"noteIndex":0},"schema":"https://github.com/citation-style-language/schema/raw/master/csl-citation.json"}</w:instrText>
      </w:r>
      <w:r w:rsidR="008105F7">
        <w:rPr>
          <w:rFonts w:ascii="Arial" w:hAnsi="Arial" w:cs="Arial"/>
          <w:sz w:val="24"/>
          <w:szCs w:val="24"/>
        </w:rPr>
        <w:fldChar w:fldCharType="separate"/>
      </w:r>
      <w:r w:rsidR="008105F7" w:rsidRPr="008105F7">
        <w:rPr>
          <w:rFonts w:ascii="Arial" w:hAnsi="Arial" w:cs="Arial"/>
          <w:noProof/>
          <w:sz w:val="24"/>
          <w:szCs w:val="24"/>
        </w:rPr>
        <w:t>[14]</w:t>
      </w:r>
      <w:r w:rsidR="008105F7">
        <w:rPr>
          <w:rFonts w:ascii="Arial" w:hAnsi="Arial" w:cs="Arial"/>
          <w:sz w:val="24"/>
          <w:szCs w:val="24"/>
        </w:rPr>
        <w:fldChar w:fldCharType="end"/>
      </w:r>
      <w:r w:rsidRPr="007855B1">
        <w:rPr>
          <w:rFonts w:ascii="Arial" w:hAnsi="Arial" w:cs="Arial"/>
          <w:sz w:val="24"/>
          <w:szCs w:val="24"/>
        </w:rPr>
        <w:t xml:space="preserve">. In contrast, in many low-resource settings, particularly in Africa, stigma is reinforced by cultural beliefs that attribute dementia to witchcraft, divine punishment, or normal </w:t>
      </w:r>
      <w:r>
        <w:rPr>
          <w:rFonts w:ascii="Arial" w:hAnsi="Arial" w:cs="Arial"/>
          <w:sz w:val="24"/>
          <w:szCs w:val="24"/>
        </w:rPr>
        <w:t>ageing</w:t>
      </w:r>
      <w:r w:rsidR="005C2287">
        <w:rPr>
          <w:rFonts w:ascii="Arial" w:hAnsi="Arial" w:cs="Arial"/>
          <w:sz w:val="24"/>
          <w:szCs w:val="24"/>
        </w:rPr>
        <w:t xml:space="preserve"> </w:t>
      </w:r>
      <w:r w:rsidR="005C2287">
        <w:rPr>
          <w:rFonts w:ascii="Arial" w:hAnsi="Arial" w:cs="Arial"/>
          <w:sz w:val="24"/>
          <w:szCs w:val="24"/>
        </w:rPr>
        <w:fldChar w:fldCharType="begin" w:fldLock="1"/>
      </w:r>
      <w:r w:rsidR="005C2287">
        <w:rPr>
          <w:rFonts w:ascii="Arial" w:hAnsi="Arial" w:cs="Arial"/>
          <w:sz w:val="24"/>
          <w:szCs w:val="24"/>
        </w:rPr>
        <w:instrText>ADDIN CSL_CITATION {"citationItems":[{"id":"ITEM-1","itemData":{"DOI":"10.21203/rs.3.rs-5519592/v1","abstract":"&lt;title&gt;Abstract&lt;/title&gt; Dementia is a significant global health issue, yet cultural beliefs and stigma surrounding the condition can profoundly impact diagnosis, care, and management. Cultural differences influence the perception of dementia, and stigma often delays timely diagnosis and effective caregiving. This scoping review investigates how cultural beliefs and stigma affect dementia diagnosis, caregiving responsibilities, treatment-seeking behaviours, and healthcare access across diverse cultural contexts. A systematic search of five databases (PubMed, Google Scholar, Scopus, PsycINFO, and CINAHL) was conducted, focusing on studies published between 2000 and 2024. A total of 37 studies were included in the review, encompassing both qualitative and quantitative research. The findings indicate that in many low- and middle-income countries, dementia is perceived through spiritual or supernatural lenses, resulting in delays in diagnosis and treatment. Stigma was identified as a significant barrier to healthcare access, with both individuals with dementia and their caregivers avoiding medical help due to the fear of social exclusion. In collectivist societies, caregiving responsibilities predominantly fall on families, often leading to emotional and physical strain. Several studies highlighted the success of culturally tailored interventions in reducing stigma and improving dementia awareness. Culturally sensitive strategies, including awareness campaigns and professional training programs, were found to be effective in improving dementia care and reducing stigma. The review underscores the need for culturally appropriate interventions to facilitate early diagnosis and provide better support for families. Future research should focus on developing and evaluating such interventions to improve dementia care across diverse populations.","author":[{"dropping-particle":"","family":"R","given":"Jeevitha Gowda","non-dropping-particle":"","parse-names":false,"suffix":""},{"dropping-particle":"","family":"Guruprasad","given":"Parimala","non-dropping-particle":"","parse-names":false,"suffix":""}],"id":"ITEM-1","issue":"January","issued":{"date-parts":[["2024"]]},"title":"The Impact of Cultural Beliefs and Stigma on Dementia Care and Diagnosis: A Scoping Review","type":"article-journal"},"uris":["http://www.mendeley.com/documents/?uuid=26af3d9d-d0a8-45b5-9e81-f64f05071e0b"]}],"mendeley":{"formattedCitation":"[15]","plainTextFormattedCitation":"[15]","previouslyFormattedCitation":"[15]"},"properties":{"noteIndex":0},"schema":"https://github.com/citation-style-language/schema/raw/master/csl-citation.json"}</w:instrText>
      </w:r>
      <w:r w:rsidR="005C2287">
        <w:rPr>
          <w:rFonts w:ascii="Arial" w:hAnsi="Arial" w:cs="Arial"/>
          <w:sz w:val="24"/>
          <w:szCs w:val="24"/>
        </w:rPr>
        <w:fldChar w:fldCharType="separate"/>
      </w:r>
      <w:r w:rsidR="005C2287" w:rsidRPr="005C2287">
        <w:rPr>
          <w:rFonts w:ascii="Arial" w:hAnsi="Arial" w:cs="Arial"/>
          <w:noProof/>
          <w:sz w:val="24"/>
          <w:szCs w:val="24"/>
        </w:rPr>
        <w:t>[15]</w:t>
      </w:r>
      <w:r w:rsidR="005C2287">
        <w:rPr>
          <w:rFonts w:ascii="Arial" w:hAnsi="Arial" w:cs="Arial"/>
          <w:sz w:val="24"/>
          <w:szCs w:val="24"/>
        </w:rPr>
        <w:fldChar w:fldCharType="end"/>
      </w:r>
      <w:r w:rsidRPr="007855B1">
        <w:rPr>
          <w:rFonts w:ascii="Arial" w:hAnsi="Arial" w:cs="Arial"/>
          <w:sz w:val="24"/>
          <w:szCs w:val="24"/>
        </w:rPr>
        <w:t>. These misconceptions hinder recognition of dementia as a medical condition, contributing to inadequate diagnostic services and limited support systems. While recent initiatives have aimed to improve awareness and challenge harmful beliefs, stigma remains deeply rooted acro</w:t>
      </w:r>
      <w:r w:rsidR="005C2287">
        <w:rPr>
          <w:rFonts w:ascii="Arial" w:hAnsi="Arial" w:cs="Arial"/>
          <w:sz w:val="24"/>
          <w:szCs w:val="24"/>
        </w:rPr>
        <w:t xml:space="preserve">ss many African communities </w:t>
      </w:r>
      <w:r w:rsidR="005C2287">
        <w:rPr>
          <w:rFonts w:ascii="Arial" w:hAnsi="Arial" w:cs="Arial"/>
          <w:sz w:val="24"/>
          <w:szCs w:val="24"/>
        </w:rPr>
        <w:fldChar w:fldCharType="begin" w:fldLock="1"/>
      </w:r>
      <w:r w:rsidR="008B3EAD">
        <w:rPr>
          <w:rFonts w:ascii="Arial" w:hAnsi="Arial" w:cs="Arial"/>
          <w:sz w:val="24"/>
          <w:szCs w:val="24"/>
        </w:rPr>
        <w:instrText>ADDIN CSL_CITATION {"citationItems":[{"id":"ITEM-1","itemData":{"DOI":"10.7759/cureus.39549","ISSN":"2168-8184","PMID":"37250612","abstract":"Stigma, characterized by negative stereotypes, prejudice, and discrimination, is a significant impediment in psychiatric care, deterring the timely provision of this care and hindering optimal health outcomes. Pervasive in all aspects of psychiatric care, stigma leads to delayed treatment, increased morbidity, and diminished quality of life for those with poor mental health. Hence, better understanding the impact of stigma across different cultural contexts is critically essential, aiming to inform culturally nuanced strategies to minimize its consequences and contribute to a more equitable and effective psychiatric care system. The purpose of the present literature review is twofold (i) to examine the existing research on the stigma surrounding psychiatry across different cultural contexts and (ii) to identify the commonalities and differences in the nature, magnitude, and consequences of this stigma in different cultures in the psychiatry field. In addition, potential strategies for addressing stigma will be proposed. The review covers a range of countries and cultural settings, emphasizing the importance of understanding cultural nuances to combat stigma and promote mental health awareness globally.","author":[{"dropping-particle":"","family":"Ahad","given":"Ahmed A","non-dropping-particle":"","parse-names":false,"suffix":""},{"dropping-particle":"","family":"Sanchez-Gonzalez","given":"Marcos","non-dropping-particle":"","parse-names":false,"suffix":""},{"dropping-particle":"","family":"Junquera","given":"Patricia","non-dropping-particle":"","parse-names":false,"suffix":""}],"container-title":"Cureus","id":"ITEM-1","issue":"5","issued":{"date-parts":[["2023"]]},"title":"Understanding and Addressing Mental Health Stigma Across Cultures for Improving Psychiatric Care: A Narrative Review","type":"article-journal","volume":"15"},"uris":["http://www.mendeley.com/documents/?uuid=ac74d151-8338-4151-a222-bb0ff8b876a2"]}],"mendeley":{"formattedCitation":"[16]","plainTextFormattedCitation":"[16]","previouslyFormattedCitation":"[16]"},"properties":{"noteIndex":0},"schema":"https://github.com/citation-style-language/schema/raw/master/csl-citation.json"}</w:instrText>
      </w:r>
      <w:r w:rsidR="005C2287">
        <w:rPr>
          <w:rFonts w:ascii="Arial" w:hAnsi="Arial" w:cs="Arial"/>
          <w:sz w:val="24"/>
          <w:szCs w:val="24"/>
        </w:rPr>
        <w:fldChar w:fldCharType="separate"/>
      </w:r>
      <w:r w:rsidR="005C2287" w:rsidRPr="005C2287">
        <w:rPr>
          <w:rFonts w:ascii="Arial" w:hAnsi="Arial" w:cs="Arial"/>
          <w:noProof/>
          <w:sz w:val="24"/>
          <w:szCs w:val="24"/>
        </w:rPr>
        <w:t>[16]</w:t>
      </w:r>
      <w:r w:rsidR="005C2287">
        <w:rPr>
          <w:rFonts w:ascii="Arial" w:hAnsi="Arial" w:cs="Arial"/>
          <w:sz w:val="24"/>
          <w:szCs w:val="24"/>
        </w:rPr>
        <w:fldChar w:fldCharType="end"/>
      </w:r>
      <w:r w:rsidRPr="007855B1">
        <w:rPr>
          <w:rFonts w:ascii="Arial" w:hAnsi="Arial" w:cs="Arial"/>
          <w:sz w:val="24"/>
          <w:szCs w:val="24"/>
        </w:rPr>
        <w:t>.</w:t>
      </w:r>
    </w:p>
    <w:p w14:paraId="0FEBCE89" w14:textId="77777777" w:rsidR="00FE3D25" w:rsidRPr="00155F76" w:rsidRDefault="00FE3D25" w:rsidP="00E0341D">
      <w:pPr>
        <w:spacing w:before="100" w:beforeAutospacing="1" w:after="100" w:afterAutospacing="1" w:line="240" w:lineRule="auto"/>
        <w:jc w:val="both"/>
        <w:rPr>
          <w:rFonts w:ascii="Arial" w:hAnsi="Arial" w:cs="Arial"/>
          <w:sz w:val="24"/>
          <w:szCs w:val="24"/>
        </w:rPr>
      </w:pPr>
      <w:r w:rsidRPr="00155F76">
        <w:rPr>
          <w:rFonts w:ascii="Arial" w:hAnsi="Arial" w:cs="Arial"/>
          <w:sz w:val="24"/>
          <w:szCs w:val="24"/>
          <w:highlight w:val="yellow"/>
        </w:rPr>
        <w:t>In Tanzania, dementia is increasingly recognized as a public health concern due to the ageing population; however, awareness and understanding of the condition remain limited. Stigma is widespread, with many viewing dementia as a natural part of ageing or attribu</w:t>
      </w:r>
      <w:r w:rsidR="008B3EAD">
        <w:rPr>
          <w:rFonts w:ascii="Arial" w:hAnsi="Arial" w:cs="Arial"/>
          <w:sz w:val="24"/>
          <w:szCs w:val="24"/>
          <w:highlight w:val="yellow"/>
        </w:rPr>
        <w:t xml:space="preserve">ting it to spiritual causes </w:t>
      </w:r>
      <w:r w:rsidR="008B3EAD">
        <w:rPr>
          <w:rFonts w:ascii="Arial" w:hAnsi="Arial" w:cs="Arial"/>
          <w:sz w:val="24"/>
          <w:szCs w:val="24"/>
          <w:highlight w:val="yellow"/>
        </w:rPr>
        <w:fldChar w:fldCharType="begin" w:fldLock="1"/>
      </w:r>
      <w:r w:rsidR="00AD1232">
        <w:rPr>
          <w:rFonts w:ascii="Arial" w:hAnsi="Arial" w:cs="Arial"/>
          <w:sz w:val="24"/>
          <w:szCs w:val="24"/>
          <w:highlight w:val="yellow"/>
        </w:rPr>
        <w:instrText>ADDIN CSL_CITATION {"citationItems":[{"id":"ITEM-1","itemData":{"DOI":"10.1177/14713012231204784","ISSN":"17412684","PMID":"37879079","abstract":"Introduction: Tanzania is a low-income country with an increasing prevalence of dementia, which provides challenges for the existing healthcare system. People with dementia often don’t receive a formal diagnosis, and with a lack of formal healthcare, are often predominantly supported by family relatives. There are very few published data relating to lived experiences of people with dementia in Tanzania. This study aimed to understand people with dementia, and their caregivers’ experiences of living with dementia in Tanzania and the perceived needs of people with dementia. Methods: Qualitative, semi-structured interviews were conducted with 14 people with dementia and 12 caregivers in Moshi, Tanzania. Interviews were audio-recorded, translated, transcribed and analysed using a Framework Analysis approach. Results: Three sub-themes were identified within data describing the experience of ‘Living with Dementia in Tanzania’: ‘Deteriorations in Health’, ‘Challenges to living with Dementia in Tanzanian Culture’, and ‘Lack of Support’: people with dementia faced challenges due to social isolation, stigmatisation, and lack of caregiver knowledge on how best to provide support. Collectively, these impacted on both the physical and mental health of people with dementia. Misconceptions about dementia aetiology related to age, stresses of daily life and other co-morbidities. People with dementia were motivated to access treatment, exhibiting pluralistic health-seeking behaviours. There was an overall preference for non-pharmacological interventions over medication, with high levels of trust in medical professional opinions. Conclusions: Living with dementia in Tanzania is influenced by both cultural and religious factors. More work is needed to target supplementary healthcare (with efforts to promote accessibility), support for caregivers and public health education about dementia to overcome existent misconceptions and stigma.","author":[{"dropping-particle":"","family":"Walker","given":"Jessica","non-dropping-particle":"","parse-names":false,"suffix":""},{"dropping-particle":"","family":"Dotchin","given":"Catherine","non-dropping-particle":"","parse-names":false,"suffix":""},{"dropping-particle":"","family":"Breckons","given":"Matthew","non-dropping-particle":"","parse-names":false,"suffix":""},{"dropping-particle":"","family":"Fisher","given":"Emily","non-dropping-particle":"","parse-names":false,"suffix":""},{"dropping-particle":"","family":"Lyimo","given":"Godrule","non-dropping-particle":"","parse-names":false,"suffix":""},{"dropping-particle":"","family":"Mkenda","given":"Sarah","non-dropping-particle":"","parse-names":false,"suffix":""},{"dropping-particle":"","family":"Walker","given":"Richard","non-dropping-particle":"","parse-names":false,"suffix":""},{"dropping-particle":"","family":"Urasa","given":"Sarah","non-dropping-particle":"","parse-names":false,"suffix":""},{"dropping-particle":"","family":"Rogathi","given":"Jane","non-dropping-particle":"","parse-names":false,"suffix":""},{"dropping-particle":"","family":"Spector","given":"Aimee","non-dropping-particle":"","parse-names":false,"suffix":""}],"container-title":"Dementia","id":"ITEM-1","issue":"8","issued":{"date-parts":[["2023"]]},"page":"1900-1920","title":"Patient and caregiver experiences of living with dementia in Tanzania","type":"article-journal","volume":"22"},"uris":["http://www.mendeley.com/documents/?uuid=4b735f55-e654-4b4f-86af-d6ed478909a1"]}],"mendeley":{"formattedCitation":"[17]","plainTextFormattedCitation":"[17]","previouslyFormattedCitation":"[17]"},"properties":{"noteIndex":0},"schema":"https://github.com/citation-style-language/schema/raw/master/csl-citation.json"}</w:instrText>
      </w:r>
      <w:r w:rsidR="008B3EAD">
        <w:rPr>
          <w:rFonts w:ascii="Arial" w:hAnsi="Arial" w:cs="Arial"/>
          <w:sz w:val="24"/>
          <w:szCs w:val="24"/>
          <w:highlight w:val="yellow"/>
        </w:rPr>
        <w:fldChar w:fldCharType="separate"/>
      </w:r>
      <w:r w:rsidR="008B3EAD" w:rsidRPr="008B3EAD">
        <w:rPr>
          <w:rFonts w:ascii="Arial" w:hAnsi="Arial" w:cs="Arial"/>
          <w:noProof/>
          <w:sz w:val="24"/>
          <w:szCs w:val="24"/>
          <w:highlight w:val="yellow"/>
        </w:rPr>
        <w:t>[17]</w:t>
      </w:r>
      <w:r w:rsidR="008B3EAD">
        <w:rPr>
          <w:rFonts w:ascii="Arial" w:hAnsi="Arial" w:cs="Arial"/>
          <w:sz w:val="24"/>
          <w:szCs w:val="24"/>
          <w:highlight w:val="yellow"/>
        </w:rPr>
        <w:fldChar w:fldCharType="end"/>
      </w:r>
      <w:r w:rsidRPr="00155F76">
        <w:rPr>
          <w:rFonts w:ascii="Arial" w:hAnsi="Arial" w:cs="Arial"/>
          <w:sz w:val="24"/>
          <w:szCs w:val="24"/>
          <w:highlight w:val="yellow"/>
        </w:rPr>
        <w:t>. This stigma, combined with inadequate training among healthcare professionals and medical students, contributes to delayed diagnoses, poor caregiving, and limited support for individuals with deme</w:t>
      </w:r>
      <w:r w:rsidR="00AD1232">
        <w:rPr>
          <w:rFonts w:ascii="Arial" w:hAnsi="Arial" w:cs="Arial"/>
          <w:sz w:val="24"/>
          <w:szCs w:val="24"/>
          <w:highlight w:val="yellow"/>
        </w:rPr>
        <w:t xml:space="preserve">ntia and their families </w:t>
      </w:r>
      <w:r w:rsidR="00AD1232">
        <w:rPr>
          <w:rFonts w:ascii="Arial" w:hAnsi="Arial" w:cs="Arial"/>
          <w:sz w:val="24"/>
          <w:szCs w:val="24"/>
          <w:highlight w:val="yellow"/>
        </w:rPr>
        <w:fldChar w:fldCharType="begin" w:fldLock="1"/>
      </w:r>
      <w:r w:rsidR="00E0341D">
        <w:rPr>
          <w:rFonts w:ascii="Arial" w:hAnsi="Arial" w:cs="Arial"/>
          <w:sz w:val="24"/>
          <w:szCs w:val="24"/>
          <w:highlight w:val="yellow"/>
        </w:rPr>
        <w:instrText>ADDIN CSL_CITATION {"citationItems":[{"id":"ITEM-1","itemData":{"DOI":"10.9734/jammr/2025/v37i65860","abstract":"Background: Dementia is a public health concern and a pressing problem for families and society. Also is a leading cause of disability and dependency among older people worldwide. Medical and environmental health students will play a crucial role in the future of professional caregiving. Particularly, having good knowledge and attitudes towards dementia will be key elements in providing the best care for people with dementia.\r Objectives: To assess knowledge about dementia among medical and environmental health students at the State University of Zanzibar.\r Methods: A descriptive cross-sectional design was used in this study to assess knowledge about dementia among medical and environmental health students at the State University of Zanzibar. This was conducted from March 2024 to April 2024. A validated study questionnaire, DKAS, was used to collect data on socio-demographic characteristics and knowledge.\r Results: The study included150 participants, and the majority of students were female 94(62.7%); overall knowledge was good, with an average of 85.3%, while 14.7% had poor knowledge; those 2nd-year participants had good knowledge, about 92.3%, OR-0.034(CI:0.12-0.75), compared to 80.0% of 1styear students. The areas of expertise included causes and characteristics, communication and behaviour, care and consideration, and risk and health promotion.\r Conclusion: The majority of participants demonstrated good knowledge about dementia. Students in the second year of their career had better knowledge compared to those in the first year; however, there was no significant difference between students from both years. The areas with better Knowledge were care and consideration, while the poorest areas were communication and behaviour.","author":[{"dropping-particle":"","family":"Okafor","given":"Chukwuma J.","non-dropping-particle":"","parse-names":false,"suffix":""},{"dropping-particle":"","family":"Bayard","given":"Rodolfo Isidro Bosch","non-dropping-particle":"","parse-names":false,"suffix":""},{"dropping-particle":"","family":"Martin","given":"Diane Millo","non-dropping-particle":"","parse-names":false,"suffix":""},{"dropping-particle":"","family":"Selemani","given":"Nahra A.","non-dropping-particle":"","parse-names":false,"suffix":""},{"dropping-particle":"","family":"Mohamed","given":"Fatma A.","non-dropping-particle":"","parse-names":false,"suffix":""},{"dropping-particle":"","family":"Hamisi","given":"Yasini S.","non-dropping-particle":"","parse-names":false,"suffix":""},{"dropping-particle":"","family":"Adejumo","given":"E. N","non-dropping-particle":"","parse-names":false,"suffix":""},{"dropping-particle":"","family":"Enitan","given":"Seyi Samson","non-dropping-particle":"","parse-names":false,"suffix":""},{"dropping-particle":"","family":"Saiz","given":"Angel Badia","non-dropping-particle":"","parse-names":false,"suffix":""}],"container-title":"Journal of Advances in Medicine and Medical Research","id":"ITEM-1","issue":"6","issued":{"date-parts":[["2025"]]},"page":"153-164","title":"Assessment of Knowledge about Dementia among Medical and Environmental Health Students at the State University of Zanzibar","type":"article-journal","volume":"37"},"uris":["http://www.mendeley.com/documents/?uuid=9710ff54-5ee2-4058-896b-d8c58dcce123"]}],"mendeley":{"formattedCitation":"[18]","plainTextFormattedCitation":"[18]","previouslyFormattedCitation":"[18]"},"properties":{"noteIndex":0},"schema":"https://github.com/citation-style-language/schema/raw/master/csl-citation.json"}</w:instrText>
      </w:r>
      <w:r w:rsidR="00AD1232">
        <w:rPr>
          <w:rFonts w:ascii="Arial" w:hAnsi="Arial" w:cs="Arial"/>
          <w:sz w:val="24"/>
          <w:szCs w:val="24"/>
          <w:highlight w:val="yellow"/>
        </w:rPr>
        <w:fldChar w:fldCharType="separate"/>
      </w:r>
      <w:r w:rsidR="00AD1232" w:rsidRPr="00AD1232">
        <w:rPr>
          <w:rFonts w:ascii="Arial" w:hAnsi="Arial" w:cs="Arial"/>
          <w:noProof/>
          <w:sz w:val="24"/>
          <w:szCs w:val="24"/>
          <w:highlight w:val="yellow"/>
        </w:rPr>
        <w:t>[18]</w:t>
      </w:r>
      <w:r w:rsidR="00AD1232">
        <w:rPr>
          <w:rFonts w:ascii="Arial" w:hAnsi="Arial" w:cs="Arial"/>
          <w:sz w:val="24"/>
          <w:szCs w:val="24"/>
          <w:highlight w:val="yellow"/>
        </w:rPr>
        <w:fldChar w:fldCharType="end"/>
      </w:r>
      <w:r w:rsidRPr="00155F76">
        <w:rPr>
          <w:rFonts w:ascii="Arial" w:hAnsi="Arial" w:cs="Arial"/>
          <w:sz w:val="24"/>
          <w:szCs w:val="24"/>
          <w:highlight w:val="yellow"/>
        </w:rPr>
        <w:t xml:space="preserve">. Medical students, as future healthcare providers, may internalize these negative attitudes, which can compromise the quality of care through poor communication and insufficient treatment. Addressing this issue through targeted educational interventions is crucial to improving knowledge, empathy, and respect toward people with dementia, ultimately </w:t>
      </w:r>
      <w:r w:rsidR="00E0341D">
        <w:rPr>
          <w:rFonts w:ascii="Arial" w:hAnsi="Arial" w:cs="Arial"/>
          <w:sz w:val="24"/>
          <w:szCs w:val="24"/>
          <w:highlight w:val="yellow"/>
        </w:rPr>
        <w:t xml:space="preserve">enhancing clinical outcomes </w:t>
      </w:r>
      <w:r w:rsidR="00E0341D">
        <w:rPr>
          <w:rFonts w:ascii="Arial" w:hAnsi="Arial" w:cs="Arial"/>
          <w:sz w:val="24"/>
          <w:szCs w:val="24"/>
          <w:highlight w:val="yellow"/>
        </w:rPr>
        <w:fldChar w:fldCharType="begin" w:fldLock="1"/>
      </w:r>
      <w:r w:rsidR="007B1F84">
        <w:rPr>
          <w:rFonts w:ascii="Arial" w:hAnsi="Arial" w:cs="Arial"/>
          <w:sz w:val="24"/>
          <w:szCs w:val="24"/>
          <w:highlight w:val="yellow"/>
        </w:rPr>
        <w:instrText>ADDIN CSL_CITATION {"citationItems":[{"id":"ITEM-1","itemData":{"DOI":"10.1186/s12909-025-06775-x","ISSN":"14726920","PMID":"39910599","abstract":"Introduction: Dementia is a growing public health challenge globally, with low- and middle-income countries, including Nigeria, disproportionately affected. Healthcare professionals play a critical role in dementia care. This study compared the knowledge and attitudes of medical and nursing students at a Nigerian university toward Alzheimer’s Disease and Related Dementias (ADRD). Methods: This cross-sectional study was conducted at the College of Medicine University of Ibadan, Nigeria. A total of 143 penultimate and final-year medical and nursing students were selected by stratified random sampling. Data were collected using the Alzheimer’s Disease Knowledge Scale (ADKS) and Dementia Care Attitude Scale (DCAS). Multivariate analysis of variance (MANOVA) was used to compare mean scores between these students. Multivariate regression models were developed to identify factors significantly associated with ADKS and DCAS scores. Statistical significance was determined using a two-tailed p-value of &lt; 0.05. Results: The mean age of participants was 22.61 years (SD ± 2.56). Medical students demonstrated significantly higher knowledge scores (19.82, SD ± 3.17) compared to nursing students (17.39, SD ± 2.65; p &lt; 0.001) on a scale of 0 to 30. Attitudes measured using the Dementia Care Attitude Scale (DCAS) showed no significant difference between groups, with medical students scoring slightly higher. Multiple regression analysis identified department as a significant predictor of knowledge (p &lt; 0.001) and attitudes (p = 0.010). Conclusion: The study highlights gaps in dementia education among medical and nursing students in Ibadan. Targeted educational interventions, including enhanced curriculum content and experiential learning opportunities, are urgently needed to improve dementia care preparedness in the healthcare workforce.","author":[{"dropping-particle":"","family":"Olajide","given":"Tobi","non-dropping-particle":"","parse-names":false,"suffix":""},{"dropping-particle":"","family":"Ajao","given":"Favour","non-dropping-particle":"","parse-names":false,"suffix":""},{"dropping-particle":"","family":"Joshua","given":"Inioluwa","non-dropping-particle":"","parse-names":false,"suffix":""},{"dropping-particle":"","family":"Oyedokun","given":"Abigail","non-dropping-particle":"","parse-names":false,"suffix":""},{"dropping-particle":"","family":"Odubiyi","given":"Ayosubomi","non-dropping-particle":"","parse-names":false,"suffix":""},{"dropping-particle":"","family":"Adewara","given":"Oluwadabira","non-dropping-particle":"","parse-names":false,"suffix":""},{"dropping-particle":"","family":"Anele","given":"Feziechi","non-dropping-particle":"","parse-names":false,"suffix":""},{"dropping-particle":"","family":"Fatola","given":"Ayomide","non-dropping-particle":"","parse-names":false,"suffix":""},{"dropping-particle":"","family":"Ayeni","given":"Samuel","non-dropping-particle":"","parse-names":false,"suffix":""},{"dropping-particle":"","family":"Amakom","given":"Nneka","non-dropping-particle":"","parse-names":false,"suffix":""},{"dropping-particle":"","family":"Osakuade","given":"Oluwanifemi","non-dropping-particle":"","parse-names":false,"suffix":""},{"dropping-particle":"","family":"Adeyeye","given":"Oluwabunmi","non-dropping-particle":"","parse-names":false,"suffix":""},{"dropping-particle":"","family":"Ezeh","given":"Chidera","non-dropping-particle":"","parse-names":false,"suffix":""},{"dropping-particle":"","family":"Shittu","given":"Gbenga","non-dropping-particle":"","parse-names":false,"suffix":""},{"dropping-particle":"","family":"Mufutau","given":"Rashidat","non-dropping-particle":"","parse-names":false,"suffix":""},{"dropping-particle":"","family":"Atoyebi","given":"Serena","non-dropping-particle":"","parse-names":false,"suffix":""},{"dropping-particle":"","family":"Apata","given":"Michael","non-dropping-particle":"","parse-names":false,"suffix":""},{"dropping-particle":"","family":"Obatowon","given":"Sandra","non-dropping-particle":"","parse-names":false,"suffix":""},{"dropping-particle":"","family":"Abdul","given":"Aminat","non-dropping-particle":"","parse-names":false,"suffix":""},{"dropping-particle":"","family":"Adeyeye","given":"Jesufemi","non-dropping-particle":"","parse-names":false,"suffix":""},{"dropping-particle":"","family":"Ojagbemi","given":"Akin","non-dropping-particle":"","parse-names":false,"suffix":""}],"container-title":"BMC Medical Education","id":"ITEM-1","issue":"1","issued":{"date-parts":[["2025"]]},"title":"Knowledge and attitudes towards Alzheimer’s disease and related dementias among Nigerian medical and nursing students: a comparative study","type":"article-journal","volume":"25"},"uris":["http://www.mendeley.com/documents/?uuid=407d6f06-947b-4eab-a66a-27b5dc3bd5b7"]}],"mendeley":{"formattedCitation":"[19]","plainTextFormattedCitation":"[19]","previouslyFormattedCitation":"[19]"},"properties":{"noteIndex":0},"schema":"https://github.com/citation-style-language/schema/raw/master/csl-citation.json"}</w:instrText>
      </w:r>
      <w:r w:rsidR="00E0341D">
        <w:rPr>
          <w:rFonts w:ascii="Arial" w:hAnsi="Arial" w:cs="Arial"/>
          <w:sz w:val="24"/>
          <w:szCs w:val="24"/>
          <w:highlight w:val="yellow"/>
        </w:rPr>
        <w:fldChar w:fldCharType="separate"/>
      </w:r>
      <w:r w:rsidR="00E0341D" w:rsidRPr="00E0341D">
        <w:rPr>
          <w:rFonts w:ascii="Arial" w:hAnsi="Arial" w:cs="Arial"/>
          <w:noProof/>
          <w:sz w:val="24"/>
          <w:szCs w:val="24"/>
          <w:highlight w:val="yellow"/>
        </w:rPr>
        <w:t>[19]</w:t>
      </w:r>
      <w:r w:rsidR="00E0341D">
        <w:rPr>
          <w:rFonts w:ascii="Arial" w:hAnsi="Arial" w:cs="Arial"/>
          <w:sz w:val="24"/>
          <w:szCs w:val="24"/>
          <w:highlight w:val="yellow"/>
        </w:rPr>
        <w:fldChar w:fldCharType="end"/>
      </w:r>
      <w:r w:rsidRPr="00155F76">
        <w:rPr>
          <w:rFonts w:ascii="Arial" w:hAnsi="Arial" w:cs="Arial"/>
          <w:sz w:val="24"/>
          <w:szCs w:val="24"/>
          <w:highlight w:val="yellow"/>
        </w:rPr>
        <w:t xml:space="preserve">. </w:t>
      </w:r>
      <w:r w:rsidRPr="007855B1">
        <w:rPr>
          <w:rFonts w:ascii="Arial" w:hAnsi="Arial" w:cs="Arial"/>
          <w:sz w:val="24"/>
          <w:szCs w:val="24"/>
          <w:highlight w:val="yellow"/>
        </w:rPr>
        <w:t>Dementia-related stigma is a global challenge with significant implications for individuals and healthcare systems. As future healthcare providers, medical students play a vital role in reducing this stigma. This paper examines the prevalence and impact of stigma and attitudes toward dementia among medical students in Zanzibar, emphasizing the need for education and intervention to improve care and s</w:t>
      </w:r>
      <w:r w:rsidR="00E0341D">
        <w:rPr>
          <w:rFonts w:ascii="Arial" w:hAnsi="Arial" w:cs="Arial"/>
          <w:sz w:val="24"/>
          <w:szCs w:val="24"/>
          <w:highlight w:val="yellow"/>
        </w:rPr>
        <w:t>upport for affected individuals</w:t>
      </w:r>
      <w:r w:rsidR="00E0341D">
        <w:rPr>
          <w:rFonts w:ascii="Arial" w:hAnsi="Arial" w:cs="Arial"/>
          <w:sz w:val="24"/>
          <w:szCs w:val="24"/>
        </w:rPr>
        <w:t xml:space="preserve">. </w:t>
      </w:r>
      <w:r w:rsidR="00E0341D">
        <w:rPr>
          <w:rFonts w:ascii="Arial" w:hAnsi="Arial" w:cs="Arial"/>
          <w:sz w:val="24"/>
          <w:szCs w:val="24"/>
          <w:highlight w:val="yellow"/>
        </w:rPr>
        <w:t>The</w:t>
      </w:r>
      <w:r w:rsidRPr="00155F76">
        <w:rPr>
          <w:rFonts w:ascii="Arial" w:hAnsi="Arial" w:cs="Arial"/>
          <w:sz w:val="24"/>
          <w:szCs w:val="24"/>
          <w:highlight w:val="yellow"/>
        </w:rPr>
        <w:t xml:space="preserve"> study </w:t>
      </w:r>
      <w:r w:rsidRPr="00155F76">
        <w:rPr>
          <w:rFonts w:ascii="Arial" w:hAnsi="Arial" w:cs="Arial"/>
          <w:b/>
          <w:sz w:val="24"/>
          <w:szCs w:val="24"/>
          <w:highlight w:val="yellow"/>
        </w:rPr>
        <w:t>aims</w:t>
      </w:r>
      <w:r w:rsidRPr="00155F76">
        <w:rPr>
          <w:rFonts w:ascii="Arial" w:hAnsi="Arial" w:cs="Arial"/>
          <w:sz w:val="24"/>
          <w:szCs w:val="24"/>
          <w:highlight w:val="yellow"/>
        </w:rPr>
        <w:t xml:space="preserve"> to assess attitudes and stigma related to dementia among medical and environmental health students at the State University of Zanzibar. Specifically, it seeks to identify the socio-demographic char</w:t>
      </w:r>
      <w:r>
        <w:rPr>
          <w:rFonts w:ascii="Arial" w:hAnsi="Arial" w:cs="Arial"/>
          <w:sz w:val="24"/>
          <w:szCs w:val="24"/>
          <w:highlight w:val="yellow"/>
        </w:rPr>
        <w:t>acteristics of the participants</w:t>
      </w:r>
      <w:r w:rsidR="003265EF">
        <w:rPr>
          <w:rFonts w:ascii="Arial" w:hAnsi="Arial" w:cs="Arial"/>
          <w:sz w:val="24"/>
          <w:szCs w:val="24"/>
          <w:highlight w:val="yellow"/>
        </w:rPr>
        <w:t>,</w:t>
      </w:r>
      <w:r>
        <w:rPr>
          <w:rFonts w:ascii="Arial" w:hAnsi="Arial" w:cs="Arial"/>
          <w:sz w:val="24"/>
          <w:szCs w:val="24"/>
          <w:highlight w:val="yellow"/>
        </w:rPr>
        <w:t xml:space="preserve"> </w:t>
      </w:r>
      <w:r w:rsidRPr="00155F76">
        <w:rPr>
          <w:rFonts w:ascii="Arial" w:hAnsi="Arial" w:cs="Arial"/>
          <w:sz w:val="24"/>
          <w:szCs w:val="24"/>
          <w:highlight w:val="yellow"/>
        </w:rPr>
        <w:t>including age, gender, academic program, year of study, experience in health service practice, and whether they have a relative with dement</w:t>
      </w:r>
      <w:r w:rsidR="00E0341D">
        <w:rPr>
          <w:rFonts w:ascii="Arial" w:hAnsi="Arial" w:cs="Arial"/>
          <w:sz w:val="24"/>
          <w:szCs w:val="24"/>
          <w:highlight w:val="yellow"/>
        </w:rPr>
        <w:t>ia. Additionally,</w:t>
      </w:r>
      <w:r w:rsidRPr="00155F76">
        <w:rPr>
          <w:rFonts w:ascii="Arial" w:hAnsi="Arial" w:cs="Arial"/>
          <w:sz w:val="24"/>
          <w:szCs w:val="24"/>
          <w:highlight w:val="yellow"/>
        </w:rPr>
        <w:t xml:space="preserve"> to examine students' attitudes toward dementia and to evaluate the extent and nature of stigma associated with the condition within this academic population.</w:t>
      </w:r>
    </w:p>
    <w:p w14:paraId="645F2480" w14:textId="77777777" w:rsidR="00FE3D25" w:rsidRPr="008D10AE" w:rsidRDefault="00FE3D25" w:rsidP="00FE3D25">
      <w:pPr>
        <w:spacing w:after="0" w:line="240" w:lineRule="auto"/>
        <w:jc w:val="both"/>
        <w:rPr>
          <w:rFonts w:ascii="Arial" w:hAnsi="Arial" w:cs="Arial"/>
          <w:sz w:val="24"/>
          <w:szCs w:val="24"/>
        </w:rPr>
      </w:pPr>
    </w:p>
    <w:p w14:paraId="31082E53" w14:textId="77777777" w:rsidR="00FE3D25" w:rsidRDefault="00FE3D25" w:rsidP="00FE3D25">
      <w:pPr>
        <w:spacing w:before="100" w:beforeAutospacing="1" w:after="100" w:afterAutospacing="1" w:line="240" w:lineRule="auto"/>
        <w:jc w:val="both"/>
        <w:rPr>
          <w:rFonts w:ascii="Arial" w:hAnsi="Arial" w:cs="Arial"/>
          <w:b/>
          <w:bCs/>
          <w:sz w:val="24"/>
          <w:szCs w:val="24"/>
        </w:rPr>
      </w:pPr>
      <w:r w:rsidRPr="008D10AE">
        <w:rPr>
          <w:rFonts w:ascii="Arial" w:hAnsi="Arial" w:cs="Arial"/>
          <w:b/>
          <w:bCs/>
          <w:sz w:val="24"/>
          <w:szCs w:val="24"/>
        </w:rPr>
        <w:t xml:space="preserve"> METHOD</w:t>
      </w:r>
    </w:p>
    <w:p w14:paraId="21E5E83E" w14:textId="77777777" w:rsidR="00FE3D25" w:rsidRPr="001A3CE7" w:rsidRDefault="00FE3D25" w:rsidP="00FE3D25">
      <w:pPr>
        <w:spacing w:before="100" w:beforeAutospacing="1" w:after="100" w:afterAutospacing="1" w:line="240" w:lineRule="auto"/>
        <w:jc w:val="both"/>
        <w:rPr>
          <w:rFonts w:ascii="Arial" w:hAnsi="Arial" w:cs="Arial"/>
          <w:sz w:val="24"/>
          <w:szCs w:val="24"/>
          <w:highlight w:val="yellow"/>
        </w:rPr>
      </w:pPr>
      <w:r w:rsidRPr="001A3CE7">
        <w:rPr>
          <w:rFonts w:ascii="Arial" w:hAnsi="Arial" w:cs="Arial"/>
          <w:sz w:val="24"/>
          <w:szCs w:val="24"/>
          <w:highlight w:val="yellow"/>
        </w:rPr>
        <w:t xml:space="preserve">This descriptive cross-sectional study was conducted from March to April 2024 at the School of Health and Medical Sciences (SHMS), State University of Zanzibar, to assess knowledge, attitudes, and stigma related to dementia among students. The target population included students enrolled in the Doctor of Medicine (MD) and Environmental Health programs, specifically those in their first and second years of study. The dependent variables were attitudes toward dementia and stigma-related factors such as beliefs, feelings, social isolation, and expectations. Independent variables included </w:t>
      </w:r>
      <w:r w:rsidRPr="001A3CE7">
        <w:rPr>
          <w:rFonts w:ascii="Arial" w:hAnsi="Arial" w:cs="Arial"/>
          <w:sz w:val="24"/>
          <w:szCs w:val="24"/>
          <w:highlight w:val="yellow"/>
        </w:rPr>
        <w:lastRenderedPageBreak/>
        <w:t>demographic characteristics such as age, sex, educational status, religion, and occupational status.</w:t>
      </w:r>
    </w:p>
    <w:p w14:paraId="0C0B4DF2" w14:textId="77777777" w:rsidR="00FE3D25" w:rsidRPr="001A3CE7" w:rsidRDefault="00FE3D25" w:rsidP="00FE3D25">
      <w:pPr>
        <w:spacing w:before="100" w:beforeAutospacing="1" w:after="100" w:afterAutospacing="1" w:line="240" w:lineRule="auto"/>
        <w:jc w:val="both"/>
        <w:rPr>
          <w:rFonts w:ascii="Arial" w:hAnsi="Arial" w:cs="Arial"/>
          <w:sz w:val="24"/>
          <w:szCs w:val="24"/>
        </w:rPr>
      </w:pPr>
      <w:r w:rsidRPr="001A3CE7">
        <w:rPr>
          <w:rFonts w:ascii="Arial" w:hAnsi="Arial" w:cs="Arial"/>
          <w:sz w:val="24"/>
          <w:szCs w:val="24"/>
          <w:highlight w:val="yellow"/>
        </w:rPr>
        <w:t>A simple random sampling (SRS) technique was employed to select participants for the study. The inclusion criteria consisted of first- and second-year students enrolled in the Environmental Health and Medical degree programs who provided informed consent to participate. Students who chose to withdraw from the study were excluded. The sample size was determined using the standard formula:</w:t>
      </w:r>
      <w:r w:rsidRPr="001A3CE7">
        <w:rPr>
          <w:rFonts w:ascii="Arial" w:hAnsi="Arial" w:cs="Arial"/>
          <w:sz w:val="24"/>
          <w:szCs w:val="24"/>
          <w:highlight w:val="yellow"/>
        </w:rPr>
        <w:br/>
        <w:t>N=Z2×P×(1−P)E2N = \frac{Z^2 \times P \times (1 - P)}{E^2}N=E2Z2×P×(1−P)​</w:t>
      </w:r>
      <w:r w:rsidRPr="001A3CE7">
        <w:rPr>
          <w:rFonts w:ascii="Arial" w:hAnsi="Arial" w:cs="Arial"/>
          <w:sz w:val="24"/>
          <w:szCs w:val="24"/>
          <w:highlight w:val="yellow"/>
        </w:rPr>
        <w:br/>
        <w:t xml:space="preserve">where </w:t>
      </w:r>
      <w:r w:rsidRPr="001A3CE7">
        <w:rPr>
          <w:rFonts w:ascii="Arial" w:hAnsi="Arial" w:cs="Arial"/>
          <w:i/>
          <w:iCs/>
          <w:sz w:val="24"/>
          <w:szCs w:val="24"/>
          <w:highlight w:val="yellow"/>
        </w:rPr>
        <w:t>Z</w:t>
      </w:r>
      <w:r w:rsidRPr="001A3CE7">
        <w:rPr>
          <w:rFonts w:ascii="Arial" w:hAnsi="Arial" w:cs="Arial"/>
          <w:sz w:val="24"/>
          <w:szCs w:val="24"/>
          <w:highlight w:val="yellow"/>
        </w:rPr>
        <w:t xml:space="preserve"> is the standard normal value, </w:t>
      </w:r>
      <w:r w:rsidRPr="001A3CE7">
        <w:rPr>
          <w:rFonts w:ascii="Arial" w:hAnsi="Arial" w:cs="Arial"/>
          <w:i/>
          <w:iCs/>
          <w:sz w:val="24"/>
          <w:szCs w:val="24"/>
          <w:highlight w:val="yellow"/>
        </w:rPr>
        <w:t>P</w:t>
      </w:r>
      <w:r w:rsidRPr="001A3CE7">
        <w:rPr>
          <w:rFonts w:ascii="Arial" w:hAnsi="Arial" w:cs="Arial"/>
          <w:sz w:val="24"/>
          <w:szCs w:val="24"/>
          <w:highlight w:val="yellow"/>
        </w:rPr>
        <w:t xml:space="preserve"> is the estimated prevalence</w:t>
      </w:r>
      <w:r w:rsidR="007B1F84">
        <w:rPr>
          <w:rFonts w:ascii="Arial" w:hAnsi="Arial" w:cs="Arial"/>
          <w:sz w:val="24"/>
          <w:szCs w:val="24"/>
          <w:highlight w:val="yellow"/>
        </w:rPr>
        <w:t xml:space="preserve"> </w:t>
      </w:r>
      <w:r w:rsidR="007B1F84">
        <w:rPr>
          <w:rFonts w:ascii="Arial" w:hAnsi="Arial" w:cs="Arial"/>
          <w:sz w:val="24"/>
          <w:szCs w:val="24"/>
          <w:highlight w:val="yellow"/>
        </w:rPr>
        <w:fldChar w:fldCharType="begin" w:fldLock="1"/>
      </w:r>
      <w:r w:rsidR="007B1F84">
        <w:rPr>
          <w:rFonts w:ascii="Arial" w:hAnsi="Arial" w:cs="Arial"/>
          <w:sz w:val="24"/>
          <w:szCs w:val="24"/>
          <w:highlight w:val="yellow"/>
        </w:rPr>
        <w:instrText>ADDIN CSL_CITATION {"citationItems":[{"id":"ITEM-1","itemData":{"DOI":"10.1002/alz.12928","ISSN":"1552-5279 (Electronic)","PMID":"36637034","abstract":"INTRODUCTION: Prior estimates of dementia prevalence in India were based on  samples from selected communities, inadequately representing the national and state populations. METHODS: From the Longitudinal Aging Study in India (LASI) we recruited a sample of adults ages 60+ and administered a rich battery of neuropsychological tests and an informant interview in 2018 through 2020. We obtained a clinical consensus rating of dementia status for a subsample (N = 2528), fitted a logistic model for dementia status on this subsample, and then imputed dementia status for all other LASI respondents aged 60+ (N = 28,949). RESULTS: The estimated dementia prevalence for adults ages 60+ in India is 7.4%, with significant age and education gradients, sex and urban/rural differences, and cross-state variation. DISCUSSION: An estimated 8.8 million Indians older than 60 years have dementia. The burden of dementia cases is unevenly distributed across states and subpopulations and may therefore require different levels of local planning and support. HIGHLIGHTS: The estimated dementia prevalence for adults ages 60+ in India is 7.4%. About 8.8 million Indians older than 60 years live with dementia. Dementia is more prevalent among females than males and in rural than urban areas. Significant cross-state variation exists in dementia prevalence.","author":[{"dropping-particle":"","family":"Lee","given":"Jinkook","non-dropping-particle":"","parse-names":false,"suffix":""},{"dropping-particle":"","family":"Meijer","given":"Erik","non-dropping-particle":"","parse-names":false,"suffix":""},{"dropping-particle":"","family":"Langa","given":"Kenneth M","non-dropping-particle":"","parse-names":false,"suffix":""},{"dropping-particle":"","family":"Ganguli","given":"Mary","non-dropping-particle":"","parse-names":false,"suffix":""},{"dropping-particle":"","family":"Varghese","given":"Mathew","non-dropping-particle":"","parse-names":false,"suffix":""},{"dropping-particle":"","family":"Banerjee","given":"Joyita","non-dropping-particle":"","parse-names":false,"suffix":""},{"dropping-particle":"","family":"Khobragade","given":"Pranali","non-dropping-particle":"","parse-names":false,"suffix":""},{"dropping-particle":"","family":"Angrisani","given":"Marco","non-dropping-particle":"","parse-names":false,"suffix":""},{"dropping-particle":"","family":"Kurup","given":"Ravi","non-dropping-particle":"","parse-names":false,"suffix":""},{"dropping-particle":"","family":"Chakrabarti","given":"Sankha Shubhra","non-dropping-particle":"","parse-names":false,"suffix":""},{"dropping-particle":"","family":"Gambhir","given":"Indrajeet Singh","non-dropping-particle":"","parse-names":false,"suffix":""},{"dropping-particle":"","family":"Koul","given":"Parvaiz A","non-dropping-particle":"","parse-names":false,"suffix":""},{"dropping-particle":"","family":"Goswami","given":"Debabrata","non-dropping-particle":"","parse-names":false,"suffix":""},{"dropping-particle":"","family":"Talukdar","given":"Arunanshu","non-dropping-particle":"","parse-names":false,"suffix":""},{"dropping-particle":"","family":"Mohanty","given":"Rashmi Ranjan","non-dropping-particle":"","parse-names":false,"suffix":""},{"dropping-particle":"","family":"Yadati","given":"Raju Sathyanarayana","non-dropping-particle":"","parse-names":false,"suffix":""},{"dropping-particle":"","family":"Padmaja","given":"Mekala","non-dropping-particle":"","parse-names":false,"suffix":""},{"dropping-particle":"","family":"Sankhe","given":"Lalit","non-dropping-particle":"","parse-names":false,"suffix":""},{"dropping-particle":"","family":"Rajguru","given":"Chhaya","non-dropping-particle":"","parse-names":false,"suffix":""},{"dropping-particle":"","family":"Gupta","given":"Monica","non-dropping-particle":"","parse-names":false,"suffix":""},{"dropping-particle":"","family":"Kumar","given":"Govind","non-dropping-particle":"","parse-names":false,"suffix":""},{"dropping-particle":"","family":"Dhar","given":"Minakshi","non-dropping-particle":"","parse-names":false,"suffix":""},{"dropping-particle":"","family":"Chatterjee","given":"Prasun","non-dropping-particle":"","parse-names":false,"suffix":""},{"dropping-particle":"","family":"Singhal","given":"Sunny","non-dropping-particle":"","parse-names":false,"suffix":""},{"dropping-particle":"","family":"Bansal","given":"Rishav","non-dropping-particle":"","parse-names":false,"suffix":""},{"dropping-particle":"","family":"Bajpai","given":"Swati","non-dropping-particle":"","parse-names":false,"suffix":""},{"dropping-particle":"","family":"Desai","given":"Gaurav","non-dropping-particle":"","parse-names":false,"suffix":""},{"dropping-particle":"","family":"Rao","given":"Abhijith R","non-dropping-particle":"","parse-names":false,"suffix":""},{"dropping-particle":"","family":"Sivakumar","given":"Palanimuthu T","non-dropping-particle":"","parse-names":false,"suffix":""},{"dropping-particle":"","family":"Muliyala","given":"Krishna Prasad","non-dropping-particle":"","parse-names":false,"suffix":""},{"dropping-particle":"","family":"Bhatankar","given":"Swaroop","non-dropping-particle":"","parse-names":false,"suffix":""},{"dropping-particle":"","family":"Chattopadhyay","given":"Aparajita","non-dropping-particle":"","parse-names":false,"suffix":""},{"dropping-particle":"","family":"Govil","given":"Dipti","non-dropping-particle":"","parse-names":false,"suffix":""},{"dropping-particle":"","family":"Pedgaonkar","given":"Sarang","non-dropping-particle":"","parse-names":false,"suffix":""},{"dropping-particle":"V","family":"Sekher","given":"T","non-dropping-particle":"","parse-names":false,"suffix":""},{"dropping-particle":"","family":"Bloom","given":"David E","non-dropping-particle":"","parse-names":false,"suffix":""},{"dropping-particle":"","family":"Crimmins","given":"Eileen M","non-dropping-particle":"","parse-names":false,"suffix":""},{"dropping-particle":"","family":"Dey","given":"Aparajit Ballav","non-dropping-particle":"","parse-names":false,"suffix":""}],"container-title":"Alzheimer's &amp; dementia : the journal of the Alzheimer's Association","id":"ITEM-1","issue":"7","issued":{"date-parts":[["2023","7"]]},"language":"eng","page":"2898-2912","publisher-place":"United States","title":"Prevalence of dementia in India: National and state estimates from a nationwide  study.","type":"article-journal","volume":"19"},"uris":["http://www.mendeley.com/documents/?uuid=c907009e-8897-4329-9d25-71a1e3b0ef58"]}],"mendeley":{"formattedCitation":"[20]","plainTextFormattedCitation":"[20]","previouslyFormattedCitation":"[20]"},"properties":{"noteIndex":0},"schema":"https://github.com/citation-style-language/schema/raw/master/csl-citation.json"}</w:instrText>
      </w:r>
      <w:r w:rsidR="007B1F84">
        <w:rPr>
          <w:rFonts w:ascii="Arial" w:hAnsi="Arial" w:cs="Arial"/>
          <w:sz w:val="24"/>
          <w:szCs w:val="24"/>
          <w:highlight w:val="yellow"/>
        </w:rPr>
        <w:fldChar w:fldCharType="separate"/>
      </w:r>
      <w:r w:rsidR="007B1F84" w:rsidRPr="007B1F84">
        <w:rPr>
          <w:rFonts w:ascii="Arial" w:hAnsi="Arial" w:cs="Arial"/>
          <w:noProof/>
          <w:sz w:val="24"/>
          <w:szCs w:val="24"/>
          <w:highlight w:val="yellow"/>
        </w:rPr>
        <w:t>[20]</w:t>
      </w:r>
      <w:r w:rsidR="007B1F84">
        <w:rPr>
          <w:rFonts w:ascii="Arial" w:hAnsi="Arial" w:cs="Arial"/>
          <w:sz w:val="24"/>
          <w:szCs w:val="24"/>
          <w:highlight w:val="yellow"/>
        </w:rPr>
        <w:fldChar w:fldCharType="end"/>
      </w:r>
      <w:r w:rsidRPr="001A3CE7">
        <w:rPr>
          <w:rFonts w:ascii="Arial" w:hAnsi="Arial" w:cs="Arial"/>
          <w:sz w:val="24"/>
          <w:szCs w:val="24"/>
          <w:highlight w:val="yellow"/>
        </w:rPr>
        <w:t xml:space="preserve">, and </w:t>
      </w:r>
      <w:r w:rsidRPr="001A3CE7">
        <w:rPr>
          <w:rFonts w:ascii="Arial" w:hAnsi="Arial" w:cs="Arial"/>
          <w:i/>
          <w:iCs/>
          <w:sz w:val="24"/>
          <w:szCs w:val="24"/>
          <w:highlight w:val="yellow"/>
        </w:rPr>
        <w:t>E</w:t>
      </w:r>
      <w:r w:rsidRPr="001A3CE7">
        <w:rPr>
          <w:rFonts w:ascii="Arial" w:hAnsi="Arial" w:cs="Arial"/>
          <w:sz w:val="24"/>
          <w:szCs w:val="24"/>
          <w:highlight w:val="yellow"/>
        </w:rPr>
        <w:t xml:space="preserve"> is the margin of error.</w:t>
      </w:r>
    </w:p>
    <w:p w14:paraId="28B9F1F7"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sz w:val="24"/>
          <w:szCs w:val="24"/>
        </w:rPr>
        <w:t>Therefore, the minimum required sample size is 105. However, to enhance the feasibility of the study, a sample size of 150 was used.</w:t>
      </w:r>
    </w:p>
    <w:p w14:paraId="00845B4A" w14:textId="77777777" w:rsidR="00FE3D25" w:rsidRPr="001A3CE7" w:rsidRDefault="00FE3D25" w:rsidP="00FE3D25">
      <w:pPr>
        <w:spacing w:before="100" w:beforeAutospacing="1" w:after="100" w:afterAutospacing="1" w:line="240" w:lineRule="auto"/>
        <w:jc w:val="both"/>
        <w:rPr>
          <w:rFonts w:ascii="Arial" w:hAnsi="Arial" w:cs="Arial"/>
          <w:b/>
          <w:bCs/>
          <w:sz w:val="24"/>
          <w:szCs w:val="24"/>
        </w:rPr>
      </w:pPr>
      <w:r w:rsidRPr="001A3CE7">
        <w:rPr>
          <w:rFonts w:ascii="Arial" w:hAnsi="Arial" w:cs="Arial"/>
          <w:sz w:val="24"/>
          <w:szCs w:val="24"/>
          <w:highlight w:val="yellow"/>
        </w:rPr>
        <w:t>Data were collected using a researcher-administered questionnaire developed in English and adapted from validated tools. The questionnaire included items from the Dementia Knowledge Assessment Scale (DKAS, 25 ite</w:t>
      </w:r>
      <w:r w:rsidR="007B1F84">
        <w:rPr>
          <w:rFonts w:ascii="Arial" w:hAnsi="Arial" w:cs="Arial"/>
          <w:sz w:val="24"/>
          <w:szCs w:val="24"/>
          <w:highlight w:val="yellow"/>
        </w:rPr>
        <w:t xml:space="preserve">ms) </w:t>
      </w:r>
      <w:r w:rsidR="007B1F84">
        <w:rPr>
          <w:rFonts w:ascii="Arial" w:hAnsi="Arial" w:cs="Arial"/>
          <w:sz w:val="24"/>
          <w:szCs w:val="24"/>
          <w:highlight w:val="yellow"/>
        </w:rPr>
        <w:fldChar w:fldCharType="begin" w:fldLock="1"/>
      </w:r>
      <w:r w:rsidR="007B1F84">
        <w:rPr>
          <w:rFonts w:ascii="Arial" w:hAnsi="Arial" w:cs="Arial"/>
          <w:sz w:val="24"/>
          <w:szCs w:val="24"/>
          <w:highlight w:val="yellow"/>
        </w:rPr>
        <w:instrText>ADDIN CSL_CITATION {"citationItems":[{"id":"ITEM-1","itemData":{"DOI":"10.1186/s12877-017-0552-y","ISSN":"14712318","PMID":"28760154","abstract":"Background: Dementia is a life-limiting condition that is increasing in global prevalence in line with population ageing. In this context, it is necessary to accurately measure dementia knowledge across a spectrum of health professional and lay populations with the aim of informing targeted educational interventions and improving literacy, care, and support. Building on prior exploratory analysis, which informed the development of the preliminarily valid and reliable version of the Dementia Knowledge Assessment Scale (DKAS), a Confirmatory Factor Analysis (CFA) was performed to affirm construct validity and proposed subscales to further increase the measure's utility for academics and educators. Methods: A large, de novo sample of 3649 volunteer respondents to a dementia-related online course was recruited to evaluate the performance of the DKAS and its proposed subscales. Respondents represented diverse cohorts, including health professionals, students, and members of the general public. Analyses included CFA (using structural equation modelling), measures of internal consistency (α), and non-parametric tests of subscale correlation (Spearman Correlation) and score differences between cohorts (Kruskal-Wallis one-way analysis of variance). Results: Findings of the CFA supported a 25-item, four-factor model for the DKAS with two items removed due to poor performance and one item moved between factors. The resultant model exhibited good reliability (α =.85; ω h =.87; overall scale), with acceptable subscale internal consistency (α ≥.65; subscales). Subscales showed acceptable correlation without any indication of redundancy. Finally, total and DKAS subscale scores showed good discrimination between cohorts of respondents who would be anticipated to hold different levels of knowledge on the basis of education or experience related to dementia. Conclusion: The DKAS has been confirmed as a reliable and valid measure of dementia knowledge for diverse populations that is capable of elucidating knowledge characteristics across four coherent domains: 1) Causes and Characteristics, 2) Communication and Behaviour, 3) Care Considerations, and 4) Risks and Health Promotion. Importantly, the four confirmed subscales clearly distinguish between groups who might be expected to hold differing levels of knowledge about dementia, allowing for a fine-grained level of detail to be established when evaluating baseline understanding or knowledge change associated with educati…","author":[{"dropping-particle":"","family":"Annear","given":"Michael J.","non-dropping-particle":"","parse-names":false,"suffix":""},{"dropping-particle":"","family":"Toye","given":"Chris","non-dropping-particle":"","parse-names":false,"suffix":""},{"dropping-particle":"","family":"Elliott","given":"Kate Ellen J.","non-dropping-particle":"","parse-names":false,"suffix":""},{"dropping-particle":"","family":"McInerney","given":"Frances","non-dropping-particle":"","parse-names":false,"suffix":""},{"dropping-particle":"","family":"Eccleston","given":"Claire","non-dropping-particle":"","parse-names":false,"suffix":""},{"dropping-particle":"","family":"Robinson","given":"Andrew","non-dropping-particle":"","parse-names":false,"suffix":""}],"container-title":"BMC Geriatrics","id":"ITEM-1","issue":"1","issued":{"date-parts":[["2017"]]},"page":"1-11","publisher":"BMC Geriatrics","title":"Dementia knowledge assessment scale (DKAS): Confirmatory factor analysis and comparative subscale scores among an international cohort","type":"article-journal","volume":"17"},"uris":["http://www.mendeley.com/documents/?uuid=c35afa8f-d348-4ce6-9afe-f04d46888744"]}],"mendeley":{"formattedCitation":"[21]","plainTextFormattedCitation":"[21]","previouslyFormattedCitation":"[21]"},"properties":{"noteIndex":0},"schema":"https://github.com/citation-style-language/schema/raw/master/csl-citation.json"}</w:instrText>
      </w:r>
      <w:r w:rsidR="007B1F84">
        <w:rPr>
          <w:rFonts w:ascii="Arial" w:hAnsi="Arial" w:cs="Arial"/>
          <w:sz w:val="24"/>
          <w:szCs w:val="24"/>
          <w:highlight w:val="yellow"/>
        </w:rPr>
        <w:fldChar w:fldCharType="separate"/>
      </w:r>
      <w:r w:rsidR="007B1F84" w:rsidRPr="007B1F84">
        <w:rPr>
          <w:rFonts w:ascii="Arial" w:hAnsi="Arial" w:cs="Arial"/>
          <w:noProof/>
          <w:sz w:val="24"/>
          <w:szCs w:val="24"/>
          <w:highlight w:val="yellow"/>
        </w:rPr>
        <w:t>[21]</w:t>
      </w:r>
      <w:r w:rsidR="007B1F84">
        <w:rPr>
          <w:rFonts w:ascii="Arial" w:hAnsi="Arial" w:cs="Arial"/>
          <w:sz w:val="24"/>
          <w:szCs w:val="24"/>
          <w:highlight w:val="yellow"/>
        </w:rPr>
        <w:fldChar w:fldCharType="end"/>
      </w:r>
      <w:r w:rsidRPr="001A3CE7">
        <w:rPr>
          <w:rFonts w:ascii="Arial" w:hAnsi="Arial" w:cs="Arial"/>
          <w:sz w:val="24"/>
          <w:szCs w:val="24"/>
          <w:highlight w:val="yellow"/>
        </w:rPr>
        <w:t>, an Attitude Assessment Scale (</w:t>
      </w:r>
      <w:r w:rsidR="007B1F84">
        <w:rPr>
          <w:rFonts w:ascii="Arial" w:hAnsi="Arial" w:cs="Arial"/>
          <w:sz w:val="24"/>
          <w:szCs w:val="24"/>
          <w:highlight w:val="yellow"/>
        </w:rPr>
        <w:t xml:space="preserve">8 items) </w:t>
      </w:r>
      <w:r w:rsidR="007B1F84">
        <w:rPr>
          <w:rFonts w:ascii="Arial" w:hAnsi="Arial" w:cs="Arial"/>
          <w:sz w:val="24"/>
          <w:szCs w:val="24"/>
          <w:highlight w:val="yellow"/>
        </w:rPr>
        <w:fldChar w:fldCharType="begin" w:fldLock="1"/>
      </w:r>
      <w:r w:rsidR="009C76EB">
        <w:rPr>
          <w:rFonts w:ascii="Arial" w:hAnsi="Arial" w:cs="Arial"/>
          <w:sz w:val="24"/>
          <w:szCs w:val="24"/>
          <w:highlight w:val="yellow"/>
        </w:rPr>
        <w:instrText>ADDIN CSL_CITATION {"citationItems":[{"id":"ITEM-1","itemData":{"DOI":"10.2147/AMEP.S301445","ISSN":"11797258","abstract":"Background: Dementia remains a public health concern and a leading cause of disability and dependency among older people worldwide. However, the knowledge and attitudes towards dementia among university students remain unknown. This study assessed the knowledge and attitude towards dementia among university students in Uganda. Methods: An online descriptive, cross-sectional study was undertaken from August to November 2020, among undergraduate students from 11 Ugandan universities. A validated study questionnaire was used to collect data on socio-demographic characteristics, knowl-edge, and attitudes of dementia. A score &lt;60% was considered poor knowledge while ≥80% good knowledge and more than 80% reflected positive attitudes. Results: Overall, 1005 participants with a median age of 23 (interquartile range: 18 to 35) years participated in the study. The majority of the students were male (56.5%, n=568) and nearly half were pursuing human sciences/medicine-related programs. The mean knowledge score was 65.5% (SD±18.5). Thirty-two percent of the study participants had poor knowledge and only 26.8% (n=269) had good knowledge of dementia. More than half of the study participants believed that dementia is a normal part of aging and that memory loss happens to all people as they age. Attitudes towards patients with dementia were positive with a mean score of 81.9% (SD±19.6) and 65.2% of the study participants had positive dementia attitudes. Those aged more than 24 years were significantly associated with positive attitudes (adjusted odds ratio (AOR): 1.5, 95% CI: 1.1–2.0, p=0.019). There was a weak correlation between knowledge and attitude scores (ρ=0.341, p&lt;0.001). Conclusion: Whereas the majority of university students have positive attitudes towards patients with dementia, a significant number still have poor knowledge of the same. Continuous health education is suggested to improve knowledge of dementia in this popula-tion. Further studies to understand the perception in the general population are recommended.","author":[{"dropping-particle":"","family":"Musoke","given":"Phillip","non-dropping-particle":"","parse-names":false,"suffix":""},{"dropping-particle":"","family":"Olum","given":"Ronald","non-dropping-particle":"","parse-names":false,"suffix":""},{"dropping-particle":"","family":"Kembabazi","given":"Shallon","non-dropping-particle":"","parse-names":false,"suffix":""},{"dropping-particle":"","family":"Nantaayi","given":"Brandy","non-dropping-particle":"","parse-names":false,"suffix":""},{"dropping-particle":"","family":"Bongomin","given":"Felix","non-dropping-particle":"","parse-names":false,"suffix":""},{"dropping-particle":"","family":"Kaddumukasa","given":"Mark","non-dropping-particle":"","parse-names":false,"suffix":""}],"container-title":"Advances in Medical Education and Practice","id":"ITEM-1","issued":{"date-parts":[["2021"]]},"page":"635-646","title":"Assessment of the knowledge and attitude towards dementia among undergraduate university students in Uganda","type":"article-journal","volume":"12"},"uris":["http://www.mendeley.com/documents/?uuid=f29828b2-1624-4258-ad73-40f191ffadd6"]}],"mendeley":{"formattedCitation":"[22]","plainTextFormattedCitation":"[22]","previouslyFormattedCitation":"[22]"},"properties":{"noteIndex":0},"schema":"https://github.com/citation-style-language/schema/raw/master/csl-citation.json"}</w:instrText>
      </w:r>
      <w:r w:rsidR="007B1F84">
        <w:rPr>
          <w:rFonts w:ascii="Arial" w:hAnsi="Arial" w:cs="Arial"/>
          <w:sz w:val="24"/>
          <w:szCs w:val="24"/>
          <w:highlight w:val="yellow"/>
        </w:rPr>
        <w:fldChar w:fldCharType="separate"/>
      </w:r>
      <w:r w:rsidR="007B1F84" w:rsidRPr="007B1F84">
        <w:rPr>
          <w:rFonts w:ascii="Arial" w:hAnsi="Arial" w:cs="Arial"/>
          <w:noProof/>
          <w:sz w:val="24"/>
          <w:szCs w:val="24"/>
          <w:highlight w:val="yellow"/>
        </w:rPr>
        <w:t>[22]</w:t>
      </w:r>
      <w:r w:rsidR="007B1F84">
        <w:rPr>
          <w:rFonts w:ascii="Arial" w:hAnsi="Arial" w:cs="Arial"/>
          <w:sz w:val="24"/>
          <w:szCs w:val="24"/>
          <w:highlight w:val="yellow"/>
        </w:rPr>
        <w:fldChar w:fldCharType="end"/>
      </w:r>
      <w:r w:rsidRPr="001A3CE7">
        <w:rPr>
          <w:rFonts w:ascii="Arial" w:hAnsi="Arial" w:cs="Arial"/>
          <w:sz w:val="24"/>
          <w:szCs w:val="24"/>
          <w:highlight w:val="yellow"/>
        </w:rPr>
        <w:t>, and a Sti</w:t>
      </w:r>
      <w:r w:rsidR="009C76EB">
        <w:rPr>
          <w:rFonts w:ascii="Arial" w:hAnsi="Arial" w:cs="Arial"/>
          <w:sz w:val="24"/>
          <w:szCs w:val="24"/>
          <w:highlight w:val="yellow"/>
        </w:rPr>
        <w:t xml:space="preserve">gma Assessment Scale (6 items) </w:t>
      </w:r>
      <w:r w:rsidR="009C76EB">
        <w:rPr>
          <w:rFonts w:ascii="Arial" w:hAnsi="Arial" w:cs="Arial"/>
          <w:sz w:val="24"/>
          <w:szCs w:val="24"/>
          <w:highlight w:val="yellow"/>
        </w:rPr>
        <w:fldChar w:fldCharType="begin" w:fldLock="1"/>
      </w:r>
      <w:r w:rsidR="00A2023D">
        <w:rPr>
          <w:rFonts w:ascii="Arial" w:hAnsi="Arial" w:cs="Arial"/>
          <w:sz w:val="24"/>
          <w:szCs w:val="24"/>
          <w:highlight w:val="yellow"/>
        </w:rPr>
        <w:instrText>ADDIN CSL_CITATION {"citationItems":[{"id":"ITEM-1","itemData":{"DOI":"10.1111/ggi.14453","ISSN":"14470594","PMID":"36058625","abstract":"Aim: Reducing stigma against dementia is a global challenge, but the assessment scale is not well established. We examined the validity and reliability of the Japanese version of the assessment scale of public stigma against dementia. Methods: This study recruited 819 adults aged 20–69 years (mean age = 45.9 years; 52.0% females) through an internet survey, and 34 community-dwelling adults aged 20–78 years (mean age = 45.8 years; 55.9% females). Participants completed the Japanese version of the assessment scale of dementia stigma developed by Phillipson et al., with forward and back translations. In the internet survey sample, exploratory factor analysis was performed to verify factorial validity, and correlations with ageism and dementia attitudes were examined to test the concurrent validity. In the community sample, test–retest reliability was evaluated using intraclass correlation coefficients (ICCs) between two responses with a two-week interval. Results: Factor analysis revealed a four-factor structure: “personal avoidance,” “fear of labeling,” “person centeredness,” and “fear of discrimination” (Cronbach's α = 0.892, 0.840, 0.879, 0.829, respectively). Personal avoidance, fear of labeling, and fear of discrimination were positively correlated with ageism (r = 0.598, 0.214, 0.369) and negatively correlated with dementia attitudes (r = −0.745, −0.453, −0.475); person centeredness was inversely correlated with ageism (r = −0.322), but positively correlated with dementia attitudes (r = 0.537), showing good concurrent validity. The scale showed acceptable test–retest reliability (ICCs = 0.67–0.80). Conclusions: The Japanese version of the assessment scale of public stigma against dementia was established with good concurrent validity and adequate reliability. Geriatr Gerontol Int 2022; 22: 790–796.","author":[{"dropping-particle":"","family":"Noguchi","given":"Taiji","non-dropping-particle":"","parse-names":false,"suffix":""},{"dropping-particle":"","family":"Shang","given":"Erhua","non-dropping-particle":"","parse-names":false,"suffix":""},{"dropping-particle":"","family":"Nakagawa","given":"Takeshi","non-dropping-particle":"","parse-names":false,"suffix":""},{"dropping-particle":"","family":"Komatsu","given":"Ayane","non-dropping-particle":"","parse-names":false,"suffix":""},{"dropping-particle":"","family":"Murata","given":"Chiyoe","non-dropping-particle":"","parse-names":false,"suffix":""},{"dropping-particle":"","family":"Saito","given":"Tami","non-dropping-particle":"","parse-names":false,"suffix":""}],"container-title":"Geriatrics and Gerontology International","id":"ITEM-1","issue":"9","issued":{"date-parts":[["2022"]]},"page":"790-796","title":"Establishment of the Japanese version of the dementia stigma assessment scale","type":"article-journal","volume":"22"},"uris":["http://www.mendeley.com/documents/?uuid=d1799642-b8a7-432b-b7ed-a0d4c57713e6"]}],"mendeley":{"formattedCitation":"[23]","plainTextFormattedCitation":"[23]","previouslyFormattedCitation":"[23]"},"properties":{"noteIndex":0},"schema":"https://github.com/citation-style-language/schema/raw/master/csl-citation.json"}</w:instrText>
      </w:r>
      <w:r w:rsidR="009C76EB">
        <w:rPr>
          <w:rFonts w:ascii="Arial" w:hAnsi="Arial" w:cs="Arial"/>
          <w:sz w:val="24"/>
          <w:szCs w:val="24"/>
          <w:highlight w:val="yellow"/>
        </w:rPr>
        <w:fldChar w:fldCharType="separate"/>
      </w:r>
      <w:r w:rsidR="009C76EB" w:rsidRPr="009C76EB">
        <w:rPr>
          <w:rFonts w:ascii="Arial" w:hAnsi="Arial" w:cs="Arial"/>
          <w:noProof/>
          <w:sz w:val="24"/>
          <w:szCs w:val="24"/>
          <w:highlight w:val="yellow"/>
        </w:rPr>
        <w:t>[23]</w:t>
      </w:r>
      <w:r w:rsidR="009C76EB">
        <w:rPr>
          <w:rFonts w:ascii="Arial" w:hAnsi="Arial" w:cs="Arial"/>
          <w:sz w:val="24"/>
          <w:szCs w:val="24"/>
          <w:highlight w:val="yellow"/>
        </w:rPr>
        <w:fldChar w:fldCharType="end"/>
      </w:r>
      <w:r w:rsidRPr="001A3CE7">
        <w:rPr>
          <w:rFonts w:ascii="Arial" w:hAnsi="Arial" w:cs="Arial"/>
          <w:sz w:val="24"/>
          <w:szCs w:val="24"/>
          <w:highlight w:val="yellow"/>
        </w:rPr>
        <w:t>.</w:t>
      </w:r>
    </w:p>
    <w:p w14:paraId="70AECF17"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b/>
          <w:bCs/>
          <w:sz w:val="24"/>
          <w:szCs w:val="24"/>
        </w:rPr>
        <w:t>Processing and Analysis</w:t>
      </w:r>
      <w:r w:rsidRPr="008D10AE">
        <w:rPr>
          <w:rFonts w:ascii="Arial" w:hAnsi="Arial" w:cs="Arial"/>
          <w:sz w:val="24"/>
          <w:szCs w:val="24"/>
        </w:rPr>
        <w:br/>
        <w:t xml:space="preserve">The collected data </w:t>
      </w:r>
      <w:r>
        <w:rPr>
          <w:rFonts w:ascii="Arial" w:hAnsi="Arial" w:cs="Arial"/>
          <w:sz w:val="24"/>
          <w:szCs w:val="24"/>
        </w:rPr>
        <w:t>were described, categorized</w:t>
      </w:r>
      <w:r w:rsidRPr="008D10AE">
        <w:rPr>
          <w:rFonts w:ascii="Arial" w:hAnsi="Arial" w:cs="Arial"/>
          <w:sz w:val="24"/>
          <w:szCs w:val="24"/>
        </w:rPr>
        <w:t xml:space="preserve"> by different variables, tabulated, and interpreted using graphical representations. The data were analyzed using the Statistical Package for Social Sciences (SPSS) version 23. Statistical techniques, including the chi-square test, analysis of variance (ANOVA), and odds ratios, were employed to examine the r</w:t>
      </w:r>
      <w:r>
        <w:rPr>
          <w:rFonts w:ascii="Arial" w:hAnsi="Arial" w:cs="Arial"/>
          <w:sz w:val="24"/>
          <w:szCs w:val="24"/>
        </w:rPr>
        <w:t>elationships between variables.</w:t>
      </w:r>
    </w:p>
    <w:p w14:paraId="7D4BA1CF" w14:textId="77777777" w:rsidR="00FE3D25" w:rsidRDefault="00FE3D25" w:rsidP="00FE3D25">
      <w:pPr>
        <w:spacing w:before="100" w:beforeAutospacing="1" w:after="100" w:afterAutospacing="1" w:line="240" w:lineRule="auto"/>
        <w:rPr>
          <w:rFonts w:ascii="Arial" w:hAnsi="Arial" w:cs="Arial"/>
          <w:b/>
          <w:bCs/>
          <w:sz w:val="24"/>
          <w:szCs w:val="24"/>
        </w:rPr>
      </w:pPr>
    </w:p>
    <w:p w14:paraId="598B82B3" w14:textId="77777777" w:rsidR="00FE3D25" w:rsidRDefault="00FE3D25" w:rsidP="00FE3D25">
      <w:pPr>
        <w:spacing w:before="100" w:beforeAutospacing="1" w:after="100" w:afterAutospacing="1" w:line="240" w:lineRule="auto"/>
        <w:rPr>
          <w:rFonts w:ascii="Arial" w:hAnsi="Arial" w:cs="Arial"/>
          <w:b/>
          <w:bCs/>
          <w:sz w:val="24"/>
          <w:szCs w:val="24"/>
        </w:rPr>
      </w:pPr>
    </w:p>
    <w:p w14:paraId="5821FAA5" w14:textId="77777777" w:rsidR="00FE3D25" w:rsidRDefault="00FE3D25" w:rsidP="00FE3D25">
      <w:pPr>
        <w:spacing w:before="100" w:beforeAutospacing="1" w:after="100" w:afterAutospacing="1" w:line="240" w:lineRule="auto"/>
        <w:rPr>
          <w:rFonts w:ascii="Arial" w:hAnsi="Arial" w:cs="Arial"/>
          <w:b/>
          <w:bCs/>
          <w:sz w:val="24"/>
          <w:szCs w:val="24"/>
        </w:rPr>
      </w:pPr>
    </w:p>
    <w:p w14:paraId="2A99822E" w14:textId="77777777" w:rsidR="00FE3D25" w:rsidRDefault="00FE3D25" w:rsidP="00FE3D25">
      <w:pPr>
        <w:spacing w:before="100" w:beforeAutospacing="1" w:after="100" w:afterAutospacing="1" w:line="240" w:lineRule="auto"/>
        <w:rPr>
          <w:rFonts w:ascii="Arial" w:hAnsi="Arial" w:cs="Arial"/>
          <w:b/>
          <w:bCs/>
          <w:sz w:val="24"/>
          <w:szCs w:val="24"/>
        </w:rPr>
      </w:pPr>
    </w:p>
    <w:p w14:paraId="5E23EA50" w14:textId="77777777" w:rsidR="00FE3D25" w:rsidRDefault="00FE3D25" w:rsidP="00FE3D25">
      <w:pPr>
        <w:spacing w:before="100" w:beforeAutospacing="1" w:after="100" w:afterAutospacing="1" w:line="240" w:lineRule="auto"/>
        <w:rPr>
          <w:rFonts w:ascii="Arial" w:hAnsi="Arial" w:cs="Arial"/>
          <w:b/>
          <w:bCs/>
          <w:sz w:val="24"/>
          <w:szCs w:val="24"/>
        </w:rPr>
      </w:pPr>
    </w:p>
    <w:p w14:paraId="22E0E378" w14:textId="77777777" w:rsidR="00FE3D25" w:rsidRDefault="00FE3D25" w:rsidP="00FE3D25">
      <w:pPr>
        <w:spacing w:before="100" w:beforeAutospacing="1" w:after="100" w:afterAutospacing="1" w:line="240" w:lineRule="auto"/>
        <w:rPr>
          <w:rFonts w:ascii="Arial" w:hAnsi="Arial" w:cs="Arial"/>
          <w:b/>
          <w:bCs/>
          <w:sz w:val="24"/>
          <w:szCs w:val="24"/>
        </w:rPr>
      </w:pPr>
    </w:p>
    <w:p w14:paraId="2883355B" w14:textId="77777777" w:rsidR="009C76EB" w:rsidRDefault="009C76EB" w:rsidP="00FE3D25">
      <w:pPr>
        <w:spacing w:before="100" w:beforeAutospacing="1" w:after="100" w:afterAutospacing="1" w:line="240" w:lineRule="auto"/>
        <w:rPr>
          <w:rFonts w:ascii="Arial" w:hAnsi="Arial" w:cs="Arial"/>
          <w:b/>
          <w:bCs/>
          <w:sz w:val="24"/>
          <w:szCs w:val="24"/>
        </w:rPr>
      </w:pPr>
    </w:p>
    <w:p w14:paraId="4CA2B7D4" w14:textId="77777777" w:rsidR="009C76EB" w:rsidRDefault="009C76EB" w:rsidP="00FE3D25">
      <w:pPr>
        <w:spacing w:before="100" w:beforeAutospacing="1" w:after="100" w:afterAutospacing="1" w:line="240" w:lineRule="auto"/>
        <w:rPr>
          <w:rFonts w:ascii="Arial" w:hAnsi="Arial" w:cs="Arial"/>
          <w:b/>
          <w:bCs/>
          <w:sz w:val="24"/>
          <w:szCs w:val="24"/>
        </w:rPr>
      </w:pPr>
    </w:p>
    <w:p w14:paraId="19731CB4" w14:textId="77777777" w:rsidR="009C76EB" w:rsidRDefault="009C76EB" w:rsidP="00FE3D25">
      <w:pPr>
        <w:spacing w:before="100" w:beforeAutospacing="1" w:after="100" w:afterAutospacing="1" w:line="240" w:lineRule="auto"/>
        <w:rPr>
          <w:rFonts w:ascii="Arial" w:hAnsi="Arial" w:cs="Arial"/>
          <w:b/>
          <w:bCs/>
          <w:sz w:val="24"/>
          <w:szCs w:val="24"/>
        </w:rPr>
      </w:pPr>
    </w:p>
    <w:p w14:paraId="7020F350" w14:textId="77777777" w:rsidR="009C76EB" w:rsidRDefault="009C76EB" w:rsidP="00FE3D25">
      <w:pPr>
        <w:spacing w:before="100" w:beforeAutospacing="1" w:after="100" w:afterAutospacing="1" w:line="240" w:lineRule="auto"/>
        <w:rPr>
          <w:rFonts w:ascii="Arial" w:hAnsi="Arial" w:cs="Arial"/>
          <w:b/>
          <w:bCs/>
          <w:sz w:val="24"/>
          <w:szCs w:val="24"/>
        </w:rPr>
      </w:pPr>
    </w:p>
    <w:p w14:paraId="3B2340AB" w14:textId="77777777" w:rsidR="00FE3D25" w:rsidRPr="008D10AE" w:rsidRDefault="00FE3D25" w:rsidP="00FE3D25">
      <w:pPr>
        <w:spacing w:before="100" w:beforeAutospacing="1" w:after="100" w:afterAutospacing="1" w:line="240" w:lineRule="auto"/>
        <w:rPr>
          <w:rFonts w:ascii="Arial" w:hAnsi="Arial" w:cs="Arial"/>
          <w:sz w:val="24"/>
          <w:szCs w:val="24"/>
        </w:rPr>
      </w:pPr>
      <w:r w:rsidRPr="008D10AE">
        <w:rPr>
          <w:rFonts w:ascii="Arial" w:hAnsi="Arial" w:cs="Arial"/>
          <w:b/>
          <w:bCs/>
          <w:sz w:val="24"/>
          <w:szCs w:val="24"/>
        </w:rPr>
        <w:lastRenderedPageBreak/>
        <w:t>Results</w:t>
      </w:r>
    </w:p>
    <w:p w14:paraId="5274BCA8" w14:textId="77777777" w:rsidR="00FE3D25" w:rsidRPr="008D10AE" w:rsidRDefault="00FE3D25" w:rsidP="00FE3D25">
      <w:pPr>
        <w:spacing w:after="0" w:line="240" w:lineRule="auto"/>
        <w:rPr>
          <w:rFonts w:ascii="Arial" w:hAnsi="Arial" w:cs="Arial"/>
          <w:sz w:val="24"/>
          <w:szCs w:val="24"/>
        </w:rPr>
      </w:pPr>
    </w:p>
    <w:p w14:paraId="63765F62" w14:textId="77777777" w:rsidR="00FE3D25" w:rsidRPr="008D10AE" w:rsidRDefault="00FE3D25" w:rsidP="00FE3D25">
      <w:pPr>
        <w:spacing w:before="100" w:beforeAutospacing="1" w:after="100" w:afterAutospacing="1" w:line="240" w:lineRule="auto"/>
        <w:rPr>
          <w:rFonts w:ascii="Arial" w:hAnsi="Arial" w:cs="Arial"/>
          <w:b/>
          <w:bCs/>
          <w:sz w:val="24"/>
          <w:szCs w:val="24"/>
        </w:rPr>
      </w:pPr>
      <w:r w:rsidRPr="008D10AE">
        <w:rPr>
          <w:rFonts w:ascii="Arial" w:hAnsi="Arial" w:cs="Arial"/>
          <w:b/>
          <w:bCs/>
          <w:sz w:val="24"/>
          <w:szCs w:val="24"/>
        </w:rPr>
        <w:t>Table 1: Socio-Demographic Data of MD and BENVH Students at SHMS (SUZA), Zanzibar – 2024</w:t>
      </w:r>
      <w:r>
        <w:rPr>
          <w:rFonts w:ascii="Arial" w:hAnsi="Arial" w:cs="Arial"/>
          <w:b/>
          <w:bCs/>
          <w:sz w:val="24"/>
          <w:szCs w:val="24"/>
        </w:rPr>
        <w:t xml:space="preserve"> </w:t>
      </w:r>
      <w:r w:rsidRPr="0002031C">
        <w:rPr>
          <w:rFonts w:ascii="Arial" w:hAnsi="Arial" w:cs="Arial"/>
          <w:b/>
          <w:bCs/>
          <w:sz w:val="24"/>
          <w:szCs w:val="24"/>
          <w:highlight w:val="yellow"/>
        </w:rPr>
        <w:t>n=150</w:t>
      </w:r>
    </w:p>
    <w:tbl>
      <w:tblPr>
        <w:tblW w:w="95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05"/>
        <w:gridCol w:w="2970"/>
        <w:gridCol w:w="3330"/>
      </w:tblGrid>
      <w:tr w:rsidR="00FE3D25" w:rsidRPr="008D10AE" w14:paraId="75922E60" w14:textId="77777777" w:rsidTr="004672C1">
        <w:trPr>
          <w:tblHeader/>
          <w:tblCellSpacing w:w="15" w:type="dxa"/>
        </w:trPr>
        <w:tc>
          <w:tcPr>
            <w:tcW w:w="3160" w:type="dxa"/>
            <w:shd w:val="clear" w:color="auto" w:fill="F2F2F2"/>
            <w:vAlign w:val="center"/>
            <w:hideMark/>
          </w:tcPr>
          <w:p w14:paraId="4F361116" w14:textId="77777777" w:rsidR="00FE3D25" w:rsidRPr="008D10AE" w:rsidRDefault="00FE3D25" w:rsidP="004672C1">
            <w:pPr>
              <w:spacing w:after="0" w:line="240" w:lineRule="auto"/>
              <w:jc w:val="center"/>
              <w:rPr>
                <w:rFonts w:ascii="Arial" w:hAnsi="Arial" w:cs="Arial"/>
                <w:b/>
                <w:bCs/>
                <w:sz w:val="24"/>
                <w:szCs w:val="24"/>
              </w:rPr>
            </w:pPr>
            <w:r w:rsidRPr="008D10AE">
              <w:rPr>
                <w:rFonts w:ascii="Arial" w:hAnsi="Arial" w:cs="Arial"/>
                <w:b/>
                <w:bCs/>
                <w:sz w:val="24"/>
                <w:szCs w:val="24"/>
              </w:rPr>
              <w:t>VARIABLES</w:t>
            </w:r>
          </w:p>
        </w:tc>
        <w:tc>
          <w:tcPr>
            <w:tcW w:w="2940" w:type="dxa"/>
            <w:shd w:val="clear" w:color="auto" w:fill="F2F2F2"/>
            <w:vAlign w:val="center"/>
            <w:hideMark/>
          </w:tcPr>
          <w:p w14:paraId="683A54B4" w14:textId="77777777" w:rsidR="00FE3D25" w:rsidRPr="008D10AE" w:rsidRDefault="00FE3D25" w:rsidP="004672C1">
            <w:pPr>
              <w:spacing w:after="0" w:line="240" w:lineRule="auto"/>
              <w:jc w:val="center"/>
              <w:rPr>
                <w:rFonts w:ascii="Arial" w:hAnsi="Arial" w:cs="Arial"/>
                <w:b/>
                <w:bCs/>
                <w:sz w:val="24"/>
                <w:szCs w:val="24"/>
              </w:rPr>
            </w:pPr>
            <w:r w:rsidRPr="008D10AE">
              <w:rPr>
                <w:rFonts w:ascii="Arial" w:hAnsi="Arial" w:cs="Arial"/>
                <w:b/>
                <w:bCs/>
                <w:sz w:val="24"/>
                <w:szCs w:val="24"/>
              </w:rPr>
              <w:t>FREQUENCY</w:t>
            </w:r>
          </w:p>
        </w:tc>
        <w:tc>
          <w:tcPr>
            <w:tcW w:w="3285" w:type="dxa"/>
            <w:shd w:val="clear" w:color="auto" w:fill="F2F2F2"/>
            <w:vAlign w:val="center"/>
            <w:hideMark/>
          </w:tcPr>
          <w:p w14:paraId="20D063D2" w14:textId="77777777" w:rsidR="00FE3D25" w:rsidRPr="008D10AE" w:rsidRDefault="00FE3D25" w:rsidP="004672C1">
            <w:pPr>
              <w:spacing w:after="0" w:line="240" w:lineRule="auto"/>
              <w:jc w:val="center"/>
              <w:rPr>
                <w:rFonts w:ascii="Arial" w:hAnsi="Arial" w:cs="Arial"/>
                <w:b/>
                <w:bCs/>
                <w:sz w:val="24"/>
                <w:szCs w:val="24"/>
              </w:rPr>
            </w:pPr>
            <w:r w:rsidRPr="008D10AE">
              <w:rPr>
                <w:rFonts w:ascii="Arial" w:hAnsi="Arial" w:cs="Arial"/>
                <w:b/>
                <w:bCs/>
                <w:sz w:val="24"/>
                <w:szCs w:val="24"/>
              </w:rPr>
              <w:t>PERCENTAGE (%)</w:t>
            </w:r>
          </w:p>
        </w:tc>
      </w:tr>
    </w:tbl>
    <w:p w14:paraId="040A16D5" w14:textId="77777777" w:rsidR="00FE3D25" w:rsidRPr="008D10AE" w:rsidRDefault="00FE3D25" w:rsidP="00FE3D25">
      <w:pPr>
        <w:spacing w:after="0"/>
        <w:rPr>
          <w:rFonts w:ascii="Arial" w:hAnsi="Arial" w:cs="Arial"/>
          <w:vanish/>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2900"/>
        <w:gridCol w:w="3258"/>
      </w:tblGrid>
      <w:tr w:rsidR="00FE3D25" w:rsidRPr="00155F2A" w14:paraId="23F478BB" w14:textId="77777777" w:rsidTr="004672C1">
        <w:tc>
          <w:tcPr>
            <w:tcW w:w="9558" w:type="dxa"/>
            <w:gridSpan w:val="3"/>
            <w:tcBorders>
              <w:right w:val="single" w:sz="4" w:space="0" w:color="538135"/>
            </w:tcBorders>
            <w:shd w:val="clear" w:color="auto" w:fill="FFFFFF"/>
          </w:tcPr>
          <w:p w14:paraId="121AA9E5"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Age</w:t>
            </w:r>
          </w:p>
        </w:tc>
      </w:tr>
      <w:tr w:rsidR="00FE3D25" w:rsidRPr="00155F2A" w14:paraId="6C998C22" w14:textId="77777777" w:rsidTr="004672C1">
        <w:tc>
          <w:tcPr>
            <w:tcW w:w="3258" w:type="dxa"/>
            <w:shd w:val="clear" w:color="auto" w:fill="FFFFFF"/>
          </w:tcPr>
          <w:p w14:paraId="74C85CCC"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16-20</w:t>
            </w:r>
          </w:p>
          <w:p w14:paraId="459CE729"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21-25</w:t>
            </w:r>
          </w:p>
          <w:p w14:paraId="2F5CDCD9"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26-30</w:t>
            </w:r>
          </w:p>
          <w:p w14:paraId="18913937"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31-35</w:t>
            </w:r>
          </w:p>
          <w:p w14:paraId="164CB84B"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36-40</w:t>
            </w:r>
          </w:p>
        </w:tc>
        <w:tc>
          <w:tcPr>
            <w:tcW w:w="2970" w:type="dxa"/>
            <w:shd w:val="clear" w:color="auto" w:fill="FFFFFF"/>
          </w:tcPr>
          <w:p w14:paraId="1846C966"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33</w:t>
            </w:r>
          </w:p>
          <w:p w14:paraId="6EA911B6"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72</w:t>
            </w:r>
          </w:p>
          <w:p w14:paraId="67197424"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35</w:t>
            </w:r>
          </w:p>
          <w:p w14:paraId="56898130"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8</w:t>
            </w:r>
          </w:p>
          <w:p w14:paraId="742DEECB"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2</w:t>
            </w:r>
          </w:p>
        </w:tc>
        <w:tc>
          <w:tcPr>
            <w:tcW w:w="3330" w:type="dxa"/>
            <w:tcBorders>
              <w:right w:val="single" w:sz="4" w:space="0" w:color="538135"/>
            </w:tcBorders>
            <w:shd w:val="clear" w:color="auto" w:fill="FFFFFF"/>
          </w:tcPr>
          <w:p w14:paraId="212ED237"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22.0%</w:t>
            </w:r>
          </w:p>
          <w:p w14:paraId="1C43542F"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48.0%</w:t>
            </w:r>
          </w:p>
          <w:p w14:paraId="5E015E7F"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23.3%</w:t>
            </w:r>
          </w:p>
          <w:p w14:paraId="75931CA7"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5.3%</w:t>
            </w:r>
          </w:p>
          <w:p w14:paraId="27BF2FCD"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1.3%</w:t>
            </w:r>
          </w:p>
        </w:tc>
      </w:tr>
      <w:tr w:rsidR="00FE3D25" w:rsidRPr="00155F2A" w14:paraId="33C86D93" w14:textId="77777777" w:rsidTr="004672C1">
        <w:tc>
          <w:tcPr>
            <w:tcW w:w="9558" w:type="dxa"/>
            <w:gridSpan w:val="3"/>
            <w:tcBorders>
              <w:right w:val="single" w:sz="4" w:space="0" w:color="538135"/>
            </w:tcBorders>
            <w:shd w:val="clear" w:color="auto" w:fill="FFFFFF"/>
          </w:tcPr>
          <w:p w14:paraId="59A1EB30"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Gender</w:t>
            </w:r>
          </w:p>
        </w:tc>
      </w:tr>
      <w:tr w:rsidR="00FE3D25" w:rsidRPr="00155F2A" w14:paraId="5B5E86D8" w14:textId="77777777" w:rsidTr="004672C1">
        <w:tc>
          <w:tcPr>
            <w:tcW w:w="3258" w:type="dxa"/>
            <w:shd w:val="clear" w:color="auto" w:fill="FFFFFF"/>
          </w:tcPr>
          <w:p w14:paraId="2B2071C7"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Male</w:t>
            </w:r>
          </w:p>
          <w:p w14:paraId="16B99CD0"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Female</w:t>
            </w:r>
          </w:p>
        </w:tc>
        <w:tc>
          <w:tcPr>
            <w:tcW w:w="2970" w:type="dxa"/>
            <w:shd w:val="clear" w:color="auto" w:fill="FFFFFF"/>
          </w:tcPr>
          <w:p w14:paraId="69C18FE8"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56</w:t>
            </w:r>
          </w:p>
          <w:p w14:paraId="41BAA7E6"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94</w:t>
            </w:r>
          </w:p>
        </w:tc>
        <w:tc>
          <w:tcPr>
            <w:tcW w:w="3330" w:type="dxa"/>
            <w:tcBorders>
              <w:right w:val="single" w:sz="4" w:space="0" w:color="538135"/>
            </w:tcBorders>
            <w:shd w:val="clear" w:color="auto" w:fill="FFFFFF"/>
          </w:tcPr>
          <w:p w14:paraId="30C7FC9F"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37.3%</w:t>
            </w:r>
          </w:p>
          <w:p w14:paraId="03331FFB"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62.7%</w:t>
            </w:r>
          </w:p>
        </w:tc>
      </w:tr>
      <w:tr w:rsidR="00FE3D25" w:rsidRPr="00155F2A" w14:paraId="35289D44" w14:textId="77777777" w:rsidTr="004672C1">
        <w:tc>
          <w:tcPr>
            <w:tcW w:w="9558" w:type="dxa"/>
            <w:gridSpan w:val="3"/>
            <w:tcBorders>
              <w:right w:val="single" w:sz="4" w:space="0" w:color="538135"/>
            </w:tcBorders>
            <w:shd w:val="clear" w:color="auto" w:fill="FFFFFF"/>
          </w:tcPr>
          <w:p w14:paraId="5468022F"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Course</w:t>
            </w:r>
          </w:p>
        </w:tc>
      </w:tr>
      <w:tr w:rsidR="00FE3D25" w:rsidRPr="00155F2A" w14:paraId="419767A9" w14:textId="77777777" w:rsidTr="004672C1">
        <w:tc>
          <w:tcPr>
            <w:tcW w:w="3258" w:type="dxa"/>
            <w:shd w:val="clear" w:color="auto" w:fill="FFFFFF"/>
          </w:tcPr>
          <w:p w14:paraId="72260B86"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MD</w:t>
            </w:r>
          </w:p>
          <w:p w14:paraId="3894FB02"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BENVH</w:t>
            </w:r>
          </w:p>
        </w:tc>
        <w:tc>
          <w:tcPr>
            <w:tcW w:w="2970" w:type="dxa"/>
            <w:shd w:val="clear" w:color="auto" w:fill="FFFFFF"/>
          </w:tcPr>
          <w:p w14:paraId="466E41C9"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100</w:t>
            </w:r>
          </w:p>
          <w:p w14:paraId="0EDE8F7E"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50</w:t>
            </w:r>
          </w:p>
        </w:tc>
        <w:tc>
          <w:tcPr>
            <w:tcW w:w="3330" w:type="dxa"/>
            <w:tcBorders>
              <w:right w:val="single" w:sz="4" w:space="0" w:color="538135"/>
            </w:tcBorders>
            <w:shd w:val="clear" w:color="auto" w:fill="FFFFFF"/>
          </w:tcPr>
          <w:p w14:paraId="0B339597"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66.7%</w:t>
            </w:r>
          </w:p>
          <w:p w14:paraId="54FE79E7"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33.3%</w:t>
            </w:r>
          </w:p>
        </w:tc>
      </w:tr>
      <w:tr w:rsidR="00FE3D25" w:rsidRPr="00155F2A" w14:paraId="450E0AA1" w14:textId="77777777" w:rsidTr="004672C1">
        <w:tc>
          <w:tcPr>
            <w:tcW w:w="9558" w:type="dxa"/>
            <w:gridSpan w:val="3"/>
            <w:tcBorders>
              <w:right w:val="single" w:sz="4" w:space="0" w:color="538135"/>
            </w:tcBorders>
            <w:shd w:val="clear" w:color="auto" w:fill="FFFFFF"/>
          </w:tcPr>
          <w:p w14:paraId="6870A8F1"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Academic year</w:t>
            </w:r>
          </w:p>
        </w:tc>
      </w:tr>
      <w:tr w:rsidR="00FE3D25" w:rsidRPr="00155F2A" w14:paraId="3BE4D116" w14:textId="77777777" w:rsidTr="004672C1">
        <w:tc>
          <w:tcPr>
            <w:tcW w:w="3258" w:type="dxa"/>
            <w:shd w:val="clear" w:color="auto" w:fill="FFFFFF"/>
          </w:tcPr>
          <w:p w14:paraId="46BA9D9A"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First</w:t>
            </w:r>
          </w:p>
          <w:p w14:paraId="003CF1FE"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Second</w:t>
            </w:r>
          </w:p>
        </w:tc>
        <w:tc>
          <w:tcPr>
            <w:tcW w:w="2970" w:type="dxa"/>
            <w:shd w:val="clear" w:color="auto" w:fill="FFFFFF"/>
          </w:tcPr>
          <w:p w14:paraId="3D1C56F8"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85</w:t>
            </w:r>
          </w:p>
          <w:p w14:paraId="03413CB1"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65</w:t>
            </w:r>
          </w:p>
        </w:tc>
        <w:tc>
          <w:tcPr>
            <w:tcW w:w="3330" w:type="dxa"/>
            <w:tcBorders>
              <w:right w:val="single" w:sz="4" w:space="0" w:color="538135"/>
            </w:tcBorders>
            <w:shd w:val="clear" w:color="auto" w:fill="FFFFFF"/>
          </w:tcPr>
          <w:p w14:paraId="78C216EF"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56.7%</w:t>
            </w:r>
          </w:p>
          <w:p w14:paraId="48F6B75A"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43.3%</w:t>
            </w:r>
          </w:p>
        </w:tc>
      </w:tr>
      <w:tr w:rsidR="00FE3D25" w:rsidRPr="00155F2A" w14:paraId="37BFBB19" w14:textId="77777777" w:rsidTr="004672C1">
        <w:tc>
          <w:tcPr>
            <w:tcW w:w="9558" w:type="dxa"/>
            <w:gridSpan w:val="3"/>
            <w:tcBorders>
              <w:right w:val="single" w:sz="4" w:space="0" w:color="538135"/>
            </w:tcBorders>
            <w:shd w:val="clear" w:color="auto" w:fill="FFFFFF"/>
          </w:tcPr>
          <w:p w14:paraId="54360737"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Practice health services</w:t>
            </w:r>
          </w:p>
        </w:tc>
      </w:tr>
      <w:tr w:rsidR="00FE3D25" w:rsidRPr="00155F2A" w14:paraId="1ABE31B8" w14:textId="77777777" w:rsidTr="004672C1">
        <w:tc>
          <w:tcPr>
            <w:tcW w:w="3258" w:type="dxa"/>
            <w:shd w:val="clear" w:color="auto" w:fill="FFFFFF"/>
          </w:tcPr>
          <w:p w14:paraId="51797A0F"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Yes</w:t>
            </w:r>
          </w:p>
          <w:p w14:paraId="3C4C7255"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No</w:t>
            </w:r>
          </w:p>
        </w:tc>
        <w:tc>
          <w:tcPr>
            <w:tcW w:w="2970" w:type="dxa"/>
            <w:shd w:val="clear" w:color="auto" w:fill="FFFFFF"/>
          </w:tcPr>
          <w:p w14:paraId="5BCAFB66"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67</w:t>
            </w:r>
          </w:p>
          <w:p w14:paraId="151B4DB3"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83</w:t>
            </w:r>
          </w:p>
        </w:tc>
        <w:tc>
          <w:tcPr>
            <w:tcW w:w="3330" w:type="dxa"/>
            <w:tcBorders>
              <w:right w:val="single" w:sz="4" w:space="0" w:color="538135"/>
            </w:tcBorders>
            <w:shd w:val="clear" w:color="auto" w:fill="FFFFFF"/>
          </w:tcPr>
          <w:p w14:paraId="5380971B"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44.7%</w:t>
            </w:r>
          </w:p>
          <w:p w14:paraId="0731C0CD"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55.3%</w:t>
            </w:r>
          </w:p>
        </w:tc>
      </w:tr>
      <w:tr w:rsidR="00FE3D25" w:rsidRPr="00155F2A" w14:paraId="70124F3F" w14:textId="77777777" w:rsidTr="004672C1">
        <w:tc>
          <w:tcPr>
            <w:tcW w:w="9558" w:type="dxa"/>
            <w:gridSpan w:val="3"/>
            <w:tcBorders>
              <w:right w:val="single" w:sz="4" w:space="0" w:color="538135"/>
            </w:tcBorders>
            <w:shd w:val="clear" w:color="auto" w:fill="FFFFFF"/>
          </w:tcPr>
          <w:p w14:paraId="0D8630FF"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Relative with dementia</w:t>
            </w:r>
          </w:p>
        </w:tc>
      </w:tr>
      <w:tr w:rsidR="00FE3D25" w:rsidRPr="00155F2A" w14:paraId="2D45D5D8" w14:textId="77777777" w:rsidTr="004672C1">
        <w:tc>
          <w:tcPr>
            <w:tcW w:w="3258" w:type="dxa"/>
            <w:shd w:val="clear" w:color="auto" w:fill="FFFFFF"/>
          </w:tcPr>
          <w:p w14:paraId="09770EF7"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Yes</w:t>
            </w:r>
          </w:p>
          <w:p w14:paraId="3785BC93"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No</w:t>
            </w:r>
          </w:p>
        </w:tc>
        <w:tc>
          <w:tcPr>
            <w:tcW w:w="2970" w:type="dxa"/>
            <w:shd w:val="clear" w:color="auto" w:fill="FFFFFF"/>
          </w:tcPr>
          <w:p w14:paraId="20A018A3"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22</w:t>
            </w:r>
          </w:p>
          <w:p w14:paraId="38DDF8C3"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128</w:t>
            </w:r>
          </w:p>
        </w:tc>
        <w:tc>
          <w:tcPr>
            <w:tcW w:w="3330" w:type="dxa"/>
            <w:tcBorders>
              <w:right w:val="single" w:sz="4" w:space="0" w:color="538135"/>
            </w:tcBorders>
            <w:shd w:val="clear" w:color="auto" w:fill="FFFFFF"/>
          </w:tcPr>
          <w:p w14:paraId="369D189F"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14.7%</w:t>
            </w:r>
          </w:p>
          <w:p w14:paraId="43C6660D"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85.3%</w:t>
            </w:r>
          </w:p>
        </w:tc>
      </w:tr>
      <w:tr w:rsidR="00FE3D25" w:rsidRPr="00155F2A" w14:paraId="322568D3" w14:textId="77777777" w:rsidTr="004672C1">
        <w:tc>
          <w:tcPr>
            <w:tcW w:w="9558" w:type="dxa"/>
            <w:gridSpan w:val="3"/>
            <w:tcBorders>
              <w:right w:val="single" w:sz="4" w:space="0" w:color="538135"/>
            </w:tcBorders>
            <w:shd w:val="clear" w:color="auto" w:fill="FFFFFF"/>
          </w:tcPr>
          <w:p w14:paraId="6B298021"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Have you read any research about dementia</w:t>
            </w:r>
          </w:p>
        </w:tc>
      </w:tr>
      <w:tr w:rsidR="00FE3D25" w:rsidRPr="00155F2A" w14:paraId="4641BB59" w14:textId="77777777" w:rsidTr="004672C1">
        <w:tc>
          <w:tcPr>
            <w:tcW w:w="3258" w:type="dxa"/>
            <w:shd w:val="clear" w:color="auto" w:fill="FFFFFF"/>
          </w:tcPr>
          <w:p w14:paraId="603343C9"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Yes</w:t>
            </w:r>
          </w:p>
          <w:p w14:paraId="29BC6DC2"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No</w:t>
            </w:r>
          </w:p>
        </w:tc>
        <w:tc>
          <w:tcPr>
            <w:tcW w:w="2970" w:type="dxa"/>
            <w:shd w:val="clear" w:color="auto" w:fill="FFFFFF"/>
          </w:tcPr>
          <w:p w14:paraId="3CCB68FE"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30</w:t>
            </w:r>
          </w:p>
          <w:p w14:paraId="6287B6FB"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120</w:t>
            </w:r>
          </w:p>
        </w:tc>
        <w:tc>
          <w:tcPr>
            <w:tcW w:w="3330" w:type="dxa"/>
            <w:tcBorders>
              <w:right w:val="single" w:sz="4" w:space="0" w:color="538135"/>
            </w:tcBorders>
            <w:shd w:val="clear" w:color="auto" w:fill="FFFFFF"/>
          </w:tcPr>
          <w:p w14:paraId="0B83ABCE"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20.0%</w:t>
            </w:r>
          </w:p>
          <w:p w14:paraId="5562B189"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80.0%</w:t>
            </w:r>
          </w:p>
        </w:tc>
      </w:tr>
      <w:tr w:rsidR="00FE3D25" w:rsidRPr="00155F2A" w14:paraId="0A7622C6" w14:textId="77777777" w:rsidTr="004672C1">
        <w:tc>
          <w:tcPr>
            <w:tcW w:w="9558" w:type="dxa"/>
            <w:gridSpan w:val="3"/>
            <w:tcBorders>
              <w:right w:val="single" w:sz="4" w:space="0" w:color="538135"/>
            </w:tcBorders>
            <w:shd w:val="clear" w:color="auto" w:fill="FFFFFF"/>
          </w:tcPr>
          <w:p w14:paraId="62BD125B"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Have you heard about dementia or Alzheimer’s diseases</w:t>
            </w:r>
          </w:p>
        </w:tc>
      </w:tr>
      <w:tr w:rsidR="00FE3D25" w:rsidRPr="00155F2A" w14:paraId="079A4F6A" w14:textId="77777777" w:rsidTr="004672C1">
        <w:tc>
          <w:tcPr>
            <w:tcW w:w="3258" w:type="dxa"/>
            <w:shd w:val="clear" w:color="auto" w:fill="FFFFFF"/>
          </w:tcPr>
          <w:p w14:paraId="7120C71D"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Yes</w:t>
            </w:r>
          </w:p>
          <w:p w14:paraId="1183A4CA"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No</w:t>
            </w:r>
          </w:p>
        </w:tc>
        <w:tc>
          <w:tcPr>
            <w:tcW w:w="2970" w:type="dxa"/>
            <w:shd w:val="clear" w:color="auto" w:fill="FFFFFF"/>
          </w:tcPr>
          <w:p w14:paraId="0255999A"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124</w:t>
            </w:r>
          </w:p>
          <w:p w14:paraId="28F24F9C"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26</w:t>
            </w:r>
          </w:p>
        </w:tc>
        <w:tc>
          <w:tcPr>
            <w:tcW w:w="3330" w:type="dxa"/>
            <w:tcBorders>
              <w:right w:val="single" w:sz="4" w:space="0" w:color="538135"/>
            </w:tcBorders>
            <w:shd w:val="clear" w:color="auto" w:fill="FFFFFF"/>
          </w:tcPr>
          <w:p w14:paraId="72E4E305"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82.7%</w:t>
            </w:r>
          </w:p>
          <w:p w14:paraId="51E6355F" w14:textId="77777777" w:rsidR="00FE3D25" w:rsidRPr="00155F2A" w:rsidRDefault="00FE3D25" w:rsidP="004672C1">
            <w:pPr>
              <w:spacing w:after="0" w:line="240" w:lineRule="auto"/>
              <w:rPr>
                <w:rFonts w:ascii="Arial" w:hAnsi="Arial" w:cs="Arial"/>
                <w:sz w:val="24"/>
                <w:szCs w:val="24"/>
              </w:rPr>
            </w:pPr>
            <w:r w:rsidRPr="00155F2A">
              <w:rPr>
                <w:rFonts w:ascii="Arial" w:hAnsi="Arial" w:cs="Arial"/>
                <w:sz w:val="24"/>
                <w:szCs w:val="24"/>
              </w:rPr>
              <w:t>17.3%</w:t>
            </w:r>
          </w:p>
        </w:tc>
      </w:tr>
    </w:tbl>
    <w:p w14:paraId="45E53713" w14:textId="77777777" w:rsidR="00FE3D25" w:rsidRPr="00155F2A" w:rsidRDefault="00FE3D25" w:rsidP="00FE3D25">
      <w:pPr>
        <w:spacing w:before="100" w:beforeAutospacing="1" w:after="100" w:afterAutospacing="1" w:line="240" w:lineRule="auto"/>
        <w:rPr>
          <w:rFonts w:ascii="Arial" w:hAnsi="Arial" w:cs="Arial"/>
          <w:b/>
          <w:bCs/>
          <w:sz w:val="24"/>
          <w:szCs w:val="24"/>
        </w:rPr>
      </w:pPr>
    </w:p>
    <w:p w14:paraId="057EBC22" w14:textId="77777777" w:rsidR="00FE3D25" w:rsidRPr="00155F2A" w:rsidRDefault="00FE3D25" w:rsidP="00FE3D25">
      <w:pPr>
        <w:spacing w:before="100" w:beforeAutospacing="1" w:after="100" w:afterAutospacing="1" w:line="240" w:lineRule="auto"/>
        <w:rPr>
          <w:rFonts w:ascii="Arial" w:hAnsi="Arial" w:cs="Arial"/>
          <w:b/>
          <w:bCs/>
          <w:sz w:val="24"/>
          <w:szCs w:val="24"/>
        </w:rPr>
      </w:pPr>
      <w:r w:rsidRPr="00093234">
        <w:rPr>
          <w:noProof/>
        </w:rPr>
        <w:lastRenderedPageBreak/>
        <w:drawing>
          <wp:inline distT="0" distB="0" distL="0" distR="0" wp14:anchorId="665A46DE" wp14:editId="305DACB5">
            <wp:extent cx="5943600" cy="4431665"/>
            <wp:effectExtent l="0" t="0" r="0" b="698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A040ADD" w14:textId="77777777" w:rsidR="00FE3D25" w:rsidRPr="00155F2A" w:rsidRDefault="00FE3D25" w:rsidP="00FE3D25">
      <w:pPr>
        <w:spacing w:before="100" w:beforeAutospacing="1" w:after="100" w:afterAutospacing="1" w:line="240" w:lineRule="auto"/>
        <w:rPr>
          <w:rFonts w:ascii="Arial" w:hAnsi="Arial" w:cs="Arial"/>
          <w:b/>
          <w:bCs/>
          <w:sz w:val="24"/>
          <w:szCs w:val="24"/>
        </w:rPr>
      </w:pPr>
    </w:p>
    <w:p w14:paraId="3821A810" w14:textId="77777777" w:rsidR="00FE3D25" w:rsidRPr="00155F2A" w:rsidRDefault="00FE3D25" w:rsidP="00FE3D25">
      <w:pPr>
        <w:spacing w:before="100" w:beforeAutospacing="1" w:after="100" w:afterAutospacing="1" w:line="240" w:lineRule="auto"/>
        <w:rPr>
          <w:rFonts w:ascii="Arial" w:hAnsi="Arial" w:cs="Arial"/>
          <w:b/>
          <w:bCs/>
          <w:sz w:val="24"/>
          <w:szCs w:val="24"/>
        </w:rPr>
      </w:pPr>
    </w:p>
    <w:p w14:paraId="7E39373D" w14:textId="77777777" w:rsidR="00FE3D25" w:rsidRPr="00155F2A" w:rsidRDefault="00FE3D25" w:rsidP="00FE3D25">
      <w:pPr>
        <w:spacing w:after="0" w:line="240" w:lineRule="auto"/>
        <w:rPr>
          <w:rFonts w:ascii="Arial" w:hAnsi="Arial" w:cs="Arial"/>
          <w:sz w:val="24"/>
          <w:szCs w:val="24"/>
        </w:rPr>
      </w:pPr>
    </w:p>
    <w:p w14:paraId="74091FA9" w14:textId="77777777" w:rsidR="00FE3D25" w:rsidRDefault="00FE3D25" w:rsidP="00FE3D25">
      <w:pPr>
        <w:spacing w:before="100" w:beforeAutospacing="1" w:after="100" w:afterAutospacing="1" w:line="240" w:lineRule="auto"/>
        <w:rPr>
          <w:noProof/>
        </w:rPr>
      </w:pPr>
      <w:r w:rsidRPr="00093234">
        <w:rPr>
          <w:noProof/>
        </w:rPr>
        <w:lastRenderedPageBreak/>
        <w:drawing>
          <wp:inline distT="0" distB="0" distL="0" distR="0" wp14:anchorId="14B7717A" wp14:editId="5C890101">
            <wp:extent cx="5943600" cy="4274820"/>
            <wp:effectExtent l="0" t="0" r="0" b="1143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D108404" w14:textId="77777777" w:rsidR="00FE3D25" w:rsidRPr="00155F2A" w:rsidRDefault="00FE3D25" w:rsidP="00FE3D25">
      <w:pPr>
        <w:spacing w:before="100" w:beforeAutospacing="1" w:after="100" w:afterAutospacing="1" w:line="240" w:lineRule="auto"/>
        <w:rPr>
          <w:rFonts w:ascii="Arial" w:hAnsi="Arial" w:cs="Arial"/>
          <w:b/>
          <w:bCs/>
          <w:sz w:val="24"/>
          <w:szCs w:val="24"/>
        </w:rPr>
      </w:pPr>
    </w:p>
    <w:p w14:paraId="1DA55D67" w14:textId="77777777" w:rsidR="00FE3D25" w:rsidRPr="00155F2A" w:rsidRDefault="00FE3D25" w:rsidP="00FE3D25">
      <w:pPr>
        <w:spacing w:before="100" w:beforeAutospacing="1" w:after="100" w:afterAutospacing="1" w:line="240" w:lineRule="auto"/>
        <w:rPr>
          <w:rFonts w:ascii="Arial" w:hAnsi="Arial" w:cs="Arial"/>
          <w:b/>
          <w:bCs/>
          <w:sz w:val="24"/>
          <w:szCs w:val="24"/>
        </w:rPr>
      </w:pPr>
    </w:p>
    <w:p w14:paraId="6BFD0AFD" w14:textId="77777777" w:rsidR="00FE3D25" w:rsidRPr="00155F2A" w:rsidRDefault="00FE3D25" w:rsidP="00FE3D25">
      <w:pPr>
        <w:spacing w:before="100" w:beforeAutospacing="1" w:after="100" w:afterAutospacing="1" w:line="240" w:lineRule="auto"/>
        <w:rPr>
          <w:rFonts w:ascii="Arial" w:hAnsi="Arial" w:cs="Arial"/>
          <w:b/>
          <w:bCs/>
          <w:sz w:val="24"/>
          <w:szCs w:val="24"/>
        </w:rPr>
      </w:pPr>
    </w:p>
    <w:p w14:paraId="659B6C31" w14:textId="77777777" w:rsidR="00FE3D25" w:rsidRPr="00155F2A" w:rsidRDefault="00FE3D25" w:rsidP="00FE3D25">
      <w:pPr>
        <w:spacing w:before="100" w:beforeAutospacing="1" w:after="100" w:afterAutospacing="1" w:line="240" w:lineRule="auto"/>
        <w:rPr>
          <w:rFonts w:ascii="Arial" w:hAnsi="Arial" w:cs="Arial"/>
          <w:b/>
          <w:bCs/>
          <w:sz w:val="24"/>
          <w:szCs w:val="24"/>
        </w:rPr>
      </w:pPr>
    </w:p>
    <w:p w14:paraId="16927D61" w14:textId="77777777" w:rsidR="00FE3D25" w:rsidRPr="00155F2A" w:rsidRDefault="00FE3D25" w:rsidP="00FE3D25">
      <w:pPr>
        <w:pStyle w:val="Heading3"/>
        <w:rPr>
          <w:rFonts w:ascii="Arial" w:hAnsi="Arial" w:cs="Arial"/>
          <w:sz w:val="24"/>
          <w:szCs w:val="24"/>
          <w:lang w:val="en-GB"/>
        </w:rPr>
      </w:pPr>
      <w:bookmarkStart w:id="0" w:name="_Toc171607292"/>
      <w:r w:rsidRPr="00093234">
        <w:rPr>
          <w:noProof/>
        </w:rPr>
        <w:lastRenderedPageBreak/>
        <w:drawing>
          <wp:inline distT="0" distB="0" distL="0" distR="0" wp14:anchorId="0EF8593C" wp14:editId="68840C6A">
            <wp:extent cx="5938520" cy="4978400"/>
            <wp:effectExtent l="0" t="0" r="5080" b="1270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CE0A318" w14:textId="77777777" w:rsidR="00FE3D25" w:rsidRPr="00155F2A" w:rsidRDefault="00FE3D25" w:rsidP="00FE3D25">
      <w:pPr>
        <w:pStyle w:val="Heading3"/>
        <w:rPr>
          <w:rFonts w:ascii="Arial" w:hAnsi="Arial" w:cs="Arial"/>
          <w:sz w:val="24"/>
          <w:szCs w:val="24"/>
          <w:lang w:val="en-GB"/>
        </w:rPr>
      </w:pPr>
    </w:p>
    <w:p w14:paraId="20DD93AE" w14:textId="77777777" w:rsidR="00FE3D25" w:rsidRPr="00155F2A" w:rsidRDefault="00FE3D25" w:rsidP="00FE3D25">
      <w:pPr>
        <w:pStyle w:val="Heading3"/>
        <w:rPr>
          <w:rFonts w:ascii="Arial" w:hAnsi="Arial" w:cs="Arial"/>
          <w:sz w:val="24"/>
          <w:szCs w:val="24"/>
          <w:lang w:val="en-GB"/>
        </w:rPr>
      </w:pPr>
    </w:p>
    <w:p w14:paraId="6F774A62" w14:textId="77777777" w:rsidR="00FE3D25" w:rsidRPr="00155F2A" w:rsidRDefault="00FE3D25" w:rsidP="00FE3D25">
      <w:pPr>
        <w:pStyle w:val="Heading3"/>
        <w:rPr>
          <w:rFonts w:ascii="Arial" w:hAnsi="Arial" w:cs="Arial"/>
          <w:sz w:val="24"/>
          <w:szCs w:val="24"/>
          <w:lang w:val="en-GB"/>
        </w:rPr>
      </w:pPr>
    </w:p>
    <w:p w14:paraId="4E6D7914" w14:textId="77777777" w:rsidR="00FE3D25" w:rsidRPr="00155F2A" w:rsidRDefault="00FE3D25" w:rsidP="00FE3D25">
      <w:pPr>
        <w:pStyle w:val="Heading3"/>
        <w:rPr>
          <w:rFonts w:ascii="Arial" w:hAnsi="Arial" w:cs="Arial"/>
          <w:sz w:val="24"/>
          <w:szCs w:val="24"/>
          <w:lang w:val="en-GB"/>
        </w:rPr>
      </w:pPr>
    </w:p>
    <w:p w14:paraId="58CAC842" w14:textId="77777777" w:rsidR="00FE3D25" w:rsidRPr="00155F2A" w:rsidRDefault="00FE3D25" w:rsidP="00FE3D25">
      <w:pPr>
        <w:pStyle w:val="Heading3"/>
        <w:rPr>
          <w:rFonts w:ascii="Arial" w:hAnsi="Arial" w:cs="Arial"/>
          <w:sz w:val="24"/>
          <w:szCs w:val="24"/>
          <w:lang w:val="en-GB"/>
        </w:rPr>
      </w:pPr>
    </w:p>
    <w:p w14:paraId="76717D91" w14:textId="77777777" w:rsidR="00FE3D25" w:rsidRPr="00155F2A" w:rsidRDefault="00FE3D25" w:rsidP="00FE3D25">
      <w:pPr>
        <w:pStyle w:val="Heading3"/>
        <w:rPr>
          <w:rFonts w:ascii="Arial" w:hAnsi="Arial" w:cs="Arial"/>
          <w:sz w:val="24"/>
          <w:szCs w:val="24"/>
          <w:lang w:val="en-GB"/>
        </w:rPr>
      </w:pPr>
    </w:p>
    <w:p w14:paraId="7AEB0B99" w14:textId="77777777" w:rsidR="00FE3D25" w:rsidRPr="00155F2A" w:rsidRDefault="00FE3D25" w:rsidP="00FE3D25">
      <w:pPr>
        <w:pStyle w:val="Heading3"/>
        <w:rPr>
          <w:rFonts w:ascii="Arial" w:hAnsi="Arial" w:cs="Arial"/>
          <w:sz w:val="24"/>
          <w:szCs w:val="24"/>
          <w:lang w:val="en-GB"/>
        </w:rPr>
      </w:pPr>
    </w:p>
    <w:p w14:paraId="2628EA63" w14:textId="77777777" w:rsidR="00FE3D25" w:rsidRPr="00155F2A" w:rsidRDefault="00FE3D25" w:rsidP="00FE3D25">
      <w:pPr>
        <w:pStyle w:val="Heading3"/>
        <w:rPr>
          <w:rFonts w:ascii="Arial" w:hAnsi="Arial" w:cs="Arial"/>
          <w:sz w:val="24"/>
          <w:szCs w:val="24"/>
          <w:lang w:val="en-GB"/>
        </w:rPr>
      </w:pPr>
    </w:p>
    <w:p w14:paraId="0AB4B0E9" w14:textId="77777777" w:rsidR="00FE3D25" w:rsidRPr="00155F2A" w:rsidRDefault="00FE3D25" w:rsidP="00FE3D25">
      <w:pPr>
        <w:pStyle w:val="Heading3"/>
        <w:rPr>
          <w:rFonts w:ascii="Arial" w:hAnsi="Arial" w:cs="Arial"/>
          <w:sz w:val="24"/>
          <w:szCs w:val="24"/>
          <w:lang w:val="en-GB"/>
        </w:rPr>
      </w:pPr>
    </w:p>
    <w:p w14:paraId="50F37F0F" w14:textId="77777777" w:rsidR="00FE3D25" w:rsidRPr="00155F2A" w:rsidRDefault="00FE3D25" w:rsidP="00FE3D25">
      <w:pPr>
        <w:pStyle w:val="Heading3"/>
        <w:rPr>
          <w:rFonts w:ascii="Arial" w:hAnsi="Arial" w:cs="Arial"/>
          <w:sz w:val="24"/>
          <w:szCs w:val="24"/>
          <w:lang w:val="en-GB"/>
        </w:rPr>
      </w:pPr>
    </w:p>
    <w:p w14:paraId="285E46EE" w14:textId="77777777" w:rsidR="00FE3D25" w:rsidRPr="00155F2A" w:rsidRDefault="00FE3D25" w:rsidP="00FE3D25">
      <w:pPr>
        <w:pStyle w:val="Heading3"/>
        <w:rPr>
          <w:rFonts w:ascii="Arial" w:hAnsi="Arial" w:cs="Arial"/>
          <w:sz w:val="24"/>
          <w:szCs w:val="24"/>
          <w:lang w:val="en-GB"/>
        </w:rPr>
      </w:pPr>
    </w:p>
    <w:p w14:paraId="43D3E231" w14:textId="77777777" w:rsidR="00FE3D25" w:rsidRPr="00155F2A" w:rsidRDefault="00FE3D25" w:rsidP="00FE3D25">
      <w:pPr>
        <w:pStyle w:val="Heading3"/>
        <w:rPr>
          <w:rFonts w:ascii="Arial" w:hAnsi="Arial" w:cs="Arial"/>
          <w:sz w:val="24"/>
          <w:szCs w:val="24"/>
        </w:rPr>
      </w:pPr>
      <w:r w:rsidRPr="00155F2A">
        <w:rPr>
          <w:rFonts w:ascii="Arial" w:hAnsi="Arial" w:cs="Arial"/>
          <w:sz w:val="24"/>
          <w:szCs w:val="24"/>
          <w:lang w:val="en-GB"/>
        </w:rPr>
        <w:t xml:space="preserve">Table </w:t>
      </w:r>
      <w:r>
        <w:rPr>
          <w:rFonts w:ascii="Arial" w:hAnsi="Arial" w:cs="Arial"/>
          <w:sz w:val="24"/>
          <w:szCs w:val="24"/>
          <w:lang w:val="en-GB"/>
        </w:rPr>
        <w:t>2</w:t>
      </w:r>
      <w:r w:rsidRPr="00155F2A">
        <w:rPr>
          <w:rFonts w:ascii="Arial" w:hAnsi="Arial" w:cs="Arial"/>
          <w:sz w:val="24"/>
          <w:szCs w:val="24"/>
          <w:lang w:val="en-GB"/>
        </w:rPr>
        <w:t>: Stigm</w:t>
      </w:r>
      <w:r>
        <w:rPr>
          <w:rFonts w:ascii="Arial" w:hAnsi="Arial" w:cs="Arial"/>
          <w:sz w:val="24"/>
          <w:szCs w:val="24"/>
          <w:lang w:val="en-GB"/>
        </w:rPr>
        <w:t>a Assessment Among MD and BENVH S</w:t>
      </w:r>
      <w:r w:rsidRPr="00155F2A">
        <w:rPr>
          <w:rFonts w:ascii="Arial" w:hAnsi="Arial" w:cs="Arial"/>
          <w:sz w:val="24"/>
          <w:szCs w:val="24"/>
          <w:lang w:val="en-GB"/>
        </w:rPr>
        <w:t>tudents, SHMS, Zanzibar- 2024</w:t>
      </w:r>
      <w:bookmarkEnd w:id="0"/>
      <w:r>
        <w:rPr>
          <w:rFonts w:ascii="Arial" w:hAnsi="Arial" w:cs="Arial"/>
          <w:sz w:val="24"/>
          <w:szCs w:val="24"/>
          <w:lang w:val="en-GB"/>
        </w:rPr>
        <w:t xml:space="preserve"> n=150</w:t>
      </w:r>
    </w:p>
    <w:tbl>
      <w:tblPr>
        <w:tblpPr w:leftFromText="180" w:rightFromText="180" w:vertAnchor="text" w:tblpY="1"/>
        <w:tblOverlap w:val="never"/>
        <w:tblW w:w="8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1250"/>
        <w:gridCol w:w="1250"/>
        <w:gridCol w:w="1460"/>
      </w:tblGrid>
      <w:tr w:rsidR="00FE3D25" w:rsidRPr="00155F2A" w14:paraId="5DE53A3A" w14:textId="77777777" w:rsidTr="004672C1">
        <w:trPr>
          <w:trHeight w:val="800"/>
        </w:trPr>
        <w:tc>
          <w:tcPr>
            <w:tcW w:w="0" w:type="auto"/>
            <w:vMerge w:val="restart"/>
            <w:shd w:val="clear" w:color="auto" w:fill="F2F2F2"/>
          </w:tcPr>
          <w:p w14:paraId="32994173"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Stigma</w:t>
            </w:r>
            <w:r>
              <w:rPr>
                <w:rFonts w:ascii="Arial" w:hAnsi="Arial" w:cs="Arial"/>
                <w:sz w:val="24"/>
                <w:szCs w:val="24"/>
              </w:rPr>
              <w:t>,</w:t>
            </w:r>
            <w:r w:rsidRPr="00155F2A">
              <w:rPr>
                <w:rFonts w:ascii="Arial" w:hAnsi="Arial" w:cs="Arial"/>
                <w:sz w:val="24"/>
                <w:szCs w:val="24"/>
              </w:rPr>
              <w:t xml:space="preserve"> according to the questionnaire</w:t>
            </w:r>
          </w:p>
        </w:tc>
        <w:tc>
          <w:tcPr>
            <w:tcW w:w="0" w:type="auto"/>
            <w:gridSpan w:val="2"/>
            <w:tcBorders>
              <w:bottom w:val="single" w:sz="4" w:space="0" w:color="auto"/>
            </w:tcBorders>
            <w:shd w:val="clear" w:color="auto" w:fill="F2F2F2"/>
          </w:tcPr>
          <w:p w14:paraId="3C70B5D7"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Course</w:t>
            </w:r>
          </w:p>
        </w:tc>
        <w:tc>
          <w:tcPr>
            <w:tcW w:w="0" w:type="auto"/>
            <w:vMerge w:val="restart"/>
            <w:shd w:val="clear" w:color="auto" w:fill="F2F2F2"/>
          </w:tcPr>
          <w:p w14:paraId="4AFCC382" w14:textId="77777777" w:rsidR="00FE3D25" w:rsidRPr="00155F2A" w:rsidRDefault="00FE3D25" w:rsidP="004672C1">
            <w:pPr>
              <w:tabs>
                <w:tab w:val="left" w:pos="185"/>
              </w:tabs>
              <w:spacing w:before="400" w:after="400"/>
              <w:rPr>
                <w:rFonts w:ascii="Arial" w:hAnsi="Arial" w:cs="Arial"/>
                <w:sz w:val="24"/>
                <w:szCs w:val="24"/>
              </w:rPr>
            </w:pPr>
            <w:r w:rsidRPr="00155F2A">
              <w:rPr>
                <w:rFonts w:ascii="Arial" w:hAnsi="Arial" w:cs="Arial"/>
                <w:sz w:val="24"/>
                <w:szCs w:val="24"/>
              </w:rPr>
              <w:tab/>
              <w:t xml:space="preserve">Total </w:t>
            </w:r>
          </w:p>
        </w:tc>
      </w:tr>
      <w:tr w:rsidR="00FE3D25" w:rsidRPr="00155F2A" w14:paraId="4EEFA20F" w14:textId="77777777" w:rsidTr="004672C1">
        <w:trPr>
          <w:trHeight w:val="773"/>
        </w:trPr>
        <w:tc>
          <w:tcPr>
            <w:tcW w:w="0" w:type="auto"/>
            <w:vMerge/>
            <w:shd w:val="clear" w:color="auto" w:fill="F2F2F2"/>
          </w:tcPr>
          <w:p w14:paraId="3DF7A168" w14:textId="77777777" w:rsidR="00FE3D25" w:rsidRPr="00155F2A" w:rsidRDefault="00FE3D25" w:rsidP="004672C1">
            <w:pPr>
              <w:spacing w:before="400" w:after="400"/>
              <w:jc w:val="center"/>
              <w:rPr>
                <w:rFonts w:ascii="Arial" w:hAnsi="Arial" w:cs="Arial"/>
                <w:sz w:val="24"/>
                <w:szCs w:val="24"/>
              </w:rPr>
            </w:pPr>
          </w:p>
        </w:tc>
        <w:tc>
          <w:tcPr>
            <w:tcW w:w="0" w:type="auto"/>
            <w:tcBorders>
              <w:top w:val="single" w:sz="4" w:space="0" w:color="auto"/>
              <w:right w:val="single" w:sz="4" w:space="0" w:color="auto"/>
            </w:tcBorders>
            <w:shd w:val="clear" w:color="auto" w:fill="F2F2F2"/>
          </w:tcPr>
          <w:p w14:paraId="5FF7E08E"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MD</w:t>
            </w:r>
          </w:p>
        </w:tc>
        <w:tc>
          <w:tcPr>
            <w:tcW w:w="0" w:type="auto"/>
            <w:tcBorders>
              <w:top w:val="single" w:sz="4" w:space="0" w:color="auto"/>
              <w:left w:val="single" w:sz="4" w:space="0" w:color="auto"/>
            </w:tcBorders>
            <w:shd w:val="clear" w:color="auto" w:fill="F2F2F2"/>
          </w:tcPr>
          <w:p w14:paraId="436E9641"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BENVH</w:t>
            </w:r>
          </w:p>
        </w:tc>
        <w:tc>
          <w:tcPr>
            <w:tcW w:w="0" w:type="auto"/>
            <w:vMerge/>
            <w:shd w:val="clear" w:color="auto" w:fill="FFFFFF"/>
          </w:tcPr>
          <w:p w14:paraId="04872052" w14:textId="77777777" w:rsidR="00FE3D25" w:rsidRPr="00155F2A" w:rsidRDefault="00FE3D25" w:rsidP="004672C1">
            <w:pPr>
              <w:tabs>
                <w:tab w:val="left" w:pos="185"/>
              </w:tabs>
              <w:spacing w:before="400" w:after="400"/>
              <w:rPr>
                <w:rFonts w:ascii="Arial" w:hAnsi="Arial" w:cs="Arial"/>
                <w:sz w:val="24"/>
                <w:szCs w:val="24"/>
              </w:rPr>
            </w:pPr>
          </w:p>
        </w:tc>
      </w:tr>
      <w:tr w:rsidR="00FE3D25" w:rsidRPr="00155F2A" w14:paraId="2A7736F9" w14:textId="77777777" w:rsidTr="004672C1">
        <w:trPr>
          <w:trHeight w:val="492"/>
        </w:trPr>
        <w:tc>
          <w:tcPr>
            <w:tcW w:w="0" w:type="auto"/>
            <w:shd w:val="clear" w:color="auto" w:fill="FFFFFF"/>
          </w:tcPr>
          <w:p w14:paraId="5A290319"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No stigma</w:t>
            </w:r>
          </w:p>
        </w:tc>
        <w:tc>
          <w:tcPr>
            <w:tcW w:w="0" w:type="auto"/>
            <w:tcBorders>
              <w:right w:val="single" w:sz="4" w:space="0" w:color="auto"/>
            </w:tcBorders>
            <w:shd w:val="clear" w:color="auto" w:fill="FFFFFF"/>
          </w:tcPr>
          <w:p w14:paraId="7268B444"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3(3%)</w:t>
            </w:r>
          </w:p>
        </w:tc>
        <w:tc>
          <w:tcPr>
            <w:tcW w:w="0" w:type="auto"/>
            <w:tcBorders>
              <w:left w:val="single" w:sz="4" w:space="0" w:color="auto"/>
            </w:tcBorders>
            <w:shd w:val="clear" w:color="auto" w:fill="FFFFFF"/>
          </w:tcPr>
          <w:p w14:paraId="35D87AE8"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1(2%)</w:t>
            </w:r>
          </w:p>
        </w:tc>
        <w:tc>
          <w:tcPr>
            <w:tcW w:w="0" w:type="auto"/>
            <w:shd w:val="clear" w:color="auto" w:fill="FFFFFF"/>
          </w:tcPr>
          <w:p w14:paraId="4CEFE6D4"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4(2.7%)</w:t>
            </w:r>
          </w:p>
        </w:tc>
      </w:tr>
      <w:tr w:rsidR="00FE3D25" w:rsidRPr="00155F2A" w14:paraId="7868981E" w14:textId="77777777" w:rsidTr="004672C1">
        <w:trPr>
          <w:trHeight w:val="812"/>
        </w:trPr>
        <w:tc>
          <w:tcPr>
            <w:tcW w:w="0" w:type="auto"/>
            <w:shd w:val="clear" w:color="auto" w:fill="FFFFFF"/>
          </w:tcPr>
          <w:p w14:paraId="3A84ADC6"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Moderate stigma</w:t>
            </w:r>
          </w:p>
        </w:tc>
        <w:tc>
          <w:tcPr>
            <w:tcW w:w="0" w:type="auto"/>
            <w:tcBorders>
              <w:right w:val="single" w:sz="4" w:space="0" w:color="auto"/>
            </w:tcBorders>
            <w:shd w:val="clear" w:color="auto" w:fill="FFFFFF"/>
          </w:tcPr>
          <w:p w14:paraId="0F0B4B11"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40 (40%)</w:t>
            </w:r>
          </w:p>
        </w:tc>
        <w:tc>
          <w:tcPr>
            <w:tcW w:w="0" w:type="auto"/>
            <w:tcBorders>
              <w:left w:val="single" w:sz="4" w:space="0" w:color="auto"/>
            </w:tcBorders>
            <w:shd w:val="clear" w:color="auto" w:fill="FFFFFF"/>
          </w:tcPr>
          <w:p w14:paraId="3F4B7F40"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21 (42%)</w:t>
            </w:r>
          </w:p>
        </w:tc>
        <w:tc>
          <w:tcPr>
            <w:tcW w:w="0" w:type="auto"/>
            <w:shd w:val="clear" w:color="auto" w:fill="FFFFFF"/>
          </w:tcPr>
          <w:p w14:paraId="4E5D9D4E"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61 (26.7%)</w:t>
            </w:r>
          </w:p>
        </w:tc>
      </w:tr>
      <w:tr w:rsidR="00FE3D25" w:rsidRPr="00155F2A" w14:paraId="4234817D" w14:textId="77777777" w:rsidTr="004672C1">
        <w:trPr>
          <w:trHeight w:val="541"/>
        </w:trPr>
        <w:tc>
          <w:tcPr>
            <w:tcW w:w="0" w:type="auto"/>
            <w:tcBorders>
              <w:bottom w:val="single" w:sz="4" w:space="0" w:color="auto"/>
            </w:tcBorders>
            <w:shd w:val="clear" w:color="auto" w:fill="FFFFFF"/>
          </w:tcPr>
          <w:p w14:paraId="5FA0AE7B"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High stigma</w:t>
            </w:r>
          </w:p>
        </w:tc>
        <w:tc>
          <w:tcPr>
            <w:tcW w:w="0" w:type="auto"/>
            <w:tcBorders>
              <w:bottom w:val="single" w:sz="4" w:space="0" w:color="auto"/>
              <w:right w:val="single" w:sz="4" w:space="0" w:color="auto"/>
            </w:tcBorders>
            <w:shd w:val="clear" w:color="auto" w:fill="FFFFFF"/>
          </w:tcPr>
          <w:p w14:paraId="3252A0FE"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57 (57%)</w:t>
            </w:r>
          </w:p>
        </w:tc>
        <w:tc>
          <w:tcPr>
            <w:tcW w:w="0" w:type="auto"/>
            <w:tcBorders>
              <w:left w:val="single" w:sz="4" w:space="0" w:color="auto"/>
              <w:bottom w:val="single" w:sz="4" w:space="0" w:color="auto"/>
            </w:tcBorders>
            <w:shd w:val="clear" w:color="auto" w:fill="FFFFFF"/>
          </w:tcPr>
          <w:p w14:paraId="26F6F0DD"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28 (56%)</w:t>
            </w:r>
          </w:p>
        </w:tc>
        <w:tc>
          <w:tcPr>
            <w:tcW w:w="0" w:type="auto"/>
            <w:tcBorders>
              <w:bottom w:val="single" w:sz="4" w:space="0" w:color="auto"/>
            </w:tcBorders>
            <w:shd w:val="clear" w:color="auto" w:fill="FFFFFF"/>
          </w:tcPr>
          <w:p w14:paraId="6A8317CA"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85(56.6%)</w:t>
            </w:r>
          </w:p>
        </w:tc>
      </w:tr>
      <w:tr w:rsidR="00FE3D25" w:rsidRPr="00155F2A" w14:paraId="08BD257C" w14:textId="77777777" w:rsidTr="004672C1">
        <w:trPr>
          <w:trHeight w:val="182"/>
        </w:trPr>
        <w:tc>
          <w:tcPr>
            <w:tcW w:w="0" w:type="auto"/>
            <w:tcBorders>
              <w:top w:val="single" w:sz="4" w:space="0" w:color="auto"/>
              <w:bottom w:val="single" w:sz="4" w:space="0" w:color="auto"/>
            </w:tcBorders>
            <w:shd w:val="clear" w:color="auto" w:fill="FFFFFF"/>
          </w:tcPr>
          <w:p w14:paraId="735881D5"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Total</w:t>
            </w:r>
          </w:p>
        </w:tc>
        <w:tc>
          <w:tcPr>
            <w:tcW w:w="0" w:type="auto"/>
            <w:tcBorders>
              <w:top w:val="single" w:sz="4" w:space="0" w:color="auto"/>
              <w:bottom w:val="single" w:sz="4" w:space="0" w:color="auto"/>
              <w:right w:val="single" w:sz="4" w:space="0" w:color="auto"/>
            </w:tcBorders>
            <w:shd w:val="clear" w:color="auto" w:fill="FFFFFF"/>
          </w:tcPr>
          <w:p w14:paraId="2579B806"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100</w:t>
            </w:r>
          </w:p>
        </w:tc>
        <w:tc>
          <w:tcPr>
            <w:tcW w:w="0" w:type="auto"/>
            <w:tcBorders>
              <w:top w:val="single" w:sz="4" w:space="0" w:color="auto"/>
              <w:left w:val="single" w:sz="4" w:space="0" w:color="auto"/>
              <w:bottom w:val="single" w:sz="4" w:space="0" w:color="auto"/>
            </w:tcBorders>
            <w:shd w:val="clear" w:color="auto" w:fill="FFFFFF"/>
          </w:tcPr>
          <w:p w14:paraId="49958A88"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50</w:t>
            </w:r>
          </w:p>
        </w:tc>
        <w:tc>
          <w:tcPr>
            <w:tcW w:w="0" w:type="auto"/>
            <w:tcBorders>
              <w:top w:val="single" w:sz="4" w:space="0" w:color="auto"/>
              <w:bottom w:val="single" w:sz="4" w:space="0" w:color="auto"/>
            </w:tcBorders>
            <w:shd w:val="clear" w:color="auto" w:fill="FFFFFF"/>
          </w:tcPr>
          <w:p w14:paraId="08F060C5" w14:textId="77777777" w:rsidR="00FE3D25" w:rsidRPr="00155F2A" w:rsidRDefault="00FE3D25" w:rsidP="004672C1">
            <w:pPr>
              <w:spacing w:before="400" w:after="400"/>
              <w:jc w:val="center"/>
              <w:rPr>
                <w:rFonts w:ascii="Arial" w:hAnsi="Arial" w:cs="Arial"/>
                <w:sz w:val="24"/>
                <w:szCs w:val="24"/>
              </w:rPr>
            </w:pPr>
            <w:r w:rsidRPr="00155F2A">
              <w:rPr>
                <w:rFonts w:ascii="Arial" w:hAnsi="Arial" w:cs="Arial"/>
                <w:sz w:val="24"/>
                <w:szCs w:val="24"/>
              </w:rPr>
              <w:t>150</w:t>
            </w:r>
          </w:p>
        </w:tc>
      </w:tr>
      <w:tr w:rsidR="00FE3D25" w:rsidRPr="00155F2A" w14:paraId="35A7FF5D" w14:textId="77777777" w:rsidTr="004672C1">
        <w:trPr>
          <w:trHeight w:val="637"/>
        </w:trPr>
        <w:tc>
          <w:tcPr>
            <w:tcW w:w="0" w:type="auto"/>
            <w:gridSpan w:val="4"/>
            <w:tcBorders>
              <w:top w:val="single" w:sz="4" w:space="0" w:color="auto"/>
            </w:tcBorders>
            <w:shd w:val="clear" w:color="auto" w:fill="FFFFFF"/>
          </w:tcPr>
          <w:p w14:paraId="5B53B733" w14:textId="77777777" w:rsidR="00FE3D25" w:rsidRPr="00155F2A" w:rsidRDefault="00FE3D25" w:rsidP="004672C1">
            <w:pPr>
              <w:spacing w:before="400" w:after="400" w:line="240" w:lineRule="auto"/>
              <w:rPr>
                <w:rFonts w:ascii="Arial" w:hAnsi="Arial" w:cs="Arial"/>
                <w:sz w:val="24"/>
                <w:szCs w:val="24"/>
              </w:rPr>
            </w:pPr>
            <w:r w:rsidRPr="00155F2A">
              <w:rPr>
                <w:rFonts w:ascii="Arial" w:hAnsi="Arial" w:cs="Arial"/>
                <w:sz w:val="24"/>
                <w:szCs w:val="24"/>
              </w:rPr>
              <w:t>Pearson Chi square</w:t>
            </w:r>
            <w:r>
              <w:rPr>
                <w:rFonts w:ascii="Arial" w:hAnsi="Arial" w:cs="Arial"/>
                <w:sz w:val="24"/>
                <w:szCs w:val="24"/>
              </w:rPr>
              <w:t xml:space="preserve"> =</w:t>
            </w:r>
            <w:r w:rsidRPr="00155F2A">
              <w:rPr>
                <w:rFonts w:ascii="Arial" w:hAnsi="Arial" w:cs="Arial"/>
                <w:sz w:val="24"/>
                <w:szCs w:val="24"/>
              </w:rPr>
              <w:t>0.164 sig</w:t>
            </w:r>
            <w:r>
              <w:rPr>
                <w:rFonts w:ascii="Arial" w:hAnsi="Arial" w:cs="Arial"/>
                <w:sz w:val="24"/>
                <w:szCs w:val="24"/>
              </w:rPr>
              <w:t xml:space="preserve">= </w:t>
            </w:r>
            <w:r w:rsidRPr="00155F2A">
              <w:rPr>
                <w:rFonts w:ascii="Arial" w:hAnsi="Arial" w:cs="Arial"/>
                <w:sz w:val="24"/>
                <w:szCs w:val="24"/>
              </w:rPr>
              <w:t>0.921    Anova F</w:t>
            </w:r>
            <w:r>
              <w:rPr>
                <w:rFonts w:ascii="Arial" w:hAnsi="Arial" w:cs="Arial"/>
                <w:sz w:val="24"/>
                <w:szCs w:val="24"/>
              </w:rPr>
              <w:t>=0</w:t>
            </w:r>
            <w:r w:rsidRPr="00155F2A">
              <w:rPr>
                <w:rFonts w:ascii="Arial" w:hAnsi="Arial" w:cs="Arial"/>
                <w:sz w:val="24"/>
                <w:szCs w:val="24"/>
              </w:rPr>
              <w:t>.000 sig1.000</w:t>
            </w:r>
          </w:p>
        </w:tc>
      </w:tr>
    </w:tbl>
    <w:p w14:paraId="08FC527A" w14:textId="77777777" w:rsidR="00FE3D25" w:rsidRPr="00155F2A" w:rsidRDefault="00FE3D25" w:rsidP="00FE3D25">
      <w:pPr>
        <w:spacing w:before="400" w:after="400" w:line="240" w:lineRule="auto"/>
        <w:rPr>
          <w:rFonts w:ascii="Arial" w:hAnsi="Arial" w:cs="Arial"/>
          <w:sz w:val="24"/>
          <w:szCs w:val="24"/>
        </w:rPr>
      </w:pPr>
    </w:p>
    <w:p w14:paraId="52F4D4EE" w14:textId="77777777" w:rsidR="00FE3D25" w:rsidRPr="00155F2A" w:rsidRDefault="00FE3D25" w:rsidP="00FE3D25">
      <w:pPr>
        <w:spacing w:before="400" w:after="400" w:line="240" w:lineRule="auto"/>
        <w:rPr>
          <w:rFonts w:ascii="Arial" w:hAnsi="Arial" w:cs="Arial"/>
          <w:sz w:val="24"/>
          <w:szCs w:val="24"/>
        </w:rPr>
      </w:pPr>
    </w:p>
    <w:p w14:paraId="15999AA9" w14:textId="77777777" w:rsidR="00FE3D25" w:rsidRPr="00155F2A" w:rsidRDefault="00FE3D25" w:rsidP="00FE3D25">
      <w:pPr>
        <w:spacing w:before="400" w:after="400" w:line="240" w:lineRule="auto"/>
        <w:rPr>
          <w:rFonts w:ascii="Arial" w:hAnsi="Arial" w:cs="Arial"/>
          <w:sz w:val="24"/>
          <w:szCs w:val="24"/>
        </w:rPr>
      </w:pPr>
    </w:p>
    <w:p w14:paraId="40CF03F6" w14:textId="77777777" w:rsidR="00FE3D25" w:rsidRPr="00155F2A" w:rsidRDefault="00FE3D25" w:rsidP="00FE3D25">
      <w:pPr>
        <w:spacing w:before="400" w:after="400" w:line="240" w:lineRule="auto"/>
        <w:rPr>
          <w:rFonts w:ascii="Arial" w:hAnsi="Arial" w:cs="Arial"/>
          <w:sz w:val="24"/>
          <w:szCs w:val="24"/>
        </w:rPr>
      </w:pPr>
    </w:p>
    <w:p w14:paraId="60D7C18B" w14:textId="77777777" w:rsidR="00FE3D25" w:rsidRPr="00155F2A" w:rsidRDefault="00FE3D25" w:rsidP="00FE3D25">
      <w:pPr>
        <w:spacing w:before="400" w:after="400" w:line="240" w:lineRule="auto"/>
        <w:rPr>
          <w:rFonts w:ascii="Arial" w:hAnsi="Arial" w:cs="Arial"/>
          <w:sz w:val="24"/>
          <w:szCs w:val="24"/>
        </w:rPr>
      </w:pPr>
    </w:p>
    <w:p w14:paraId="5028CEC8" w14:textId="77777777" w:rsidR="00FE3D25" w:rsidRPr="00155F2A" w:rsidRDefault="00FE3D25" w:rsidP="00FE3D25">
      <w:pPr>
        <w:spacing w:before="400" w:after="400" w:line="240" w:lineRule="auto"/>
        <w:rPr>
          <w:rFonts w:ascii="Arial" w:hAnsi="Arial" w:cs="Arial"/>
          <w:sz w:val="24"/>
          <w:szCs w:val="24"/>
        </w:rPr>
      </w:pPr>
    </w:p>
    <w:p w14:paraId="4891ADF7" w14:textId="77777777" w:rsidR="00FE3D25" w:rsidRPr="00155F2A" w:rsidRDefault="00FE3D25" w:rsidP="00FE3D25">
      <w:pPr>
        <w:pStyle w:val="Heading3"/>
        <w:shd w:val="clear" w:color="auto" w:fill="FFFFFF"/>
        <w:rPr>
          <w:rFonts w:ascii="Arial" w:hAnsi="Arial" w:cs="Arial"/>
          <w:sz w:val="24"/>
          <w:szCs w:val="24"/>
        </w:rPr>
      </w:pPr>
    </w:p>
    <w:p w14:paraId="17CBB85F" w14:textId="77777777" w:rsidR="00FE3D25" w:rsidRPr="00155F2A" w:rsidRDefault="00FE3D25" w:rsidP="00FE3D25">
      <w:pPr>
        <w:spacing w:before="100" w:beforeAutospacing="1" w:after="100" w:afterAutospacing="1" w:line="240" w:lineRule="auto"/>
        <w:outlineLvl w:val="2"/>
        <w:rPr>
          <w:rFonts w:ascii="Arial" w:hAnsi="Arial" w:cs="Arial"/>
          <w:b/>
          <w:bCs/>
          <w:sz w:val="24"/>
          <w:szCs w:val="24"/>
        </w:rPr>
      </w:pPr>
    </w:p>
    <w:p w14:paraId="7D6CCD9B" w14:textId="77777777" w:rsidR="00FE3D25" w:rsidRPr="00155F2A" w:rsidRDefault="00FE3D25" w:rsidP="00FE3D25">
      <w:pPr>
        <w:spacing w:before="100" w:beforeAutospacing="1" w:after="100" w:afterAutospacing="1" w:line="240" w:lineRule="auto"/>
        <w:outlineLvl w:val="2"/>
        <w:rPr>
          <w:rFonts w:ascii="Arial" w:hAnsi="Arial" w:cs="Arial"/>
          <w:b/>
          <w:bCs/>
          <w:sz w:val="24"/>
          <w:szCs w:val="24"/>
        </w:rPr>
      </w:pPr>
    </w:p>
    <w:p w14:paraId="52189CE2" w14:textId="77777777" w:rsidR="00FE3D25" w:rsidRDefault="00FE3D25" w:rsidP="00FE3D25">
      <w:pPr>
        <w:spacing w:before="100" w:beforeAutospacing="1" w:after="100" w:afterAutospacing="1" w:line="240" w:lineRule="auto"/>
        <w:outlineLvl w:val="2"/>
        <w:rPr>
          <w:rFonts w:ascii="Arial" w:hAnsi="Arial" w:cs="Arial"/>
          <w:b/>
          <w:bCs/>
          <w:sz w:val="24"/>
          <w:szCs w:val="24"/>
        </w:rPr>
      </w:pPr>
    </w:p>
    <w:p w14:paraId="15476165" w14:textId="77777777" w:rsidR="00FE3D25" w:rsidRDefault="00FE3D25" w:rsidP="00FE3D25">
      <w:pPr>
        <w:spacing w:before="100" w:beforeAutospacing="1" w:after="100" w:afterAutospacing="1" w:line="240" w:lineRule="auto"/>
        <w:outlineLvl w:val="2"/>
        <w:rPr>
          <w:rFonts w:ascii="Arial" w:hAnsi="Arial" w:cs="Arial"/>
          <w:bCs/>
          <w:i/>
          <w:sz w:val="24"/>
          <w:szCs w:val="24"/>
          <w:highlight w:val="yellow"/>
        </w:rPr>
      </w:pPr>
    </w:p>
    <w:p w14:paraId="6E702A9E" w14:textId="77777777" w:rsidR="00FE3D25" w:rsidRDefault="00FE3D25" w:rsidP="00FE3D25">
      <w:pPr>
        <w:spacing w:before="100" w:beforeAutospacing="1" w:after="100" w:afterAutospacing="1" w:line="240" w:lineRule="auto"/>
        <w:outlineLvl w:val="2"/>
        <w:rPr>
          <w:rFonts w:ascii="Arial" w:hAnsi="Arial" w:cs="Arial"/>
          <w:bCs/>
          <w:i/>
          <w:sz w:val="24"/>
          <w:szCs w:val="24"/>
          <w:highlight w:val="yellow"/>
        </w:rPr>
      </w:pPr>
    </w:p>
    <w:p w14:paraId="601FE1D0" w14:textId="77777777" w:rsidR="00FE3D25" w:rsidRDefault="00FE3D25" w:rsidP="00FE3D25">
      <w:pPr>
        <w:spacing w:before="100" w:beforeAutospacing="1" w:after="100" w:afterAutospacing="1" w:line="240" w:lineRule="auto"/>
        <w:outlineLvl w:val="2"/>
        <w:rPr>
          <w:rFonts w:ascii="Arial" w:hAnsi="Arial" w:cs="Arial"/>
          <w:bCs/>
          <w:i/>
          <w:sz w:val="24"/>
          <w:szCs w:val="24"/>
          <w:highlight w:val="yellow"/>
        </w:rPr>
      </w:pPr>
    </w:p>
    <w:p w14:paraId="4226D07D" w14:textId="77777777" w:rsidR="00FE3D25" w:rsidRDefault="00FE3D25" w:rsidP="00FE3D25">
      <w:pPr>
        <w:spacing w:before="100" w:beforeAutospacing="1" w:after="100" w:afterAutospacing="1" w:line="240" w:lineRule="auto"/>
        <w:outlineLvl w:val="2"/>
        <w:rPr>
          <w:rFonts w:ascii="Arial" w:hAnsi="Arial" w:cs="Arial"/>
          <w:bCs/>
          <w:i/>
          <w:sz w:val="24"/>
          <w:szCs w:val="24"/>
          <w:highlight w:val="yellow"/>
        </w:rPr>
      </w:pPr>
    </w:p>
    <w:p w14:paraId="661922C6" w14:textId="77777777" w:rsidR="00FE3D25" w:rsidRPr="008D10AE" w:rsidRDefault="00FE3D25" w:rsidP="00FE3D25">
      <w:pPr>
        <w:spacing w:before="100" w:beforeAutospacing="1" w:after="100" w:afterAutospacing="1" w:line="240" w:lineRule="auto"/>
        <w:outlineLvl w:val="2"/>
        <w:rPr>
          <w:rFonts w:ascii="Arial" w:hAnsi="Arial" w:cs="Arial"/>
          <w:sz w:val="24"/>
          <w:szCs w:val="24"/>
        </w:rPr>
      </w:pPr>
      <w:r>
        <w:rPr>
          <w:rFonts w:ascii="Arial" w:hAnsi="Arial" w:cs="Arial"/>
          <w:bCs/>
          <w:i/>
          <w:sz w:val="24"/>
          <w:szCs w:val="24"/>
          <w:highlight w:val="yellow"/>
        </w:rPr>
        <w:t xml:space="preserve">Demographic </w:t>
      </w:r>
      <w:r w:rsidRPr="009B49CA">
        <w:rPr>
          <w:rFonts w:ascii="Arial" w:hAnsi="Arial" w:cs="Arial"/>
          <w:bCs/>
          <w:i/>
          <w:sz w:val="24"/>
          <w:szCs w:val="24"/>
          <w:highlight w:val="yellow"/>
        </w:rPr>
        <w:t>Characteristics of the participants:</w:t>
      </w:r>
      <w:r>
        <w:rPr>
          <w:rFonts w:ascii="Arial" w:hAnsi="Arial" w:cs="Arial"/>
          <w:b/>
          <w:bCs/>
          <w:sz w:val="24"/>
          <w:szCs w:val="24"/>
        </w:rPr>
        <w:t xml:space="preserve"> </w:t>
      </w:r>
      <w:r w:rsidRPr="008D10AE">
        <w:rPr>
          <w:rFonts w:ascii="Arial" w:hAnsi="Arial" w:cs="Arial"/>
          <w:sz w:val="24"/>
          <w:szCs w:val="24"/>
        </w:rPr>
        <w:t xml:space="preserve">A total of 150 students participated, with 100 MD students and 50 BENVH students. The highest age group was 21-25 years, comprising 72 students (48.0% of the total participants), with ages ranging from 16 to 40 years. The majority (62.7%) were female. Additionally, 56.7% were in their first academic year, and 55.3% had not previously </w:t>
      </w:r>
      <w:proofErr w:type="spellStart"/>
      <w:r>
        <w:rPr>
          <w:rFonts w:ascii="Arial" w:hAnsi="Arial" w:cs="Arial"/>
          <w:sz w:val="24"/>
          <w:szCs w:val="24"/>
        </w:rPr>
        <w:t>practised</w:t>
      </w:r>
      <w:proofErr w:type="spellEnd"/>
      <w:r w:rsidRPr="008D10AE">
        <w:rPr>
          <w:rFonts w:ascii="Arial" w:hAnsi="Arial" w:cs="Arial"/>
          <w:sz w:val="24"/>
          <w:szCs w:val="24"/>
        </w:rPr>
        <w:t xml:space="preserve"> health services. Most students (85.3%) did not have relatives with dementia, and 80.0% had not read dementia research, despite 82.7% having heard of dementia or Alzheimer’s disease. </w:t>
      </w:r>
      <w:r w:rsidRPr="00536678">
        <w:rPr>
          <w:rFonts w:ascii="Arial" w:hAnsi="Arial" w:cs="Arial"/>
          <w:sz w:val="24"/>
          <w:szCs w:val="24"/>
          <w:highlight w:val="yellow"/>
        </w:rPr>
        <w:t>(Table 1)</w:t>
      </w:r>
    </w:p>
    <w:p w14:paraId="6D57FE30" w14:textId="77777777" w:rsidR="00FE3D25" w:rsidRPr="007414F5" w:rsidRDefault="00FE3D25" w:rsidP="00FE3D25">
      <w:pPr>
        <w:pStyle w:val="NormalWeb"/>
        <w:jc w:val="both"/>
        <w:rPr>
          <w:rFonts w:ascii="Arial" w:hAnsi="Arial" w:cs="Arial"/>
          <w:highlight w:val="yellow"/>
        </w:rPr>
      </w:pPr>
      <w:r w:rsidRPr="007414F5">
        <w:rPr>
          <w:rFonts w:ascii="Arial" w:hAnsi="Arial" w:cs="Arial"/>
          <w:highlight w:val="yellow"/>
        </w:rPr>
        <w:lastRenderedPageBreak/>
        <w:t xml:space="preserve">The assessment of student </w:t>
      </w:r>
      <w:r w:rsidRPr="007414F5">
        <w:rPr>
          <w:rFonts w:ascii="Arial" w:hAnsi="Arial" w:cs="Arial"/>
          <w:i/>
          <w:highlight w:val="yellow"/>
        </w:rPr>
        <w:t>attitudes</w:t>
      </w:r>
      <w:r w:rsidRPr="007414F5">
        <w:rPr>
          <w:rFonts w:ascii="Arial" w:hAnsi="Arial" w:cs="Arial"/>
          <w:highlight w:val="yellow"/>
        </w:rPr>
        <w:t xml:space="preserve"> toward dementia reveals generally positive and empathetic views among both medical and environmental health students. A large majority (76.7%) were open to sharing a house with a family member who has dementia, and most students (79.3%) rejected the belief that people with dementia are responsible for their condition. Similarly, 79.3% did not view individuals with dementia as violent or dangerous, and 86% stated they would not feel ashamed if someone in their family had dementia. Furthermore, 79.3% reported they would not be afraid to have a conversation with someone living with dementia, although a small proportion expressed hesitation, possibly due to perceived communication barriers. Additionally, 85.3% said they would not be scared to have a </w:t>
      </w:r>
      <w:proofErr w:type="spellStart"/>
      <w:r>
        <w:rPr>
          <w:rFonts w:ascii="Arial" w:hAnsi="Arial" w:cs="Arial"/>
          <w:highlight w:val="yellow"/>
        </w:rPr>
        <w:t>neighbour</w:t>
      </w:r>
      <w:proofErr w:type="spellEnd"/>
      <w:r w:rsidRPr="007414F5">
        <w:rPr>
          <w:rFonts w:ascii="Arial" w:hAnsi="Arial" w:cs="Arial"/>
          <w:highlight w:val="yellow"/>
        </w:rPr>
        <w:t xml:space="preserve"> with dementia, indicating generally low levels of fear or avoidance.</w:t>
      </w:r>
    </w:p>
    <w:p w14:paraId="63BF65BB" w14:textId="77777777" w:rsidR="00FE3D25" w:rsidRPr="00424ACA" w:rsidRDefault="00FE3D25" w:rsidP="00FE3D25">
      <w:pPr>
        <w:pStyle w:val="NormalWeb"/>
        <w:jc w:val="both"/>
        <w:rPr>
          <w:rFonts w:ascii="Arial" w:hAnsi="Arial" w:cs="Arial"/>
        </w:rPr>
      </w:pPr>
      <w:r w:rsidRPr="007414F5">
        <w:rPr>
          <w:rFonts w:ascii="Arial" w:hAnsi="Arial" w:cs="Arial"/>
          <w:highlight w:val="yellow"/>
        </w:rPr>
        <w:t>When asked about the living arrangements for individuals with dementia, an overwhelming 94% agreed that people with dementia can live in the community, reflecting support for inclusion and independent living. However, attitudes were more divided regarding institutional care</w:t>
      </w:r>
      <w:r>
        <w:rPr>
          <w:rFonts w:ascii="Arial" w:hAnsi="Arial" w:cs="Arial"/>
          <w:highlight w:val="yellow"/>
        </w:rPr>
        <w:t>. While</w:t>
      </w:r>
      <w:r w:rsidRPr="007414F5">
        <w:rPr>
          <w:rFonts w:ascii="Arial" w:hAnsi="Arial" w:cs="Arial"/>
          <w:highlight w:val="yellow"/>
        </w:rPr>
        <w:t xml:space="preserve"> 56.7% believed that people with dementia should live in nursing homes, a notable 43.3% disagreed, suggesting recognition of alternative care models or the desire to support </w:t>
      </w:r>
      <w:r w:rsidR="009C76EB">
        <w:rPr>
          <w:rFonts w:ascii="Arial" w:hAnsi="Arial" w:cs="Arial"/>
          <w:highlight w:val="yellow"/>
        </w:rPr>
        <w:t>ageing</w:t>
      </w:r>
      <w:r w:rsidRPr="007414F5">
        <w:rPr>
          <w:rFonts w:ascii="Arial" w:hAnsi="Arial" w:cs="Arial"/>
          <w:highlight w:val="yellow"/>
        </w:rPr>
        <w:t xml:space="preserve"> in place. Despite these generally positive attitudes, the responses also reflect underlying uncertainties and modest levels of stigma, indicating areas where further education and awareness are needed</w:t>
      </w:r>
      <w:r w:rsidRPr="00424ACA">
        <w:rPr>
          <w:rFonts w:ascii="Arial" w:hAnsi="Arial" w:cs="Arial"/>
        </w:rPr>
        <w:t>.</w:t>
      </w:r>
      <w:r>
        <w:rPr>
          <w:rFonts w:ascii="Arial" w:hAnsi="Arial" w:cs="Arial"/>
        </w:rPr>
        <w:t xml:space="preserve"> </w:t>
      </w:r>
      <w:r w:rsidRPr="00536678">
        <w:rPr>
          <w:rFonts w:ascii="Arial" w:hAnsi="Arial" w:cs="Arial"/>
          <w:highlight w:val="yellow"/>
        </w:rPr>
        <w:t>(Fig 1)</w:t>
      </w:r>
    </w:p>
    <w:p w14:paraId="40AE9F29" w14:textId="77777777" w:rsidR="00FE3D25" w:rsidRPr="008D10AE" w:rsidRDefault="00FE3D25" w:rsidP="00FE3D25">
      <w:pPr>
        <w:pStyle w:val="ListParagraph"/>
        <w:spacing w:before="100" w:beforeAutospacing="1" w:after="100" w:afterAutospacing="1" w:line="240" w:lineRule="auto"/>
        <w:outlineLvl w:val="3"/>
        <w:rPr>
          <w:rFonts w:ascii="Arial" w:hAnsi="Arial" w:cs="Arial"/>
          <w:b/>
          <w:bCs/>
          <w:sz w:val="24"/>
          <w:szCs w:val="24"/>
        </w:rPr>
      </w:pPr>
    </w:p>
    <w:p w14:paraId="061CB4C6" w14:textId="77777777" w:rsidR="00FE3D25" w:rsidRPr="008D10AE" w:rsidRDefault="00FE3D25" w:rsidP="00FE3D25">
      <w:pPr>
        <w:spacing w:before="100" w:beforeAutospacing="1" w:after="100" w:afterAutospacing="1" w:line="240" w:lineRule="auto"/>
        <w:outlineLvl w:val="3"/>
        <w:rPr>
          <w:rFonts w:ascii="Arial" w:hAnsi="Arial" w:cs="Arial"/>
          <w:sz w:val="24"/>
          <w:szCs w:val="24"/>
        </w:rPr>
      </w:pPr>
      <w:r w:rsidRPr="008D10AE">
        <w:rPr>
          <w:rFonts w:ascii="Arial" w:hAnsi="Arial" w:cs="Arial"/>
          <w:b/>
          <w:bCs/>
          <w:sz w:val="24"/>
          <w:szCs w:val="24"/>
        </w:rPr>
        <w:t xml:space="preserve">  </w:t>
      </w:r>
      <w:r w:rsidRPr="009B49CA">
        <w:rPr>
          <w:rFonts w:ascii="Arial" w:hAnsi="Arial" w:cs="Arial"/>
          <w:bCs/>
          <w:i/>
          <w:sz w:val="24"/>
          <w:szCs w:val="24"/>
        </w:rPr>
        <w:t>Distribution of Attitudes by Course</w:t>
      </w:r>
      <w:r w:rsidRPr="008D10AE">
        <w:rPr>
          <w:rFonts w:ascii="Arial" w:hAnsi="Arial" w:cs="Arial"/>
          <w:b/>
          <w:bCs/>
          <w:sz w:val="24"/>
          <w:szCs w:val="24"/>
        </w:rPr>
        <w:t>:</w:t>
      </w:r>
      <w:r>
        <w:rPr>
          <w:rFonts w:ascii="Arial" w:hAnsi="Arial" w:cs="Arial"/>
          <w:b/>
          <w:bCs/>
          <w:sz w:val="24"/>
          <w:szCs w:val="24"/>
        </w:rPr>
        <w:t xml:space="preserve"> </w:t>
      </w:r>
      <w:r w:rsidRPr="008D10AE">
        <w:rPr>
          <w:rFonts w:ascii="Arial" w:hAnsi="Arial" w:cs="Arial"/>
          <w:bCs/>
          <w:i/>
          <w:sz w:val="24"/>
          <w:szCs w:val="24"/>
        </w:rPr>
        <w:t>Good Attitude</w:t>
      </w:r>
      <w:r w:rsidRPr="008D10AE">
        <w:rPr>
          <w:rFonts w:ascii="Arial" w:hAnsi="Arial" w:cs="Arial"/>
          <w:i/>
          <w:sz w:val="24"/>
          <w:szCs w:val="24"/>
        </w:rPr>
        <w:t>:</w:t>
      </w:r>
      <w:r w:rsidRPr="008D10AE">
        <w:rPr>
          <w:rFonts w:ascii="Arial" w:hAnsi="Arial" w:cs="Arial"/>
          <w:sz w:val="24"/>
          <w:szCs w:val="24"/>
        </w:rPr>
        <w:t xml:space="preserve"> A majority of participants in both groups have a good attitude toward dementia, with 78% of MD students and 68% of BENVH students reporting this. This suggests that, overall, both groups tend to have a positive perspective on dementia.</w:t>
      </w:r>
      <w:r>
        <w:rPr>
          <w:rFonts w:ascii="Arial" w:hAnsi="Arial" w:cs="Arial"/>
          <w:sz w:val="24"/>
          <w:szCs w:val="24"/>
        </w:rPr>
        <w:t xml:space="preserve">  </w:t>
      </w:r>
      <w:r w:rsidRPr="008D10AE">
        <w:rPr>
          <w:rFonts w:ascii="Arial" w:hAnsi="Arial" w:cs="Arial"/>
          <w:bCs/>
          <w:i/>
          <w:sz w:val="24"/>
          <w:szCs w:val="24"/>
        </w:rPr>
        <w:t>Moderate Attitude</w:t>
      </w:r>
      <w:r w:rsidRPr="008D10AE">
        <w:rPr>
          <w:rFonts w:ascii="Arial" w:hAnsi="Arial" w:cs="Arial"/>
          <w:i/>
          <w:sz w:val="24"/>
          <w:szCs w:val="24"/>
        </w:rPr>
        <w:t>:</w:t>
      </w:r>
      <w:r w:rsidRPr="008D10AE">
        <w:rPr>
          <w:rFonts w:ascii="Arial" w:hAnsi="Arial" w:cs="Arial"/>
          <w:sz w:val="24"/>
          <w:szCs w:val="24"/>
        </w:rPr>
        <w:t xml:space="preserve"> 18% of MD students and 32% of BENVH students have a moderate attitude toward dementia. This </w:t>
      </w:r>
      <w:r>
        <w:rPr>
          <w:rFonts w:ascii="Arial" w:hAnsi="Arial" w:cs="Arial"/>
          <w:sz w:val="24"/>
          <w:szCs w:val="24"/>
        </w:rPr>
        <w:t>indicates that a larger proportion of BENVH students hold a more neutral or less favorable view compared to MD students, although this remains</w:t>
      </w:r>
      <w:r w:rsidRPr="008D10AE">
        <w:rPr>
          <w:rFonts w:ascii="Arial" w:hAnsi="Arial" w:cs="Arial"/>
          <w:sz w:val="24"/>
          <w:szCs w:val="24"/>
        </w:rPr>
        <w:t xml:space="preserve"> a sizable minority.</w:t>
      </w:r>
      <w:r>
        <w:rPr>
          <w:rFonts w:ascii="Arial" w:hAnsi="Arial" w:cs="Arial"/>
          <w:sz w:val="24"/>
          <w:szCs w:val="24"/>
        </w:rPr>
        <w:t xml:space="preserve"> </w:t>
      </w:r>
      <w:r w:rsidRPr="008D10AE">
        <w:rPr>
          <w:rFonts w:ascii="Arial" w:hAnsi="Arial" w:cs="Arial"/>
          <w:bCs/>
          <w:i/>
          <w:sz w:val="24"/>
          <w:szCs w:val="24"/>
        </w:rPr>
        <w:t>Poor Attitude</w:t>
      </w:r>
      <w:r w:rsidRPr="008D10AE">
        <w:rPr>
          <w:rFonts w:ascii="Arial" w:hAnsi="Arial" w:cs="Arial"/>
          <w:i/>
          <w:sz w:val="24"/>
          <w:szCs w:val="24"/>
        </w:rPr>
        <w:t>:</w:t>
      </w:r>
      <w:r w:rsidRPr="008D10AE">
        <w:rPr>
          <w:rFonts w:ascii="Arial" w:hAnsi="Arial" w:cs="Arial"/>
          <w:sz w:val="24"/>
          <w:szCs w:val="24"/>
        </w:rPr>
        <w:t xml:space="preserve"> The percentage of participants with a poor attitude is low overall, with only 4% of MD students and none from BENVH students. This suggests that, while stigma and negative attitudes may exist, they are not widespre</w:t>
      </w:r>
      <w:r>
        <w:rPr>
          <w:rFonts w:ascii="Arial" w:hAnsi="Arial" w:cs="Arial"/>
          <w:sz w:val="24"/>
          <w:szCs w:val="24"/>
        </w:rPr>
        <w:t xml:space="preserve">ad across either group. </w:t>
      </w:r>
      <w:r w:rsidRPr="00536678">
        <w:rPr>
          <w:rFonts w:ascii="Arial" w:hAnsi="Arial" w:cs="Arial"/>
          <w:sz w:val="24"/>
          <w:szCs w:val="24"/>
          <w:highlight w:val="yellow"/>
        </w:rPr>
        <w:t>(</w:t>
      </w:r>
      <w:r w:rsidR="009C76EB">
        <w:rPr>
          <w:rFonts w:ascii="Arial" w:hAnsi="Arial" w:cs="Arial"/>
          <w:sz w:val="24"/>
          <w:szCs w:val="24"/>
          <w:highlight w:val="yellow"/>
        </w:rPr>
        <w:t>Fig.</w:t>
      </w:r>
      <w:r w:rsidRPr="00536678">
        <w:rPr>
          <w:rFonts w:ascii="Arial" w:hAnsi="Arial" w:cs="Arial"/>
          <w:sz w:val="24"/>
          <w:szCs w:val="24"/>
          <w:highlight w:val="yellow"/>
        </w:rPr>
        <w:t xml:space="preserve"> 2)</w:t>
      </w:r>
    </w:p>
    <w:p w14:paraId="164FD158" w14:textId="77777777" w:rsidR="00FE3D25" w:rsidRPr="008D10AE" w:rsidRDefault="00FE3D25" w:rsidP="00FE3D25">
      <w:pPr>
        <w:pStyle w:val="ListParagraph"/>
        <w:spacing w:before="100" w:beforeAutospacing="1" w:after="100" w:afterAutospacing="1" w:line="240" w:lineRule="auto"/>
        <w:ind w:left="0"/>
        <w:outlineLvl w:val="3"/>
        <w:rPr>
          <w:rFonts w:ascii="Arial" w:hAnsi="Arial" w:cs="Arial"/>
          <w:b/>
          <w:bCs/>
          <w:sz w:val="24"/>
          <w:szCs w:val="24"/>
        </w:rPr>
      </w:pPr>
      <w:r w:rsidRPr="008D10AE">
        <w:rPr>
          <w:rFonts w:ascii="Arial" w:hAnsi="Arial" w:cs="Arial"/>
          <w:b/>
          <w:bCs/>
          <w:sz w:val="24"/>
          <w:szCs w:val="24"/>
        </w:rPr>
        <w:t xml:space="preserve"> </w:t>
      </w:r>
    </w:p>
    <w:p w14:paraId="0F1EE667" w14:textId="77777777" w:rsidR="00FE3D25" w:rsidRPr="00424ACA" w:rsidRDefault="00FE3D25" w:rsidP="00FE3D25">
      <w:pPr>
        <w:spacing w:before="100" w:beforeAutospacing="1" w:after="100" w:afterAutospacing="1" w:line="240" w:lineRule="auto"/>
        <w:jc w:val="both"/>
        <w:rPr>
          <w:rFonts w:ascii="Arial" w:hAnsi="Arial" w:cs="Arial"/>
          <w:sz w:val="24"/>
          <w:szCs w:val="24"/>
          <w:highlight w:val="yellow"/>
        </w:rPr>
      </w:pPr>
      <w:r w:rsidRPr="00424ACA">
        <w:rPr>
          <w:rFonts w:ascii="Arial" w:hAnsi="Arial" w:cs="Arial"/>
          <w:sz w:val="24"/>
          <w:szCs w:val="24"/>
          <w:highlight w:val="yellow"/>
        </w:rPr>
        <w:t xml:space="preserve">The findings reveal a notable presence of </w:t>
      </w:r>
      <w:r w:rsidRPr="0053525A">
        <w:rPr>
          <w:rFonts w:ascii="Arial" w:hAnsi="Arial" w:cs="Arial"/>
          <w:i/>
          <w:sz w:val="24"/>
          <w:szCs w:val="24"/>
          <w:highlight w:val="yellow"/>
        </w:rPr>
        <w:t>stigma</w:t>
      </w:r>
      <w:r w:rsidRPr="00424ACA">
        <w:rPr>
          <w:rFonts w:ascii="Arial" w:hAnsi="Arial" w:cs="Arial"/>
          <w:sz w:val="24"/>
          <w:szCs w:val="24"/>
          <w:highlight w:val="yellow"/>
        </w:rPr>
        <w:t xml:space="preserve"> toward dementia among students. A majority (64.7%) strongly agreed that they would not want their family to know if they were diagnosed with dementia, reflecting internalized stigma and fear of judgment. Similarly, 59.3% expressed that they would feel humiliated if diagnosed, indicating a strong emotional response tied to shame, while only 25.3% disagreed with this sentiment. Furthermore, 58.7% agreed that people with dementia should live in ways that do not "bother" others, suggesting a tendency to isolate or distance individuals with dementia. These responses highlight prevailing stigmatizing attitudes and the need for greater awareness and empathy-based education around dementia.</w:t>
      </w:r>
    </w:p>
    <w:p w14:paraId="2F79B132" w14:textId="77777777" w:rsidR="00FE3D25" w:rsidRPr="00F923A4" w:rsidRDefault="00FE3D25" w:rsidP="00FE3D25">
      <w:pPr>
        <w:spacing w:before="100" w:beforeAutospacing="1" w:after="100" w:afterAutospacing="1" w:line="240" w:lineRule="auto"/>
        <w:jc w:val="both"/>
        <w:outlineLvl w:val="3"/>
        <w:rPr>
          <w:rFonts w:ascii="Arial" w:hAnsi="Arial" w:cs="Arial"/>
          <w:sz w:val="24"/>
          <w:szCs w:val="24"/>
        </w:rPr>
      </w:pPr>
      <w:r w:rsidRPr="00F923A4">
        <w:rPr>
          <w:rFonts w:ascii="Arial" w:hAnsi="Arial" w:cs="Arial"/>
          <w:sz w:val="24"/>
          <w:szCs w:val="24"/>
          <w:highlight w:val="yellow"/>
        </w:rPr>
        <w:lastRenderedPageBreak/>
        <w:t xml:space="preserve">The findings reveal mixed </w:t>
      </w:r>
      <w:r>
        <w:rPr>
          <w:rFonts w:ascii="Arial" w:hAnsi="Arial" w:cs="Arial"/>
          <w:sz w:val="24"/>
          <w:szCs w:val="24"/>
          <w:highlight w:val="yellow"/>
        </w:rPr>
        <w:t>but generally hesitant stigma</w:t>
      </w:r>
      <w:r w:rsidRPr="00F923A4">
        <w:rPr>
          <w:rFonts w:ascii="Arial" w:hAnsi="Arial" w:cs="Arial"/>
          <w:sz w:val="24"/>
          <w:szCs w:val="24"/>
          <w:highlight w:val="yellow"/>
        </w:rPr>
        <w:t xml:space="preserve"> toward individuals living with dementia, particularly concerning social engagement and perceptions of independence. A substantial proportion of participants (75.4%) either strongly agreed or agreed that they would not like to spend much time with a person with dementia, indicating reluctance to engage closely with those affected. Additionally, 48.6% disagreed or strongly disagreed that the company of people with dementia is enjoyable, while only 37.2% expressed neutral or </w:t>
      </w:r>
      <w:proofErr w:type="spellStart"/>
      <w:r w:rsidR="009C76EB">
        <w:rPr>
          <w:rFonts w:ascii="Arial" w:hAnsi="Arial" w:cs="Arial"/>
          <w:sz w:val="24"/>
          <w:szCs w:val="24"/>
          <w:highlight w:val="yellow"/>
        </w:rPr>
        <w:t>favourable</w:t>
      </w:r>
      <w:proofErr w:type="spellEnd"/>
      <w:r w:rsidRPr="00F923A4">
        <w:rPr>
          <w:rFonts w:ascii="Arial" w:hAnsi="Arial" w:cs="Arial"/>
          <w:sz w:val="24"/>
          <w:szCs w:val="24"/>
          <w:highlight w:val="yellow"/>
        </w:rPr>
        <w:t xml:space="preserve"> views, suggesting limited positive per</w:t>
      </w:r>
      <w:r>
        <w:rPr>
          <w:rFonts w:ascii="Arial" w:hAnsi="Arial" w:cs="Arial"/>
          <w:sz w:val="24"/>
          <w:szCs w:val="24"/>
          <w:highlight w:val="yellow"/>
        </w:rPr>
        <w:t>ceptions. In contrast, stigma responses</w:t>
      </w:r>
      <w:r w:rsidRPr="00F923A4">
        <w:rPr>
          <w:rFonts w:ascii="Arial" w:hAnsi="Arial" w:cs="Arial"/>
          <w:sz w:val="24"/>
          <w:szCs w:val="24"/>
          <w:highlight w:val="yellow"/>
        </w:rPr>
        <w:t xml:space="preserve"> toward independence were somewhat more balanced, with 53.3% believing that people with dementia can live mostly independently, although 28.6% disagreed, acknowledging the challenges the condition presents to autonomous living, but this perception can be different according to the cultures, level of the dementia </w:t>
      </w:r>
      <w:r>
        <w:rPr>
          <w:rFonts w:ascii="Arial" w:hAnsi="Arial" w:cs="Arial"/>
          <w:sz w:val="24"/>
          <w:szCs w:val="24"/>
          <w:highlight w:val="yellow"/>
        </w:rPr>
        <w:t>or personal circumstances (Fig</w:t>
      </w:r>
      <w:r w:rsidRPr="00F923A4">
        <w:rPr>
          <w:rFonts w:ascii="Arial" w:hAnsi="Arial" w:cs="Arial"/>
          <w:sz w:val="24"/>
          <w:szCs w:val="24"/>
          <w:highlight w:val="yellow"/>
        </w:rPr>
        <w:t xml:space="preserve"> 3)</w:t>
      </w:r>
    </w:p>
    <w:p w14:paraId="6A8F9258" w14:textId="77777777" w:rsidR="00FE3D25" w:rsidRPr="008D10AE" w:rsidRDefault="00FE3D25" w:rsidP="00FE3D25">
      <w:pPr>
        <w:spacing w:before="100" w:beforeAutospacing="1" w:after="100" w:afterAutospacing="1" w:line="240" w:lineRule="auto"/>
        <w:jc w:val="both"/>
        <w:outlineLvl w:val="3"/>
        <w:rPr>
          <w:rFonts w:ascii="Arial" w:hAnsi="Arial" w:cs="Arial"/>
          <w:sz w:val="24"/>
          <w:szCs w:val="24"/>
        </w:rPr>
      </w:pPr>
      <w:r w:rsidRPr="008D10AE">
        <w:rPr>
          <w:rFonts w:ascii="Arial" w:hAnsi="Arial" w:cs="Arial"/>
          <w:sz w:val="24"/>
          <w:szCs w:val="24"/>
        </w:rPr>
        <w:t xml:space="preserve">The stigma assessment </w:t>
      </w:r>
      <w:r>
        <w:rPr>
          <w:rFonts w:ascii="Arial" w:hAnsi="Arial" w:cs="Arial"/>
          <w:sz w:val="24"/>
          <w:szCs w:val="24"/>
        </w:rPr>
        <w:t>consisted of 6 items, with responses categorized</w:t>
      </w:r>
      <w:r w:rsidRPr="008D10AE">
        <w:rPr>
          <w:rFonts w:ascii="Arial" w:hAnsi="Arial" w:cs="Arial"/>
          <w:sz w:val="24"/>
          <w:szCs w:val="24"/>
        </w:rPr>
        <w:t xml:space="preserve"> into low, moderate, or high stigma based on a 3-point Likert scale. The results revealed that 56.6% of participants exhibited high levels of stigma. Notably, 64.7% strongly agreed they would not want their family to know if they had dementia, and 40.7% disagreed with the notion that spending time with a person with dementia is unpleasant. </w:t>
      </w:r>
      <w:r w:rsidRPr="00536678">
        <w:rPr>
          <w:rFonts w:ascii="Arial" w:hAnsi="Arial" w:cs="Arial"/>
          <w:sz w:val="24"/>
          <w:szCs w:val="24"/>
          <w:highlight w:val="yellow"/>
        </w:rPr>
        <w:t>(Table 2)</w:t>
      </w:r>
    </w:p>
    <w:p w14:paraId="20EE293D" w14:textId="77777777" w:rsidR="00FE3D25" w:rsidRPr="008D10AE" w:rsidRDefault="00FE3D25" w:rsidP="00FE3D25">
      <w:pPr>
        <w:pStyle w:val="NormalWeb"/>
        <w:rPr>
          <w:rStyle w:val="Strong"/>
          <w:rFonts w:ascii="Arial" w:hAnsi="Arial" w:cs="Arial"/>
          <w:bCs/>
        </w:rPr>
      </w:pPr>
    </w:p>
    <w:p w14:paraId="6BB0D8E2" w14:textId="77777777" w:rsidR="00FE3D25" w:rsidRPr="008D10AE" w:rsidRDefault="00FE3D25" w:rsidP="00FE3D25">
      <w:pPr>
        <w:pStyle w:val="NormalWeb"/>
        <w:rPr>
          <w:rFonts w:ascii="Arial" w:hAnsi="Arial" w:cs="Arial"/>
        </w:rPr>
      </w:pPr>
      <w:r w:rsidRPr="008D10AE">
        <w:rPr>
          <w:rStyle w:val="Strong"/>
          <w:rFonts w:ascii="Arial" w:hAnsi="Arial" w:cs="Arial"/>
          <w:bCs/>
        </w:rPr>
        <w:t>Discussion</w:t>
      </w:r>
    </w:p>
    <w:p w14:paraId="7A7D3A21"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sz w:val="24"/>
          <w:szCs w:val="24"/>
        </w:rPr>
        <w:t>This study examined 150 students, consisting of 100 Doctor of Medicine (MD) students and 50 Bachelor of Environmental Health (BENVH) students. The largest age group was 21-25 years</w:t>
      </w:r>
      <w:r>
        <w:rPr>
          <w:rFonts w:ascii="Arial" w:hAnsi="Arial" w:cs="Arial"/>
          <w:sz w:val="24"/>
          <w:szCs w:val="24"/>
        </w:rPr>
        <w:t xml:space="preserve">, </w:t>
      </w:r>
      <w:r w:rsidRPr="008D10AE">
        <w:rPr>
          <w:rFonts w:ascii="Arial" w:hAnsi="Arial" w:cs="Arial"/>
          <w:sz w:val="24"/>
          <w:szCs w:val="24"/>
        </w:rPr>
        <w:t xml:space="preserve">with a majority of female participants. Most of the students were in their first academic year, and over half had no prior experience in </w:t>
      </w:r>
      <w:proofErr w:type="spellStart"/>
      <w:r>
        <w:rPr>
          <w:rFonts w:ascii="Arial" w:hAnsi="Arial" w:cs="Arial"/>
          <w:sz w:val="24"/>
          <w:szCs w:val="24"/>
        </w:rPr>
        <w:t>practising</w:t>
      </w:r>
      <w:proofErr w:type="spellEnd"/>
      <w:r w:rsidRPr="008D10AE">
        <w:rPr>
          <w:rFonts w:ascii="Arial" w:hAnsi="Arial" w:cs="Arial"/>
          <w:sz w:val="24"/>
          <w:szCs w:val="24"/>
        </w:rPr>
        <w:t xml:space="preserve"> health services. While nearly three-quarters did not have a relative with dementia, </w:t>
      </w:r>
      <w:r w:rsidR="009C76EB">
        <w:rPr>
          <w:rFonts w:ascii="Arial" w:hAnsi="Arial" w:cs="Arial"/>
          <w:sz w:val="24"/>
          <w:szCs w:val="24"/>
        </w:rPr>
        <w:t xml:space="preserve">they </w:t>
      </w:r>
      <w:r>
        <w:rPr>
          <w:rFonts w:ascii="Arial" w:hAnsi="Arial" w:cs="Arial"/>
          <w:sz w:val="24"/>
          <w:szCs w:val="24"/>
        </w:rPr>
        <w:t xml:space="preserve">had </w:t>
      </w:r>
      <w:r w:rsidRPr="008D10AE">
        <w:rPr>
          <w:rFonts w:ascii="Arial" w:hAnsi="Arial" w:cs="Arial"/>
          <w:sz w:val="24"/>
          <w:szCs w:val="24"/>
        </w:rPr>
        <w:t>not read any research about dementia, despite having heard of dementia or Alzheimer's disease</w:t>
      </w:r>
      <w:r>
        <w:rPr>
          <w:rFonts w:ascii="Arial" w:hAnsi="Arial" w:cs="Arial"/>
          <w:sz w:val="24"/>
          <w:szCs w:val="24"/>
        </w:rPr>
        <w:t>.</w:t>
      </w:r>
    </w:p>
    <w:p w14:paraId="312BF0B6"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sz w:val="24"/>
          <w:szCs w:val="24"/>
        </w:rPr>
        <w:t xml:space="preserve">The results of this study indicate that the majority of students demonstrated a positive </w:t>
      </w:r>
      <w:r w:rsidRPr="008D10AE">
        <w:rPr>
          <w:rFonts w:ascii="Arial" w:hAnsi="Arial" w:cs="Arial"/>
          <w:b/>
          <w:sz w:val="24"/>
          <w:szCs w:val="24"/>
        </w:rPr>
        <w:t>attitude</w:t>
      </w:r>
      <w:r w:rsidRPr="008D10AE">
        <w:rPr>
          <w:rFonts w:ascii="Arial" w:hAnsi="Arial" w:cs="Arial"/>
          <w:sz w:val="24"/>
          <w:szCs w:val="24"/>
        </w:rPr>
        <w:t xml:space="preserve"> toward individuals with dementia. For instance, more than two-thirds of participants expressed a willingness to share a house with a family member who had dementia, and 86% showed high acceptance of caring for a loved one with dementia. This reflects a relatively high level of acceptance and readiness to provide care for a family member with dementia. </w:t>
      </w:r>
      <w:r>
        <w:rPr>
          <w:rFonts w:ascii="Arial" w:hAnsi="Arial" w:cs="Arial"/>
          <w:sz w:val="24"/>
          <w:szCs w:val="24"/>
        </w:rPr>
        <w:t>Our results compare with a research study in Australia, which found that attitudes towards dementia in elderly people</w:t>
      </w:r>
      <w:r w:rsidR="00A2023D">
        <w:rPr>
          <w:rFonts w:ascii="Arial" w:hAnsi="Arial" w:cs="Arial"/>
          <w:sz w:val="24"/>
          <w:szCs w:val="24"/>
        </w:rPr>
        <w:t xml:space="preserve"> with dementia were neutral </w:t>
      </w:r>
      <w:r w:rsidR="00A2023D">
        <w:rPr>
          <w:rFonts w:ascii="Arial" w:hAnsi="Arial" w:cs="Arial"/>
          <w:sz w:val="24"/>
          <w:szCs w:val="24"/>
        </w:rPr>
        <w:fldChar w:fldCharType="begin" w:fldLock="1"/>
      </w:r>
      <w:r w:rsidR="00A2023D">
        <w:rPr>
          <w:rFonts w:ascii="Arial" w:hAnsi="Arial" w:cs="Arial"/>
          <w:sz w:val="24"/>
          <w:szCs w:val="24"/>
        </w:rPr>
        <w:instrText>ADDIN CSL_CITATION {"citationItems":[{"id":"ITEM-1","itemData":{"DOI":"10.1371/journal.pone.0225329","ISSN":"1932-6203 (Electronic)","PMID":"31747449","abstract":"BACKGROUND: Healthcare professionals' attitudes to older people, and especially  those living with dementia, may contribute to unsatisfactory healthcare. Despite repeated calls to address increasing need, training an adequate geriatric workforce remains an international concern. Of particular concern are the attitudes and knowledge healthcare workers may hold about people living with dementia. Students' knowledge of dementia has been found to be low at the beginning of their university education and has shown limited improvement throughout their coursework; greater understanding of students' attitudes to ageing and dementia, upon entry and throughout their degrees, may help inform targeted educational interventions to improve the healthcare delivered to older people. METHODS: This study measured knowledge of and attitudes toward dementia and ageing in an Australian university student sample (n = 183), comparing students from medical professional versus non-medical professional related fields at both undergraduate and postgraduate levels. We examined diagnostic and prognostic biases through age manipulation of a vignette describing a hypothetical patient (aged 42 or 72 years), who was experiencing symptoms that were consistent with DSM-5 criteria for both dementia and depression. Based on information provided in the vignette, student participants were asked to select a primary disorder that they would assign to the patient. RESULTS: Showed that while medical professional students held significantly more positive attitudes toward ageing than 'other' students, average attitudinal scores indicated neutrality. Medical professional students indicated a diagnostic bias toward the older vignette patient, who was more likely to be diagnosed with dementia than depression. A history of geriatric-specific training did not predict dementia knowledge; however, having prior contact with people with dementia predicted both dementia knowledge and more positive prognoses. CONCLUSIONS: Overall, findings indicated medical professional students held neutral attitudes towards older people and showed deficits in knowledge of dementia. Educational interventions that introduce students to people living with dementia may improve knowledge, skills, and attitudes. All university students would benefit from education about dementia and inclusivity to reduce stereotyping and stigma.","author":[{"dropping-particle":"","family":"Scott","given":"Theresa L","non-dropping-particle":"","parse-names":false,"suffix":""},{"dropping-particle":"","family":"Kugelman","given":"Melissa","non-dropping-particle":"","parse-names":false,"suffix":""},{"dropping-particle":"","family":"Tulloch","given":"Kristen","non-dropping-particle":"","parse-names":false,"suffix":""}],"container-title":"PloS one","id":"ITEM-1","issue":"11","issued":{"date-parts":[["2019"]]},"language":"eng","page":"e0225329","publisher-place":"United States","title":"How medical professional students view older people with dementia: Implications  for education and practice.","type":"article-journal","volume":"14"},"uris":["http://www.mendeley.com/documents/?uuid=d58304fb-f8c4-4642-a00f-2ebe10a31dfd"]}],"mendeley":{"formattedCitation":"[24]","plainTextFormattedCitation":"[24]","previouslyFormattedCitation":"[24]"},"properties":{"noteIndex":0},"schema":"https://github.com/citation-style-language/schema/raw/master/csl-citation.json"}</w:instrText>
      </w:r>
      <w:r w:rsidR="00A2023D">
        <w:rPr>
          <w:rFonts w:ascii="Arial" w:hAnsi="Arial" w:cs="Arial"/>
          <w:sz w:val="24"/>
          <w:szCs w:val="24"/>
        </w:rPr>
        <w:fldChar w:fldCharType="separate"/>
      </w:r>
      <w:r w:rsidR="00A2023D" w:rsidRPr="00A2023D">
        <w:rPr>
          <w:rFonts w:ascii="Arial" w:hAnsi="Arial" w:cs="Arial"/>
          <w:noProof/>
          <w:sz w:val="24"/>
          <w:szCs w:val="24"/>
        </w:rPr>
        <w:t>[24]</w:t>
      </w:r>
      <w:r w:rsidR="00A2023D">
        <w:rPr>
          <w:rFonts w:ascii="Arial" w:hAnsi="Arial" w:cs="Arial"/>
          <w:sz w:val="24"/>
          <w:szCs w:val="24"/>
        </w:rPr>
        <w:fldChar w:fldCharType="end"/>
      </w:r>
      <w:r w:rsidR="00A2023D">
        <w:rPr>
          <w:rFonts w:ascii="Arial" w:hAnsi="Arial" w:cs="Arial"/>
          <w:sz w:val="24"/>
          <w:szCs w:val="24"/>
        </w:rPr>
        <w:t>. However, a report in China and Nepal highlighted</w:t>
      </w:r>
      <w:r>
        <w:rPr>
          <w:rFonts w:ascii="Arial" w:hAnsi="Arial" w:cs="Arial"/>
          <w:sz w:val="24"/>
          <w:szCs w:val="24"/>
        </w:rPr>
        <w:t xml:space="preserve"> that attitudes towards dementia among med</w:t>
      </w:r>
      <w:r w:rsidR="00A2023D">
        <w:rPr>
          <w:rFonts w:ascii="Arial" w:hAnsi="Arial" w:cs="Arial"/>
          <w:sz w:val="24"/>
          <w:szCs w:val="24"/>
        </w:rPr>
        <w:t xml:space="preserve">ical students were positive </w:t>
      </w:r>
      <w:r w:rsidR="00A2023D">
        <w:rPr>
          <w:rFonts w:ascii="Arial" w:hAnsi="Arial" w:cs="Arial"/>
          <w:sz w:val="24"/>
          <w:szCs w:val="24"/>
        </w:rPr>
        <w:fldChar w:fldCharType="begin" w:fldLock="1"/>
      </w:r>
      <w:r w:rsidR="00422AE8">
        <w:rPr>
          <w:rFonts w:ascii="Arial" w:hAnsi="Arial" w:cs="Arial"/>
          <w:sz w:val="24"/>
          <w:szCs w:val="24"/>
        </w:rPr>
        <w:instrText>ADDIN CSL_CITATION {"citationItems":[{"id":"ITEM-1","itemData":{"DOI":"10.1186/s12909-023-04008-7","ISSN":"14726920","PMID":"36631772","abstract":"Background: Shortage of health professionals is one of the most important barriers for community health centers to provide quality primary care for chronic disease patients especially after the outbreak of COVID-19. Under such condition, medical students have been well-accepted as a force multiplier for community-based health service. Community service learning (CSL) based on medical student-led community health education service to support chronic disease self-management might be a valuable interactive learning tool in medical education. This study compared the attitudes toward medical student-led community health education service to support chronic disease self-management among three stakeholder roles in CSL, including medical students, faculty and patients. Methods: This cross-sectional comparative survey was conducted using a self-developed questionnaire among the convenience samples of undergraduate students and faculty members from the Medical College, Wuhan University of Science and Technology, as well as patient volunteers with chronic diseases recruited from a free on-site clinic offered by a community health center. Attitudes toward medical student-led community health education service to support chronic disease self-management were compared among students, faculty and patients. Results: A total of 515 valid questionnaires were obtained (342 were collected from medical students, 54 from faculty respondents, and 119 from patients). Overall positive attitudes toward medical student-led community health education service to support chronic disease self-management were positive. Among the three stakeholder roles, faculty and patients were more supportive of the current inadequate level of primary care provision within the community. However, patient respondents showed more negative attitudes towards using resources in higher medical education system to provide support for primary care practice, and participating in the medical student-led community health education service to support chronic disease self-management, and were most skeptical about the medical students’ competency in supporting chronic disease self-management with their professional knowledge and skills. The educational value of CSL for medical undergraduates and the role of faculty instructors were most appreciated by faculty respondents. Additionally, &gt; 62 years old and &gt; 2 kinds of chronic diseases per patient exhibited significant correlations with positive patients’ attitudes.…","author":[{"dropping-particle":"","family":"Wang","given":"Shi","non-dropping-particle":"","parse-names":false,"suffix":""},{"dropping-particle":"","family":"Yan","given":"Dan","non-dropping-particle":"","parse-names":false,"suffix":""},{"dropping-particle":"","family":"Hu","given":"Xianmin","non-dropping-particle":"","parse-names":false,"suffix":""},{"dropping-particle":"","family":"Liu","given":"Juan","non-dropping-particle":"","parse-names":false,"suffix":""},{"dropping-particle":"","family":"Liu","given":"Dan","non-dropping-particle":"","parse-names":false,"suffix":""},{"dropping-particle":"","family":"Wang","given":"Jun","non-dropping-particle":"","parse-names":false,"suffix":""}],"container-title":"BMC Medical Education","id":"ITEM-1","issue":"1","issued":{"date-parts":[["2023"]]},"page":"1-12","publisher":"BioMed Central","title":"Comparison of attitudes toward the medical student-led community health education service to support chronic disease self-management among students, faculty and patients","type":"article-journal","volume":"23"},"uris":["http://www.mendeley.com/documents/?uuid=efef2b1b-af89-42ad-a53d-bc2ed123f5f7"]}],"mendeley":{"formattedCitation":"[25]","plainTextFormattedCitation":"[25]","previouslyFormattedCitation":"[25]"},"properties":{"noteIndex":0},"schema":"https://github.com/citation-style-language/schema/raw/master/csl-citation.json"}</w:instrText>
      </w:r>
      <w:r w:rsidR="00A2023D">
        <w:rPr>
          <w:rFonts w:ascii="Arial" w:hAnsi="Arial" w:cs="Arial"/>
          <w:sz w:val="24"/>
          <w:szCs w:val="24"/>
        </w:rPr>
        <w:fldChar w:fldCharType="separate"/>
      </w:r>
      <w:r w:rsidR="00A2023D" w:rsidRPr="00A2023D">
        <w:rPr>
          <w:rFonts w:ascii="Arial" w:hAnsi="Arial" w:cs="Arial"/>
          <w:noProof/>
          <w:sz w:val="24"/>
          <w:szCs w:val="24"/>
        </w:rPr>
        <w:t>[25]</w:t>
      </w:r>
      <w:r w:rsidR="00A2023D">
        <w:rPr>
          <w:rFonts w:ascii="Arial" w:hAnsi="Arial" w:cs="Arial"/>
          <w:sz w:val="24"/>
          <w:szCs w:val="24"/>
        </w:rPr>
        <w:fldChar w:fldCharType="end"/>
      </w:r>
      <w:r w:rsidR="00422AE8">
        <w:rPr>
          <w:rFonts w:ascii="Arial" w:hAnsi="Arial" w:cs="Arial"/>
          <w:sz w:val="24"/>
          <w:szCs w:val="24"/>
        </w:rPr>
        <w:fldChar w:fldCharType="begin" w:fldLock="1"/>
      </w:r>
      <w:r w:rsidR="00422AE8">
        <w:rPr>
          <w:rFonts w:ascii="Arial" w:hAnsi="Arial" w:cs="Arial"/>
          <w:sz w:val="24"/>
          <w:szCs w:val="24"/>
        </w:rPr>
        <w:instrText>ADDIN CSL_CITATION {"citationItems":[{"id":"ITEM-1","itemData":{"DOI":"10.1016/j.heliyon.2023.e19247","ISSN":"2405-8440","abstract":"BACKGROUND: As aging is a significant risk factor for dementia, the number of persons with dementia is growing annually as a result of the aging population, which implies the need for better geriatric care services in terms of both quantity and quality. METHODS: The knowledge and attitudes of Nepalese nursing students (n = 177) concerning dementia were examined using a descriptive correlational research approach. Alzheimer's Disease Knowledge Scale (ADKS) and Dementia Attitude Scale (DAS) were used to measure students' knowledge and attitude of dementia. RESULTS AND DISCUSSION: The overall mean score of the ADKS was found to be 19.64 (SD = 3.363) out of 30, while the total mean score on dementia attitude of the DAS was 93.82 (SD = 10.09) out of 140. A positive relationship was established between the knowledge and the attitude scores (r = 0.148, P = 0.050), demonstrating limited knowledge and positive attitude towards people with dementia in nursing students.","author":[{"dropping-particle":"","family":"Khatiwada","given":"Ranjana","non-dropping-particle":"","parse-names":false,"suffix":""},{"dropping-particle":"","family":"Lyu","given":"Siman","non-dropping-particle":"","parse-names":false,"suffix":""},{"dropping-particle":"","family":"Wang","given":"Haocheng","non-dropping-particle":"","parse-names":false,"suffix":""},{"dropping-particle":"","family":"Bhandari","given":"Sushila Devi","non-dropping-particle":"","parse-names":false,"suffix":""},{"dropping-particle":"","family":"Liu","given":"Yu","non-dropping-particle":"","parse-names":false,"suffix":""}],"container-title":"Heliyon","id":"ITEM-1","issue":"8","issued":{"date-parts":[["2023"]]},"language":"eng","page":"e19247","title":"The knowledge and attitude of Nepalese nursing students towards dementia","type":"article-journal","volume":"9"},"uris":["http://www.mendeley.com/documents/?uuid=35815f02-9eac-45bc-98e2-87371853643c"]}],"mendeley":{"formattedCitation":"[26]","plainTextFormattedCitation":"[26]","previouslyFormattedCitation":"[26]"},"properties":{"noteIndex":0},"schema":"https://github.com/citation-style-language/schema/raw/master/csl-citation.json"}</w:instrText>
      </w:r>
      <w:r w:rsidR="00422AE8">
        <w:rPr>
          <w:rFonts w:ascii="Arial" w:hAnsi="Arial" w:cs="Arial"/>
          <w:sz w:val="24"/>
          <w:szCs w:val="24"/>
        </w:rPr>
        <w:fldChar w:fldCharType="separate"/>
      </w:r>
      <w:r w:rsidR="00422AE8" w:rsidRPr="00422AE8">
        <w:rPr>
          <w:rFonts w:ascii="Arial" w:hAnsi="Arial" w:cs="Arial"/>
          <w:noProof/>
          <w:sz w:val="24"/>
          <w:szCs w:val="24"/>
        </w:rPr>
        <w:t>[26]</w:t>
      </w:r>
      <w:r w:rsidR="00422AE8">
        <w:rPr>
          <w:rFonts w:ascii="Arial" w:hAnsi="Arial" w:cs="Arial"/>
          <w:sz w:val="24"/>
          <w:szCs w:val="24"/>
        </w:rPr>
        <w:fldChar w:fldCharType="end"/>
      </w:r>
      <w:r w:rsidR="00422AE8">
        <w:rPr>
          <w:rFonts w:ascii="Arial" w:hAnsi="Arial" w:cs="Arial"/>
          <w:sz w:val="24"/>
          <w:szCs w:val="24"/>
        </w:rPr>
        <w:t>.</w:t>
      </w:r>
      <w:r w:rsidRPr="008D10AE">
        <w:rPr>
          <w:rFonts w:ascii="Arial" w:hAnsi="Arial" w:cs="Arial"/>
          <w:sz w:val="24"/>
          <w:szCs w:val="24"/>
        </w:rPr>
        <w:t xml:space="preserve"> In contrast, a study conducted in Palestine showed that students had a low level of posi</w:t>
      </w:r>
      <w:r>
        <w:rPr>
          <w:rFonts w:ascii="Arial" w:hAnsi="Arial" w:cs="Arial"/>
          <w:sz w:val="24"/>
          <w:szCs w:val="24"/>
        </w:rPr>
        <w:t>tive attitudes towards dementia</w:t>
      </w:r>
      <w:r w:rsidRPr="008D10AE">
        <w:rPr>
          <w:rFonts w:ascii="Arial" w:hAnsi="Arial" w:cs="Arial"/>
          <w:sz w:val="24"/>
          <w:szCs w:val="24"/>
        </w:rPr>
        <w:t xml:space="preserve"> </w:t>
      </w:r>
      <w:r w:rsidR="00422AE8">
        <w:rPr>
          <w:rFonts w:ascii="Arial" w:hAnsi="Arial" w:cs="Arial"/>
          <w:sz w:val="24"/>
          <w:szCs w:val="24"/>
        </w:rPr>
        <w:fldChar w:fldCharType="begin" w:fldLock="1"/>
      </w:r>
      <w:r w:rsidR="00422AE8">
        <w:rPr>
          <w:rFonts w:ascii="Arial" w:hAnsi="Arial" w:cs="Arial"/>
          <w:sz w:val="24"/>
          <w:szCs w:val="24"/>
        </w:rPr>
        <w:instrText>ADDIN CSL_CITATION {"citationItems":[{"id":"ITEM-1","itemData":{"DOI":"10.1371/journal.pone.0304012","ISBN":"1111111111","ISSN":"19326203","PMID":"38758934","abstract":"Introduction Dementia, a major global health concern, is an acquired disorder that causes a progressive decline in cognitive abilities, affecting learning and memory, language, executive function, complex attention, perceptual-motor skills, and social cognition. Our study aims to evaluate the knowledge and attitudes regarding dementia and Alzheimer’s disease among medical students. Methods This cross-sectional study was conducted among 393 medical students in Palestine from August 2023 to November 2023. The assessment of knowledge and attitude toward dementia was measured using the Alzheimer’s Disease Knowledge Scale (ADKS) and Dementia Attitude Scale (DAS). The data were analyzed using SPSS version 26, and the Mann-Whitney U-test and the Kruskal-Wallis test were used to compare the mean between the groups with a 5% significance level. Results The overall mean score of the student’s knowledge of dementia measured by the ADKS was 18.91 (±3.32 SD) out of 30. The mean score of the student’s attitude toward dementia measured by the DAS was 91.68 (±3.32 SD). Clinical students had higher ADKS scores than pre-clinical students (p-value &lt; 0.001). No significant differences in the knowledge and attitudes toward dementia were found between males and females. The medical students’ knowledge and attitude scores were positively correlated (ρ = 0.227, p-value &lt;0.001). Conclusion Palestinian medical student’s knowledge about Alzheimer’s disease and dementia is insufficient, with students in the clinical phase showing better understanding than pre-clinical students. The findings highlight a necessity for enhancing the dementia curriculum and conducting further studies to evaluate training’s impact on students’ knowledge and attitudes.","author":[{"dropping-particle":"","family":"Abuawad","given":"Mohammad","non-dropping-particle":"","parse-names":false,"suffix":""},{"dropping-particle":"","family":"Rjoub","given":"Ahmad","non-dropping-particle":"","parse-names":false,"suffix":""},{"dropping-particle":"","family":"Dumaidi","given":"Yazan","non-dropping-particle":"","parse-names":false,"suffix":""},{"dropping-particle":"","family":"Daraghma","given":"Motaz","non-dropping-particle":"","parse-names":false,"suffix":""},{"dropping-particle":"","family":"Ghanim","given":"Mustafa","non-dropping-particle":"","parse-names":false,"suffix":""},{"dropping-particle":"","family":"Rabayaa","given":"Maha","non-dropping-particle":"","parse-names":false,"suffix":""},{"dropping-particle":"","family":"Amer","given":"Johnny","non-dropping-particle":"","parse-names":false,"suffix":""}],"container-title":"PLoS ONE","id":"ITEM-1","issue":"5 May","issued":{"date-parts":[["2024"]]},"page":"1-14","title":"Evaluation of knowledge and attitudes regarding Alzheimer’s disease and related dementia among medical students in Palestine: A cross-sectional study","type":"article-journal","volume":"19"},"uris":["http://www.mendeley.com/documents/?uuid=11926eb0-5506-4391-b0a9-20739527f8e3"]}],"mendeley":{"formattedCitation":"[27]","plainTextFormattedCitation":"[27]","previouslyFormattedCitation":"[27]"},"properties":{"noteIndex":0},"schema":"https://github.com/citation-style-language/schema/raw/master/csl-citation.json"}</w:instrText>
      </w:r>
      <w:r w:rsidR="00422AE8">
        <w:rPr>
          <w:rFonts w:ascii="Arial" w:hAnsi="Arial" w:cs="Arial"/>
          <w:sz w:val="24"/>
          <w:szCs w:val="24"/>
        </w:rPr>
        <w:fldChar w:fldCharType="separate"/>
      </w:r>
      <w:r w:rsidR="00422AE8" w:rsidRPr="00422AE8">
        <w:rPr>
          <w:rFonts w:ascii="Arial" w:hAnsi="Arial" w:cs="Arial"/>
          <w:noProof/>
          <w:sz w:val="24"/>
          <w:szCs w:val="24"/>
        </w:rPr>
        <w:t>[27]</w:t>
      </w:r>
      <w:r w:rsidR="00422AE8">
        <w:rPr>
          <w:rFonts w:ascii="Arial" w:hAnsi="Arial" w:cs="Arial"/>
          <w:sz w:val="24"/>
          <w:szCs w:val="24"/>
        </w:rPr>
        <w:fldChar w:fldCharType="end"/>
      </w:r>
      <w:r>
        <w:rPr>
          <w:rFonts w:ascii="Arial" w:hAnsi="Arial" w:cs="Arial"/>
          <w:sz w:val="24"/>
          <w:szCs w:val="24"/>
        </w:rPr>
        <w:t>.</w:t>
      </w:r>
      <w:r w:rsidRPr="008D10AE">
        <w:rPr>
          <w:rFonts w:ascii="Arial" w:hAnsi="Arial" w:cs="Arial"/>
          <w:sz w:val="24"/>
          <w:szCs w:val="24"/>
        </w:rPr>
        <w:t xml:space="preserve"> The different sociocultural characteristics and </w:t>
      </w:r>
      <w:r>
        <w:rPr>
          <w:rFonts w:ascii="Arial" w:hAnsi="Arial" w:cs="Arial"/>
          <w:sz w:val="24"/>
          <w:szCs w:val="24"/>
        </w:rPr>
        <w:t>levels</w:t>
      </w:r>
      <w:r w:rsidRPr="008D10AE">
        <w:rPr>
          <w:rFonts w:ascii="Arial" w:hAnsi="Arial" w:cs="Arial"/>
          <w:sz w:val="24"/>
          <w:szCs w:val="24"/>
        </w:rPr>
        <w:t xml:space="preserve"> of knowledge about dementia could explain these differences.</w:t>
      </w:r>
    </w:p>
    <w:p w14:paraId="7DBE3F2B"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sz w:val="24"/>
          <w:szCs w:val="24"/>
        </w:rPr>
        <w:t xml:space="preserve">A large majority of students reported that they would not feel ashamed if someone in their family had dementia. These findings align with previous research, suggesting a positive correlation between knowledge and attitude toward dementia. This emphasizes the </w:t>
      </w:r>
      <w:r w:rsidRPr="008D10AE">
        <w:rPr>
          <w:rFonts w:ascii="Arial" w:hAnsi="Arial" w:cs="Arial"/>
          <w:sz w:val="24"/>
          <w:szCs w:val="24"/>
        </w:rPr>
        <w:lastRenderedPageBreak/>
        <w:t>importance of raising awareness and providing health education, as such initiatives can foster a more inclusive communit</w:t>
      </w:r>
      <w:r>
        <w:rPr>
          <w:rFonts w:ascii="Arial" w:hAnsi="Arial" w:cs="Arial"/>
          <w:sz w:val="24"/>
          <w:szCs w:val="24"/>
        </w:rPr>
        <w:t xml:space="preserve">y for individuals with dementia </w:t>
      </w:r>
      <w:r w:rsidR="00422AE8">
        <w:rPr>
          <w:rFonts w:ascii="Arial" w:hAnsi="Arial" w:cs="Arial"/>
          <w:sz w:val="24"/>
          <w:szCs w:val="24"/>
        </w:rPr>
        <w:fldChar w:fldCharType="begin" w:fldLock="1"/>
      </w:r>
      <w:r w:rsidR="00DD2896">
        <w:rPr>
          <w:rFonts w:ascii="Arial" w:hAnsi="Arial" w:cs="Arial"/>
          <w:sz w:val="24"/>
          <w:szCs w:val="24"/>
        </w:rPr>
        <w:instrText>ADDIN CSL_CITATION {"citationItems":[{"id":"ITEM-1","itemData":{"DOI":"10.7759/cureus.44505","abstract":"BACKGROUND Alzheimer's disease (AD) is a growing public health concern, yet misconceptions about the condition are common. This study assessed awareness and social perceptions of AD in Jazan. METHODS A cross-sectional survey of 925 adults was conducted. Knowledge was assessed using a 30-item Alzheimer's Disease Knowledge Scale (ADKS). Social perceptions were evaluated using a 10-item questionnaire. RESULTS Many had misconceptions about AD epidemiology, causes, management, and care. The mean ADKS score was 8.89 ± 5.17 out of 30. Knowledge was poorest for symptoms, risk factors, treatment, caregiving, and life impact. Knowledge was highest in those aged &gt;45 years (p = 0.018), in those with income &gt; 15K SR (p = 0.004), in retired individuals (p = 0.023), and in those who learned about AD from books (p = 0.001), healthcare professionals (p = 0.001), or had an affected relative (p = 0.001). However, knowledge was low across all domains, averaging only 29% correct answers. Most respondents held positive social perceptions, yet sizable minorities saw isolation, legal intervention, and institutionalization as appropriate. Additionally, a portion of respondents associated stigma with individuals affected by AD and expressed a sense of burden associated with the condition. CONCLUSIONS There are substantial knowledge gaps and some stigmatizing attitudes about AD in Jazan. Awareness regarding the causes, diagnosis, and management of AD was low. Misconceptions exist that AD only affects older people. Improved public education, especially for higher-risk groups, is needed to address misconceptions and promote social inclusion for those with dementia. Healthcare professionals can play a crucial role.","author":[{"dropping-particle":"","family":"Hakami","given":"Faisal","non-dropping-particle":"","parse-names":false,"suffix":""},{"dropping-particle":"","family":"Madkhali","given":"Mohammed Ali","non-dropping-particle":"","parse-names":false,"suffix":""},{"dropping-particle":"","family":"Saleh","given":"Eman","non-dropping-particle":"","parse-names":false,"suffix":""},{"dropping-particle":"","family":"Ayoub","given":"Raum","non-dropping-particle":"","parse-names":false,"suffix":""},{"dropping-particle":"","family":"Moafa","given":"Sarah","non-dropping-particle":"","parse-names":false,"suffix":""},{"dropping-particle":"","family":"Moafa","given":"Akram","non-dropping-particle":"","parse-names":false,"suffix":""},{"dropping-particle":"","family":"Alnami","given":"Bushra","non-dropping-particle":"","parse-names":false,"suffix":""},{"dropping-particle":"","family":"Maashi","given":"Bushra","non-dropping-particle":"","parse-names":false,"suffix":""},{"dropping-particle":"","family":"Khubrani","given":"Saad","non-dropping-particle":"","parse-names":false,"suffix":""},{"dropping-particle":"","family":"Busayli","given":"Wafa","non-dropping-particle":"","parse-names":false,"suffix":""},{"dropping-particle":"","family":"Alhazmi","given":"Abdulaziz","non-dropping-particle":"","parse-names":false,"suffix":""}],"container-title":"Cureus","id":"ITEM-1","issue":"9","issued":{"date-parts":[["2023"]]},"page":"1-13","title":"Awareness and Perception Toward Alzheimer’s Disease Among Residents Living in the Jazan Province, Saudi Arabia: A Cross-Sectional Study","type":"article-journal","volume":"15"},"uris":["http://www.mendeley.com/documents/?uuid=d1989e03-66d6-4109-b36e-c1d16be6744c"]}],"mendeley":{"formattedCitation":"[28]","plainTextFormattedCitation":"[28]","previouslyFormattedCitation":"[28]"},"properties":{"noteIndex":0},"schema":"https://github.com/citation-style-language/schema/raw/master/csl-citation.json"}</w:instrText>
      </w:r>
      <w:r w:rsidR="00422AE8">
        <w:rPr>
          <w:rFonts w:ascii="Arial" w:hAnsi="Arial" w:cs="Arial"/>
          <w:sz w:val="24"/>
          <w:szCs w:val="24"/>
        </w:rPr>
        <w:fldChar w:fldCharType="separate"/>
      </w:r>
      <w:r w:rsidR="00422AE8" w:rsidRPr="00422AE8">
        <w:rPr>
          <w:rFonts w:ascii="Arial" w:hAnsi="Arial" w:cs="Arial"/>
          <w:noProof/>
          <w:sz w:val="24"/>
          <w:szCs w:val="24"/>
        </w:rPr>
        <w:t>[28]</w:t>
      </w:r>
      <w:r w:rsidR="00422AE8">
        <w:rPr>
          <w:rFonts w:ascii="Arial" w:hAnsi="Arial" w:cs="Arial"/>
          <w:sz w:val="24"/>
          <w:szCs w:val="24"/>
        </w:rPr>
        <w:fldChar w:fldCharType="end"/>
      </w:r>
      <w:r>
        <w:rPr>
          <w:rFonts w:ascii="Arial" w:hAnsi="Arial" w:cs="Arial"/>
          <w:sz w:val="24"/>
          <w:szCs w:val="24"/>
        </w:rPr>
        <w:t>.</w:t>
      </w:r>
    </w:p>
    <w:p w14:paraId="068A58A6"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sz w:val="24"/>
          <w:szCs w:val="24"/>
        </w:rPr>
        <w:t>Additionally, the majority of students do not view people with dementia as violent or dangerous individuals to be avoided, which demonstrates that most students do not hold the negative stereotypes that individuals with dementia are aggressive or unapproachable—stereotypes that often contribute to stigma. Moreover, a large majority of students do not feel embarrassed if others know that someone in their family has dementia, reflecting a relatively high level of social acceptance of dementia within this population.</w:t>
      </w:r>
    </w:p>
    <w:p w14:paraId="04778DE2"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sz w:val="24"/>
          <w:szCs w:val="24"/>
        </w:rPr>
        <w:t xml:space="preserve">Approximately 80% of students are not afraid to engage in conversations with someone who has dementia, indicating that many students view individuals with dementia as capable of having meaningful interactions. However, the remaining 20% remain apprehensive, which may reflect concerns about communication difficulties or social discomfort. More than three-quarters of respondents expressed that they would not be scared to have someone with dementia as a </w:t>
      </w:r>
      <w:proofErr w:type="spellStart"/>
      <w:r>
        <w:rPr>
          <w:rFonts w:ascii="Arial" w:hAnsi="Arial" w:cs="Arial"/>
          <w:sz w:val="24"/>
          <w:szCs w:val="24"/>
        </w:rPr>
        <w:t>neighbour</w:t>
      </w:r>
      <w:proofErr w:type="spellEnd"/>
      <w:r w:rsidRPr="008D10AE">
        <w:rPr>
          <w:rFonts w:ascii="Arial" w:hAnsi="Arial" w:cs="Arial"/>
          <w:sz w:val="24"/>
          <w:szCs w:val="24"/>
        </w:rPr>
        <w:t>, indicating openness and a lack of fear regarding living near someone with dementia. Furthermore, over 90% of students believe that people with dementia can live in the community, highlighting a positive attitude toward the integration of dementia patients into society.</w:t>
      </w:r>
    </w:p>
    <w:p w14:paraId="798AC5B4"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sz w:val="24"/>
          <w:szCs w:val="24"/>
        </w:rPr>
        <w:t xml:space="preserve">However, more than half of the participants believe that people with dementia should live in a nursing home. This reflects the ongoing debate between institutional care and community-based care, with many students recognizing the importance of offering care options beyond institutional settings. Overall, students exhibited positive attitudes toward dementia. </w:t>
      </w:r>
    </w:p>
    <w:p w14:paraId="5BCF89D8"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sz w:val="24"/>
          <w:szCs w:val="24"/>
        </w:rPr>
        <w:t>In contrast, the study revealed a high level of</w:t>
      </w:r>
      <w:r w:rsidRPr="008D10AE">
        <w:rPr>
          <w:rFonts w:ascii="Arial" w:hAnsi="Arial" w:cs="Arial"/>
          <w:b/>
          <w:sz w:val="24"/>
          <w:szCs w:val="24"/>
        </w:rPr>
        <w:t xml:space="preserve"> stigma </w:t>
      </w:r>
      <w:r w:rsidRPr="008D10AE">
        <w:rPr>
          <w:rFonts w:ascii="Arial" w:hAnsi="Arial" w:cs="Arial"/>
          <w:sz w:val="24"/>
          <w:szCs w:val="24"/>
        </w:rPr>
        <w:t>associated with dementia, both on a personal and societal level. A significant number of participants strongly agreed with statements such as, "If I have dementia, I will not want my family to know." This response could reflect a broader societal perception that dementia is shameful or taboo. More than half of the students agreed with the statement, "If I have dementia, I will feel humiliated." This finding aligns with the general fear of embarrassment or humiliation, which is common in societies where dementia is not widely understood. A substantial portion of participants also agreed with the statement, "I would personally not like to spend much time with a person with dementia." Additionally, while the majority of students believed that "people with dementia live mostly independently," a significant portion disagreed with this view. These mixed opinions suggest a lack of consensus regarding the capabilities of individuals with dementia.</w:t>
      </w:r>
    </w:p>
    <w:p w14:paraId="43E7FC42"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sz w:val="24"/>
          <w:szCs w:val="24"/>
        </w:rPr>
        <w:t>Research on medical students’ attitudes toward dementia often reveals similar findings. Studies consistently show that medical students hold stigmatizing views about dementia, frequently associating it with embarrassment and humiliation</w:t>
      </w:r>
      <w:r>
        <w:rPr>
          <w:rFonts w:ascii="Arial" w:hAnsi="Arial" w:cs="Arial"/>
          <w:sz w:val="24"/>
          <w:szCs w:val="24"/>
        </w:rPr>
        <w:t xml:space="preserve"> </w:t>
      </w:r>
      <w:r w:rsidR="00DD2896">
        <w:rPr>
          <w:rFonts w:ascii="Arial" w:hAnsi="Arial" w:cs="Arial"/>
          <w:sz w:val="24"/>
          <w:szCs w:val="24"/>
        </w:rPr>
        <w:fldChar w:fldCharType="begin" w:fldLock="1"/>
      </w:r>
      <w:r w:rsidR="00DD2896">
        <w:rPr>
          <w:rFonts w:ascii="Arial" w:hAnsi="Arial" w:cs="Arial"/>
          <w:sz w:val="24"/>
          <w:szCs w:val="24"/>
        </w:rPr>
        <w:instrText>ADDIN CSL_CITATION {"citationItems":[{"id":"ITEM-1","itemData":{"DOI":"10.3390/ijerph20054535","ISSN":"1661-7827","abstract":"Dementia is characterized by progressive cognitive decline, memory impairment, and disability. Alzheimer’s disease (AD) accounts for 60–70% of cases, followed by vascular and mixed dementia. Qatar and the Middle East are at increased risk owing to aging populations and high prevalence of vascular risk factors. Appropriate levels of knowledge, attitudes, and awareness amongst health care professionals (HCPs) are the need of the hour, but literature indicates that these proficiencies may be inadequate, outdated, or markedly heterogenous. In addition to a review of published quantitative surveys investigating similar questions in the Middle East, a pilot cross-sectional online needs-assessment survey was undertaken to gauge these parameters of dementia and AD among healthcare stakeholders in Qatar between 19 April and 16 May 2022. Overall, 229 responses were recorded between physicians (21%), nurses (21%), and medical students (25%), with two-thirds from Qatar. Over half the respondents reported that &gt;10% of their patients were elderly (&gt;60 years). Over 25% reported having contact with &gt;50 patients with dementia or neurodegenerative disease annually. Over 70% had not undertake related education/training in the last 2 years. The knowledge of HCPs regarding dementia and AD was moderate (mean score of 5.3 ± 1.5 out of 7) and their awareness of recent advances in basic disease pathophysiology was lacking. Differences existed across professions and location of respondents. Our findings lay the groundwork for a call-to-action for healthcare institutions to improve dementia care within Qatar and the Middle East region.","author":[{"dropping-particle":"","family":"Paul","given":"Pradipta","non-dropping-particle":"","parse-names":false,"suffix":""},{"dropping-particle":"","family":"Mahfoud","given":"Ziyad Riyad","non-dropping-particle":"","parse-names":false,"suffix":""},{"dropping-particle":"","family":"Malik","given":"Rayaz A","non-dropping-particle":"","parse-names":false,"suffix":""},{"dropping-particle":"","family":"Kaul","given":"Ridhima","non-dropping-particle":"","parse-names":false,"suffix":""},{"dropping-particle":"","family":"Muffuh Navti","given":"Phyllis","non-dropping-particle":"","parse-names":false,"suffix":""},{"dropping-particle":"","family":"Al-Sheikhly","given":"Deema","non-dropping-particle":"","parse-names":false,"suffix":""},{"dropping-particle":"","family":"Chaari","given":"Ali","non-dropping-particle":"","parse-names":false,"suffix":""}],"container-title":"International Journal of Environmental Research and Public Health","id":"ITEM-1","issue":"5","issued":{"date-parts":[["2023","3"]]},"page":"4535","title":"Knowledge, Awareness, and Attitude of Healthcare Stakeholders on Alzheimer’s Disease and Dementia in Qatar","type":"article-journal","volume":"20"},"uris":["http://www.mendeley.com/documents/?uuid=21c9d19b-1097-47b7-a1e6-97dc69754275"]}],"mendeley":{"formattedCitation":"[29]","plainTextFormattedCitation":"[29]","previouslyFormattedCitation":"[29]"},"properties":{"noteIndex":0},"schema":"https://github.com/citation-style-language/schema/raw/master/csl-citation.json"}</w:instrText>
      </w:r>
      <w:r w:rsidR="00DD2896">
        <w:rPr>
          <w:rFonts w:ascii="Arial" w:hAnsi="Arial" w:cs="Arial"/>
          <w:sz w:val="24"/>
          <w:szCs w:val="24"/>
        </w:rPr>
        <w:fldChar w:fldCharType="separate"/>
      </w:r>
      <w:r w:rsidR="00DD2896" w:rsidRPr="00DD2896">
        <w:rPr>
          <w:rFonts w:ascii="Arial" w:hAnsi="Arial" w:cs="Arial"/>
          <w:noProof/>
          <w:sz w:val="24"/>
          <w:szCs w:val="24"/>
        </w:rPr>
        <w:t>[29]</w:t>
      </w:r>
      <w:r w:rsidR="00DD2896">
        <w:rPr>
          <w:rFonts w:ascii="Arial" w:hAnsi="Arial" w:cs="Arial"/>
          <w:sz w:val="24"/>
          <w:szCs w:val="24"/>
        </w:rPr>
        <w:fldChar w:fldCharType="end"/>
      </w:r>
      <w:r w:rsidRPr="008D10AE">
        <w:rPr>
          <w:rFonts w:ascii="Arial" w:hAnsi="Arial" w:cs="Arial"/>
          <w:sz w:val="24"/>
          <w:szCs w:val="24"/>
        </w:rPr>
        <w:t>. Another study found that medical students often view dementia as a condition that leads to a loss of dignity and autonomy, mirroring the sentiments expressed by participants in your study</w:t>
      </w:r>
      <w:r>
        <w:rPr>
          <w:rFonts w:ascii="Arial" w:hAnsi="Arial" w:cs="Arial"/>
          <w:sz w:val="24"/>
          <w:szCs w:val="24"/>
        </w:rPr>
        <w:t>.</w:t>
      </w:r>
      <w:r w:rsidRPr="008D10AE">
        <w:rPr>
          <w:rFonts w:ascii="Arial" w:hAnsi="Arial" w:cs="Arial"/>
          <w:sz w:val="24"/>
          <w:szCs w:val="24"/>
        </w:rPr>
        <w:t xml:space="preserve"> Furthermore, participants’ reluctance to spend time with individuals with dementia aligns </w:t>
      </w:r>
      <w:r w:rsidRPr="008D10AE">
        <w:rPr>
          <w:rFonts w:ascii="Arial" w:hAnsi="Arial" w:cs="Arial"/>
          <w:sz w:val="24"/>
          <w:szCs w:val="24"/>
        </w:rPr>
        <w:lastRenderedPageBreak/>
        <w:t>with findings from Mariani</w:t>
      </w:r>
      <w:r>
        <w:rPr>
          <w:rFonts w:ascii="Arial" w:hAnsi="Arial" w:cs="Arial"/>
          <w:sz w:val="24"/>
          <w:szCs w:val="24"/>
        </w:rPr>
        <w:t xml:space="preserve">, which highlighted the discomfort and avoidance </w:t>
      </w:r>
      <w:proofErr w:type="spellStart"/>
      <w:r>
        <w:rPr>
          <w:rFonts w:ascii="Arial" w:hAnsi="Arial" w:cs="Arial"/>
          <w:sz w:val="24"/>
          <w:szCs w:val="24"/>
        </w:rPr>
        <w:t>behaviours</w:t>
      </w:r>
      <w:proofErr w:type="spellEnd"/>
      <w:r w:rsidRPr="008D10AE">
        <w:rPr>
          <w:rFonts w:ascii="Arial" w:hAnsi="Arial" w:cs="Arial"/>
          <w:sz w:val="24"/>
          <w:szCs w:val="24"/>
        </w:rPr>
        <w:t xml:space="preserve"> observed among healthcare students when interact</w:t>
      </w:r>
      <w:r>
        <w:rPr>
          <w:rFonts w:ascii="Arial" w:hAnsi="Arial" w:cs="Arial"/>
          <w:sz w:val="24"/>
          <w:szCs w:val="24"/>
        </w:rPr>
        <w:t xml:space="preserve">ing with patients with dementia </w:t>
      </w:r>
      <w:r w:rsidR="00DD2896">
        <w:rPr>
          <w:rFonts w:ascii="Arial" w:hAnsi="Arial" w:cs="Arial"/>
          <w:sz w:val="24"/>
          <w:szCs w:val="24"/>
        </w:rPr>
        <w:fldChar w:fldCharType="begin" w:fldLock="1"/>
      </w:r>
      <w:r w:rsidR="00DD2896">
        <w:rPr>
          <w:rFonts w:ascii="Arial" w:hAnsi="Arial" w:cs="Arial"/>
          <w:sz w:val="24"/>
          <w:szCs w:val="24"/>
        </w:rPr>
        <w:instrText>ADDIN CSL_CITATION {"citationItems":[{"id":"ITEM-1","itemData":{"DOI":"10.4102/hsag.v29i0.2692","ISSN":"20719736","abstract":"Background: Dementia is a significant public health concern and a leading cause of disability and dependency among elderly individuals globally. However, there is currently limited research examining the perceptions and attitudes of healthcare providers, including nursing students, in Namibia. Aim: This study aimed to examine nursing students’ perceptions and attitudes of caring for patients with dementia. Setting: The study was conducted at two university campuses in Namibia. Methods: A quantitative correlational design was employed to conveniently recruit 196 third-and fourth-year nursing students between April and August 2023, utilising the Geriatric In-Hospital Nursing Care Questionnaire (GerINCQ) online survey. Data were analysed using SPSSv28 for descriptive and inferential statistics. Results: The perception score ranged from 2.26 to 2.43, indicating negative attitudes and perceptions towards dementia care. The highest mean perception of 2.43 (95% CI = 2.3–2.55) was on reacting to challenging behaviour and the lowest was on professional responsibility 2.26 (95% CI = 2.12–2.4). Correlations were observed between age and performed interventions (r = 0.66; p = 0.01) and gender and dementia-sensitive care (r = 0.52; p = 0.01). Conclusion: The study revealed unfavourable attitudes and perceptions towards dementia care among nursing students, contrary to the optimistic anticipation. The results highlight the urgent need to develop and integrate dementia care strategies and practices into nursing education curricula. Contribution: This study provides valuable data for informing quality assurance initiatives aimed at improving nursing training in dementia care.","author":[{"dropping-particle":"","family":"Tomas","given":"Nestor","non-dropping-particle":"","parse-names":false,"suffix":""},{"dropping-particle":"","family":"Mangundu","given":"Andrias M.","non-dropping-particle":"","parse-names":false,"suffix":""}],"container-title":"Health SA Gesondheid","id":"ITEM-1","issued":{"date-parts":[["2024"]]},"page":"1-8","title":"Nursing students’ perceptions and attitudes towards dementia care in Namibia","type":"article-journal","volume":"29"},"uris":["http://www.mendeley.com/documents/?uuid=3f39dc6a-13c7-4e6a-b970-848d3ba58179"]}],"mendeley":{"formattedCitation":"[10]","plainTextFormattedCitation":"[10]","previouslyFormattedCitation":"[10]"},"properties":{"noteIndex":0},"schema":"https://github.com/citation-style-language/schema/raw/master/csl-citation.json"}</w:instrText>
      </w:r>
      <w:r w:rsidR="00DD2896">
        <w:rPr>
          <w:rFonts w:ascii="Arial" w:hAnsi="Arial" w:cs="Arial"/>
          <w:sz w:val="24"/>
          <w:szCs w:val="24"/>
        </w:rPr>
        <w:fldChar w:fldCharType="separate"/>
      </w:r>
      <w:r w:rsidR="00DD2896" w:rsidRPr="00DD2896">
        <w:rPr>
          <w:rFonts w:ascii="Arial" w:hAnsi="Arial" w:cs="Arial"/>
          <w:noProof/>
          <w:sz w:val="24"/>
          <w:szCs w:val="24"/>
        </w:rPr>
        <w:t>[10]</w:t>
      </w:r>
      <w:r w:rsidR="00DD2896">
        <w:rPr>
          <w:rFonts w:ascii="Arial" w:hAnsi="Arial" w:cs="Arial"/>
          <w:sz w:val="24"/>
          <w:szCs w:val="24"/>
        </w:rPr>
        <w:fldChar w:fldCharType="end"/>
      </w:r>
      <w:r>
        <w:rPr>
          <w:rFonts w:ascii="Arial" w:hAnsi="Arial" w:cs="Arial"/>
          <w:sz w:val="24"/>
          <w:szCs w:val="24"/>
        </w:rPr>
        <w:t>.</w:t>
      </w:r>
    </w:p>
    <w:p w14:paraId="35C5532F"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sz w:val="24"/>
          <w:szCs w:val="24"/>
        </w:rPr>
        <w:t xml:space="preserve">However, it is also important to note the mixed opinions about the independence of individuals with dementia. Research suggests that while some students perceive dementia as a condition that strips away independence, others believe that, with the </w:t>
      </w:r>
      <w:r>
        <w:rPr>
          <w:rFonts w:ascii="Arial" w:hAnsi="Arial" w:cs="Arial"/>
          <w:sz w:val="24"/>
          <w:szCs w:val="24"/>
        </w:rPr>
        <w:t>proper</w:t>
      </w:r>
      <w:r w:rsidRPr="008D10AE">
        <w:rPr>
          <w:rFonts w:ascii="Arial" w:hAnsi="Arial" w:cs="Arial"/>
          <w:sz w:val="24"/>
          <w:szCs w:val="24"/>
        </w:rPr>
        <w:t xml:space="preserve"> support, individuals can maintain a degree of autonomy. This reflects a broader need for education and training in dementia care, as well as a more nuanced</w:t>
      </w:r>
      <w:r>
        <w:rPr>
          <w:rFonts w:ascii="Arial" w:hAnsi="Arial" w:cs="Arial"/>
          <w:sz w:val="24"/>
          <w:szCs w:val="24"/>
        </w:rPr>
        <w:t xml:space="preserve"> understanding of the condition </w:t>
      </w:r>
      <w:r w:rsidR="00DD2896">
        <w:rPr>
          <w:rFonts w:ascii="Arial" w:hAnsi="Arial" w:cs="Arial"/>
          <w:sz w:val="24"/>
          <w:szCs w:val="24"/>
        </w:rPr>
        <w:fldChar w:fldCharType="begin" w:fldLock="1"/>
      </w:r>
      <w:r w:rsidR="00DD2896">
        <w:rPr>
          <w:rFonts w:ascii="Arial" w:hAnsi="Arial" w:cs="Arial"/>
          <w:sz w:val="24"/>
          <w:szCs w:val="24"/>
        </w:rPr>
        <w:instrText>ADDIN CSL_CITATION {"citationItems":[{"id":"ITEM-1","itemData":{"DOI":"10.29045/14784726.2023.6.8.1.9","ISSN":"1478-4726","abstract":"Background: Paramedics play a vital role in the emergency healthcare of people living with dementia. People with dementia often have complex needs, posing challenges for paramedics. Paramedics often lack the confidence and skills to assess people with dementia appropriately, and receive little, if any, dementia education.  Aims: To evaluate the impact of dementia education on student paramedics’ preparedness to care, knowledge, confidence and attitudes towards dementia.  Methods: A 6-hour education programme on dementia was developed, implemented and evaluated. A pre-test–post-test design using self-completion validated questionnaires was used, to evaluate first-year undergraduate student paramedics’ knowledge, confidence and attitudes towards dementia, as well as their preparedness to care for people with dementia.  Results: A total of 43 paramedic students attended the education programme, with 41 fully completed questionnaires being collected pre-training and 32 post-training. Students reported feeling significantly more preparedness to care for people with dementia after the education session (p &lt; 0.001). They felt their knowledge (100%), confidence (87.5%) and attitudes (87.5%) towards dementia had significantly increased following the education session. Using validated measures, the impact of education was found to be the highest on dementia knowledge (13.8 vs 17.5; p &lt; 0.001) and on confidence (29.14 vs 34.06; p = 0.001), with only a minimal effect on attitudes (101.5 vs 103.4; p = 0.485). The education programme itself was well-evaluated.  Conclusion: As paramedics are central to the emergency healthcare of people living with dementia, it is essential that the emerging paramedic workforce is equipped with the knowledge, attitudes and confidence to provide quality care for this population. We need to ensure dementia education is embedded in undergraduate curricula, and that consideration is given to the subjects, level and pedagogic approach taken to ensure positive outcomes are maximised.","author":[{"dropping-particle":"","family":"Jones","given":"Danielle","non-dropping-particle":"","parse-names":false,"suffix":""},{"dropping-particle":"","family":"Capstick","given":"Andrea","non-dropping-particle":"","parse-names":false,"suffix":""},{"dropping-particle":"","family":"Faisal","given":"Muhammad","non-dropping-particle":"","parse-names":false,"suffix":""},{"dropping-particle":"","family":"Frankland","given":"Joe","non-dropping-particle":"","parse-names":false,"suffix":""}],"container-title":"British Paramedic Journal","id":"ITEM-1","issue":"1","issued":{"date-parts":[["2023","6"]]},"page":"9-17","title":"The impact of dementia education on student paramedics’ preparedness to care, knowledge, confidence and attitudes towards dementia: an analytic survey","type":"article-journal","volume":"8"},"uris":["http://www.mendeley.com/documents/?uuid=56cc834b-7129-41e1-b7dc-f107287fc5dd"]}],"mendeley":{"formattedCitation":"[30]","plainTextFormattedCitation":"[30]","previouslyFormattedCitation":"[30]"},"properties":{"noteIndex":0},"schema":"https://github.com/citation-style-language/schema/raw/master/csl-citation.json"}</w:instrText>
      </w:r>
      <w:r w:rsidR="00DD2896">
        <w:rPr>
          <w:rFonts w:ascii="Arial" w:hAnsi="Arial" w:cs="Arial"/>
          <w:sz w:val="24"/>
          <w:szCs w:val="24"/>
        </w:rPr>
        <w:fldChar w:fldCharType="separate"/>
      </w:r>
      <w:r w:rsidR="00DD2896" w:rsidRPr="00DD2896">
        <w:rPr>
          <w:rFonts w:ascii="Arial" w:hAnsi="Arial" w:cs="Arial"/>
          <w:noProof/>
          <w:sz w:val="24"/>
          <w:szCs w:val="24"/>
        </w:rPr>
        <w:t>[30]</w:t>
      </w:r>
      <w:r w:rsidR="00DD2896">
        <w:rPr>
          <w:rFonts w:ascii="Arial" w:hAnsi="Arial" w:cs="Arial"/>
          <w:sz w:val="24"/>
          <w:szCs w:val="24"/>
        </w:rPr>
        <w:fldChar w:fldCharType="end"/>
      </w:r>
      <w:r w:rsidR="00DD2896">
        <w:rPr>
          <w:rFonts w:ascii="Arial" w:hAnsi="Arial" w:cs="Arial"/>
          <w:sz w:val="24"/>
          <w:szCs w:val="24"/>
        </w:rPr>
        <w:fldChar w:fldCharType="begin" w:fldLock="1"/>
      </w:r>
      <w:r w:rsidR="007D04DB">
        <w:rPr>
          <w:rFonts w:ascii="Arial" w:hAnsi="Arial" w:cs="Arial"/>
          <w:sz w:val="24"/>
          <w:szCs w:val="24"/>
        </w:rPr>
        <w:instrText>ADDIN CSL_CITATION {"citationItems":[{"id":"ITEM-1","itemData":{"DOI":"10.1080/13607863.2020.1725738","ISSN":"13646915","PMID":"32048522","abstract":"Introduction: Perceptions of dementia are important determinants of support, treatment and care received in the dementia community. Understanding these perceptions are vital for regions such as Latin America, where there is a rapid increase in people living with dementia. The aim of this study is to review and synthesise the general public’s perceptions of dementia in Latin America, what factors are associated with these perceptions, and how they differ between countries in the region. Methods: Searches were completed across five databases (Medline, SCOPUS, PsychINFO, SciELO, and WoS). Studies were required to capture attitudes or knowledge of dementia in the general public residing within Latin America. English, Spanish and Portuguese search terms were used. Results were synthesised narratively. Results: About 1574 unique records were identified. Following lateral searches, de-duplication and screening, six articles (four studies) met the inclusion criteria for this review. All the studies were quantitative research from Brazil (median, n = 722). There was evidence of a limited to moderate knowledge of dementia, though a significant minority had negative or stigmatising attitudes. Only higher levels of education were consistently associated with better attitudes and knowledge of dementia in the region. Conclusion: There is a need for more in-depth research about attitudes of the general public across Latin America, particularly outside of São Paulo state, Brazil. There appears to be a greater need to raise awareness of dementia amongst less educated Latin American groups.","author":[{"dropping-particle":"","family":"Farina","given":"Nicolas","non-dropping-particle":"","parse-names":false,"suffix":""},{"dropping-particle":"","family":"Suemoto","given":"Claudia K.","non-dropping-particle":"","parse-names":false,"suffix":""},{"dropping-particle":"","family":"Burton","given":"Jenni K.","non-dropping-particle":"","parse-names":false,"suffix":""},{"dropping-particle":"","family":"Oliveira","given":"Déborah","non-dropping-particle":"","parse-names":false,"suffix":""},{"dropping-particle":"","family":"Frost","given":"Rachael","non-dropping-particle":"","parse-names":false,"suffix":""}],"container-title":"Aging and Mental Health","id":"ITEM-1","issue":"5","issued":{"date-parts":[["2021"]]},"page":"787-796","publisher":"Routledge","title":"Perceptions of dementia amongst the general public across Latin America: a systematic review","type":"article-journal","volume":"25"},"uris":["http://www.mendeley.com/documents/?uuid=88fa39d4-4f0f-46f0-8397-92f26925e14b"]}],"mendeley":{"formattedCitation":"[31]","plainTextFormattedCitation":"[31]","previouslyFormattedCitation":"[31]"},"properties":{"noteIndex":0},"schema":"https://github.com/citation-style-language/schema/raw/master/csl-citation.json"}</w:instrText>
      </w:r>
      <w:r w:rsidR="00DD2896">
        <w:rPr>
          <w:rFonts w:ascii="Arial" w:hAnsi="Arial" w:cs="Arial"/>
          <w:sz w:val="24"/>
          <w:szCs w:val="24"/>
        </w:rPr>
        <w:fldChar w:fldCharType="separate"/>
      </w:r>
      <w:r w:rsidR="00DD2896" w:rsidRPr="00DD2896">
        <w:rPr>
          <w:rFonts w:ascii="Arial" w:hAnsi="Arial" w:cs="Arial"/>
          <w:noProof/>
          <w:sz w:val="24"/>
          <w:szCs w:val="24"/>
        </w:rPr>
        <w:t>[31]</w:t>
      </w:r>
      <w:r w:rsidR="00DD2896">
        <w:rPr>
          <w:rFonts w:ascii="Arial" w:hAnsi="Arial" w:cs="Arial"/>
          <w:sz w:val="24"/>
          <w:szCs w:val="24"/>
        </w:rPr>
        <w:fldChar w:fldCharType="end"/>
      </w:r>
      <w:r>
        <w:rPr>
          <w:rFonts w:ascii="Arial" w:hAnsi="Arial" w:cs="Arial"/>
          <w:sz w:val="24"/>
          <w:szCs w:val="24"/>
        </w:rPr>
        <w:t>.</w:t>
      </w:r>
    </w:p>
    <w:p w14:paraId="6E14F86E"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424ACA">
        <w:rPr>
          <w:rFonts w:ascii="Arial" w:hAnsi="Arial" w:cs="Arial"/>
          <w:sz w:val="24"/>
          <w:szCs w:val="24"/>
        </w:rPr>
        <w:t>Medical students appear more reluctant than Environmental Health (BENVH) students to disclose a diagnosis of dementia to family members, with a significantly higher proportion of MD students strongly agreeing that they would prefer not to share such information. This may be linked to their deeper clinical understanding of the condition, which could heighten their awareness of the stigma surrounding dementia. Additionally, a greater percentage of MD students reported that they would feel humiliated if diagnosed with dementia, highlighting a notable difference in emotional response between the two groups</w:t>
      </w:r>
      <w:r>
        <w:rPr>
          <w:rFonts w:ascii="Arial" w:hAnsi="Arial" w:cs="Arial"/>
          <w:sz w:val="24"/>
          <w:szCs w:val="24"/>
        </w:rPr>
        <w:t xml:space="preserve">, </w:t>
      </w:r>
      <w:r w:rsidRPr="00424ACA">
        <w:rPr>
          <w:rFonts w:ascii="Arial" w:hAnsi="Arial" w:cs="Arial"/>
          <w:sz w:val="24"/>
          <w:szCs w:val="24"/>
        </w:rPr>
        <w:t>potentially shaped by varying degrees of knowledge, exposure, or personal experience. While both MD and BENVH students showed some hesitation toward spending time with people living with dementia, medical students were notably more reluctant, suggesting that even with medical training, negative attitudes and discomfort may persist</w:t>
      </w:r>
      <w:r>
        <w:rPr>
          <w:rFonts w:ascii="Arial" w:hAnsi="Arial" w:cs="Arial"/>
          <w:sz w:val="24"/>
          <w:szCs w:val="24"/>
        </w:rPr>
        <w:t>.</w:t>
      </w:r>
    </w:p>
    <w:p w14:paraId="358B834E" w14:textId="77777777" w:rsidR="00FE3D25" w:rsidRPr="008D10AE" w:rsidRDefault="00FE3D25" w:rsidP="00FE3D25">
      <w:pPr>
        <w:spacing w:before="100" w:beforeAutospacing="1" w:after="100" w:afterAutospacing="1" w:line="240" w:lineRule="auto"/>
        <w:jc w:val="both"/>
        <w:rPr>
          <w:rFonts w:ascii="Arial" w:hAnsi="Arial" w:cs="Arial"/>
          <w:sz w:val="24"/>
          <w:szCs w:val="24"/>
        </w:rPr>
      </w:pPr>
      <w:r w:rsidRPr="008D10AE">
        <w:rPr>
          <w:rFonts w:ascii="Arial" w:hAnsi="Arial" w:cs="Arial"/>
          <w:sz w:val="24"/>
          <w:szCs w:val="24"/>
        </w:rPr>
        <w:t xml:space="preserve">Our study </w:t>
      </w:r>
      <w:r>
        <w:rPr>
          <w:rFonts w:ascii="Arial" w:hAnsi="Arial" w:cs="Arial"/>
          <w:sz w:val="24"/>
          <w:szCs w:val="24"/>
        </w:rPr>
        <w:t xml:space="preserve">aligns with others that have evaluated the knowledge and attitudes of final-year medical students </w:t>
      </w:r>
      <w:r w:rsidRPr="008D10AE">
        <w:rPr>
          <w:rFonts w:ascii="Arial" w:hAnsi="Arial" w:cs="Arial"/>
          <w:sz w:val="24"/>
          <w:szCs w:val="24"/>
        </w:rPr>
        <w:t xml:space="preserve">toward dementia. While the study primarily focused on </w:t>
      </w:r>
      <w:r>
        <w:rPr>
          <w:rFonts w:ascii="Arial" w:hAnsi="Arial" w:cs="Arial"/>
          <w:sz w:val="24"/>
          <w:szCs w:val="24"/>
        </w:rPr>
        <w:t>improving knowledge through a sensitization</w:t>
      </w:r>
      <w:r w:rsidRPr="008D10AE">
        <w:rPr>
          <w:rFonts w:ascii="Arial" w:hAnsi="Arial" w:cs="Arial"/>
          <w:sz w:val="24"/>
          <w:szCs w:val="24"/>
        </w:rPr>
        <w:t xml:space="preserve"> program, it also highlighted areas where students felt less confident, such as identifying risk factors, signs and symptoms, and caregiving. These gaps in knowledge could potentially contribute to feelings of discomfort or humiliation when dealing with dementia patients. </w:t>
      </w:r>
      <w:r w:rsidRPr="008D10AE">
        <w:rPr>
          <w:rFonts w:ascii="Arial" w:hAnsi="Arial" w:cs="Arial"/>
          <w:bCs/>
          <w:sz w:val="24"/>
          <w:szCs w:val="24"/>
        </w:rPr>
        <w:t xml:space="preserve">Other </w:t>
      </w:r>
      <w:r w:rsidRPr="008D10AE">
        <w:rPr>
          <w:rFonts w:ascii="Arial" w:hAnsi="Arial" w:cs="Arial"/>
          <w:sz w:val="24"/>
          <w:szCs w:val="24"/>
        </w:rPr>
        <w:t xml:space="preserve">results showed significant positive changes in attitudes toward people with dementia </w:t>
      </w:r>
      <w:r>
        <w:rPr>
          <w:rFonts w:ascii="Arial" w:hAnsi="Arial" w:cs="Arial"/>
          <w:sz w:val="24"/>
          <w:szCs w:val="24"/>
        </w:rPr>
        <w:t xml:space="preserve">following the workshop, highlighting the effectiveness of targeted education in enhancing students' willingness to engage with individuals affected by dementia </w:t>
      </w:r>
      <w:r w:rsidR="007D04DB">
        <w:rPr>
          <w:rFonts w:ascii="Arial" w:hAnsi="Arial" w:cs="Arial"/>
          <w:sz w:val="24"/>
          <w:szCs w:val="24"/>
        </w:rPr>
        <w:fldChar w:fldCharType="begin" w:fldLock="1"/>
      </w:r>
      <w:r w:rsidR="007D04DB">
        <w:rPr>
          <w:rFonts w:ascii="Arial" w:hAnsi="Arial" w:cs="Arial"/>
          <w:sz w:val="24"/>
          <w:szCs w:val="24"/>
        </w:rPr>
        <w:instrText>ADDIN CSL_CITATION {"citationItems":[{"id":"ITEM-1","itemData":{"DOI":"10.1001/jamanetworkopen.2024.54730","ISSN":"2574-3805","abstract":"Mental health stigma is a considerable barrier to help-seeking among young people.To systematically review and meta-analyze randomized clinical trials (RCTs) of interventions aimed at reducing mental health stigma in young people.Comprehensive searches were conducted in the CENTRAL, CINAHL, Embase, PubMed, and PsycINFO databases from inception to February 27, 2024. Search terms included “stigma,” “mental health,” “mental disorders,” “adolescents,” “youth,” and “randomized controlled trial.”Inclusion criteria encompassed RCTs involving interventions aimed at reducing mental health stigma among young people (aged 10-24 years). Studies had to report outcomes related to stigma or help-seeking behaviors. Exclusion criteria included grey literature and studies without results.Data were extracted independently by 7 authors (M.A.C., D.N., F.B., S.C., Á.I.L., J.C., V.M.) using Preferred Reporting Items for Systematic Reviews and Meta-Analyses guidelines. Risk of bias was assessed with the Cochrane risk-of-bias tool. Three-level multivariate meta-analyses were conducted to account for within-study correlations and to maximize data use. Standardized mean differences (SMDs) (Hedges g) and odds ratios (ORs) with 95% CIs were calculated. The data analysis was conducted from May 30 through July 4, 2024.Primary outcomes included stigma-related knowledge, attitudes, behaviors, and general stigma. Help-seeking outcomes were categorized into attitudes, intentions, and behaviors. Secondary outcomes included self-efficacy and empowerment.A total of 97 studies were included in the systematic review, representing 43 852 young people (mean [IQR] age, 18.7 [15.8-21.3] years; mean [IQR] females, 59.2% [49.4%-72.0%]), and 74 studies were included in 3-level multivariate meta-analyses. Significant short-term effect sizes were found for stigma-related knowledge (SMD, 0.66; 95% CI, 0.43-0.89), attitudes (SMD, 0.38; 95% CI, 0.20-0.56), behaviors (SMD, 0.29; 95% CI, 0.13-0.45), and general stigma (SMD, 0.20; 95% CI, 0.06-0.34) and for help-seeking attitudes (SMD, 0.18; 95% CI, 0.09-0.28) and intentions (SMD, 0.14; 95% CI, 0.07-0.21). Social contact interventions had a greater influence on stigma-related behaviors than did educational approaches.These findings suggest that interventions to reduce mental health stigma among youth are beneficial in the short term. Further high-quality RCTs with long-term follow-up are needed to better understand and enhance these interventions’ outcomes.","author":[{"dropping-particle":"","family":"Crockett","given":"Marcelo A","non-dropping-particle":"","parse-names":false,"suffix":""},{"dropping-particle":"","family":"Núñez","given":"Daniel","non-dropping-particle":"","parse-names":false,"suffix":""},{"dropping-particle":"","family":"Martínez","given":"Pablo","non-dropping-particle":"","parse-names":false,"suffix":""},{"dropping-particle":"","family":"Borghero","given":"Francesca","non-dropping-particle":"","parse-names":false,"suffix":""},{"dropping-particle":"","family":"Campos","given":"Susana","non-dropping-particle":"","parse-names":false,"suffix":""},{"dropping-particle":"","family":"Langer","given":"Álvaro I","non-dropping-particle":"","parse-names":false,"suffix":""},{"dropping-particle":"","family":"Carrasco","given":"Jimena","non-dropping-particle":"","parse-names":false,"suffix":""},{"dropping-particle":"","family":"Martínez","given":"Vania","non-dropping-particle":"","parse-names":false,"suffix":""}],"container-title":"JAMA Network Open","id":"ITEM-1","issue":"1","issued":{"date-parts":[["2025","4"]]},"page":"e2454730","title":"Interventions to Reduce Mental Health Stigma in Young People: A Systematic Review and Meta-Analysis","type":"article-journal","volume":"8"},"uris":["http://www.mendeley.com/documents/?uuid=ad035cc0-055a-4cc7-808a-f23f00208d59"]}],"mendeley":{"formattedCitation":"[32]","plainTextFormattedCitation":"[32]","previouslyFormattedCitation":"[32]"},"properties":{"noteIndex":0},"schema":"https://github.com/citation-style-language/schema/raw/master/csl-citation.json"}</w:instrText>
      </w:r>
      <w:r w:rsidR="007D04DB">
        <w:rPr>
          <w:rFonts w:ascii="Arial" w:hAnsi="Arial" w:cs="Arial"/>
          <w:sz w:val="24"/>
          <w:szCs w:val="24"/>
        </w:rPr>
        <w:fldChar w:fldCharType="separate"/>
      </w:r>
      <w:r w:rsidR="007D04DB" w:rsidRPr="007D04DB">
        <w:rPr>
          <w:rFonts w:ascii="Arial" w:hAnsi="Arial" w:cs="Arial"/>
          <w:noProof/>
          <w:sz w:val="24"/>
          <w:szCs w:val="24"/>
        </w:rPr>
        <w:t>[32]</w:t>
      </w:r>
      <w:r w:rsidR="007D04DB">
        <w:rPr>
          <w:rFonts w:ascii="Arial" w:hAnsi="Arial" w:cs="Arial"/>
          <w:sz w:val="24"/>
          <w:szCs w:val="24"/>
        </w:rPr>
        <w:fldChar w:fldCharType="end"/>
      </w:r>
      <w:r w:rsidR="007D04DB">
        <w:rPr>
          <w:rFonts w:ascii="Arial" w:hAnsi="Arial" w:cs="Arial"/>
          <w:sz w:val="24"/>
          <w:szCs w:val="24"/>
        </w:rPr>
        <w:fldChar w:fldCharType="begin" w:fldLock="1"/>
      </w:r>
      <w:r w:rsidR="001A0000">
        <w:rPr>
          <w:rFonts w:ascii="Arial" w:hAnsi="Arial" w:cs="Arial"/>
          <w:sz w:val="24"/>
          <w:szCs w:val="24"/>
        </w:rPr>
        <w:instrText>ADDIN CSL_CITATION {"citationItems":[{"id":"ITEM-1","itemData":{"DOI":"10.1016/S0140-6736(22)01470-2","ISSN":"0140-6736, 1474-547X","author":[{"dropping-particle":"","family":"Thornicroft","given":"Graham","non-dropping-particle":"","parse-names":false,"suffix":""},{"dropping-particle":"","family":"Sunkel","given":"Charlene","non-dropping-particle":"","parse-names":false,"suffix":""},{"dropping-particle":"","family":"Aliev","given":"Akmal Alikhon","non-dropping-particle":"","parse-names":false,"suffix":""},{"dropping-particle":"","family":"Baker","given":"Sue","non-dropping-particle":"","parse-names":false,"suffix":""},{"dropping-particle":"","family":"Brohan","given":"Elaine","non-dropping-particle":"","parse-names":false,"suffix":""},{"dropping-particle":"el","family":"Chammay","given":"Rabih","non-dropping-particle":"","parse-names":false,"suffix":""},{"dropping-particle":"","family":"Davies","given":"Kelly","non-dropping-particle":"","parse-names":false,"suffix":""},{"dropping-particle":"","family":"Demissie","given":"Mekdes","non-dropping-particle":"","parse-names":false,"suffix":""},{"dropping-particle":"","family":"Duncan","given":"Joshua","non-dropping-particle":"","parse-names":false,"suffix":""},{"dropping-particle":"","family":"Fekadu","given":"Wubalem","non-dropping-particle":"","parse-names":false,"suffix":""},{"dropping-particle":"","family":"Gronholm","given":"Petra C","non-dropping-particle":"","parse-names":false,"suffix":""},{"dropping-particle":"","family":"Guerrero","given":"Zoe","non-dropping-particle":"","parse-names":false,"suffix":""},{"dropping-particle":"","family":"Gurung","given":"Dristy","non-dropping-particle":"","parse-names":false,"suffix":""},{"dropping-particle":"","family":"Habtamu","given":"Kassahun","non-dropping-particle":"","parse-names":false,"suffix":""},{"dropping-particle":"","family":"Hanlon","given":"Charlotte","non-dropping-particle":"","parse-names":false,"suffix":""},{"dropping-particle":"","family":"Heim","given":"Eva","non-dropping-particle":"","parse-names":false,"suffix":""},{"dropping-particle":"","family":"Henderson","given":"Claire","non-dropping-particle":"","parse-names":false,"suffix":""},{"dropping-particle":"","family":"Hijazi","given":"Zeinab","non-dropping-particle":"","parse-names":false,"suffix":""},{"dropping-particle":"","family":"Hoffman","given":"Claire","non-dropping-particle":"","parse-names":false,"suffix":""},{"dropping-particle":"","family":"Hosny","given":"Nadine","non-dropping-particle":"","parse-names":false,"suffix":""},{"dropping-particle":"","family":"Huang","given":"Fiona-Xiaofei","non-dropping-particle":"","parse-names":false,"suffix":""},{"dropping-particle":"","family":"Kline","given":"Sarah","non-dropping-particle":"","parse-names":false,"suffix":""},{"dropping-particle":"","family":"Kohrt","given":"Brandon A","non-dropping-particle":"","parse-names":false,"suffix":""},{"dropping-particle":"","family":"Lempp","given":"Heidi","non-dropping-particle":"","parse-names":false,"suffix":""},{"dropping-particle":"","family":"Li","given":"Jie","non-dropping-particle":"","parse-names":false,"suffix":""},{"dropping-particle":"","family":"London","given":"Elisha","non-dropping-particle":"","parse-names":false,"suffix":""},{"dropping-particle":"","family":"Ma","given":"Ning","non-dropping-particle":"","parse-names":false,"suffix":""},{"dropping-particle":"","family":"Mak","given":"Winnie W S","non-dropping-particle":"","parse-names":false,"suffix":""},{"dropping-particle":"","family":"Makhmud","given":"Akerke","non-dropping-particle":"","parse-names":false,"suffix":""},{"dropping-particle":"","family":"Maulik","given":"Pallab K","non-dropping-particle":"","parse-names":false,"suffix":""},{"dropping-particle":"","family":"Milenova","given":"Maria","non-dropping-particle":"","parse-names":false,"suffix":""},{"dropping-particle":"","family":"Cano","given":"Guadalupe Morales","non-dropping-particle":"","parse-names":false,"suffix":""},{"dropping-particle":"","family":"Ouali","given":"Uta","non-dropping-particle":"","parse-names":false,"suffix":""},{"dropping-particle":"","family":"Parry","given":"Sarah","non-dropping-particle":"","parse-names":false,"suffix":""},{"dropping-particle":"","family":"Rangaswamy","given":"Thara","non-dropping-particle":"","parse-names":false,"suffix":""},{"dropping-particle":"","family":"Rüsch","given":"Nicolas","non-dropping-particle":"","parse-names":false,"suffix":""},{"dropping-particle":"","family":"Sabri","given":"Taha","non-dropping-particle":"","parse-names":false,"suffix":""},{"dropping-particle":"","family":"Sartorius","given":"Norman","non-dropping-particle":"","parse-names":false,"suffix":""},{"dropping-particle":"","family":"Schulze","given":"Marianne","non-dropping-particle":"","parse-names":false,"suffix":""},{"dropping-particle":"","family":"Stuart","given":"Heather","non-dropping-particle":"","parse-names":false,"suffix":""},{"dropping-particle":"","family":"Salisbury","given":"Tatiana Taylor","non-dropping-particle":"","parse-names":false,"suffix":""},{"dropping-particle":"","family":"Juan","given":"Norha Vera San","non-dropping-particle":"","parse-names":false,"suffix":""},{"dropping-particle":"","family":"Votruba","given":"Nicole","non-dropping-particle":"","parse-names":false,"suffix":""},{"dropping-particle":"","family":"Winkler","given":"Petr","non-dropping-particle":"","parse-names":false,"suffix":""}],"container-title":"The Lancet","id":"ITEM-1","issue":"10361","issued":{"date-parts":[["2022","4"]]},"language":"English","page":"1438-1480","title":"The Lancet Commission on ending stigma and discrimination in mental health","type":"article-journal","volume":"400"},"uris":["http://www.mendeley.com/documents/?uuid=e6ed3a73-0817-4d15-b13b-9b3d8a9b3393"]}],"mendeley":{"formattedCitation":"[33]","plainTextFormattedCitation":"[33]","previouslyFormattedCitation":"[33]"},"properties":{"noteIndex":0},"schema":"https://github.com/citation-style-language/schema/raw/master/csl-citation.json"}</w:instrText>
      </w:r>
      <w:r w:rsidR="007D04DB">
        <w:rPr>
          <w:rFonts w:ascii="Arial" w:hAnsi="Arial" w:cs="Arial"/>
          <w:sz w:val="24"/>
          <w:szCs w:val="24"/>
        </w:rPr>
        <w:fldChar w:fldCharType="separate"/>
      </w:r>
      <w:r w:rsidR="007D04DB" w:rsidRPr="007D04DB">
        <w:rPr>
          <w:rFonts w:ascii="Arial" w:hAnsi="Arial" w:cs="Arial"/>
          <w:noProof/>
          <w:sz w:val="24"/>
          <w:szCs w:val="24"/>
        </w:rPr>
        <w:t>[33]</w:t>
      </w:r>
      <w:r w:rsidR="007D04DB">
        <w:rPr>
          <w:rFonts w:ascii="Arial" w:hAnsi="Arial" w:cs="Arial"/>
          <w:sz w:val="24"/>
          <w:szCs w:val="24"/>
        </w:rPr>
        <w:fldChar w:fldCharType="end"/>
      </w:r>
      <w:r w:rsidR="001A0000">
        <w:rPr>
          <w:rFonts w:ascii="Arial" w:hAnsi="Arial" w:cs="Arial"/>
          <w:sz w:val="24"/>
          <w:szCs w:val="24"/>
        </w:rPr>
        <w:fldChar w:fldCharType="begin" w:fldLock="1"/>
      </w:r>
      <w:r w:rsidR="001A0000">
        <w:rPr>
          <w:rFonts w:ascii="Arial" w:hAnsi="Arial" w:cs="Arial"/>
          <w:sz w:val="24"/>
          <w:szCs w:val="24"/>
        </w:rPr>
        <w:instrText>ADDIN CSL_CITATION {"citationItems":[{"id":"ITEM-1","itemData":{"DOI":"10.1080/13607863.2019.1577799","ISSN":"1360-7863","abstract":"Objectives: Until now little research has been done to answer the question of whether people with dementia experience stigma. No previous studies investigated possible differences between countries and cultures. Therefore, the aims of this study were to compare the experience of stigma (with social isolation, social rejection and internalised shame as components) among people with dementia and mild cognitive impairment (MCI) (n = 180) in Italy (n = 79), Poland (n = 47) and the United Kingdom (UK) (n = 54); and to investigate possible relationships with demographical and clinical outcomes. Methods: A one group multinational cross-sectional design was used. Stigma was measured with the Stigma Impact Scale (SIS), quality of life aspects with Dementia Quality of Life scale (DQOL) and Quality of Life Alzheimer’s Disease scale (QOL-AD), social support with Duke Social Support Index (DSSI), cognitive functioning with Global Deterioration Scale (GDS). Results: The level of stigmatisation (SIS) among study participants varied from 2 to 65 (median = 33.5; Q1 = 27; Q3 = 41). People with dementia in the UK experienced a higher level of stigmatisation than people in Italy and Poland. The experienced stigmatisation negatively correlated with social support (DSSI; rho = −0.42, p = 0.000) and quality of life (QOL-AD; rho = −0.39, p = 0.000). People who experienced a higher level of stigmatisation scored higher in negative mood DQOL subscale (rho = 0.28, p = 0.0002). Conclusion: There is a strong need for research into the individual experience of people with dementia across the world. This could help in providing support and care services that match their experience, needs, preferences; and in designing well informed awareness campaigns based on their voice.","author":[{"dropping-particle":"","family":"Lion","given":"Katarzyna Małgorzata","non-dropping-particle":"","parse-names":false,"suffix":""},{"dropping-particle":"","family":"Szcześniak","given":"Dorota","non-dropping-particle":"","parse-names":false,"suffix":""},{"dropping-particle":"","family":"Bulińska","given":"Katarzyna","non-dropping-particle":"","parse-names":false,"suffix":""},{"dropping-particle":"","family":"Evans","given":"Shirley Barbara","non-dropping-particle":"","parse-names":false,"suffix":""},{"dropping-particle":"","family":"Evans","given":"Simon C","non-dropping-particle":"","parse-names":false,"suffix":""},{"dropping-particle":"","family":"Saibene","given":"Francesca Lea","non-dropping-particle":"","parse-names":false,"suffix":""},{"dropping-particle":"","family":"d’Arma","given":"Alessia","non-dropping-particle":"","parse-names":false,"suffix":""},{"dropping-particle":"","family":"Farina","given":"Elisabetta","non-dropping-particle":"","parse-names":false,"suffix":""},{"dropping-particle":"","family":"Brooker","given":"Dawn June","non-dropping-particle":"","parse-names":false,"suffix":""},{"dropping-particle":"","family":"Chattat","given":"Rabih","non-dropping-particle":"","parse-names":false,"suffix":""},{"dropping-particle":"","family":"Meiland","given":"Franka J M","non-dropping-particle":"","parse-names":false,"suffix":""},{"dropping-particle":"","family":"Dröes","given":"Rose-Marie","non-dropping-particle":"","parse-names":false,"suffix":""},{"dropping-particle":"","family":"Rymaszewska","given":"Joanna","non-dropping-particle":"","parse-names":false,"suffix":""}],"container-title":"Aging &amp; Mental Health","id":"ITEM-1","issue":"6","issued":{"date-parts":[["2020","7"]]},"page":"947-955","title":"Do people with dementia and mild cognitive impairments experience stigma? A cross-cultural investigation between Italy, Poland and the UK","type":"article-journal","volume":"24"},"uris":["http://www.mendeley.com/documents/?uuid=e0714130-bdca-4595-ae76-5275c4a4e2c3"]}],"mendeley":{"formattedCitation":"[34]","plainTextFormattedCitation":"[34]"},"properties":{"noteIndex":0},"schema":"https://github.com/citation-style-language/schema/raw/master/csl-citation.json"}</w:instrText>
      </w:r>
      <w:r w:rsidR="001A0000">
        <w:rPr>
          <w:rFonts w:ascii="Arial" w:hAnsi="Arial" w:cs="Arial"/>
          <w:sz w:val="24"/>
          <w:szCs w:val="24"/>
        </w:rPr>
        <w:fldChar w:fldCharType="separate"/>
      </w:r>
      <w:r w:rsidR="001A0000" w:rsidRPr="001A0000">
        <w:rPr>
          <w:rFonts w:ascii="Arial" w:hAnsi="Arial" w:cs="Arial"/>
          <w:noProof/>
          <w:sz w:val="24"/>
          <w:szCs w:val="24"/>
        </w:rPr>
        <w:t>[34]</w:t>
      </w:r>
      <w:r w:rsidR="001A0000">
        <w:rPr>
          <w:rFonts w:ascii="Arial" w:hAnsi="Arial" w:cs="Arial"/>
          <w:sz w:val="24"/>
          <w:szCs w:val="24"/>
        </w:rPr>
        <w:fldChar w:fldCharType="end"/>
      </w:r>
      <w:r>
        <w:rPr>
          <w:rFonts w:ascii="Arial" w:hAnsi="Arial" w:cs="Arial"/>
          <w:sz w:val="24"/>
          <w:szCs w:val="24"/>
        </w:rPr>
        <w:t>.</w:t>
      </w:r>
      <w:r w:rsidRPr="008D10AE">
        <w:rPr>
          <w:rFonts w:ascii="Arial" w:hAnsi="Arial" w:cs="Arial"/>
          <w:sz w:val="24"/>
          <w:szCs w:val="24"/>
        </w:rPr>
        <w:t xml:space="preserve"> Collectively, these studies underscore the importance of integrating comprehensive dementia education into medical curricula. Such initiatives can enhance students' knowledge, improve attitudes, and reduce stigma associated with dementia, ultimately fostering a more empathetic and competent healthcare workforce</w:t>
      </w:r>
      <w:r>
        <w:rPr>
          <w:rFonts w:ascii="Arial" w:hAnsi="Arial" w:cs="Arial"/>
          <w:sz w:val="24"/>
          <w:szCs w:val="24"/>
        </w:rPr>
        <w:t>.</w:t>
      </w:r>
    </w:p>
    <w:p w14:paraId="44391E2E" w14:textId="77777777" w:rsidR="00FE3D25" w:rsidRPr="008D10AE" w:rsidRDefault="00FE3D25" w:rsidP="00FE3D25">
      <w:pPr>
        <w:spacing w:before="100" w:beforeAutospacing="1" w:after="100" w:afterAutospacing="1" w:line="240" w:lineRule="auto"/>
        <w:rPr>
          <w:rFonts w:ascii="Arial" w:hAnsi="Arial" w:cs="Arial"/>
          <w:sz w:val="24"/>
          <w:szCs w:val="24"/>
        </w:rPr>
      </w:pPr>
    </w:p>
    <w:p w14:paraId="5E479231" w14:textId="77777777" w:rsidR="00FE3D25" w:rsidRPr="008D10AE" w:rsidRDefault="00FE3D25" w:rsidP="00FE3D25">
      <w:pPr>
        <w:spacing w:before="100" w:beforeAutospacing="1" w:after="100" w:afterAutospacing="1" w:line="240" w:lineRule="auto"/>
        <w:rPr>
          <w:rFonts w:ascii="Arial" w:hAnsi="Arial" w:cs="Arial"/>
          <w:sz w:val="24"/>
          <w:szCs w:val="24"/>
        </w:rPr>
      </w:pPr>
    </w:p>
    <w:p w14:paraId="7AC04693" w14:textId="77777777" w:rsidR="00FE3D25" w:rsidRDefault="00FE3D25" w:rsidP="00FE3D25">
      <w:pPr>
        <w:pStyle w:val="NormalWeb"/>
        <w:rPr>
          <w:rStyle w:val="Strong"/>
          <w:rFonts w:ascii="Arial" w:hAnsi="Arial" w:cs="Arial"/>
          <w:bCs/>
        </w:rPr>
      </w:pPr>
    </w:p>
    <w:p w14:paraId="3D60815E" w14:textId="77777777" w:rsidR="007D04DB" w:rsidRDefault="007D04DB" w:rsidP="00FE3D25">
      <w:pPr>
        <w:pStyle w:val="NormalWeb"/>
        <w:rPr>
          <w:rStyle w:val="Strong"/>
          <w:rFonts w:ascii="Arial" w:hAnsi="Arial" w:cs="Arial"/>
          <w:bCs/>
        </w:rPr>
      </w:pPr>
    </w:p>
    <w:p w14:paraId="3A4FD8AD" w14:textId="77777777" w:rsidR="007D04DB" w:rsidRDefault="007D04DB" w:rsidP="00FE3D25">
      <w:pPr>
        <w:pStyle w:val="NormalWeb"/>
        <w:rPr>
          <w:rStyle w:val="Strong"/>
          <w:rFonts w:ascii="Arial" w:hAnsi="Arial" w:cs="Arial"/>
          <w:bCs/>
        </w:rPr>
      </w:pPr>
    </w:p>
    <w:p w14:paraId="24384369" w14:textId="77777777" w:rsidR="00FE3D25" w:rsidRPr="00155F2A" w:rsidRDefault="007D04DB" w:rsidP="00FE3D25">
      <w:pPr>
        <w:pStyle w:val="NormalWeb"/>
        <w:jc w:val="both"/>
        <w:rPr>
          <w:rFonts w:ascii="Arial" w:hAnsi="Arial" w:cs="Arial"/>
        </w:rPr>
      </w:pPr>
      <w:r>
        <w:rPr>
          <w:rStyle w:val="Strong"/>
          <w:rFonts w:ascii="Arial" w:hAnsi="Arial" w:cs="Arial"/>
          <w:bCs/>
        </w:rPr>
        <w:lastRenderedPageBreak/>
        <w:t xml:space="preserve"> </w:t>
      </w:r>
    </w:p>
    <w:p w14:paraId="1D7ECF77" w14:textId="77777777" w:rsidR="00FE3D25" w:rsidRPr="00155F2A" w:rsidRDefault="00FE3D25" w:rsidP="00FE3D25">
      <w:pPr>
        <w:pStyle w:val="NormalWeb"/>
        <w:rPr>
          <w:rFonts w:ascii="Arial" w:hAnsi="Arial" w:cs="Arial"/>
        </w:rPr>
      </w:pPr>
      <w:r w:rsidRPr="00155F2A">
        <w:rPr>
          <w:rStyle w:val="Strong"/>
          <w:rFonts w:ascii="Arial" w:hAnsi="Arial" w:cs="Arial"/>
          <w:bCs/>
        </w:rPr>
        <w:t>Conclusion</w:t>
      </w:r>
    </w:p>
    <w:p w14:paraId="24E9C42D" w14:textId="77777777" w:rsidR="00FE3D25" w:rsidRPr="00424ACA" w:rsidRDefault="00FE3D25" w:rsidP="00FE3D25">
      <w:pPr>
        <w:spacing w:before="100" w:beforeAutospacing="1" w:after="100" w:afterAutospacing="1" w:line="240" w:lineRule="auto"/>
        <w:jc w:val="both"/>
        <w:rPr>
          <w:rFonts w:ascii="Arial" w:hAnsi="Arial" w:cs="Arial"/>
          <w:sz w:val="24"/>
          <w:szCs w:val="24"/>
        </w:rPr>
      </w:pPr>
      <w:r w:rsidRPr="00424ACA">
        <w:rPr>
          <w:rFonts w:ascii="Arial" w:hAnsi="Arial" w:cs="Arial"/>
          <w:sz w:val="24"/>
          <w:szCs w:val="24"/>
        </w:rPr>
        <w:t xml:space="preserve">Female students made up the majority of participants, and most had not yet engaged in </w:t>
      </w:r>
      <w:r w:rsidRPr="00424ACA">
        <w:rPr>
          <w:rFonts w:ascii="Arial" w:hAnsi="Arial" w:cs="Arial"/>
          <w:sz w:val="24"/>
          <w:szCs w:val="24"/>
          <w:highlight w:val="yellow"/>
        </w:rPr>
        <w:t>health service practice. Likewise, most had no relatives with dementia. Although nearly all participants had heard of dementia or Alzheimer’s disease, most had not read any related research, suggesting awareness without deeper academic engagement. While a substantial portion of students displayed a positive attitude toward</w:t>
      </w:r>
      <w:r w:rsidRPr="00825E27">
        <w:rPr>
          <w:rFonts w:ascii="Arial" w:hAnsi="Arial" w:cs="Arial"/>
          <w:sz w:val="24"/>
          <w:szCs w:val="24"/>
          <w:highlight w:val="yellow"/>
        </w:rPr>
        <w:t xml:space="preserve"> dementia, negative perceptions, </w:t>
      </w:r>
      <w:r w:rsidRPr="00424ACA">
        <w:rPr>
          <w:rFonts w:ascii="Arial" w:hAnsi="Arial" w:cs="Arial"/>
          <w:sz w:val="24"/>
          <w:szCs w:val="24"/>
          <w:highlight w:val="yellow"/>
        </w:rPr>
        <w:t>including discri</w:t>
      </w:r>
      <w:r w:rsidRPr="00825E27">
        <w:rPr>
          <w:rFonts w:ascii="Arial" w:hAnsi="Arial" w:cs="Arial"/>
          <w:sz w:val="24"/>
          <w:szCs w:val="24"/>
          <w:highlight w:val="yellow"/>
        </w:rPr>
        <w:t xml:space="preserve">minatory or isolating attitudes, </w:t>
      </w:r>
      <w:r w:rsidRPr="00424ACA">
        <w:rPr>
          <w:rFonts w:ascii="Arial" w:hAnsi="Arial" w:cs="Arial"/>
          <w:sz w:val="24"/>
          <w:szCs w:val="24"/>
          <w:highlight w:val="yellow"/>
        </w:rPr>
        <w:t xml:space="preserve">remain common. Such attitudes, particularly avoidance, may hinder early diagnosis and limit access to proper treatment for individuals with dementia. The findings highlight a notable presence of stigma: many students indicated they would prefer that their family did not know if they had dementia, even as </w:t>
      </w:r>
      <w:r>
        <w:rPr>
          <w:rFonts w:ascii="Arial" w:hAnsi="Arial" w:cs="Arial"/>
          <w:sz w:val="24"/>
          <w:szCs w:val="24"/>
          <w:highlight w:val="yellow"/>
        </w:rPr>
        <w:t>an essential</w:t>
      </w:r>
      <w:r w:rsidRPr="00825E27">
        <w:rPr>
          <w:rFonts w:ascii="Arial" w:hAnsi="Arial" w:cs="Arial"/>
          <w:sz w:val="24"/>
          <w:szCs w:val="24"/>
          <w:highlight w:val="yellow"/>
        </w:rPr>
        <w:t xml:space="preserve"> subgroup </w:t>
      </w:r>
      <w:r>
        <w:rPr>
          <w:rFonts w:ascii="Arial" w:hAnsi="Arial" w:cs="Arial"/>
          <w:sz w:val="24"/>
          <w:szCs w:val="24"/>
          <w:highlight w:val="yellow"/>
        </w:rPr>
        <w:t>is</w:t>
      </w:r>
      <w:r w:rsidRPr="00825E27">
        <w:rPr>
          <w:rFonts w:ascii="Arial" w:hAnsi="Arial" w:cs="Arial"/>
          <w:sz w:val="24"/>
          <w:szCs w:val="24"/>
          <w:highlight w:val="yellow"/>
        </w:rPr>
        <w:t xml:space="preserve"> upset </w:t>
      </w:r>
      <w:r w:rsidRPr="00424ACA">
        <w:rPr>
          <w:rFonts w:ascii="Arial" w:hAnsi="Arial" w:cs="Arial"/>
          <w:sz w:val="24"/>
          <w:szCs w:val="24"/>
          <w:highlight w:val="yellow"/>
        </w:rPr>
        <w:t>with the idea that time spent with</w:t>
      </w:r>
      <w:r w:rsidRPr="00825E27">
        <w:rPr>
          <w:rFonts w:ascii="Arial" w:hAnsi="Arial" w:cs="Arial"/>
          <w:sz w:val="24"/>
          <w:szCs w:val="24"/>
          <w:highlight w:val="yellow"/>
        </w:rPr>
        <w:t xml:space="preserve"> </w:t>
      </w:r>
      <w:proofErr w:type="gramStart"/>
      <w:r w:rsidRPr="00825E27">
        <w:rPr>
          <w:rFonts w:ascii="Arial" w:hAnsi="Arial" w:cs="Arial"/>
          <w:sz w:val="24"/>
          <w:szCs w:val="24"/>
          <w:highlight w:val="yellow"/>
        </w:rPr>
        <w:t xml:space="preserve">dementia </w:t>
      </w:r>
      <w:r w:rsidRPr="00424ACA">
        <w:rPr>
          <w:rFonts w:ascii="Arial" w:hAnsi="Arial" w:cs="Arial"/>
          <w:sz w:val="24"/>
          <w:szCs w:val="24"/>
          <w:highlight w:val="yellow"/>
        </w:rPr>
        <w:t>.</w:t>
      </w:r>
      <w:proofErr w:type="gramEnd"/>
    </w:p>
    <w:p w14:paraId="3717B1D0" w14:textId="77777777" w:rsidR="00FE3D25" w:rsidRDefault="00FE3D25" w:rsidP="00FE3D25">
      <w:pPr>
        <w:pStyle w:val="NormalWeb"/>
        <w:jc w:val="both"/>
        <w:rPr>
          <w:rStyle w:val="Strong"/>
          <w:rFonts w:ascii="Arial" w:hAnsi="Arial" w:cs="Arial"/>
          <w:bCs/>
        </w:rPr>
      </w:pPr>
      <w:r>
        <w:rPr>
          <w:rFonts w:ascii="Arial" w:hAnsi="Arial" w:cs="Arial"/>
        </w:rPr>
        <w:t>.</w:t>
      </w:r>
    </w:p>
    <w:p w14:paraId="230D4CA2" w14:textId="77777777" w:rsidR="00FE3D25" w:rsidRDefault="00FE3D25" w:rsidP="00FE3D25">
      <w:pPr>
        <w:pStyle w:val="NormalWeb"/>
        <w:jc w:val="both"/>
        <w:rPr>
          <w:rStyle w:val="Strong"/>
          <w:rFonts w:ascii="Arial" w:hAnsi="Arial" w:cs="Arial"/>
          <w:bCs/>
        </w:rPr>
      </w:pPr>
    </w:p>
    <w:p w14:paraId="5041B50C" w14:textId="77777777" w:rsidR="00FE3D25" w:rsidRPr="008D10AE" w:rsidRDefault="00FE3D25" w:rsidP="00FE3D25">
      <w:pPr>
        <w:pStyle w:val="NormalWeb"/>
        <w:jc w:val="both"/>
        <w:rPr>
          <w:rFonts w:ascii="Arial" w:hAnsi="Arial" w:cs="Arial"/>
        </w:rPr>
      </w:pPr>
      <w:r w:rsidRPr="008D10AE">
        <w:rPr>
          <w:rStyle w:val="Strong"/>
          <w:rFonts w:ascii="Arial" w:hAnsi="Arial" w:cs="Arial"/>
          <w:bCs/>
        </w:rPr>
        <w:t>Recommendations</w:t>
      </w:r>
    </w:p>
    <w:p w14:paraId="03CB712B" w14:textId="77777777" w:rsidR="00FE3D25" w:rsidRDefault="00FE3D25" w:rsidP="00FE3D25">
      <w:pPr>
        <w:pStyle w:val="NormalWeb"/>
        <w:rPr>
          <w:rFonts w:ascii="Arial" w:hAnsi="Arial" w:cs="Arial"/>
        </w:rPr>
      </w:pPr>
      <w:r w:rsidRPr="008D10AE">
        <w:rPr>
          <w:rFonts w:ascii="Arial" w:hAnsi="Arial" w:cs="Arial"/>
        </w:rPr>
        <w:t>To address these issues, it is crucial to integrate health education on dementia into the academic curriculum for university students, particularly those in health-related fields. Additionally, healthcare workers should receive continuous training and education to reduce stigma and improve understanding. Promoting p</w:t>
      </w:r>
      <w:r>
        <w:rPr>
          <w:rFonts w:ascii="Arial" w:hAnsi="Arial" w:cs="Arial"/>
        </w:rPr>
        <w:t>ositive attitudes and increasing</w:t>
      </w:r>
      <w:r w:rsidRPr="008D10AE">
        <w:rPr>
          <w:rFonts w:ascii="Arial" w:hAnsi="Arial" w:cs="Arial"/>
        </w:rPr>
        <w:t xml:space="preserve"> awareness will contribute to the creation of a more supportive and inclusive </w:t>
      </w:r>
      <w:r>
        <w:rPr>
          <w:rFonts w:ascii="Arial" w:hAnsi="Arial" w:cs="Arial"/>
        </w:rPr>
        <w:t>community that is dementia-friendly</w:t>
      </w:r>
      <w:r w:rsidRPr="008D10AE">
        <w:rPr>
          <w:rFonts w:ascii="Arial" w:hAnsi="Arial" w:cs="Arial"/>
        </w:rPr>
        <w:t>.</w:t>
      </w:r>
    </w:p>
    <w:p w14:paraId="2EC13000" w14:textId="77777777" w:rsidR="007D04DB" w:rsidRPr="008D10AE" w:rsidRDefault="007D04DB" w:rsidP="007D04DB">
      <w:pPr>
        <w:pStyle w:val="NormalWeb"/>
        <w:rPr>
          <w:rFonts w:ascii="Arial" w:hAnsi="Arial" w:cs="Arial"/>
        </w:rPr>
      </w:pPr>
      <w:r w:rsidRPr="008D10AE">
        <w:rPr>
          <w:rStyle w:val="Strong"/>
          <w:rFonts w:ascii="Arial" w:hAnsi="Arial" w:cs="Arial"/>
          <w:bCs/>
        </w:rPr>
        <w:t>Limitations of the Research</w:t>
      </w:r>
    </w:p>
    <w:p w14:paraId="445B3E60" w14:textId="77777777" w:rsidR="007D04DB" w:rsidRPr="00155F2A" w:rsidRDefault="007D04DB" w:rsidP="007D04DB">
      <w:pPr>
        <w:pStyle w:val="NormalWeb"/>
        <w:jc w:val="both"/>
        <w:rPr>
          <w:rFonts w:ascii="Arial" w:hAnsi="Arial" w:cs="Arial"/>
        </w:rPr>
      </w:pPr>
      <w:r w:rsidRPr="00155F2A">
        <w:rPr>
          <w:rFonts w:ascii="Arial" w:hAnsi="Arial" w:cs="Arial"/>
        </w:rPr>
        <w:t xml:space="preserve"> The limitations were acknowledged in the study. First, since the questionnaire was self-administered, there was a possibility that participants might provide answers without a complete understanding of dementia. The interpretation of specific questions could have also introduced bias in the responses. Additionally, the use of arbitrary knowledge and attitude scores may not fully capture the depth of participants’ actual knowledge or their proper attitudes toward dementia.</w:t>
      </w:r>
    </w:p>
    <w:p w14:paraId="7B74C290" w14:textId="77777777" w:rsidR="007D04DB" w:rsidRPr="008D10AE" w:rsidRDefault="007D04DB" w:rsidP="00FE3D25">
      <w:pPr>
        <w:pStyle w:val="NormalWeb"/>
        <w:rPr>
          <w:rFonts w:ascii="Arial" w:hAnsi="Arial" w:cs="Arial"/>
        </w:rPr>
      </w:pPr>
    </w:p>
    <w:p w14:paraId="4958F869" w14:textId="77777777" w:rsidR="00FE3D25" w:rsidRDefault="00FE3D25" w:rsidP="00FE3D25">
      <w:pPr>
        <w:widowControl w:val="0"/>
        <w:tabs>
          <w:tab w:val="left" w:pos="384"/>
        </w:tabs>
        <w:autoSpaceDE w:val="0"/>
        <w:autoSpaceDN w:val="0"/>
        <w:adjustRightInd w:val="0"/>
        <w:spacing w:after="0" w:line="240" w:lineRule="auto"/>
        <w:ind w:left="384" w:hanging="384"/>
        <w:rPr>
          <w:rFonts w:ascii="Arial" w:hAnsi="Arial" w:cs="Arial"/>
          <w:sz w:val="24"/>
          <w:szCs w:val="24"/>
        </w:rPr>
      </w:pPr>
    </w:p>
    <w:p w14:paraId="753EB5C6" w14:textId="77777777" w:rsidR="00FE3D25" w:rsidRPr="00155F2A" w:rsidRDefault="00FE3D25" w:rsidP="00FE3D25">
      <w:pPr>
        <w:pStyle w:val="Heading2"/>
        <w:rPr>
          <w:rFonts w:eastAsia="SimSun"/>
          <w:i w:val="0"/>
        </w:rPr>
      </w:pPr>
      <w:r w:rsidRPr="00235DC3">
        <w:rPr>
          <w:rFonts w:eastAsia="SimSun"/>
          <w:i w:val="0"/>
          <w:highlight w:val="yellow"/>
        </w:rPr>
        <w:t>Ethical approval</w:t>
      </w:r>
    </w:p>
    <w:p w14:paraId="01D060C6" w14:textId="77777777" w:rsidR="00FE3D25" w:rsidRPr="00155F2A" w:rsidRDefault="00FE3D25" w:rsidP="00FE3D25">
      <w:pPr>
        <w:spacing w:after="0" w:line="240" w:lineRule="auto"/>
        <w:jc w:val="both"/>
        <w:rPr>
          <w:rFonts w:ascii="Arial" w:eastAsia="SimSun" w:hAnsi="Arial" w:cs="Arial"/>
          <w:sz w:val="20"/>
          <w:szCs w:val="20"/>
        </w:rPr>
      </w:pPr>
    </w:p>
    <w:p w14:paraId="321D3883" w14:textId="51BE1038" w:rsidR="00FE3D25" w:rsidRDefault="00FE3D25" w:rsidP="00FE3D25">
      <w:pPr>
        <w:spacing w:after="0" w:line="240" w:lineRule="auto"/>
        <w:ind w:right="119"/>
        <w:jc w:val="both"/>
        <w:rPr>
          <w:rFonts w:ascii="Arial" w:eastAsia="SimSun" w:hAnsi="Arial" w:cs="Arial"/>
          <w:sz w:val="24"/>
          <w:szCs w:val="24"/>
        </w:rPr>
      </w:pPr>
      <w:r w:rsidRPr="00155F2A">
        <w:rPr>
          <w:rFonts w:ascii="Arial" w:eastAsia="SimSun" w:hAnsi="Arial" w:cs="Arial"/>
          <w:sz w:val="24"/>
          <w:szCs w:val="24"/>
        </w:rPr>
        <w:t xml:space="preserve">In this study, ethics were considered by obtaining permission to conduct the study from the School of Health and Medical Science (SHMS). Ethical approval was obtained from </w:t>
      </w:r>
      <w:r w:rsidRPr="00155F2A">
        <w:rPr>
          <w:rFonts w:ascii="Arial" w:eastAsia="SimSun" w:hAnsi="Arial" w:cs="Arial"/>
          <w:sz w:val="24"/>
          <w:szCs w:val="24"/>
        </w:rPr>
        <w:lastRenderedPageBreak/>
        <w:t xml:space="preserve">Zanzibar’s Health Research Ethics </w:t>
      </w:r>
      <w:bookmarkStart w:id="1" w:name="_GoBack"/>
      <w:bookmarkEnd w:id="1"/>
      <w:r w:rsidRPr="00155F2A">
        <w:rPr>
          <w:rFonts w:ascii="Arial" w:eastAsia="SimSun" w:hAnsi="Arial" w:cs="Arial"/>
          <w:sz w:val="24"/>
          <w:szCs w:val="24"/>
        </w:rPr>
        <w:t>Committee (ZAHREC) with No: ZAHREC/02/ST/MAR/2024/51.</w:t>
      </w:r>
    </w:p>
    <w:p w14:paraId="260DD65B" w14:textId="77777777" w:rsidR="00FE3D25" w:rsidRDefault="00FE3D25" w:rsidP="00FE3D25">
      <w:pPr>
        <w:spacing w:after="0" w:line="240" w:lineRule="auto"/>
        <w:ind w:right="119"/>
        <w:jc w:val="both"/>
        <w:rPr>
          <w:rFonts w:ascii="Arial" w:eastAsia="SimSun" w:hAnsi="Arial" w:cs="Arial"/>
          <w:sz w:val="24"/>
          <w:szCs w:val="24"/>
        </w:rPr>
      </w:pPr>
    </w:p>
    <w:p w14:paraId="4822B27C" w14:textId="77777777" w:rsidR="00376A67" w:rsidRPr="00376A67" w:rsidRDefault="00376A67" w:rsidP="00376A67">
      <w:pPr>
        <w:spacing w:after="0" w:line="240" w:lineRule="auto"/>
        <w:ind w:right="119"/>
        <w:jc w:val="both"/>
        <w:rPr>
          <w:rFonts w:ascii="Arial" w:eastAsia="SimSun" w:hAnsi="Arial" w:cs="Arial"/>
          <w:b/>
          <w:sz w:val="24"/>
          <w:szCs w:val="24"/>
        </w:rPr>
      </w:pPr>
      <w:r w:rsidRPr="00376A67">
        <w:rPr>
          <w:rFonts w:ascii="Arial" w:eastAsia="SimSun" w:hAnsi="Arial" w:cs="Arial"/>
          <w:b/>
          <w:sz w:val="24"/>
          <w:szCs w:val="24"/>
        </w:rPr>
        <w:t xml:space="preserve">Consent </w:t>
      </w:r>
    </w:p>
    <w:p w14:paraId="7BE52697" w14:textId="76261C41" w:rsidR="00FE3D25" w:rsidRDefault="00376A67" w:rsidP="00376A67">
      <w:pPr>
        <w:spacing w:after="0" w:line="240" w:lineRule="auto"/>
        <w:ind w:right="119"/>
        <w:jc w:val="both"/>
        <w:rPr>
          <w:rFonts w:ascii="Arial" w:eastAsia="SimSun" w:hAnsi="Arial" w:cs="Arial"/>
          <w:sz w:val="24"/>
          <w:szCs w:val="24"/>
        </w:rPr>
      </w:pPr>
      <w:r w:rsidRPr="00376A67">
        <w:rPr>
          <w:rFonts w:ascii="Arial" w:eastAsia="SimSun" w:hAnsi="Arial" w:cs="Arial"/>
          <w:sz w:val="24"/>
          <w:szCs w:val="24"/>
        </w:rPr>
        <w:t>As per international standards or university standards, Participants’ written consent has been collected and preserved by the author(s).</w:t>
      </w:r>
    </w:p>
    <w:p w14:paraId="75E51454" w14:textId="77777777" w:rsidR="00376A67" w:rsidRDefault="00376A67" w:rsidP="00FE3D25">
      <w:pPr>
        <w:spacing w:after="0" w:line="240" w:lineRule="auto"/>
        <w:ind w:right="119"/>
        <w:jc w:val="both"/>
        <w:rPr>
          <w:rFonts w:ascii="Arial" w:eastAsia="SimSun" w:hAnsi="Arial" w:cs="Arial"/>
          <w:sz w:val="24"/>
          <w:szCs w:val="24"/>
        </w:rPr>
      </w:pPr>
    </w:p>
    <w:p w14:paraId="2D770B04" w14:textId="77777777" w:rsidR="00FE3D25" w:rsidRDefault="00FE3D25" w:rsidP="00FE3D25">
      <w:pPr>
        <w:spacing w:after="0" w:line="240" w:lineRule="auto"/>
        <w:ind w:right="119"/>
        <w:jc w:val="both"/>
        <w:rPr>
          <w:rFonts w:ascii="Arial" w:eastAsia="SimSun" w:hAnsi="Arial" w:cs="Arial"/>
          <w:sz w:val="24"/>
          <w:szCs w:val="24"/>
        </w:rPr>
      </w:pPr>
    </w:p>
    <w:p w14:paraId="681CBF38" w14:textId="77777777" w:rsidR="003B6364" w:rsidRPr="00376A67" w:rsidRDefault="003B6364" w:rsidP="003B6364">
      <w:pPr>
        <w:rPr>
          <w:b/>
          <w:highlight w:val="yellow"/>
        </w:rPr>
      </w:pPr>
      <w:r w:rsidRPr="00376A67">
        <w:rPr>
          <w:b/>
          <w:highlight w:val="yellow"/>
        </w:rPr>
        <w:t>Disclaimer (Artificial intelligence)</w:t>
      </w:r>
    </w:p>
    <w:p w14:paraId="31E0C466" w14:textId="77777777" w:rsidR="003B6364" w:rsidRPr="003B6364" w:rsidRDefault="003B6364" w:rsidP="003B6364">
      <w:pPr>
        <w:rPr>
          <w:highlight w:val="yellow"/>
        </w:rPr>
      </w:pPr>
      <w:r w:rsidRPr="003B6364">
        <w:rPr>
          <w:highlight w:val="yellow"/>
        </w:rPr>
        <w:t xml:space="preserve">Option 1: </w:t>
      </w:r>
    </w:p>
    <w:p w14:paraId="16DB5CF7" w14:textId="77777777" w:rsidR="003B6364" w:rsidRPr="003B6364" w:rsidRDefault="003B6364" w:rsidP="003B6364">
      <w:pPr>
        <w:rPr>
          <w:highlight w:val="yellow"/>
        </w:rPr>
      </w:pPr>
      <w:r w:rsidRPr="003B6364">
        <w:rPr>
          <w:highlight w:val="yellow"/>
        </w:rPr>
        <w:t xml:space="preserve">Author(s) hereby declare that NO generative AI technologies such as Large Language Models (ChatGPT, COPILOT, etc.) and text-to-image generators have been used during the writing or editing of this manuscript. </w:t>
      </w:r>
    </w:p>
    <w:p w14:paraId="788A3662" w14:textId="77777777" w:rsidR="003B6364" w:rsidRPr="003B6364" w:rsidRDefault="003B6364" w:rsidP="003B6364">
      <w:pPr>
        <w:rPr>
          <w:highlight w:val="yellow"/>
        </w:rPr>
      </w:pPr>
      <w:r w:rsidRPr="003B6364">
        <w:rPr>
          <w:highlight w:val="yellow"/>
        </w:rPr>
        <w:t xml:space="preserve">Option 2: </w:t>
      </w:r>
    </w:p>
    <w:p w14:paraId="695558D1" w14:textId="77777777" w:rsidR="003B6364" w:rsidRPr="003B6364" w:rsidRDefault="003B6364" w:rsidP="003B6364">
      <w:pPr>
        <w:rPr>
          <w:highlight w:val="yellow"/>
        </w:rPr>
      </w:pPr>
      <w:r w:rsidRPr="003B6364">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A3D36A6" w14:textId="77777777" w:rsidR="003B6364" w:rsidRPr="003B6364" w:rsidRDefault="003B6364" w:rsidP="003B6364">
      <w:pPr>
        <w:rPr>
          <w:highlight w:val="yellow"/>
        </w:rPr>
      </w:pPr>
      <w:r w:rsidRPr="003B6364">
        <w:rPr>
          <w:highlight w:val="yellow"/>
        </w:rPr>
        <w:t>Details of the AI usage are given below:</w:t>
      </w:r>
    </w:p>
    <w:p w14:paraId="69664748" w14:textId="77777777" w:rsidR="003B6364" w:rsidRPr="003B6364" w:rsidRDefault="003B6364" w:rsidP="003B6364">
      <w:pPr>
        <w:rPr>
          <w:highlight w:val="yellow"/>
        </w:rPr>
      </w:pPr>
      <w:r w:rsidRPr="003B6364">
        <w:rPr>
          <w:highlight w:val="yellow"/>
        </w:rPr>
        <w:t>1.</w:t>
      </w:r>
    </w:p>
    <w:p w14:paraId="13C99237" w14:textId="77777777" w:rsidR="003B6364" w:rsidRPr="003B6364" w:rsidRDefault="003B6364" w:rsidP="003B6364">
      <w:pPr>
        <w:rPr>
          <w:highlight w:val="yellow"/>
        </w:rPr>
      </w:pPr>
      <w:r w:rsidRPr="003B6364">
        <w:rPr>
          <w:highlight w:val="yellow"/>
        </w:rPr>
        <w:t>2.</w:t>
      </w:r>
    </w:p>
    <w:p w14:paraId="36FB0187" w14:textId="77777777" w:rsidR="003B6364" w:rsidRPr="0053103C" w:rsidRDefault="003B6364" w:rsidP="003B6364">
      <w:r w:rsidRPr="003B6364">
        <w:rPr>
          <w:highlight w:val="yellow"/>
        </w:rPr>
        <w:t>3.</w:t>
      </w:r>
    </w:p>
    <w:p w14:paraId="4AEE5B5D" w14:textId="77777777" w:rsidR="00FE3D25" w:rsidRDefault="00FE3D25" w:rsidP="00FE3D25">
      <w:pPr>
        <w:spacing w:after="0" w:line="240" w:lineRule="auto"/>
        <w:ind w:right="119"/>
        <w:jc w:val="both"/>
        <w:rPr>
          <w:rFonts w:ascii="Arial" w:eastAsia="SimSun" w:hAnsi="Arial" w:cs="Arial"/>
          <w:sz w:val="24"/>
          <w:szCs w:val="24"/>
        </w:rPr>
      </w:pPr>
    </w:p>
    <w:p w14:paraId="3533E07E" w14:textId="77777777" w:rsidR="00FE3D25" w:rsidRPr="00155F2A" w:rsidRDefault="00FE3D25" w:rsidP="00FE3D25">
      <w:pPr>
        <w:spacing w:after="0" w:line="240" w:lineRule="auto"/>
        <w:ind w:right="119"/>
        <w:jc w:val="both"/>
        <w:rPr>
          <w:rFonts w:ascii="Arial" w:eastAsia="SimSun" w:hAnsi="Arial" w:cs="Arial"/>
          <w:sz w:val="24"/>
          <w:szCs w:val="24"/>
        </w:rPr>
      </w:pPr>
    </w:p>
    <w:p w14:paraId="22381638" w14:textId="77777777" w:rsidR="002E3801" w:rsidRDefault="00FE3D25">
      <w:r>
        <w:t>REFERENCES</w:t>
      </w:r>
    </w:p>
    <w:p w14:paraId="5CB93104" w14:textId="77777777" w:rsidR="001A0000" w:rsidRPr="001A0000" w:rsidRDefault="001637FC" w:rsidP="001A0000">
      <w:pPr>
        <w:widowControl w:val="0"/>
        <w:autoSpaceDE w:val="0"/>
        <w:autoSpaceDN w:val="0"/>
        <w:adjustRightInd w:val="0"/>
        <w:spacing w:line="240" w:lineRule="auto"/>
        <w:ind w:left="640" w:hanging="640"/>
        <w:rPr>
          <w:rFonts w:cs="Calibri"/>
          <w:noProof/>
          <w:szCs w:val="24"/>
        </w:rPr>
      </w:pPr>
      <w:r>
        <w:fldChar w:fldCharType="begin" w:fldLock="1"/>
      </w:r>
      <w:r>
        <w:instrText xml:space="preserve">ADDIN Mendeley Bibliography CSL_BIBLIOGRAPHY </w:instrText>
      </w:r>
      <w:r>
        <w:fldChar w:fldCharType="separate"/>
      </w:r>
      <w:r w:rsidR="001A0000" w:rsidRPr="001A0000">
        <w:rPr>
          <w:rFonts w:cs="Calibri"/>
          <w:noProof/>
          <w:szCs w:val="24"/>
        </w:rPr>
        <w:t>[1]</w:t>
      </w:r>
      <w:r w:rsidR="001A0000" w:rsidRPr="001A0000">
        <w:rPr>
          <w:rFonts w:cs="Calibri"/>
          <w:noProof/>
          <w:szCs w:val="24"/>
        </w:rPr>
        <w:tab/>
        <w:t xml:space="preserve">S. B. Dossen </w:t>
      </w:r>
      <w:r w:rsidR="001A0000" w:rsidRPr="001A0000">
        <w:rPr>
          <w:rFonts w:cs="Calibri"/>
          <w:i/>
          <w:iCs/>
          <w:noProof/>
          <w:szCs w:val="24"/>
        </w:rPr>
        <w:t>et al.</w:t>
      </w:r>
      <w:r w:rsidR="001A0000" w:rsidRPr="001A0000">
        <w:rPr>
          <w:rFonts w:cs="Calibri"/>
          <w:noProof/>
          <w:szCs w:val="24"/>
        </w:rPr>
        <w:t>, “Assessing Stigma Toward Mental , Neurological , and Substance Use Disorders in Liberia : A Population Representative Study,” vol. 111, no. Suppl 3, pp. 93–104, 2024, doi: 10.4269/ajtmh.24-0203.</w:t>
      </w:r>
    </w:p>
    <w:p w14:paraId="479A5C04"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[2]</w:t>
      </w:r>
      <w:r w:rsidRPr="001A0000">
        <w:rPr>
          <w:rFonts w:cs="Calibri"/>
          <w:noProof/>
          <w:szCs w:val="24"/>
        </w:rPr>
        <w:tab/>
        <w:t xml:space="preserve">K. Ito and S. Tsuda, “Effects of clinical stage, behavioral and psychological symptoms of dementia, and living arrangement on social distance towards people with dementia,” </w:t>
      </w:r>
      <w:r w:rsidRPr="001A0000">
        <w:rPr>
          <w:rFonts w:cs="Calibri"/>
          <w:i/>
          <w:iCs/>
          <w:noProof/>
          <w:szCs w:val="24"/>
        </w:rPr>
        <w:t>PLoS One</w:t>
      </w:r>
      <w:r w:rsidRPr="001A0000">
        <w:rPr>
          <w:rFonts w:cs="Calibri"/>
          <w:noProof/>
          <w:szCs w:val="24"/>
        </w:rPr>
        <w:t>, vol. 20, no. 1, p. e0317911, Mar. 2025, doi: 10.1371/journal.pone.0317911.</w:t>
      </w:r>
    </w:p>
    <w:p w14:paraId="07C8DF12"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[3]</w:t>
      </w:r>
      <w:r w:rsidRPr="001A0000">
        <w:rPr>
          <w:rFonts w:cs="Calibri"/>
          <w:noProof/>
          <w:szCs w:val="24"/>
        </w:rPr>
        <w:tab/>
        <w:t xml:space="preserve">P. Werner, L. Raviv-Turgeman, and P. W. Corrigan, “The influence of the age of dementia onset on college students’ stigmatic attributions towards a person with dementia,” </w:t>
      </w:r>
      <w:r w:rsidRPr="001A0000">
        <w:rPr>
          <w:rFonts w:cs="Calibri"/>
          <w:i/>
          <w:iCs/>
          <w:noProof/>
          <w:szCs w:val="24"/>
        </w:rPr>
        <w:t>BMC Geriatr.</w:t>
      </w:r>
      <w:r w:rsidRPr="001A0000">
        <w:rPr>
          <w:rFonts w:cs="Calibri"/>
          <w:noProof/>
          <w:szCs w:val="24"/>
        </w:rPr>
        <w:t>, vol. 20, p. 104, Aug. 2020, doi: 10.1186/s12877-020-1505-4.</w:t>
      </w:r>
    </w:p>
    <w:p w14:paraId="4022724E"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[4]</w:t>
      </w:r>
      <w:r w:rsidRPr="001A0000">
        <w:rPr>
          <w:rFonts w:cs="Calibri"/>
          <w:noProof/>
          <w:szCs w:val="24"/>
        </w:rPr>
        <w:tab/>
        <w:t xml:space="preserve">A. G. da Silva, L. Baldaçara, D. A. Cavalcante, N. A. Fasanella, and A. P. Palha, “The Impact of Mental Illness Stigma on Psychiatric Emergencies,” </w:t>
      </w:r>
      <w:r w:rsidRPr="001A0000">
        <w:rPr>
          <w:rFonts w:cs="Calibri"/>
          <w:i/>
          <w:iCs/>
          <w:noProof/>
          <w:szCs w:val="24"/>
        </w:rPr>
        <w:t>Front. Psychiatry</w:t>
      </w:r>
      <w:r w:rsidRPr="001A0000">
        <w:rPr>
          <w:rFonts w:cs="Calibri"/>
          <w:noProof/>
          <w:szCs w:val="24"/>
        </w:rPr>
        <w:t>, vol. 11, p. 573, 2020, doi: 10.3389/fpsyt.2020.00573.</w:t>
      </w:r>
    </w:p>
    <w:p w14:paraId="04880018"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[5]</w:t>
      </w:r>
      <w:r w:rsidRPr="001A0000">
        <w:rPr>
          <w:rFonts w:cs="Calibri"/>
          <w:noProof/>
          <w:szCs w:val="24"/>
        </w:rPr>
        <w:tab/>
        <w:t xml:space="preserve">D. Oliveira </w:t>
      </w:r>
      <w:r w:rsidRPr="001A0000">
        <w:rPr>
          <w:rFonts w:cs="Calibri"/>
          <w:i/>
          <w:iCs/>
          <w:noProof/>
          <w:szCs w:val="24"/>
        </w:rPr>
        <w:t>et al.</w:t>
      </w:r>
      <w:r w:rsidRPr="001A0000">
        <w:rPr>
          <w:rFonts w:cs="Calibri"/>
          <w:noProof/>
          <w:szCs w:val="24"/>
        </w:rPr>
        <w:t xml:space="preserve">, “Reducing dementia-related stigma and discrimination among community </w:t>
      </w:r>
      <w:r w:rsidRPr="001A0000">
        <w:rPr>
          <w:rFonts w:cs="Calibri"/>
          <w:noProof/>
          <w:szCs w:val="24"/>
        </w:rPr>
        <w:lastRenderedPageBreak/>
        <w:t xml:space="preserve">health workers in Brazil: protocol for a randomised controlled feasibility trial,” </w:t>
      </w:r>
      <w:r w:rsidRPr="001A0000">
        <w:rPr>
          <w:rFonts w:cs="Calibri"/>
          <w:i/>
          <w:iCs/>
          <w:noProof/>
          <w:szCs w:val="24"/>
        </w:rPr>
        <w:t>BMJ Open</w:t>
      </w:r>
      <w:r w:rsidRPr="001A0000">
        <w:rPr>
          <w:rFonts w:cs="Calibri"/>
          <w:noProof/>
          <w:szCs w:val="24"/>
        </w:rPr>
        <w:t>, vol. 12, no. 7, p. e060033, Apr. 2022, doi: 10.1136/bmjopen-2021-060033.</w:t>
      </w:r>
    </w:p>
    <w:p w14:paraId="70783F74"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[6]</w:t>
      </w:r>
      <w:r w:rsidRPr="001A0000">
        <w:rPr>
          <w:rFonts w:cs="Calibri"/>
          <w:noProof/>
          <w:szCs w:val="24"/>
        </w:rPr>
        <w:tab/>
        <w:t xml:space="preserve">T. L. Neurology, “Dementia-related stigma is still pervasive,” </w:t>
      </w:r>
      <w:r w:rsidRPr="001A0000">
        <w:rPr>
          <w:rFonts w:cs="Calibri"/>
          <w:i/>
          <w:iCs/>
          <w:noProof/>
          <w:szCs w:val="24"/>
        </w:rPr>
        <w:t>Lancet Neurol.</w:t>
      </w:r>
      <w:r w:rsidRPr="001A0000">
        <w:rPr>
          <w:rFonts w:cs="Calibri"/>
          <w:noProof/>
          <w:szCs w:val="24"/>
        </w:rPr>
        <w:t>, vol. 23, no. 11, p. 1063, Mar. 2024, doi: 10.1016/S1474-4422(24)00404-6.</w:t>
      </w:r>
    </w:p>
    <w:p w14:paraId="502741D2"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[7]</w:t>
      </w:r>
      <w:r w:rsidRPr="001A0000">
        <w:rPr>
          <w:rFonts w:cs="Calibri"/>
          <w:noProof/>
          <w:szCs w:val="24"/>
        </w:rPr>
        <w:tab/>
        <w:t xml:space="preserve">M. Rewerska-Juśko and K. Rejdak, “Social Stigma of People with Dementia,” </w:t>
      </w:r>
      <w:r w:rsidRPr="001A0000">
        <w:rPr>
          <w:rFonts w:cs="Calibri"/>
          <w:i/>
          <w:iCs/>
          <w:noProof/>
          <w:szCs w:val="24"/>
        </w:rPr>
        <w:t>J. Alzheimer’s Dis.</w:t>
      </w:r>
      <w:r w:rsidRPr="001A0000">
        <w:rPr>
          <w:rFonts w:cs="Calibri"/>
          <w:noProof/>
          <w:szCs w:val="24"/>
        </w:rPr>
        <w:t>, vol. 78, no. 4, pp. 1339–1343, 2020, doi: 10.3233/JAD-201004;PAGEGROUP:STRING:PUBLICATION.</w:t>
      </w:r>
    </w:p>
    <w:p w14:paraId="0D14F8B9"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[8]</w:t>
      </w:r>
      <w:r w:rsidRPr="001A0000">
        <w:rPr>
          <w:rFonts w:cs="Calibri"/>
          <w:noProof/>
          <w:szCs w:val="24"/>
        </w:rPr>
        <w:tab/>
        <w:t xml:space="preserve">M. Brigiano </w:t>
      </w:r>
      <w:r w:rsidRPr="001A0000">
        <w:rPr>
          <w:rFonts w:cs="Calibri"/>
          <w:i/>
          <w:iCs/>
          <w:noProof/>
          <w:szCs w:val="24"/>
        </w:rPr>
        <w:t>et al.</w:t>
      </w:r>
      <w:r w:rsidRPr="001A0000">
        <w:rPr>
          <w:rFonts w:cs="Calibri"/>
          <w:noProof/>
          <w:szCs w:val="24"/>
        </w:rPr>
        <w:t>, “Within My Walls , I Escape Being Underestimated : A Systematic Review and Thematic Synthesis of Stigma and Help-Seeking in Dementia,” pp. 1–26, 2025.</w:t>
      </w:r>
    </w:p>
    <w:p w14:paraId="7896861A"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[9]</w:t>
      </w:r>
      <w:r w:rsidRPr="001A0000">
        <w:rPr>
          <w:rFonts w:cs="Calibri"/>
          <w:noProof/>
          <w:szCs w:val="24"/>
        </w:rPr>
        <w:tab/>
      </w:r>
      <w:r w:rsidRPr="001A0000">
        <w:rPr>
          <w:rFonts w:cs="Calibri"/>
          <w:noProof/>
          <w:szCs w:val="24"/>
          <w:highlight w:val="yellow"/>
        </w:rPr>
        <w:t xml:space="preserve">E. E. Al Jomaa, D. H. Abdel-Qader, J. Silverthorne, S. Hamadi, and A. Z. Al Meslamani, “Pharmacy students’ attitude towards providing pharmaceutical care to patients with anxiety and their knowledge of psychotropic medicines in Jordan,” </w:t>
      </w:r>
      <w:r w:rsidRPr="001A0000">
        <w:rPr>
          <w:rFonts w:cs="Calibri"/>
          <w:i/>
          <w:iCs/>
          <w:noProof/>
          <w:szCs w:val="24"/>
          <w:highlight w:val="yellow"/>
        </w:rPr>
        <w:t>Int. J. Pharm. Pract.</w:t>
      </w:r>
      <w:r w:rsidRPr="001A0000">
        <w:rPr>
          <w:rFonts w:cs="Calibri"/>
          <w:noProof/>
          <w:szCs w:val="24"/>
          <w:highlight w:val="yellow"/>
        </w:rPr>
        <w:t>, vol. 29, no. 2, pp. 196–199, Jul. 2021, doi: 10.1093/ijpp/riaa015.</w:t>
      </w:r>
    </w:p>
    <w:p w14:paraId="41A39CCA"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[10]</w:t>
      </w:r>
      <w:r w:rsidRPr="001A0000">
        <w:rPr>
          <w:rFonts w:cs="Calibri"/>
          <w:noProof/>
          <w:szCs w:val="24"/>
        </w:rPr>
        <w:tab/>
        <w:t xml:space="preserve">N. Tomas and A. M. Mangundu, “Nursing students’ perceptions and attitudes towards dementia care in Namibia,” </w:t>
      </w:r>
      <w:r w:rsidRPr="001A0000">
        <w:rPr>
          <w:rFonts w:cs="Calibri"/>
          <w:i/>
          <w:iCs/>
          <w:noProof/>
          <w:szCs w:val="24"/>
        </w:rPr>
        <w:t>Heal. SA Gesondheid</w:t>
      </w:r>
      <w:r w:rsidRPr="001A0000">
        <w:rPr>
          <w:rFonts w:cs="Calibri"/>
          <w:noProof/>
          <w:szCs w:val="24"/>
        </w:rPr>
        <w:t>, vol. 29, pp. 1–8, 2024, doi: 10.4102/hsag.v29i0.2692.</w:t>
      </w:r>
    </w:p>
    <w:p w14:paraId="3CC2C946"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[11]</w:t>
      </w:r>
      <w:r w:rsidRPr="001A0000">
        <w:rPr>
          <w:rFonts w:cs="Calibri"/>
          <w:noProof/>
          <w:szCs w:val="24"/>
        </w:rPr>
        <w:tab/>
        <w:t xml:space="preserve">H. Matsumoto, A. Maeda, A. Igarashi, C. Weller, and N. Yamamoto-Mitani, “Dementia education and training for the general public: A scoping review,” </w:t>
      </w:r>
      <w:r w:rsidRPr="001A0000">
        <w:rPr>
          <w:rFonts w:cs="Calibri"/>
          <w:i/>
          <w:iCs/>
          <w:noProof/>
          <w:szCs w:val="24"/>
        </w:rPr>
        <w:t>Gerontol. Geriatr. Educ.</w:t>
      </w:r>
      <w:r w:rsidRPr="001A0000">
        <w:rPr>
          <w:rFonts w:cs="Calibri"/>
          <w:noProof/>
          <w:szCs w:val="24"/>
        </w:rPr>
        <w:t>, vol. 44, no. 2, pp. 154–184, 2023, doi: 10.1080/02701960.2021.1999938.</w:t>
      </w:r>
    </w:p>
    <w:p w14:paraId="17B05EBE"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[12]</w:t>
      </w:r>
      <w:r w:rsidRPr="001A0000">
        <w:rPr>
          <w:rFonts w:cs="Calibri"/>
          <w:noProof/>
          <w:szCs w:val="24"/>
        </w:rPr>
        <w:tab/>
        <w:t xml:space="preserve">J. Siette, A. Meka, and J. Antoniades, “Breaking the barriers: overcoming dementia-related stigma in minority communities,” </w:t>
      </w:r>
      <w:r w:rsidRPr="001A0000">
        <w:rPr>
          <w:rFonts w:cs="Calibri"/>
          <w:i/>
          <w:iCs/>
          <w:noProof/>
          <w:szCs w:val="24"/>
        </w:rPr>
        <w:t>Front. Psychiatry</w:t>
      </w:r>
      <w:r w:rsidRPr="001A0000">
        <w:rPr>
          <w:rFonts w:cs="Calibri"/>
          <w:noProof/>
          <w:szCs w:val="24"/>
        </w:rPr>
        <w:t>, vol. 14, p. 1278944, Aug. 2023, doi: 10.3389/fpsyt.2023.1278944.</w:t>
      </w:r>
    </w:p>
    <w:p w14:paraId="642F7078"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[13]</w:t>
      </w:r>
      <w:r w:rsidRPr="001A0000">
        <w:rPr>
          <w:rFonts w:cs="Calibri"/>
          <w:noProof/>
          <w:szCs w:val="24"/>
        </w:rPr>
        <w:tab/>
      </w:r>
      <w:r w:rsidRPr="001A0000">
        <w:rPr>
          <w:rFonts w:cs="Calibri"/>
          <w:noProof/>
          <w:szCs w:val="24"/>
          <w:highlight w:val="yellow"/>
        </w:rPr>
        <w:t xml:space="preserve">D. H. Abdel-Qader, E. E. Al Jomaa, J. Silverthorne, W. Shnaigat, S. Hamadi, and A. Z. Al Meslamani, “Evaluating psychiatrists’ attitudes and expectations about pharmacists’ role in psychiatry in Jordan,” </w:t>
      </w:r>
      <w:r w:rsidRPr="001A0000">
        <w:rPr>
          <w:rFonts w:cs="Calibri"/>
          <w:i/>
          <w:iCs/>
          <w:noProof/>
          <w:szCs w:val="24"/>
          <w:highlight w:val="yellow"/>
        </w:rPr>
        <w:t>J. Pharm. Heal. Serv. Res.</w:t>
      </w:r>
      <w:r w:rsidRPr="001A0000">
        <w:rPr>
          <w:rFonts w:cs="Calibri"/>
          <w:noProof/>
          <w:szCs w:val="24"/>
          <w:highlight w:val="yellow"/>
        </w:rPr>
        <w:t>, vol. 12, no. 2, pp. 317–320, Jul. 2021, doi: 10.1093/jphsr/rmab007.</w:t>
      </w:r>
    </w:p>
    <w:p w14:paraId="0AFA9672"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[14]</w:t>
      </w:r>
      <w:r w:rsidRPr="001A0000">
        <w:rPr>
          <w:rFonts w:cs="Calibri"/>
          <w:noProof/>
          <w:szCs w:val="24"/>
        </w:rPr>
        <w:tab/>
        <w:t xml:space="preserve">T. C. Ireland, “Perceptions of Stigma in Dementia : An Exploratory Study The School of Nursing and Midwifery Trinity College Dublin,” </w:t>
      </w:r>
      <w:r w:rsidRPr="001A0000">
        <w:rPr>
          <w:rFonts w:cs="Calibri"/>
          <w:i/>
          <w:iCs/>
          <w:noProof/>
          <w:szCs w:val="24"/>
        </w:rPr>
        <w:t>Sch. Nurs. Midwifery Irel.</w:t>
      </w:r>
      <w:r w:rsidRPr="001A0000">
        <w:rPr>
          <w:rFonts w:cs="Calibri"/>
          <w:noProof/>
          <w:szCs w:val="24"/>
        </w:rPr>
        <w:t>, no. August, pp. 1–116, 2006.</w:t>
      </w:r>
    </w:p>
    <w:p w14:paraId="4A6A47A4"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[15]</w:t>
      </w:r>
      <w:r w:rsidRPr="001A0000">
        <w:rPr>
          <w:rFonts w:cs="Calibri"/>
          <w:noProof/>
          <w:szCs w:val="24"/>
        </w:rPr>
        <w:tab/>
        <w:t>J. G. R and P. Guruprasad, “The Impact of Cultural Beliefs and Stigma on Dementia Care and Diagnosis: A Scoping Review,” no. January, 2024, doi: 10.21203/rs.3.rs-5519592/v1.</w:t>
      </w:r>
    </w:p>
    <w:p w14:paraId="6A4B2934"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[16]</w:t>
      </w:r>
      <w:r w:rsidRPr="001A0000">
        <w:rPr>
          <w:rFonts w:cs="Calibri"/>
          <w:noProof/>
          <w:szCs w:val="24"/>
        </w:rPr>
        <w:tab/>
        <w:t xml:space="preserve">A. A. Ahad, M. Sanchez-Gonzalez, and P. Junquera, “Understanding and Addressing Mental Health Stigma Across Cultures for Improving Psychiatric Care: A Narrative Review,” </w:t>
      </w:r>
      <w:r w:rsidRPr="001A0000">
        <w:rPr>
          <w:rFonts w:cs="Calibri"/>
          <w:i/>
          <w:iCs/>
          <w:noProof/>
          <w:szCs w:val="24"/>
        </w:rPr>
        <w:t>Cureus</w:t>
      </w:r>
      <w:r w:rsidRPr="001A0000">
        <w:rPr>
          <w:rFonts w:cs="Calibri"/>
          <w:noProof/>
          <w:szCs w:val="24"/>
        </w:rPr>
        <w:t>, vol. 15, no. 5, 2023, doi: 10.7759/cureus.39549.</w:t>
      </w:r>
    </w:p>
    <w:p w14:paraId="6078ACCB"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[17]</w:t>
      </w:r>
      <w:r w:rsidRPr="001A0000">
        <w:rPr>
          <w:rFonts w:cs="Calibri"/>
          <w:noProof/>
          <w:szCs w:val="24"/>
        </w:rPr>
        <w:tab/>
        <w:t xml:space="preserve">J. Walker </w:t>
      </w:r>
      <w:r w:rsidRPr="001A0000">
        <w:rPr>
          <w:rFonts w:cs="Calibri"/>
          <w:i/>
          <w:iCs/>
          <w:noProof/>
          <w:szCs w:val="24"/>
        </w:rPr>
        <w:t>et al.</w:t>
      </w:r>
      <w:r w:rsidRPr="001A0000">
        <w:rPr>
          <w:rFonts w:cs="Calibri"/>
          <w:noProof/>
          <w:szCs w:val="24"/>
        </w:rPr>
        <w:t xml:space="preserve">, “Patient and caregiver experiences of living with dementia in Tanzania,” </w:t>
      </w:r>
      <w:r w:rsidRPr="001A0000">
        <w:rPr>
          <w:rFonts w:cs="Calibri"/>
          <w:i/>
          <w:iCs/>
          <w:noProof/>
          <w:szCs w:val="24"/>
        </w:rPr>
        <w:t>Dementia</w:t>
      </w:r>
      <w:r w:rsidRPr="001A0000">
        <w:rPr>
          <w:rFonts w:cs="Calibri"/>
          <w:noProof/>
          <w:szCs w:val="24"/>
        </w:rPr>
        <w:t>, vol. 22, no. 8, pp. 1900–1920, 2023, doi: 10.1177/14713012231204784.</w:t>
      </w:r>
    </w:p>
    <w:p w14:paraId="1089E016"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[18]</w:t>
      </w:r>
      <w:r w:rsidRPr="001A0000">
        <w:rPr>
          <w:rFonts w:cs="Calibri"/>
          <w:noProof/>
          <w:szCs w:val="24"/>
        </w:rPr>
        <w:tab/>
        <w:t xml:space="preserve">C. J. Okafor </w:t>
      </w:r>
      <w:r w:rsidRPr="001A0000">
        <w:rPr>
          <w:rFonts w:cs="Calibri"/>
          <w:i/>
          <w:iCs/>
          <w:noProof/>
          <w:szCs w:val="24"/>
        </w:rPr>
        <w:t>et al.</w:t>
      </w:r>
      <w:r w:rsidRPr="001A0000">
        <w:rPr>
          <w:rFonts w:cs="Calibri"/>
          <w:noProof/>
          <w:szCs w:val="24"/>
        </w:rPr>
        <w:t xml:space="preserve">, “Assessment of Knowledge about Dementia among Medical and Environmental Health Students at the State University of Zanzibar,” </w:t>
      </w:r>
      <w:r w:rsidRPr="001A0000">
        <w:rPr>
          <w:rFonts w:cs="Calibri"/>
          <w:i/>
          <w:iCs/>
          <w:noProof/>
          <w:szCs w:val="24"/>
        </w:rPr>
        <w:t>J. Adv. Med. Med. Res.</w:t>
      </w:r>
      <w:r w:rsidRPr="001A0000">
        <w:rPr>
          <w:rFonts w:cs="Calibri"/>
          <w:noProof/>
          <w:szCs w:val="24"/>
        </w:rPr>
        <w:t>, vol. 37, no. 6, pp. 153–164, 2025, doi: 10.9734/jammr/2025/v37i65860.</w:t>
      </w:r>
    </w:p>
    <w:p w14:paraId="14665488"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[19]</w:t>
      </w:r>
      <w:r w:rsidRPr="001A0000">
        <w:rPr>
          <w:rFonts w:cs="Calibri"/>
          <w:noProof/>
          <w:szCs w:val="24"/>
        </w:rPr>
        <w:tab/>
        <w:t xml:space="preserve">T. Olajide </w:t>
      </w:r>
      <w:r w:rsidRPr="001A0000">
        <w:rPr>
          <w:rFonts w:cs="Calibri"/>
          <w:i/>
          <w:iCs/>
          <w:noProof/>
          <w:szCs w:val="24"/>
        </w:rPr>
        <w:t>et al.</w:t>
      </w:r>
      <w:r w:rsidRPr="001A0000">
        <w:rPr>
          <w:rFonts w:cs="Calibri"/>
          <w:noProof/>
          <w:szCs w:val="24"/>
        </w:rPr>
        <w:t xml:space="preserve">, “Knowledge and attitudes towards Alzheimer’s disease and related dementias among Nigerian medical and nursing students: a comparative study,” </w:t>
      </w:r>
      <w:r w:rsidRPr="001A0000">
        <w:rPr>
          <w:rFonts w:cs="Calibri"/>
          <w:i/>
          <w:iCs/>
          <w:noProof/>
          <w:szCs w:val="24"/>
        </w:rPr>
        <w:t>BMC Med. Educ.</w:t>
      </w:r>
      <w:r w:rsidRPr="001A0000">
        <w:rPr>
          <w:rFonts w:cs="Calibri"/>
          <w:noProof/>
          <w:szCs w:val="24"/>
        </w:rPr>
        <w:t xml:space="preserve">, vol. 25, </w:t>
      </w:r>
      <w:r w:rsidRPr="001A0000">
        <w:rPr>
          <w:rFonts w:cs="Calibri"/>
          <w:noProof/>
          <w:szCs w:val="24"/>
        </w:rPr>
        <w:lastRenderedPageBreak/>
        <w:t>no. 1, 2025, doi: 10.1186/s12909-025-06775-x.</w:t>
      </w:r>
    </w:p>
    <w:p w14:paraId="34C5A326"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[20]</w:t>
      </w:r>
      <w:r w:rsidRPr="001A0000">
        <w:rPr>
          <w:rFonts w:cs="Calibri"/>
          <w:noProof/>
          <w:szCs w:val="24"/>
        </w:rPr>
        <w:tab/>
        <w:t xml:space="preserve">J. Lee </w:t>
      </w:r>
      <w:r w:rsidRPr="001A0000">
        <w:rPr>
          <w:rFonts w:cs="Calibri"/>
          <w:i/>
          <w:iCs/>
          <w:noProof/>
          <w:szCs w:val="24"/>
        </w:rPr>
        <w:t>et al.</w:t>
      </w:r>
      <w:r w:rsidRPr="001A0000">
        <w:rPr>
          <w:rFonts w:cs="Calibri"/>
          <w:noProof/>
          <w:szCs w:val="24"/>
        </w:rPr>
        <w:t xml:space="preserve">, “Prevalence of dementia in India: National and state estimates from a nationwide  study.,” </w:t>
      </w:r>
      <w:r w:rsidRPr="001A0000">
        <w:rPr>
          <w:rFonts w:cs="Calibri"/>
          <w:i/>
          <w:iCs/>
          <w:noProof/>
          <w:szCs w:val="24"/>
        </w:rPr>
        <w:t>Alzheimers. Dement.</w:t>
      </w:r>
      <w:r w:rsidRPr="001A0000">
        <w:rPr>
          <w:rFonts w:cs="Calibri"/>
          <w:noProof/>
          <w:szCs w:val="24"/>
        </w:rPr>
        <w:t>, vol. 19, no. 7, pp. 2898–2912, Jul. 2023, doi: 10.1002/alz.12928.</w:t>
      </w:r>
    </w:p>
    <w:p w14:paraId="1D10B60F"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[21]</w:t>
      </w:r>
      <w:r w:rsidRPr="001A0000">
        <w:rPr>
          <w:rFonts w:cs="Calibri"/>
          <w:noProof/>
          <w:szCs w:val="24"/>
        </w:rPr>
        <w:tab/>
        <w:t xml:space="preserve">M. J. Annear, C. Toye, K. E. J. Elliott, F. McInerney, C. Eccleston, and A. Robinson, “Dementia knowledge assessment scale (DKAS): Confirmatory factor analysis and comparative subscale scores among an international cohort,” </w:t>
      </w:r>
      <w:r w:rsidRPr="001A0000">
        <w:rPr>
          <w:rFonts w:cs="Calibri"/>
          <w:i/>
          <w:iCs/>
          <w:noProof/>
          <w:szCs w:val="24"/>
        </w:rPr>
        <w:t>BMC Geriatr.</w:t>
      </w:r>
      <w:r w:rsidRPr="001A0000">
        <w:rPr>
          <w:rFonts w:cs="Calibri"/>
          <w:noProof/>
          <w:szCs w:val="24"/>
        </w:rPr>
        <w:t>, vol. 17, no. 1, pp. 1–11, 2017, doi: 10.1186/s12877-017-0552-y.</w:t>
      </w:r>
    </w:p>
    <w:p w14:paraId="25251B58"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[22]</w:t>
      </w:r>
      <w:r w:rsidRPr="001A0000">
        <w:rPr>
          <w:rFonts w:cs="Calibri"/>
          <w:noProof/>
          <w:szCs w:val="24"/>
        </w:rPr>
        <w:tab/>
        <w:t xml:space="preserve">P. Musoke, R. Olum, S. Kembabazi, B. Nantaayi, F. Bongomin, and M. Kaddumukasa, “Assessment of the knowledge and attitude towards dementia among undergraduate university students in Uganda,” </w:t>
      </w:r>
      <w:r w:rsidRPr="001A0000">
        <w:rPr>
          <w:rFonts w:cs="Calibri"/>
          <w:i/>
          <w:iCs/>
          <w:noProof/>
          <w:szCs w:val="24"/>
        </w:rPr>
        <w:t>Adv. Med. Educ. Pract.</w:t>
      </w:r>
      <w:r w:rsidRPr="001A0000">
        <w:rPr>
          <w:rFonts w:cs="Calibri"/>
          <w:noProof/>
          <w:szCs w:val="24"/>
        </w:rPr>
        <w:t>, vol. 12, pp. 635–646, 2021, doi: 10.2147/AMEP.S301445.</w:t>
      </w:r>
    </w:p>
    <w:p w14:paraId="1B96B3CC"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[23]</w:t>
      </w:r>
      <w:r w:rsidRPr="001A0000">
        <w:rPr>
          <w:rFonts w:cs="Calibri"/>
          <w:noProof/>
          <w:szCs w:val="24"/>
        </w:rPr>
        <w:tab/>
        <w:t xml:space="preserve">T. Noguchi, E. Shang, T. Nakagawa, A. Komatsu, C. Murata, and T. Saito, “Establishment of the Japanese version of the dementia stigma assessment scale,” </w:t>
      </w:r>
      <w:r w:rsidRPr="001A0000">
        <w:rPr>
          <w:rFonts w:cs="Calibri"/>
          <w:i/>
          <w:iCs/>
          <w:noProof/>
          <w:szCs w:val="24"/>
        </w:rPr>
        <w:t>Geriatr. Gerontol. Int.</w:t>
      </w:r>
      <w:r w:rsidRPr="001A0000">
        <w:rPr>
          <w:rFonts w:cs="Calibri"/>
          <w:noProof/>
          <w:szCs w:val="24"/>
        </w:rPr>
        <w:t>, vol. 22, no. 9, pp. 790–796, 2022, doi: 10.1111/ggi.14453.</w:t>
      </w:r>
    </w:p>
    <w:p w14:paraId="7F7C4EC1"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[24]</w:t>
      </w:r>
      <w:r w:rsidRPr="001A0000">
        <w:rPr>
          <w:rFonts w:cs="Calibri"/>
          <w:noProof/>
          <w:szCs w:val="24"/>
        </w:rPr>
        <w:tab/>
        <w:t xml:space="preserve">T. L. Scott, M. Kugelman, and K. Tulloch, “How medical professional students view older people with dementia: Implications  for education and practice.,” </w:t>
      </w:r>
      <w:r w:rsidRPr="001A0000">
        <w:rPr>
          <w:rFonts w:cs="Calibri"/>
          <w:i/>
          <w:iCs/>
          <w:noProof/>
          <w:szCs w:val="24"/>
        </w:rPr>
        <w:t>PLoS One</w:t>
      </w:r>
      <w:r w:rsidRPr="001A0000">
        <w:rPr>
          <w:rFonts w:cs="Calibri"/>
          <w:noProof/>
          <w:szCs w:val="24"/>
        </w:rPr>
        <w:t>, vol. 14, no. 11, p. e0225329, 2019, doi: 10.1371/journal.pone.0225329.</w:t>
      </w:r>
    </w:p>
    <w:p w14:paraId="5EE64469"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[25]</w:t>
      </w:r>
      <w:r w:rsidRPr="001A0000">
        <w:rPr>
          <w:rFonts w:cs="Calibri"/>
          <w:noProof/>
          <w:szCs w:val="24"/>
        </w:rPr>
        <w:tab/>
        <w:t xml:space="preserve">S. Wang, D. Yan, X. Hu, J. Liu, D. Liu, and J. Wang, “Comparison of attitudes toward the medical student-led community health education service to support chronic disease self-management among students, faculty and patients,” </w:t>
      </w:r>
      <w:r w:rsidRPr="001A0000">
        <w:rPr>
          <w:rFonts w:cs="Calibri"/>
          <w:i/>
          <w:iCs/>
          <w:noProof/>
          <w:szCs w:val="24"/>
        </w:rPr>
        <w:t>BMC Med. Educ.</w:t>
      </w:r>
      <w:r w:rsidRPr="001A0000">
        <w:rPr>
          <w:rFonts w:cs="Calibri"/>
          <w:noProof/>
          <w:szCs w:val="24"/>
        </w:rPr>
        <w:t>, vol. 23, no. 1, pp. 1–12, 2023, doi: 10.1186/s12909-023-04008-7.</w:t>
      </w:r>
    </w:p>
    <w:p w14:paraId="42DB6B8D"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[26]</w:t>
      </w:r>
      <w:r w:rsidRPr="001A0000">
        <w:rPr>
          <w:rFonts w:cs="Calibri"/>
          <w:noProof/>
          <w:szCs w:val="24"/>
        </w:rPr>
        <w:tab/>
        <w:t xml:space="preserve">R. Khatiwada, S. Lyu, H. Wang, S. D. Bhandari, and Y. Liu, “The knowledge and attitude of Nepalese nursing students towards dementia,” </w:t>
      </w:r>
      <w:r w:rsidRPr="001A0000">
        <w:rPr>
          <w:rFonts w:cs="Calibri"/>
          <w:i/>
          <w:iCs/>
          <w:noProof/>
          <w:szCs w:val="24"/>
        </w:rPr>
        <w:t>Heliyon</w:t>
      </w:r>
      <w:r w:rsidRPr="001A0000">
        <w:rPr>
          <w:rFonts w:cs="Calibri"/>
          <w:noProof/>
          <w:szCs w:val="24"/>
        </w:rPr>
        <w:t>, vol. 9, no. 8, p. e19247, 2023, doi: 10.1016/j.heliyon.2023.e19247.</w:t>
      </w:r>
    </w:p>
    <w:p w14:paraId="76B9E047"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[27]</w:t>
      </w:r>
      <w:r w:rsidRPr="001A0000">
        <w:rPr>
          <w:rFonts w:cs="Calibri"/>
          <w:noProof/>
          <w:szCs w:val="24"/>
        </w:rPr>
        <w:tab/>
        <w:t xml:space="preserve">M. Abuawad </w:t>
      </w:r>
      <w:r w:rsidRPr="001A0000">
        <w:rPr>
          <w:rFonts w:cs="Calibri"/>
          <w:i/>
          <w:iCs/>
          <w:noProof/>
          <w:szCs w:val="24"/>
        </w:rPr>
        <w:t>et al.</w:t>
      </w:r>
      <w:r w:rsidRPr="001A0000">
        <w:rPr>
          <w:rFonts w:cs="Calibri"/>
          <w:noProof/>
          <w:szCs w:val="24"/>
        </w:rPr>
        <w:t xml:space="preserve">, “Evaluation of knowledge and attitudes regarding Alzheimer’s disease and related dementia among medical students in Palestine: A cross-sectional study,” </w:t>
      </w:r>
      <w:r w:rsidRPr="001A0000">
        <w:rPr>
          <w:rFonts w:cs="Calibri"/>
          <w:i/>
          <w:iCs/>
          <w:noProof/>
          <w:szCs w:val="24"/>
        </w:rPr>
        <w:t>PLoS One</w:t>
      </w:r>
      <w:r w:rsidRPr="001A0000">
        <w:rPr>
          <w:rFonts w:cs="Calibri"/>
          <w:noProof/>
          <w:szCs w:val="24"/>
        </w:rPr>
        <w:t>, vol. 19, no. 5 May, pp. 1–14, 2024, doi: 10.1371/journal.pone.0304012.</w:t>
      </w:r>
    </w:p>
    <w:p w14:paraId="53DDFEC0"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[28]</w:t>
      </w:r>
      <w:r w:rsidRPr="001A0000">
        <w:rPr>
          <w:rFonts w:cs="Calibri"/>
          <w:noProof/>
          <w:szCs w:val="24"/>
        </w:rPr>
        <w:tab/>
        <w:t xml:space="preserve">F. Hakami </w:t>
      </w:r>
      <w:r w:rsidRPr="001A0000">
        <w:rPr>
          <w:rFonts w:cs="Calibri"/>
          <w:i/>
          <w:iCs/>
          <w:noProof/>
          <w:szCs w:val="24"/>
        </w:rPr>
        <w:t>et al.</w:t>
      </w:r>
      <w:r w:rsidRPr="001A0000">
        <w:rPr>
          <w:rFonts w:cs="Calibri"/>
          <w:noProof/>
          <w:szCs w:val="24"/>
        </w:rPr>
        <w:t xml:space="preserve">, “Awareness and Perception Toward Alzheimer’s Disease Among Residents Living in the Jazan Province, Saudi Arabia: A Cross-Sectional Study,” </w:t>
      </w:r>
      <w:r w:rsidRPr="001A0000">
        <w:rPr>
          <w:rFonts w:cs="Calibri"/>
          <w:i/>
          <w:iCs/>
          <w:noProof/>
          <w:szCs w:val="24"/>
        </w:rPr>
        <w:t>Cureus</w:t>
      </w:r>
      <w:r w:rsidRPr="001A0000">
        <w:rPr>
          <w:rFonts w:cs="Calibri"/>
          <w:noProof/>
          <w:szCs w:val="24"/>
        </w:rPr>
        <w:t>, vol. 15, no. 9, pp. 1–13, 2023, doi: 10.7759/cureus.44505.</w:t>
      </w:r>
    </w:p>
    <w:p w14:paraId="0682E871"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[29]</w:t>
      </w:r>
      <w:r w:rsidRPr="001A0000">
        <w:rPr>
          <w:rFonts w:cs="Calibri"/>
          <w:noProof/>
          <w:szCs w:val="24"/>
        </w:rPr>
        <w:tab/>
        <w:t xml:space="preserve">P. Paul </w:t>
      </w:r>
      <w:r w:rsidRPr="001A0000">
        <w:rPr>
          <w:rFonts w:cs="Calibri"/>
          <w:i/>
          <w:iCs/>
          <w:noProof/>
          <w:szCs w:val="24"/>
        </w:rPr>
        <w:t>et al.</w:t>
      </w:r>
      <w:r w:rsidRPr="001A0000">
        <w:rPr>
          <w:rFonts w:cs="Calibri"/>
          <w:noProof/>
          <w:szCs w:val="24"/>
        </w:rPr>
        <w:t xml:space="preserve">, “Knowledge, Awareness, and Attitude of Healthcare Stakeholders on Alzheimer’s Disease and Dementia in Qatar,” </w:t>
      </w:r>
      <w:r w:rsidRPr="001A0000">
        <w:rPr>
          <w:rFonts w:cs="Calibri"/>
          <w:i/>
          <w:iCs/>
          <w:noProof/>
          <w:szCs w:val="24"/>
        </w:rPr>
        <w:t>Int. J. Environ. Res. Public Health</w:t>
      </w:r>
      <w:r w:rsidRPr="001A0000">
        <w:rPr>
          <w:rFonts w:cs="Calibri"/>
          <w:noProof/>
          <w:szCs w:val="24"/>
        </w:rPr>
        <w:t>, vol. 20, no. 5, p. 4535, Mar. 2023, doi: 10.3390/ijerph20054535.</w:t>
      </w:r>
    </w:p>
    <w:p w14:paraId="671BDE9C"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[30]</w:t>
      </w:r>
      <w:r w:rsidRPr="001A0000">
        <w:rPr>
          <w:rFonts w:cs="Calibri"/>
          <w:noProof/>
          <w:szCs w:val="24"/>
        </w:rPr>
        <w:tab/>
        <w:t xml:space="preserve">D. Jones, A. Capstick, M. Faisal, and J. Frankland, “The impact of dementia education on student paramedics’ preparedness to care, knowledge, confidence and attitudes towards dementia: an analytic survey,” </w:t>
      </w:r>
      <w:r w:rsidRPr="001A0000">
        <w:rPr>
          <w:rFonts w:cs="Calibri"/>
          <w:i/>
          <w:iCs/>
          <w:noProof/>
          <w:szCs w:val="24"/>
        </w:rPr>
        <w:t>Br. Paramed. J.</w:t>
      </w:r>
      <w:r w:rsidRPr="001A0000">
        <w:rPr>
          <w:rFonts w:cs="Calibri"/>
          <w:noProof/>
          <w:szCs w:val="24"/>
        </w:rPr>
        <w:t>, vol. 8, no. 1, pp. 9–17, Jun. 2023, doi: 10.29045/14784726.2023.6.8.1.9.</w:t>
      </w:r>
    </w:p>
    <w:p w14:paraId="33380347"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[31]</w:t>
      </w:r>
      <w:r w:rsidRPr="001A0000">
        <w:rPr>
          <w:rFonts w:cs="Calibri"/>
          <w:noProof/>
          <w:szCs w:val="24"/>
        </w:rPr>
        <w:tab/>
        <w:t xml:space="preserve">N. Farina, C. K. Suemoto, J. K. Burton, D. Oliveira, and R. Frost, “Perceptions of dementia amongst the general public across Latin America: a systematic review,” </w:t>
      </w:r>
      <w:r w:rsidRPr="001A0000">
        <w:rPr>
          <w:rFonts w:cs="Calibri"/>
          <w:i/>
          <w:iCs/>
          <w:noProof/>
          <w:szCs w:val="24"/>
        </w:rPr>
        <w:t>Aging Ment. Heal.</w:t>
      </w:r>
      <w:r w:rsidRPr="001A0000">
        <w:rPr>
          <w:rFonts w:cs="Calibri"/>
          <w:noProof/>
          <w:szCs w:val="24"/>
        </w:rPr>
        <w:t>, vol. 25, no. 5, pp. 787–796, 2021, doi: 10.1080/13607863.2020.1725738.</w:t>
      </w:r>
    </w:p>
    <w:p w14:paraId="06E29742"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[32]</w:t>
      </w:r>
      <w:r w:rsidRPr="001A0000">
        <w:rPr>
          <w:rFonts w:cs="Calibri"/>
          <w:noProof/>
          <w:szCs w:val="24"/>
        </w:rPr>
        <w:tab/>
      </w:r>
      <w:r w:rsidRPr="001A0000">
        <w:rPr>
          <w:rFonts w:cs="Calibri"/>
          <w:noProof/>
          <w:szCs w:val="24"/>
          <w:highlight w:val="yellow"/>
        </w:rPr>
        <w:t xml:space="preserve">M. A. Crockett </w:t>
      </w:r>
      <w:r w:rsidRPr="001A0000">
        <w:rPr>
          <w:rFonts w:cs="Calibri"/>
          <w:i/>
          <w:iCs/>
          <w:noProof/>
          <w:szCs w:val="24"/>
          <w:highlight w:val="yellow"/>
        </w:rPr>
        <w:t>et al.</w:t>
      </w:r>
      <w:r w:rsidRPr="001A0000">
        <w:rPr>
          <w:rFonts w:cs="Calibri"/>
          <w:noProof/>
          <w:szCs w:val="24"/>
          <w:highlight w:val="yellow"/>
        </w:rPr>
        <w:t xml:space="preserve">, “Interventions to Reduce Mental Health Stigma in Young People: A </w:t>
      </w:r>
      <w:r w:rsidRPr="001A0000">
        <w:rPr>
          <w:rFonts w:cs="Calibri"/>
          <w:noProof/>
          <w:szCs w:val="24"/>
          <w:highlight w:val="yellow"/>
        </w:rPr>
        <w:lastRenderedPageBreak/>
        <w:t xml:space="preserve">Systematic Review and Meta-Analysis,” </w:t>
      </w:r>
      <w:r w:rsidRPr="001A0000">
        <w:rPr>
          <w:rFonts w:cs="Calibri"/>
          <w:i/>
          <w:iCs/>
          <w:noProof/>
          <w:szCs w:val="24"/>
          <w:highlight w:val="yellow"/>
        </w:rPr>
        <w:t>JAMA Netw. Open</w:t>
      </w:r>
      <w:r w:rsidRPr="001A0000">
        <w:rPr>
          <w:rFonts w:cs="Calibri"/>
          <w:noProof/>
          <w:szCs w:val="24"/>
          <w:highlight w:val="yellow"/>
        </w:rPr>
        <w:t>, vol. 8, no. 1, p. e2454730, Apr. 2025, doi: 10.1001/jamanetworkopen.2024.54730.</w:t>
      </w:r>
    </w:p>
    <w:p w14:paraId="3DD177FF" w14:textId="77777777" w:rsidR="001A0000" w:rsidRPr="001A0000" w:rsidRDefault="001A0000" w:rsidP="001A0000">
      <w:pPr>
        <w:widowControl w:val="0"/>
        <w:autoSpaceDE w:val="0"/>
        <w:autoSpaceDN w:val="0"/>
        <w:adjustRightInd w:val="0"/>
        <w:spacing w:line="240" w:lineRule="auto"/>
        <w:ind w:left="640" w:hanging="640"/>
        <w:rPr>
          <w:rFonts w:cs="Calibri"/>
          <w:noProof/>
          <w:szCs w:val="24"/>
        </w:rPr>
      </w:pPr>
      <w:r w:rsidRPr="001A0000">
        <w:rPr>
          <w:rFonts w:cs="Calibri"/>
          <w:noProof/>
          <w:szCs w:val="24"/>
        </w:rPr>
        <w:t>[33]</w:t>
      </w:r>
      <w:r w:rsidRPr="001A0000">
        <w:rPr>
          <w:rFonts w:cs="Calibri"/>
          <w:noProof/>
          <w:szCs w:val="24"/>
        </w:rPr>
        <w:tab/>
        <w:t xml:space="preserve">G. Thornicroft </w:t>
      </w:r>
      <w:r w:rsidRPr="001A0000">
        <w:rPr>
          <w:rFonts w:cs="Calibri"/>
          <w:i/>
          <w:iCs/>
          <w:noProof/>
          <w:szCs w:val="24"/>
        </w:rPr>
        <w:t>et al.</w:t>
      </w:r>
      <w:r w:rsidRPr="001A0000">
        <w:rPr>
          <w:rFonts w:cs="Calibri"/>
          <w:noProof/>
          <w:szCs w:val="24"/>
        </w:rPr>
        <w:t xml:space="preserve">, “The Lancet Commission on ending stigma and discrimination in mental health,” </w:t>
      </w:r>
      <w:r w:rsidRPr="001A0000">
        <w:rPr>
          <w:rFonts w:cs="Calibri"/>
          <w:i/>
          <w:iCs/>
          <w:noProof/>
          <w:szCs w:val="24"/>
        </w:rPr>
        <w:t>Lancet</w:t>
      </w:r>
      <w:r w:rsidRPr="001A0000">
        <w:rPr>
          <w:rFonts w:cs="Calibri"/>
          <w:noProof/>
          <w:szCs w:val="24"/>
        </w:rPr>
        <w:t>, vol. 400, no. 10361, pp. 1438–1480, Apr. 2022, doi: 10.1016/S0140-6736(22)01470-2.</w:t>
      </w:r>
    </w:p>
    <w:p w14:paraId="27F5543F" w14:textId="77777777" w:rsidR="001A0000" w:rsidRPr="001A0000" w:rsidRDefault="001A0000" w:rsidP="001A0000">
      <w:pPr>
        <w:widowControl w:val="0"/>
        <w:autoSpaceDE w:val="0"/>
        <w:autoSpaceDN w:val="0"/>
        <w:adjustRightInd w:val="0"/>
        <w:spacing w:line="240" w:lineRule="auto"/>
        <w:ind w:left="640" w:hanging="640"/>
        <w:rPr>
          <w:rFonts w:cs="Calibri"/>
          <w:noProof/>
        </w:rPr>
      </w:pPr>
      <w:r w:rsidRPr="001A0000">
        <w:rPr>
          <w:rFonts w:cs="Calibri"/>
          <w:noProof/>
          <w:szCs w:val="24"/>
        </w:rPr>
        <w:t>[34]</w:t>
      </w:r>
      <w:r w:rsidRPr="001A0000">
        <w:rPr>
          <w:rFonts w:cs="Calibri"/>
          <w:noProof/>
          <w:szCs w:val="24"/>
        </w:rPr>
        <w:tab/>
      </w:r>
      <w:r w:rsidRPr="001A0000">
        <w:rPr>
          <w:rFonts w:cs="Calibri"/>
          <w:noProof/>
          <w:szCs w:val="24"/>
          <w:highlight w:val="yellow"/>
        </w:rPr>
        <w:t xml:space="preserve">K. M. Lion </w:t>
      </w:r>
      <w:r w:rsidRPr="001A0000">
        <w:rPr>
          <w:rFonts w:cs="Calibri"/>
          <w:i/>
          <w:iCs/>
          <w:noProof/>
          <w:szCs w:val="24"/>
          <w:highlight w:val="yellow"/>
        </w:rPr>
        <w:t>et al.</w:t>
      </w:r>
      <w:r w:rsidRPr="001A0000">
        <w:rPr>
          <w:rFonts w:cs="Calibri"/>
          <w:noProof/>
          <w:szCs w:val="24"/>
          <w:highlight w:val="yellow"/>
        </w:rPr>
        <w:t xml:space="preserve">, “Do people with dementia and mild cognitive impairments experience stigma? A cross-cultural investigation between Italy, Poland and the UK,” </w:t>
      </w:r>
      <w:r w:rsidRPr="001A0000">
        <w:rPr>
          <w:rFonts w:cs="Calibri"/>
          <w:i/>
          <w:iCs/>
          <w:noProof/>
          <w:szCs w:val="24"/>
          <w:highlight w:val="yellow"/>
        </w:rPr>
        <w:t>Aging Ment. Health</w:t>
      </w:r>
      <w:r w:rsidRPr="001A0000">
        <w:rPr>
          <w:rFonts w:cs="Calibri"/>
          <w:noProof/>
          <w:szCs w:val="24"/>
          <w:highlight w:val="yellow"/>
        </w:rPr>
        <w:t>, vol. 24, no. 6, pp. 947–955, Jul. 2020, doi: 10.1080/13607863.2019.1577799.</w:t>
      </w:r>
    </w:p>
    <w:p w14:paraId="09ADA9DD" w14:textId="77777777" w:rsidR="001637FC" w:rsidRDefault="001637FC">
      <w:r>
        <w:fldChar w:fldCharType="end"/>
      </w:r>
    </w:p>
    <w:sectPr w:rsidR="00163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25"/>
    <w:rsid w:val="001637FC"/>
    <w:rsid w:val="001A0000"/>
    <w:rsid w:val="002E3801"/>
    <w:rsid w:val="003265EF"/>
    <w:rsid w:val="00376A67"/>
    <w:rsid w:val="003B6364"/>
    <w:rsid w:val="00422AE8"/>
    <w:rsid w:val="005C2287"/>
    <w:rsid w:val="007B1F84"/>
    <w:rsid w:val="007D04DB"/>
    <w:rsid w:val="008105F7"/>
    <w:rsid w:val="00810E70"/>
    <w:rsid w:val="008B3EAD"/>
    <w:rsid w:val="00910B42"/>
    <w:rsid w:val="009C3BF9"/>
    <w:rsid w:val="009C76EB"/>
    <w:rsid w:val="00A2023D"/>
    <w:rsid w:val="00A57489"/>
    <w:rsid w:val="00AD1232"/>
    <w:rsid w:val="00DD2896"/>
    <w:rsid w:val="00E0341D"/>
    <w:rsid w:val="00FE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43D48"/>
  <w15:chartTrackingRefBased/>
  <w15:docId w15:val="{1F435C77-FF2C-481A-AD97-C9FA87CC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D25"/>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FE3D25"/>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FE3D25"/>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E3D25"/>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FE3D25"/>
    <w:rPr>
      <w:rFonts w:ascii="Times New Roman" w:eastAsia="Times New Roman" w:hAnsi="Times New Roman" w:cs="Times New Roman"/>
      <w:b/>
      <w:bCs/>
      <w:sz w:val="27"/>
      <w:szCs w:val="27"/>
    </w:rPr>
  </w:style>
  <w:style w:type="paragraph" w:styleId="NormalWeb">
    <w:name w:val="Normal (Web)"/>
    <w:basedOn w:val="Normal"/>
    <w:uiPriority w:val="99"/>
    <w:unhideWhenUsed/>
    <w:rsid w:val="00FE3D2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FE3D25"/>
    <w:rPr>
      <w:rFonts w:cs="Times New Roman"/>
      <w:b/>
    </w:rPr>
  </w:style>
  <w:style w:type="paragraph" w:styleId="ListParagraph">
    <w:name w:val="List Paragraph"/>
    <w:basedOn w:val="Normal"/>
    <w:uiPriority w:val="34"/>
    <w:qFormat/>
    <w:rsid w:val="00FE3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a:effectLst/>
                <a:latin typeface="Arial" panose="020B0604020202020204" pitchFamily="34" charset="0"/>
                <a:cs typeface="Arial" panose="020B0604020202020204" pitchFamily="34" charset="0"/>
              </a:rPr>
              <a:t>Fig</a:t>
            </a:r>
            <a:r>
              <a:rPr lang="en-US" sz="1200" b="1" baseline="0">
                <a:effectLst/>
                <a:latin typeface="Arial" panose="020B0604020202020204" pitchFamily="34" charset="0"/>
                <a:cs typeface="Arial" panose="020B0604020202020204" pitchFamily="34" charset="0"/>
              </a:rPr>
              <a:t> 1: </a:t>
            </a:r>
            <a:r>
              <a:rPr lang="en-US" sz="1200" b="1">
                <a:effectLst/>
                <a:latin typeface="Arial" panose="020B0604020202020204" pitchFamily="34" charset="0"/>
                <a:cs typeface="Arial" panose="020B0604020202020204" pitchFamily="34" charset="0"/>
              </a:rPr>
              <a:t>ATTITUDE ASSESSMENT CONSERNING DEMENTIA AMONG MD AND BENVH STUDENTS AT SHMS, ZANZIBAR-2024</a:t>
            </a:r>
          </a:p>
        </c:rich>
      </c:tx>
      <c:layout>
        <c:manualLayout>
          <c:xMode val="edge"/>
          <c:yMode val="edge"/>
          <c:x val="9.9679487179487186E-2"/>
          <c:y val="1.432870038687491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bar"/>
        <c:grouping val="stacked"/>
        <c:varyColors val="0"/>
        <c:ser>
          <c:idx val="0"/>
          <c:order val="0"/>
          <c:tx>
            <c:strRef>
              <c:f>Sheet2!$B$3</c:f>
              <c:strCache>
                <c:ptCount val="1"/>
                <c:pt idx="0">
                  <c:v>Correct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Sheet2!$A$4:$A$11</c:f>
              <c:strCache>
                <c:ptCount val="8"/>
                <c:pt idx="0">
                  <c:v>Would you share a house with a family member who had dementia? (Yes)</c:v>
                </c:pt>
                <c:pt idx="1">
                  <c:v>Do you believe that people with dementia are responsible for their problem? (No)</c:v>
                </c:pt>
                <c:pt idx="2">
                  <c:v>Do you see people with dementia as violent and dangerous people to be avoided? (No)</c:v>
                </c:pt>
                <c:pt idx="3">
                  <c:v>Would you feel ashamed if people knew someone in your family had dementia? (No)</c:v>
                </c:pt>
                <c:pt idx="4">
                  <c:v>Would you be afraid to have a conversation with someone who has dementia? (No)</c:v>
                </c:pt>
                <c:pt idx="5">
                  <c:v>Would you be scared of having someone with dementia as a neighbour? (No)</c:v>
                </c:pt>
                <c:pt idx="6">
                  <c:v>Do you think people with dementia can live in the community? (Yes)</c:v>
                </c:pt>
                <c:pt idx="7">
                  <c:v>Do you think people with dementia should live in a nursing home? (Yes)</c:v>
                </c:pt>
              </c:strCache>
            </c:strRef>
          </c:cat>
          <c:val>
            <c:numRef>
              <c:f>Sheet2!$B$4:$B$11</c:f>
              <c:numCache>
                <c:formatCode>General</c:formatCode>
                <c:ptCount val="8"/>
                <c:pt idx="0">
                  <c:v>76</c:v>
                </c:pt>
                <c:pt idx="1">
                  <c:v>79.3</c:v>
                </c:pt>
                <c:pt idx="2">
                  <c:v>79.3</c:v>
                </c:pt>
                <c:pt idx="3">
                  <c:v>86</c:v>
                </c:pt>
                <c:pt idx="4">
                  <c:v>79.3</c:v>
                </c:pt>
                <c:pt idx="5">
                  <c:v>85.3</c:v>
                </c:pt>
                <c:pt idx="6">
                  <c:v>94.7</c:v>
                </c:pt>
                <c:pt idx="7">
                  <c:v>56.7</c:v>
                </c:pt>
              </c:numCache>
            </c:numRef>
          </c:val>
          <c:extLst>
            <c:ext xmlns:c16="http://schemas.microsoft.com/office/drawing/2014/chart" uri="{C3380CC4-5D6E-409C-BE32-E72D297353CC}">
              <c16:uniqueId val="{00000000-47EE-46D5-A84C-4408714EC95A}"/>
            </c:ext>
          </c:extLst>
        </c:ser>
        <c:ser>
          <c:idx val="1"/>
          <c:order val="1"/>
          <c:tx>
            <c:strRef>
              <c:f>Sheet2!$C$3</c:f>
              <c:strCache>
                <c:ptCount val="1"/>
                <c:pt idx="0">
                  <c:v>incorrect (%)</c:v>
                </c:pt>
              </c:strCache>
            </c:strRef>
          </c:tx>
          <c:spPr>
            <a:solidFill>
              <a:schemeClr val="accent2"/>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EE-46D5-A84C-4408714EC95A}"/>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EE-46D5-A84C-4408714EC95A}"/>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EE-46D5-A84C-4408714EC95A}"/>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EE-46D5-A84C-4408714EC95A}"/>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EE-46D5-A84C-4408714EC95A}"/>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7EE-46D5-A84C-4408714EC95A}"/>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7EE-46D5-A84C-4408714EC95A}"/>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7EE-46D5-A84C-4408714EC9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Sheet2!$A$4:$A$11</c:f>
              <c:strCache>
                <c:ptCount val="8"/>
                <c:pt idx="0">
                  <c:v>Would you share a house with a family member who had dementia? (Yes)</c:v>
                </c:pt>
                <c:pt idx="1">
                  <c:v>Do you believe that people with dementia are responsible for their problem? (No)</c:v>
                </c:pt>
                <c:pt idx="2">
                  <c:v>Do you see people with dementia as violent and dangerous people to be avoided? (No)</c:v>
                </c:pt>
                <c:pt idx="3">
                  <c:v>Would you feel ashamed if people knew someone in your family had dementia? (No)</c:v>
                </c:pt>
                <c:pt idx="4">
                  <c:v>Would you be afraid to have a conversation with someone who has dementia? (No)</c:v>
                </c:pt>
                <c:pt idx="5">
                  <c:v>Would you be scared of having someone with dementia as a neighbour? (No)</c:v>
                </c:pt>
                <c:pt idx="6">
                  <c:v>Do you think people with dementia can live in the community? (Yes)</c:v>
                </c:pt>
                <c:pt idx="7">
                  <c:v>Do you think people with dementia should live in a nursing home? (Yes)</c:v>
                </c:pt>
              </c:strCache>
            </c:strRef>
          </c:cat>
          <c:val>
            <c:numRef>
              <c:f>Sheet2!$C$4:$C$11</c:f>
              <c:numCache>
                <c:formatCode>General</c:formatCode>
                <c:ptCount val="8"/>
                <c:pt idx="0">
                  <c:v>23</c:v>
                </c:pt>
                <c:pt idx="1">
                  <c:v>20.7</c:v>
                </c:pt>
                <c:pt idx="2">
                  <c:v>20.7</c:v>
                </c:pt>
                <c:pt idx="3">
                  <c:v>14</c:v>
                </c:pt>
                <c:pt idx="4">
                  <c:v>20.7</c:v>
                </c:pt>
                <c:pt idx="5">
                  <c:v>14.7</c:v>
                </c:pt>
                <c:pt idx="6">
                  <c:v>6</c:v>
                </c:pt>
                <c:pt idx="7">
                  <c:v>43.3</c:v>
                </c:pt>
              </c:numCache>
            </c:numRef>
          </c:val>
          <c:extLst>
            <c:ext xmlns:c16="http://schemas.microsoft.com/office/drawing/2014/chart" uri="{C3380CC4-5D6E-409C-BE32-E72D297353CC}">
              <c16:uniqueId val="{00000009-47EE-46D5-A84C-4408714EC95A}"/>
            </c:ext>
          </c:extLst>
        </c:ser>
        <c:dLbls>
          <c:showLegendKey val="0"/>
          <c:showVal val="0"/>
          <c:showCatName val="0"/>
          <c:showSerName val="0"/>
          <c:showPercent val="0"/>
          <c:showBubbleSize val="0"/>
        </c:dLbls>
        <c:gapWidth val="150"/>
        <c:overlap val="100"/>
        <c:axId val="1988905696"/>
        <c:axId val="1988928544"/>
      </c:barChart>
      <c:catAx>
        <c:axId val="1988905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8928544"/>
        <c:crosses val="autoZero"/>
        <c:auto val="1"/>
        <c:lblAlgn val="ctr"/>
        <c:lblOffset val="100"/>
        <c:noMultiLvlLbl val="0"/>
      </c:catAx>
      <c:valAx>
        <c:axId val="1988928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890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baseline="0">
                <a:latin typeface="Arial" panose="020B0604020202020204" pitchFamily="34" charset="0"/>
                <a:cs typeface="Arial" panose="020B0604020202020204" pitchFamily="34" charset="0"/>
              </a:rPr>
              <a:t>Fig 2: </a:t>
            </a:r>
            <a:r>
              <a:rPr lang="en-US" sz="1200" b="1">
                <a:effectLst/>
                <a:latin typeface="Arial" panose="020B0604020202020204" pitchFamily="34" charset="0"/>
                <a:cs typeface="Arial" panose="020B0604020202020204" pitchFamily="34" charset="0"/>
              </a:rPr>
              <a:t> Attitude Responses among MD and BENVH Students at SHMS (SUZA), Zanzibar – 2024</a:t>
            </a:r>
            <a:r>
              <a:rPr lang="en-US" sz="1200">
                <a:effectLst/>
                <a:latin typeface="Arial" panose="020B0604020202020204" pitchFamily="34" charset="0"/>
                <a:cs typeface="Arial" panose="020B0604020202020204" pitchFamily="34" charset="0"/>
              </a:rPr>
              <a:t> </a:t>
            </a:r>
            <a:r>
              <a:rPr lang="en-US" sz="1200" b="1">
                <a:effectLst/>
                <a:latin typeface="Arial" panose="020B0604020202020204" pitchFamily="34" charset="0"/>
                <a:cs typeface="Arial" panose="020B0604020202020204" pitchFamily="34" charset="0"/>
              </a:rPr>
              <a:t> n=150</a:t>
            </a:r>
            <a:r>
              <a:rPr lang="en-US" sz="1200">
                <a:effectLst/>
                <a:latin typeface="Arial" panose="020B0604020202020204" pitchFamily="34" charset="0"/>
                <a:cs typeface="Arial" panose="020B0604020202020204" pitchFamily="34" charset="0"/>
              </a:rPr>
              <a:t> </a:t>
            </a:r>
            <a:r>
              <a:rPr lang="en-US" sz="1800">
                <a:effectLst/>
              </a:rPr>
              <a:t> </a:t>
            </a: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Sheet1!$B$15</c:f>
              <c:strCache>
                <c:ptCount val="1"/>
                <c:pt idx="0">
                  <c:v>Poor attitude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Sheet1!$C$14:$E$14</c:f>
              <c:strCache>
                <c:ptCount val="3"/>
                <c:pt idx="0">
                  <c:v>MD</c:v>
                </c:pt>
                <c:pt idx="1">
                  <c:v>BENVH</c:v>
                </c:pt>
                <c:pt idx="2">
                  <c:v>TOTAL</c:v>
                </c:pt>
              </c:strCache>
            </c:strRef>
          </c:cat>
          <c:val>
            <c:numRef>
              <c:f>Sheet1!$C$15:$E$15</c:f>
              <c:numCache>
                <c:formatCode>0%</c:formatCode>
                <c:ptCount val="3"/>
                <c:pt idx="0">
                  <c:v>0.04</c:v>
                </c:pt>
                <c:pt idx="1">
                  <c:v>0</c:v>
                </c:pt>
                <c:pt idx="2" formatCode="0.00%">
                  <c:v>2.7E-2</c:v>
                </c:pt>
              </c:numCache>
            </c:numRef>
          </c:val>
          <c:extLst>
            <c:ext xmlns:c16="http://schemas.microsoft.com/office/drawing/2014/chart" uri="{C3380CC4-5D6E-409C-BE32-E72D297353CC}">
              <c16:uniqueId val="{00000000-D232-429F-9730-8B4F3422BC2B}"/>
            </c:ext>
          </c:extLst>
        </c:ser>
        <c:ser>
          <c:idx val="1"/>
          <c:order val="1"/>
          <c:tx>
            <c:strRef>
              <c:f>Sheet1!$B$16</c:f>
              <c:strCache>
                <c:ptCount val="1"/>
                <c:pt idx="0">
                  <c:v>Moderate attitude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Sheet1!$C$14:$E$14</c:f>
              <c:strCache>
                <c:ptCount val="3"/>
                <c:pt idx="0">
                  <c:v>MD</c:v>
                </c:pt>
                <c:pt idx="1">
                  <c:v>BENVH</c:v>
                </c:pt>
                <c:pt idx="2">
                  <c:v>TOTAL</c:v>
                </c:pt>
              </c:strCache>
            </c:strRef>
          </c:cat>
          <c:val>
            <c:numRef>
              <c:f>Sheet1!$C$16:$E$16</c:f>
              <c:numCache>
                <c:formatCode>0%</c:formatCode>
                <c:ptCount val="3"/>
                <c:pt idx="0">
                  <c:v>0.18</c:v>
                </c:pt>
                <c:pt idx="1">
                  <c:v>0.32</c:v>
                </c:pt>
                <c:pt idx="2" formatCode="0.00%">
                  <c:v>0.22700000000000001</c:v>
                </c:pt>
              </c:numCache>
            </c:numRef>
          </c:val>
          <c:extLst>
            <c:ext xmlns:c16="http://schemas.microsoft.com/office/drawing/2014/chart" uri="{C3380CC4-5D6E-409C-BE32-E72D297353CC}">
              <c16:uniqueId val="{00000001-D232-429F-9730-8B4F3422BC2B}"/>
            </c:ext>
          </c:extLst>
        </c:ser>
        <c:ser>
          <c:idx val="2"/>
          <c:order val="2"/>
          <c:tx>
            <c:strRef>
              <c:f>Sheet1!$B$17</c:f>
              <c:strCache>
                <c:ptCount val="1"/>
                <c:pt idx="0">
                  <c:v>Good attitude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Sheet1!$C$14:$E$14</c:f>
              <c:strCache>
                <c:ptCount val="3"/>
                <c:pt idx="0">
                  <c:v>MD</c:v>
                </c:pt>
                <c:pt idx="1">
                  <c:v>BENVH</c:v>
                </c:pt>
                <c:pt idx="2">
                  <c:v>TOTAL</c:v>
                </c:pt>
              </c:strCache>
            </c:strRef>
          </c:cat>
          <c:val>
            <c:numRef>
              <c:f>Sheet1!$C$17:$E$17</c:f>
              <c:numCache>
                <c:formatCode>0%</c:formatCode>
                <c:ptCount val="3"/>
                <c:pt idx="0">
                  <c:v>0.78</c:v>
                </c:pt>
                <c:pt idx="1">
                  <c:v>0.68</c:v>
                </c:pt>
                <c:pt idx="2" formatCode="0.00%">
                  <c:v>0.746</c:v>
                </c:pt>
              </c:numCache>
            </c:numRef>
          </c:val>
          <c:extLst>
            <c:ext xmlns:c16="http://schemas.microsoft.com/office/drawing/2014/chart" uri="{C3380CC4-5D6E-409C-BE32-E72D297353CC}">
              <c16:uniqueId val="{00000002-D232-429F-9730-8B4F3422BC2B}"/>
            </c:ext>
          </c:extLst>
        </c:ser>
        <c:dLbls>
          <c:showLegendKey val="0"/>
          <c:showVal val="0"/>
          <c:showCatName val="0"/>
          <c:showSerName val="0"/>
          <c:showPercent val="0"/>
          <c:showBubbleSize val="0"/>
        </c:dLbls>
        <c:gapWidth val="219"/>
        <c:overlap val="-27"/>
        <c:axId val="1543762032"/>
        <c:axId val="1543768560"/>
      </c:barChart>
      <c:catAx>
        <c:axId val="154376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3768560"/>
        <c:crosses val="autoZero"/>
        <c:auto val="1"/>
        <c:lblAlgn val="ctr"/>
        <c:lblOffset val="100"/>
        <c:noMultiLvlLbl val="0"/>
      </c:catAx>
      <c:valAx>
        <c:axId val="1543768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3762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a:effectLst/>
              </a:rPr>
              <a:t>Fig 3: Response of stigma Among MD and BENVH Students at the SHMS, Zanzibar</a:t>
            </a:r>
            <a:r>
              <a:rPr lang="en-US" sz="1800" b="1">
                <a:effectLst/>
              </a:rPr>
              <a:t> </a:t>
            </a:r>
            <a:r>
              <a:rPr lang="en-US" sz="1800">
                <a:effectLst/>
              </a:rPr>
              <a:t>-2024</a:t>
            </a:r>
            <a:r>
              <a:rPr lang="en-US">
                <a:effectLst/>
              </a:rPr>
              <a:t> </a:t>
            </a:r>
            <a:r>
              <a:rPr lang="en-US" sz="1800">
                <a:effectLst/>
              </a:rPr>
              <a:t> n=150</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Sheet4!$B$2</c:f>
              <c:strCache>
                <c:ptCount val="1"/>
                <c:pt idx="0">
                  <c:v>Strongly Agree (%)</c:v>
                </c:pt>
              </c:strCache>
            </c:strRef>
          </c:tx>
          <c:spPr>
            <a:solidFill>
              <a:schemeClr val="accent1"/>
            </a:solidFill>
            <a:ln>
              <a:noFill/>
            </a:ln>
            <a:effectLst/>
          </c:spPr>
          <c:invertIfNegative val="0"/>
          <c:cat>
            <c:strRef>
              <c:f>Sheet4!$A$3:$A$8</c:f>
              <c:strCache>
                <c:ptCount val="6"/>
                <c:pt idx="0">
                  <c:v>If I have dementia, I will not want my family to know.</c:v>
                </c:pt>
                <c:pt idx="1">
                  <c:v>If I have dementia, I will feel humiliated.</c:v>
                </c:pt>
                <c:pt idx="2">
                  <c:v>It is best that people with dementia live where they won't bother anyone.</c:v>
                </c:pt>
                <c:pt idx="3">
                  <c:v>I would personally not like to spend much time with a person with dementia.</c:v>
                </c:pt>
                <c:pt idx="4">
                  <c:v>The company of most people with dementia is quite enjoyable.</c:v>
                </c:pt>
                <c:pt idx="5">
                  <c:v>People with dementia live mostly independently.</c:v>
                </c:pt>
              </c:strCache>
            </c:strRef>
          </c:cat>
          <c:val>
            <c:numRef>
              <c:f>Sheet4!$B$3:$B$8</c:f>
              <c:numCache>
                <c:formatCode>0.00%</c:formatCode>
                <c:ptCount val="6"/>
                <c:pt idx="0">
                  <c:v>0.64700000000000002</c:v>
                </c:pt>
                <c:pt idx="1">
                  <c:v>0.34</c:v>
                </c:pt>
                <c:pt idx="2">
                  <c:v>0.34</c:v>
                </c:pt>
                <c:pt idx="3">
                  <c:v>0.40699999999999997</c:v>
                </c:pt>
                <c:pt idx="4">
                  <c:v>0.127</c:v>
                </c:pt>
                <c:pt idx="5">
                  <c:v>0.29299999999999998</c:v>
                </c:pt>
              </c:numCache>
            </c:numRef>
          </c:val>
          <c:extLst>
            <c:ext xmlns:c16="http://schemas.microsoft.com/office/drawing/2014/chart" uri="{C3380CC4-5D6E-409C-BE32-E72D297353CC}">
              <c16:uniqueId val="{00000000-AE53-4EA9-8167-B918EC035BAA}"/>
            </c:ext>
          </c:extLst>
        </c:ser>
        <c:ser>
          <c:idx val="1"/>
          <c:order val="1"/>
          <c:tx>
            <c:strRef>
              <c:f>Sheet4!$C$2</c:f>
              <c:strCache>
                <c:ptCount val="1"/>
                <c:pt idx="0">
                  <c:v>Agree (%)</c:v>
                </c:pt>
              </c:strCache>
            </c:strRef>
          </c:tx>
          <c:spPr>
            <a:solidFill>
              <a:schemeClr val="accent2"/>
            </a:solidFill>
            <a:ln>
              <a:noFill/>
            </a:ln>
            <a:effectLst/>
          </c:spPr>
          <c:invertIfNegative val="0"/>
          <c:cat>
            <c:strRef>
              <c:f>Sheet4!$A$3:$A$8</c:f>
              <c:strCache>
                <c:ptCount val="6"/>
                <c:pt idx="0">
                  <c:v>If I have dementia, I will not want my family to know.</c:v>
                </c:pt>
                <c:pt idx="1">
                  <c:v>If I have dementia, I will feel humiliated.</c:v>
                </c:pt>
                <c:pt idx="2">
                  <c:v>It is best that people with dementia live where they won't bother anyone.</c:v>
                </c:pt>
                <c:pt idx="3">
                  <c:v>I would personally not like to spend much time with a person with dementia.</c:v>
                </c:pt>
                <c:pt idx="4">
                  <c:v>The company of most people with dementia is quite enjoyable.</c:v>
                </c:pt>
                <c:pt idx="5">
                  <c:v>People with dementia live mostly independently.</c:v>
                </c:pt>
              </c:strCache>
            </c:strRef>
          </c:cat>
          <c:val>
            <c:numRef>
              <c:f>Sheet4!$C$3:$C$8</c:f>
              <c:numCache>
                <c:formatCode>0.00%</c:formatCode>
                <c:ptCount val="6"/>
                <c:pt idx="0">
                  <c:v>0.187</c:v>
                </c:pt>
                <c:pt idx="1">
                  <c:v>0.253</c:v>
                </c:pt>
                <c:pt idx="2">
                  <c:v>0.247</c:v>
                </c:pt>
                <c:pt idx="3">
                  <c:v>0.34699999999999998</c:v>
                </c:pt>
                <c:pt idx="4">
                  <c:v>0.14000000000000001</c:v>
                </c:pt>
                <c:pt idx="5">
                  <c:v>0.24</c:v>
                </c:pt>
              </c:numCache>
            </c:numRef>
          </c:val>
          <c:extLst>
            <c:ext xmlns:c16="http://schemas.microsoft.com/office/drawing/2014/chart" uri="{C3380CC4-5D6E-409C-BE32-E72D297353CC}">
              <c16:uniqueId val="{00000001-AE53-4EA9-8167-B918EC035BAA}"/>
            </c:ext>
          </c:extLst>
        </c:ser>
        <c:ser>
          <c:idx val="2"/>
          <c:order val="2"/>
          <c:tx>
            <c:strRef>
              <c:f>Sheet4!$D$2</c:f>
              <c:strCache>
                <c:ptCount val="1"/>
                <c:pt idx="0">
                  <c:v>Neutral (%)</c:v>
                </c:pt>
              </c:strCache>
            </c:strRef>
          </c:tx>
          <c:spPr>
            <a:solidFill>
              <a:schemeClr val="accent3"/>
            </a:solidFill>
            <a:ln>
              <a:noFill/>
            </a:ln>
            <a:effectLst/>
          </c:spPr>
          <c:invertIfNegative val="0"/>
          <c:cat>
            <c:strRef>
              <c:f>Sheet4!$A$3:$A$8</c:f>
              <c:strCache>
                <c:ptCount val="6"/>
                <c:pt idx="0">
                  <c:v>If I have dementia, I will not want my family to know.</c:v>
                </c:pt>
                <c:pt idx="1">
                  <c:v>If I have dementia, I will feel humiliated.</c:v>
                </c:pt>
                <c:pt idx="2">
                  <c:v>It is best that people with dementia live where they won't bother anyone.</c:v>
                </c:pt>
                <c:pt idx="3">
                  <c:v>I would personally not like to spend much time with a person with dementia.</c:v>
                </c:pt>
                <c:pt idx="4">
                  <c:v>The company of most people with dementia is quite enjoyable.</c:v>
                </c:pt>
                <c:pt idx="5">
                  <c:v>People with dementia live mostly independently.</c:v>
                </c:pt>
              </c:strCache>
            </c:strRef>
          </c:cat>
          <c:val>
            <c:numRef>
              <c:f>Sheet4!$D$3:$D$8</c:f>
              <c:numCache>
                <c:formatCode>0.00%</c:formatCode>
                <c:ptCount val="6"/>
                <c:pt idx="0">
                  <c:v>4.7E-2</c:v>
                </c:pt>
                <c:pt idx="1">
                  <c:v>0.153</c:v>
                </c:pt>
                <c:pt idx="2">
                  <c:v>0.16</c:v>
                </c:pt>
                <c:pt idx="3">
                  <c:v>0.14000000000000001</c:v>
                </c:pt>
                <c:pt idx="4">
                  <c:v>0.247</c:v>
                </c:pt>
                <c:pt idx="5">
                  <c:v>0.18</c:v>
                </c:pt>
              </c:numCache>
            </c:numRef>
          </c:val>
          <c:extLst>
            <c:ext xmlns:c16="http://schemas.microsoft.com/office/drawing/2014/chart" uri="{C3380CC4-5D6E-409C-BE32-E72D297353CC}">
              <c16:uniqueId val="{00000002-AE53-4EA9-8167-B918EC035BAA}"/>
            </c:ext>
          </c:extLst>
        </c:ser>
        <c:ser>
          <c:idx val="3"/>
          <c:order val="3"/>
          <c:tx>
            <c:strRef>
              <c:f>Sheet4!$E$2</c:f>
              <c:strCache>
                <c:ptCount val="1"/>
                <c:pt idx="0">
                  <c:v>Disagree (%)</c:v>
                </c:pt>
              </c:strCache>
            </c:strRef>
          </c:tx>
          <c:spPr>
            <a:solidFill>
              <a:schemeClr val="accent4"/>
            </a:solidFill>
            <a:ln>
              <a:noFill/>
            </a:ln>
            <a:effectLst/>
          </c:spPr>
          <c:invertIfNegative val="0"/>
          <c:cat>
            <c:strRef>
              <c:f>Sheet4!$A$3:$A$8</c:f>
              <c:strCache>
                <c:ptCount val="6"/>
                <c:pt idx="0">
                  <c:v>If I have dementia, I will not want my family to know.</c:v>
                </c:pt>
                <c:pt idx="1">
                  <c:v>If I have dementia, I will feel humiliated.</c:v>
                </c:pt>
                <c:pt idx="2">
                  <c:v>It is best that people with dementia live where they won't bother anyone.</c:v>
                </c:pt>
                <c:pt idx="3">
                  <c:v>I would personally not like to spend much time with a person with dementia.</c:v>
                </c:pt>
                <c:pt idx="4">
                  <c:v>The company of most people with dementia is quite enjoyable.</c:v>
                </c:pt>
                <c:pt idx="5">
                  <c:v>People with dementia live mostly independently.</c:v>
                </c:pt>
              </c:strCache>
            </c:strRef>
          </c:cat>
          <c:val>
            <c:numRef>
              <c:f>Sheet4!$E$3:$E$8</c:f>
              <c:numCache>
                <c:formatCode>0.00%</c:formatCode>
                <c:ptCount val="6"/>
                <c:pt idx="0">
                  <c:v>0.06</c:v>
                </c:pt>
                <c:pt idx="1">
                  <c:v>0.13300000000000001</c:v>
                </c:pt>
                <c:pt idx="2">
                  <c:v>0.16700000000000001</c:v>
                </c:pt>
                <c:pt idx="3">
                  <c:v>7.2999999999999995E-2</c:v>
                </c:pt>
                <c:pt idx="4">
                  <c:v>0.33300000000000002</c:v>
                </c:pt>
                <c:pt idx="5">
                  <c:v>0.193</c:v>
                </c:pt>
              </c:numCache>
            </c:numRef>
          </c:val>
          <c:extLst>
            <c:ext xmlns:c16="http://schemas.microsoft.com/office/drawing/2014/chart" uri="{C3380CC4-5D6E-409C-BE32-E72D297353CC}">
              <c16:uniqueId val="{00000003-AE53-4EA9-8167-B918EC035BAA}"/>
            </c:ext>
          </c:extLst>
        </c:ser>
        <c:ser>
          <c:idx val="4"/>
          <c:order val="4"/>
          <c:tx>
            <c:strRef>
              <c:f>Sheet4!$F$2</c:f>
              <c:strCache>
                <c:ptCount val="1"/>
                <c:pt idx="0">
                  <c:v>Strongly Disagree (%)</c:v>
                </c:pt>
              </c:strCache>
            </c:strRef>
          </c:tx>
          <c:spPr>
            <a:solidFill>
              <a:schemeClr val="accent5"/>
            </a:solidFill>
            <a:ln>
              <a:noFill/>
            </a:ln>
            <a:effectLst/>
          </c:spPr>
          <c:invertIfNegative val="0"/>
          <c:cat>
            <c:strRef>
              <c:f>Sheet4!$A$3:$A$8</c:f>
              <c:strCache>
                <c:ptCount val="6"/>
                <c:pt idx="0">
                  <c:v>If I have dementia, I will not want my family to know.</c:v>
                </c:pt>
                <c:pt idx="1">
                  <c:v>If I have dementia, I will feel humiliated.</c:v>
                </c:pt>
                <c:pt idx="2">
                  <c:v>It is best that people with dementia live where they won't bother anyone.</c:v>
                </c:pt>
                <c:pt idx="3">
                  <c:v>I would personally not like to spend much time with a person with dementia.</c:v>
                </c:pt>
                <c:pt idx="4">
                  <c:v>The company of most people with dementia is quite enjoyable.</c:v>
                </c:pt>
                <c:pt idx="5">
                  <c:v>People with dementia live mostly independently.</c:v>
                </c:pt>
              </c:strCache>
            </c:strRef>
          </c:cat>
          <c:val>
            <c:numRef>
              <c:f>Sheet4!$F$3:$F$8</c:f>
              <c:numCache>
                <c:formatCode>0.00%</c:formatCode>
                <c:ptCount val="6"/>
                <c:pt idx="0">
                  <c:v>0.06</c:v>
                </c:pt>
                <c:pt idx="1">
                  <c:v>0.12</c:v>
                </c:pt>
                <c:pt idx="2">
                  <c:v>8.6999999999999994E-2</c:v>
                </c:pt>
                <c:pt idx="3">
                  <c:v>3.3000000000000002E-2</c:v>
                </c:pt>
                <c:pt idx="4">
                  <c:v>0.153</c:v>
                </c:pt>
                <c:pt idx="5">
                  <c:v>9.2999999999999999E-2</c:v>
                </c:pt>
              </c:numCache>
            </c:numRef>
          </c:val>
          <c:extLst>
            <c:ext xmlns:c16="http://schemas.microsoft.com/office/drawing/2014/chart" uri="{C3380CC4-5D6E-409C-BE32-E72D297353CC}">
              <c16:uniqueId val="{00000004-AE53-4EA9-8167-B918EC035BAA}"/>
            </c:ext>
          </c:extLst>
        </c:ser>
        <c:dLbls>
          <c:showLegendKey val="0"/>
          <c:showVal val="0"/>
          <c:showCatName val="0"/>
          <c:showSerName val="0"/>
          <c:showPercent val="0"/>
          <c:showBubbleSize val="0"/>
        </c:dLbls>
        <c:gapWidth val="219"/>
        <c:overlap val="-27"/>
        <c:axId val="1639098320"/>
        <c:axId val="1639091792"/>
      </c:barChart>
      <c:catAx>
        <c:axId val="163909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9091792"/>
        <c:crosses val="autoZero"/>
        <c:auto val="1"/>
        <c:lblAlgn val="ctr"/>
        <c:lblOffset val="100"/>
        <c:noMultiLvlLbl val="0"/>
      </c:catAx>
      <c:valAx>
        <c:axId val="1639091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909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D79A05F-4199-45DE-879A-4A782B28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18</Pages>
  <Words>22216</Words>
  <Characters>126634</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CHUKWUMA OKAFOR</dc:creator>
  <cp:keywords/>
  <dc:description/>
  <cp:lastModifiedBy>SDI 1183</cp:lastModifiedBy>
  <cp:revision>4</cp:revision>
  <dcterms:created xsi:type="dcterms:W3CDTF">2025-07-14T16:28:00Z</dcterms:created>
  <dcterms:modified xsi:type="dcterms:W3CDTF">2025-07-16T10:31:00Z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732700e7-5915-41d9-bc11-7631f0913d39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http://www.zotero.org/styles/ieee</vt:lpwstr>
  </property>
  <property fmtid="{D5CDD505-2E9C-101B-9397-08002B2CF9AE}" pid="24" name="Mendeley Document_1">
    <vt:lpwstr>True</vt:lpwstr>
  </property>
  <property fmtid="{D5CDD505-2E9C-101B-9397-08002B2CF9AE}" pid="25" name="Mendeley Unique User Id_1">
    <vt:lpwstr>cccce271-7dd1-3059-84fe-b8fbeaa9ff09</vt:lpwstr>
  </property>
</Properties>
</file>