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0B36" w14:textId="5879919D" w:rsidR="000F1BEC" w:rsidRDefault="00C822D5" w:rsidP="00EF2B7F">
      <w:pPr>
        <w:spacing w:line="276" w:lineRule="auto"/>
        <w:jc w:val="center"/>
        <w:rPr>
          <w:rFonts w:ascii="Times New Roman" w:hAnsi="Times New Roman" w:cs="Times New Roman"/>
          <w:b/>
          <w:color w:val="000000" w:themeColor="text1"/>
        </w:rPr>
      </w:pPr>
      <w:r w:rsidRPr="00207BE7">
        <w:rPr>
          <w:rFonts w:ascii="Times New Roman" w:hAnsi="Times New Roman" w:cs="Times New Roman"/>
          <w:b/>
          <w:color w:val="000000" w:themeColor="text1"/>
          <w:highlight w:val="yellow"/>
        </w:rPr>
        <w:t>Understanding Caregiver Readiness and Awareness of Malaria Vaccination for Under-Five Children in A High-Burden Region</w:t>
      </w:r>
      <w:r w:rsidRPr="000F1BEC">
        <w:rPr>
          <w:rFonts w:ascii="Times New Roman" w:hAnsi="Times New Roman" w:cs="Times New Roman"/>
          <w:b/>
          <w:color w:val="000000" w:themeColor="text1"/>
        </w:rPr>
        <w:t xml:space="preserve"> </w:t>
      </w:r>
    </w:p>
    <w:p w14:paraId="09529926" w14:textId="52980104" w:rsidR="007F73E8" w:rsidRPr="00EF2B7F" w:rsidRDefault="007F73E8" w:rsidP="00EF2B7F">
      <w:pPr>
        <w:spacing w:line="276" w:lineRule="auto"/>
        <w:jc w:val="center"/>
        <w:rPr>
          <w:rFonts w:ascii="Times New Roman" w:hAnsi="Times New Roman" w:cs="Times New Roman"/>
          <w:b/>
          <w:bCs/>
          <w:color w:val="000000" w:themeColor="text1"/>
        </w:rPr>
      </w:pPr>
      <w:r w:rsidRPr="00EF2B7F">
        <w:rPr>
          <w:rFonts w:ascii="Times New Roman" w:hAnsi="Times New Roman" w:cs="Times New Roman"/>
          <w:b/>
          <w:bCs/>
          <w:color w:val="000000" w:themeColor="text1"/>
        </w:rPr>
        <w:t>ABSTRACT</w:t>
      </w:r>
    </w:p>
    <w:p w14:paraId="40C9ED2B"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Background:</w:t>
      </w:r>
      <w:r w:rsidRPr="00EF2B7F">
        <w:rPr>
          <w:rFonts w:ascii="Times New Roman" w:eastAsia="Times New Roman" w:hAnsi="Times New Roman" w:cs="Times New Roman"/>
          <w:color w:val="000000" w:themeColor="text1"/>
          <w:kern w:val="0"/>
          <w14:ligatures w14:val="none"/>
        </w:rPr>
        <w:t xml:space="preserve"> The malaria vaccine has proven effective in preventing malaria alongside other preventive methods. This study aimed to assess caregivers' knowledge, willingness, and barriers to malaria vaccination in a tertiary healthcare facility in southeast Nigeria. It also explored factors influencing willingness to vaccinate.</w:t>
      </w:r>
    </w:p>
    <w:p w14:paraId="1D9C6476" w14:textId="0CB96EB8"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Methods:</w:t>
      </w:r>
      <w:r w:rsidRPr="00EF2B7F">
        <w:rPr>
          <w:rFonts w:ascii="Times New Roman" w:eastAsia="Times New Roman" w:hAnsi="Times New Roman" w:cs="Times New Roman"/>
          <w:color w:val="000000" w:themeColor="text1"/>
          <w:kern w:val="0"/>
          <w14:ligatures w14:val="none"/>
        </w:rPr>
        <w:t xml:space="preserve"> A cross-sectional descriptive study was conducted at the Institute of Child Health (ICH), UNTH, with 350 caregivers of children under </w:t>
      </w:r>
      <w:r w:rsidRPr="00207BE7">
        <w:rPr>
          <w:rFonts w:ascii="Times New Roman" w:eastAsia="Times New Roman" w:hAnsi="Times New Roman" w:cs="Times New Roman"/>
          <w:color w:val="000000" w:themeColor="text1"/>
          <w:kern w:val="0"/>
          <w:highlight w:val="yellow"/>
          <w14:ligatures w14:val="none"/>
        </w:rPr>
        <w:t>five</w:t>
      </w:r>
      <w:r w:rsidR="00207BE7" w:rsidRPr="00207BE7">
        <w:rPr>
          <w:rFonts w:ascii="Times New Roman" w:eastAsia="Times New Roman" w:hAnsi="Times New Roman" w:cs="Times New Roman"/>
          <w:color w:val="000000" w:themeColor="text1"/>
          <w:kern w:val="0"/>
          <w:highlight w:val="yellow"/>
          <w14:ligatures w14:val="none"/>
        </w:rPr>
        <w:t xml:space="preserve"> from a period of March to May 2025</w:t>
      </w:r>
      <w:r w:rsidRPr="00207BE7">
        <w:rPr>
          <w:rFonts w:ascii="Times New Roman" w:eastAsia="Times New Roman" w:hAnsi="Times New Roman" w:cs="Times New Roman"/>
          <w:color w:val="000000" w:themeColor="text1"/>
          <w:kern w:val="0"/>
          <w:highlight w:val="yellow"/>
          <w14:ligatures w14:val="none"/>
        </w:rPr>
        <w:t>.</w:t>
      </w:r>
      <w:r w:rsidRPr="00EF2B7F">
        <w:rPr>
          <w:rFonts w:ascii="Times New Roman" w:eastAsia="Times New Roman" w:hAnsi="Times New Roman" w:cs="Times New Roman"/>
          <w:color w:val="000000" w:themeColor="text1"/>
          <w:kern w:val="0"/>
          <w14:ligatures w14:val="none"/>
        </w:rPr>
        <w:t xml:space="preserve"> </w:t>
      </w:r>
      <w:r w:rsidRPr="00207BE7">
        <w:rPr>
          <w:rFonts w:ascii="Times New Roman" w:eastAsia="Times New Roman" w:hAnsi="Times New Roman" w:cs="Times New Roman"/>
          <w:color w:val="000000" w:themeColor="text1"/>
          <w:kern w:val="0"/>
          <w:highlight w:val="yellow"/>
          <w14:ligatures w14:val="none"/>
        </w:rPr>
        <w:t>Data were collected using interviewer-administered questionnaires</w:t>
      </w:r>
      <w:r w:rsidR="00207BE7" w:rsidRPr="00207BE7">
        <w:rPr>
          <w:rFonts w:ascii="Times New Roman" w:eastAsia="Times New Roman" w:hAnsi="Times New Roman" w:cs="Times New Roman"/>
          <w:color w:val="000000" w:themeColor="text1"/>
          <w:kern w:val="0"/>
          <w:highlight w:val="yellow"/>
          <w14:ligatures w14:val="none"/>
        </w:rPr>
        <w:t xml:space="preserve"> developed by researchers with validation from WHO studies on malaria vaccine</w:t>
      </w:r>
      <w:r w:rsidRPr="00EF2B7F">
        <w:rPr>
          <w:rFonts w:ascii="Times New Roman" w:eastAsia="Times New Roman" w:hAnsi="Times New Roman" w:cs="Times New Roman"/>
          <w:color w:val="000000" w:themeColor="text1"/>
          <w:kern w:val="0"/>
          <w14:ligatures w14:val="none"/>
        </w:rPr>
        <w:t xml:space="preserve"> and simple random sampling. Analysis was done using SPSS v26, with Chi-square tests and a significance level of p&lt;0.05.</w:t>
      </w:r>
    </w:p>
    <w:p w14:paraId="13C6D48B" w14:textId="0B03A873"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Results:</w:t>
      </w:r>
      <w:r w:rsidRPr="00EF2B7F">
        <w:rPr>
          <w:rFonts w:ascii="Times New Roman" w:eastAsia="Times New Roman" w:hAnsi="Times New Roman" w:cs="Times New Roman"/>
          <w:color w:val="000000" w:themeColor="text1"/>
          <w:kern w:val="0"/>
          <w14:ligatures w14:val="none"/>
        </w:rPr>
        <w:t xml:space="preserve"> The study involved 350 caregivers (mean age 35 ± 9 years); most were female (94.6%), urban residents (61.7%), and Igbo (95.7%). Awareness of malaria was high (97.4%), and 71.4% had heard of the malaria vaccine. However, only 44% knew about the </w:t>
      </w:r>
      <w:proofErr w:type="gramStart"/>
      <w:r w:rsidRPr="00EF2B7F">
        <w:rPr>
          <w:rFonts w:ascii="Times New Roman" w:eastAsia="Times New Roman" w:hAnsi="Times New Roman" w:cs="Times New Roman"/>
          <w:color w:val="000000" w:themeColor="text1"/>
          <w:kern w:val="0"/>
          <w14:ligatures w14:val="none"/>
        </w:rPr>
        <w:t>RTS,S</w:t>
      </w:r>
      <w:proofErr w:type="gramEnd"/>
      <w:r w:rsidRPr="00EF2B7F">
        <w:rPr>
          <w:rFonts w:ascii="Times New Roman" w:eastAsia="Times New Roman" w:hAnsi="Times New Roman" w:cs="Times New Roman"/>
          <w:color w:val="000000" w:themeColor="text1"/>
          <w:kern w:val="0"/>
          <w14:ligatures w14:val="none"/>
        </w:rPr>
        <w:t xml:space="preserve"> vaccine, and 60.3% were aware of the recommended age of administration. About 82.9% correctly identified the vaccine as preventive, and 61.5% had good overall understanding. While only 27.1% were willing to enroll their child in a vaccine study, 96% were willing to receive the malaria vaccine, with 82.3% willing to vaccinate their child and 84.3% encouraging others. Key barriers included cultural beliefs, misinformation, and cost. No significant associations were found between knowledge or willingness and sociodemographic factors (p&gt;0.05)</w:t>
      </w:r>
      <w:r w:rsidR="0018516E">
        <w:rPr>
          <w:rFonts w:ascii="Times New Roman" w:eastAsia="Times New Roman" w:hAnsi="Times New Roman" w:cs="Times New Roman"/>
          <w:color w:val="000000" w:themeColor="text1"/>
          <w:kern w:val="0"/>
          <w14:ligatures w14:val="none"/>
        </w:rPr>
        <w:t xml:space="preserve"> </w:t>
      </w:r>
      <w:r w:rsidR="0018516E" w:rsidRPr="0062544F">
        <w:rPr>
          <w:rFonts w:ascii="Times New Roman" w:eastAsia="Times New Roman" w:hAnsi="Times New Roman" w:cs="Times New Roman"/>
          <w:color w:val="000000" w:themeColor="text1"/>
          <w:kern w:val="0"/>
          <w:highlight w:val="yellow"/>
          <w14:ligatures w14:val="none"/>
        </w:rPr>
        <w:t>as a satisfactory number seemed to be accommodating of the vaccine</w:t>
      </w:r>
      <w:r w:rsidRPr="0062544F">
        <w:rPr>
          <w:rFonts w:ascii="Times New Roman" w:eastAsia="Times New Roman" w:hAnsi="Times New Roman" w:cs="Times New Roman"/>
          <w:color w:val="000000" w:themeColor="text1"/>
          <w:kern w:val="0"/>
          <w:highlight w:val="yellow"/>
          <w14:ligatures w14:val="none"/>
        </w:rPr>
        <w:t>.</w:t>
      </w:r>
    </w:p>
    <w:p w14:paraId="4DD48B86" w14:textId="77777777" w:rsidR="000467D8" w:rsidRPr="00EF2B7F" w:rsidRDefault="000467D8" w:rsidP="00EF2B7F">
      <w:pPr>
        <w:spacing w:before="100" w:beforeAutospacing="1" w:after="100" w:afterAutospacing="1"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Conclusion:</w:t>
      </w:r>
      <w:r w:rsidRPr="00EF2B7F">
        <w:rPr>
          <w:rFonts w:ascii="Times New Roman" w:eastAsia="Times New Roman" w:hAnsi="Times New Roman" w:cs="Times New Roman"/>
          <w:color w:val="000000" w:themeColor="text1"/>
          <w:kern w:val="0"/>
          <w14:ligatures w14:val="none"/>
        </w:rPr>
        <w:t xml:space="preserve"> Despite strong willingness to vaccinate, knowledge gaps and sociocultural challenges persist among caregivers. For the malaria vaccine rollout in Nigeria to succeed, efforts must focus on improving public education, building trust in health systems, and addressing financial and informational obstacles. These findings are crucial for health policymakers, educators, and program developers focused on malaria eradication through immunization.</w:t>
      </w:r>
    </w:p>
    <w:p w14:paraId="6DF961E7" w14:textId="77777777" w:rsidR="007F73E8" w:rsidRPr="00EF2B7F" w:rsidRDefault="007F73E8" w:rsidP="00EF2B7F">
      <w:pPr>
        <w:spacing w:line="276" w:lineRule="auto"/>
        <w:jc w:val="both"/>
        <w:rPr>
          <w:rFonts w:ascii="Times New Roman" w:hAnsi="Times New Roman" w:cs="Times New Roman"/>
          <w:color w:val="000000" w:themeColor="text1"/>
        </w:rPr>
      </w:pPr>
    </w:p>
    <w:p w14:paraId="132DCD09" w14:textId="77777777" w:rsidR="007F73E8" w:rsidRPr="00EF2B7F" w:rsidRDefault="007F73E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b/>
          <w:bCs/>
          <w:color w:val="000000" w:themeColor="text1"/>
        </w:rPr>
        <w:t>Keywords:</w:t>
      </w:r>
      <w:r w:rsidRPr="00EF2B7F">
        <w:rPr>
          <w:rFonts w:ascii="Times New Roman" w:hAnsi="Times New Roman" w:cs="Times New Roman"/>
          <w:bCs/>
          <w:color w:val="000000" w:themeColor="text1"/>
        </w:rPr>
        <w:t xml:space="preserve"> </w:t>
      </w:r>
      <w:r w:rsidR="00A141F3" w:rsidRPr="00EF2B7F">
        <w:rPr>
          <w:rFonts w:ascii="Times New Roman" w:hAnsi="Times New Roman" w:cs="Times New Roman"/>
          <w:bCs/>
          <w:color w:val="000000" w:themeColor="text1"/>
        </w:rPr>
        <w:t xml:space="preserve">Malaria, </w:t>
      </w:r>
      <w:r w:rsidR="00A141F3" w:rsidRPr="00EF2B7F">
        <w:rPr>
          <w:rFonts w:ascii="Times New Roman" w:hAnsi="Times New Roman" w:cs="Times New Roman"/>
          <w:color w:val="000000" w:themeColor="text1"/>
        </w:rPr>
        <w:t>Awareness</w:t>
      </w:r>
      <w:r w:rsidRPr="00EF2B7F">
        <w:rPr>
          <w:rFonts w:ascii="Times New Roman" w:hAnsi="Times New Roman" w:cs="Times New Roman"/>
          <w:color w:val="000000" w:themeColor="text1"/>
        </w:rPr>
        <w:t>, willingness, barriers, caregivers, under-five</w:t>
      </w:r>
      <w:r w:rsidR="00A141F3" w:rsidRPr="00EF2B7F">
        <w:rPr>
          <w:rFonts w:ascii="Times New Roman" w:hAnsi="Times New Roman" w:cs="Times New Roman"/>
          <w:color w:val="000000" w:themeColor="text1"/>
        </w:rPr>
        <w:t>s</w:t>
      </w:r>
      <w:r w:rsidRPr="00EF2B7F">
        <w:rPr>
          <w:rFonts w:ascii="Times New Roman" w:hAnsi="Times New Roman" w:cs="Times New Roman"/>
          <w:color w:val="000000" w:themeColor="text1"/>
        </w:rPr>
        <w:t>, malaria vaccine</w:t>
      </w:r>
    </w:p>
    <w:p w14:paraId="5F1F9E52" w14:textId="77777777" w:rsidR="007F73E8" w:rsidRPr="00EF2B7F" w:rsidRDefault="007F73E8" w:rsidP="00EF2B7F">
      <w:pPr>
        <w:spacing w:line="276" w:lineRule="auto"/>
        <w:jc w:val="both"/>
        <w:rPr>
          <w:rStyle w:val="Strong"/>
          <w:rFonts w:ascii="Times New Roman" w:eastAsiaTheme="majorEastAsia" w:hAnsi="Times New Roman" w:cs="Times New Roman"/>
          <w:color w:val="000000" w:themeColor="text1"/>
        </w:rPr>
        <w:sectPr w:rsidR="007F73E8" w:rsidRPr="00EF2B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A0B3EFB" w14:textId="77777777" w:rsidR="0013363D" w:rsidRPr="00EF2B7F" w:rsidRDefault="007F73E8" w:rsidP="00A141F3">
      <w:pPr>
        <w:spacing w:line="276" w:lineRule="auto"/>
        <w:jc w:val="center"/>
        <w:rPr>
          <w:rStyle w:val="Strong"/>
          <w:rFonts w:ascii="Times New Roman" w:hAnsi="Times New Roman" w:cs="Times New Roman"/>
          <w:color w:val="000000" w:themeColor="text1"/>
        </w:rPr>
      </w:pPr>
      <w:r w:rsidRPr="00EF2B7F">
        <w:rPr>
          <w:rStyle w:val="Strong"/>
          <w:rFonts w:ascii="Times New Roman" w:eastAsiaTheme="majorEastAsia" w:hAnsi="Times New Roman" w:cs="Times New Roman"/>
          <w:color w:val="000000" w:themeColor="text1"/>
        </w:rPr>
        <w:lastRenderedPageBreak/>
        <w:t>I</w:t>
      </w:r>
      <w:r w:rsidRPr="00EF2B7F">
        <w:rPr>
          <w:rStyle w:val="Strong"/>
          <w:rFonts w:ascii="Times New Roman" w:hAnsi="Times New Roman" w:cs="Times New Roman"/>
          <w:color w:val="000000" w:themeColor="text1"/>
        </w:rPr>
        <w:t>NTRODUCTION</w:t>
      </w:r>
    </w:p>
    <w:p w14:paraId="3C7BD2D7" w14:textId="77777777" w:rsidR="00A141F3" w:rsidRPr="00EF2B7F" w:rsidRDefault="00A141F3" w:rsidP="00A141F3">
      <w:pPr>
        <w:spacing w:line="276" w:lineRule="auto"/>
        <w:jc w:val="both"/>
        <w:rPr>
          <w:rFonts w:ascii="Times New Roman" w:hAnsi="Times New Roman" w:cs="Times New Roman"/>
          <w:color w:val="000000" w:themeColor="text1"/>
        </w:rPr>
      </w:pPr>
      <w:r w:rsidRPr="00EF2B7F">
        <w:rPr>
          <w:rStyle w:val="Strong"/>
          <w:rFonts w:ascii="Times New Roman" w:hAnsi="Times New Roman" w:cs="Times New Roman"/>
          <w:color w:val="000000" w:themeColor="text1"/>
        </w:rPr>
        <w:t>BACKGROUND</w:t>
      </w:r>
    </w:p>
    <w:p w14:paraId="755449A9" w14:textId="77777777" w:rsidR="00F40054"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Malaria is a serious but avoidable public health issue brought on by the Plasmodium parasite, which is mainly spread by the bite of a female Anopheles mosquito carrying the infection.</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{"citationID":"HjSqaImD","properties":{"formattedCitation":"\\super 1\\nosupersub{}","plainCitation":"1","noteIndex":0},"citationItems":[{"id":981,"uris":["http://zotero.org/users/local/uZHmDmCk/items/V298ZQUZ"],"itemData":{"id":981,"type":"article-journal","abstract":"This study was carried out to determine the status of malaria parasitemia and assessment of the awareness and use of long lasting insecticide treated nets and malaria control among Umudike community of Umuahia, Abia State, Nigeria. Using thin film preparations, malaria parasites were detected and identified. Questionnaire andobservation were used to retrieve information from consenting  . Four hundred (400) blood samples were examined and the overall prevalence of malaria was 45 %. Females were more infected (47.50 %) than males (43.43 %), but there was no significant difference (p&amp;gt;0.05). Individuals within the age group of 10 – 19 years were most infected (48 %) than other age groups. Species of Plasmodium observed showed that P. falcipaprum was highest 148 (82.22 %) followed by P. vivax 24(13.33 %) and P. malaria was the least 8(4.44 %). There was no case of P. ovale infection. Students had the highest infection rate (48.67 %) followed by unemployed (45.00 %), farmers (43.33 %) and civil servants (40.00 %) that had the least. Majority of the respondents (79.45 %) associated malaria with mosquito bites and despite the high level (88.89 %) of awareness on the benefits of LLINs only few have (48.33 %) and sleep (20 %) under the net respectively. Reasons for not having and using LLINs include scarcity (45.21 %) and high cost (16.44 %) of the nets in area, despite the fact that the nets were meant to be distributed free of change. Malaria is acknowledged to be endemic and prevalence high in the study areas and despite the high awareness of LLINs also possession of the LLINs does not translate into usages, there is therefore urgent need for public health education by Government and relevant agencies on various preventive strategies especially free distribution and proper usage of LLINs, improved environmental sanitation and on proper treatment procedures of malaria in Umudike and its environs.Keywords: Malaria, Awareness, Benefits, Long lasting insecticide treated net (LLIN)","container-title":"Animal Research International","ISSN":"1597-3115","issue":"3","language":"en","license":"Copyright (c)","note":"number: 3","page":"2876-2882","source":"www.ajol.info","title":"The status of malaria parasitemia and assessment of the use of long lasting insecticide treated bed net among Umudike Community of Umuahia, Abia State, Nigeria","volume":"14","author":[{"family":"Amadi","given":"Anthonia Nnenna Chuks"},{"family":"Amoke","given":"Cornelius Offorma"},{"family":"Ganiyu","given":"Kafayat"}],"issued":{"date-parts":[["2017"]]}}}],"schema":"https://github.com/citation-style-language/schema/raw/master/csl-citation.json"}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1</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r w:rsidRPr="00EF2B7F">
        <w:rPr>
          <w:rFonts w:ascii="Times New Roman" w:hAnsi="Times New Roman" w:cs="Times New Roman"/>
          <w:color w:val="000000" w:themeColor="text1"/>
        </w:rPr>
        <w:t>This disease continues to be a serious health concern, especially in underdeveloped areas of the world.  The World Health Organization (WHO) estimates that between 300 and 500 million new cases of malaria occur each year, making it one of the top causes of death in underdeveloped nations.  Unfortunately, more than 200 million of these cases end in death, with children under five making up the majority of those affected.</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{"citationID":"yMUUksaC","properties":{"formattedCitation":"\\super 1,2\\nosupersub{}","plainCitation":"1,2","noteIndex":0},"citationItems":[{"id":981,"uris":["http://zotero.org/users/local/uZHmDmCk/items/V298ZQUZ"],"itemData":{"id":981,"type":"article-journal","abstract":"This study was carried out to determine the status of malaria parasitemia and assessment of the awareness and use of long lasting insecticide treated nets and malaria control among Umudike community of Umuahia, Abia State, Nigeria. Using thin film preparations, malaria parasites were detected and identified. Questionnaire andobservation were used to retrieve information from consenting  . Four hundred (400) blood samples were examined and the overall prevalence of malaria was 45 %. Females were more infected (47.50 %) than males (43.43 %), but there was no significant difference (p&amp;gt;0.05). Individuals within the age group of 10 – 19 years were most infected (48 %) than other age groups. Species of Plasmodium observed showed that P. falcipaprum was highest 148 (82.22 %) followed by P. vivax 24(13.33 %) and P. malaria was the least 8(4.44 %). There was no case of P. ovale infection. Students had the highest infection rate (48.67 %) followed by unemployed (45.00 %), farmers (43.33 %) and civil servants (40.00 %) that had the least. Majority of the respondents (79.45 %) associated malaria with mosquito bites and despite the high level (88.89 %) of awareness on the benefits of LLINs only few have (48.33 %) and sleep (20 %) under the net respectively. Reasons for not having and using LLINs include scarcity (45.21 %) and high cost (16.44 %) of the nets in area, despite the fact that the nets were meant to be distributed free of change. Malaria is acknowledged to be endemic and prevalence high in the study areas and despite the high awareness of LLINs also possession of the LLINs does not translate into usages, there is therefore urgent need for public health education by Government and relevant agencies on various preventive strategies especially free distribution and proper usage of LLINs, improved environmental sanitation and on proper treatment procedures of malaria in Umudike and its environs.Keywords: Malaria, Awareness, Benefits, Long lasting insecticide treated net (LLIN)","container-title":"Animal Research International","ISSN":"1597-3115","issue":"3","language":"en","license":"Copyright (c)","note":"number: 3","page":"2876-2882","source":"www.ajol.info","title":"The status of malaria parasitemia and assessment of the use of long lasting insecticide treated bed net among Umudike Community of Umuahia, Abia State, Nigeria","volume":"14","author":[{"family":"Amadi","given":"Anthonia Nnenna Chuks"},{"family":"Amoke","given":"Cornelius Offorma"},{"family":"Ganiyu","given":"Kafayat"}],"issued":{"date-parts":[["2017"]]}}},{"id":983,"uris":["http://zotero.org/users/local/uZHmDmCk/items/6A6JMIVS"],"itemData":{"id":983,"type":"article-journal","abstract":"In addition to the direct effect of insecticide-treated nets (ITNs), there has been evidence for spatial indirect effects. Spatial analyses in cluster randomized trials (CRTs) are rare, but a large-scale CRT from 1993 was one of the first to conduct a spatial analysis of ITNs in CRTs. We revisit these data by applying a broader range of contemporary spatial methods to further explore spatial spillover. We conducted three analyses: 1) exploratory spatial analysis, considering spatial patterns and spillover in the data; 2) spatial modeling, estimating the intervention effect considering spatial effects; and 3) analysis of distance-based spillover and interaction with the intervention, characterizing the functional distance over which the spillover effect was present. There were consistent indications of spatial patterns from the exploratory analysis. Bed nets were associated with a 17% reduction in all-cause mortality for children aged 6-59 months, and the intervention estimate remained robust when allowing for the spatial structure of the data. There was strong evidence of a spatial spillover effect: for every additional 100 m that a control household was from an intervention household (and vice versa), the standardized mortality ratio (SMR) increased by 1.7% (SMR 1.017, 95% credible interval 1.006-1.026). Despite evidence of a spatial spillover effect, the conclusions of the trial remain unaffected by spatial model specifications. Use of ITNs was clearly beneficial for individuals, and there was compelling evidence that they provide an indirect benefit to individuals living nearby. This article demonstrates the extra utility that spatial methods can provide when analyzing a CRT.","container-title":"The American Journal of Tropical Medicine and Hygiene","DOI":"10.4269/ajtmh.19-0111","ISSN":"1476-1645","issue":"6","journalAbbreviation":"Am J Trop Med Hyg","language":"eng","note":"PMID: 31595867\nPMCID: PMC6896878","page":"1434-1441","source":"PubMed","title":"Spatial Effects of Permethrin-Impregnated Bed Nets on Child Mortality: 26 Years on, a Spatial Reanalysis of a Cluster Randomized Trial","title-short":"Spatial Effects of Permethrin-Impregnated Bed Nets on Child Mortality","volume":"101","author":[{"family":"Jarvis","given":"Christopher I."},{"family":"Multerer","given":"Lea"},{"family":"Lewis","given":"Daniel"},{"family":"Binka","given":"Fred"},{"family":"Edmunds","given":"W. John"},{"family":"Alexander","given":"Neal"},{"family":"Smith","given":"Thomas A."}],"issued":{"date-parts":[["2019",12]]}}}],"schema":"https://github.com/citation-style-language/schema/raw/master/csl-citation.json"}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1,2</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r w:rsidRPr="00EF2B7F">
        <w:rPr>
          <w:rFonts w:ascii="Times New Roman" w:hAnsi="Times New Roman" w:cs="Times New Roman"/>
          <w:color w:val="000000" w:themeColor="text1"/>
        </w:rPr>
        <w:t xml:space="preserve"> </w:t>
      </w:r>
    </w:p>
    <w:p w14:paraId="3D9AC424" w14:textId="77777777" w:rsidR="000B0DB3"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Malaria continues to be a severe health concern, especially in undeveloped areas of the world.   According to estimates from the World Health Organization (WHO), between 300 and 500 million new cases of malaria are reported annually, making it one of the leading causes of death in developing countries.   Sadly, over 200 million of these cases result in death, with the majority of those impacted being children under five.</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{"citationID":"oPNI8oPa","properties":{"formattedCitation":"\\super 3\\nosupersub{}","plainCitation":"3","noteIndex":0},"citationItems":[{"id":986,"uris":["http://zotero.org/users/local/uZHmDmCk/items/EKBVD3PH"],"itemData":{"id":986,"type":"article-journal","abstract":"Clinical trials of the RTS,S malaria vaccine have completed Phase III and the vaccine is on track for registration. Before making decisions about implementation, it is essential to prepare the ground for introducing the vaccine by assessing awareness and willingness to use malaria vaccines and to provide policy makers with evidence-based information on the best strategies to engage communities to manage the introduction of malaria vaccine in Tanzania.","container-title":"Malaria Journal","DOI":"10.1186/s12936-015-0889-7","ISSN":"1475-2875","issue":"1","journalAbbreviation":"Malaria Journal","page":"355","source":"BioMed Central","title":"Assessment of parental perception of malaria vaccine in Tanzania","volume":"14","author":[{"family":"Romore","given":"Idda"},{"family":"Ali","given":"Ali Mohamed"},{"family":"Semali","given":"Innocent"},{"family":"Mshinda","given":"Hassan"},{"family":"Tanner","given":"Marcel"},{"family":"Abdulla","given":"Salim"}],"issued":{"date-parts":[["2015",9,17]]}}}],"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3</w:t>
      </w:r>
      <w:r w:rsidR="000B0DB3" w:rsidRPr="00EF2B7F">
        <w:rPr>
          <w:rFonts w:ascii="Times New Roman" w:hAnsi="Times New Roman" w:cs="Times New Roman"/>
          <w:color w:val="000000" w:themeColor="text1"/>
        </w:rPr>
        <w:fldChar w:fldCharType="end"/>
      </w:r>
      <w:r w:rsidR="000B0DB3" w:rsidRPr="00EF2B7F">
        <w:rPr>
          <w:rFonts w:ascii="Times New Roman" w:hAnsi="Times New Roman" w:cs="Times New Roman"/>
          <w:color w:val="000000" w:themeColor="text1"/>
        </w:rPr>
        <w:t xml:space="preserve"> </w:t>
      </w:r>
    </w:p>
    <w:p w14:paraId="75637AB5" w14:textId="77777777" w:rsidR="000B0DB3" w:rsidRPr="00EF2B7F" w:rsidRDefault="00F40054"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Africa is the most impacted region in the world by malaria, with a disproportionate number of cases and fatalities.  In particular, Nigeria is responsible for around 25% of all malaria infections and deaths worldwide.</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{"citationID":"XNsSYAFU","properties":{"formattedCitation":"\\super 2\\nosupersub{}","plainCitation":"2","noteIndex":0},"citationItems":[{"id":983,"uris":["http://zotero.org/users/local/uZHmDmCk/items/6A6JMIVS"],"itemData":{"id":983,"type":"article-journal","abstract":"In addition to the direct effect of insecticide-treated nets (ITNs), there has been evidence for spatial indirect effects. Spatial analyses in cluster randomized trials (CRTs) are rare, but a large-scale CRT from 1993 was one of the first to conduct a spatial analysis of ITNs in CRTs. We revisit these data by applying a broader range of contemporary spatial methods to further explore spatial spillover. We conducted three analyses: 1) exploratory spatial analysis, considering spatial patterns and spillover in the data; 2) spatial modeling, estimating the intervention effect considering spatial effects; and 3) analysis of distance-based spillover and interaction with the intervention, characterizing the functional distance over which the spillover effect was present. There were consistent indications of spatial patterns from the exploratory analysis. Bed nets were associated with a 17% reduction in all-cause mortality for children aged 6-59 months, and the intervention estimate remained robust when allowing for the spatial structure of the data. There was strong evidence of a spatial spillover effect: for every additional 100 m that a control household was from an intervention household (and vice versa), the standardized mortality ratio (SMR) increased by 1.7% (SMR 1.017, 95% credible interval 1.006-1.026). Despite evidence of a spatial spillover effect, the conclusions of the trial remain unaffected by spatial model specifications. Use of ITNs was clearly beneficial for individuals, and there was compelling evidence that they provide an indirect benefit to individuals living nearby. This article demonstrates the extra utility that spatial methods can provide when analyzing a CRT.","container-title":"The American Journal of Tropical Medicine and Hygiene","DOI":"10.4269/ajtmh.19-0111","ISSN":"1476-1645","issue":"6","journalAbbreviation":"Am J Trop Med Hyg","language":"eng","note":"PMID: 31595867\nPMCID: PMC6896878","page":"1434-1441","source":"PubMed","title":"Spatial Effects of Permethrin-Impregnated Bed Nets on Child Mortality: 26 Years on, a Spatial Reanalysis of a Cluster Randomized Trial","title-short":"Spatial Effects of Permethrin-Impregnated Bed Nets on Child Mortality","volume":"101","author":[{"family":"Jarvis","given":"Christopher I."},{"family":"Multerer","given":"Lea"},{"family":"Lewis","given":"Daniel"},{"family":"Binka","given":"Fred"},{"family":"Edmunds","given":"W. John"},{"family":"Alexander","given":"Neal"},{"family":"Smith","given":"Thomas A."}],"issued":{"date-parts":[["2019",12]]}}}],"schema":"https://github.com/citation-style-language/schema/raw/master/csl-citation.json"}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2</w:t>
      </w:r>
      <w:r w:rsidR="000B0DB3" w:rsidRPr="00EF2B7F">
        <w:rPr>
          <w:rFonts w:ascii="Times New Roman" w:hAnsi="Times New Roman" w:cs="Times New Roman"/>
          <w:color w:val="000000" w:themeColor="text1"/>
        </w:rPr>
        <w:fldChar w:fldCharType="end"/>
      </w:r>
      <w:r w:rsidRPr="00EF2B7F">
        <w:rPr>
          <w:color w:val="000000" w:themeColor="text1"/>
        </w:rPr>
        <w:t xml:space="preserve"> </w:t>
      </w:r>
      <w:r w:rsidRPr="00EF2B7F">
        <w:rPr>
          <w:rFonts w:ascii="Times New Roman" w:hAnsi="Times New Roman" w:cs="Times New Roman"/>
          <w:color w:val="000000" w:themeColor="text1"/>
        </w:rPr>
        <w:t>An estimated 241 million cases of malaria were recorded globally in 2020, with the majority of these cases happening in Africa and resulting in about 627,000 deaths.</w:t>
      </w:r>
      <w:r w:rsidR="000B0DB3" w:rsidRPr="00EF2B7F">
        <w:rPr>
          <w:rFonts w:ascii="Times New Roman" w:hAnsi="Times New Roman" w:cs="Times New Roman"/>
          <w:color w:val="000000" w:themeColor="text1"/>
        </w:rPr>
        <w:fldChar w:fldCharType="begin"/>
      </w:r>
      <w:r w:rsidR="000B0DB3" w:rsidRPr="00EF2B7F">
        <w:rPr>
          <w:rFonts w:ascii="Times New Roman" w:hAnsi="Times New Roman" w:cs="Times New Roman"/>
          <w:color w:val="000000" w:themeColor="text1"/>
        </w:rPr>
        <w:instrText xml:space="preserve"> ADDIN ZOTERO_ITEM CSL_CITATION {"citationID":"qz07SoVk","properties":{"formattedCitation":"\\super 4\\nosupersub{}","plainCitation":"4","noteIndex":0},"citationItems":[{"id":989,"uris":["http://zotero.org/users/local/uZHmDmCk/items/XWPQ4UD9"],"itemData":{"id":989,"type":"article-journal","abstract":"There are potentials of a malaria vaccine being developed sooner than expected. While focus is more on the development of a vaccine, less attention has been paid on the extent to which such vaccines could be well accepted and the readiness among caregivers to comply with its use in order to achieve the effectiveness of the vaccine in the malaria endemic areas. Compliance rates are influenced by the level of awareness, as well as the perception of the population. This cross-sectional study was aimed at assessing the awareness, perceptions and intent to comply with the prospective malaria vaccine by caregivers in Owerri West, South Eastern Nigeria.","container-title":"Malaria Journal","DOI":"10.1186/s12936-018-2335-0","ISSN":"1475-2875","issue":"1","journalAbbreviation":"Malaria Journal","page":"187","source":"BioMed Central","title":"Awareness, perceptions and intent to comply with the prospective malaria vaccine in parts of South Eastern Nigeria","volume":"17","author":[{"family":"Chukwuocha","given":"Uchechukwu M."},{"family":"Okorie","given":"Peter C."},{"family":"Iwuoha","given":"Gregory N."},{"family":"Ibe","given":"Sally N."},{"family":"Dozie","given":"Ikechukwu N."},{"family":"Nwoke","given":"Bertram E."}],"issued":{"date-parts":[["2018",5,2]]}}}],"schema":"https://github.com/citation-style-language/schema/raw/master/csl-citation.json"} </w:instrText>
      </w:r>
      <w:r w:rsidR="000B0DB3" w:rsidRPr="00EF2B7F">
        <w:rPr>
          <w:rFonts w:ascii="Times New Roman" w:hAnsi="Times New Roman" w:cs="Times New Roman"/>
          <w:color w:val="000000" w:themeColor="text1"/>
        </w:rPr>
        <w:fldChar w:fldCharType="separate"/>
      </w:r>
      <w:r w:rsidR="000B0DB3" w:rsidRPr="00EF2B7F">
        <w:rPr>
          <w:rFonts w:ascii="Times New Roman" w:hAnsi="Times New Roman" w:cs="Times New Roman"/>
          <w:color w:val="000000" w:themeColor="text1"/>
          <w:vertAlign w:val="superscript"/>
        </w:rPr>
        <w:t>4</w:t>
      </w:r>
      <w:r w:rsidR="000B0DB3" w:rsidRPr="00EF2B7F">
        <w:rPr>
          <w:rFonts w:ascii="Times New Roman" w:hAnsi="Times New Roman" w:cs="Times New Roman"/>
          <w:color w:val="000000" w:themeColor="text1"/>
        </w:rPr>
        <w:fldChar w:fldCharType="end"/>
      </w:r>
    </w:p>
    <w:p w14:paraId="04676599" w14:textId="77777777" w:rsidR="0013363D" w:rsidRPr="00EF2B7F" w:rsidRDefault="00F40054" w:rsidP="00A141F3">
      <w:pPr>
        <w:pStyle w:val="NormalWeb"/>
        <w:spacing w:after="160" w:afterAutospacing="0" w:line="276" w:lineRule="auto"/>
        <w:jc w:val="both"/>
        <w:rPr>
          <w:color w:val="000000" w:themeColor="text1"/>
        </w:rPr>
      </w:pPr>
      <w:r w:rsidRPr="00EF2B7F">
        <w:rPr>
          <w:color w:val="000000" w:themeColor="text1"/>
        </w:rPr>
        <w:t>Insecticide-treated nets (ITNs), indoor residual spraying (IRS), and chemoprevention have all been used as malaria prevention techniques.  However, significant developments in malaria control efforts are offered by the recent advent of malaria vaccines, such as the Oxford R21, RTS, and S/AS01 (</w:t>
      </w:r>
      <w:proofErr w:type="spellStart"/>
      <w:r w:rsidRPr="00EF2B7F">
        <w:rPr>
          <w:color w:val="000000" w:themeColor="text1"/>
        </w:rPr>
        <w:t>Mosquirix</w:t>
      </w:r>
      <w:proofErr w:type="spellEnd"/>
      <w:r w:rsidRPr="00EF2B7F">
        <w:rPr>
          <w:color w:val="000000" w:themeColor="text1"/>
        </w:rPr>
        <w:t xml:space="preserve">), which offer extra layers of protection against the disease.  The World Health Organization (WHO) approved the </w:t>
      </w:r>
      <w:proofErr w:type="gramStart"/>
      <w:r w:rsidRPr="00EF2B7F">
        <w:rPr>
          <w:color w:val="000000" w:themeColor="text1"/>
        </w:rPr>
        <w:t>RTS,S</w:t>
      </w:r>
      <w:proofErr w:type="gramEnd"/>
      <w:r w:rsidRPr="00EF2B7F">
        <w:rPr>
          <w:color w:val="000000" w:themeColor="text1"/>
        </w:rPr>
        <w:t xml:space="preserve">/AS01 vaccine in 2021 because it has been shown to lower the number of malaria-related fatalities among children.  Developed by Oxford University and manufactured by the Serum Institute of India and </w:t>
      </w:r>
      <w:proofErr w:type="spellStart"/>
      <w:r w:rsidRPr="00EF2B7F">
        <w:rPr>
          <w:color w:val="000000" w:themeColor="text1"/>
        </w:rPr>
        <w:t>Novavax</w:t>
      </w:r>
      <w:proofErr w:type="spellEnd"/>
      <w:r w:rsidRPr="00EF2B7F">
        <w:rPr>
          <w:color w:val="000000" w:themeColor="text1"/>
        </w:rPr>
        <w:t>, the Oxford R21 vaccine has demonstrated a 75% efficacy rate for at least the first year and continues to be successful with a booster shot.</w:t>
      </w:r>
      <w:r w:rsidR="00801CDC" w:rsidRPr="00EF2B7F">
        <w:rPr>
          <w:color w:val="000000" w:themeColor="text1"/>
        </w:rPr>
        <w:fldChar w:fldCharType="begin"/>
      </w:r>
      <w:r w:rsidR="000B0DB3" w:rsidRPr="00EF2B7F">
        <w:rPr>
          <w:color w:val="000000" w:themeColor="text1"/>
        </w:rPr>
        <w:instrText xml:space="preserve"> ADDIN ZOTERO_ITEM CSL_CITATION {"citationID":"6EeqgtZw","properties":{"formattedCitation":"\\super 5\\nosupersub{}","plainCitation":"5","noteIndex":0},"citationItems":[{"id":915,"uris":["http://zotero.org/users/local/uZHmDmCk/items/LWN2VK5F"],"itemData":{"id":915,"type":"webpage","abstract":"Nigeria is the latest African country to give a new malaria vaccine to young childen. The country began its vaccination campaign last week.","container-title":"AP News","language":"en","note":"section: Health","title":"Hardest-hit Nigeria is latest African country to provide malaria vaccine to young children","URL":"https://apnews.com/article/malaria-africa-nigeria-who-vaccine-health-e2e11f0b2f199ab3967b98ef0a006b26","author":[{"family":"Asadu","given":"Chinedu"},{"family":"Ikpoyi","given":"Dan"}],"accessed":{"date-parts":[["2025",5,18]]},"issued":{"date-parts":[["2024",12,12]]}}}],"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5</w:t>
      </w:r>
      <w:r w:rsidR="00801CDC" w:rsidRPr="00EF2B7F">
        <w:rPr>
          <w:color w:val="000000" w:themeColor="text1"/>
        </w:rPr>
        <w:fldChar w:fldCharType="end"/>
      </w:r>
      <w:r w:rsidR="0013363D" w:rsidRPr="00EF2B7F">
        <w:rPr>
          <w:color w:val="000000" w:themeColor="text1"/>
        </w:rPr>
        <w:t xml:space="preserve"> Despite their potential, the uptake of malaria vaccines is influenced by caregivers' knowledge, attitudes, and willingness to accept them, necessitating research to better understand these factors.</w:t>
      </w:r>
    </w:p>
    <w:p w14:paraId="0DB14B2B" w14:textId="77777777" w:rsidR="000B0DB3" w:rsidRPr="00EF2B7F" w:rsidRDefault="0013363D" w:rsidP="00A141F3">
      <w:pPr>
        <w:pStyle w:val="NormalWeb"/>
        <w:spacing w:after="160" w:afterAutospacing="0" w:line="276" w:lineRule="auto"/>
        <w:jc w:val="both"/>
        <w:rPr>
          <w:color w:val="000000" w:themeColor="text1"/>
        </w:rPr>
      </w:pPr>
      <w:r w:rsidRPr="00EF2B7F">
        <w:rPr>
          <w:color w:val="000000" w:themeColor="text1"/>
        </w:rPr>
        <w:t>Recent studies have explored various aspects of malaria vaccine acceptance. For instance, a study in Ghana found that caregivers' acceptance of the malaria vaccine was influenced by factors such as perceived vaccine efficacy, recommendations from health workers, and concerns about potential side effects.</w:t>
      </w:r>
      <w:r w:rsidR="00801CDC" w:rsidRPr="00EF2B7F">
        <w:rPr>
          <w:color w:val="000000" w:themeColor="text1"/>
        </w:rPr>
        <w:fldChar w:fldCharType="begin"/>
      </w:r>
      <w:r w:rsidR="000B0DB3" w:rsidRPr="00EF2B7F">
        <w:rPr>
          <w:color w:val="000000" w:themeColor="text1"/>
        </w:rPr>
        <w:instrText xml:space="preserve"> ADDIN ZOTERO_ITEM CSL_CITATION {"citationID":"V8xnw6XB","properties":{"formattedCitation":"\\super 6\\nosupersub{}","plainCitation":"6","noteIndex":0},"citationItems":[{"id":917,"uris":["http://zotero.org/users/local/uZHmDmCk/items/UTB4TBYW"],"itemData":{"id":917,"type":"webpage","title":"ghanamedj.org","URL":"https://www.ghanamedj.org/","accessed":{"date-parts":[["2025",5,18]]}}}],"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6</w:t>
      </w:r>
      <w:r w:rsidR="00801CDC" w:rsidRPr="00EF2B7F">
        <w:rPr>
          <w:color w:val="000000" w:themeColor="text1"/>
        </w:rPr>
        <w:fldChar w:fldCharType="end"/>
      </w:r>
      <w:r w:rsidRPr="00EF2B7F">
        <w:rPr>
          <w:color w:val="000000" w:themeColor="text1"/>
        </w:rPr>
        <w:t xml:space="preserve"> Similarly, research in Kenya demonstrated that vaccine hesitancy was linked to misinformation and distrust in healthcare systems</w:t>
      </w:r>
      <w:r w:rsidR="00801CDC" w:rsidRPr="00EF2B7F">
        <w:rPr>
          <w:color w:val="000000" w:themeColor="text1"/>
        </w:rPr>
        <w:t>.</w:t>
      </w:r>
      <w:r w:rsidR="00801CDC" w:rsidRPr="00EF2B7F">
        <w:rPr>
          <w:color w:val="000000" w:themeColor="text1"/>
        </w:rPr>
        <w:fldChar w:fldCharType="begin"/>
      </w:r>
      <w:r w:rsidR="000B0DB3" w:rsidRPr="00EF2B7F">
        <w:rPr>
          <w:color w:val="000000" w:themeColor="text1"/>
        </w:rPr>
        <w:instrText xml:space="preserve"> ADDIN ZOTERO_ITEM CSL_CITATION {"citationID":"ZUAlzbGG","properties":{"formattedCitation":"\\super 7\\nosupersub{}","plainCitation":"7","noteIndex":0},"citationItems":[{"id":919,"uris":["http://zotero.org/users/local/uZHmDmCk/items/42HAZPRM"],"itemData":{"id":919,"type":"article-journal","abstract":"Malaria is a significant public health threat in sub-Saharan Africa, particularly among children. The RTS,S/AS01 malaria vaccine reduces the risk and severity of malaria in children. RTS,S/AS01 was piloted in three African countries, Ghana, Kenya ...","container-title":"BMC Public Health","DOI":"10.1186/s12889-023-17194-2","language":"en","note":"PMID: 37980467","page":"2283","source":"pmc.ncbi.nlm.nih.gov","title":"RTS,S/AS01 malaria vaccine pilot implementation in western Kenya: a qualitative longitudinal study to understand immunisation barriers and optimise uptake","title-short":"RTS,S/AS01 malaria vaccine pilot implementation in western Kenya","volume":"23","author":[{"family":"Hoyt","given":"Jenna"},{"family":"Okello","given":"George"},{"family":"Bange","given":"Teresa"},{"family":"Kariuki","given":"Simon"},{"family":"Jalloh","given":"Mohamed F."},{"family":"Webster","given":"Jayne"},{"family":"Hill","given":"Jenny"}],"issued":{"date-parts":[["2023",11,18]]}}}],"schema":"https://github.com/citation-style-language/schema/raw/master/csl-citation.json"} </w:instrText>
      </w:r>
      <w:r w:rsidR="00801CDC" w:rsidRPr="00EF2B7F">
        <w:rPr>
          <w:color w:val="000000" w:themeColor="text1"/>
        </w:rPr>
        <w:fldChar w:fldCharType="separate"/>
      </w:r>
      <w:r w:rsidR="000B0DB3" w:rsidRPr="00EF2B7F">
        <w:rPr>
          <w:color w:val="000000" w:themeColor="text1"/>
          <w:vertAlign w:val="superscript"/>
        </w:rPr>
        <w:t>7</w:t>
      </w:r>
      <w:r w:rsidR="00801CDC" w:rsidRPr="00EF2B7F">
        <w:rPr>
          <w:color w:val="000000" w:themeColor="text1"/>
        </w:rPr>
        <w:fldChar w:fldCharType="end"/>
      </w:r>
      <w:r w:rsidRPr="00EF2B7F">
        <w:rPr>
          <w:color w:val="000000" w:themeColor="text1"/>
        </w:rPr>
        <w:t xml:space="preserve"> </w:t>
      </w:r>
      <w:r w:rsidR="000B0DB3" w:rsidRPr="00EF2B7F">
        <w:rPr>
          <w:color w:val="000000" w:themeColor="text1"/>
        </w:rPr>
        <w:t>The malaria vaccine is meant to be given 4 times which is meant to be synchronized with the Extended Program on Immunization (EPI) with two additional booster doses given subsequently</w:t>
      </w:r>
      <w:r w:rsidR="00A141F3" w:rsidRPr="00EF2B7F">
        <w:rPr>
          <w:color w:val="000000" w:themeColor="text1"/>
        </w:rPr>
        <w:t xml:space="preserve">. </w:t>
      </w:r>
      <w:r w:rsidR="00A141F3" w:rsidRPr="00EF2B7F">
        <w:rPr>
          <w:color w:val="000000" w:themeColor="text1"/>
          <w:vertAlign w:val="superscript"/>
        </w:rPr>
        <w:t>1</w:t>
      </w:r>
    </w:p>
    <w:p w14:paraId="659D6704" w14:textId="77777777" w:rsidR="000B0DB3" w:rsidRPr="00EF2B7F" w:rsidRDefault="000B0DB3" w:rsidP="00A141F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To be willing to accept the vaccine involves the emotional stand of caregivers towards malaria vaccination encompasses attitudes, beliefs, and perceptions influencing their engagement in the vaccination process.</w:t>
      </w:r>
      <w:r w:rsidR="00A141F3"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{"citationID":"t903hEml","properties":{"formattedCitation":"\\super 8\\nosupersub{}","plainCitation":"8","noteIndex":0},"citationItems":[{"id":992,"uris":["http://zotero.org/users/local/uZHmDmCk/items/LBPD9E3M"],"itemData":{"id":992,"type":"article-journal","abstract":"\"Vaccine hesitancy\" is a concept now frequently used in vaccination discourse. The increased popularity of this concept in both academic and public health circles is challenging previously held perspectives that individual vaccination attitudes and behaviours are a simple dichotomy of accept or reject. A consultation study was designed to assess the opinions of experts and health professionals concerning the definition, scope, and causes of vaccine hesitancy in Canada. We sent online surveys to two panels (1- vaccination experts and 2- front-line vaccine providers). Two questionnaires were completed by each panel, with data from the first questionnaire informing the development of questions for the second. Our participants defined vaccine hesitancy as an attitude (doubts, concerns) as well as a behaviour (refusing some / many vaccines, delaying vaccination). Our findings also indicate that both vaccine experts and front-line vaccine providers have the perception that vaccine rates have been declining and consider vaccine hesitancy an important issue to address in Canada. Diffusion of negative information online and lack of knowledge about vaccines were identified as the key causes of vaccine hesitancy by the participants. A common understanding of vaccine hesitancy among researchers, public health experts, policymakers and health care providers will better guide interventions that can more effectively address vaccine hesitancy within Canada.","container-title":"PloS One","DOI":"10.1371/journal.pone.0156118","ISSN":"1932-6203","issue":"6","journalAbbreviation":"PLoS One","language":"eng","note":"PMID: 27257809\nPMCID: PMC4892544","page":"e0156118","source":"PubMed","title":"Understanding Vaccine Hesitancy in Canada: Results of a Consultation Study by the Canadian Immunization Research Network","title-short":"Understanding Vaccine Hesitancy in Canada","volume":"11","author":[{"family":"Dubé","given":"Eve"},{"family":"Gagnon","given":"Dominique"},{"family":"Ouakki","given":"Manale"},{"family":"Bettinger","given":"Julie A."},{"family":"Guay","given":"Maryse"},{"family":"Halperin","given":"Scott"},{"family":"Wilson","given":"Kumanan"},{"family":"Graham","given":"Janice"},{"family":"Witteman","given":"Holly O."},{"family":"MacDonald","given":"Shannon"},{"family":"Fisher","given":"William"},{"family":"Monnais","given":"Laurence"},{"family":"Tran","given":"Dat"},{"family":"Gagneur","given":"Arnaud"},{"family":"Guichon","given":"Juliet"},{"family":"Saini","given":"Vineet"},{"family":"Heffernan","given":"Jane M."},{"family":"Meyer","given":"Samantha"},{"family":"Driedger","given":"S. Michelle"},{"family":"Greenberg","given":"Joshua"},{"family":"MacDougall","given":"Heather"},{"literal":"Canadian Immunization Research Network"}],"issued":{"date-parts":[["2016"]]}}}],"schema":"https://github.com/citation-style-language/schema/raw/master/csl-citation.json"} </w:instrText>
      </w:r>
      <w:r w:rsidR="00A141F3"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8</w:t>
      </w:r>
      <w:r w:rsidR="00A141F3"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Factors like the ease of accessing vaccination services, resource availability, and logistical considerations contribute to caregivers' willingness to comply with vaccination schedules for their children</w:t>
      </w:r>
      <w:r w:rsidR="00A141F3" w:rsidRPr="00EF2B7F">
        <w:rPr>
          <w:rFonts w:ascii="Times New Roman" w:hAnsi="Times New Roman" w:cs="Times New Roman"/>
          <w:color w:val="000000" w:themeColor="text1"/>
        </w:rPr>
        <w:t>.</w:t>
      </w:r>
      <w:r w:rsidR="00A141F3"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{"citationID":"ZPXBUn9z","properties":{"formattedCitation":"\\super 9\\nosupersub{}","plainCitation":"9","noteIndex":0},"citationItems":[{"id":995,"uris":["http://zotero.org/users/local/uZHmDmCk/items/8S2P67FW"],"itemData":{"id":995,"type":"article-journal","abstract":"BACKGROUND: Limited evidence exists regarding the drivers of vaccination coverage and equity in Kampala city, despite frequent measles outbreaks, inequities in vaccination coverage, and the decline in vaccination coverage rates. This study was designed to determine vaccine coverage among children aged 12-36 months and to understand its demand-side drivers.\nMETHODS: We utilized a mixed-methods parallel convergent study design. A household survey was conducted to quantify the drivers of vaccine coverage among households with children aged 12-36 months. We employed a multistage sampling approach to select households, using a primary sampling unit of an enumeration area. We conducted 30 key informant interviews, 7 focus group discussions, and 6 in-depth interviews with representatives from the immunization program, health workers, and parents residing in areas with low vaccine coverage.\nRESULTS: Of the 590 enrolled children, 340 (57.6%) were partially vaccinated, 244 (41.4%) were fully vaccinated and had received all the recommended vaccinations, and 6 (1.0%) had never received any vaccine. Of the 244 with all recommended vaccinations, only 65 (26.6%) received their vaccines on time. Access to vaccination services was high (first dose of diphtheria, pertussis, and tetanus [DPT1] coverage of 96%), but utilization decreased over time, as shown by a dropout rate of 17.3% from the first to third dose of DPT. The main driver of complete vaccination was the parents' appreciation of the benefits of vaccination. Among partially vaccinated children, the barriers to vaccination were inadequate information about vaccination (its benefits and schedule), vaccine stock-outs, long waiting times to receive vaccination services, and hidden vaccination costs.\nCONCLUSION: Vaccination needs to be targeted to all children irrespective of whether they reside in slum areas or nonslum areas, as most are under-vaccinated. Social mobilization and communication efforts should be tailored to the complexities of urban settings characterized by transient and diverse populations with different cultures.","container-title":"Global Health, Science and Practice","DOI":"10.9745/GHSP-D-21-00663","ISSN":"2169-575X","issue":"4","journalAbbreviation":"Glob Health Sci Pract","language":"eng","note":"PMID: 36041847\nPMCID: PMC9426991","page":"e2100663","source":"PubMed","title":"Coverage and Drivers to Reaching the Last Child With Vaccination in Urban Settings: A Mixed-Methods Study in Kampala, Uganda","title-short":"Coverage and Drivers to Reaching the Last Child With Vaccination in Urban Settings","volume":"10","author":[{"family":"Kamya","given":"Carol"},{"family":"Namugaya","given":"Faith"},{"family":"Opio","given":"Charles"},{"family":"Katamba","given":"Paul"},{"family":"Carnahan","given":"Emily"},{"family":"Katahoire","given":"Anne"},{"family":"Nankabirwa","given":"Joanita"},{"family":"Okiring","given":"Jaffer"},{"family":"Waiswa","given":"Peter"}],"issued":{"date-parts":[["2022",8,30]]}}}],"schema":"https://github.com/citation-style-language/schema/raw/master/csl-citation.json"} </w:instrText>
      </w:r>
      <w:r w:rsidR="00A141F3"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9</w:t>
      </w:r>
      <w:r w:rsidR="00A141F3"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w:t>
      </w:r>
    </w:p>
    <w:p w14:paraId="6285FFB5" w14:textId="77777777" w:rsidR="00F40054" w:rsidRPr="00EF2B7F" w:rsidRDefault="00F40054" w:rsidP="00F40054">
      <w:pPr>
        <w:shd w:val="clear" w:color="auto" w:fill="FFFFFF"/>
        <w:spacing w:line="276" w:lineRule="auto"/>
        <w:jc w:val="both"/>
        <w:outlineLvl w:val="0"/>
        <w:rPr>
          <w:rFonts w:ascii="Times New Roman" w:hAnsi="Times New Roman" w:cs="Times New Roman"/>
          <w:color w:val="000000" w:themeColor="text1"/>
        </w:rPr>
      </w:pPr>
      <w:r w:rsidRPr="00EF2B7F">
        <w:rPr>
          <w:rFonts w:ascii="Times New Roman" w:hAnsi="Times New Roman" w:cs="Times New Roman"/>
          <w:color w:val="000000" w:themeColor="text1"/>
        </w:rPr>
        <w:t>Malaria continues to be a leading cause of disease and mortality in children, especially in areas where it is highly endemic.  If malaria in Nigeria is to be controlled, it is critical to comprehend the behavioral hurdles affecting caregivers' acceptance of a novel intervention such as the malaria vaccine.</w:t>
      </w:r>
    </w:p>
    <w:p w14:paraId="49AFBB3D" w14:textId="77777777" w:rsidR="0013363D" w:rsidRPr="00EF2B7F" w:rsidRDefault="00F40054" w:rsidP="00F40054">
      <w:pPr>
        <w:shd w:val="clear" w:color="auto" w:fill="FFFFFF"/>
        <w:spacing w:line="276" w:lineRule="auto"/>
        <w:jc w:val="both"/>
        <w:outlineLvl w:val="0"/>
        <w:rPr>
          <w:rFonts w:ascii="Times New Roman" w:eastAsia="Times New Roman" w:hAnsi="Times New Roman" w:cs="Times New Roman"/>
          <w:color w:val="000000" w:themeColor="text1"/>
          <w:spacing w:val="-8"/>
          <w:kern w:val="36"/>
          <w14:ligatures w14:val="none"/>
        </w:rPr>
      </w:pPr>
      <w:r w:rsidRPr="00EF2B7F">
        <w:rPr>
          <w:rFonts w:ascii="Times New Roman" w:hAnsi="Times New Roman" w:cs="Times New Roman"/>
          <w:color w:val="000000" w:themeColor="text1"/>
        </w:rPr>
        <w:t>The goal of the study is to identify obstacles to vaccine adoption so that specific initiatives can be developed to raise awareness, clear up misconceptions, and improve caregivers' acceptance of the malaria vaccine.  Additionally, by formulating policies for the introduction of malaria vaccinations, the results of this study will address concerns regarding myths and misconceptions.</w:t>
      </w:r>
    </w:p>
    <w:p w14:paraId="75AEEFFE" w14:textId="77777777" w:rsidR="0013363D" w:rsidRPr="00EF2B7F" w:rsidRDefault="0013363D" w:rsidP="00A141F3">
      <w:pPr>
        <w:pStyle w:val="ListParagraph"/>
        <w:shd w:val="clear" w:color="auto" w:fill="FFFFFF"/>
        <w:spacing w:line="276" w:lineRule="auto"/>
        <w:jc w:val="both"/>
        <w:outlineLvl w:val="0"/>
        <w:rPr>
          <w:rFonts w:ascii="Times New Roman" w:eastAsia="Times New Roman" w:hAnsi="Times New Roman" w:cs="Times New Roman"/>
          <w:color w:val="000000" w:themeColor="text1"/>
          <w:spacing w:val="-8"/>
          <w:kern w:val="36"/>
          <w14:ligatures w14:val="none"/>
        </w:rPr>
      </w:pPr>
    </w:p>
    <w:p w14:paraId="5339E57F" w14:textId="77777777" w:rsidR="00A141F3" w:rsidRPr="00EF2B7F" w:rsidRDefault="00A141F3" w:rsidP="00A141F3">
      <w:pPr>
        <w:spacing w:line="276" w:lineRule="auto"/>
        <w:jc w:val="both"/>
        <w:rPr>
          <w:rFonts w:ascii="Times New Roman" w:hAnsi="Times New Roman" w:cs="Times New Roman"/>
          <w:color w:val="000000" w:themeColor="text1"/>
        </w:rPr>
        <w:sectPr w:rsidR="00A141F3" w:rsidRPr="00EF2B7F">
          <w:pgSz w:w="12240" w:h="15840"/>
          <w:pgMar w:top="1440" w:right="1440" w:bottom="1440" w:left="1440" w:header="720" w:footer="720" w:gutter="0"/>
          <w:cols w:space="720"/>
          <w:docGrid w:linePitch="360"/>
        </w:sectPr>
      </w:pPr>
    </w:p>
    <w:p w14:paraId="26B22474" w14:textId="77777777" w:rsidR="00801CDC" w:rsidRPr="00EF2B7F" w:rsidRDefault="00801CDC" w:rsidP="00A141F3">
      <w:pPr>
        <w:spacing w:line="276" w:lineRule="auto"/>
        <w:jc w:val="center"/>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lastRenderedPageBreak/>
        <w:t>LITERATURE REVIEW</w:t>
      </w:r>
    </w:p>
    <w:p w14:paraId="32F23269"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Malaria remains a significant public health challenge globally, particularly in sub-Saharan Africa. It is particularly concerning because of its impact on children under five years of age. </w:t>
      </w:r>
      <w:r w:rsidR="0022474A" w:rsidRPr="00EF2B7F">
        <w:rPr>
          <w:rFonts w:ascii="Times New Roman" w:eastAsia="Times New Roman" w:hAnsi="Times New Roman" w:cs="Times New Roman"/>
          <w:color w:val="000000" w:themeColor="text1"/>
        </w:rPr>
        <w:t xml:space="preserve"> </w:t>
      </w:r>
      <w:r w:rsidRPr="00EF2B7F">
        <w:rPr>
          <w:rFonts w:ascii="Times New Roman" w:eastAsia="Times New Roman" w:hAnsi="Times New Roman" w:cs="Times New Roman"/>
          <w:color w:val="000000" w:themeColor="text1"/>
        </w:rPr>
        <w:t xml:space="preserve">Globally, there has been massive efforts to curb its morbidity and mortality through use of preventive measures like insecticide-treated nets (ITNs), indoor residual spraying, and prompt diagnosis and treatment, but unfortunately, the scourge has persisted. </w:t>
      </w:r>
      <w:r w:rsidR="0022474A" w:rsidRPr="00EF2B7F">
        <w:rPr>
          <w:rFonts w:ascii="Times New Roman" w:eastAsia="Times New Roman" w:hAnsi="Times New Roman" w:cs="Times New Roman"/>
          <w:color w:val="000000" w:themeColor="text1"/>
        </w:rPr>
        <w:t xml:space="preserve"> </w:t>
      </w:r>
      <w:r w:rsidRPr="00EF2B7F">
        <w:rPr>
          <w:rFonts w:ascii="Times New Roman" w:eastAsia="Times New Roman" w:hAnsi="Times New Roman" w:cs="Times New Roman"/>
          <w:color w:val="000000" w:themeColor="text1"/>
        </w:rPr>
        <w:t>The World Health Organization's approval and recommendation of the RTS,S/AS01 (</w:t>
      </w:r>
      <w:proofErr w:type="spellStart"/>
      <w:r w:rsidRPr="00EF2B7F">
        <w:rPr>
          <w:rFonts w:ascii="Times New Roman" w:eastAsia="Times New Roman" w:hAnsi="Times New Roman" w:cs="Times New Roman"/>
          <w:color w:val="000000" w:themeColor="text1"/>
        </w:rPr>
        <w:t>Mosquirix</w:t>
      </w:r>
      <w:proofErr w:type="spellEnd"/>
      <w:r w:rsidRPr="00EF2B7F">
        <w:rPr>
          <w:rFonts w:ascii="Times New Roman" w:eastAsia="Times New Roman" w:hAnsi="Times New Roman" w:cs="Times New Roman"/>
          <w:color w:val="000000" w:themeColor="text1"/>
        </w:rPr>
        <w:t>) malaria vaccine in 2021 and the subsequent approval of R21/Matrix-M in 2023 represent landmark developments in malaria prevention strategies (WHO, 2023).</w:t>
      </w:r>
      <w:r w:rsidR="00093420"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{"citationID":"LqDW4uPz","properties":{"formattedCitation":"\\super 10\\nosupersub{}","plainCitation":"10","noteIndex":0},"citationItems":[{"id":922,"uris":["http://zotero.org/users/local/uZHmDmCk/items/RXASBTFF"],"itemData":{"id":922,"type":"webpage","abstract":"The World Health Organization (WHO) has recommended a new vaccine, R21/Matrix-M, for the prevention of malaria in children. This was just one of the recommendations made at the meeting of WHO's Strategic Advisory Group of Experts (SAGE) on immunization held on 25-29 September 2023.","language":"en","title":"WHO recommends R21/Matrix-M vaccine for malaria prevention in updated advice on immunization","URL":"https://www.who.int/news/item/02-10-2023-who-recommends-r21-matrix-m-vaccine-for-malaria-prevention-in-updated-advice-on-immunization","accessed":{"date-parts":[["2025",5,18]]}}}],"schema":"https://github.com/citation-style-language/schema/raw/master/csl-citation.json"} </w:instrText>
      </w:r>
      <w:r w:rsidR="00093420"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10</w:t>
      </w:r>
      <w:r w:rsidR="00093420" w:rsidRPr="00EF2B7F">
        <w:rPr>
          <w:rFonts w:ascii="Times New Roman" w:eastAsia="Times New Roman" w:hAnsi="Times New Roman" w:cs="Times New Roman"/>
          <w:color w:val="000000" w:themeColor="text1"/>
        </w:rPr>
        <w:fldChar w:fldCharType="end"/>
      </w:r>
    </w:p>
    <w:p w14:paraId="1084B5F2"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While this is a great step and welcome development in malaria prevention, the success of the vaccination programs would significantly depend on uptake rates by </w:t>
      </w:r>
      <w:r w:rsidR="00093420" w:rsidRPr="00EF2B7F">
        <w:rPr>
          <w:rFonts w:ascii="Times New Roman" w:eastAsia="Times New Roman" w:hAnsi="Times New Roman" w:cs="Times New Roman"/>
          <w:color w:val="000000" w:themeColor="text1"/>
        </w:rPr>
        <w:t>the under-</w:t>
      </w:r>
      <w:r w:rsidRPr="00EF2B7F">
        <w:rPr>
          <w:rFonts w:ascii="Times New Roman" w:eastAsia="Times New Roman" w:hAnsi="Times New Roman" w:cs="Times New Roman"/>
          <w:color w:val="000000" w:themeColor="text1"/>
        </w:rPr>
        <w:t>five</w:t>
      </w:r>
      <w:r w:rsidR="00093420" w:rsidRPr="00EF2B7F">
        <w:rPr>
          <w:rFonts w:ascii="Times New Roman" w:eastAsia="Times New Roman" w:hAnsi="Times New Roman" w:cs="Times New Roman"/>
          <w:color w:val="000000" w:themeColor="text1"/>
        </w:rPr>
        <w:t>s</w:t>
      </w:r>
      <w:r w:rsidRPr="00EF2B7F">
        <w:rPr>
          <w:rFonts w:ascii="Times New Roman" w:eastAsia="Times New Roman" w:hAnsi="Times New Roman" w:cs="Times New Roman"/>
          <w:color w:val="000000" w:themeColor="text1"/>
        </w:rPr>
        <w:t xml:space="preserve"> in healthcare facilities. The uptake rate is influenced directly by the caregivers’ knowledge and willingness regarding malaria vaccine. </w:t>
      </w:r>
    </w:p>
    <w:p w14:paraId="2B42B3FD"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bookmarkStart w:id="0" w:name="_GoBack"/>
      <w:bookmarkEnd w:id="0"/>
      <w:r w:rsidRPr="00EF2B7F">
        <w:rPr>
          <w:rFonts w:ascii="Times New Roman" w:eastAsia="Times New Roman" w:hAnsi="Times New Roman" w:cs="Times New Roman"/>
          <w:color w:val="000000" w:themeColor="text1"/>
        </w:rPr>
        <w:t>This review synthesizes peer-reviewed articles published between 2014 and 2025 addressing knowledge, perceptions, attitudes, and willingness regarding malaria vaccines among caregivers of children under five years. The search was conducted using databases including PubMed, Malaria Journal, Web of Science, and Google Scholar. Keywords included combinations of "malaria vaccine,"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"R21," "caregiver knowledge," "vaccine acceptance," "vaccine hesitancy," "under-five children," and "tertiary facility."</w:t>
      </w:r>
    </w:p>
    <w:p w14:paraId="38FFBBD7"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p>
    <w:p w14:paraId="45D5F328" w14:textId="77777777" w:rsidR="00093420" w:rsidRPr="00EF2B7F" w:rsidRDefault="00093420" w:rsidP="00EF2B7F">
      <w:pPr>
        <w:spacing w:line="276" w:lineRule="auto"/>
        <w:jc w:val="both"/>
        <w:rPr>
          <w:rFonts w:ascii="Times New Roman" w:eastAsia="Times New Roman" w:hAnsi="Times New Roman" w:cs="Times New Roman"/>
          <w:b/>
          <w:color w:val="000000" w:themeColor="text1"/>
        </w:rPr>
      </w:pPr>
    </w:p>
    <w:p w14:paraId="3BDE2D62" w14:textId="77777777" w:rsidR="00801CDC" w:rsidRPr="00EF2B7F" w:rsidRDefault="00093420"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2.3 CAREGIVERS' KNOWLEDGE ABOUT MALARIA VACCINES</w:t>
      </w:r>
    </w:p>
    <w:p w14:paraId="557FD900"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Multiple studies have demonstrated variable levels of awareness about malaria vaccines among caregivers across different geographical regions. For instance, </w:t>
      </w:r>
      <w:proofErr w:type="spellStart"/>
      <w:r w:rsidRPr="00EF2B7F">
        <w:rPr>
          <w:color w:val="000000" w:themeColor="text1"/>
        </w:rPr>
        <w:t>Mwingira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{"citationID":"wCsTda1J","properties":{"formattedCitation":"\\super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11</w:t>
      </w:r>
      <w:r w:rsidRPr="00EF2B7F">
        <w:rPr>
          <w:color w:val="000000" w:themeColor="text1"/>
        </w:rPr>
        <w:fldChar w:fldCharType="end"/>
      </w:r>
      <w:r w:rsidRPr="00EF2B7F">
        <w:rPr>
          <w:color w:val="000000" w:themeColor="text1"/>
        </w:rPr>
        <w:t xml:space="preserve"> in a 2025 study conducted in Dar es Salaam, Tanzania, revealed that only 14.7% of the recruited caregivers were aware of the malaria vaccine. This contrasts with the findings of Ajayi and Emeto</w:t>
      </w:r>
      <w:r w:rsidRPr="00EF2B7F">
        <w:rPr>
          <w:color w:val="000000" w:themeColor="text1"/>
        </w:rPr>
        <w:fldChar w:fldCharType="begin"/>
      </w:r>
      <w:r w:rsidRPr="00EF2B7F">
        <w:rPr>
          <w:color w:val="000000" w:themeColor="text1"/>
        </w:rPr>
        <w:instrText xml:space="preserve"> ADDIN ZOTERO_ITEM CSL_CITATION {"citationID":"601XeP9a","properties":{"formattedCitation":"\\super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who reported a higher awareness level of 40.3% in a cross-sectional study conducted two years earlier across four states in Northern Nigeria. In a related study,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{"citationID":"KZhVGleM","properties":{"formattedCitation":"\\super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13</w:t>
      </w:r>
      <w:r w:rsidRPr="00EF2B7F">
        <w:rPr>
          <w:color w:val="000000" w:themeColor="text1"/>
        </w:rPr>
        <w:fldChar w:fldCharType="end"/>
      </w:r>
      <w:r w:rsidRPr="00EF2B7F">
        <w:rPr>
          <w:color w:val="000000" w:themeColor="text1"/>
        </w:rPr>
        <w:t xml:space="preserve"> in 2021 investigated caregivers of sick children at 695 randomly selected healthcare facilities across Kenya and found awareness levels ranging from 25–40%, closely aligning with the findings from Northern Nigeria.</w:t>
      </w:r>
    </w:p>
    <w:p w14:paraId="24B4AB05" w14:textId="77777777" w:rsidR="000467D8" w:rsidRPr="00EF2B7F" w:rsidRDefault="000467D8" w:rsidP="00EF2B7F">
      <w:pPr>
        <w:pStyle w:val="NormalWeb"/>
        <w:spacing w:line="276" w:lineRule="auto"/>
        <w:jc w:val="both"/>
        <w:rPr>
          <w:color w:val="000000" w:themeColor="text1"/>
        </w:rPr>
      </w:pPr>
      <w:r w:rsidRPr="00EF2B7F">
        <w:rPr>
          <w:color w:val="000000" w:themeColor="text1"/>
        </w:rPr>
        <w:t>Furthermore, a number of studies indicate good understanding of the malaria vaccine's efficacy among caregivers. For example, Mohammed et al.</w:t>
      </w:r>
      <w:r w:rsidRPr="00EF2B7F">
        <w:rPr>
          <w:color w:val="000000" w:themeColor="text1"/>
        </w:rPr>
        <w:fldChar w:fldCharType="begin"/>
      </w:r>
      <w:r w:rsidRPr="00EF2B7F">
        <w:rPr>
          <w:color w:val="000000" w:themeColor="text1"/>
        </w:rPr>
        <w:instrText xml:space="preserve"> ADDIN ZOTERO_ITEM CSL_CITATION {"citationID":"JhpBWVzD","properties":{"formattedCitation":"\\super 14\\nosupersub{}","plainCitation":"14","noteIndex":0},"citationItems":[{"id":934,"uris":["http://zotero.org/users/local/uZHmDmCk/items/UTMD3EYJ"],"itemData":{"id":934,"type":"article-journal","abstract":"To assess community awareness, knowledge and perception of the malaria vaccine. A descriptive cross‐sectional survey. Multistage sampling was adopted in recruiting 400 participants. A structured questionnaire designed based on study objectives ...","container-title":"Nursing Open","DOI":"10.1002/nop2.70025","issue":"9","language":"en","note":"PMID: 39223744","page":"e70025","source":"pmc.ncbi.nlm.nih.gov","title":"Community awareness, knowledge and perception about malaria vaccine in the Kassena‐Nankana East Municipality: A descriptive cross‐sectional survey","title-short":"Community awareness, knowledge and perception about malaria vaccine in the Kassena‐Nankana East Municipality","volume":"11","author":[{"family":"Mohammed","given":"Abdulai"},{"family":"Bam","given":"Victoria"},{"family":"Armah","given":"Jerry"},{"family":"Kusi‐Amponsah Diji","given":"Abigail"},{"family":"Lomotey","given":"Alberta Yemotsoo"},{"family":"Poku","given":"Collins Atta"},{"family":"Budu","given":"Hayford Isaac"}],"issued":{"date-parts":[["2024",9,2]]}}}],"schema":"https://github.com/citation-style-language/schema/raw/master/csl-citation.json"} </w:instrText>
      </w:r>
      <w:r w:rsidRPr="00EF2B7F">
        <w:rPr>
          <w:color w:val="000000" w:themeColor="text1"/>
        </w:rPr>
        <w:fldChar w:fldCharType="separate"/>
      </w:r>
      <w:r w:rsidRPr="00EF2B7F">
        <w:rPr>
          <w:color w:val="000000" w:themeColor="text1"/>
          <w:vertAlign w:val="superscript"/>
        </w:rPr>
        <w:t>14</w:t>
      </w:r>
      <w:r w:rsidRPr="00EF2B7F">
        <w:rPr>
          <w:color w:val="000000" w:themeColor="text1"/>
        </w:rPr>
        <w:fldChar w:fldCharType="end"/>
      </w:r>
      <w:r w:rsidRPr="00EF2B7F">
        <w:rPr>
          <w:color w:val="000000" w:themeColor="text1"/>
        </w:rPr>
        <w:t xml:space="preserve"> found that 86.4% of the population believed that the malaria vaccine offered protection for children and would improve their ability to fight diseases. However, as </w:t>
      </w:r>
      <w:proofErr w:type="spellStart"/>
      <w:r w:rsidRPr="00EF2B7F">
        <w:rPr>
          <w:color w:val="000000" w:themeColor="text1"/>
        </w:rPr>
        <w:t>Meñaca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{"citationID":"rnpQwneS","properties":{"formattedCitation":"\\super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15</w:t>
      </w:r>
      <w:r w:rsidRPr="00EF2B7F">
        <w:rPr>
          <w:color w:val="000000" w:themeColor="text1"/>
        </w:rPr>
        <w:fldChar w:fldCharType="end"/>
      </w:r>
      <w:r w:rsidRPr="00EF2B7F">
        <w:rPr>
          <w:color w:val="000000" w:themeColor="text1"/>
        </w:rPr>
        <w:t xml:space="preserve"> noted in 2024, detailed knowledge of specific vaccines and their mechanisms remained limited among many caregivers.</w:t>
      </w:r>
    </w:p>
    <w:p w14:paraId="4211A660" w14:textId="77777777" w:rsidR="000467D8" w:rsidRPr="00EF2B7F" w:rsidRDefault="000467D8" w:rsidP="00EF2B7F">
      <w:pPr>
        <w:pStyle w:val="NormalWeb"/>
        <w:spacing w:line="276" w:lineRule="auto"/>
        <w:jc w:val="both"/>
        <w:rPr>
          <w:color w:val="000000" w:themeColor="text1"/>
        </w:rPr>
      </w:pPr>
      <w:r w:rsidRPr="00EF2B7F">
        <w:rPr>
          <w:color w:val="000000" w:themeColor="text1"/>
        </w:rPr>
        <w:lastRenderedPageBreak/>
        <w:t xml:space="preserve">In addition, sources of information play a crucial role in shaping awareness and understanding. Health facilities (47.6%) and television (45.2%) were identified by </w:t>
      </w:r>
      <w:proofErr w:type="spellStart"/>
      <w:r w:rsidRPr="00EF2B7F">
        <w:rPr>
          <w:color w:val="000000" w:themeColor="text1"/>
        </w:rPr>
        <w:t>Mwingira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{"citationID":"wCsTda1J","properties":{"formattedCitation":"\\super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11</w:t>
      </w:r>
      <w:r w:rsidRPr="00EF2B7F">
        <w:rPr>
          <w:color w:val="000000" w:themeColor="text1"/>
        </w:rPr>
        <w:fldChar w:fldCharType="end"/>
      </w:r>
      <w:r w:rsidRPr="00EF2B7F">
        <w:rPr>
          <w:color w:val="000000" w:themeColor="text1"/>
        </w:rPr>
        <w:t xml:space="preserve"> as the most common sources of malaria vaccine information. Among those exposed to vaccine messages, 67.4% correctly identified the vaccine’s target population as children under five, though 53.5% mistakenly believed it was meant for pregnant women. In Northern Nigeria, </w:t>
      </w:r>
      <w:proofErr w:type="spellStart"/>
      <w:r w:rsidRPr="00EF2B7F">
        <w:rPr>
          <w:color w:val="000000" w:themeColor="text1"/>
        </w:rPr>
        <w:t>Alagbe</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{"citationID":"8JFTcrjQ","properties":{"formattedCitation":"\\super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16</w:t>
      </w:r>
      <w:r w:rsidRPr="00EF2B7F">
        <w:rPr>
          <w:color w:val="000000" w:themeColor="text1"/>
        </w:rPr>
        <w:fldChar w:fldCharType="end"/>
      </w:r>
      <w:r w:rsidRPr="00EF2B7F">
        <w:rPr>
          <w:color w:val="000000" w:themeColor="text1"/>
        </w:rPr>
        <w:t xml:space="preserve"> found that friends (47.1%), healthcare workers (19.1%), and antenatal clinics (15.2%) were the main sources of information. Other channels included social media (8.7%), relatives (5.9%), news/advertisements (2.9%), and radio (1.1%).</w:t>
      </w:r>
    </w:p>
    <w:p w14:paraId="3A287642" w14:textId="77777777" w:rsidR="000467D8" w:rsidRPr="00EF2B7F" w:rsidRDefault="000467D8" w:rsidP="00EF2B7F">
      <w:pPr>
        <w:pStyle w:val="NormalWeb"/>
        <w:spacing w:line="276" w:lineRule="auto"/>
        <w:jc w:val="both"/>
        <w:rPr>
          <w:color w:val="000000" w:themeColor="text1"/>
        </w:rPr>
      </w:pPr>
      <w:r w:rsidRPr="00EF2B7F">
        <w:rPr>
          <w:color w:val="000000" w:themeColor="text1"/>
        </w:rPr>
        <w:t>Finally, several factors have been associated with knowledge of the malaria vaccine. Ajayi and Emeto</w:t>
      </w:r>
      <w:r w:rsidRPr="00EF2B7F">
        <w:rPr>
          <w:color w:val="000000" w:themeColor="text1"/>
        </w:rPr>
        <w:fldChar w:fldCharType="begin"/>
      </w:r>
      <w:r w:rsidRPr="00EF2B7F">
        <w:rPr>
          <w:color w:val="000000" w:themeColor="text1"/>
        </w:rPr>
        <w:instrText xml:space="preserve"> ADDIN ZOTERO_ITEM CSL_CITATION {"citationID":"601XeP9a","properties":{"formattedCitation":"\\super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observed that awareness was significantly influenced by level of education, previous exposure to vaccines, and employment. Similarly,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{"citationID":"KZhVGleM","properties":{"formattedCitation":"\\super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13</w:t>
      </w:r>
      <w:r w:rsidRPr="00EF2B7F">
        <w:rPr>
          <w:color w:val="000000" w:themeColor="text1"/>
        </w:rPr>
        <w:fldChar w:fldCharType="end"/>
      </w:r>
      <w:r w:rsidRPr="00EF2B7F">
        <w:rPr>
          <w:color w:val="000000" w:themeColor="text1"/>
        </w:rPr>
        <w:t xml:space="preserve"> reported that higher levels of education and socioeconomic status were positively correlated with better awareness.</w:t>
      </w:r>
    </w:p>
    <w:p w14:paraId="3D4DA375" w14:textId="77777777" w:rsidR="000467D8" w:rsidRPr="00EF2B7F" w:rsidRDefault="000467D8" w:rsidP="00EF2B7F">
      <w:pPr>
        <w:pStyle w:val="NormalWeb"/>
        <w:spacing w:line="276" w:lineRule="auto"/>
        <w:jc w:val="both"/>
        <w:rPr>
          <w:color w:val="000000" w:themeColor="text1"/>
        </w:rPr>
      </w:pPr>
    </w:p>
    <w:p w14:paraId="6684A568" w14:textId="77777777" w:rsidR="000467D8" w:rsidRPr="00EF2B7F" w:rsidRDefault="000467D8" w:rsidP="00EF2B7F">
      <w:pPr>
        <w:pStyle w:val="NormalWeb"/>
        <w:spacing w:line="276" w:lineRule="auto"/>
        <w:jc w:val="both"/>
        <w:rPr>
          <w:color w:val="000000" w:themeColor="text1"/>
        </w:rPr>
      </w:pPr>
    </w:p>
    <w:p w14:paraId="09CA61D3" w14:textId="77777777" w:rsidR="00801CDC" w:rsidRPr="00EF2B7F" w:rsidRDefault="00D7673E"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 4 WILLINGNESS TO ACCEPT MALARIA VACCINATION</w:t>
      </w:r>
    </w:p>
    <w:p w14:paraId="3417835E" w14:textId="77777777" w:rsidR="000467D8" w:rsidRPr="00EF2B7F" w:rsidRDefault="000467D8" w:rsidP="00EF2B7F">
      <w:pPr>
        <w:pStyle w:val="NormalWeb"/>
        <w:spacing w:line="276" w:lineRule="auto"/>
        <w:jc w:val="both"/>
        <w:rPr>
          <w:color w:val="000000" w:themeColor="text1"/>
        </w:rPr>
      </w:pPr>
      <w:r w:rsidRPr="00EF2B7F">
        <w:rPr>
          <w:color w:val="000000" w:themeColor="text1"/>
        </w:rPr>
        <w:t>Acceptance rates for malaria vaccination among caregivers show considerable variability across studies. For instance, the aggregate acceptance rate was 95.3% in a study by Suleiman et al.</w:t>
      </w:r>
      <w:r w:rsidRPr="00EF2B7F">
        <w:rPr>
          <w:color w:val="000000" w:themeColor="text1"/>
        </w:rPr>
        <w:fldChar w:fldCharType="begin"/>
      </w:r>
      <w:r w:rsidRPr="00EF2B7F">
        <w:rPr>
          <w:color w:val="000000" w:themeColor="text1"/>
        </w:rPr>
        <w:instrText xml:space="preserve"> ADDIN ZOTERO_ITEM CSL_CITATION {"citationID":"6P30Jlq5","properties":{"formattedCitation":"\\super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17</w:t>
      </w:r>
      <w:r w:rsidRPr="00EF2B7F">
        <w:rPr>
          <w:color w:val="000000" w:themeColor="text1"/>
        </w:rPr>
        <w:fldChar w:fldCharType="end"/>
      </w:r>
      <w:r w:rsidRPr="00EF2B7F">
        <w:rPr>
          <w:color w:val="000000" w:themeColor="text1"/>
        </w:rPr>
        <w:t xml:space="preserve"> with rates of 96.3% among the general population and 94.4% among mothers. When broken down by country, Nigeria had the highest acceptance rate at 97.6%, followed by Ghana at 94.6%, and Tanzania at 92.5%.</w:t>
      </w:r>
    </w:p>
    <w:p w14:paraId="05176AF8"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Moreover, studies conducted in tertiary healthcare facilities generally reported higher acceptance rates compared to community-based studies. For example, an acceptance rate of 96.3% was observed in Sierra Leone, whereas a considerably lower rate of 88% was reported in an older Kenyan study by </w:t>
      </w:r>
      <w:proofErr w:type="spellStart"/>
      <w:r w:rsidRPr="00EF2B7F">
        <w:rPr>
          <w:color w:val="000000" w:themeColor="text1"/>
        </w:rPr>
        <w:t>Ojakaa</w:t>
      </w:r>
      <w:proofErr w:type="spellEnd"/>
      <w:r w:rsidRPr="00EF2B7F">
        <w:rPr>
          <w:color w:val="000000" w:themeColor="text1"/>
        </w:rPr>
        <w:t xml:space="preserve"> et al.</w:t>
      </w:r>
      <w:r w:rsidRPr="00EF2B7F">
        <w:rPr>
          <w:color w:val="000000" w:themeColor="text1"/>
          <w:highlight w:val="white"/>
        </w:rPr>
        <w:fldChar w:fldCharType="begin"/>
      </w:r>
      <w:r w:rsidRPr="00EF2B7F">
        <w:rPr>
          <w:color w:val="000000" w:themeColor="text1"/>
          <w:highlight w:val="white"/>
        </w:rPr>
        <w:instrText xml:space="preserve"> ADDIN ZOTERO_ITEM CSL_CITATION {"citationID":"rz6La8UI","properties":{"formattedCitation":"\\super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13</w:t>
      </w:r>
      <w:r w:rsidRPr="00EF2B7F">
        <w:rPr>
          <w:color w:val="000000" w:themeColor="text1"/>
          <w:highlight w:val="white"/>
        </w:rPr>
        <w:fldChar w:fldCharType="end"/>
      </w:r>
      <w:r w:rsidRPr="00EF2B7F">
        <w:rPr>
          <w:color w:val="000000" w:themeColor="text1"/>
        </w:rPr>
        <w:t xml:space="preserve"> conducted in 2014. Additionally, a remarkably high acceptance rate of 99.3% was reported in a 2018 study</w:t>
      </w:r>
      <w:r w:rsidRPr="00EF2B7F">
        <w:rPr>
          <w:color w:val="000000" w:themeColor="text1"/>
          <w:highlight w:val="white"/>
        </w:rPr>
        <w:fldChar w:fldCharType="begin"/>
      </w:r>
      <w:r w:rsidRPr="00EF2B7F">
        <w:rPr>
          <w:color w:val="000000" w:themeColor="text1"/>
          <w:highlight w:val="white"/>
        </w:rPr>
        <w:instrText xml:space="preserve"> ADDIN ZOTERO_ITEM CSL_CITATION {"citationID":"l4X4mqbe","properties":{"formattedCitation":"\\super 18\\nosupersub{}","plainCitation":"18","noteIndex":0},"citationItems":[{"id":948,"uris":["http://zotero.org/users/local/uZHmDmCk/items/AT343PFW"],"itemData":{"id":948,"type":"article-journal","abstract":"A transmission-blocking vaccine (TBV) to prevent malaria-infected humans from infecting mosquitoes has been increasingly considered as a tool for malaria control and elimination. This study tested the hypothesis that a malaria TBV would be acceptable among residents of a malaria-hypoendemic region.","container-title":"Malaria Journal","DOI":"10.1186/s12936-018-2328-z","ISSN":"1475-2875","issue":"1","journalAbbreviation":"Malaria Journal","page":"179","source":"BioMed Central","title":"Acceptability of a herd immunity-focused, transmission-blocking malaria vaccine in malaria-endemic communities in the Peruvian Amazon: an exploratory study","title-short":"Acceptability of a herd immunity-focused, transmission-blocking malaria vaccine in malaria-endemic communities in the Peruvian Amazon","volume":"17","author":[{"family":"White","given":"Sara E."},{"family":"Harvey","given":"Steven A."},{"family":"Meza","given":"Graciela"},{"family":"Llanos","given":"Alejandro"},{"family":"Guzman","given":"Mitchel"},{"family":"Gamboa","given":"Dionicia"},{"family":"Vinetz","given":"Joseph M."}],"issued":{"date-parts":[["2018",4,27]]}}}],"schema":"https://github.com/citation-style-language/schema/raw/master/csl-citation.json"}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18</w:t>
      </w:r>
      <w:r w:rsidRPr="00EF2B7F">
        <w:rPr>
          <w:color w:val="000000" w:themeColor="text1"/>
          <w:highlight w:val="white"/>
        </w:rPr>
        <w:fldChar w:fldCharType="end"/>
      </w:r>
      <w:r w:rsidRPr="00EF2B7F">
        <w:rPr>
          <w:color w:val="000000" w:themeColor="text1"/>
        </w:rPr>
        <w:t xml:space="preserve"> conducted in Peru. However, Musa et al.</w:t>
      </w:r>
      <w:r w:rsidRPr="00EF2B7F">
        <w:rPr>
          <w:color w:val="000000" w:themeColor="text1"/>
          <w:highlight w:val="white"/>
        </w:rPr>
        <w:fldChar w:fldCharType="begin"/>
      </w:r>
      <w:r w:rsidRPr="00EF2B7F">
        <w:rPr>
          <w:color w:val="000000" w:themeColor="text1"/>
          <w:highlight w:val="white"/>
        </w:rPr>
        <w:instrText xml:space="preserve"> ADDIN ZOTERO_ITEM CSL_CITATION {"citationID":"h4WpXVtf","properties":{"formattedCitation":"\\super 19\\nosupersub{}","plainCitation":"19","noteIndex":0},"citationItems":[{"id":951,"uris":["http://zotero.org/users/local/uZHmDmCk/items/9FAUKBQI"],"itemData":{"id":951,"type":"article-journal","container-title":"Vacunas (English Edition)","DOI":"10.1016/j.vacune.2024.10.005","journalAbbreviation":"Vacunas (English Edition)","page":"439-447","source":"ResearchGate","title":"Acceptance of malaria vaccine among mothers of under-five children in Nigeria: Results from the M-VAN survey","title-short":"Acceptance of malaria vaccine among mothers of under-five children in Nigeria","volume":"25","author":[{"family":"Musa","given":"Muhammad"},{"family":"Sulaiman","given":"Abdulwahab"},{"family":"Tsiga-Ahmed","given":"Fatimah"},{"family":"Bako","given":"Abdulaziz"},{"family":"Sulaiman","given":"Sahabi"}],"issued":{"date-parts":[["2024",10,1]]}}}],"schema":"https://github.com/citation-style-language/schema/raw/master/csl-citation.json"} </w:instrText>
      </w:r>
      <w:r w:rsidRPr="00EF2B7F">
        <w:rPr>
          <w:color w:val="000000" w:themeColor="text1"/>
          <w:highlight w:val="white"/>
        </w:rPr>
        <w:fldChar w:fldCharType="separate"/>
      </w:r>
      <w:r w:rsidRPr="00EF2B7F">
        <w:rPr>
          <w:color w:val="000000" w:themeColor="text1"/>
          <w:vertAlign w:val="superscript"/>
        </w:rPr>
        <w:t>19</w:t>
      </w:r>
      <w:r w:rsidRPr="00EF2B7F">
        <w:rPr>
          <w:color w:val="000000" w:themeColor="text1"/>
          <w:highlight w:val="white"/>
        </w:rPr>
        <w:fldChar w:fldCharType="end"/>
      </w:r>
      <w:r w:rsidRPr="00EF2B7F">
        <w:rPr>
          <w:color w:val="000000" w:themeColor="text1"/>
        </w:rPr>
        <w:t xml:space="preserve"> noted that mothers from the Igbo and other ethnic groups were significantly less likely to express acceptance of the malaria vaccine.</w:t>
      </w:r>
    </w:p>
    <w:p w14:paraId="6E6F59F3"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In relation to demographic and socioeconomic factors, several studies have identified associations with willingness to accept vaccination. According to </w:t>
      </w:r>
      <w:proofErr w:type="spellStart"/>
      <w:r w:rsidRPr="00EF2B7F">
        <w:rPr>
          <w:color w:val="000000" w:themeColor="text1"/>
        </w:rPr>
        <w:t>Nyalundja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{"citationID":"kl9CfCNE","properties":{"formattedCitation":"\\super 20\\nosupersub{}","plainCitation":"20","noteIndex":0},"citationItems":[{"id":953,"uris":["http://zotero.org/users/local/uZHmDmCk/items/LLQZ7R9E"],"itemData":{"id":953,"type":"article-journal","abstract":"Two novel vaccines against malaria are proposed as a complementary control tool to prevent and reduce &lt;i&gt;Plasmodium falciparum&lt;/i&gt; related disease and death in under-five children from moderate to high malaria transmission regions. The Democratic Republic of Congo (DRC) has committed to eradicate ma …","container-title":"Vaccines","DOI":"10.3390/vaccines12040380","ISSN":"2076-393X","issue":"4","language":"en","note":"publisher: Vaccines (Basel)\nPMID: 38675762","source":"pubmed.ncbi.nlm.nih.gov","title":"Socio-Demographic Factors Influencing Malaria Vaccine Acceptance for Under-Five Children in a Malaria-Endemic Region: A Community-Based Study in the Democratic Republic of Congo","title-short":"Socio-Demographic Factors Influencing Malaria Vaccine Acceptance for Under-Five Children in a Malaria-Endemic Region","URL":"https://pubmed.ncbi.nlm.nih.gov/38675762/","volume":"12","author":[{"family":"Ad","given":"Nyalundja"},{"family":"Pm","given":"Bugeme"},{"family":"As","given":"Guillaume"},{"family":"Ab","given":"Ntaboba"},{"family":"Vu","given":"Hatu'm"},{"family":"Jl","given":"Tamuzi"},{"family":"D","given":"Ndwandwe"},{"family":"C","given":"Iwu-Jaja"},{"family":"Cs","given":"Wiysonge"},{"family":"Pdmc","given":"Katoto"}],"accessed":{"date-parts":[["2025",5,18]]},"issued":{"date-parts":[["2024",4,2]]}}}],"schema":"https://github.com/citation-style-language/schema/raw/master/csl-citation.json"} </w:instrText>
      </w:r>
      <w:r w:rsidRPr="00EF2B7F">
        <w:rPr>
          <w:color w:val="000000" w:themeColor="text1"/>
        </w:rPr>
        <w:fldChar w:fldCharType="separate"/>
      </w:r>
      <w:r w:rsidRPr="00EF2B7F">
        <w:rPr>
          <w:color w:val="000000" w:themeColor="text1"/>
          <w:vertAlign w:val="superscript"/>
        </w:rPr>
        <w:t>20</w:t>
      </w:r>
      <w:r w:rsidRPr="00EF2B7F">
        <w:rPr>
          <w:color w:val="000000" w:themeColor="text1"/>
        </w:rPr>
        <w:fldChar w:fldCharType="end"/>
      </w:r>
      <w:r w:rsidRPr="00EF2B7F">
        <w:rPr>
          <w:color w:val="000000" w:themeColor="text1"/>
        </w:rPr>
        <w:t xml:space="preserve"> respondents with a monthly income of USD 200–500 had higher odds (</w:t>
      </w:r>
      <w:proofErr w:type="spellStart"/>
      <w:r w:rsidRPr="00EF2B7F">
        <w:rPr>
          <w:color w:val="000000" w:themeColor="text1"/>
        </w:rPr>
        <w:t>aOR</w:t>
      </w:r>
      <w:proofErr w:type="spellEnd"/>
      <w:r w:rsidRPr="00EF2B7F">
        <w:rPr>
          <w:color w:val="000000" w:themeColor="text1"/>
        </w:rPr>
        <w:t>: 1.87) of accepting the vaccine, and those whose religion supported vaccination were also more likely to accept (</w:t>
      </w:r>
      <w:proofErr w:type="spellStart"/>
      <w:r w:rsidRPr="00EF2B7F">
        <w:rPr>
          <w:color w:val="000000" w:themeColor="text1"/>
        </w:rPr>
        <w:t>aOR</w:t>
      </w:r>
      <w:proofErr w:type="spellEnd"/>
      <w:r w:rsidRPr="00EF2B7F">
        <w:rPr>
          <w:color w:val="000000" w:themeColor="text1"/>
        </w:rPr>
        <w:t xml:space="preserve">: 1.54), compared to those with lower income and religions that did not. Similarly, </w:t>
      </w:r>
      <w:proofErr w:type="spellStart"/>
      <w:r w:rsidRPr="00EF2B7F">
        <w:rPr>
          <w:color w:val="000000" w:themeColor="text1"/>
        </w:rPr>
        <w:t>Alagbe</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{"citationID":"zYRTw0Jb","properties":{"formattedCitation":"\\super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16</w:t>
      </w:r>
      <w:r w:rsidRPr="00EF2B7F">
        <w:rPr>
          <w:color w:val="000000" w:themeColor="text1"/>
        </w:rPr>
        <w:fldChar w:fldCharType="end"/>
      </w:r>
      <w:r w:rsidRPr="00EF2B7F">
        <w:rPr>
          <w:color w:val="000000" w:themeColor="text1"/>
        </w:rPr>
        <w:t xml:space="preserve"> found that younger mothers (aged 15–34 years) were 1.2 times more likely to vaccinate their children compared to older mothers, and those earning more than ₦30,000 monthly were marginally more </w:t>
      </w:r>
      <w:r w:rsidRPr="00EF2B7F">
        <w:rPr>
          <w:color w:val="000000" w:themeColor="text1"/>
        </w:rPr>
        <w:lastRenderedPageBreak/>
        <w:t xml:space="preserve">likely to accept vaccination. Furthermore, </w:t>
      </w:r>
      <w:proofErr w:type="spellStart"/>
      <w:r w:rsidRPr="00EF2B7F">
        <w:rPr>
          <w:color w:val="000000" w:themeColor="text1"/>
        </w:rPr>
        <w:t>Röbl</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{"citationID":"IiIDyVBD","properties":{"formattedCitation":"\\super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Pr="00EF2B7F">
        <w:rPr>
          <w:color w:val="000000" w:themeColor="text1"/>
        </w:rPr>
        <w:fldChar w:fldCharType="separate"/>
      </w:r>
      <w:r w:rsidRPr="00EF2B7F">
        <w:rPr>
          <w:color w:val="000000" w:themeColor="text1"/>
          <w:vertAlign w:val="superscript"/>
        </w:rPr>
        <w:t>21</w:t>
      </w:r>
      <w:r w:rsidRPr="00EF2B7F">
        <w:rPr>
          <w:color w:val="000000" w:themeColor="text1"/>
        </w:rPr>
        <w:fldChar w:fldCharType="end"/>
      </w:r>
      <w:r w:rsidRPr="00EF2B7F">
        <w:rPr>
          <w:color w:val="000000" w:themeColor="text1"/>
        </w:rPr>
        <w:t xml:space="preserve"> reported that caregiver education level was positively associated with vaccine acceptance in Sierra Leone, with caregivers having secondary education or higher being 95% more likely to accept the vaccine compared to those with no formal education.</w:t>
      </w:r>
    </w:p>
    <w:p w14:paraId="40DA9F69" w14:textId="77777777" w:rsidR="000467D8" w:rsidRPr="00EF2B7F" w:rsidRDefault="000467D8" w:rsidP="00EF2B7F">
      <w:pPr>
        <w:pStyle w:val="NormalWeb"/>
        <w:spacing w:line="276" w:lineRule="auto"/>
        <w:jc w:val="both"/>
        <w:rPr>
          <w:color w:val="000000" w:themeColor="text1"/>
        </w:rPr>
      </w:pPr>
      <w:r w:rsidRPr="00EF2B7F">
        <w:rPr>
          <w:color w:val="000000" w:themeColor="text1"/>
        </w:rPr>
        <w:t>Additionally, health beliefs and perceived risk significantly influenced vaccination decisions. According to Bam et al.,</w:t>
      </w:r>
      <w:r w:rsidRPr="00EF2B7F">
        <w:rPr>
          <w:color w:val="000000" w:themeColor="text1"/>
        </w:rPr>
        <w:fldChar w:fldCharType="begin"/>
      </w:r>
      <w:r w:rsidRPr="00EF2B7F">
        <w:rPr>
          <w:color w:val="000000" w:themeColor="text1"/>
        </w:rPr>
        <w:instrText xml:space="preserve"> ADDIN ZOTERO_ITEM CSL_CITATION {"citationID":"Bhjsra94","properties":{"formattedCitation":"\\super 22\\nosupersub{}","plainCitation":"22","noteIndex":0},"citationItems":[{"id":960,"uris":["http://zotero.org/users/local/uZHmDmCk/items/2UEG7568"],"itemData":{"id":960,"type":"article-journal","abstract":"Background Malaria is a disease of public health concern and in endemic areas, pregnant women and children under-five years are vulnerable to the disease. The introduction of the pilot program of a malaria vaccine for children under-five years in Ghana is an intervention to further reduce the burden of the disease. However, the availability of the vaccine does not necessarily mean it will be accepted by the public. This is why the perceptions and acceptance of the vaccine among mothers of these children are worth exploring. Method A descriptive qualitative study, with the aid of a semi-structured interview guide, was utilized in collecting data from ten (10) purposively sampled mothers whose children were taking the malaria vaccine in a municipality in Ghana. Written informed consent was obtained from all participants. The audiotaped interviews were transcribed verbatim and inductively analyzed into themes describing their perceptions and acceptance. Results Participants were aged between 22 and 40 years with eight (8) of them married. Three themes emerged from the study. \"Awareness of malaria and the malaria vaccine\" (1), “Insight into the malaria vaccine” (2), where participants communicated the beliefs and judgments formed on the vaccine, its benefits, and the need for vaccinating their children. With the third theme \"Reaction to vaccine” (3), participants communicated their motivation to vaccinate their children and their concerns about the administration of the vaccine. Conclusion The caregivers had positive perceptions about the malaria vaccine for children, with fewer hospital admissions and saving money as some benefits. Healthworkers played a significant role in influencing the acceptance of the vaccine. However, the fear of the unknown concerning the side effects of the vaccine serve as a possible barrier to recommending the vaccine to other caregivers. Health education must also address the fears of caregivers in order to enhance recommending the malaria vaccine to other caregivers and promote uptake of the vaccination.","container-title":"PLOS ONE","DOI":"10.1371/journal.pone.0288686","ISSN":"1932-6203","issue":"7","journalAbbreviation":"PLOS ONE","language":"en","note":"publisher: Public Library of Science","page":"e0288686","source":"PLoS Journals","title":"Caregivers’ perception and acceptance of malaria vaccine for Children","volume":"18","author":[{"family":"Bam","given":"Victoria"},{"family":"Mohammed","given":"Abdulai"},{"family":"Kusi-Amponsah","given":"Abigail"},{"family":"Armah","given":"Jerry"},{"family":"Lomotey","given":"Alberta Yemotsoo"},{"family":"Budu","given":"Hayford Isaac"},{"family":"Poku","given":"Collins Atta"},{"family":"Kyei-Dompim","given":"Joana"},{"family":"Dwumfour","given":"Catherine"}],"issued":{"date-parts":[["2023",7,26]]}}}],"schema":"https://github.com/citation-style-language/schema/raw/master/csl-citation.json"} </w:instrText>
      </w:r>
      <w:r w:rsidRPr="00EF2B7F">
        <w:rPr>
          <w:color w:val="000000" w:themeColor="text1"/>
        </w:rPr>
        <w:fldChar w:fldCharType="separate"/>
      </w:r>
      <w:r w:rsidRPr="00EF2B7F">
        <w:rPr>
          <w:color w:val="000000" w:themeColor="text1"/>
          <w:vertAlign w:val="superscript"/>
        </w:rPr>
        <w:t>22</w:t>
      </w:r>
      <w:r w:rsidRPr="00EF2B7F">
        <w:rPr>
          <w:color w:val="000000" w:themeColor="text1"/>
        </w:rPr>
        <w:fldChar w:fldCharType="end"/>
      </w:r>
      <w:r w:rsidRPr="00EF2B7F">
        <w:rPr>
          <w:color w:val="000000" w:themeColor="text1"/>
        </w:rPr>
        <w:t xml:space="preserve"> perceptions of the severity of malaria and children’s vulnerability to infection were strong predictors of willingness to vaccinate.</w:t>
      </w:r>
    </w:p>
    <w:p w14:paraId="1E225AC9" w14:textId="77777777" w:rsidR="000467D8" w:rsidRPr="00EF2B7F" w:rsidRDefault="000467D8" w:rsidP="00EF2B7F">
      <w:pPr>
        <w:pStyle w:val="NormalWeb"/>
        <w:spacing w:line="276" w:lineRule="auto"/>
        <w:jc w:val="both"/>
        <w:rPr>
          <w:color w:val="000000" w:themeColor="text1"/>
        </w:rPr>
      </w:pPr>
      <w:r w:rsidRPr="00EF2B7F">
        <w:rPr>
          <w:color w:val="000000" w:themeColor="text1"/>
        </w:rPr>
        <w:t xml:space="preserve">Finally, trust in healthcare providers and systems consistently emerged as a critical factor in vaccine acceptance. </w:t>
      </w:r>
      <w:proofErr w:type="spellStart"/>
      <w:r w:rsidRPr="00EF2B7F">
        <w:rPr>
          <w:color w:val="000000" w:themeColor="text1"/>
        </w:rPr>
        <w:t>Menaca</w:t>
      </w:r>
      <w:proofErr w:type="spellEnd"/>
      <w:r w:rsidRPr="00EF2B7F">
        <w:rPr>
          <w:color w:val="000000" w:themeColor="text1"/>
        </w:rPr>
        <w:t xml:space="preserve"> et al.</w:t>
      </w:r>
      <w:r w:rsidRPr="00EF2B7F">
        <w:rPr>
          <w:color w:val="000000" w:themeColor="text1"/>
        </w:rPr>
        <w:fldChar w:fldCharType="begin"/>
      </w:r>
      <w:r w:rsidRPr="00EF2B7F">
        <w:rPr>
          <w:color w:val="000000" w:themeColor="text1"/>
        </w:rPr>
        <w:instrText xml:space="preserve"> ADDIN ZOTERO_ITEM CSL_CITATION {"citationID":"XY0M9DWx","properties":{"formattedCitation":"\\super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15</w:t>
      </w:r>
      <w:r w:rsidRPr="00EF2B7F">
        <w:rPr>
          <w:color w:val="000000" w:themeColor="text1"/>
        </w:rPr>
        <w:fldChar w:fldCharType="end"/>
      </w:r>
      <w:r w:rsidRPr="00EF2B7F">
        <w:rPr>
          <w:color w:val="000000" w:themeColor="text1"/>
        </w:rPr>
        <w:t xml:space="preserve"> found that communities placed high value on vaccines and often cited them as a primary reason for attending Child Welfare Clinics. In the same vein, Ajayi and Emeto</w:t>
      </w:r>
      <w:r w:rsidRPr="00EF2B7F">
        <w:rPr>
          <w:color w:val="000000" w:themeColor="text1"/>
        </w:rPr>
        <w:fldChar w:fldCharType="begin"/>
      </w:r>
      <w:r w:rsidRPr="00EF2B7F">
        <w:rPr>
          <w:color w:val="000000" w:themeColor="text1"/>
        </w:rPr>
        <w:instrText xml:space="preserve"> ADDIN ZOTERO_ITEM CSL_CITATION {"citationID":"R1idX8ah","properties":{"formattedCitation":"\\super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noted that positive prior experiences with childhood immunization services increased the likelihood of accepting the malaria vaccine.</w:t>
      </w:r>
    </w:p>
    <w:p w14:paraId="27018A1E" w14:textId="77777777" w:rsidR="003E57A9" w:rsidRPr="00EF2B7F" w:rsidRDefault="003E57A9" w:rsidP="00EF2B7F">
      <w:pPr>
        <w:spacing w:line="276" w:lineRule="auto"/>
        <w:jc w:val="both"/>
        <w:rPr>
          <w:rFonts w:ascii="Times New Roman" w:eastAsia="Times New Roman" w:hAnsi="Times New Roman" w:cs="Times New Roman"/>
          <w:b/>
          <w:color w:val="000000" w:themeColor="text1"/>
        </w:rPr>
      </w:pPr>
    </w:p>
    <w:p w14:paraId="011C641D" w14:textId="77777777" w:rsidR="000467D8" w:rsidRPr="00EF2B7F" w:rsidRDefault="000467D8" w:rsidP="00EF2B7F">
      <w:pPr>
        <w:spacing w:line="276" w:lineRule="auto"/>
        <w:jc w:val="both"/>
        <w:rPr>
          <w:rFonts w:ascii="Times New Roman" w:eastAsia="Times New Roman" w:hAnsi="Times New Roman" w:cs="Times New Roman"/>
          <w:b/>
          <w:color w:val="000000" w:themeColor="text1"/>
        </w:rPr>
      </w:pPr>
    </w:p>
    <w:p w14:paraId="39395D64" w14:textId="77777777" w:rsidR="00801CDC" w:rsidRPr="00EF2B7F" w:rsidRDefault="00EA7568" w:rsidP="00EF2B7F">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2.5 BARRIERS TO ACCEPTANCE</w:t>
      </w:r>
    </w:p>
    <w:p w14:paraId="68C08949"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Several barriers to malaria vaccine acceptance have been identified in the literature. Concerns about vaccine safety and potential side effects represent the most commonly cited barrier. </w:t>
      </w:r>
      <w:r w:rsidR="00EA7568" w:rsidRPr="00EF2B7F">
        <w:rPr>
          <w:rFonts w:ascii="Times New Roman" w:eastAsia="Times New Roman" w:hAnsi="Times New Roman" w:cs="Times New Roman"/>
          <w:color w:val="000000" w:themeColor="text1"/>
        </w:rPr>
        <w:t xml:space="preserve"> </w:t>
      </w:r>
      <w:proofErr w:type="spellStart"/>
      <w:r w:rsidRPr="00EF2B7F">
        <w:rPr>
          <w:rFonts w:ascii="Times New Roman" w:eastAsia="Times New Roman" w:hAnsi="Times New Roman" w:cs="Times New Roman"/>
          <w:color w:val="000000" w:themeColor="text1"/>
        </w:rPr>
        <w:t>Adigwe</w:t>
      </w:r>
      <w:proofErr w:type="spellEnd"/>
      <w:r w:rsidRPr="00EF2B7F">
        <w:rPr>
          <w:rFonts w:ascii="Times New Roman" w:eastAsia="Times New Roman" w:hAnsi="Times New Roman" w:cs="Times New Roman"/>
          <w:color w:val="000000" w:themeColor="text1"/>
        </w:rPr>
        <w:t xml:space="preserve"> </w:t>
      </w:r>
      <w:r w:rsidR="00156BF9" w:rsidRPr="00EF2B7F">
        <w:rPr>
          <w:rFonts w:ascii="Times New Roman" w:eastAsia="Times New Roman" w:hAnsi="Times New Roman" w:cs="Times New Roman"/>
          <w:color w:val="000000" w:themeColor="text1"/>
        </w:rPr>
        <w:t>and Onovbavba</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{"citationID":"sHTv9Pc4","properties":{"formattedCitation":"\\super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23</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showed that 2/3rds of his respondent's which was about </w:t>
      </w:r>
      <w:r w:rsidRPr="00EF2B7F">
        <w:rPr>
          <w:rFonts w:ascii="Times New Roman" w:eastAsia="Times New Roman" w:hAnsi="Times New Roman" w:cs="Times New Roman"/>
          <w:color w:val="000000" w:themeColor="text1"/>
          <w:highlight w:val="white"/>
        </w:rPr>
        <w:t xml:space="preserve">69.9% were worried about the potential side effects that may be associated with the newly approved malaria vaccine. </w:t>
      </w:r>
    </w:p>
    <w:p w14:paraId="3D5FB785"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According to </w:t>
      </w:r>
      <w:proofErr w:type="spellStart"/>
      <w:r w:rsidRPr="00EF2B7F">
        <w:rPr>
          <w:rFonts w:ascii="Times New Roman" w:eastAsia="Times New Roman" w:hAnsi="Times New Roman" w:cs="Times New Roman"/>
          <w:color w:val="000000" w:themeColor="text1"/>
        </w:rPr>
        <w:t>Röbl</w:t>
      </w:r>
      <w:proofErr w:type="spellEnd"/>
      <w:r w:rsidRPr="00EF2B7F">
        <w:rPr>
          <w:rFonts w:ascii="Times New Roman" w:eastAsia="Times New Roman" w:hAnsi="Times New Roman" w:cs="Times New Roman"/>
          <w:color w:val="000000" w:themeColor="text1"/>
        </w:rPr>
        <w:t xml:space="preserve"> et al</w:t>
      </w:r>
      <w:r w:rsidR="00156BF9" w:rsidRPr="00EF2B7F">
        <w:rPr>
          <w:rFonts w:ascii="Times New Roman" w:eastAsia="Times New Roman" w:hAnsi="Times New Roman" w:cs="Times New Roman"/>
          <w:color w:val="000000" w:themeColor="text1"/>
        </w:rPr>
        <w:t>.,</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{"citationID":"7w68IpdH","properties":{"formattedCitation":"\\super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21</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there is an association between the reported number of preventive measures against malaria taken at the household level and vaccine acceptance. The odds of willingness to vaccinate were significantly lower (</w:t>
      </w:r>
      <w:proofErr w:type="spellStart"/>
      <w:r w:rsidRPr="00EF2B7F">
        <w:rPr>
          <w:rFonts w:ascii="Times New Roman" w:eastAsia="Times New Roman" w:hAnsi="Times New Roman" w:cs="Times New Roman"/>
          <w:color w:val="000000" w:themeColor="text1"/>
        </w:rPr>
        <w:t>aOR</w:t>
      </w:r>
      <w:proofErr w:type="spellEnd"/>
      <w:r w:rsidRPr="00EF2B7F">
        <w:rPr>
          <w:rFonts w:ascii="Times New Roman" w:eastAsia="Times New Roman" w:hAnsi="Times New Roman" w:cs="Times New Roman"/>
          <w:color w:val="000000" w:themeColor="text1"/>
        </w:rPr>
        <w:t xml:space="preserve">: 0.55, 95% CI: 0.32–0.94) for caregivers living in households where three preventive measures were taken, than those households with two or fewer preventive measures. </w:t>
      </w:r>
    </w:p>
    <w:p w14:paraId="1C1048C7"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For Taylor et al</w:t>
      </w:r>
      <w:r w:rsidR="00156BF9" w:rsidRPr="00EF2B7F">
        <w:rPr>
          <w:rFonts w:ascii="Times New Roman" w:eastAsia="Times New Roman" w:hAnsi="Times New Roman" w:cs="Times New Roman"/>
          <w:color w:val="000000" w:themeColor="text1"/>
        </w:rPr>
        <w:t>.,</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{"citationID":"AVEyCCJ7","properties":{"formattedCitation":"\\super 24\\nosupersub{}","plainCitation":"24","noteIndex":0},"citationItems":[{"id":968,"uris":["http://zotero.org/users/local/uZHmDmCk/items/68LY262E"],"itemData":{"id":968,"type":"article-journal","abstract":"BACKGROUND: Vaccine hesitancy constitutes a major threat to the Global Polio Eradication Initiative (GPEI), and to further expansion of routine immunisation. Understanding hesitancy, leading in some cases to refusal, is vital to the success of GPEI. Re-emergence of circulating wild poliovirus in northern Nigeria in mid-2016, after 24months polio-free, gives urgency to this. But it is equally important to protect and sustain the global gains available through routine immunisation in a time of rising scepticism and potential rejection of specific vaccines or immunisation more generally.\nMETHODS AND FINDINGS: This study is based on a purposive sampling survey of 1653 households in high- and low-performing rural, semiurban and urban areas of three high-risk states of northern Nigeria in 2013-14 (Sokoto, Kano and Bauchi). The survey sought to understand factors at household and community level associated with propensity to refuse polio vaccine. Wealth, female education and knowledge of vaccines were associated with lower propensity to refuse oral polio vaccine (OPV) among rural households. But higher risk of refusal among wealthier, more literate urban household rendered these findings ambiguous. Ethnic and religious identity did not appear to be associated with risk of OPV refusal. Risk of vaccine refusal was highly clustered among households within a small sub-group of sampled settlements. Contrary to expectations, households in these settlements reported higher levels of expectation of government as service provider, but at the same time lesser confidence in the efficacy of their relations with government.\nCONCLUSIONS: Results suggest that strategies to address the micro-political dimension of vaccination - expanding community-level engagement, strengthening the role of local government in public health, and enhancing public participation of women - should be effective in reducing non-compliance, asan important set of strategies complementary to conventional didactic/educational approaches and working through religious and traditional 'influencers'.","container-title":"Vaccine","DOI":"10.1016/j.vaccine.2017.09.075","ISSN":"1873-2518","issue":"47","journalAbbreviation":"Vaccine","language":"eng","note":"PMID: 29031691","page":"6438-6443","source":"PubMed","title":"Understanding vaccine hesitancy in polio eradication in northern Nigeria","volume":"35","author":[{"family":"Taylor","given":"Sebastian"},{"family":"Khan","given":"Mahmud"},{"family":"Muhammad","given":"Ado"},{"family":"Akpala","given":"Okey"},{"family":"Strien","given":"Marit","non-dropping-particle":"van"},{"family":"Morry","given":"Chris"},{"family":"Feek","given":"Warren"},{"family":"Ogden","given":"Ellyn"}],"issued":{"date-parts":[["2017",11,7]]}}}],"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24</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they found that the role of religion played no influence with the prope</w:t>
      </w:r>
      <w:r w:rsidR="00156BF9" w:rsidRPr="00EF2B7F">
        <w:rPr>
          <w:rFonts w:ascii="Times New Roman" w:eastAsia="Times New Roman" w:hAnsi="Times New Roman" w:cs="Times New Roman"/>
          <w:color w:val="000000" w:themeColor="text1"/>
        </w:rPr>
        <w:t>nsity to refuse the OPV vaccine.</w:t>
      </w:r>
      <w:r w:rsidRPr="00EF2B7F">
        <w:rPr>
          <w:rFonts w:ascii="Times New Roman" w:eastAsia="Times New Roman" w:hAnsi="Times New Roman" w:cs="Times New Roman"/>
          <w:color w:val="000000" w:themeColor="text1"/>
        </w:rPr>
        <w:t xml:space="preserve"> </w:t>
      </w:r>
      <w:r w:rsidR="00156BF9" w:rsidRPr="00EF2B7F">
        <w:rPr>
          <w:rFonts w:ascii="Times New Roman" w:eastAsia="Times New Roman" w:hAnsi="Times New Roman" w:cs="Times New Roman"/>
          <w:color w:val="000000" w:themeColor="text1"/>
        </w:rPr>
        <w:t>H</w:t>
      </w:r>
      <w:r w:rsidRPr="00EF2B7F">
        <w:rPr>
          <w:rFonts w:ascii="Times New Roman" w:eastAsia="Times New Roman" w:hAnsi="Times New Roman" w:cs="Times New Roman"/>
          <w:color w:val="000000" w:themeColor="text1"/>
        </w:rPr>
        <w:t xml:space="preserve">owever, this contrasted with </w:t>
      </w:r>
      <w:proofErr w:type="spellStart"/>
      <w:r w:rsidRPr="00EF2B7F">
        <w:rPr>
          <w:rFonts w:ascii="Times New Roman" w:eastAsia="Times New Roman" w:hAnsi="Times New Roman" w:cs="Times New Roman"/>
          <w:color w:val="000000" w:themeColor="text1"/>
        </w:rPr>
        <w:t>Mollema</w:t>
      </w:r>
      <w:proofErr w:type="spellEnd"/>
      <w:r w:rsidRPr="00EF2B7F">
        <w:rPr>
          <w:rFonts w:ascii="Times New Roman" w:eastAsia="Times New Roman" w:hAnsi="Times New Roman" w:cs="Times New Roman"/>
          <w:color w:val="000000" w:themeColor="text1"/>
        </w:rPr>
        <w:t xml:space="preserve"> et al.</w:t>
      </w:r>
      <w:r w:rsidR="000B0DB3"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{"citationID":"viQN0KOG","properties":{"formattedCitation":"\\super 25\\nosupersub{}","plainCitation":"25","noteIndex":0},"citationItems":[{"id":978,"uris":["http://zotero.org/users/local/uZHmDmCk/items/JKV3LAZH"],"itemData":{"id":978,"type":"article-journal","abstract":"Despite effective national immunisation programmes in Europe, some groups remain incompletely or un-vaccinated (‘under-vaccinated’), with underserved minorities and certain religious/ideological groups repeatedly being involved in outbreaks of vaccine preventable diseases (VPD).","container-title":"BMC Public Health","DOI":"10.1186/s12889-018-5103-8","ISSN":"1471-2458","issue":"1","journalAbbreviation":"BMC Public Health","page":"196","source":"BioMed Central","title":"Under-vaccinated groups in Europe and their beliefs, attitudes and reasons for non-vaccination; two systematic reviews","volume":"18","author":[{"family":"Fournet","given":"N."},{"family":"Mollema","given":"L."},{"family":"Ruijs","given":"W. L."},{"family":"Harmsen","given":"I. A."},{"family":"Keck","given":"F."},{"family":"Durand","given":"J. Y."},{"family":"Cunha","given":"M. P."},{"family":"Wamsiedel","given":"M."},{"family":"Reis","given":"R."},{"family":"French","given":"J."},{"family":"Smit","given":"E. G."},{"family":"Kitching","given":"A."},{"family":"Steenbergen","given":"J. E.","non-dropping-particle":"van"}],"issued":{"date-parts":[["2018",1,30]]}}}],"schema":"https://github.com/citation-style-language/schema/raw/master/csl-citation.json"} </w:instrText>
      </w:r>
      <w:r w:rsidR="000B0DB3"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25</w:t>
      </w:r>
      <w:r w:rsidR="000B0DB3"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individuals without religious beliefs were less like to hesitate to vaccinate than those with religious beliefs. </w:t>
      </w:r>
    </w:p>
    <w:p w14:paraId="37C4BD81" w14:textId="77777777" w:rsidR="00801CDC" w:rsidRPr="00EF2B7F" w:rsidRDefault="00801CDC" w:rsidP="00EF2B7F">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Religious and cultural beliefs have been identified as barriers in some</w:t>
      </w:r>
      <w:r w:rsidR="00156BF9" w:rsidRPr="00EF2B7F">
        <w:rPr>
          <w:rFonts w:ascii="Times New Roman" w:eastAsia="Times New Roman" w:hAnsi="Times New Roman" w:cs="Times New Roman"/>
          <w:color w:val="000000" w:themeColor="text1"/>
        </w:rPr>
        <w:t xml:space="preserve"> contexts. Afolabi and Ilesnmi</w:t>
      </w:r>
      <w:r w:rsidR="00156BF9" w:rsidRPr="00EF2B7F">
        <w:rPr>
          <w:rFonts w:ascii="Times New Roman" w:eastAsia="Times New Roman" w:hAnsi="Times New Roman" w:cs="Times New Roman"/>
          <w:color w:val="000000" w:themeColor="text1"/>
        </w:rPr>
        <w:fldChar w:fldCharType="begin"/>
      </w:r>
      <w:r w:rsidR="00A141F3" w:rsidRPr="00EF2B7F">
        <w:rPr>
          <w:rFonts w:ascii="Times New Roman" w:eastAsia="Times New Roman" w:hAnsi="Times New Roman" w:cs="Times New Roman"/>
          <w:color w:val="000000" w:themeColor="text1"/>
        </w:rPr>
        <w:instrText xml:space="preserve"> ADDIN ZOTERO_ITEM CSL_CITATION {"citationID":"O47uEY6k","properties":{"formattedCitation":"\\super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156BF9" w:rsidRPr="00EF2B7F">
        <w:rPr>
          <w:rFonts w:ascii="Times New Roman" w:eastAsia="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26</w:t>
      </w:r>
      <w:r w:rsidR="00156BF9"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found that certain religious beliefs, particularly those suspecting vaccines of containing forbidden substances or being developed with ulterior motives, negatively influenced acceptance rates in some Nigerian communities.</w:t>
      </w:r>
    </w:p>
    <w:p w14:paraId="11A6D515"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48494A97" w14:textId="77777777" w:rsidR="00156BF9" w:rsidRPr="00EF2B7F" w:rsidRDefault="00156BF9" w:rsidP="00A141F3">
      <w:pPr>
        <w:spacing w:line="276" w:lineRule="auto"/>
        <w:jc w:val="both"/>
        <w:rPr>
          <w:rFonts w:ascii="Times New Roman" w:eastAsia="Times New Roman" w:hAnsi="Times New Roman" w:cs="Times New Roman"/>
          <w:b/>
          <w:color w:val="000000" w:themeColor="text1"/>
        </w:rPr>
      </w:pPr>
    </w:p>
    <w:p w14:paraId="3EBF5307" w14:textId="77777777" w:rsidR="00801CDC" w:rsidRPr="00EF2B7F" w:rsidRDefault="00156BF9"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2.6 INTERVENTIONS TO IMPROVE KNOWLEDGE AND WILLINGNESS</w:t>
      </w:r>
    </w:p>
    <w:p w14:paraId="4CE11B05" w14:textId="77777777" w:rsidR="000467D8" w:rsidRPr="00EF2B7F" w:rsidRDefault="000467D8" w:rsidP="000467D8">
      <w:pPr>
        <w:pStyle w:val="NormalWeb"/>
        <w:jc w:val="both"/>
        <w:rPr>
          <w:color w:val="000000" w:themeColor="text1"/>
        </w:rPr>
      </w:pPr>
      <w:r w:rsidRPr="00EF2B7F">
        <w:rPr>
          <w:color w:val="000000" w:themeColor="text1"/>
        </w:rPr>
        <w:t>Targeted educational interventions have shown promise in improving caregivers' knowledge and willingness to accept malaria vaccination. For instance, Abdulkadir et al.</w:t>
      </w:r>
      <w:r w:rsidRPr="00EF2B7F">
        <w:rPr>
          <w:color w:val="000000" w:themeColor="text1"/>
        </w:rPr>
        <w:fldChar w:fldCharType="begin"/>
      </w:r>
      <w:r w:rsidRPr="00EF2B7F">
        <w:rPr>
          <w:color w:val="000000" w:themeColor="text1"/>
        </w:rPr>
        <w:instrText xml:space="preserve"> ADDIN ZOTERO_ITEM CSL_CITATION {"citationID":"pAxW9D7w","properties":{"formattedCitation":"\\super 27\\nosupersub{}","plainCitation":"27","noteIndex":0},"citationItems":[{"id":972,"uris":["http://zotero.org/users/local/uZHmDmCk/items/2M55ISNI"],"itemData":{"id":972,"type":"article-journal","abstract":"BACKGROUND: Malaria vaccine is a potentially effective addition to the armamentarium for malaria control. The candidate RTS,S malaria vaccine has undergone phase III clinical trials and WHO has indicated that a policy recommendation is possible in 2015. Given the delays with adoption of other novel interventions including vaccines, there is a need to ensure that all elements that will inform the decision to adopt a malaria vaccine, including community willingness, will be available on time. This study was carried out to assess the willingness of caregivers of under-5 children to accept a malaria vaccine once available and recommended for use.\nMATERIALS AND METHODS: 427 consenting caregivers, selected using a cluster sampling technique, from five communities in Ibadan, Nigeria, participated in a questionnaire. In-depth interviews (IDIs) were conducted among 47 key community members. Data were analysed using descriptive statistics, Chi-square and logistic regression at p≤0.05. Thematic content analysis was used to analyse the transcribed IDI data.\nRESULTS: The mean age of survey respondents was 29.8±5.8 years. Only 20.1% of the respondents had ever heard of malaria vaccine; 87.0% showed willingness to accept a malaria vaccine. Reasons stated for not willing included 'husband did not want immunisation' (73.6%), 'felt it might be expensive' (47.2%) and 'felt it might paralyse children' (24.5%). Nearly half (48.7%) of the respondents said that if vaccine is not given orally like polio vaccine it might not be accepted. Influence of community health workers was found to predict willingness to accept a malaria vaccine (OR: 0.316, 95% CI: 0.142-0.705). IDI participants were favourably disposed to introduction of a vaccine against malaria, although they had concerns about the formulation of the vaccine and possible adverse events.\nCONCLUSION: Well-designed communication strategies implemented prior to the introduction of a malaria vaccine would be essential to foster a supportive environment for eventual adoption and acceptance thereof.","container-title":"MalariaWorld Journal","DOI":"10.5281/zenodo.10870005","ISSN":"2214-4374","journalAbbreviation":"Malariaworld J","language":"eng","note":"PMID: 38779629\nPMCID: PMC11107874","page":"2","source":"PubMed","title":"Willingness to accept malaria vaccine among caregivers of under-5 children in Ibadan North Local Government Area, Nigeria","volume":"6","author":[{"family":"Abdulkadir","given":"Beliretu I."},{"family":"Ajayi","given":"Ikeoluwapo O."}],"issued":{"date-parts":[["2015"]]}}}],"schema":"https://github.com/citation-style-language/schema/raw/master/csl-citation.json"} </w:instrText>
      </w:r>
      <w:r w:rsidRPr="00EF2B7F">
        <w:rPr>
          <w:color w:val="000000" w:themeColor="text1"/>
        </w:rPr>
        <w:fldChar w:fldCharType="separate"/>
      </w:r>
      <w:r w:rsidRPr="00EF2B7F">
        <w:rPr>
          <w:color w:val="000000" w:themeColor="text1"/>
          <w:vertAlign w:val="superscript"/>
        </w:rPr>
        <w:t>27</w:t>
      </w:r>
      <w:r w:rsidRPr="00EF2B7F">
        <w:rPr>
          <w:color w:val="000000" w:themeColor="text1"/>
        </w:rPr>
        <w:fldChar w:fldCharType="end"/>
      </w:r>
      <w:r w:rsidRPr="00EF2B7F">
        <w:rPr>
          <w:color w:val="000000" w:themeColor="text1"/>
        </w:rPr>
        <w:t xml:space="preserve"> reported that more than half of the caregivers had good knowledge of childhood vaccination, which may be attributed to intensified and long-standing campaigns promoting such immunization efforts.</w:t>
      </w:r>
    </w:p>
    <w:p w14:paraId="72D662BC" w14:textId="77777777" w:rsidR="000467D8" w:rsidRPr="00EF2B7F" w:rsidRDefault="000467D8" w:rsidP="000467D8">
      <w:pPr>
        <w:pStyle w:val="NormalWeb"/>
        <w:jc w:val="both"/>
        <w:rPr>
          <w:color w:val="000000" w:themeColor="text1"/>
        </w:rPr>
      </w:pPr>
      <w:r w:rsidRPr="00EF2B7F">
        <w:rPr>
          <w:color w:val="000000" w:themeColor="text1"/>
        </w:rPr>
        <w:t>In addition to educational interventions, integrating malaria vaccination with existing child health services has also been associated with improved uptake. Ajayi and Emeto</w:t>
      </w:r>
      <w:r w:rsidRPr="00EF2B7F">
        <w:rPr>
          <w:color w:val="000000" w:themeColor="text1"/>
        </w:rPr>
        <w:fldChar w:fldCharType="begin"/>
      </w:r>
      <w:r w:rsidRPr="00EF2B7F">
        <w:rPr>
          <w:color w:val="000000" w:themeColor="text1"/>
        </w:rPr>
        <w:instrText xml:space="preserve"> ADDIN ZOTERO_ITEM CSL_CITATION {"citationID":"1PYQGN9U","properties":{"formattedCitation":"\\super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Pr="00EF2B7F">
        <w:rPr>
          <w:color w:val="000000" w:themeColor="text1"/>
        </w:rPr>
        <w:fldChar w:fldCharType="separate"/>
      </w:r>
      <w:r w:rsidRPr="00EF2B7F">
        <w:rPr>
          <w:color w:val="000000" w:themeColor="text1"/>
          <w:vertAlign w:val="superscript"/>
        </w:rPr>
        <w:t>12</w:t>
      </w:r>
      <w:r w:rsidRPr="00EF2B7F">
        <w:rPr>
          <w:color w:val="000000" w:themeColor="text1"/>
        </w:rPr>
        <w:fldChar w:fldCharType="end"/>
      </w:r>
      <w:r w:rsidRPr="00EF2B7F">
        <w:rPr>
          <w:color w:val="000000" w:themeColor="text1"/>
        </w:rPr>
        <w:t xml:space="preserve"> suggested that the link between childhood vaccination and malaria vaccine awareness could be explained by the fact that caregivers who routinely take their children for vaccination are more likely to receive information on general health matters, including updates on new vaccines, from healthcare providers.</w:t>
      </w:r>
    </w:p>
    <w:p w14:paraId="2596B0EC" w14:textId="77777777" w:rsidR="000467D8" w:rsidRPr="00EF2B7F" w:rsidRDefault="000467D8" w:rsidP="000467D8">
      <w:pPr>
        <w:pStyle w:val="NormalWeb"/>
        <w:jc w:val="both"/>
        <w:rPr>
          <w:color w:val="000000" w:themeColor="text1"/>
        </w:rPr>
      </w:pPr>
      <w:r w:rsidRPr="00EF2B7F">
        <w:rPr>
          <w:color w:val="000000" w:themeColor="text1"/>
        </w:rPr>
        <w:t>Furthermore, combining messages about the forthcoming malaria vaccine with current malaria prevention strategies should be implemented. They include the use of long-lasting insecticidal nets (LLINs) and Seasonal Malaria Chemoprevention. These efforts are best driven by healthcare workers operating at both community and facility levels to ensure consistent and effective communication.</w:t>
      </w:r>
    </w:p>
    <w:p w14:paraId="210E137F" w14:textId="77777777" w:rsidR="00801CDC" w:rsidRPr="00EF2B7F" w:rsidRDefault="00801CDC" w:rsidP="00A141F3">
      <w:pPr>
        <w:spacing w:line="276" w:lineRule="auto"/>
        <w:jc w:val="both"/>
        <w:rPr>
          <w:rFonts w:ascii="Times New Roman" w:eastAsia="Times New Roman" w:hAnsi="Times New Roman" w:cs="Times New Roman"/>
          <w:b/>
          <w:color w:val="000000" w:themeColor="text1"/>
        </w:rPr>
      </w:pPr>
    </w:p>
    <w:p w14:paraId="340EA6BC" w14:textId="77777777" w:rsidR="00801CDC" w:rsidRPr="00EF2B7F" w:rsidRDefault="00DB32FF"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2.7 KNOWLEDGE GAPS AND FUTURE RESEARCH DIRECTIONS</w:t>
      </w:r>
    </w:p>
    <w:p w14:paraId="311F4B98"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Despite growing research in this area, several knowledge gaps remain. Limited research exists on the sustainability of vaccine acceptance over time, particularly as children require multiple doses over several months. Longitudinal studies examining patterns of acceptance and completion of the full vaccination schedule are needed.</w:t>
      </w:r>
    </w:p>
    <w:p w14:paraId="18A3E322"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relationship between knowledge, attitudes, and actual behavior requires further investigation. Most existing studies measure stated willingness rather than actual vaccine uptake. Research linking knowledge and stated willingness to actual vaccination behavior would provide valuable insights for implementation strategies.</w:t>
      </w:r>
    </w:p>
    <w:p w14:paraId="624D4BD1"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unique dynamics of tertiary healthcare settings compared to primary healthcare facilities or community-based vaccination programs remain understudied. Research specifically examining how the tertiary facility context influences caregiver knowledge and willingness would be valuable for tailoring interventions.</w:t>
      </w:r>
    </w:p>
    <w:p w14:paraId="4A62812B"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40022C35" w14:textId="77777777" w:rsidR="00801CDC" w:rsidRPr="00EF2B7F" w:rsidRDefault="00801CDC" w:rsidP="00A141F3">
      <w:pPr>
        <w:spacing w:line="276" w:lineRule="auto"/>
        <w:jc w:val="both"/>
        <w:rPr>
          <w:rFonts w:ascii="Times New Roman" w:eastAsia="Times New Roman" w:hAnsi="Times New Roman" w:cs="Times New Roman"/>
          <w:color w:val="000000" w:themeColor="text1"/>
        </w:rPr>
      </w:pPr>
    </w:p>
    <w:p w14:paraId="2E66C213" w14:textId="77777777" w:rsidR="00FF558A" w:rsidRPr="00EF2B7F" w:rsidRDefault="00FF558A" w:rsidP="00A141F3">
      <w:pPr>
        <w:spacing w:line="276" w:lineRule="auto"/>
        <w:jc w:val="both"/>
        <w:rPr>
          <w:rFonts w:ascii="Times New Roman" w:eastAsia="Times New Roman" w:hAnsi="Times New Roman" w:cs="Times New Roman"/>
          <w:b/>
          <w:color w:val="000000" w:themeColor="text1"/>
        </w:rPr>
        <w:sectPr w:rsidR="00FF558A" w:rsidRPr="00EF2B7F">
          <w:pgSz w:w="12240" w:h="15840"/>
          <w:pgMar w:top="1440" w:right="1440" w:bottom="1440" w:left="1440" w:header="720" w:footer="720" w:gutter="0"/>
          <w:cols w:space="720"/>
          <w:docGrid w:linePitch="360"/>
        </w:sectPr>
      </w:pPr>
    </w:p>
    <w:p w14:paraId="4BFDE00B" w14:textId="77777777" w:rsidR="00FF558A" w:rsidRPr="00EF2B7F" w:rsidRDefault="00FF558A" w:rsidP="00A141F3">
      <w:pPr>
        <w:spacing w:line="276" w:lineRule="auto"/>
        <w:jc w:val="center"/>
        <w:rPr>
          <w:rFonts w:ascii="Times New Roman" w:hAnsi="Times New Roman" w:cs="Times New Roman"/>
          <w:b/>
          <w:color w:val="000000" w:themeColor="text1"/>
        </w:rPr>
      </w:pPr>
      <w:r w:rsidRPr="00EF2B7F">
        <w:rPr>
          <w:rFonts w:ascii="Times New Roman" w:hAnsi="Times New Roman" w:cs="Times New Roman"/>
          <w:b/>
          <w:color w:val="000000" w:themeColor="text1"/>
        </w:rPr>
        <w:lastRenderedPageBreak/>
        <w:t>RESEARCH METHODOLOGY</w:t>
      </w:r>
    </w:p>
    <w:p w14:paraId="6588E17B" w14:textId="77777777" w:rsidR="00FF558A" w:rsidRPr="00EF2B7F" w:rsidRDefault="00FF558A" w:rsidP="00A141F3">
      <w:p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3.1</w:t>
      </w:r>
      <w:r w:rsidRPr="00EF2B7F">
        <w:rPr>
          <w:rFonts w:ascii="Times New Roman" w:eastAsia="Times New Roman" w:hAnsi="Times New Roman" w:cs="Times New Roman"/>
          <w:b/>
          <w:color w:val="000000" w:themeColor="text1"/>
        </w:rPr>
        <w:tab/>
        <w:t xml:space="preserve"> STUDY AREA</w:t>
      </w:r>
    </w:p>
    <w:p w14:paraId="4F3F2391" w14:textId="77777777" w:rsidR="00FF558A" w:rsidRPr="00EF2B7F" w:rsidRDefault="00A926C1" w:rsidP="00A141F3">
      <w:pPr>
        <w:pStyle w:val="NormalWeb"/>
        <w:spacing w:after="160" w:afterAutospacing="0" w:line="276" w:lineRule="auto"/>
        <w:jc w:val="both"/>
        <w:rPr>
          <w:color w:val="000000" w:themeColor="text1"/>
        </w:rPr>
      </w:pPr>
      <w:r w:rsidRPr="00EF2B7F">
        <w:rPr>
          <w:color w:val="000000" w:themeColor="text1"/>
        </w:rPr>
        <w:t xml:space="preserve">The study was conducted at the University of Nigeria Teaching Hospital (UNTH), </w:t>
      </w:r>
      <w:proofErr w:type="spellStart"/>
      <w:r w:rsidRPr="00EF2B7F">
        <w:rPr>
          <w:color w:val="000000" w:themeColor="text1"/>
        </w:rPr>
        <w:t>Ituku-Ozalla</w:t>
      </w:r>
      <w:proofErr w:type="spellEnd"/>
      <w:r w:rsidRPr="00EF2B7F">
        <w:rPr>
          <w:color w:val="000000" w:themeColor="text1"/>
        </w:rPr>
        <w:t>, in Enugu State, Nigeria, located in the southeastern geopolitical zone. UNTH</w:t>
      </w:r>
      <w:r w:rsidR="00061428" w:rsidRPr="00EF2B7F">
        <w:rPr>
          <w:color w:val="000000" w:themeColor="text1"/>
        </w:rPr>
        <w:t xml:space="preserve"> is located in </w:t>
      </w:r>
      <w:proofErr w:type="spellStart"/>
      <w:r w:rsidR="00061428" w:rsidRPr="00EF2B7F">
        <w:rPr>
          <w:color w:val="000000" w:themeColor="text1"/>
        </w:rPr>
        <w:t>Ituku-Ozalla</w:t>
      </w:r>
      <w:proofErr w:type="spellEnd"/>
      <w:r w:rsidR="00061428" w:rsidRPr="00EF2B7F">
        <w:rPr>
          <w:color w:val="000000" w:themeColor="text1"/>
        </w:rPr>
        <w:t xml:space="preserve">, Enugu State, Nigeria, which has a population of about 3.8 million and is known as the "Coal City." UNTH is a federal tertiary healthcare facility, established in the early 20th century, covering 200 acres with over 500 beds and 41 departments. It provides specialized services in various medical fields and sees about 700 outpatients daily, catering to both local and out-of-state patients. The hospital employs between 1,000 and 5,000 staff members. </w:t>
      </w:r>
      <w:r w:rsidR="00FF558A" w:rsidRPr="00EF2B7F">
        <w:rPr>
          <w:color w:val="000000" w:themeColor="text1"/>
        </w:rPr>
        <w:t>The study w</w:t>
      </w:r>
      <w:r w:rsidRPr="00EF2B7F">
        <w:rPr>
          <w:color w:val="000000" w:themeColor="text1"/>
        </w:rPr>
        <w:t>as done</w:t>
      </w:r>
      <w:r w:rsidR="00FF558A" w:rsidRPr="00EF2B7F">
        <w:rPr>
          <w:color w:val="000000" w:themeColor="text1"/>
        </w:rPr>
        <w:t xml:space="preserve"> at the Immunization Clinic of the Institute of Child Health (ICH), UNTH.</w:t>
      </w:r>
    </w:p>
    <w:p w14:paraId="4444637E" w14:textId="77777777" w:rsidR="00FF558A" w:rsidRPr="00EF2B7F" w:rsidRDefault="00FF558A" w:rsidP="00EF2B7F">
      <w:pPr>
        <w:spacing w:line="276" w:lineRule="auto"/>
        <w:jc w:val="both"/>
        <w:rPr>
          <w:rFonts w:ascii="Times New Roman" w:hAnsi="Times New Roman" w:cs="Times New Roman"/>
          <w:color w:val="000000" w:themeColor="text1"/>
        </w:rPr>
      </w:pPr>
    </w:p>
    <w:p w14:paraId="0EA9AF3E" w14:textId="77777777" w:rsidR="00061428" w:rsidRPr="00EF2B7F" w:rsidRDefault="00061428" w:rsidP="00EF2B7F">
      <w:pPr>
        <w:spacing w:line="276" w:lineRule="auto"/>
        <w:jc w:val="both"/>
        <w:rPr>
          <w:rFonts w:ascii="Times New Roman" w:hAnsi="Times New Roman" w:cs="Times New Roman"/>
          <w:color w:val="000000" w:themeColor="text1"/>
        </w:rPr>
      </w:pPr>
    </w:p>
    <w:p w14:paraId="1EB4A887"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3.2 STUDY DESIGN</w:t>
      </w:r>
    </w:p>
    <w:p w14:paraId="13B21611" w14:textId="77777777" w:rsidR="00FF558A" w:rsidRPr="00EF2B7F" w:rsidRDefault="00FF558A"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This study adopt</w:t>
      </w:r>
      <w:r w:rsidR="00A926C1" w:rsidRPr="00EF2B7F">
        <w:rPr>
          <w:rFonts w:ascii="Times New Roman" w:hAnsi="Times New Roman" w:cs="Times New Roman"/>
          <w:color w:val="000000" w:themeColor="text1"/>
        </w:rPr>
        <w:t>ed</w:t>
      </w:r>
      <w:r w:rsidRPr="00EF2B7F">
        <w:rPr>
          <w:rFonts w:ascii="Times New Roman" w:hAnsi="Times New Roman" w:cs="Times New Roman"/>
          <w:color w:val="000000" w:themeColor="text1"/>
        </w:rPr>
        <w:t xml:space="preserve"> a cross-sectional survey design to assess caregivers' knowledge and willingness regarding malaria vaccination.</w:t>
      </w:r>
    </w:p>
    <w:p w14:paraId="3205478B" w14:textId="77777777" w:rsidR="00FF558A" w:rsidRPr="00EF2B7F" w:rsidRDefault="00FF558A" w:rsidP="00EF2B7F">
      <w:pPr>
        <w:spacing w:line="276" w:lineRule="auto"/>
        <w:jc w:val="both"/>
        <w:rPr>
          <w:rFonts w:ascii="Times New Roman" w:hAnsi="Times New Roman" w:cs="Times New Roman"/>
          <w:color w:val="000000" w:themeColor="text1"/>
        </w:rPr>
      </w:pPr>
    </w:p>
    <w:p w14:paraId="0F967046" w14:textId="77777777" w:rsidR="00FF558A" w:rsidRPr="00EF2B7F" w:rsidRDefault="00FF558A" w:rsidP="00EF2B7F">
      <w:pPr>
        <w:spacing w:line="276" w:lineRule="auto"/>
        <w:jc w:val="both"/>
        <w:rPr>
          <w:rFonts w:ascii="Times New Roman" w:hAnsi="Times New Roman" w:cs="Times New Roman"/>
          <w:color w:val="000000" w:themeColor="text1"/>
        </w:rPr>
      </w:pPr>
    </w:p>
    <w:p w14:paraId="195DD991"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3.3 STUDY POPULATION</w:t>
      </w:r>
    </w:p>
    <w:p w14:paraId="407042A1" w14:textId="77777777" w:rsidR="00FF558A"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study</w:t>
      </w:r>
      <w:r w:rsidR="00FF558A" w:rsidRPr="00EF2B7F">
        <w:rPr>
          <w:rFonts w:ascii="Times New Roman" w:hAnsi="Times New Roman" w:cs="Times New Roman"/>
          <w:color w:val="000000" w:themeColor="text1"/>
        </w:rPr>
        <w:t xml:space="preserve"> focus</w:t>
      </w:r>
      <w:r w:rsidRPr="00EF2B7F">
        <w:rPr>
          <w:rFonts w:ascii="Times New Roman" w:hAnsi="Times New Roman" w:cs="Times New Roman"/>
          <w:color w:val="000000" w:themeColor="text1"/>
        </w:rPr>
        <w:t>ed</w:t>
      </w:r>
      <w:r w:rsidR="00FF558A" w:rsidRPr="00EF2B7F">
        <w:rPr>
          <w:rFonts w:ascii="Times New Roman" w:hAnsi="Times New Roman" w:cs="Times New Roman"/>
          <w:color w:val="000000" w:themeColor="text1"/>
        </w:rPr>
        <w:t xml:space="preserve"> on caregivers of children under five attending a tertiary healthcare facility.</w:t>
      </w:r>
    </w:p>
    <w:p w14:paraId="2DB8E1BF" w14:textId="77777777" w:rsidR="00FF558A" w:rsidRPr="00EF2B7F" w:rsidRDefault="00FF558A" w:rsidP="00EF2B7F">
      <w:pPr>
        <w:spacing w:line="276" w:lineRule="auto"/>
        <w:jc w:val="both"/>
        <w:rPr>
          <w:rFonts w:ascii="Times New Roman" w:hAnsi="Times New Roman" w:cs="Times New Roman"/>
          <w:color w:val="000000" w:themeColor="text1"/>
        </w:rPr>
      </w:pPr>
    </w:p>
    <w:p w14:paraId="28B92C43" w14:textId="77777777" w:rsidR="00F40054" w:rsidRPr="00EF2B7F" w:rsidRDefault="00F40054" w:rsidP="00EF2B7F">
      <w:pPr>
        <w:spacing w:line="276" w:lineRule="auto"/>
        <w:jc w:val="both"/>
        <w:rPr>
          <w:rFonts w:ascii="Times New Roman" w:hAnsi="Times New Roman" w:cs="Times New Roman"/>
          <w:b/>
          <w:color w:val="000000" w:themeColor="text1"/>
        </w:rPr>
      </w:pPr>
    </w:p>
    <w:p w14:paraId="62E3D1F1" w14:textId="77777777" w:rsidR="00FF558A" w:rsidRPr="00EF2B7F" w:rsidRDefault="00FF558A" w:rsidP="00EF2B7F">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3.4 SA</w:t>
      </w:r>
      <w:r w:rsidR="00061428" w:rsidRPr="00EF2B7F">
        <w:rPr>
          <w:rFonts w:ascii="Times New Roman" w:hAnsi="Times New Roman" w:cs="Times New Roman"/>
          <w:b/>
          <w:color w:val="000000" w:themeColor="text1"/>
        </w:rPr>
        <w:t>MPLE SIZE</w:t>
      </w:r>
    </w:p>
    <w:p w14:paraId="58F9EEF4" w14:textId="77777777" w:rsidR="00FF558A" w:rsidRPr="00EF2B7F" w:rsidRDefault="00FF558A"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In t</w:t>
      </w:r>
      <w:r w:rsidR="00A926C1" w:rsidRPr="00EF2B7F">
        <w:rPr>
          <w:rFonts w:ascii="Times New Roman" w:hAnsi="Times New Roman" w:cs="Times New Roman"/>
          <w:color w:val="000000" w:themeColor="text1"/>
        </w:rPr>
        <w:t xml:space="preserve">his study, the sample size was </w:t>
      </w:r>
      <w:r w:rsidRPr="00EF2B7F">
        <w:rPr>
          <w:rFonts w:ascii="Times New Roman" w:hAnsi="Times New Roman" w:cs="Times New Roman"/>
          <w:color w:val="000000" w:themeColor="text1"/>
        </w:rPr>
        <w:t>determined using the Cochran</w:t>
      </w:r>
      <w:r w:rsidR="00061428" w:rsidRPr="00EF2B7F">
        <w:rPr>
          <w:rFonts w:ascii="Times New Roman" w:hAnsi="Times New Roman" w:cs="Times New Roman"/>
          <w:color w:val="000000" w:themeColor="text1"/>
        </w:rPr>
        <w:t>e’s</w:t>
      </w:r>
      <w:r w:rsidRPr="00EF2B7F">
        <w:rPr>
          <w:rFonts w:ascii="Times New Roman" w:hAnsi="Times New Roman" w:cs="Times New Roman"/>
          <w:color w:val="000000" w:themeColor="text1"/>
        </w:rPr>
        <w:t xml:space="preserve"> formula</w:t>
      </w:r>
    </w:p>
    <w:p w14:paraId="0750EFC5" w14:textId="77777777" w:rsidR="00FF558A" w:rsidRPr="00EF2B7F" w:rsidRDefault="00A66CFB" w:rsidP="00EF2B7F">
      <w:pPr>
        <w:spacing w:line="276" w:lineRule="auto"/>
        <w:jc w:val="both"/>
        <w:rPr>
          <w:rFonts w:ascii="Times New Roman" w:hAnsi="Times New Roman" w:cs="Times New Roman"/>
          <w:color w:val="000000" w:themeColor="text1"/>
        </w:rPr>
      </w:pPr>
      <m:oMath>
        <m:sSubSup>
          <m:sSubSupPr>
            <m:ctrlPr>
              <w:rPr>
                <w:rFonts w:ascii="Cambria Math" w:hAnsi="Cambria Math" w:cs="Times New Roman"/>
                <w:color w:val="000000" w:themeColor="text1"/>
              </w:rPr>
            </m:ctrlPr>
          </m:sSubSupPr>
          <m:e>
            <m:r>
              <m:rPr>
                <m:nor/>
              </m:rPr>
              <w:rPr>
                <w:rFonts w:ascii="Times New Roman" w:hAnsi="Times New Roman" w:cs="Times New Roman"/>
                <w:color w:val="000000" w:themeColor="text1"/>
              </w:rPr>
              <m:t>n=</m:t>
            </m:r>
          </m:e>
          <m:sub>
            <m:r>
              <m:rPr>
                <m:nor/>
              </m:rPr>
              <w:rPr>
                <w:rFonts w:ascii="Times New Roman" w:hAnsi="Times New Roman" w:cs="Times New Roman"/>
                <w:color w:val="000000" w:themeColor="text1"/>
              </w:rPr>
              <m:t>d</m:t>
            </m:r>
            <m:r>
              <m:rPr>
                <m:nor/>
              </m:rPr>
              <w:rPr>
                <w:rFonts w:ascii="Times New Roman" w:hAnsi="Times New Roman" w:cs="Times New Roman"/>
                <w:color w:val="000000" w:themeColor="text1"/>
                <w:vertAlign w:val="superscript"/>
              </w:rPr>
              <m:t>2</m:t>
            </m:r>
          </m:sub>
          <m:sup>
            <m:r>
              <m:rPr>
                <m:nor/>
              </m:rPr>
              <w:rPr>
                <w:rFonts w:ascii="Times New Roman" w:hAnsi="Times New Roman" w:cs="Times New Roman"/>
                <w:color w:val="000000" w:themeColor="text1"/>
                <w:u w:val="single"/>
              </w:rPr>
              <m:t>Z</m:t>
            </m:r>
            <m:r>
              <m:rPr>
                <m:nor/>
              </m:rPr>
              <w:rPr>
                <w:rFonts w:ascii="Times New Roman" w:hAnsi="Times New Roman" w:cs="Times New Roman"/>
                <w:color w:val="000000" w:themeColor="text1"/>
              </w:rPr>
              <m:t>α</m:t>
            </m:r>
            <m:r>
              <m:rPr>
                <m:nor/>
              </m:rPr>
              <w:rPr>
                <w:rFonts w:ascii="Times New Roman" w:hAnsi="Times New Roman" w:cs="Times New Roman"/>
                <w:color w:val="000000" w:themeColor="text1"/>
                <w:u w:val="single"/>
                <w:vertAlign w:val="superscript"/>
              </w:rPr>
              <m:t>2</m:t>
            </m:r>
            <m:r>
              <m:rPr>
                <m:nor/>
              </m:rPr>
              <w:rPr>
                <w:rFonts w:ascii="Times New Roman" w:hAnsi="Times New Roman" w:cs="Times New Roman"/>
                <w:color w:val="000000" w:themeColor="text1"/>
                <w:u w:val="single"/>
              </w:rPr>
              <m:t>p(1-p)</m:t>
            </m:r>
          </m:sup>
        </m:sSubSup>
      </m:oMath>
      <w:r w:rsidR="00FF558A" w:rsidRPr="00EF2B7F">
        <w:rPr>
          <w:rFonts w:ascii="Times New Roman" w:hAnsi="Times New Roman" w:cs="Times New Roman"/>
          <w:color w:val="000000" w:themeColor="text1"/>
        </w:rPr>
        <w:t xml:space="preserve"> , where:</w:t>
      </w:r>
    </w:p>
    <w:p w14:paraId="470B05F9"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the minimum sample size required</w:t>
      </w:r>
    </w:p>
    <w:p w14:paraId="0CF0FE26"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zα = the standard normal deviation usually set at 1.96, which corresponds to the 95% confidence level </w:t>
      </w:r>
    </w:p>
    <w:p w14:paraId="14529F5F"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p = the prevalence rate obtained from a literature review from a previous study</w:t>
      </w:r>
    </w:p>
    <w:p w14:paraId="40B8AF64"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d = the degree of accuracy desired, usually set at 0.05</w:t>
      </w:r>
    </w:p>
    <w:p w14:paraId="082D6BCB" w14:textId="77777777" w:rsidR="00061428" w:rsidRPr="00EF2B7F" w:rsidRDefault="00061428" w:rsidP="00EF2B7F">
      <w:pPr>
        <w:spacing w:line="276" w:lineRule="auto"/>
        <w:jc w:val="both"/>
        <w:rPr>
          <w:rFonts w:ascii="Times New Roman" w:hAnsi="Times New Roman" w:cs="Times New Roman"/>
          <w:color w:val="000000" w:themeColor="text1"/>
        </w:rPr>
      </w:pPr>
    </w:p>
    <w:p w14:paraId="518D03C4"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From a previous study</w:t>
      </w:r>
      <w:r w:rsidRPr="00EF2B7F">
        <w:rPr>
          <w:rFonts w:ascii="Times New Roman" w:hAnsi="Times New Roman" w:cs="Times New Roman"/>
          <w:color w:val="000000" w:themeColor="text1"/>
        </w:rPr>
        <w:fldChar w:fldCharType="begin"/>
      </w:r>
      <w:r w:rsidR="00A141F3" w:rsidRPr="00EF2B7F">
        <w:rPr>
          <w:rFonts w:ascii="Times New Roman" w:hAnsi="Times New Roman" w:cs="Times New Roman"/>
          <w:color w:val="000000" w:themeColor="text1"/>
        </w:rPr>
        <w:instrText xml:space="preserve"> ADDIN ZOTERO_ITEM CSL_CITATION {"citationID":"Sb9GVPad","properties":{"formattedCitation":"\\super 28\\nosupersub{}","plainCitation":"28","noteIndex":0},"citationItems":[{"id":974,"uris":["http://zotero.org/users/local/uZHmDmCk/items/HVN4DYAE"],"itemData":{"id":974,"type":"article-journal","abstract":"BACKGROUND: Malaria exists as an endemic in many countries including Bangladesh and the malaria vaccine is not yet available here. The study aimed to assess the level of knowledge and acceptance of the malaria vaccination among the parents of children under the age of five in Bangladesh's malaria-endemic areas and the sociodemographic, behavioural, and household factors associated with the acceptance and knowledge of the malaria vaccine.\nMETHODS: From January to March 2022, a cross-sectional study was conducted in all five malaria-endemic districts of Bangladesh, involving 405 parents of children under the age of 5 who met the inclusion criteria. Multiple logistic regression was used to analyze the factor affecting parents' acceptance and knowledge of malaria vaccination in children under five and other variables.\nRESULTS: Majority (54%) of the respondents were mothers. Almost half (49%) of the respondents were aged between 26 and 35 years old and around 90% were from rural areas. A small portion (20%) of the participants were housewives and 46% of them completed primary education. Overall, 70% of the study participants reported that they would accept malaria vaccination independently. About one-fourth (25%) heard about the malaria vaccine and 48% of them mentioned health professionals as the source of information. Knowledge of malaria vaccination was found associated with residence, income, and family size. Acceptance and knowledge were both associated with residence, education, occupation, income, and family size. In a multivariable analysis, housing structure, house wall, house window, knowledge of malaria, testing for malaria, and being diagnosed with malaria were all associated with knowledge of and acceptance of getting vaccinated against malaria.\nCONCLUSIONS: The present study highlights the necessity of creating awareness of malaria vaccines in epidemic areas of Bangladesh. This study offers crucial data to develop a policy for a novel malaria vaccine, supporting its adoption in Bangladesh.\nPUBLIC CONTRIBUTION: This study was based on interviews. The interviewees were recruited as public representatives from the malaria-endemic area to assist us in building an understanding of knowledge and acceptance of the malaria vaccine among parents of under-five children in Bangladesh.","container-title":"Health Expectations: An International Journal of Public Participation in Health Care and Health Policy","DOI":"10.1111/hex.13862","ISSN":"1369-7625","issue":"6","journalAbbreviation":"Health Expect","language":"eng","note":"PMID: 37661603\nPMCID: PMC10632622","page":"2630-2643","source":"PubMed","title":"Knowledge and acceptance of malaria vaccine among parents of under-five children of malaria endemic areas in Bangladesh: A cross-sectional study","title-short":"Knowledge and acceptance of malaria vaccine among parents of under-five children of malaria endemic areas in Bangladesh","volume":"26","author":[{"family":"Amin","given":"Mohammad Ashraful"},{"family":"Afrin","given":"Sadia"},{"family":"Bonna","given":"Atia S."},{"family":"Rozars","given":"Md Faisal K."},{"family":"Nabi","given":"Mohammad Hayatun"},{"family":"Hawlader","given":"Mohammad Delwer H."}],"issued":{"date-parts":[["2023",12]]}}}],"schema":"https://github.com/citation-style-language/schema/raw/master/csl-citation.json"} </w:instrText>
      </w:r>
      <w:r w:rsidRPr="00EF2B7F">
        <w:rPr>
          <w:rFonts w:ascii="Times New Roman" w:hAnsi="Times New Roman" w:cs="Times New Roman"/>
          <w:color w:val="000000" w:themeColor="text1"/>
        </w:rPr>
        <w:fldChar w:fldCharType="separate"/>
      </w:r>
      <w:r w:rsidR="00A141F3" w:rsidRPr="00EF2B7F">
        <w:rPr>
          <w:rFonts w:ascii="Times New Roman" w:hAnsi="Times New Roman" w:cs="Times New Roman"/>
          <w:color w:val="000000" w:themeColor="text1"/>
          <w:vertAlign w:val="superscript"/>
        </w:rPr>
        <w:t>28</w:t>
      </w:r>
      <w:r w:rsidRPr="00EF2B7F">
        <w:rPr>
          <w:rFonts w:ascii="Times New Roman" w:hAnsi="Times New Roman" w:cs="Times New Roman"/>
          <w:color w:val="000000" w:themeColor="text1"/>
        </w:rPr>
        <w:fldChar w:fldCharType="end"/>
      </w:r>
      <w:r w:rsidRPr="00EF2B7F">
        <w:rPr>
          <w:rFonts w:ascii="Times New Roman" w:hAnsi="Times New Roman" w:cs="Times New Roman"/>
          <w:color w:val="000000" w:themeColor="text1"/>
        </w:rPr>
        <w:t xml:space="preserve"> conducted on Knowledge and acceptance of malaria vaccine among parents of under-five children of malaria endemic areas, p = 70 % (or 0.7)</w:t>
      </w:r>
    </w:p>
    <w:p w14:paraId="29D658CF"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sample size (n) for this study is hence:</w:t>
      </w:r>
    </w:p>
    <w:p w14:paraId="1F19D88A"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w:t>
      </w:r>
      <w:proofErr w:type="gramStart"/>
      <w:r w:rsidRPr="00EF2B7F">
        <w:rPr>
          <w:rFonts w:ascii="Times New Roman" w:hAnsi="Times New Roman" w:cs="Times New Roman"/>
          <w:color w:val="000000" w:themeColor="text1"/>
        </w:rPr>
        <w:t>1.96)^</w:t>
      </w:r>
      <w:proofErr w:type="gramEnd"/>
      <w:r w:rsidRPr="00EF2B7F">
        <w:rPr>
          <w:rFonts w:ascii="Times New Roman" w:hAnsi="Times New Roman" w:cs="Times New Roman"/>
          <w:color w:val="000000" w:themeColor="text1"/>
        </w:rPr>
        <w:t>2 * 0.7</w:t>
      </w:r>
      <w:r w:rsidR="00061428" w:rsidRPr="00EF2B7F">
        <w:rPr>
          <w:rFonts w:ascii="Times New Roman" w:hAnsi="Times New Roman" w:cs="Times New Roman"/>
          <w:color w:val="000000" w:themeColor="text1"/>
        </w:rPr>
        <w:t xml:space="preserve"> * (1 - 0.</w:t>
      </w:r>
      <w:r w:rsidRPr="00EF2B7F">
        <w:rPr>
          <w:rFonts w:ascii="Times New Roman" w:hAnsi="Times New Roman" w:cs="Times New Roman"/>
          <w:color w:val="000000" w:themeColor="text1"/>
        </w:rPr>
        <w:t>7</w:t>
      </w:r>
      <w:r w:rsidR="00061428" w:rsidRPr="00EF2B7F">
        <w:rPr>
          <w:rFonts w:ascii="Times New Roman" w:hAnsi="Times New Roman" w:cs="Times New Roman"/>
          <w:color w:val="000000" w:themeColor="text1"/>
        </w:rPr>
        <w:t>) / (0.05)^2</w:t>
      </w:r>
    </w:p>
    <w:p w14:paraId="3D94E9B8"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n = </w:t>
      </w:r>
      <w:r w:rsidR="00A926C1" w:rsidRPr="00EF2B7F">
        <w:rPr>
          <w:rFonts w:ascii="Times New Roman" w:hAnsi="Times New Roman" w:cs="Times New Roman"/>
          <w:color w:val="000000" w:themeColor="text1"/>
        </w:rPr>
        <w:t>0.806736</w:t>
      </w:r>
      <w:r w:rsidRPr="00EF2B7F">
        <w:rPr>
          <w:rFonts w:ascii="Times New Roman" w:hAnsi="Times New Roman" w:cs="Times New Roman"/>
          <w:color w:val="000000" w:themeColor="text1"/>
        </w:rPr>
        <w:t xml:space="preserve"> / 0.0025</w:t>
      </w:r>
    </w:p>
    <w:p w14:paraId="14D70B8B"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32</w:t>
      </w:r>
      <w:r w:rsidR="00061428" w:rsidRPr="00EF2B7F">
        <w:rPr>
          <w:rFonts w:ascii="Times New Roman" w:hAnsi="Times New Roman" w:cs="Times New Roman"/>
          <w:color w:val="000000" w:themeColor="text1"/>
        </w:rPr>
        <w:t>2.</w:t>
      </w:r>
      <w:r w:rsidRPr="00EF2B7F">
        <w:rPr>
          <w:rFonts w:ascii="Times New Roman" w:hAnsi="Times New Roman" w:cs="Times New Roman"/>
          <w:color w:val="000000" w:themeColor="text1"/>
        </w:rPr>
        <w:t>69</w:t>
      </w:r>
    </w:p>
    <w:p w14:paraId="18E282DA"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Rounded up: n ≈ 3</w:t>
      </w:r>
      <w:r w:rsidR="00A926C1" w:rsidRPr="00EF2B7F">
        <w:rPr>
          <w:rFonts w:ascii="Times New Roman" w:hAnsi="Times New Roman" w:cs="Times New Roman"/>
          <w:color w:val="000000" w:themeColor="text1"/>
        </w:rPr>
        <w:t>2</w:t>
      </w:r>
      <w:r w:rsidRPr="00EF2B7F">
        <w:rPr>
          <w:rFonts w:ascii="Times New Roman" w:hAnsi="Times New Roman" w:cs="Times New Roman"/>
          <w:color w:val="000000" w:themeColor="text1"/>
        </w:rPr>
        <w:t>3</w:t>
      </w:r>
    </w:p>
    <w:p w14:paraId="44C2B73E"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br/>
        <w:t>To account for dropout or non-response, 10% attrition rate is considered for the sample size as follows:</w:t>
      </w:r>
    </w:p>
    <w:p w14:paraId="7CFC9B63"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n / (1 - r)</w:t>
      </w:r>
    </w:p>
    <w:p w14:paraId="01E22B51"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32</w:t>
      </w:r>
      <w:r w:rsidR="00061428" w:rsidRPr="00EF2B7F">
        <w:rPr>
          <w:rFonts w:ascii="Times New Roman" w:hAnsi="Times New Roman" w:cs="Times New Roman"/>
          <w:color w:val="000000" w:themeColor="text1"/>
        </w:rPr>
        <w:t>3 / (1 - 0.10)</w:t>
      </w:r>
    </w:p>
    <w:p w14:paraId="5CA469C3"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32</w:t>
      </w:r>
      <w:r w:rsidR="00061428" w:rsidRPr="00EF2B7F">
        <w:rPr>
          <w:rFonts w:ascii="Times New Roman" w:hAnsi="Times New Roman" w:cs="Times New Roman"/>
          <w:color w:val="000000" w:themeColor="text1"/>
        </w:rPr>
        <w:t>3 / 0.90</w:t>
      </w:r>
    </w:p>
    <w:p w14:paraId="2A7A458B"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358.89</w:t>
      </w:r>
    </w:p>
    <w:p w14:paraId="2FCABEF6" w14:textId="77777777" w:rsidR="00061428"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359</w:t>
      </w:r>
    </w:p>
    <w:p w14:paraId="100CB890" w14:textId="77777777" w:rsidR="00061428" w:rsidRPr="00EF2B7F" w:rsidRDefault="0006142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Hence, a sample size of </w:t>
      </w:r>
      <w:r w:rsidR="00A926C1" w:rsidRPr="00EF2B7F">
        <w:rPr>
          <w:rFonts w:ascii="Times New Roman" w:hAnsi="Times New Roman" w:cs="Times New Roman"/>
          <w:b/>
          <w:color w:val="000000" w:themeColor="text1"/>
        </w:rPr>
        <w:t>359</w:t>
      </w:r>
      <w:r w:rsidR="00A926C1" w:rsidRPr="00EF2B7F">
        <w:rPr>
          <w:rFonts w:ascii="Times New Roman" w:hAnsi="Times New Roman" w:cs="Times New Roman"/>
          <w:color w:val="000000" w:themeColor="text1"/>
        </w:rPr>
        <w:t xml:space="preserve"> was</w:t>
      </w:r>
      <w:r w:rsidRPr="00EF2B7F">
        <w:rPr>
          <w:rFonts w:ascii="Times New Roman" w:hAnsi="Times New Roman" w:cs="Times New Roman"/>
          <w:color w:val="000000" w:themeColor="text1"/>
        </w:rPr>
        <w:t xml:space="preserve"> be used for the study.</w:t>
      </w:r>
    </w:p>
    <w:p w14:paraId="531133F1" w14:textId="77777777" w:rsidR="00FF558A" w:rsidRPr="00EF2B7F" w:rsidRDefault="00FF558A" w:rsidP="00EF2B7F">
      <w:pPr>
        <w:spacing w:line="276" w:lineRule="auto"/>
        <w:jc w:val="both"/>
        <w:rPr>
          <w:rFonts w:ascii="Times New Roman" w:hAnsi="Times New Roman" w:cs="Times New Roman"/>
          <w:color w:val="000000" w:themeColor="text1"/>
        </w:rPr>
      </w:pPr>
    </w:p>
    <w:p w14:paraId="56029744" w14:textId="77777777" w:rsidR="00A926C1" w:rsidRPr="00EF2B7F" w:rsidRDefault="00A926C1" w:rsidP="00EF2B7F">
      <w:pPr>
        <w:spacing w:line="276" w:lineRule="auto"/>
        <w:jc w:val="both"/>
        <w:rPr>
          <w:rFonts w:ascii="Times New Roman" w:hAnsi="Times New Roman" w:cs="Times New Roman"/>
          <w:color w:val="000000" w:themeColor="text1"/>
        </w:rPr>
      </w:pPr>
    </w:p>
    <w:p w14:paraId="3C71E910" w14:textId="77777777" w:rsidR="00A926C1" w:rsidRPr="00EF2B7F" w:rsidRDefault="00A926C1" w:rsidP="00EF2B7F">
      <w:pPr>
        <w:pStyle w:val="ListParagraph"/>
        <w:numPr>
          <w:ilvl w:val="1"/>
          <w:numId w:val="5"/>
        </w:num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SAMPLING TECHNIQUE</w:t>
      </w:r>
    </w:p>
    <w:p w14:paraId="7906F116"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 simple random sampling technique was employed to select caregivers attending the Institute of Child Health for participation in the study. A comprehensive daily attendance register of caregivers accompanying children to the facility served as the sampling frame. Each eligible caregiver (those who meet the study inclusion criteria) was assigned a unique identification number.</w:t>
      </w:r>
    </w:p>
    <w:p w14:paraId="1A5BD6E0"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Using a random number generator, numbers corresponding to selected caregivers was drawn without replacement until the required sample size of 30 per day was attained. Recruitment continued across multiple clinic days, with the sampling process repeated every immunization day from the updated list of eligible caregivers, to ensure that the final total reaches the target of 359 participants.</w:t>
      </w:r>
    </w:p>
    <w:p w14:paraId="504F08D8"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This approach ensures that each eligible caregiver has an equal and independent chance of being selected, thereby minimizing selection bias and enhancing the representativeness of the sample.</w:t>
      </w:r>
    </w:p>
    <w:p w14:paraId="316FDB72" w14:textId="77777777" w:rsidR="002E7B69" w:rsidRPr="00EF2B7F" w:rsidRDefault="002E7B69" w:rsidP="00EF2B7F">
      <w:pPr>
        <w:pStyle w:val="NormalWeb"/>
        <w:spacing w:line="276" w:lineRule="auto"/>
        <w:rPr>
          <w:rStyle w:val="Strong"/>
          <w:rFonts w:eastAsia="SimSun"/>
          <w:color w:val="000000" w:themeColor="text1"/>
        </w:rPr>
      </w:pPr>
    </w:p>
    <w:p w14:paraId="77108D6C" w14:textId="6BE47B79" w:rsidR="002E7B69" w:rsidRPr="00EF2B7F" w:rsidRDefault="002E7B69" w:rsidP="00EF2B7F">
      <w:pPr>
        <w:pStyle w:val="NormalWeb"/>
        <w:spacing w:line="276" w:lineRule="auto"/>
        <w:rPr>
          <w:color w:val="000000" w:themeColor="text1"/>
        </w:rPr>
      </w:pPr>
      <w:r w:rsidRPr="00EF2B7F">
        <w:rPr>
          <w:rStyle w:val="Strong"/>
          <w:rFonts w:eastAsia="SimSun"/>
          <w:color w:val="000000" w:themeColor="text1"/>
        </w:rPr>
        <w:t>3.6 INCLUSION AND EXCLUSION CRITERIA</w:t>
      </w:r>
      <w:r w:rsidRPr="00EF2B7F">
        <w:rPr>
          <w:color w:val="000000" w:themeColor="text1"/>
        </w:rPr>
        <w:br/>
      </w:r>
      <w:r w:rsidRPr="00EF2B7F">
        <w:rPr>
          <w:rStyle w:val="Emphasis"/>
          <w:i w:val="0"/>
          <w:color w:val="000000" w:themeColor="text1"/>
        </w:rPr>
        <w:t>Inclusion Criteria:</w:t>
      </w:r>
    </w:p>
    <w:p w14:paraId="510E4E10"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Caregivers of children under five attending the ICH clinic.</w:t>
      </w:r>
    </w:p>
    <w:p w14:paraId="2CD58FF5"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Aged 18 years and above.</w:t>
      </w:r>
    </w:p>
    <w:p w14:paraId="1800832C" w14:textId="77777777" w:rsidR="002E7B69" w:rsidRPr="00EF2B7F" w:rsidRDefault="002E7B69" w:rsidP="00EF2B7F">
      <w:pPr>
        <w:pStyle w:val="NormalWeb"/>
        <w:numPr>
          <w:ilvl w:val="0"/>
          <w:numId w:val="25"/>
        </w:numPr>
        <w:spacing w:line="276" w:lineRule="auto"/>
        <w:rPr>
          <w:color w:val="000000" w:themeColor="text1"/>
        </w:rPr>
      </w:pPr>
      <w:r w:rsidRPr="00EF2B7F">
        <w:rPr>
          <w:color w:val="000000" w:themeColor="text1"/>
        </w:rPr>
        <w:t>Willing to participate and provide informed consent.</w:t>
      </w:r>
    </w:p>
    <w:p w14:paraId="66B4E84D" w14:textId="77777777" w:rsidR="002E7B69" w:rsidRPr="00EF2B7F" w:rsidRDefault="002E7B69" w:rsidP="00EF2B7F">
      <w:pPr>
        <w:pStyle w:val="NormalWeb"/>
        <w:spacing w:line="276" w:lineRule="auto"/>
        <w:rPr>
          <w:i/>
          <w:color w:val="000000" w:themeColor="text1"/>
        </w:rPr>
      </w:pPr>
      <w:r w:rsidRPr="00EF2B7F">
        <w:rPr>
          <w:rStyle w:val="Emphasis"/>
          <w:i w:val="0"/>
          <w:color w:val="000000" w:themeColor="text1"/>
        </w:rPr>
        <w:t>Exclusion Criteria:</w:t>
      </w:r>
    </w:p>
    <w:p w14:paraId="4540D074"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Caregivers who declined consent.</w:t>
      </w:r>
    </w:p>
    <w:p w14:paraId="6289BCFE"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Those critically ill or unable to respond appropriately.</w:t>
      </w:r>
    </w:p>
    <w:p w14:paraId="592447B8" w14:textId="77777777" w:rsidR="002E7B69" w:rsidRPr="00EF2B7F" w:rsidRDefault="002E7B69" w:rsidP="00EF2B7F">
      <w:pPr>
        <w:pStyle w:val="NormalWeb"/>
        <w:numPr>
          <w:ilvl w:val="0"/>
          <w:numId w:val="26"/>
        </w:numPr>
        <w:spacing w:line="276" w:lineRule="auto"/>
        <w:rPr>
          <w:color w:val="000000" w:themeColor="text1"/>
        </w:rPr>
      </w:pPr>
      <w:r w:rsidRPr="00EF2B7F">
        <w:rPr>
          <w:color w:val="000000" w:themeColor="text1"/>
        </w:rPr>
        <w:t>Health professionals or caregivers already participating in similar studies.</w:t>
      </w:r>
    </w:p>
    <w:p w14:paraId="0A2DD4E5" w14:textId="77777777" w:rsidR="002E7B69" w:rsidRPr="00EF2B7F" w:rsidRDefault="002E7B69" w:rsidP="00EF2B7F">
      <w:pPr>
        <w:spacing w:line="276" w:lineRule="auto"/>
        <w:jc w:val="both"/>
        <w:rPr>
          <w:rFonts w:ascii="Times New Roman" w:hAnsi="Times New Roman" w:cs="Times New Roman"/>
          <w:color w:val="000000" w:themeColor="text1"/>
        </w:rPr>
      </w:pPr>
    </w:p>
    <w:p w14:paraId="119FD34B" w14:textId="107CEB80" w:rsidR="00A926C1" w:rsidRPr="00EF2B7F" w:rsidRDefault="00A926C1" w:rsidP="00EF2B7F">
      <w:pPr>
        <w:pStyle w:val="ListParagraph"/>
        <w:numPr>
          <w:ilvl w:val="1"/>
          <w:numId w:val="27"/>
        </w:num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DATA COLLECTION TOOL</w:t>
      </w:r>
    </w:p>
    <w:p w14:paraId="3B79AA15"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A semi-structured interviewer-administered questionnaire was used for data collections</w:t>
      </w:r>
    </w:p>
    <w:p w14:paraId="457EBD32"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sections included:</w:t>
      </w:r>
    </w:p>
    <w:p w14:paraId="2A2D11A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A: Socio-Demographic Data.</w:t>
      </w:r>
    </w:p>
    <w:p w14:paraId="1E0A785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B: Knowledge of malaria vaccine among Caregivers of Under-five children attending the ICH at UNTH</w:t>
      </w:r>
    </w:p>
    <w:p w14:paraId="12B6E764"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Section C: Willingness to uptake of malaria vaccine among Caregivers of Under-five children attending ICH at UNTH</w:t>
      </w:r>
    </w:p>
    <w:p w14:paraId="0DD795A3" w14:textId="77777777" w:rsidR="00A926C1" w:rsidRPr="00EF2B7F" w:rsidRDefault="00A926C1" w:rsidP="00EF2B7F">
      <w:pPr>
        <w:numPr>
          <w:ilvl w:val="0"/>
          <w:numId w:val="2"/>
        </w:num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Section D: Barriers associated with the uptake of malaria vaccine among Caregivers of Under-five children attending ICH at UNTH </w:t>
      </w:r>
    </w:p>
    <w:p w14:paraId="1CB0F483" w14:textId="77777777" w:rsidR="002E7B69" w:rsidRPr="00EF2B7F" w:rsidRDefault="002E7B69" w:rsidP="00EF2B7F">
      <w:pPr>
        <w:spacing w:line="276" w:lineRule="auto"/>
        <w:jc w:val="both"/>
        <w:rPr>
          <w:rFonts w:ascii="Times New Roman" w:eastAsia="Times New Roman" w:hAnsi="Times New Roman" w:cs="Times New Roman"/>
          <w:b/>
          <w:color w:val="000000" w:themeColor="text1"/>
        </w:rPr>
      </w:pPr>
    </w:p>
    <w:p w14:paraId="3761CA31" w14:textId="7C129754" w:rsidR="002E7B69" w:rsidRPr="00EF2B7F" w:rsidRDefault="002E7B69" w:rsidP="00EF2B7F">
      <w:pPr>
        <w:pStyle w:val="ListParagraph"/>
        <w:numPr>
          <w:ilvl w:val="1"/>
          <w:numId w:val="27"/>
        </w:numPr>
        <w:spacing w:before="100" w:beforeAutospacing="1" w:after="100" w:afterAutospacing="1" w:line="276" w:lineRule="auto"/>
        <w:jc w:val="both"/>
        <w:rPr>
          <w:rFonts w:ascii="Times New Roman" w:eastAsia="Times New Roman" w:hAnsi="Times New Roman" w:cs="Times New Roman"/>
          <w:b/>
          <w:bCs/>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PRETESTING OF INSTRUMENT</w:t>
      </w:r>
    </w:p>
    <w:p w14:paraId="4BA0FBB0" w14:textId="47AE329A"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Prior to the main data collection, the questionnaire was pretested among 20 caregivers of under-five children attending a different outpatient clinic within the same teaching hospital to ensure clarity, relevance, and appropriateness of the items. Feedback from the respondents helped to identify ambiguous or confusing questions, which were subsequently revised for better understanding. The pretest also enabled the research team to estimate the average time required to complete the questionnaire and to evaluate the flow of questions for logical consistency. </w:t>
      </w:r>
    </w:p>
    <w:p w14:paraId="79E46E51" w14:textId="77777777"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p>
    <w:p w14:paraId="70446487" w14:textId="0E44A759" w:rsidR="002E7B69" w:rsidRPr="00EF2B7F" w:rsidRDefault="002E7B69" w:rsidP="00EF2B7F">
      <w:pPr>
        <w:pStyle w:val="ListParagraph"/>
        <w:numPr>
          <w:ilvl w:val="1"/>
          <w:numId w:val="27"/>
        </w:numPr>
        <w:spacing w:before="100" w:beforeAutospacing="1" w:after="100" w:afterAutospacing="1" w:line="276" w:lineRule="auto"/>
        <w:jc w:val="both"/>
        <w:rPr>
          <w:rFonts w:ascii="Times New Roman" w:eastAsia="Times New Roman" w:hAnsi="Times New Roman" w:cs="Times New Roman"/>
          <w:b/>
          <w:bCs/>
          <w:color w:val="000000" w:themeColor="text1"/>
          <w:kern w:val="0"/>
          <w14:ligatures w14:val="none"/>
        </w:rPr>
      </w:pPr>
      <w:r w:rsidRPr="00EF2B7F">
        <w:rPr>
          <w:rFonts w:ascii="Times New Roman" w:eastAsia="Times New Roman" w:hAnsi="Times New Roman" w:cs="Times New Roman"/>
          <w:b/>
          <w:bCs/>
          <w:color w:val="000000" w:themeColor="text1"/>
          <w:kern w:val="0"/>
          <w14:ligatures w14:val="none"/>
        </w:rPr>
        <w:t>RELIABILITY OF QUESTIONNAIRE</w:t>
      </w:r>
    </w:p>
    <w:p w14:paraId="4B692265" w14:textId="22BD945C" w:rsidR="002E7B69" w:rsidRPr="00EF2B7F" w:rsidRDefault="002E7B69" w:rsidP="00EF2B7F">
      <w:pPr>
        <w:spacing w:before="100" w:beforeAutospacing="1" w:after="100" w:afterAutospacing="1"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The draft questionnaire was pre</w:t>
      </w:r>
      <w:r w:rsidRPr="00EF2B7F">
        <w:rPr>
          <w:rFonts w:ascii="Times New Roman" w:hAnsi="Times New Roman" w:cs="Times New Roman"/>
          <w:color w:val="000000" w:themeColor="text1"/>
        </w:rPr>
        <w:noBreakHyphen/>
        <w:t>tested on 20 caregivers. Items were recoded so that higher scores uniformly reflected greater knowledge or willingness. Reliability was then assessed with Cronbach’s alpha in SPSS v26; the final α for the knowledge scale was 0.81, indicating good internal consistency.</w:t>
      </w:r>
    </w:p>
    <w:p w14:paraId="1B595808" w14:textId="77777777" w:rsidR="002E7B69" w:rsidRPr="00EF2B7F" w:rsidRDefault="002E7B69" w:rsidP="00EF2B7F">
      <w:pPr>
        <w:spacing w:line="276" w:lineRule="auto"/>
        <w:jc w:val="both"/>
        <w:rPr>
          <w:rFonts w:ascii="Times New Roman" w:eastAsia="Times New Roman" w:hAnsi="Times New Roman" w:cs="Times New Roman"/>
          <w:b/>
          <w:color w:val="000000" w:themeColor="text1"/>
        </w:rPr>
      </w:pPr>
    </w:p>
    <w:p w14:paraId="688C93A1" w14:textId="77777777" w:rsidR="00A926C1" w:rsidRPr="00EF2B7F" w:rsidRDefault="00C50BF8" w:rsidP="00EF2B7F">
      <w:pPr>
        <w:pStyle w:val="ListParagraph"/>
        <w:numPr>
          <w:ilvl w:val="1"/>
          <w:numId w:val="27"/>
        </w:num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STUDY DURATION</w:t>
      </w:r>
    </w:p>
    <w:p w14:paraId="7408866A" w14:textId="77777777" w:rsidR="00A926C1" w:rsidRPr="00EF2B7F" w:rsidRDefault="00A926C1"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Th</w:t>
      </w:r>
      <w:r w:rsidR="00C50BF8" w:rsidRPr="00EF2B7F">
        <w:rPr>
          <w:rFonts w:ascii="Times New Roman" w:hAnsi="Times New Roman" w:cs="Times New Roman"/>
          <w:color w:val="000000" w:themeColor="text1"/>
        </w:rPr>
        <w:t>e study lasted for a period of 3</w:t>
      </w:r>
      <w:r w:rsidRPr="00EF2B7F">
        <w:rPr>
          <w:rFonts w:ascii="Times New Roman" w:hAnsi="Times New Roman" w:cs="Times New Roman"/>
          <w:color w:val="000000" w:themeColor="text1"/>
        </w:rPr>
        <w:t xml:space="preserve"> months from </w:t>
      </w:r>
      <w:r w:rsidR="00C50BF8" w:rsidRPr="00EF2B7F">
        <w:rPr>
          <w:rFonts w:ascii="Times New Roman" w:hAnsi="Times New Roman" w:cs="Times New Roman"/>
          <w:color w:val="000000" w:themeColor="text1"/>
        </w:rPr>
        <w:t>March</w:t>
      </w:r>
      <w:r w:rsidRPr="00EF2B7F">
        <w:rPr>
          <w:rFonts w:ascii="Times New Roman" w:hAnsi="Times New Roman" w:cs="Times New Roman"/>
          <w:color w:val="000000" w:themeColor="text1"/>
        </w:rPr>
        <w:t xml:space="preserve"> to </w:t>
      </w:r>
      <w:r w:rsidR="00C50BF8" w:rsidRPr="00EF2B7F">
        <w:rPr>
          <w:rFonts w:ascii="Times New Roman" w:hAnsi="Times New Roman" w:cs="Times New Roman"/>
          <w:color w:val="000000" w:themeColor="text1"/>
        </w:rPr>
        <w:t>May</w:t>
      </w:r>
      <w:r w:rsidRPr="00EF2B7F">
        <w:rPr>
          <w:rFonts w:ascii="Times New Roman" w:hAnsi="Times New Roman" w:cs="Times New Roman"/>
          <w:color w:val="000000" w:themeColor="text1"/>
        </w:rPr>
        <w:t xml:space="preserve"> 202</w:t>
      </w:r>
      <w:r w:rsidR="00C50BF8" w:rsidRPr="00EF2B7F">
        <w:rPr>
          <w:rFonts w:ascii="Times New Roman" w:hAnsi="Times New Roman" w:cs="Times New Roman"/>
          <w:color w:val="000000" w:themeColor="text1"/>
        </w:rPr>
        <w:t>5</w:t>
      </w:r>
      <w:r w:rsidRPr="00EF2B7F">
        <w:rPr>
          <w:rFonts w:ascii="Times New Roman" w:hAnsi="Times New Roman" w:cs="Times New Roman"/>
          <w:color w:val="000000" w:themeColor="text1"/>
        </w:rPr>
        <w:t>.</w:t>
      </w:r>
    </w:p>
    <w:p w14:paraId="0619852D" w14:textId="77777777" w:rsidR="00A926C1" w:rsidRPr="00EF2B7F" w:rsidRDefault="00A926C1" w:rsidP="00EF2B7F">
      <w:pPr>
        <w:spacing w:line="276" w:lineRule="auto"/>
        <w:jc w:val="both"/>
        <w:rPr>
          <w:rFonts w:ascii="Times New Roman" w:hAnsi="Times New Roman" w:cs="Times New Roman"/>
          <w:color w:val="000000" w:themeColor="text1"/>
        </w:rPr>
      </w:pPr>
    </w:p>
    <w:p w14:paraId="2F2EB67B" w14:textId="77777777" w:rsidR="00A926C1" w:rsidRPr="00EF2B7F" w:rsidRDefault="00C50BF8" w:rsidP="00EF2B7F">
      <w:pPr>
        <w:pStyle w:val="ListParagraph"/>
        <w:numPr>
          <w:ilvl w:val="1"/>
          <w:numId w:val="27"/>
        </w:num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DATA MANAGEMENT AND ANALYSIS</w:t>
      </w:r>
    </w:p>
    <w:p w14:paraId="2E1B69D2"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 xml:space="preserve">The data from this study was first be entered into Excel and cleaned up. Subsequently, the data will be exported into Statistical Package for the Social Sciences (SPSS) version </w:t>
      </w:r>
      <w:r w:rsidR="00A141F3" w:rsidRPr="00EF2B7F">
        <w:rPr>
          <w:rFonts w:ascii="Times New Roman" w:hAnsi="Times New Roman" w:cs="Times New Roman"/>
          <w:bCs/>
          <w:color w:val="000000" w:themeColor="text1"/>
        </w:rPr>
        <w:t>26</w:t>
      </w:r>
      <w:r w:rsidRPr="00EF2B7F">
        <w:rPr>
          <w:rFonts w:ascii="Times New Roman" w:hAnsi="Times New Roman" w:cs="Times New Roman"/>
          <w:bCs/>
          <w:color w:val="000000" w:themeColor="text1"/>
        </w:rPr>
        <w:t xml:space="preserve">. Data in SPSS was subsequently analyzed. Relevant tables and figures were created from the data to allow for easy analysis and interpretation. </w:t>
      </w:r>
    </w:p>
    <w:p w14:paraId="6CB76EA9"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Data on socio-demographic characteristics was presented in frequency distribution tables. Continuous variables such as age were presented in ranges and the mean age and standard deviation calculated.</w:t>
      </w:r>
    </w:p>
    <w:p w14:paraId="541D2D46"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Scores will be assigned to each knowledge question where a correct answer is scored 1 and an incorrect or uncertain response scored 0. A modified Bloom’s cut-off was adapted using a score of above 60% of correct answers to indicate good knowledge and a score of below 60% to indicate poor knowledge.</w:t>
      </w:r>
      <w:r w:rsidRPr="00EF2B7F">
        <w:rPr>
          <w:rFonts w:ascii="Times New Roman" w:hAnsi="Times New Roman" w:cs="Times New Roman"/>
          <w:bCs/>
          <w:color w:val="000000" w:themeColor="text1"/>
        </w:rPr>
        <w:fldChar w:fldCharType="begin"/>
      </w:r>
      <w:r w:rsidR="00A141F3" w:rsidRPr="00EF2B7F">
        <w:rPr>
          <w:rFonts w:ascii="Times New Roman" w:hAnsi="Times New Roman" w:cs="Times New Roman"/>
          <w:bCs/>
          <w:color w:val="000000" w:themeColor="text1"/>
        </w:rPr>
        <w:instrText xml:space="preserve"> ADDIN ZOTERO_ITEM CSL_CITATION {"citationID":"PyOndcm6","properties":{"formattedCitation":"\\super 29\\nosupersub{}","plainCitation":"29","noteIndex":0},"citationItems":[{"id":641,"uris":["http://zotero.org/users/local/uZHmDmCk/items/WWAWUMTY"],"itemData":{"id":641,"type":"article-journal","abstract":"BACKGROUND: In sub-Saharan Africa countries including Ghana, the malaria burden remains unacceptably high and still a serious health challenge. Evaluating a community's level of knowledge, attitude, and practice (KAP) regarding malaria is essential to enabling appropriate preventive and control measures. This study aimed to evaluate knowledge of malaria, attitudes toward the disease, and adoption of control and prevention practices in some communities across the Eastern Region of Ghana.\nMETHODS: A cross‑sectional based study was carried out in 13 communities across 8 districts from January -June, 2020. Complete data on socio-demographic characteristics and KAP were obtained from 316 randomly selected household respondents by a structured pre-tested questionnaire. Associations between KAP scores and socio-demographic profiles were tested by Chi-square and binary logistic regression. Data analysis was done with SPSS version 26.0.\nRESULTS: Most respondents (85.4%) had good knowledge score about malaria. Preferred choice of treatment seeking place (50.6%) was the health center/clinic. All respondents indicated they would seek treatment within 24 hours. Mosquito coils were the preferred choice (58.9%) against mosquito bites. Majority of households (58.5%) had no bed nets and bed net usage was poor (10.1%). Nearly half of the respondents (49.4%) had a positive attitude toward malaria and 40.5% showed good practices. Chi-square analysis showed significant associations for gender and attitude scores (p = 0.033), and educational status and practice scores (p = 0.023). Binary logistic regression analysis showed that 51-60 year-olds were less likely to have good knowledge (OR = 0.20, p = 0.04) than 15-20 year-olds. Respondents with complete basic schooling were less likely to have good knowledge (OR = 0.33, p = 0.04) than those with no formal schooling. A positive attitude was less likely in men (OR = 0.61, p = 0.04). Good malaria prevention practice was lower (OR = 0.30, p = 0.01) in participants with incomplete basic school education compared to those with no formal schooling.\nCONCLUSION: Overall scores for respondents' knowledge, though good, was not reflected in attitudes and levels of practice regarding malaria control and prevention. Behavioral change communication, preferably on radio, should be aimed at attitudes and practice toward the disease.","container-title":"PloS One","DOI":"10.1371/journal.pone.0290822","ISSN":"1932-6203","issue":"8","journalAbbreviation":"PLoS One","language":"eng","note":"PMID: 37647322\nPMCID: PMC10468076","page":"e0290822","source":"PubMed","title":"Knowledge, attitudes and practices regarding malaria prevention and control in communities in the Eastern Region, Ghana, 2020","volume":"18","author":[{"family":"Lopez","given":"Aquel Rene"},{"family":"Brown","given":"Charles Addoquaye"}],"issued":{"date-parts":[["2023"]]}}}],"schema":"https://github.com/citation-style-language/schema/raw/master/csl-citation.json"} </w:instrText>
      </w:r>
      <w:r w:rsidRPr="00EF2B7F">
        <w:rPr>
          <w:rFonts w:ascii="Times New Roman" w:hAnsi="Times New Roman" w:cs="Times New Roman"/>
          <w:bCs/>
          <w:color w:val="000000" w:themeColor="text1"/>
        </w:rPr>
        <w:fldChar w:fldCharType="separate"/>
      </w:r>
      <w:r w:rsidR="00A141F3" w:rsidRPr="00EF2B7F">
        <w:rPr>
          <w:rFonts w:ascii="Times New Roman" w:hAnsi="Times New Roman" w:cs="Times New Roman"/>
          <w:color w:val="000000" w:themeColor="text1"/>
          <w:vertAlign w:val="superscript"/>
        </w:rPr>
        <w:t>29</w:t>
      </w:r>
      <w:r w:rsidRPr="00EF2B7F">
        <w:rPr>
          <w:rFonts w:ascii="Times New Roman" w:hAnsi="Times New Roman" w:cs="Times New Roman"/>
          <w:bCs/>
          <w:color w:val="000000" w:themeColor="text1"/>
        </w:rPr>
        <w:fldChar w:fldCharType="end"/>
      </w:r>
    </w:p>
    <w:p w14:paraId="7E5EB536" w14:textId="77777777" w:rsidR="00C50BF8" w:rsidRPr="00EF2B7F" w:rsidRDefault="00C50BF8" w:rsidP="00EF2B7F">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Willingness to uptake of malaria vaccine among Caregivers of Under-five children was assessed with Yes, </w:t>
      </w:r>
      <w:r w:rsidR="00EA0C46" w:rsidRPr="00EF2B7F">
        <w:rPr>
          <w:rFonts w:ascii="Times New Roman" w:hAnsi="Times New Roman" w:cs="Times New Roman"/>
          <w:color w:val="000000" w:themeColor="text1"/>
        </w:rPr>
        <w:t>no, and Don’t Know</w:t>
      </w:r>
      <w:r w:rsidRPr="00EF2B7F">
        <w:rPr>
          <w:rFonts w:ascii="Times New Roman" w:hAnsi="Times New Roman" w:cs="Times New Roman"/>
          <w:color w:val="000000" w:themeColor="text1"/>
        </w:rPr>
        <w:t xml:space="preserve">. It was then graded using the questions and score of 1 point awarded to the correct option and 0 point for incorrect option. A score of 50% and above is graded willingness and &lt;50% is unwillingness. </w:t>
      </w:r>
    </w:p>
    <w:p w14:paraId="125AD035"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For the barrier section, responses to the affirmative and negative statements was scored from strongly agree (score of 5), agree (score of 4), neutral (score of 3), disagree (score of 2), and to strongly disagree (score of 1), according to the Likert scale. After the responses will be totaled and each respondent was assigned a total score; the mean score was then determined, and responses with scores higher than or equal to the mean deemed accepted barriers  while those with scores lower than the mean were deemed rejected barriers. This holds for positive statements. Negative statements were first reversed before total score calculated.</w:t>
      </w:r>
    </w:p>
    <w:p w14:paraId="40F230D5" w14:textId="77777777" w:rsidR="00C50BF8" w:rsidRPr="00EF2B7F" w:rsidRDefault="00C50BF8" w:rsidP="00EF2B7F">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lastRenderedPageBreak/>
        <w:t xml:space="preserve">To examine the relationships between knowledge, willingness and barriers and socio demographic profile, Chi-square tests was carried out at statistical significance p &lt; 0.05. </w:t>
      </w:r>
    </w:p>
    <w:p w14:paraId="26484255" w14:textId="77777777" w:rsidR="00A926C1" w:rsidRPr="00EF2B7F" w:rsidRDefault="00A926C1" w:rsidP="00EF2B7F">
      <w:pPr>
        <w:spacing w:line="276" w:lineRule="auto"/>
        <w:jc w:val="both"/>
        <w:rPr>
          <w:rFonts w:ascii="Times New Roman" w:hAnsi="Times New Roman" w:cs="Times New Roman"/>
          <w:color w:val="000000" w:themeColor="text1"/>
        </w:rPr>
      </w:pPr>
    </w:p>
    <w:p w14:paraId="3D258062" w14:textId="77777777" w:rsidR="00C50BF8" w:rsidRPr="00EF2B7F" w:rsidRDefault="00C50BF8" w:rsidP="00EF2B7F">
      <w:pPr>
        <w:spacing w:line="276" w:lineRule="auto"/>
        <w:jc w:val="both"/>
        <w:rPr>
          <w:rFonts w:ascii="Times New Roman" w:hAnsi="Times New Roman" w:cs="Times New Roman"/>
          <w:color w:val="000000" w:themeColor="text1"/>
        </w:rPr>
      </w:pPr>
    </w:p>
    <w:p w14:paraId="79A482FD" w14:textId="77777777" w:rsidR="00FF558A" w:rsidRPr="00EF2B7F" w:rsidRDefault="00FF558A" w:rsidP="00A141F3">
      <w:pPr>
        <w:spacing w:line="276" w:lineRule="auto"/>
        <w:jc w:val="both"/>
        <w:rPr>
          <w:rFonts w:ascii="Times New Roman" w:hAnsi="Times New Roman" w:cs="Times New Roman"/>
          <w:color w:val="000000" w:themeColor="text1"/>
        </w:rPr>
      </w:pPr>
    </w:p>
    <w:p w14:paraId="610E14EA" w14:textId="77777777" w:rsidR="002E7B69" w:rsidRPr="00EF2B7F" w:rsidRDefault="002E7B69" w:rsidP="00A141F3">
      <w:pPr>
        <w:spacing w:line="276" w:lineRule="auto"/>
        <w:jc w:val="both"/>
        <w:rPr>
          <w:rFonts w:ascii="Times New Roman" w:eastAsia="Times New Roman" w:hAnsi="Times New Roman" w:cs="Times New Roman"/>
          <w:b/>
          <w:color w:val="000000" w:themeColor="text1"/>
        </w:rPr>
        <w:sectPr w:rsidR="002E7B69" w:rsidRPr="00EF2B7F">
          <w:pgSz w:w="12240" w:h="15840"/>
          <w:pgMar w:top="1440" w:right="1440" w:bottom="1440" w:left="1440" w:header="720" w:footer="720" w:gutter="0"/>
          <w:cols w:space="720"/>
          <w:docGrid w:linePitch="360"/>
        </w:sectPr>
      </w:pPr>
    </w:p>
    <w:p w14:paraId="3159954B"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lastRenderedPageBreak/>
        <w:t>4.1 RESULTS</w:t>
      </w:r>
    </w:p>
    <w:p w14:paraId="54C12EB8"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4.1.1 RESPONSE RATE</w:t>
      </w:r>
    </w:p>
    <w:p w14:paraId="122A25D5"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1</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Questionnaire Response Rate</w:t>
      </w:r>
    </w:p>
    <w:tbl>
      <w:tblPr>
        <w:tblStyle w:val="GridTable4-Accent11"/>
        <w:tblW w:w="9445" w:type="dxa"/>
        <w:tblLook w:val="06A0" w:firstRow="1" w:lastRow="0" w:firstColumn="1" w:lastColumn="0" w:noHBand="1" w:noVBand="1"/>
      </w:tblPr>
      <w:tblGrid>
        <w:gridCol w:w="3938"/>
        <w:gridCol w:w="2357"/>
        <w:gridCol w:w="3150"/>
      </w:tblGrid>
      <w:tr w:rsidR="00EF2B7F" w:rsidRPr="00EF2B7F" w14:paraId="14753DF1" w14:textId="77777777" w:rsidTr="002E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75FA1FD0" w14:textId="77777777" w:rsidR="000C286A" w:rsidRPr="00EF2B7F" w:rsidRDefault="000C286A" w:rsidP="00A141F3">
            <w:pPr>
              <w:spacing w:line="276" w:lineRule="auto"/>
              <w:jc w:val="both"/>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Questionnaire Status</w:t>
            </w:r>
          </w:p>
        </w:tc>
        <w:tc>
          <w:tcPr>
            <w:tcW w:w="2357" w:type="dxa"/>
            <w:hideMark/>
          </w:tcPr>
          <w:p w14:paraId="17A35AB0" w14:textId="77777777" w:rsidR="000C286A" w:rsidRPr="00EF2B7F" w:rsidRDefault="000C286A" w:rsidP="00A141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Number</w:t>
            </w:r>
          </w:p>
        </w:tc>
        <w:tc>
          <w:tcPr>
            <w:tcW w:w="3150" w:type="dxa"/>
            <w:hideMark/>
          </w:tcPr>
          <w:p w14:paraId="70DAC99B" w14:textId="77777777" w:rsidR="000C286A" w:rsidRPr="00EF2B7F" w:rsidRDefault="000C286A" w:rsidP="00A141F3">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kern w:val="0"/>
                <w14:ligatures w14:val="none"/>
              </w:rPr>
            </w:pPr>
            <w:r w:rsidRPr="00EF2B7F">
              <w:rPr>
                <w:rFonts w:ascii="Times New Roman" w:eastAsia="Times New Roman" w:hAnsi="Times New Roman" w:cs="Times New Roman"/>
                <w:bCs w:val="0"/>
                <w:kern w:val="0"/>
                <w14:ligatures w14:val="none"/>
              </w:rPr>
              <w:t>Percentage (%)</w:t>
            </w:r>
          </w:p>
        </w:tc>
      </w:tr>
      <w:tr w:rsidR="00EF2B7F" w:rsidRPr="00EF2B7F" w14:paraId="75E7930B" w14:textId="77777777" w:rsidTr="002E7B69">
        <w:trPr>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70D5F920" w14:textId="77777777" w:rsidR="000C286A" w:rsidRPr="00EF2B7F" w:rsidRDefault="000C286A" w:rsidP="00A141F3">
            <w:pPr>
              <w:spacing w:line="276" w:lineRule="auto"/>
              <w:jc w:val="both"/>
              <w:rPr>
                <w:rFonts w:ascii="Times New Roman" w:eastAsia="Times New Roman" w:hAnsi="Times New Roman" w:cs="Times New Roman"/>
                <w:b w:val="0"/>
                <w:color w:val="000000" w:themeColor="text1"/>
                <w:kern w:val="0"/>
                <w14:ligatures w14:val="none"/>
              </w:rPr>
            </w:pPr>
            <w:r w:rsidRPr="00EF2B7F">
              <w:rPr>
                <w:rFonts w:ascii="Times New Roman" w:eastAsia="Times New Roman" w:hAnsi="Times New Roman" w:cs="Times New Roman"/>
                <w:b w:val="0"/>
                <w:color w:val="000000" w:themeColor="text1"/>
                <w:kern w:val="0"/>
                <w14:ligatures w14:val="none"/>
              </w:rPr>
              <w:t>Returned</w:t>
            </w:r>
          </w:p>
        </w:tc>
        <w:tc>
          <w:tcPr>
            <w:tcW w:w="2357" w:type="dxa"/>
            <w:hideMark/>
          </w:tcPr>
          <w:p w14:paraId="5BC331C4"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350</w:t>
            </w:r>
          </w:p>
        </w:tc>
        <w:tc>
          <w:tcPr>
            <w:tcW w:w="3150" w:type="dxa"/>
            <w:hideMark/>
          </w:tcPr>
          <w:p w14:paraId="6A5910D4"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97.5%</w:t>
            </w:r>
          </w:p>
        </w:tc>
      </w:tr>
      <w:tr w:rsidR="00EF2B7F" w:rsidRPr="00EF2B7F" w14:paraId="407CAD9B" w14:textId="77777777" w:rsidTr="002E7B69">
        <w:trPr>
          <w:trHeight w:val="364"/>
        </w:trPr>
        <w:tc>
          <w:tcPr>
            <w:cnfStyle w:val="001000000000" w:firstRow="0" w:lastRow="0" w:firstColumn="1" w:lastColumn="0" w:oddVBand="0" w:evenVBand="0" w:oddHBand="0" w:evenHBand="0" w:firstRowFirstColumn="0" w:firstRowLastColumn="0" w:lastRowFirstColumn="0" w:lastRowLastColumn="0"/>
            <w:tcW w:w="0" w:type="auto"/>
            <w:hideMark/>
          </w:tcPr>
          <w:p w14:paraId="5000FAC4" w14:textId="77777777" w:rsidR="000C286A" w:rsidRPr="00EF2B7F" w:rsidRDefault="000C286A" w:rsidP="00A141F3">
            <w:pPr>
              <w:spacing w:line="276" w:lineRule="auto"/>
              <w:jc w:val="both"/>
              <w:rPr>
                <w:rFonts w:ascii="Times New Roman" w:eastAsia="Times New Roman" w:hAnsi="Times New Roman" w:cs="Times New Roman"/>
                <w:b w:val="0"/>
                <w:color w:val="000000" w:themeColor="text1"/>
                <w:kern w:val="0"/>
                <w14:ligatures w14:val="none"/>
              </w:rPr>
            </w:pPr>
            <w:r w:rsidRPr="00EF2B7F">
              <w:rPr>
                <w:rFonts w:ascii="Times New Roman" w:eastAsia="Times New Roman" w:hAnsi="Times New Roman" w:cs="Times New Roman"/>
                <w:b w:val="0"/>
                <w:color w:val="000000" w:themeColor="text1"/>
                <w:kern w:val="0"/>
                <w14:ligatures w14:val="none"/>
              </w:rPr>
              <w:t>Not Returned</w:t>
            </w:r>
          </w:p>
        </w:tc>
        <w:tc>
          <w:tcPr>
            <w:tcW w:w="2357" w:type="dxa"/>
            <w:hideMark/>
          </w:tcPr>
          <w:p w14:paraId="50A10F16"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9</w:t>
            </w:r>
          </w:p>
        </w:tc>
        <w:tc>
          <w:tcPr>
            <w:tcW w:w="3150" w:type="dxa"/>
            <w:hideMark/>
          </w:tcPr>
          <w:p w14:paraId="4DCCAFAF"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2.5%</w:t>
            </w:r>
          </w:p>
        </w:tc>
      </w:tr>
      <w:tr w:rsidR="00EF2B7F" w:rsidRPr="00EF2B7F" w14:paraId="5B9D94A9" w14:textId="77777777" w:rsidTr="002E7B69">
        <w:trPr>
          <w:trHeight w:val="349"/>
        </w:trPr>
        <w:tc>
          <w:tcPr>
            <w:cnfStyle w:val="001000000000" w:firstRow="0" w:lastRow="0" w:firstColumn="1" w:lastColumn="0" w:oddVBand="0" w:evenVBand="0" w:oddHBand="0" w:evenHBand="0" w:firstRowFirstColumn="0" w:firstRowLastColumn="0" w:lastRowFirstColumn="0" w:lastRowLastColumn="0"/>
            <w:tcW w:w="0" w:type="auto"/>
            <w:hideMark/>
          </w:tcPr>
          <w:p w14:paraId="0A1CF5C5" w14:textId="77777777" w:rsidR="000C286A" w:rsidRPr="00EF2B7F" w:rsidRDefault="000C286A" w:rsidP="00A141F3">
            <w:pPr>
              <w:spacing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 w:val="0"/>
                <w:bCs w:val="0"/>
                <w:color w:val="000000" w:themeColor="text1"/>
                <w:kern w:val="0"/>
                <w14:ligatures w14:val="none"/>
              </w:rPr>
              <w:t>Total Distributed</w:t>
            </w:r>
          </w:p>
        </w:tc>
        <w:tc>
          <w:tcPr>
            <w:tcW w:w="2357" w:type="dxa"/>
            <w:hideMark/>
          </w:tcPr>
          <w:p w14:paraId="140D2D9B"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Cs/>
                <w:color w:val="000000" w:themeColor="text1"/>
                <w:kern w:val="0"/>
                <w14:ligatures w14:val="none"/>
              </w:rPr>
              <w:t>359</w:t>
            </w:r>
          </w:p>
        </w:tc>
        <w:tc>
          <w:tcPr>
            <w:tcW w:w="3150" w:type="dxa"/>
            <w:hideMark/>
          </w:tcPr>
          <w:p w14:paraId="589B5F23" w14:textId="77777777" w:rsidR="000C286A" w:rsidRPr="00EF2B7F" w:rsidRDefault="000C286A" w:rsidP="00A141F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bCs/>
                <w:color w:val="000000" w:themeColor="text1"/>
                <w:kern w:val="0"/>
                <w14:ligatures w14:val="none"/>
              </w:rPr>
              <w:t>100%</w:t>
            </w:r>
          </w:p>
        </w:tc>
      </w:tr>
    </w:tbl>
    <w:p w14:paraId="475CF428" w14:textId="77777777" w:rsidR="00C50BF8" w:rsidRPr="00EF2B7F" w:rsidRDefault="00C50BF8" w:rsidP="00A141F3">
      <w:pPr>
        <w:spacing w:line="276" w:lineRule="auto"/>
        <w:jc w:val="both"/>
        <w:rPr>
          <w:rFonts w:ascii="Times New Roman" w:eastAsia="Times New Roman" w:hAnsi="Times New Roman" w:cs="Times New Roman"/>
          <w:color w:val="000000" w:themeColor="text1"/>
          <w:kern w:val="0"/>
          <w14:ligatures w14:val="none"/>
        </w:rPr>
      </w:pPr>
    </w:p>
    <w:p w14:paraId="540F776D" w14:textId="77777777" w:rsidR="00C50BF8" w:rsidRPr="00EF2B7F" w:rsidRDefault="00C50BF8" w:rsidP="00A141F3">
      <w:pPr>
        <w:spacing w:line="276" w:lineRule="auto"/>
        <w:jc w:val="both"/>
        <w:rPr>
          <w:rFonts w:ascii="Times New Roman" w:eastAsia="Times New Roman" w:hAnsi="Times New Roman" w:cs="Times New Roman"/>
          <w:color w:val="000000" w:themeColor="text1"/>
          <w:kern w:val="0"/>
          <w14:ligatures w14:val="none"/>
        </w:rPr>
      </w:pPr>
      <w:r w:rsidRPr="00EF2B7F">
        <w:rPr>
          <w:rFonts w:ascii="Times New Roman" w:eastAsia="Times New Roman" w:hAnsi="Times New Roman" w:cs="Times New Roman"/>
          <w:color w:val="000000" w:themeColor="text1"/>
          <w:kern w:val="0"/>
          <w14:ligatures w14:val="none"/>
        </w:rPr>
        <w:t>Participants in the study were given a total of 359 questionnaires. 350 of which were recovered, yielding a response rate of 97.5%</w:t>
      </w:r>
      <w:r w:rsidR="00B934A7" w:rsidRPr="00EF2B7F">
        <w:rPr>
          <w:rFonts w:ascii="Times New Roman" w:eastAsia="Times New Roman" w:hAnsi="Times New Roman" w:cs="Times New Roman"/>
          <w:color w:val="000000" w:themeColor="text1"/>
          <w:kern w:val="0"/>
          <w14:ligatures w14:val="none"/>
        </w:rPr>
        <w:t>.</w:t>
      </w:r>
    </w:p>
    <w:p w14:paraId="706562B7" w14:textId="77777777" w:rsidR="00C50BF8" w:rsidRPr="00EF2B7F" w:rsidRDefault="00C50BF8" w:rsidP="00A141F3">
      <w:pPr>
        <w:spacing w:line="276" w:lineRule="auto"/>
        <w:jc w:val="both"/>
        <w:rPr>
          <w:rFonts w:ascii="Times New Roman" w:hAnsi="Times New Roman" w:cs="Times New Roman"/>
          <w:bCs/>
          <w:color w:val="000000" w:themeColor="text1"/>
        </w:rPr>
      </w:pPr>
    </w:p>
    <w:p w14:paraId="7C8909AD" w14:textId="77777777" w:rsidR="000C286A" w:rsidRPr="00EF2B7F" w:rsidRDefault="000C286A" w:rsidP="00A141F3">
      <w:pPr>
        <w:spacing w:line="276" w:lineRule="auto"/>
        <w:jc w:val="both"/>
        <w:rPr>
          <w:rFonts w:ascii="Times New Roman" w:hAnsi="Times New Roman" w:cs="Times New Roman"/>
          <w:b/>
          <w:bCs/>
          <w:color w:val="000000" w:themeColor="text1"/>
        </w:rPr>
      </w:pPr>
    </w:p>
    <w:p w14:paraId="30453426" w14:textId="77777777" w:rsidR="00C50BF8" w:rsidRPr="00EF2B7F" w:rsidRDefault="00C50BF8"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4.1.2 SOCIODEMOGRAPHIC CHARACTERISTICS</w:t>
      </w:r>
    </w:p>
    <w:p w14:paraId="69EE6AD9"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2</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Socio-Demographic Characteristics of Caregivers of under-five Children attending Institute of Child Health, UNTH</w:t>
      </w:r>
    </w:p>
    <w:tbl>
      <w:tblPr>
        <w:tblStyle w:val="GridTable4-Accent11"/>
        <w:tblW w:w="9445" w:type="dxa"/>
        <w:tblLayout w:type="fixed"/>
        <w:tblLook w:val="0620" w:firstRow="1" w:lastRow="0" w:firstColumn="0" w:lastColumn="0" w:noHBand="1" w:noVBand="1"/>
      </w:tblPr>
      <w:tblGrid>
        <w:gridCol w:w="1454"/>
        <w:gridCol w:w="1284"/>
        <w:gridCol w:w="1757"/>
        <w:gridCol w:w="1890"/>
        <w:gridCol w:w="1440"/>
        <w:gridCol w:w="1620"/>
      </w:tblGrid>
      <w:tr w:rsidR="00EF2B7F" w:rsidRPr="00EF2B7F" w14:paraId="67EDAF91" w14:textId="77777777" w:rsidTr="002E7B69">
        <w:trPr>
          <w:cnfStyle w:val="100000000000" w:firstRow="1" w:lastRow="0" w:firstColumn="0" w:lastColumn="0" w:oddVBand="0" w:evenVBand="0" w:oddHBand="0" w:evenHBand="0" w:firstRowFirstColumn="0" w:firstRowLastColumn="0" w:lastRowFirstColumn="0" w:lastRowLastColumn="0"/>
        </w:trPr>
        <w:tc>
          <w:tcPr>
            <w:tcW w:w="2738" w:type="dxa"/>
            <w:gridSpan w:val="2"/>
          </w:tcPr>
          <w:p w14:paraId="7A85E6E3" w14:textId="77777777" w:rsidR="007B6EC6"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1757" w:type="dxa"/>
          </w:tcPr>
          <w:p w14:paraId="7DF78D6B"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1890" w:type="dxa"/>
          </w:tcPr>
          <w:p w14:paraId="1CF944E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c>
          <w:tcPr>
            <w:tcW w:w="1440" w:type="dxa"/>
          </w:tcPr>
          <w:p w14:paraId="21D5DFB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Mean</w:t>
            </w:r>
          </w:p>
        </w:tc>
        <w:tc>
          <w:tcPr>
            <w:tcW w:w="1620" w:type="dxa"/>
          </w:tcPr>
          <w:p w14:paraId="24F50C8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Standard Deviation</w:t>
            </w:r>
          </w:p>
        </w:tc>
      </w:tr>
      <w:tr w:rsidR="00EF2B7F" w:rsidRPr="00EF2B7F" w14:paraId="1E5A7057" w14:textId="77777777" w:rsidTr="002E7B69">
        <w:tc>
          <w:tcPr>
            <w:tcW w:w="1454" w:type="dxa"/>
            <w:vMerge w:val="restart"/>
          </w:tcPr>
          <w:p w14:paraId="24752D7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284" w:type="dxa"/>
          </w:tcPr>
          <w:p w14:paraId="3E5CDA6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1757" w:type="dxa"/>
          </w:tcPr>
          <w:p w14:paraId="0B33B4E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1890" w:type="dxa"/>
          </w:tcPr>
          <w:p w14:paraId="59AEE13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c>
          <w:tcPr>
            <w:tcW w:w="1440" w:type="dxa"/>
          </w:tcPr>
          <w:p w14:paraId="2502239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5E1D1FD1"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311F3F13" w14:textId="77777777" w:rsidTr="002E7B69">
        <w:tc>
          <w:tcPr>
            <w:tcW w:w="1454" w:type="dxa"/>
            <w:vMerge/>
          </w:tcPr>
          <w:p w14:paraId="0E9484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29EE87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1757" w:type="dxa"/>
          </w:tcPr>
          <w:p w14:paraId="554919A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1890" w:type="dxa"/>
          </w:tcPr>
          <w:p w14:paraId="706B438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94.6</w:t>
            </w:r>
          </w:p>
        </w:tc>
        <w:tc>
          <w:tcPr>
            <w:tcW w:w="1440" w:type="dxa"/>
          </w:tcPr>
          <w:p w14:paraId="5E0ACD5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5F75468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3823868" w14:textId="77777777" w:rsidTr="002E7B69">
        <w:tc>
          <w:tcPr>
            <w:tcW w:w="1454" w:type="dxa"/>
            <w:vMerge w:val="restart"/>
          </w:tcPr>
          <w:p w14:paraId="16C37ED1"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284" w:type="dxa"/>
          </w:tcPr>
          <w:p w14:paraId="64E4D34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1757" w:type="dxa"/>
          </w:tcPr>
          <w:p w14:paraId="3989D28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890" w:type="dxa"/>
          </w:tcPr>
          <w:p w14:paraId="775DBA43" w14:textId="6CF35ED6"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c>
          <w:tcPr>
            <w:tcW w:w="1440" w:type="dxa"/>
          </w:tcPr>
          <w:p w14:paraId="61BF91E7" w14:textId="77777777" w:rsidR="007B6EC6" w:rsidRPr="00EF2B7F" w:rsidRDefault="00B934A7"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35</w:t>
            </w:r>
          </w:p>
        </w:tc>
        <w:tc>
          <w:tcPr>
            <w:tcW w:w="1620" w:type="dxa"/>
          </w:tcPr>
          <w:p w14:paraId="0D4D249C" w14:textId="77777777" w:rsidR="007B6EC6" w:rsidRPr="00EF2B7F" w:rsidRDefault="00B934A7"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r>
      <w:tr w:rsidR="00EF2B7F" w:rsidRPr="00EF2B7F" w14:paraId="774ADDD6" w14:textId="77777777" w:rsidTr="002E7B69">
        <w:tc>
          <w:tcPr>
            <w:tcW w:w="1454" w:type="dxa"/>
            <w:vMerge/>
          </w:tcPr>
          <w:p w14:paraId="15BACF6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3AB3E2F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1757" w:type="dxa"/>
          </w:tcPr>
          <w:p w14:paraId="2217B05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1890" w:type="dxa"/>
          </w:tcPr>
          <w:p w14:paraId="01D4EECC" w14:textId="4F8A20B7"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440" w:type="dxa"/>
          </w:tcPr>
          <w:p w14:paraId="60D9BEE1"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C7CB57B"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254648A" w14:textId="77777777" w:rsidTr="002E7B69">
        <w:tc>
          <w:tcPr>
            <w:tcW w:w="1454" w:type="dxa"/>
            <w:vMerge/>
          </w:tcPr>
          <w:p w14:paraId="0E2D56C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C65CEE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1757" w:type="dxa"/>
          </w:tcPr>
          <w:p w14:paraId="68BF54D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116</w:t>
            </w:r>
          </w:p>
        </w:tc>
        <w:tc>
          <w:tcPr>
            <w:tcW w:w="1890" w:type="dxa"/>
          </w:tcPr>
          <w:p w14:paraId="0F27F104" w14:textId="0115F8C2"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1440" w:type="dxa"/>
          </w:tcPr>
          <w:p w14:paraId="0A55DF8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B6DE77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028DF58C" w14:textId="77777777" w:rsidTr="002E7B69">
        <w:tc>
          <w:tcPr>
            <w:tcW w:w="1454" w:type="dxa"/>
            <w:vMerge/>
          </w:tcPr>
          <w:p w14:paraId="5AA1EC7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10F914A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1757" w:type="dxa"/>
          </w:tcPr>
          <w:p w14:paraId="3E9B185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1890" w:type="dxa"/>
          </w:tcPr>
          <w:p w14:paraId="5F00FC12" w14:textId="42F4C9A6" w:rsidR="007B6EC6" w:rsidRPr="00EF2B7F" w:rsidRDefault="00EF2B7F"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30.3</w:t>
            </w:r>
          </w:p>
        </w:tc>
        <w:tc>
          <w:tcPr>
            <w:tcW w:w="1440" w:type="dxa"/>
          </w:tcPr>
          <w:p w14:paraId="43D329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16DEF5F2"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3CDE4AE" w14:textId="77777777" w:rsidTr="002E7B69">
        <w:tc>
          <w:tcPr>
            <w:tcW w:w="1454" w:type="dxa"/>
            <w:vMerge w:val="restart"/>
          </w:tcPr>
          <w:p w14:paraId="1B11AAEB"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284" w:type="dxa"/>
          </w:tcPr>
          <w:p w14:paraId="0FD6AF8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1757" w:type="dxa"/>
          </w:tcPr>
          <w:p w14:paraId="3A1964D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216</w:t>
            </w:r>
          </w:p>
        </w:tc>
        <w:tc>
          <w:tcPr>
            <w:tcW w:w="1890" w:type="dxa"/>
          </w:tcPr>
          <w:p w14:paraId="7B3ED49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61.7</w:t>
            </w:r>
          </w:p>
        </w:tc>
        <w:tc>
          <w:tcPr>
            <w:tcW w:w="1440" w:type="dxa"/>
          </w:tcPr>
          <w:p w14:paraId="346F6793"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0E5327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D4D3CF6" w14:textId="77777777" w:rsidTr="002E7B69">
        <w:tc>
          <w:tcPr>
            <w:tcW w:w="1454" w:type="dxa"/>
            <w:vMerge/>
          </w:tcPr>
          <w:p w14:paraId="6CCAE5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3EC6630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1757" w:type="dxa"/>
          </w:tcPr>
          <w:p w14:paraId="5BD3186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134</w:t>
            </w:r>
          </w:p>
        </w:tc>
        <w:tc>
          <w:tcPr>
            <w:tcW w:w="1890" w:type="dxa"/>
          </w:tcPr>
          <w:p w14:paraId="4C5B2A9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38.3</w:t>
            </w:r>
          </w:p>
        </w:tc>
        <w:tc>
          <w:tcPr>
            <w:tcW w:w="1440" w:type="dxa"/>
          </w:tcPr>
          <w:p w14:paraId="607DA52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4F3632F2"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527F8087" w14:textId="77777777" w:rsidTr="002E7B69">
        <w:tc>
          <w:tcPr>
            <w:tcW w:w="1454" w:type="dxa"/>
            <w:vMerge w:val="restart"/>
          </w:tcPr>
          <w:p w14:paraId="47289B6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284" w:type="dxa"/>
          </w:tcPr>
          <w:p w14:paraId="7BDED04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1757" w:type="dxa"/>
          </w:tcPr>
          <w:p w14:paraId="2DEA0CE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141</w:t>
            </w:r>
          </w:p>
        </w:tc>
        <w:tc>
          <w:tcPr>
            <w:tcW w:w="1890" w:type="dxa"/>
          </w:tcPr>
          <w:p w14:paraId="06FE391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40.3</w:t>
            </w:r>
          </w:p>
        </w:tc>
        <w:tc>
          <w:tcPr>
            <w:tcW w:w="1440" w:type="dxa"/>
          </w:tcPr>
          <w:p w14:paraId="61DFDC4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6413465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13BA4ABD" w14:textId="77777777" w:rsidTr="002E7B69">
        <w:tc>
          <w:tcPr>
            <w:tcW w:w="1454" w:type="dxa"/>
            <w:vMerge/>
          </w:tcPr>
          <w:p w14:paraId="0072A8F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49C8D11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1757" w:type="dxa"/>
          </w:tcPr>
          <w:p w14:paraId="380B2705"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128</w:t>
            </w:r>
          </w:p>
        </w:tc>
        <w:tc>
          <w:tcPr>
            <w:tcW w:w="1890" w:type="dxa"/>
          </w:tcPr>
          <w:p w14:paraId="1EE4B5D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36.6</w:t>
            </w:r>
          </w:p>
        </w:tc>
        <w:tc>
          <w:tcPr>
            <w:tcW w:w="1440" w:type="dxa"/>
          </w:tcPr>
          <w:p w14:paraId="47200C4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385166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392C9487" w14:textId="77777777" w:rsidTr="002E7B69">
        <w:tc>
          <w:tcPr>
            <w:tcW w:w="1454" w:type="dxa"/>
            <w:vMerge/>
          </w:tcPr>
          <w:p w14:paraId="6CD1E0CA"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4AA9A50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1757" w:type="dxa"/>
          </w:tcPr>
          <w:p w14:paraId="692E1E1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890" w:type="dxa"/>
          </w:tcPr>
          <w:p w14:paraId="2944686A"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440" w:type="dxa"/>
          </w:tcPr>
          <w:p w14:paraId="4066761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5CDF49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2BD3E153" w14:textId="77777777" w:rsidTr="002E7B69">
        <w:tc>
          <w:tcPr>
            <w:tcW w:w="1454" w:type="dxa"/>
            <w:vMerge/>
          </w:tcPr>
          <w:p w14:paraId="7E4AD2C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1786524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1757" w:type="dxa"/>
          </w:tcPr>
          <w:p w14:paraId="170E2F4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1890" w:type="dxa"/>
          </w:tcPr>
          <w:p w14:paraId="1637877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22.3</w:t>
            </w:r>
          </w:p>
        </w:tc>
        <w:tc>
          <w:tcPr>
            <w:tcW w:w="1440" w:type="dxa"/>
          </w:tcPr>
          <w:p w14:paraId="6B54923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679DB0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0B3923C4" w14:textId="77777777" w:rsidTr="002E7B69">
        <w:tc>
          <w:tcPr>
            <w:tcW w:w="1454" w:type="dxa"/>
            <w:vMerge w:val="restart"/>
          </w:tcPr>
          <w:p w14:paraId="7A7801D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284" w:type="dxa"/>
          </w:tcPr>
          <w:p w14:paraId="68EAB8D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1757" w:type="dxa"/>
          </w:tcPr>
          <w:p w14:paraId="0FC305E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335</w:t>
            </w:r>
          </w:p>
        </w:tc>
        <w:tc>
          <w:tcPr>
            <w:tcW w:w="1890" w:type="dxa"/>
          </w:tcPr>
          <w:p w14:paraId="47C7107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95.7</w:t>
            </w:r>
          </w:p>
        </w:tc>
        <w:tc>
          <w:tcPr>
            <w:tcW w:w="1440" w:type="dxa"/>
          </w:tcPr>
          <w:p w14:paraId="3ACE937F"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1FD3DD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690743AA" w14:textId="77777777" w:rsidTr="002E7B69">
        <w:tc>
          <w:tcPr>
            <w:tcW w:w="1454" w:type="dxa"/>
            <w:vMerge/>
          </w:tcPr>
          <w:p w14:paraId="2A1DC975"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53C64A45"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1757" w:type="dxa"/>
          </w:tcPr>
          <w:p w14:paraId="791C1ED1"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1890" w:type="dxa"/>
          </w:tcPr>
          <w:p w14:paraId="46D72B6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c>
          <w:tcPr>
            <w:tcW w:w="1440" w:type="dxa"/>
          </w:tcPr>
          <w:p w14:paraId="47A871B8"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241F8A3E"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r w:rsidR="00EF2B7F" w:rsidRPr="00EF2B7F" w14:paraId="29D1BEB2" w14:textId="77777777" w:rsidTr="002E7B69">
        <w:tc>
          <w:tcPr>
            <w:tcW w:w="1454" w:type="dxa"/>
            <w:vMerge/>
          </w:tcPr>
          <w:p w14:paraId="56BBB41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284" w:type="dxa"/>
          </w:tcPr>
          <w:p w14:paraId="79F990D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1757" w:type="dxa"/>
          </w:tcPr>
          <w:p w14:paraId="7635FC1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1890" w:type="dxa"/>
          </w:tcPr>
          <w:p w14:paraId="1015E25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c>
          <w:tcPr>
            <w:tcW w:w="1440" w:type="dxa"/>
          </w:tcPr>
          <w:p w14:paraId="3298FC8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620" w:type="dxa"/>
          </w:tcPr>
          <w:p w14:paraId="321D51A4"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r>
    </w:tbl>
    <w:p w14:paraId="6E8D7C64" w14:textId="77777777" w:rsidR="007B6EC6" w:rsidRPr="00EF2B7F" w:rsidRDefault="00B934A7" w:rsidP="00A141F3">
      <w:pPr>
        <w:pStyle w:val="NormalWeb"/>
        <w:spacing w:after="160" w:afterAutospacing="0" w:line="276" w:lineRule="auto"/>
        <w:jc w:val="both"/>
        <w:rPr>
          <w:color w:val="000000" w:themeColor="text1"/>
        </w:rPr>
      </w:pPr>
      <w:r w:rsidRPr="00EF2B7F">
        <w:rPr>
          <w:color w:val="000000" w:themeColor="text1"/>
        </w:rPr>
        <w:lastRenderedPageBreak/>
        <w:t>Table 2</w:t>
      </w:r>
      <w:r w:rsidR="007B6EC6" w:rsidRPr="00EF2B7F">
        <w:rPr>
          <w:color w:val="000000" w:themeColor="text1"/>
        </w:rPr>
        <w:t xml:space="preserve"> shows that the majority of respondents were female (94.6%) with a mean age of 35 years and a standard deviation of 9. Most were within the 31–40 age group. A greater proportion resided in urban areas (61.7%), and the predominant religion was Pentecostal (40.3%), followed by Catholic (36.6%). The sample was largely Igbo (95.7%), reflecting the ethnic composition of the study location.</w:t>
      </w:r>
    </w:p>
    <w:p w14:paraId="44E9FE57"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5FCF2CBD" w14:textId="77777777" w:rsidR="007B6EC6" w:rsidRPr="00EF2B7F" w:rsidRDefault="007B6EC6" w:rsidP="00A141F3">
      <w:pPr>
        <w:spacing w:line="276" w:lineRule="auto"/>
        <w:jc w:val="both"/>
        <w:rPr>
          <w:rFonts w:ascii="Times New Roman" w:hAnsi="Times New Roman" w:cs="Times New Roman"/>
          <w:b/>
          <w:bCs/>
          <w:color w:val="000000" w:themeColor="text1"/>
        </w:rPr>
      </w:pPr>
    </w:p>
    <w:p w14:paraId="29F44666" w14:textId="77777777" w:rsidR="007B6EC6" w:rsidRPr="00EF2B7F" w:rsidRDefault="007B6EC6"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4.1.3 KNOWLEDGE OF MALARIA VACCINE</w:t>
      </w:r>
    </w:p>
    <w:p w14:paraId="1B3D7493"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bookmarkStart w:id="1" w:name="_Hlk172139420"/>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3</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a: General Knowledge of Malaria among caregivers of under-fives at the Institute of Child Health, UNTH</w:t>
      </w:r>
    </w:p>
    <w:tbl>
      <w:tblPr>
        <w:tblStyle w:val="GridTable4-Accent11"/>
        <w:tblW w:w="9265" w:type="dxa"/>
        <w:tblLayout w:type="fixed"/>
        <w:tblLook w:val="0620" w:firstRow="1" w:lastRow="0" w:firstColumn="0" w:lastColumn="0" w:noHBand="1" w:noVBand="1"/>
      </w:tblPr>
      <w:tblGrid>
        <w:gridCol w:w="2425"/>
        <w:gridCol w:w="2520"/>
        <w:gridCol w:w="2250"/>
        <w:gridCol w:w="2070"/>
      </w:tblGrid>
      <w:tr w:rsidR="00EF2B7F" w:rsidRPr="00EF2B7F" w14:paraId="6085BB53" w14:textId="77777777" w:rsidTr="00EF2B7F">
        <w:trPr>
          <w:cnfStyle w:val="100000000000" w:firstRow="1" w:lastRow="0" w:firstColumn="0" w:lastColumn="0" w:oddVBand="0" w:evenVBand="0" w:oddHBand="0" w:evenHBand="0" w:firstRowFirstColumn="0" w:firstRowLastColumn="0" w:lastRowFirstColumn="0" w:lastRowLastColumn="0"/>
        </w:trPr>
        <w:tc>
          <w:tcPr>
            <w:tcW w:w="4945" w:type="dxa"/>
            <w:gridSpan w:val="2"/>
          </w:tcPr>
          <w:p w14:paraId="1FADE3C0" w14:textId="77777777" w:rsidR="007B6EC6"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50" w:type="dxa"/>
          </w:tcPr>
          <w:p w14:paraId="6D070700"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41A48B6D"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0A0DA69B" w14:textId="77777777" w:rsidTr="00EF2B7F">
        <w:tc>
          <w:tcPr>
            <w:tcW w:w="2425" w:type="dxa"/>
            <w:vMerge w:val="restart"/>
          </w:tcPr>
          <w:p w14:paraId="05703A1F" w14:textId="77777777" w:rsidR="007B6EC6" w:rsidRPr="00EF2B7F" w:rsidRDefault="00B934A7"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about malaria?</w:t>
            </w:r>
          </w:p>
        </w:tc>
        <w:tc>
          <w:tcPr>
            <w:tcW w:w="2520" w:type="dxa"/>
          </w:tcPr>
          <w:p w14:paraId="3D72580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66A706A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341</w:t>
            </w:r>
          </w:p>
        </w:tc>
        <w:tc>
          <w:tcPr>
            <w:tcW w:w="2070" w:type="dxa"/>
          </w:tcPr>
          <w:p w14:paraId="30B77B9B"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97.4</w:t>
            </w:r>
          </w:p>
        </w:tc>
      </w:tr>
      <w:tr w:rsidR="00EF2B7F" w:rsidRPr="00EF2B7F" w14:paraId="510BF3D5" w14:textId="77777777" w:rsidTr="00EF2B7F">
        <w:tc>
          <w:tcPr>
            <w:tcW w:w="2425" w:type="dxa"/>
            <w:vMerge/>
          </w:tcPr>
          <w:p w14:paraId="48BD2BC0"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1C443B5F"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00A65E1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2070" w:type="dxa"/>
          </w:tcPr>
          <w:p w14:paraId="0974632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r>
      <w:tr w:rsidR="00EF2B7F" w:rsidRPr="00EF2B7F" w14:paraId="7574EB1E" w14:textId="77777777" w:rsidTr="00EF2B7F">
        <w:tc>
          <w:tcPr>
            <w:tcW w:w="2425" w:type="dxa"/>
            <w:vMerge w:val="restart"/>
          </w:tcPr>
          <w:p w14:paraId="5296079C" w14:textId="77777777" w:rsidR="007B6EC6" w:rsidRPr="00EF2B7F" w:rsidRDefault="00B934A7"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How is malaria transmitted?</w:t>
            </w:r>
          </w:p>
        </w:tc>
        <w:tc>
          <w:tcPr>
            <w:tcW w:w="2520" w:type="dxa"/>
          </w:tcPr>
          <w:p w14:paraId="60AEC9EE"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Mosquito bite</w:t>
            </w:r>
          </w:p>
        </w:tc>
        <w:tc>
          <w:tcPr>
            <w:tcW w:w="2250" w:type="dxa"/>
          </w:tcPr>
          <w:p w14:paraId="2C859CA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340</w:t>
            </w:r>
          </w:p>
        </w:tc>
        <w:tc>
          <w:tcPr>
            <w:tcW w:w="2070" w:type="dxa"/>
          </w:tcPr>
          <w:p w14:paraId="1CD6BF48"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97.1</w:t>
            </w:r>
          </w:p>
        </w:tc>
      </w:tr>
      <w:tr w:rsidR="00EF2B7F" w:rsidRPr="00EF2B7F" w14:paraId="5E281A5D" w14:textId="77777777" w:rsidTr="00EF2B7F">
        <w:tc>
          <w:tcPr>
            <w:tcW w:w="2425" w:type="dxa"/>
            <w:vMerge/>
          </w:tcPr>
          <w:p w14:paraId="216CE66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69D06EE9"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Dirty water</w:t>
            </w:r>
          </w:p>
        </w:tc>
        <w:tc>
          <w:tcPr>
            <w:tcW w:w="2250" w:type="dxa"/>
          </w:tcPr>
          <w:p w14:paraId="7C3BCAE4"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2070" w:type="dxa"/>
          </w:tcPr>
          <w:p w14:paraId="1CE37C66"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r>
      <w:tr w:rsidR="00EF2B7F" w:rsidRPr="00EF2B7F" w14:paraId="1231EEB9" w14:textId="77777777" w:rsidTr="00EF2B7F">
        <w:tc>
          <w:tcPr>
            <w:tcW w:w="2425" w:type="dxa"/>
            <w:vMerge/>
          </w:tcPr>
          <w:p w14:paraId="43883C4C"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5C7E19A2"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Contact with infected person</w:t>
            </w:r>
          </w:p>
        </w:tc>
        <w:tc>
          <w:tcPr>
            <w:tcW w:w="2250" w:type="dxa"/>
          </w:tcPr>
          <w:p w14:paraId="6CAA3683"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2070" w:type="dxa"/>
          </w:tcPr>
          <w:p w14:paraId="58FA378D"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r w:rsidR="007B6EC6" w:rsidRPr="00EF2B7F">
              <w:rPr>
                <w:rFonts w:ascii="Times New Roman" w:hAnsi="Times New Roman" w:cs="Times New Roman"/>
                <w:color w:val="000000" w:themeColor="text1"/>
                <w:kern w:val="0"/>
                <w14:ligatures w14:val="none"/>
              </w:rPr>
              <w:t>.6</w:t>
            </w:r>
          </w:p>
        </w:tc>
      </w:tr>
      <w:tr w:rsidR="00EF2B7F" w:rsidRPr="00EF2B7F" w14:paraId="7E0AE4FC" w14:textId="77777777" w:rsidTr="00EF2B7F">
        <w:tc>
          <w:tcPr>
            <w:tcW w:w="2425" w:type="dxa"/>
            <w:vMerge/>
          </w:tcPr>
          <w:p w14:paraId="209FE229"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520" w:type="dxa"/>
          </w:tcPr>
          <w:p w14:paraId="30B40627"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Don't know</w:t>
            </w:r>
          </w:p>
        </w:tc>
        <w:tc>
          <w:tcPr>
            <w:tcW w:w="2250" w:type="dxa"/>
          </w:tcPr>
          <w:p w14:paraId="055CD60C" w14:textId="77777777" w:rsidR="007B6EC6" w:rsidRPr="00EF2B7F" w:rsidRDefault="007B6EC6"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2070" w:type="dxa"/>
          </w:tcPr>
          <w:p w14:paraId="558C2F99" w14:textId="77777777" w:rsidR="007B6EC6" w:rsidRPr="00EF2B7F" w:rsidRDefault="00B934A7"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r w:rsidR="007B6EC6" w:rsidRPr="00EF2B7F">
              <w:rPr>
                <w:rFonts w:ascii="Times New Roman" w:hAnsi="Times New Roman" w:cs="Times New Roman"/>
                <w:color w:val="000000" w:themeColor="text1"/>
                <w:kern w:val="0"/>
                <w14:ligatures w14:val="none"/>
              </w:rPr>
              <w:t>.9</w:t>
            </w:r>
          </w:p>
        </w:tc>
      </w:tr>
    </w:tbl>
    <w:p w14:paraId="02FF80AD" w14:textId="77777777" w:rsidR="007B6EC6" w:rsidRPr="00EF2B7F" w:rsidRDefault="007B6EC6"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1EF81A55" w14:textId="77777777" w:rsidR="003E2EF8" w:rsidRPr="00EF2B7F" w:rsidRDefault="003E2EF8" w:rsidP="00A141F3">
      <w:pPr>
        <w:autoSpaceDE w:val="0"/>
        <w:autoSpaceDN w:val="0"/>
        <w:adjustRightInd w:val="0"/>
        <w:spacing w:line="276" w:lineRule="auto"/>
        <w:jc w:val="both"/>
        <w:rPr>
          <w:rStyle w:val="fadeinm1hgl8"/>
          <w:rFonts w:ascii="Times New Roman" w:hAnsi="Times New Roman" w:cs="Times New Roman"/>
          <w:color w:val="000000" w:themeColor="text1"/>
        </w:rPr>
      </w:pPr>
      <w:r w:rsidRPr="00EF2B7F">
        <w:rPr>
          <w:rFonts w:ascii="Times New Roman" w:hAnsi="Times New Roman" w:cs="Times New Roman"/>
          <w:color w:val="000000" w:themeColor="text1"/>
          <w:kern w:val="0"/>
          <w14:ligatures w14:val="none"/>
        </w:rPr>
        <w:t xml:space="preserve">Table 3a shows that </w:t>
      </w:r>
      <w:r w:rsidRPr="00EF2B7F">
        <w:rPr>
          <w:rStyle w:val="fadeinm1hgl8"/>
          <w:rFonts w:ascii="Times New Roman" w:hAnsi="Times New Roman" w:cs="Times New Roman"/>
          <w:color w:val="000000" w:themeColor="text1"/>
        </w:rPr>
        <w:t>majority of respondents (97.4%) reported having heard about malaria. When asked about the mode of transmission, 97.1% correctly identified mosquito bites as the source, while only a few selected incorrect options such as dirty water (1.4%), contact with an infected person (0.6%), or indicated they did not know (0.9%).</w:t>
      </w:r>
    </w:p>
    <w:p w14:paraId="2F16EC2D"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1D6F34CB" w14:textId="77777777"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3b: Knowledge of Malaria Vaccine among caregivers of under-fives at the Institute of Child Health, UNTH</w:t>
      </w:r>
    </w:p>
    <w:tbl>
      <w:tblPr>
        <w:tblStyle w:val="GridTable4-Accent11"/>
        <w:tblW w:w="9265" w:type="dxa"/>
        <w:tblLayout w:type="fixed"/>
        <w:tblLook w:val="0620" w:firstRow="1" w:lastRow="0" w:firstColumn="0" w:lastColumn="0" w:noHBand="1" w:noVBand="1"/>
      </w:tblPr>
      <w:tblGrid>
        <w:gridCol w:w="3145"/>
        <w:gridCol w:w="1800"/>
        <w:gridCol w:w="2250"/>
        <w:gridCol w:w="2070"/>
      </w:tblGrid>
      <w:tr w:rsidR="00EF2B7F" w:rsidRPr="00EF2B7F" w14:paraId="37D6DA47" w14:textId="77777777" w:rsidTr="00EF2B7F">
        <w:trPr>
          <w:cnfStyle w:val="100000000000" w:firstRow="1" w:lastRow="0" w:firstColumn="0" w:lastColumn="0" w:oddVBand="0" w:evenVBand="0" w:oddHBand="0" w:evenHBand="0" w:firstRowFirstColumn="0" w:firstRowLastColumn="0" w:lastRowFirstColumn="0" w:lastRowLastColumn="0"/>
        </w:trPr>
        <w:tc>
          <w:tcPr>
            <w:tcW w:w="4945" w:type="dxa"/>
            <w:gridSpan w:val="2"/>
          </w:tcPr>
          <w:p w14:paraId="4E491D4C" w14:textId="77777777" w:rsidR="001F0831"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50" w:type="dxa"/>
          </w:tcPr>
          <w:p w14:paraId="65F5C65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20C81B9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68C744EA" w14:textId="77777777" w:rsidTr="00EF2B7F">
        <w:tc>
          <w:tcPr>
            <w:tcW w:w="3145" w:type="dxa"/>
            <w:vMerge w:val="restart"/>
          </w:tcPr>
          <w:p w14:paraId="4880A3A5"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about malaria vaccine?</w:t>
            </w:r>
          </w:p>
        </w:tc>
        <w:tc>
          <w:tcPr>
            <w:tcW w:w="1800" w:type="dxa"/>
          </w:tcPr>
          <w:p w14:paraId="0A12C03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0C64DE9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250</w:t>
            </w:r>
          </w:p>
        </w:tc>
        <w:tc>
          <w:tcPr>
            <w:tcW w:w="2070" w:type="dxa"/>
          </w:tcPr>
          <w:p w14:paraId="14BB195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71.4</w:t>
            </w:r>
          </w:p>
        </w:tc>
      </w:tr>
      <w:tr w:rsidR="00EF2B7F" w:rsidRPr="00EF2B7F" w14:paraId="6B527AB6" w14:textId="77777777" w:rsidTr="00EF2B7F">
        <w:tc>
          <w:tcPr>
            <w:tcW w:w="3145" w:type="dxa"/>
            <w:vMerge/>
          </w:tcPr>
          <w:p w14:paraId="3FABB4F3"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3949B65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5BE57FF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070" w:type="dxa"/>
          </w:tcPr>
          <w:p w14:paraId="0E6C49A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r>
      <w:tr w:rsidR="00EF2B7F" w:rsidRPr="00EF2B7F" w14:paraId="47E3AD15" w14:textId="77777777" w:rsidTr="00EF2B7F">
        <w:tc>
          <w:tcPr>
            <w:tcW w:w="3145" w:type="dxa"/>
            <w:vMerge w:val="restart"/>
          </w:tcPr>
          <w:p w14:paraId="563A794C"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know the purpose of malaria vaccine?</w:t>
            </w:r>
          </w:p>
        </w:tc>
        <w:tc>
          <w:tcPr>
            <w:tcW w:w="1800" w:type="dxa"/>
          </w:tcPr>
          <w:p w14:paraId="1C4C491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Prevent malaria</w:t>
            </w:r>
          </w:p>
        </w:tc>
        <w:tc>
          <w:tcPr>
            <w:tcW w:w="2250" w:type="dxa"/>
          </w:tcPr>
          <w:p w14:paraId="359C506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290</w:t>
            </w:r>
          </w:p>
        </w:tc>
        <w:tc>
          <w:tcPr>
            <w:tcW w:w="2070" w:type="dxa"/>
          </w:tcPr>
          <w:p w14:paraId="48C4FB2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82.9</w:t>
            </w:r>
          </w:p>
        </w:tc>
      </w:tr>
      <w:tr w:rsidR="00EF2B7F" w:rsidRPr="00EF2B7F" w14:paraId="39199DB2" w14:textId="77777777" w:rsidTr="00EF2B7F">
        <w:tc>
          <w:tcPr>
            <w:tcW w:w="3145" w:type="dxa"/>
            <w:vMerge/>
          </w:tcPr>
          <w:p w14:paraId="0473D506"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6AC00B3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Cure malaria</w:t>
            </w:r>
          </w:p>
        </w:tc>
        <w:tc>
          <w:tcPr>
            <w:tcW w:w="2250" w:type="dxa"/>
          </w:tcPr>
          <w:p w14:paraId="647B141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2070" w:type="dxa"/>
          </w:tcPr>
          <w:p w14:paraId="60BFCC9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r>
      <w:tr w:rsidR="00EF2B7F" w:rsidRPr="00EF2B7F" w14:paraId="10DF897B" w14:textId="77777777" w:rsidTr="00EF2B7F">
        <w:tc>
          <w:tcPr>
            <w:tcW w:w="3145" w:type="dxa"/>
            <w:vMerge/>
          </w:tcPr>
          <w:p w14:paraId="26C3766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33A224D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Don't know</w:t>
            </w:r>
          </w:p>
        </w:tc>
        <w:tc>
          <w:tcPr>
            <w:tcW w:w="2250" w:type="dxa"/>
          </w:tcPr>
          <w:p w14:paraId="6E6CE4C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w:t>
            </w:r>
          </w:p>
        </w:tc>
        <w:tc>
          <w:tcPr>
            <w:tcW w:w="2070" w:type="dxa"/>
          </w:tcPr>
          <w:p w14:paraId="6291DD3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r>
      <w:tr w:rsidR="00EF2B7F" w:rsidRPr="00EF2B7F" w14:paraId="18E0AE50" w14:textId="77777777" w:rsidTr="00EF2B7F">
        <w:tc>
          <w:tcPr>
            <w:tcW w:w="3145" w:type="dxa"/>
            <w:vMerge w:val="restart"/>
          </w:tcPr>
          <w:p w14:paraId="6AA9DDA4"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Should everyone receive a malaria vaccine?</w:t>
            </w:r>
          </w:p>
        </w:tc>
        <w:tc>
          <w:tcPr>
            <w:tcW w:w="1800" w:type="dxa"/>
          </w:tcPr>
          <w:p w14:paraId="11A8D1FE"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148CC8F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313</w:t>
            </w:r>
          </w:p>
        </w:tc>
        <w:tc>
          <w:tcPr>
            <w:tcW w:w="2070" w:type="dxa"/>
          </w:tcPr>
          <w:p w14:paraId="7805FDA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89.4</w:t>
            </w:r>
          </w:p>
        </w:tc>
      </w:tr>
      <w:tr w:rsidR="00EF2B7F" w:rsidRPr="00EF2B7F" w14:paraId="2559EF40" w14:textId="77777777" w:rsidTr="00EF2B7F">
        <w:tc>
          <w:tcPr>
            <w:tcW w:w="3145" w:type="dxa"/>
            <w:vMerge/>
          </w:tcPr>
          <w:p w14:paraId="7E8BE0D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573D97A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70EF01A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37</w:t>
            </w:r>
          </w:p>
        </w:tc>
        <w:tc>
          <w:tcPr>
            <w:tcW w:w="2070" w:type="dxa"/>
          </w:tcPr>
          <w:p w14:paraId="1C207CA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r>
      <w:tr w:rsidR="00EF2B7F" w:rsidRPr="00EF2B7F" w14:paraId="14690197" w14:textId="77777777" w:rsidTr="00EF2B7F">
        <w:tc>
          <w:tcPr>
            <w:tcW w:w="3145" w:type="dxa"/>
            <w:vMerge w:val="restart"/>
          </w:tcPr>
          <w:p w14:paraId="063C3E06"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Do you know the recommended age for administering the malaria vaccine to children?</w:t>
            </w:r>
          </w:p>
        </w:tc>
        <w:tc>
          <w:tcPr>
            <w:tcW w:w="1800" w:type="dxa"/>
          </w:tcPr>
          <w:p w14:paraId="5024228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154C7CCB"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211</w:t>
            </w:r>
          </w:p>
        </w:tc>
        <w:tc>
          <w:tcPr>
            <w:tcW w:w="2070" w:type="dxa"/>
          </w:tcPr>
          <w:p w14:paraId="325C27A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60.3</w:t>
            </w:r>
          </w:p>
        </w:tc>
      </w:tr>
      <w:tr w:rsidR="00EF2B7F" w:rsidRPr="00EF2B7F" w14:paraId="46AA94F0" w14:textId="77777777" w:rsidTr="00EF2B7F">
        <w:tc>
          <w:tcPr>
            <w:tcW w:w="3145" w:type="dxa"/>
            <w:vMerge/>
          </w:tcPr>
          <w:p w14:paraId="1B6EB6E1"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016A91F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706F258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139</w:t>
            </w:r>
          </w:p>
        </w:tc>
        <w:tc>
          <w:tcPr>
            <w:tcW w:w="2070" w:type="dxa"/>
          </w:tcPr>
          <w:p w14:paraId="72FF494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39.7</w:t>
            </w:r>
          </w:p>
        </w:tc>
      </w:tr>
      <w:tr w:rsidR="00EF2B7F" w:rsidRPr="00EF2B7F" w14:paraId="498A9552" w14:textId="77777777" w:rsidTr="00EF2B7F">
        <w:tc>
          <w:tcPr>
            <w:tcW w:w="3145" w:type="dxa"/>
            <w:vMerge w:val="restart"/>
          </w:tcPr>
          <w:p w14:paraId="19208FEF"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believe malaria is a serious health issue that needs vaccination?</w:t>
            </w:r>
          </w:p>
        </w:tc>
        <w:tc>
          <w:tcPr>
            <w:tcW w:w="1800" w:type="dxa"/>
          </w:tcPr>
          <w:p w14:paraId="113E880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2250" w:type="dxa"/>
          </w:tcPr>
          <w:p w14:paraId="26F499C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331</w:t>
            </w:r>
          </w:p>
        </w:tc>
        <w:tc>
          <w:tcPr>
            <w:tcW w:w="2070" w:type="dxa"/>
          </w:tcPr>
          <w:p w14:paraId="10BD4EF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94.6</w:t>
            </w:r>
          </w:p>
        </w:tc>
      </w:tr>
      <w:tr w:rsidR="00EF2B7F" w:rsidRPr="00EF2B7F" w14:paraId="00ADF0C5" w14:textId="77777777" w:rsidTr="00EF2B7F">
        <w:tc>
          <w:tcPr>
            <w:tcW w:w="3145" w:type="dxa"/>
            <w:vMerge/>
          </w:tcPr>
          <w:p w14:paraId="648F4AD8"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tcPr>
          <w:p w14:paraId="68373B6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2250" w:type="dxa"/>
          </w:tcPr>
          <w:p w14:paraId="29EFA136"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2070" w:type="dxa"/>
          </w:tcPr>
          <w:p w14:paraId="69085B9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r>
    </w:tbl>
    <w:p w14:paraId="2BFA6B4B" w14:textId="77777777" w:rsidR="00B934A7" w:rsidRPr="00EF2B7F" w:rsidRDefault="00B934A7" w:rsidP="00A141F3">
      <w:pPr>
        <w:autoSpaceDE w:val="0"/>
        <w:autoSpaceDN w:val="0"/>
        <w:adjustRightInd w:val="0"/>
        <w:spacing w:line="276" w:lineRule="auto"/>
        <w:jc w:val="both"/>
        <w:rPr>
          <w:rStyle w:val="fadeinm1hgl8"/>
          <w:rFonts w:ascii="Times New Roman" w:hAnsi="Times New Roman" w:cs="Times New Roman"/>
          <w:color w:val="000000" w:themeColor="text1"/>
        </w:rPr>
      </w:pPr>
    </w:p>
    <w:p w14:paraId="40F2D8CA"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Style w:val="fadeinm1hgl8"/>
          <w:rFonts w:ascii="Times New Roman" w:hAnsi="Times New Roman" w:cs="Times New Roman"/>
          <w:color w:val="000000" w:themeColor="text1"/>
        </w:rPr>
        <w:t xml:space="preserve">Table </w:t>
      </w:r>
      <w:r w:rsidR="00B934A7" w:rsidRPr="00EF2B7F">
        <w:rPr>
          <w:rStyle w:val="fadeinm1hgl8"/>
          <w:rFonts w:ascii="Times New Roman" w:hAnsi="Times New Roman" w:cs="Times New Roman"/>
          <w:color w:val="000000" w:themeColor="text1"/>
        </w:rPr>
        <w:t>3</w:t>
      </w:r>
      <w:r w:rsidRPr="00EF2B7F">
        <w:rPr>
          <w:rStyle w:val="fadeinm1hgl8"/>
          <w:rFonts w:ascii="Times New Roman" w:hAnsi="Times New Roman" w:cs="Times New Roman"/>
          <w:color w:val="000000" w:themeColor="text1"/>
        </w:rPr>
        <w:t>b shows that majority of respondents (71.4%) had heard about the malaria vaccine, and 82.9% correctly identified its purpose as preventing malaria. A large proportion (89.4%) agreed that everyone should receive the malaria vaccine, and 94.6% believed malaria is a serious health issue requiring vaccination. However, only 60.3% were aware of the recommended age for administering the vaccine to children, indicating a gap in specific knowledge despite overall positive awareness and perception.</w:t>
      </w:r>
    </w:p>
    <w:p w14:paraId="3F7399BB" w14:textId="77777777" w:rsidR="00C24632" w:rsidRPr="00EF2B7F" w:rsidRDefault="00C24632" w:rsidP="00A141F3">
      <w:pPr>
        <w:spacing w:line="276" w:lineRule="auto"/>
        <w:jc w:val="both"/>
        <w:rPr>
          <w:rFonts w:ascii="Times New Roman" w:hAnsi="Times New Roman" w:cs="Times New Roman"/>
          <w:b/>
          <w:bCs/>
          <w:color w:val="000000" w:themeColor="text1"/>
        </w:rPr>
      </w:pPr>
    </w:p>
    <w:p w14:paraId="50DD8315" w14:textId="49BF1D6B" w:rsidR="00B934A7" w:rsidRPr="00EF2B7F" w:rsidRDefault="00B934A7"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3</w:t>
      </w:r>
      <w:r w:rsidR="00C822D5">
        <w:rPr>
          <w:rFonts w:ascii="Times New Roman" w:hAnsi="Times New Roman" w:cs="Times New Roman"/>
          <w:i w:val="0"/>
          <w:color w:val="000000" w:themeColor="text1"/>
          <w:sz w:val="24"/>
          <w:szCs w:val="24"/>
        </w:rPr>
        <w:t>b</w:t>
      </w:r>
      <w:r w:rsidRPr="00EF2B7F">
        <w:rPr>
          <w:rFonts w:ascii="Times New Roman" w:hAnsi="Times New Roman" w:cs="Times New Roman"/>
          <w:i w:val="0"/>
          <w:color w:val="000000" w:themeColor="text1"/>
          <w:sz w:val="24"/>
          <w:szCs w:val="24"/>
        </w:rPr>
        <w:t>: Knowledge of Malaria Vaccine among caregivers of under-fives at the Institute of Child Health, UNTH</w:t>
      </w:r>
      <w:r w:rsidRPr="00EF2B7F">
        <w:rPr>
          <w:rFonts w:ascii="Times New Roman" w:hAnsi="Times New Roman" w:cs="Times New Roman"/>
          <w:i w:val="0"/>
          <w:noProof/>
          <w:color w:val="000000" w:themeColor="text1"/>
          <w:sz w:val="24"/>
          <w:szCs w:val="24"/>
        </w:rPr>
        <w:t xml:space="preserve"> (Contd</w:t>
      </w:r>
      <w:r w:rsidR="00C822D5">
        <w:rPr>
          <w:rFonts w:ascii="Times New Roman" w:hAnsi="Times New Roman" w:cs="Times New Roman"/>
          <w:i w:val="0"/>
          <w:noProof/>
          <w:color w:val="000000" w:themeColor="text1"/>
          <w:sz w:val="24"/>
          <w:szCs w:val="24"/>
        </w:rPr>
        <w:t>…</w:t>
      </w:r>
      <w:r w:rsidRPr="00EF2B7F">
        <w:rPr>
          <w:rFonts w:ascii="Times New Roman" w:hAnsi="Times New Roman" w:cs="Times New Roman"/>
          <w:i w:val="0"/>
          <w:noProof/>
          <w:color w:val="000000" w:themeColor="text1"/>
          <w:sz w:val="24"/>
          <w:szCs w:val="24"/>
        </w:rPr>
        <w:t>)</w:t>
      </w:r>
    </w:p>
    <w:tbl>
      <w:tblPr>
        <w:tblStyle w:val="GridTable4-Accent11"/>
        <w:tblW w:w="9265" w:type="dxa"/>
        <w:tblLayout w:type="fixed"/>
        <w:tblLook w:val="0620" w:firstRow="1" w:lastRow="0" w:firstColumn="0" w:lastColumn="0" w:noHBand="1" w:noVBand="1"/>
      </w:tblPr>
      <w:tblGrid>
        <w:gridCol w:w="3955"/>
        <w:gridCol w:w="1350"/>
        <w:gridCol w:w="1890"/>
        <w:gridCol w:w="2070"/>
      </w:tblGrid>
      <w:tr w:rsidR="00EF2B7F" w:rsidRPr="00EF2B7F" w14:paraId="3CDCFDD3" w14:textId="77777777" w:rsidTr="00EF2B7F">
        <w:trPr>
          <w:cnfStyle w:val="100000000000" w:firstRow="1" w:lastRow="0" w:firstColumn="0" w:lastColumn="0" w:oddVBand="0" w:evenVBand="0" w:oddHBand="0" w:evenHBand="0" w:firstRowFirstColumn="0" w:firstRowLastColumn="0" w:lastRowFirstColumn="0" w:lastRowLastColumn="0"/>
        </w:trPr>
        <w:tc>
          <w:tcPr>
            <w:tcW w:w="5305" w:type="dxa"/>
            <w:gridSpan w:val="2"/>
          </w:tcPr>
          <w:p w14:paraId="5CFAA8E6" w14:textId="77777777" w:rsidR="001F0831" w:rsidRPr="00EF2B7F" w:rsidRDefault="00B934A7"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1890" w:type="dxa"/>
          </w:tcPr>
          <w:p w14:paraId="172E6B74"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Frequency</w:t>
            </w:r>
          </w:p>
        </w:tc>
        <w:tc>
          <w:tcPr>
            <w:tcW w:w="2070" w:type="dxa"/>
          </w:tcPr>
          <w:p w14:paraId="6ADD0A3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Percentage (%)</w:t>
            </w:r>
          </w:p>
        </w:tc>
      </w:tr>
      <w:tr w:rsidR="00EF2B7F" w:rsidRPr="00EF2B7F" w14:paraId="24D726E6" w14:textId="77777777" w:rsidTr="00EF2B7F">
        <w:tc>
          <w:tcPr>
            <w:tcW w:w="3955" w:type="dxa"/>
            <w:vMerge w:val="restart"/>
          </w:tcPr>
          <w:p w14:paraId="05026398"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Have you heard of </w:t>
            </w:r>
            <w:proofErr w:type="gramStart"/>
            <w:r w:rsidRPr="00EF2B7F">
              <w:rPr>
                <w:rFonts w:ascii="Times New Roman" w:hAnsi="Times New Roman" w:cs="Times New Roman"/>
                <w:color w:val="000000" w:themeColor="text1"/>
                <w:kern w:val="0"/>
                <w14:ligatures w14:val="none"/>
              </w:rPr>
              <w:t>RTS,S</w:t>
            </w:r>
            <w:proofErr w:type="gramEnd"/>
            <w:r w:rsidRPr="00EF2B7F">
              <w:rPr>
                <w:rFonts w:ascii="Times New Roman" w:hAnsi="Times New Roman" w:cs="Times New Roman"/>
                <w:color w:val="000000" w:themeColor="text1"/>
                <w:kern w:val="0"/>
                <w14:ligatures w14:val="none"/>
              </w:rPr>
              <w:t xml:space="preserve"> vaccine?</w:t>
            </w:r>
          </w:p>
        </w:tc>
        <w:tc>
          <w:tcPr>
            <w:tcW w:w="1350" w:type="dxa"/>
          </w:tcPr>
          <w:p w14:paraId="47B36CD3"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4962B3BE"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153</w:t>
            </w:r>
          </w:p>
        </w:tc>
        <w:tc>
          <w:tcPr>
            <w:tcW w:w="2070" w:type="dxa"/>
          </w:tcPr>
          <w:p w14:paraId="6A9658B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44</w:t>
            </w:r>
          </w:p>
        </w:tc>
      </w:tr>
      <w:tr w:rsidR="00EF2B7F" w:rsidRPr="00EF2B7F" w14:paraId="41658667" w14:textId="77777777" w:rsidTr="00EF2B7F">
        <w:tc>
          <w:tcPr>
            <w:tcW w:w="3955" w:type="dxa"/>
            <w:vMerge/>
          </w:tcPr>
          <w:p w14:paraId="6CFC1008"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1CFFF1E1"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21EEF8A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197</w:t>
            </w:r>
          </w:p>
        </w:tc>
        <w:tc>
          <w:tcPr>
            <w:tcW w:w="2070" w:type="dxa"/>
          </w:tcPr>
          <w:p w14:paraId="67C666E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56</w:t>
            </w:r>
          </w:p>
        </w:tc>
      </w:tr>
      <w:tr w:rsidR="00EF2B7F" w:rsidRPr="00EF2B7F" w14:paraId="7C4ADA37" w14:textId="77777777" w:rsidTr="00EF2B7F">
        <w:tc>
          <w:tcPr>
            <w:tcW w:w="3955" w:type="dxa"/>
            <w:vMerge w:val="restart"/>
          </w:tcPr>
          <w:p w14:paraId="6EE1EDE3"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Are you confident in the effectiveness of malaria vaccine?</w:t>
            </w:r>
          </w:p>
        </w:tc>
        <w:tc>
          <w:tcPr>
            <w:tcW w:w="1350" w:type="dxa"/>
          </w:tcPr>
          <w:p w14:paraId="6C7020D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24A7B57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265</w:t>
            </w:r>
          </w:p>
        </w:tc>
        <w:tc>
          <w:tcPr>
            <w:tcW w:w="2070" w:type="dxa"/>
          </w:tcPr>
          <w:p w14:paraId="50E8567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r>
      <w:tr w:rsidR="00EF2B7F" w:rsidRPr="00EF2B7F" w14:paraId="07B725C3" w14:textId="77777777" w:rsidTr="00EF2B7F">
        <w:tc>
          <w:tcPr>
            <w:tcW w:w="3955" w:type="dxa"/>
            <w:vMerge/>
          </w:tcPr>
          <w:p w14:paraId="5EA263E5"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16DF220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09295E9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2070" w:type="dxa"/>
          </w:tcPr>
          <w:p w14:paraId="131E2D28"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r>
      <w:tr w:rsidR="00EF2B7F" w:rsidRPr="00EF2B7F" w14:paraId="61DDEB74" w14:textId="77777777" w:rsidTr="00EF2B7F">
        <w:tc>
          <w:tcPr>
            <w:tcW w:w="3955" w:type="dxa"/>
            <w:vMerge w:val="restart"/>
          </w:tcPr>
          <w:p w14:paraId="18304F3B"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Have you heard that the WHO will recommend (RTS, S) malaria vaccine in Nigeria for children by mid-2024 to early 2025?</w:t>
            </w:r>
          </w:p>
        </w:tc>
        <w:tc>
          <w:tcPr>
            <w:tcW w:w="1350" w:type="dxa"/>
          </w:tcPr>
          <w:p w14:paraId="105C566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416BDB07"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070" w:type="dxa"/>
          </w:tcPr>
          <w:p w14:paraId="61BE700F"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r>
      <w:tr w:rsidR="00EF2B7F" w:rsidRPr="00EF2B7F" w14:paraId="67F4D3D9" w14:textId="77777777" w:rsidTr="00EF2B7F">
        <w:tc>
          <w:tcPr>
            <w:tcW w:w="3955" w:type="dxa"/>
            <w:vMerge/>
          </w:tcPr>
          <w:p w14:paraId="199EB296"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835D81D"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44B0D682"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250</w:t>
            </w:r>
          </w:p>
        </w:tc>
        <w:tc>
          <w:tcPr>
            <w:tcW w:w="2070" w:type="dxa"/>
          </w:tcPr>
          <w:p w14:paraId="4F220A60"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w:t>
            </w:r>
          </w:p>
        </w:tc>
      </w:tr>
      <w:tr w:rsidR="00EF2B7F" w:rsidRPr="00EF2B7F" w14:paraId="4412A323" w14:textId="77777777" w:rsidTr="00EF2B7F">
        <w:tc>
          <w:tcPr>
            <w:tcW w:w="3955" w:type="dxa"/>
            <w:vMerge w:val="restart"/>
          </w:tcPr>
          <w:p w14:paraId="367016E8" w14:textId="77777777" w:rsidR="001F0831" w:rsidRPr="00EF2B7F" w:rsidRDefault="001F0831"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believe that malaria vaccine will have a negative effect on a child?</w:t>
            </w:r>
          </w:p>
        </w:tc>
        <w:tc>
          <w:tcPr>
            <w:tcW w:w="1350" w:type="dxa"/>
          </w:tcPr>
          <w:p w14:paraId="052B8B6A"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Yes</w:t>
            </w:r>
          </w:p>
        </w:tc>
        <w:tc>
          <w:tcPr>
            <w:tcW w:w="1890" w:type="dxa"/>
          </w:tcPr>
          <w:p w14:paraId="72901FC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46</w:t>
            </w:r>
          </w:p>
        </w:tc>
        <w:tc>
          <w:tcPr>
            <w:tcW w:w="2070" w:type="dxa"/>
          </w:tcPr>
          <w:p w14:paraId="1E1FC69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r>
      <w:tr w:rsidR="00EF2B7F" w:rsidRPr="00EF2B7F" w14:paraId="59D974D1" w14:textId="77777777" w:rsidTr="00EF2B7F">
        <w:tc>
          <w:tcPr>
            <w:tcW w:w="3955" w:type="dxa"/>
            <w:vMerge/>
          </w:tcPr>
          <w:p w14:paraId="1A096177" w14:textId="77777777" w:rsidR="001F0831" w:rsidRPr="00EF2B7F" w:rsidRDefault="001F0831"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4ECCD59"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No</w:t>
            </w:r>
          </w:p>
        </w:tc>
        <w:tc>
          <w:tcPr>
            <w:tcW w:w="1890" w:type="dxa"/>
          </w:tcPr>
          <w:p w14:paraId="3B8EB53C"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304</w:t>
            </w:r>
          </w:p>
        </w:tc>
        <w:tc>
          <w:tcPr>
            <w:tcW w:w="2070" w:type="dxa"/>
          </w:tcPr>
          <w:p w14:paraId="6CCB99D5" w14:textId="77777777" w:rsidR="001F0831" w:rsidRPr="00EF2B7F" w:rsidRDefault="001F0831"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87</w:t>
            </w:r>
          </w:p>
        </w:tc>
      </w:tr>
    </w:tbl>
    <w:p w14:paraId="06635A42" w14:textId="77777777" w:rsidR="00B934A7" w:rsidRPr="00EF2B7F" w:rsidRDefault="00B934A7" w:rsidP="00A141F3">
      <w:pPr>
        <w:spacing w:line="276" w:lineRule="auto"/>
        <w:jc w:val="both"/>
        <w:rPr>
          <w:rFonts w:ascii="Times New Roman" w:hAnsi="Times New Roman" w:cs="Times New Roman"/>
          <w:color w:val="000000" w:themeColor="text1"/>
          <w:kern w:val="0"/>
          <w14:ligatures w14:val="none"/>
        </w:rPr>
      </w:pPr>
    </w:p>
    <w:p w14:paraId="2C8A51C5" w14:textId="61E248B1" w:rsidR="001F0831" w:rsidRPr="00EF2B7F" w:rsidRDefault="001F0831" w:rsidP="00A141F3">
      <w:pPr>
        <w:spacing w:line="276" w:lineRule="auto"/>
        <w:jc w:val="both"/>
        <w:rPr>
          <w:rStyle w:val="fadeinm1hgl8"/>
          <w:rFonts w:ascii="Times New Roman" w:hAnsi="Times New Roman" w:cs="Times New Roman"/>
          <w:color w:val="000000" w:themeColor="text1"/>
        </w:rPr>
      </w:pPr>
      <w:r w:rsidRPr="00EF2B7F">
        <w:rPr>
          <w:rFonts w:ascii="Times New Roman" w:hAnsi="Times New Roman" w:cs="Times New Roman"/>
          <w:color w:val="000000" w:themeColor="text1"/>
          <w:kern w:val="0"/>
          <w14:ligatures w14:val="none"/>
        </w:rPr>
        <w:t xml:space="preserve">From table </w:t>
      </w:r>
      <w:r w:rsidR="00B934A7" w:rsidRPr="00EF2B7F">
        <w:rPr>
          <w:rFonts w:ascii="Times New Roman" w:hAnsi="Times New Roman" w:cs="Times New Roman"/>
          <w:color w:val="000000" w:themeColor="text1"/>
          <w:kern w:val="0"/>
          <w14:ligatures w14:val="none"/>
        </w:rPr>
        <w:t>3</w:t>
      </w:r>
      <w:r w:rsidR="00C822D5">
        <w:rPr>
          <w:rFonts w:ascii="Times New Roman" w:hAnsi="Times New Roman" w:cs="Times New Roman"/>
          <w:color w:val="000000" w:themeColor="text1"/>
          <w:kern w:val="0"/>
          <w14:ligatures w14:val="none"/>
        </w:rPr>
        <w:t>b</w:t>
      </w:r>
      <w:r w:rsidRPr="00EF2B7F">
        <w:rPr>
          <w:rFonts w:ascii="Times New Roman" w:hAnsi="Times New Roman" w:cs="Times New Roman"/>
          <w:color w:val="000000" w:themeColor="text1"/>
          <w:kern w:val="0"/>
          <w14:ligatures w14:val="none"/>
        </w:rPr>
        <w:t xml:space="preserve">, </w:t>
      </w:r>
      <w:r w:rsidRPr="00EF2B7F">
        <w:rPr>
          <w:rStyle w:val="fadeinm1hgl8"/>
          <w:rFonts w:ascii="Times New Roman" w:hAnsi="Times New Roman" w:cs="Times New Roman"/>
          <w:color w:val="000000" w:themeColor="text1"/>
        </w:rPr>
        <w:t xml:space="preserve">less than half of the respondents (44%) had heard of the </w:t>
      </w:r>
      <w:proofErr w:type="gramStart"/>
      <w:r w:rsidRPr="00EF2B7F">
        <w:rPr>
          <w:rStyle w:val="fadeinm1hgl8"/>
          <w:rFonts w:ascii="Times New Roman" w:hAnsi="Times New Roman" w:cs="Times New Roman"/>
          <w:color w:val="000000" w:themeColor="text1"/>
        </w:rPr>
        <w:t>RTS,S</w:t>
      </w:r>
      <w:proofErr w:type="gramEnd"/>
      <w:r w:rsidRPr="00EF2B7F">
        <w:rPr>
          <w:rStyle w:val="fadeinm1hgl8"/>
          <w:rFonts w:ascii="Times New Roman" w:hAnsi="Times New Roman" w:cs="Times New Roman"/>
          <w:color w:val="000000" w:themeColor="text1"/>
        </w:rPr>
        <w:t xml:space="preserve"> malaria vaccine, and only 29% were aware that the World Health Organization plans to recommend it for children in Nigeria by mid-2024 to early 2025. Despite this limited awareness, a strong majority (76%) expressed confidence in the effectiveness of the malaria vaccine, and 87% did not believe it would have a negative effect on children, indicating generally positive perceptions despite gaps in specific knowledge.</w:t>
      </w:r>
    </w:p>
    <w:p w14:paraId="516FCA75" w14:textId="77777777" w:rsidR="00B934A7" w:rsidRPr="00EF2B7F" w:rsidRDefault="00B934A7" w:rsidP="00A141F3">
      <w:pPr>
        <w:spacing w:line="276" w:lineRule="auto"/>
        <w:jc w:val="both"/>
        <w:rPr>
          <w:rFonts w:ascii="Times New Roman" w:hAnsi="Times New Roman" w:cs="Times New Roman"/>
          <w:b/>
          <w:bCs/>
          <w:color w:val="000000" w:themeColor="text1"/>
        </w:rPr>
      </w:pPr>
    </w:p>
    <w:p w14:paraId="48B6C6D1" w14:textId="77777777" w:rsidR="00B934A7" w:rsidRPr="00EF2B7F" w:rsidRDefault="00C24632"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b/>
          <w:bCs/>
          <w:noProof/>
          <w:color w:val="000000" w:themeColor="text1"/>
          <w14:ligatures w14:val="none"/>
        </w:rPr>
        <w:lastRenderedPageBreak/>
        <w:drawing>
          <wp:inline distT="0" distB="0" distL="0" distR="0" wp14:anchorId="1D2DB5AD" wp14:editId="7D9F7B05">
            <wp:extent cx="6111240" cy="2864338"/>
            <wp:effectExtent l="0" t="0" r="381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F61160" w14:textId="77777777" w:rsidR="007B6EC6" w:rsidRPr="00EF2B7F" w:rsidRDefault="00B934A7" w:rsidP="00A141F3">
      <w:pPr>
        <w:pStyle w:val="Caption"/>
        <w:spacing w:after="160" w:line="276" w:lineRule="auto"/>
        <w:jc w:val="both"/>
        <w:rPr>
          <w:rFonts w:ascii="Times New Roman" w:hAnsi="Times New Roman" w:cs="Times New Roman"/>
          <w:i w:val="0"/>
          <w:noProof/>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1</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Source of Information on Malaria Vaccine</w:t>
      </w:r>
      <w:r w:rsidRPr="00EF2B7F">
        <w:rPr>
          <w:rFonts w:ascii="Times New Roman" w:hAnsi="Times New Roman" w:cs="Times New Roman"/>
          <w:i w:val="0"/>
          <w:noProof/>
          <w:color w:val="000000" w:themeColor="text1"/>
          <w:sz w:val="24"/>
          <w:szCs w:val="24"/>
        </w:rPr>
        <w:t xml:space="preserve"> among Caregivers of Under-fives at Institute of Child Health, UNTH</w:t>
      </w:r>
    </w:p>
    <w:p w14:paraId="4905545C" w14:textId="77777777" w:rsidR="007B6EC6" w:rsidRPr="00EF2B7F" w:rsidRDefault="001F0831"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The most common source of information about the malaria vaccine was hospitals or health workers (28.7%), followed by television (24.0%). Community outreach programs accounted for 15.6%, while social media contributed 12.5%. Other sources made up 19.2%, indicating a diverse mix of information channels accessed by respondents.</w:t>
      </w:r>
    </w:p>
    <w:bookmarkEnd w:id="1"/>
    <w:p w14:paraId="6C822802" w14:textId="1CF23D88" w:rsidR="00B934A7" w:rsidRPr="00EF2B7F" w:rsidRDefault="00B17A82"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noProof/>
          <w:color w:val="000000" w:themeColor="text1"/>
          <w14:ligatures w14:val="none"/>
        </w:rPr>
        <w:drawing>
          <wp:inline distT="0" distB="0" distL="0" distR="0" wp14:anchorId="6A3F7277" wp14:editId="1F171E9E">
            <wp:extent cx="5892800" cy="2464904"/>
            <wp:effectExtent l="0" t="0" r="12700" b="1206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45C5B8" w14:textId="77777777" w:rsidR="00C50BF8" w:rsidRPr="00EF2B7F" w:rsidRDefault="00B934A7" w:rsidP="00A141F3">
      <w:pPr>
        <w:pStyle w:val="Caption"/>
        <w:spacing w:after="160" w:line="276" w:lineRule="auto"/>
        <w:jc w:val="both"/>
        <w:rPr>
          <w:rFonts w:ascii="Times New Roman" w:hAnsi="Times New Roman" w:cs="Times New Roman"/>
          <w:b/>
          <w:bCs/>
          <w:i w:val="0"/>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2</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Overall knowledge level of malaria and malaria vaccine among Caregivers of Under-fives at Institute of Child Health, UNTH</w:t>
      </w:r>
    </w:p>
    <w:p w14:paraId="07BEFA64" w14:textId="77777777" w:rsidR="00B17A82" w:rsidRPr="00EF2B7F" w:rsidRDefault="00863B23" w:rsidP="00A141F3">
      <w:pPr>
        <w:spacing w:line="276" w:lineRule="auto"/>
        <w:jc w:val="both"/>
        <w:rPr>
          <w:rFonts w:ascii="Times New Roman" w:hAnsi="Times New Roman" w:cs="Times New Roman"/>
          <w:bCs/>
          <w:color w:val="000000" w:themeColor="text1"/>
        </w:rPr>
      </w:pPr>
      <w:r w:rsidRPr="00EF2B7F">
        <w:rPr>
          <w:rStyle w:val="fadeinm1hgl8"/>
          <w:rFonts w:ascii="Times New Roman" w:hAnsi="Times New Roman" w:cs="Times New Roman"/>
          <w:color w:val="000000" w:themeColor="text1"/>
        </w:rPr>
        <w:t>The results show that 61.5% of respondents demonstrated good knowledge overall about the malaria vaccine, while 34.9% had poor knowledge. Hence, although over half of the participants are well-informed, a significant proportion still lack adequate knowledge.</w:t>
      </w:r>
    </w:p>
    <w:p w14:paraId="449879F0" w14:textId="77777777" w:rsidR="003F5CC5" w:rsidRPr="00EF2B7F" w:rsidRDefault="003F5CC5" w:rsidP="00A141F3">
      <w:pPr>
        <w:autoSpaceDE w:val="0"/>
        <w:autoSpaceDN w:val="0"/>
        <w:adjustRightInd w:val="0"/>
        <w:spacing w:line="276" w:lineRule="auto"/>
        <w:jc w:val="both"/>
        <w:rPr>
          <w:rFonts w:ascii="Times New Roman" w:hAnsi="Times New Roman" w:cs="Times New Roman"/>
          <w:b/>
          <w:bCs/>
          <w:color w:val="000000" w:themeColor="text1"/>
        </w:rPr>
      </w:pPr>
    </w:p>
    <w:p w14:paraId="288ABB17"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6D381F18" w14:textId="77777777" w:rsidR="00863B23" w:rsidRPr="00EF2B7F" w:rsidRDefault="00863B2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4.1.4 WILLINGNESS TOWARDS UPTAKE OF MALARIA VACCINE</w:t>
      </w:r>
    </w:p>
    <w:p w14:paraId="1D0DCF56" w14:textId="740DAC41" w:rsidR="003E2EF8" w:rsidRPr="00EF2B7F" w:rsidRDefault="003E2EF8"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4</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Willingness towards Uptake Malaria Vaccine among Caregivers of under-five Children attending ICH, UNTH</w:t>
      </w:r>
    </w:p>
    <w:tbl>
      <w:tblPr>
        <w:tblStyle w:val="GridTable4-Accent11"/>
        <w:tblW w:w="9265" w:type="dxa"/>
        <w:tblLayout w:type="fixed"/>
        <w:tblLook w:val="0620" w:firstRow="1" w:lastRow="0" w:firstColumn="0" w:lastColumn="0" w:noHBand="1" w:noVBand="1"/>
      </w:tblPr>
      <w:tblGrid>
        <w:gridCol w:w="2785"/>
        <w:gridCol w:w="1350"/>
        <w:gridCol w:w="810"/>
        <w:gridCol w:w="1350"/>
        <w:gridCol w:w="810"/>
        <w:gridCol w:w="1350"/>
        <w:gridCol w:w="810"/>
      </w:tblGrid>
      <w:tr w:rsidR="00EF2B7F" w:rsidRPr="00EF2B7F" w14:paraId="5A9ECD93" w14:textId="77777777" w:rsidTr="00EF2B7F">
        <w:trPr>
          <w:cnfStyle w:val="100000000000" w:firstRow="1" w:lastRow="0" w:firstColumn="0" w:lastColumn="0" w:oddVBand="0" w:evenVBand="0" w:oddHBand="0" w:evenHBand="0" w:firstRowFirstColumn="0" w:firstRowLastColumn="0" w:lastRowFirstColumn="0" w:lastRowLastColumn="0"/>
        </w:trPr>
        <w:tc>
          <w:tcPr>
            <w:tcW w:w="2785" w:type="dxa"/>
            <w:vMerge w:val="restart"/>
          </w:tcPr>
          <w:p w14:paraId="35D7D435" w14:textId="77777777" w:rsidR="00863B23"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160" w:type="dxa"/>
            <w:gridSpan w:val="2"/>
          </w:tcPr>
          <w:p w14:paraId="33F4D76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Yes</w:t>
            </w:r>
          </w:p>
        </w:tc>
        <w:tc>
          <w:tcPr>
            <w:tcW w:w="2160" w:type="dxa"/>
            <w:gridSpan w:val="2"/>
          </w:tcPr>
          <w:p w14:paraId="52F8AF0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No</w:t>
            </w:r>
          </w:p>
        </w:tc>
        <w:tc>
          <w:tcPr>
            <w:tcW w:w="2160" w:type="dxa"/>
            <w:gridSpan w:val="2"/>
          </w:tcPr>
          <w:p w14:paraId="295FC89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I don't know</w:t>
            </w:r>
          </w:p>
        </w:tc>
      </w:tr>
      <w:tr w:rsidR="00EF2B7F" w:rsidRPr="00EF2B7F" w14:paraId="330C0C0A" w14:textId="77777777" w:rsidTr="00EF2B7F">
        <w:tc>
          <w:tcPr>
            <w:tcW w:w="2785" w:type="dxa"/>
            <w:vMerge/>
          </w:tcPr>
          <w:p w14:paraId="19416B41"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350" w:type="dxa"/>
          </w:tcPr>
          <w:p w14:paraId="7DBC50D6"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3C7612B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18B98CD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215CE614"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03F35C2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2A239B5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r>
      <w:tr w:rsidR="00EF2B7F" w:rsidRPr="00EF2B7F" w14:paraId="7F1D8D70" w14:textId="77777777" w:rsidTr="00EF2B7F">
        <w:tc>
          <w:tcPr>
            <w:tcW w:w="2785" w:type="dxa"/>
          </w:tcPr>
          <w:p w14:paraId="70369985"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vaccinate your child against malaria vaccine?</w:t>
            </w:r>
          </w:p>
        </w:tc>
        <w:tc>
          <w:tcPr>
            <w:tcW w:w="1350" w:type="dxa"/>
          </w:tcPr>
          <w:p w14:paraId="79AC84D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288</w:t>
            </w:r>
          </w:p>
        </w:tc>
        <w:tc>
          <w:tcPr>
            <w:tcW w:w="810" w:type="dxa"/>
          </w:tcPr>
          <w:p w14:paraId="6A7214B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82.3</w:t>
            </w:r>
          </w:p>
        </w:tc>
        <w:tc>
          <w:tcPr>
            <w:tcW w:w="1350" w:type="dxa"/>
          </w:tcPr>
          <w:p w14:paraId="3592534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810" w:type="dxa"/>
          </w:tcPr>
          <w:p w14:paraId="4991A29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c>
          <w:tcPr>
            <w:tcW w:w="1350" w:type="dxa"/>
          </w:tcPr>
          <w:p w14:paraId="7318100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810" w:type="dxa"/>
          </w:tcPr>
          <w:p w14:paraId="7D2B3F0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8.9</w:t>
            </w:r>
          </w:p>
        </w:tc>
      </w:tr>
      <w:tr w:rsidR="00EF2B7F" w:rsidRPr="00EF2B7F" w14:paraId="069C49BF" w14:textId="77777777" w:rsidTr="00EF2B7F">
        <w:tc>
          <w:tcPr>
            <w:tcW w:w="2785" w:type="dxa"/>
          </w:tcPr>
          <w:p w14:paraId="2BC7EDD0"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spend money for your child to receive malaria vaccine?</w:t>
            </w:r>
          </w:p>
        </w:tc>
        <w:tc>
          <w:tcPr>
            <w:tcW w:w="1350" w:type="dxa"/>
          </w:tcPr>
          <w:p w14:paraId="2FFAFC3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279</w:t>
            </w:r>
          </w:p>
        </w:tc>
        <w:tc>
          <w:tcPr>
            <w:tcW w:w="810" w:type="dxa"/>
          </w:tcPr>
          <w:p w14:paraId="4AAB621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79.7</w:t>
            </w:r>
          </w:p>
        </w:tc>
        <w:tc>
          <w:tcPr>
            <w:tcW w:w="1350" w:type="dxa"/>
          </w:tcPr>
          <w:p w14:paraId="2BDDD89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43</w:t>
            </w:r>
          </w:p>
        </w:tc>
        <w:tc>
          <w:tcPr>
            <w:tcW w:w="810" w:type="dxa"/>
          </w:tcPr>
          <w:p w14:paraId="78CB6F26"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12.3</w:t>
            </w:r>
          </w:p>
        </w:tc>
        <w:tc>
          <w:tcPr>
            <w:tcW w:w="1350" w:type="dxa"/>
          </w:tcPr>
          <w:p w14:paraId="2F73F18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w:t>
            </w:r>
          </w:p>
        </w:tc>
        <w:tc>
          <w:tcPr>
            <w:tcW w:w="810" w:type="dxa"/>
          </w:tcPr>
          <w:p w14:paraId="0E05911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r>
      <w:tr w:rsidR="00EF2B7F" w:rsidRPr="00EF2B7F" w14:paraId="2EDFA589" w14:textId="77777777" w:rsidTr="00EF2B7F">
        <w:tc>
          <w:tcPr>
            <w:tcW w:w="2785" w:type="dxa"/>
          </w:tcPr>
          <w:p w14:paraId="34C5D9D0"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Should every child receive malaria vaccine?</w:t>
            </w:r>
          </w:p>
        </w:tc>
        <w:tc>
          <w:tcPr>
            <w:tcW w:w="1350" w:type="dxa"/>
          </w:tcPr>
          <w:p w14:paraId="2541C79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w:t>
            </w:r>
          </w:p>
        </w:tc>
        <w:tc>
          <w:tcPr>
            <w:tcW w:w="810" w:type="dxa"/>
          </w:tcPr>
          <w:p w14:paraId="6792F38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83.4</w:t>
            </w:r>
          </w:p>
        </w:tc>
        <w:tc>
          <w:tcPr>
            <w:tcW w:w="1350" w:type="dxa"/>
          </w:tcPr>
          <w:p w14:paraId="0B96403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810" w:type="dxa"/>
          </w:tcPr>
          <w:p w14:paraId="1E2954B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1350" w:type="dxa"/>
          </w:tcPr>
          <w:p w14:paraId="32A3E42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20</w:t>
            </w:r>
          </w:p>
        </w:tc>
        <w:tc>
          <w:tcPr>
            <w:tcW w:w="810" w:type="dxa"/>
          </w:tcPr>
          <w:p w14:paraId="547530D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5.7</w:t>
            </w:r>
          </w:p>
        </w:tc>
      </w:tr>
      <w:tr w:rsidR="00EF2B7F" w:rsidRPr="00EF2B7F" w14:paraId="37B2F6E8" w14:textId="77777777" w:rsidTr="00EF2B7F">
        <w:tc>
          <w:tcPr>
            <w:tcW w:w="2785" w:type="dxa"/>
          </w:tcPr>
          <w:p w14:paraId="54DE5528"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 you encourage your other family members and neighbors to vaccinate their child against malaria?</w:t>
            </w:r>
          </w:p>
        </w:tc>
        <w:tc>
          <w:tcPr>
            <w:tcW w:w="1350" w:type="dxa"/>
          </w:tcPr>
          <w:p w14:paraId="7075B7F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295</w:t>
            </w:r>
          </w:p>
        </w:tc>
        <w:tc>
          <w:tcPr>
            <w:tcW w:w="810" w:type="dxa"/>
          </w:tcPr>
          <w:p w14:paraId="6F1EA5A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84.3</w:t>
            </w:r>
          </w:p>
        </w:tc>
        <w:tc>
          <w:tcPr>
            <w:tcW w:w="1350" w:type="dxa"/>
          </w:tcPr>
          <w:p w14:paraId="05C55F9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w:t>
            </w:r>
          </w:p>
        </w:tc>
        <w:tc>
          <w:tcPr>
            <w:tcW w:w="810" w:type="dxa"/>
          </w:tcPr>
          <w:p w14:paraId="7FF1FE8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1350" w:type="dxa"/>
          </w:tcPr>
          <w:p w14:paraId="01BF2C0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w:t>
            </w:r>
          </w:p>
        </w:tc>
        <w:tc>
          <w:tcPr>
            <w:tcW w:w="810" w:type="dxa"/>
          </w:tcPr>
          <w:p w14:paraId="1E0818F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w:t>
            </w:r>
          </w:p>
        </w:tc>
      </w:tr>
    </w:tbl>
    <w:p w14:paraId="67B6E2B8"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6E248EC6" w14:textId="08DD3DDC" w:rsidR="00863B23" w:rsidRPr="00EF2B7F" w:rsidRDefault="00863B23"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 xml:space="preserve">The findings of Table </w:t>
      </w:r>
      <w:r w:rsidR="003E2EF8" w:rsidRPr="00EF2B7F">
        <w:rPr>
          <w:rStyle w:val="fadeinm1hgl8"/>
          <w:rFonts w:ascii="Times New Roman" w:hAnsi="Times New Roman" w:cs="Times New Roman"/>
          <w:color w:val="000000" w:themeColor="text1"/>
        </w:rPr>
        <w:t>4</w:t>
      </w:r>
      <w:r w:rsidRPr="00EF2B7F">
        <w:rPr>
          <w:rStyle w:val="fadeinm1hgl8"/>
          <w:rFonts w:ascii="Times New Roman" w:hAnsi="Times New Roman" w:cs="Times New Roman"/>
          <w:color w:val="000000" w:themeColor="text1"/>
        </w:rPr>
        <w:t xml:space="preserve"> show strong parental acceptance of the malaria vaccine. About 82.3% are willing to vaccinate their child, 79.7% are ready to spend money for it, and 83.4% believe every child should receive it. Additionally, 84.3% would encourage others to vaccinate their children, reflecting overall positive attitudes toward the malaria vaccine among respondents.</w:t>
      </w:r>
    </w:p>
    <w:p w14:paraId="0B862B48"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35372B9E" w14:textId="5B0FD14C" w:rsidR="003E2EF8" w:rsidRPr="00EF2B7F" w:rsidRDefault="003E2EF8"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4: Willingness towards Uptake Malaria Vaccine among Caregivers of under-five Children attending ICH, UNTH</w:t>
      </w:r>
      <w:r w:rsidRPr="00EF2B7F">
        <w:rPr>
          <w:rFonts w:ascii="Times New Roman" w:hAnsi="Times New Roman" w:cs="Times New Roman"/>
          <w:i w:val="0"/>
          <w:noProof/>
          <w:color w:val="000000" w:themeColor="text1"/>
          <w:sz w:val="24"/>
          <w:szCs w:val="24"/>
        </w:rPr>
        <w:t xml:space="preserve"> (Contd</w:t>
      </w:r>
      <w:r w:rsidR="00C822D5">
        <w:rPr>
          <w:rFonts w:ascii="Times New Roman" w:hAnsi="Times New Roman" w:cs="Times New Roman"/>
          <w:i w:val="0"/>
          <w:noProof/>
          <w:color w:val="000000" w:themeColor="text1"/>
          <w:sz w:val="24"/>
          <w:szCs w:val="24"/>
        </w:rPr>
        <w:t>..</w:t>
      </w:r>
      <w:r w:rsidRPr="00EF2B7F">
        <w:rPr>
          <w:rFonts w:ascii="Times New Roman" w:hAnsi="Times New Roman" w:cs="Times New Roman"/>
          <w:i w:val="0"/>
          <w:noProof/>
          <w:color w:val="000000" w:themeColor="text1"/>
          <w:sz w:val="24"/>
          <w:szCs w:val="24"/>
        </w:rPr>
        <w:t>)</w:t>
      </w:r>
    </w:p>
    <w:tbl>
      <w:tblPr>
        <w:tblStyle w:val="GridTable4-Accent11"/>
        <w:tblW w:w="9265" w:type="dxa"/>
        <w:tblLayout w:type="fixed"/>
        <w:tblLook w:val="0620" w:firstRow="1" w:lastRow="0" w:firstColumn="0" w:lastColumn="0" w:noHBand="1" w:noVBand="1"/>
      </w:tblPr>
      <w:tblGrid>
        <w:gridCol w:w="2519"/>
        <w:gridCol w:w="1436"/>
        <w:gridCol w:w="810"/>
        <w:gridCol w:w="1350"/>
        <w:gridCol w:w="810"/>
        <w:gridCol w:w="1350"/>
        <w:gridCol w:w="990"/>
      </w:tblGrid>
      <w:tr w:rsidR="00EF2B7F" w:rsidRPr="00EF2B7F" w14:paraId="4268B445" w14:textId="77777777" w:rsidTr="00EF2B7F">
        <w:trPr>
          <w:cnfStyle w:val="100000000000" w:firstRow="1" w:lastRow="0" w:firstColumn="0" w:lastColumn="0" w:oddVBand="0" w:evenVBand="0" w:oddHBand="0" w:evenHBand="0" w:firstRowFirstColumn="0" w:firstRowLastColumn="0" w:lastRowFirstColumn="0" w:lastRowLastColumn="0"/>
        </w:trPr>
        <w:tc>
          <w:tcPr>
            <w:tcW w:w="2519" w:type="dxa"/>
            <w:vMerge w:val="restart"/>
          </w:tcPr>
          <w:p w14:paraId="20912AA9" w14:textId="77777777" w:rsidR="00863B23"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Variables</w:t>
            </w:r>
          </w:p>
        </w:tc>
        <w:tc>
          <w:tcPr>
            <w:tcW w:w="2246" w:type="dxa"/>
            <w:gridSpan w:val="2"/>
          </w:tcPr>
          <w:p w14:paraId="7C1E5C3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Yes</w:t>
            </w:r>
          </w:p>
        </w:tc>
        <w:tc>
          <w:tcPr>
            <w:tcW w:w="2160" w:type="dxa"/>
            <w:gridSpan w:val="2"/>
          </w:tcPr>
          <w:p w14:paraId="33C4035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No</w:t>
            </w:r>
          </w:p>
        </w:tc>
        <w:tc>
          <w:tcPr>
            <w:tcW w:w="2340" w:type="dxa"/>
            <w:gridSpan w:val="2"/>
          </w:tcPr>
          <w:p w14:paraId="01C01EC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I don't know</w:t>
            </w:r>
          </w:p>
        </w:tc>
      </w:tr>
      <w:tr w:rsidR="00EF2B7F" w:rsidRPr="00EF2B7F" w14:paraId="00F2DBDC" w14:textId="77777777" w:rsidTr="00EF2B7F">
        <w:tc>
          <w:tcPr>
            <w:tcW w:w="2519" w:type="dxa"/>
            <w:vMerge/>
          </w:tcPr>
          <w:p w14:paraId="45D892F6"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36" w:type="dxa"/>
          </w:tcPr>
          <w:p w14:paraId="208AB45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0434762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6BA63B4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810" w:type="dxa"/>
          </w:tcPr>
          <w:p w14:paraId="633D86C2"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350" w:type="dxa"/>
          </w:tcPr>
          <w:p w14:paraId="4A67AA8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Frequency</w:t>
            </w:r>
          </w:p>
        </w:tc>
        <w:tc>
          <w:tcPr>
            <w:tcW w:w="990" w:type="dxa"/>
          </w:tcPr>
          <w:p w14:paraId="0604CB2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r>
      <w:tr w:rsidR="00EF2B7F" w:rsidRPr="00EF2B7F" w14:paraId="28F214E3" w14:textId="77777777" w:rsidTr="00EF2B7F">
        <w:tc>
          <w:tcPr>
            <w:tcW w:w="2519" w:type="dxa"/>
          </w:tcPr>
          <w:p w14:paraId="7FE932FA"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Do you think the newly discovered WHO recommended (RTS, S) malaria vaccine for children in 2021 is safe to take?</w:t>
            </w:r>
          </w:p>
        </w:tc>
        <w:tc>
          <w:tcPr>
            <w:tcW w:w="1436" w:type="dxa"/>
          </w:tcPr>
          <w:p w14:paraId="3055998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247</w:t>
            </w:r>
          </w:p>
        </w:tc>
        <w:tc>
          <w:tcPr>
            <w:tcW w:w="810" w:type="dxa"/>
          </w:tcPr>
          <w:p w14:paraId="5EEFCD6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70.6</w:t>
            </w:r>
          </w:p>
        </w:tc>
        <w:tc>
          <w:tcPr>
            <w:tcW w:w="1350" w:type="dxa"/>
          </w:tcPr>
          <w:p w14:paraId="30A7977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c>
          <w:tcPr>
            <w:tcW w:w="810" w:type="dxa"/>
          </w:tcPr>
          <w:p w14:paraId="286AD97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1350" w:type="dxa"/>
          </w:tcPr>
          <w:p w14:paraId="26269D2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990" w:type="dxa"/>
          </w:tcPr>
          <w:p w14:paraId="3266B31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22.0</w:t>
            </w:r>
          </w:p>
        </w:tc>
      </w:tr>
      <w:tr w:rsidR="00EF2B7F" w:rsidRPr="00EF2B7F" w14:paraId="4870B242" w14:textId="77777777" w:rsidTr="00EF2B7F">
        <w:tc>
          <w:tcPr>
            <w:tcW w:w="2519" w:type="dxa"/>
          </w:tcPr>
          <w:p w14:paraId="6A180887"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Would you allow your child to be a volunteer for malaria vaccine trial?</w:t>
            </w:r>
          </w:p>
        </w:tc>
        <w:tc>
          <w:tcPr>
            <w:tcW w:w="1436" w:type="dxa"/>
          </w:tcPr>
          <w:p w14:paraId="370C087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w:t>
            </w:r>
          </w:p>
        </w:tc>
        <w:tc>
          <w:tcPr>
            <w:tcW w:w="810" w:type="dxa"/>
          </w:tcPr>
          <w:p w14:paraId="63AEC7B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27.1</w:t>
            </w:r>
          </w:p>
        </w:tc>
        <w:tc>
          <w:tcPr>
            <w:tcW w:w="1350" w:type="dxa"/>
          </w:tcPr>
          <w:p w14:paraId="4331115F"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179</w:t>
            </w:r>
          </w:p>
        </w:tc>
        <w:tc>
          <w:tcPr>
            <w:tcW w:w="810" w:type="dxa"/>
          </w:tcPr>
          <w:p w14:paraId="4C744B7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51.1</w:t>
            </w:r>
          </w:p>
        </w:tc>
        <w:tc>
          <w:tcPr>
            <w:tcW w:w="1350" w:type="dxa"/>
          </w:tcPr>
          <w:p w14:paraId="247F176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c>
          <w:tcPr>
            <w:tcW w:w="990" w:type="dxa"/>
          </w:tcPr>
          <w:p w14:paraId="3AB18CBB"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21.7</w:t>
            </w:r>
          </w:p>
        </w:tc>
      </w:tr>
      <w:tr w:rsidR="00EF2B7F" w:rsidRPr="00EF2B7F" w14:paraId="471FEBA0" w14:textId="77777777" w:rsidTr="00EF2B7F">
        <w:tc>
          <w:tcPr>
            <w:tcW w:w="2519" w:type="dxa"/>
          </w:tcPr>
          <w:p w14:paraId="26735D07"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Would you recommend that malaria vaccine be made part of the National Program on Immunization?</w:t>
            </w:r>
          </w:p>
        </w:tc>
        <w:tc>
          <w:tcPr>
            <w:tcW w:w="1436" w:type="dxa"/>
          </w:tcPr>
          <w:p w14:paraId="32C4A13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248</w:t>
            </w:r>
          </w:p>
        </w:tc>
        <w:tc>
          <w:tcPr>
            <w:tcW w:w="810" w:type="dxa"/>
          </w:tcPr>
          <w:p w14:paraId="3C69CCB7"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70.9</w:t>
            </w:r>
          </w:p>
        </w:tc>
        <w:tc>
          <w:tcPr>
            <w:tcW w:w="1350" w:type="dxa"/>
          </w:tcPr>
          <w:p w14:paraId="41DF6D7C"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810" w:type="dxa"/>
          </w:tcPr>
          <w:p w14:paraId="33780231"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1350" w:type="dxa"/>
          </w:tcPr>
          <w:p w14:paraId="1DF8EAF8"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66</w:t>
            </w:r>
          </w:p>
        </w:tc>
        <w:tc>
          <w:tcPr>
            <w:tcW w:w="990" w:type="dxa"/>
          </w:tcPr>
          <w:p w14:paraId="715AE569"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18.9</w:t>
            </w:r>
          </w:p>
        </w:tc>
      </w:tr>
      <w:tr w:rsidR="00EF2B7F" w:rsidRPr="00EF2B7F" w14:paraId="33FA7C0C" w14:textId="77777777" w:rsidTr="00EF2B7F">
        <w:tc>
          <w:tcPr>
            <w:tcW w:w="2519" w:type="dxa"/>
          </w:tcPr>
          <w:p w14:paraId="2E9F23FB" w14:textId="77777777" w:rsidR="00863B23" w:rsidRPr="00EF2B7F" w:rsidRDefault="00863B23"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Would you be interested in receiving more information about the malaria vaccine?</w:t>
            </w:r>
          </w:p>
        </w:tc>
        <w:tc>
          <w:tcPr>
            <w:tcW w:w="1436" w:type="dxa"/>
          </w:tcPr>
          <w:p w14:paraId="2A341945"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810" w:type="dxa"/>
          </w:tcPr>
          <w:p w14:paraId="2BBA31AD"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81.7</w:t>
            </w:r>
          </w:p>
        </w:tc>
        <w:tc>
          <w:tcPr>
            <w:tcW w:w="1350" w:type="dxa"/>
          </w:tcPr>
          <w:p w14:paraId="211089E0"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w:t>
            </w:r>
          </w:p>
        </w:tc>
        <w:tc>
          <w:tcPr>
            <w:tcW w:w="810" w:type="dxa"/>
          </w:tcPr>
          <w:p w14:paraId="1286098E"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350" w:type="dxa"/>
          </w:tcPr>
          <w:p w14:paraId="3B294263"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53</w:t>
            </w:r>
          </w:p>
        </w:tc>
        <w:tc>
          <w:tcPr>
            <w:tcW w:w="990" w:type="dxa"/>
          </w:tcPr>
          <w:p w14:paraId="38E4937A" w14:textId="77777777" w:rsidR="00863B23" w:rsidRPr="00EF2B7F" w:rsidRDefault="00863B2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15.1</w:t>
            </w:r>
          </w:p>
        </w:tc>
      </w:tr>
    </w:tbl>
    <w:p w14:paraId="2B75B233" w14:textId="77777777" w:rsidR="00863B23" w:rsidRPr="00EF2B7F" w:rsidRDefault="00863B2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5D422033" w14:textId="2A9ACDF5" w:rsidR="00B17A82" w:rsidRPr="00EF2B7F" w:rsidRDefault="003E2EF8" w:rsidP="00A141F3">
      <w:pPr>
        <w:spacing w:line="276" w:lineRule="auto"/>
        <w:jc w:val="both"/>
        <w:rPr>
          <w:rStyle w:val="fadeinm1hgl8"/>
          <w:rFonts w:ascii="Times New Roman" w:hAnsi="Times New Roman" w:cs="Times New Roman"/>
          <w:color w:val="000000" w:themeColor="text1"/>
        </w:rPr>
      </w:pPr>
      <w:r w:rsidRPr="00EF2B7F">
        <w:rPr>
          <w:rStyle w:val="fadeinm1hgl8"/>
          <w:rFonts w:ascii="Times New Roman" w:hAnsi="Times New Roman" w:cs="Times New Roman"/>
          <w:color w:val="000000" w:themeColor="text1"/>
        </w:rPr>
        <w:t>Table 4</w:t>
      </w:r>
      <w:r w:rsidR="00863B23" w:rsidRPr="00EF2B7F">
        <w:rPr>
          <w:rStyle w:val="fadeinm1hgl8"/>
          <w:rFonts w:ascii="Times New Roman" w:hAnsi="Times New Roman" w:cs="Times New Roman"/>
          <w:color w:val="000000" w:themeColor="text1"/>
        </w:rPr>
        <w:t xml:space="preserve"> shows that a majority of respondents (70.6%) believe the WHO-recommended </w:t>
      </w:r>
      <w:proofErr w:type="gramStart"/>
      <w:r w:rsidR="00863B23" w:rsidRPr="00EF2B7F">
        <w:rPr>
          <w:rStyle w:val="fadeinm1hgl8"/>
          <w:rFonts w:ascii="Times New Roman" w:hAnsi="Times New Roman" w:cs="Times New Roman"/>
          <w:color w:val="000000" w:themeColor="text1"/>
        </w:rPr>
        <w:t>RTS,S</w:t>
      </w:r>
      <w:proofErr w:type="gramEnd"/>
      <w:r w:rsidR="00863B23" w:rsidRPr="00EF2B7F">
        <w:rPr>
          <w:rStyle w:val="fadeinm1hgl8"/>
          <w:rFonts w:ascii="Times New Roman" w:hAnsi="Times New Roman" w:cs="Times New Roman"/>
          <w:color w:val="000000" w:themeColor="text1"/>
        </w:rPr>
        <w:t xml:space="preserve"> malaria vaccine is safe, and 70.9% support its inclusion in the National Program on Immunization. However, only 27.1% would allow their child to participate in a vaccine trial, while 51.1% opposed it. Notably, 81.7% expressed interest in receiving more information about the vaccine, indicating a high demand for further awareness and education despite mixed perceptions about direct participation in trials.</w:t>
      </w:r>
    </w:p>
    <w:p w14:paraId="4CDA1DEB" w14:textId="77777777" w:rsidR="00863B23" w:rsidRPr="00EF2B7F" w:rsidRDefault="00863B23" w:rsidP="00A141F3">
      <w:pPr>
        <w:spacing w:line="276" w:lineRule="auto"/>
        <w:jc w:val="both"/>
        <w:rPr>
          <w:rFonts w:ascii="Times New Roman" w:hAnsi="Times New Roman" w:cs="Times New Roman"/>
          <w:b/>
          <w:bCs/>
          <w:color w:val="000000" w:themeColor="text1"/>
        </w:rPr>
      </w:pPr>
    </w:p>
    <w:p w14:paraId="66BA8E98" w14:textId="3F6C9B94" w:rsidR="003E2EF8" w:rsidRPr="00EF2B7F" w:rsidRDefault="009C5C99" w:rsidP="00A141F3">
      <w:pPr>
        <w:keepNext/>
        <w:spacing w:line="276" w:lineRule="auto"/>
        <w:jc w:val="both"/>
        <w:rPr>
          <w:rFonts w:ascii="Times New Roman" w:hAnsi="Times New Roman" w:cs="Times New Roman"/>
          <w:color w:val="000000" w:themeColor="text1"/>
        </w:rPr>
      </w:pPr>
      <w:r w:rsidRPr="00EF2B7F">
        <w:rPr>
          <w:rFonts w:ascii="Times New Roman" w:hAnsi="Times New Roman" w:cs="Times New Roman"/>
          <w:noProof/>
          <w:color w:val="000000" w:themeColor="text1"/>
          <w14:ligatures w14:val="none"/>
        </w:rPr>
        <w:drawing>
          <wp:inline distT="0" distB="0" distL="0" distR="0" wp14:anchorId="54FE4FA4" wp14:editId="3B4221EB">
            <wp:extent cx="6049108" cy="2626995"/>
            <wp:effectExtent l="0" t="0" r="889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FD4F56" w14:textId="77777777" w:rsidR="009C5C99" w:rsidRPr="00EF2B7F" w:rsidRDefault="003E2EF8" w:rsidP="00A141F3">
      <w:pPr>
        <w:pStyle w:val="Caption"/>
        <w:spacing w:after="160" w:line="276" w:lineRule="auto"/>
        <w:jc w:val="both"/>
        <w:rPr>
          <w:rFonts w:ascii="Times New Roman" w:hAnsi="Times New Roman" w:cs="Times New Roman"/>
          <w:b/>
          <w:bCs/>
          <w:i w:val="0"/>
          <w:color w:val="000000" w:themeColor="text1"/>
          <w:sz w:val="24"/>
          <w:szCs w:val="24"/>
        </w:rPr>
      </w:pPr>
      <w:r w:rsidRPr="00EF2B7F">
        <w:rPr>
          <w:rFonts w:ascii="Times New Roman" w:hAnsi="Times New Roman" w:cs="Times New Roman"/>
          <w:i w:val="0"/>
          <w:color w:val="000000" w:themeColor="text1"/>
          <w:sz w:val="24"/>
          <w:szCs w:val="24"/>
        </w:rPr>
        <w:t xml:space="preserve">Figure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Figure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3</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Overall Level of Willingness towards Uptake of Malaria Vaccine among Caregivers of under-five Children attending ICH, UNTH</w:t>
      </w:r>
    </w:p>
    <w:p w14:paraId="19D96239" w14:textId="77777777" w:rsidR="00B94C3C"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Figure 3 shows that there is a high level of willingness to accept malaria vaccination with willingness levels recorded as 96% and unwillingness levels only 4% of the population.</w:t>
      </w:r>
    </w:p>
    <w:p w14:paraId="4399DF3A"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01158898"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3225DE80" w14:textId="77777777" w:rsidR="003E2EF8" w:rsidRPr="00EF2B7F" w:rsidRDefault="003E2EF8"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
          <w:bCs/>
          <w:color w:val="000000" w:themeColor="text1"/>
        </w:rPr>
        <w:t>4.1.5 BARRIERS TO MALARIA UPTAKE</w:t>
      </w:r>
    </w:p>
    <w:p w14:paraId="71D59F94" w14:textId="77777777" w:rsidR="008542A4" w:rsidRPr="00EF2B7F" w:rsidRDefault="008542A4"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5</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 Barriers to Malaria Vaccine Uptake Among Caregivers at the Institute of Child Health, UNTH</w:t>
      </w:r>
    </w:p>
    <w:tbl>
      <w:tblPr>
        <w:tblStyle w:val="GridTable4-Accent11"/>
        <w:tblW w:w="5580" w:type="pct"/>
        <w:tblLayout w:type="fixed"/>
        <w:tblLook w:val="0620" w:firstRow="1" w:lastRow="0" w:firstColumn="0" w:lastColumn="0" w:noHBand="1" w:noVBand="1"/>
      </w:tblPr>
      <w:tblGrid>
        <w:gridCol w:w="1388"/>
        <w:gridCol w:w="612"/>
        <w:gridCol w:w="787"/>
        <w:gridCol w:w="611"/>
        <w:gridCol w:w="784"/>
        <w:gridCol w:w="784"/>
        <w:gridCol w:w="789"/>
        <w:gridCol w:w="697"/>
        <w:gridCol w:w="831"/>
        <w:gridCol w:w="645"/>
        <w:gridCol w:w="829"/>
        <w:gridCol w:w="731"/>
        <w:gridCol w:w="1199"/>
      </w:tblGrid>
      <w:tr w:rsidR="00EF2B7F" w:rsidRPr="00EF2B7F" w14:paraId="7BB4B141" w14:textId="77777777" w:rsidTr="00EF2B7F">
        <w:trPr>
          <w:cnfStyle w:val="100000000000" w:firstRow="1" w:lastRow="0" w:firstColumn="0" w:lastColumn="0" w:oddVBand="0" w:evenVBand="0" w:oddHBand="0" w:evenHBand="0" w:firstRowFirstColumn="0" w:firstRowLastColumn="0" w:lastRowFirstColumn="0" w:lastRowLastColumn="0"/>
        </w:trPr>
        <w:tc>
          <w:tcPr>
            <w:tcW w:w="649" w:type="pct"/>
            <w:vMerge w:val="restart"/>
          </w:tcPr>
          <w:p w14:paraId="2B57D642" w14:textId="77777777" w:rsidR="003E2EF8" w:rsidRPr="00EF2B7F" w:rsidRDefault="003E2EF8" w:rsidP="00A141F3">
            <w:pPr>
              <w:autoSpaceDE w:val="0"/>
              <w:autoSpaceDN w:val="0"/>
              <w:adjustRightInd w:val="0"/>
              <w:spacing w:line="276" w:lineRule="auto"/>
              <w:jc w:val="both"/>
              <w:rPr>
                <w:rFonts w:ascii="Times New Roman" w:hAnsi="Times New Roman" w:cs="Times New Roman"/>
                <w:kern w:val="0"/>
                <w14:ligatures w14:val="none"/>
              </w:rPr>
            </w:pPr>
          </w:p>
        </w:tc>
        <w:tc>
          <w:tcPr>
            <w:tcW w:w="654" w:type="pct"/>
            <w:gridSpan w:val="2"/>
          </w:tcPr>
          <w:p w14:paraId="63C369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SD</w:t>
            </w:r>
          </w:p>
        </w:tc>
        <w:tc>
          <w:tcPr>
            <w:tcW w:w="653" w:type="pct"/>
            <w:gridSpan w:val="2"/>
          </w:tcPr>
          <w:p w14:paraId="5AC5B16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D</w:t>
            </w:r>
          </w:p>
        </w:tc>
        <w:tc>
          <w:tcPr>
            <w:tcW w:w="736" w:type="pct"/>
            <w:gridSpan w:val="2"/>
          </w:tcPr>
          <w:p w14:paraId="6D329EF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N</w:t>
            </w:r>
          </w:p>
        </w:tc>
        <w:tc>
          <w:tcPr>
            <w:tcW w:w="715" w:type="pct"/>
            <w:gridSpan w:val="2"/>
          </w:tcPr>
          <w:p w14:paraId="4A0A5E6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A</w:t>
            </w:r>
          </w:p>
        </w:tc>
        <w:tc>
          <w:tcPr>
            <w:tcW w:w="690" w:type="pct"/>
            <w:gridSpan w:val="2"/>
          </w:tcPr>
          <w:p w14:paraId="0AD541A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SA</w:t>
            </w:r>
          </w:p>
        </w:tc>
        <w:tc>
          <w:tcPr>
            <w:tcW w:w="342" w:type="pct"/>
          </w:tcPr>
          <w:p w14:paraId="32449D8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X</w:t>
            </w:r>
          </w:p>
        </w:tc>
        <w:tc>
          <w:tcPr>
            <w:tcW w:w="561" w:type="pct"/>
          </w:tcPr>
          <w:p w14:paraId="0D5B1EA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Decision</w:t>
            </w:r>
          </w:p>
        </w:tc>
      </w:tr>
      <w:tr w:rsidR="00EF2B7F" w:rsidRPr="00EF2B7F" w14:paraId="5A25F7F4" w14:textId="77777777" w:rsidTr="00EF2B7F">
        <w:tc>
          <w:tcPr>
            <w:tcW w:w="649" w:type="pct"/>
            <w:vMerge/>
          </w:tcPr>
          <w:p w14:paraId="5E0105B8" w14:textId="77777777" w:rsidR="003E2EF8" w:rsidRPr="00EF2B7F" w:rsidRDefault="003E2EF8"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286" w:type="pct"/>
          </w:tcPr>
          <w:p w14:paraId="68454E7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8" w:type="pct"/>
          </w:tcPr>
          <w:p w14:paraId="45E0174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286" w:type="pct"/>
          </w:tcPr>
          <w:p w14:paraId="40E9D5C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7" w:type="pct"/>
          </w:tcPr>
          <w:p w14:paraId="65BB557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67" w:type="pct"/>
          </w:tcPr>
          <w:p w14:paraId="5EC9863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69" w:type="pct"/>
          </w:tcPr>
          <w:p w14:paraId="742F1F0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26" w:type="pct"/>
          </w:tcPr>
          <w:p w14:paraId="4EC760E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89" w:type="pct"/>
          </w:tcPr>
          <w:p w14:paraId="51DE8C9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02" w:type="pct"/>
          </w:tcPr>
          <w:p w14:paraId="61C52A1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w:t>
            </w:r>
          </w:p>
        </w:tc>
        <w:tc>
          <w:tcPr>
            <w:tcW w:w="388" w:type="pct"/>
          </w:tcPr>
          <w:p w14:paraId="63EBAF8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342" w:type="pct"/>
          </w:tcPr>
          <w:p w14:paraId="63B8E63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561" w:type="pct"/>
          </w:tcPr>
          <w:p w14:paraId="4763C91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50C42A2" w14:textId="77777777" w:rsidTr="00EF2B7F">
        <w:tc>
          <w:tcPr>
            <w:tcW w:w="649" w:type="pct"/>
          </w:tcPr>
          <w:p w14:paraId="7DA636DC"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Lack of awareness of the malaria</w:t>
            </w:r>
          </w:p>
        </w:tc>
        <w:tc>
          <w:tcPr>
            <w:tcW w:w="286" w:type="pct"/>
          </w:tcPr>
          <w:p w14:paraId="6C9393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46</w:t>
            </w:r>
          </w:p>
        </w:tc>
        <w:tc>
          <w:tcPr>
            <w:tcW w:w="368" w:type="pct"/>
          </w:tcPr>
          <w:p w14:paraId="7488C03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13.1</w:t>
            </w:r>
          </w:p>
        </w:tc>
        <w:tc>
          <w:tcPr>
            <w:tcW w:w="286" w:type="pct"/>
          </w:tcPr>
          <w:p w14:paraId="3D437DD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367" w:type="pct"/>
          </w:tcPr>
          <w:p w14:paraId="6140467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24.3</w:t>
            </w:r>
          </w:p>
        </w:tc>
        <w:tc>
          <w:tcPr>
            <w:tcW w:w="367" w:type="pct"/>
          </w:tcPr>
          <w:p w14:paraId="79DB88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w:t>
            </w:r>
          </w:p>
        </w:tc>
        <w:tc>
          <w:tcPr>
            <w:tcW w:w="369" w:type="pct"/>
          </w:tcPr>
          <w:p w14:paraId="760A2DE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27.1</w:t>
            </w:r>
          </w:p>
        </w:tc>
        <w:tc>
          <w:tcPr>
            <w:tcW w:w="326" w:type="pct"/>
          </w:tcPr>
          <w:p w14:paraId="7F90991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89" w:type="pct"/>
          </w:tcPr>
          <w:p w14:paraId="694EDA6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02" w:type="pct"/>
          </w:tcPr>
          <w:p w14:paraId="111D9EC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388" w:type="pct"/>
          </w:tcPr>
          <w:p w14:paraId="3860E7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342" w:type="pct"/>
          </w:tcPr>
          <w:p w14:paraId="78981DD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2.95</w:t>
            </w:r>
          </w:p>
        </w:tc>
        <w:tc>
          <w:tcPr>
            <w:tcW w:w="561" w:type="pct"/>
          </w:tcPr>
          <w:p w14:paraId="7EBEB3FF"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341D1639" w14:textId="77777777" w:rsidTr="00EF2B7F">
        <w:tc>
          <w:tcPr>
            <w:tcW w:w="649" w:type="pct"/>
          </w:tcPr>
          <w:p w14:paraId="72652A93"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Misinformation and misconception about vaccines</w:t>
            </w:r>
          </w:p>
        </w:tc>
        <w:tc>
          <w:tcPr>
            <w:tcW w:w="286" w:type="pct"/>
          </w:tcPr>
          <w:p w14:paraId="2E1F2EA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368" w:type="pct"/>
          </w:tcPr>
          <w:p w14:paraId="7D4CBF9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286" w:type="pct"/>
          </w:tcPr>
          <w:p w14:paraId="045FBDC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67" w:type="pct"/>
          </w:tcPr>
          <w:p w14:paraId="680164A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67" w:type="pct"/>
          </w:tcPr>
          <w:p w14:paraId="187FF6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107</w:t>
            </w:r>
          </w:p>
        </w:tc>
        <w:tc>
          <w:tcPr>
            <w:tcW w:w="369" w:type="pct"/>
          </w:tcPr>
          <w:p w14:paraId="001A8256"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30.6</w:t>
            </w:r>
          </w:p>
        </w:tc>
        <w:tc>
          <w:tcPr>
            <w:tcW w:w="326" w:type="pct"/>
          </w:tcPr>
          <w:p w14:paraId="1406D41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89" w:type="pct"/>
          </w:tcPr>
          <w:p w14:paraId="65034EB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02" w:type="pct"/>
          </w:tcPr>
          <w:p w14:paraId="4AEEF0C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w:t>
            </w:r>
          </w:p>
        </w:tc>
        <w:tc>
          <w:tcPr>
            <w:tcW w:w="388" w:type="pct"/>
          </w:tcPr>
          <w:p w14:paraId="4B98578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w:t>
            </w:r>
          </w:p>
        </w:tc>
        <w:tc>
          <w:tcPr>
            <w:tcW w:w="342" w:type="pct"/>
          </w:tcPr>
          <w:p w14:paraId="2E632106"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3.04</w:t>
            </w:r>
          </w:p>
        </w:tc>
        <w:tc>
          <w:tcPr>
            <w:tcW w:w="561" w:type="pct"/>
          </w:tcPr>
          <w:p w14:paraId="2BF6BF7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222FB516" w14:textId="77777777" w:rsidTr="00EF2B7F">
        <w:tc>
          <w:tcPr>
            <w:tcW w:w="649" w:type="pct"/>
          </w:tcPr>
          <w:p w14:paraId="5AEA4D31"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Access to healthcare services</w:t>
            </w:r>
          </w:p>
        </w:tc>
        <w:tc>
          <w:tcPr>
            <w:tcW w:w="286" w:type="pct"/>
          </w:tcPr>
          <w:p w14:paraId="69A02B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42</w:t>
            </w:r>
          </w:p>
        </w:tc>
        <w:tc>
          <w:tcPr>
            <w:tcW w:w="368" w:type="pct"/>
          </w:tcPr>
          <w:p w14:paraId="40AD65F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286" w:type="pct"/>
          </w:tcPr>
          <w:p w14:paraId="572D3E8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85</w:t>
            </w:r>
          </w:p>
        </w:tc>
        <w:tc>
          <w:tcPr>
            <w:tcW w:w="367" w:type="pct"/>
          </w:tcPr>
          <w:p w14:paraId="7DC552D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24.3</w:t>
            </w:r>
          </w:p>
        </w:tc>
        <w:tc>
          <w:tcPr>
            <w:tcW w:w="367" w:type="pct"/>
          </w:tcPr>
          <w:p w14:paraId="1607844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369" w:type="pct"/>
          </w:tcPr>
          <w:p w14:paraId="396A7BF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34.3</w:t>
            </w:r>
          </w:p>
        </w:tc>
        <w:tc>
          <w:tcPr>
            <w:tcW w:w="326" w:type="pct"/>
          </w:tcPr>
          <w:p w14:paraId="4522D3A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64</w:t>
            </w:r>
          </w:p>
        </w:tc>
        <w:tc>
          <w:tcPr>
            <w:tcW w:w="389" w:type="pct"/>
          </w:tcPr>
          <w:p w14:paraId="641F73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18.3</w:t>
            </w:r>
          </w:p>
        </w:tc>
        <w:tc>
          <w:tcPr>
            <w:tcW w:w="302" w:type="pct"/>
          </w:tcPr>
          <w:p w14:paraId="25B13FB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w:t>
            </w:r>
          </w:p>
        </w:tc>
        <w:tc>
          <w:tcPr>
            <w:tcW w:w="388" w:type="pct"/>
          </w:tcPr>
          <w:p w14:paraId="1BE75AE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11.1</w:t>
            </w:r>
          </w:p>
        </w:tc>
        <w:tc>
          <w:tcPr>
            <w:tcW w:w="342" w:type="pct"/>
          </w:tcPr>
          <w:p w14:paraId="15963113"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w:t>
            </w:r>
          </w:p>
        </w:tc>
        <w:tc>
          <w:tcPr>
            <w:tcW w:w="561" w:type="pct"/>
          </w:tcPr>
          <w:p w14:paraId="3DE55662"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214D32EC" w14:textId="77777777" w:rsidTr="00EF2B7F">
        <w:tc>
          <w:tcPr>
            <w:tcW w:w="649" w:type="pct"/>
          </w:tcPr>
          <w:p w14:paraId="1B42CB69"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Cost of the vaccine</w:t>
            </w:r>
          </w:p>
        </w:tc>
        <w:tc>
          <w:tcPr>
            <w:tcW w:w="286" w:type="pct"/>
          </w:tcPr>
          <w:p w14:paraId="6C823A6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368" w:type="pct"/>
          </w:tcPr>
          <w:p w14:paraId="5B06A72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286" w:type="pct"/>
          </w:tcPr>
          <w:p w14:paraId="29467BA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84</w:t>
            </w:r>
          </w:p>
        </w:tc>
        <w:tc>
          <w:tcPr>
            <w:tcW w:w="367" w:type="pct"/>
          </w:tcPr>
          <w:p w14:paraId="10016C6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24.0</w:t>
            </w:r>
          </w:p>
        </w:tc>
        <w:tc>
          <w:tcPr>
            <w:tcW w:w="367" w:type="pct"/>
          </w:tcPr>
          <w:p w14:paraId="21A8D6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w:t>
            </w:r>
          </w:p>
        </w:tc>
        <w:tc>
          <w:tcPr>
            <w:tcW w:w="369" w:type="pct"/>
          </w:tcPr>
          <w:p w14:paraId="65333AB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26.6</w:t>
            </w:r>
          </w:p>
        </w:tc>
        <w:tc>
          <w:tcPr>
            <w:tcW w:w="326" w:type="pct"/>
          </w:tcPr>
          <w:p w14:paraId="796075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104</w:t>
            </w:r>
          </w:p>
        </w:tc>
        <w:tc>
          <w:tcPr>
            <w:tcW w:w="389" w:type="pct"/>
          </w:tcPr>
          <w:p w14:paraId="0484614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29.7</w:t>
            </w:r>
          </w:p>
        </w:tc>
        <w:tc>
          <w:tcPr>
            <w:tcW w:w="302" w:type="pct"/>
          </w:tcPr>
          <w:p w14:paraId="6594ECF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37</w:t>
            </w:r>
          </w:p>
        </w:tc>
        <w:tc>
          <w:tcPr>
            <w:tcW w:w="388" w:type="pct"/>
          </w:tcPr>
          <w:p w14:paraId="1D54539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342" w:type="pct"/>
          </w:tcPr>
          <w:p w14:paraId="4718A698"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3.09</w:t>
            </w:r>
          </w:p>
        </w:tc>
        <w:tc>
          <w:tcPr>
            <w:tcW w:w="561" w:type="pct"/>
          </w:tcPr>
          <w:p w14:paraId="17BBF907"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545EDA67" w14:textId="77777777" w:rsidTr="00EF2B7F">
        <w:tc>
          <w:tcPr>
            <w:tcW w:w="649" w:type="pct"/>
          </w:tcPr>
          <w:p w14:paraId="29A7561C"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Cultural beliefs and practices</w:t>
            </w:r>
          </w:p>
        </w:tc>
        <w:tc>
          <w:tcPr>
            <w:tcW w:w="286" w:type="pct"/>
          </w:tcPr>
          <w:p w14:paraId="139F49D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w:t>
            </w:r>
          </w:p>
        </w:tc>
        <w:tc>
          <w:tcPr>
            <w:tcW w:w="368" w:type="pct"/>
          </w:tcPr>
          <w:p w14:paraId="60E1670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286" w:type="pct"/>
          </w:tcPr>
          <w:p w14:paraId="423A0C7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367" w:type="pct"/>
          </w:tcPr>
          <w:p w14:paraId="47FC654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26.3</w:t>
            </w:r>
          </w:p>
        </w:tc>
        <w:tc>
          <w:tcPr>
            <w:tcW w:w="367" w:type="pct"/>
          </w:tcPr>
          <w:p w14:paraId="38C5416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120</w:t>
            </w:r>
          </w:p>
        </w:tc>
        <w:tc>
          <w:tcPr>
            <w:tcW w:w="369" w:type="pct"/>
          </w:tcPr>
          <w:p w14:paraId="026B27F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34.3</w:t>
            </w:r>
          </w:p>
        </w:tc>
        <w:tc>
          <w:tcPr>
            <w:tcW w:w="326" w:type="pct"/>
          </w:tcPr>
          <w:p w14:paraId="63E9323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389" w:type="pct"/>
          </w:tcPr>
          <w:p w14:paraId="0438D2D0"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21.1</w:t>
            </w:r>
          </w:p>
        </w:tc>
        <w:tc>
          <w:tcPr>
            <w:tcW w:w="302" w:type="pct"/>
          </w:tcPr>
          <w:p w14:paraId="12FC23B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388" w:type="pct"/>
          </w:tcPr>
          <w:p w14:paraId="6DF31F7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342" w:type="pct"/>
          </w:tcPr>
          <w:p w14:paraId="230BC97E"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3.02</w:t>
            </w:r>
          </w:p>
        </w:tc>
        <w:tc>
          <w:tcPr>
            <w:tcW w:w="561" w:type="pct"/>
          </w:tcPr>
          <w:p w14:paraId="163D9A8D"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Accept</w:t>
            </w:r>
          </w:p>
        </w:tc>
      </w:tr>
      <w:tr w:rsidR="00EF2B7F" w:rsidRPr="00EF2B7F" w14:paraId="091E5340" w14:textId="77777777" w:rsidTr="00EF2B7F">
        <w:tc>
          <w:tcPr>
            <w:tcW w:w="649" w:type="pct"/>
          </w:tcPr>
          <w:p w14:paraId="55ED90AF"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Safety/Fear of Side effects</w:t>
            </w:r>
          </w:p>
        </w:tc>
        <w:tc>
          <w:tcPr>
            <w:tcW w:w="286" w:type="pct"/>
          </w:tcPr>
          <w:p w14:paraId="15D47FA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368" w:type="pct"/>
          </w:tcPr>
          <w:p w14:paraId="14325A6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286" w:type="pct"/>
          </w:tcPr>
          <w:p w14:paraId="6AC3CDE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114</w:t>
            </w:r>
          </w:p>
        </w:tc>
        <w:tc>
          <w:tcPr>
            <w:tcW w:w="367" w:type="pct"/>
          </w:tcPr>
          <w:p w14:paraId="74BE191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32.6</w:t>
            </w:r>
          </w:p>
        </w:tc>
        <w:tc>
          <w:tcPr>
            <w:tcW w:w="367" w:type="pct"/>
          </w:tcPr>
          <w:p w14:paraId="3BD6485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105</w:t>
            </w:r>
          </w:p>
        </w:tc>
        <w:tc>
          <w:tcPr>
            <w:tcW w:w="369" w:type="pct"/>
          </w:tcPr>
          <w:p w14:paraId="26A25DD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30.0</w:t>
            </w:r>
          </w:p>
        </w:tc>
        <w:tc>
          <w:tcPr>
            <w:tcW w:w="326" w:type="pct"/>
          </w:tcPr>
          <w:p w14:paraId="3DF7D7D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80</w:t>
            </w:r>
          </w:p>
        </w:tc>
        <w:tc>
          <w:tcPr>
            <w:tcW w:w="389" w:type="pct"/>
          </w:tcPr>
          <w:p w14:paraId="681FB31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22.9</w:t>
            </w:r>
          </w:p>
        </w:tc>
        <w:tc>
          <w:tcPr>
            <w:tcW w:w="302" w:type="pct"/>
          </w:tcPr>
          <w:p w14:paraId="232723D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c>
          <w:tcPr>
            <w:tcW w:w="388" w:type="pct"/>
          </w:tcPr>
          <w:p w14:paraId="2F97EEA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6.9</w:t>
            </w:r>
          </w:p>
        </w:tc>
        <w:tc>
          <w:tcPr>
            <w:tcW w:w="342" w:type="pct"/>
          </w:tcPr>
          <w:p w14:paraId="72ABC2A0"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2.89</w:t>
            </w:r>
          </w:p>
        </w:tc>
        <w:tc>
          <w:tcPr>
            <w:tcW w:w="561" w:type="pct"/>
          </w:tcPr>
          <w:p w14:paraId="42567048"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44BC401E" w14:textId="77777777" w:rsidTr="00EF2B7F">
        <w:tc>
          <w:tcPr>
            <w:tcW w:w="649" w:type="pct"/>
          </w:tcPr>
          <w:p w14:paraId="6B6C709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286" w:type="pct"/>
          </w:tcPr>
          <w:p w14:paraId="3A28A02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47</w:t>
            </w:r>
          </w:p>
        </w:tc>
        <w:tc>
          <w:tcPr>
            <w:tcW w:w="368" w:type="pct"/>
          </w:tcPr>
          <w:p w14:paraId="4395F5A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13.4</w:t>
            </w:r>
          </w:p>
        </w:tc>
        <w:tc>
          <w:tcPr>
            <w:tcW w:w="286" w:type="pct"/>
          </w:tcPr>
          <w:p w14:paraId="6AFCF10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367" w:type="pct"/>
          </w:tcPr>
          <w:p w14:paraId="04B8C8E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22.3</w:t>
            </w:r>
          </w:p>
        </w:tc>
        <w:tc>
          <w:tcPr>
            <w:tcW w:w="367" w:type="pct"/>
          </w:tcPr>
          <w:p w14:paraId="40003AE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369" w:type="pct"/>
          </w:tcPr>
          <w:p w14:paraId="63DFB85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33.4</w:t>
            </w:r>
          </w:p>
        </w:tc>
        <w:tc>
          <w:tcPr>
            <w:tcW w:w="326" w:type="pct"/>
          </w:tcPr>
          <w:p w14:paraId="18AF729E"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79</w:t>
            </w:r>
          </w:p>
        </w:tc>
        <w:tc>
          <w:tcPr>
            <w:tcW w:w="389" w:type="pct"/>
          </w:tcPr>
          <w:p w14:paraId="1DCCD3C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22.6</w:t>
            </w:r>
          </w:p>
        </w:tc>
        <w:tc>
          <w:tcPr>
            <w:tcW w:w="302" w:type="pct"/>
          </w:tcPr>
          <w:p w14:paraId="55E5D5A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w:t>
            </w:r>
          </w:p>
        </w:tc>
        <w:tc>
          <w:tcPr>
            <w:tcW w:w="388" w:type="pct"/>
          </w:tcPr>
          <w:p w14:paraId="6D426FB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8.3</w:t>
            </w:r>
          </w:p>
        </w:tc>
        <w:tc>
          <w:tcPr>
            <w:tcW w:w="342" w:type="pct"/>
          </w:tcPr>
          <w:p w14:paraId="28C57A1B"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2.90</w:t>
            </w:r>
          </w:p>
        </w:tc>
        <w:tc>
          <w:tcPr>
            <w:tcW w:w="561" w:type="pct"/>
          </w:tcPr>
          <w:p w14:paraId="3AEA2C8F"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204BEC08" w14:textId="77777777" w:rsidTr="00EF2B7F">
        <w:tc>
          <w:tcPr>
            <w:tcW w:w="649" w:type="pct"/>
          </w:tcPr>
          <w:p w14:paraId="04F49465"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Effectiveness</w:t>
            </w:r>
          </w:p>
        </w:tc>
        <w:tc>
          <w:tcPr>
            <w:tcW w:w="286" w:type="pct"/>
          </w:tcPr>
          <w:p w14:paraId="35EDA3D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35</w:t>
            </w:r>
          </w:p>
        </w:tc>
        <w:tc>
          <w:tcPr>
            <w:tcW w:w="368" w:type="pct"/>
          </w:tcPr>
          <w:p w14:paraId="78B3049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w:t>
            </w:r>
          </w:p>
        </w:tc>
        <w:tc>
          <w:tcPr>
            <w:tcW w:w="286" w:type="pct"/>
          </w:tcPr>
          <w:p w14:paraId="06C4B38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106</w:t>
            </w:r>
          </w:p>
        </w:tc>
        <w:tc>
          <w:tcPr>
            <w:tcW w:w="367" w:type="pct"/>
          </w:tcPr>
          <w:p w14:paraId="432840B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30.3</w:t>
            </w:r>
          </w:p>
        </w:tc>
        <w:tc>
          <w:tcPr>
            <w:tcW w:w="367" w:type="pct"/>
          </w:tcPr>
          <w:p w14:paraId="7A48BF24"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9" w:type="pct"/>
          </w:tcPr>
          <w:p w14:paraId="53D9CD86"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26" w:type="pct"/>
          </w:tcPr>
          <w:p w14:paraId="65AE7AD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389" w:type="pct"/>
          </w:tcPr>
          <w:p w14:paraId="71ABC9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26.0</w:t>
            </w:r>
          </w:p>
        </w:tc>
        <w:tc>
          <w:tcPr>
            <w:tcW w:w="302" w:type="pct"/>
          </w:tcPr>
          <w:p w14:paraId="6662BD17"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w:t>
            </w:r>
          </w:p>
        </w:tc>
        <w:tc>
          <w:tcPr>
            <w:tcW w:w="388" w:type="pct"/>
          </w:tcPr>
          <w:p w14:paraId="74FCFD9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8.6</w:t>
            </w:r>
          </w:p>
        </w:tc>
        <w:tc>
          <w:tcPr>
            <w:tcW w:w="342" w:type="pct"/>
          </w:tcPr>
          <w:p w14:paraId="2899425A"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2.93</w:t>
            </w:r>
          </w:p>
        </w:tc>
        <w:tc>
          <w:tcPr>
            <w:tcW w:w="561" w:type="pct"/>
          </w:tcPr>
          <w:p w14:paraId="1A934F0A" w14:textId="77777777" w:rsidR="003E2EF8"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36226472" w14:textId="77777777" w:rsidTr="00EF2B7F">
        <w:tc>
          <w:tcPr>
            <w:tcW w:w="649" w:type="pct"/>
          </w:tcPr>
          <w:p w14:paraId="1BAAA7A1"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Opinion of husband</w:t>
            </w:r>
          </w:p>
        </w:tc>
        <w:tc>
          <w:tcPr>
            <w:tcW w:w="286" w:type="pct"/>
          </w:tcPr>
          <w:p w14:paraId="7CED923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w:t>
            </w:r>
          </w:p>
        </w:tc>
        <w:tc>
          <w:tcPr>
            <w:tcW w:w="368" w:type="pct"/>
          </w:tcPr>
          <w:p w14:paraId="410F5A2A"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9.1</w:t>
            </w:r>
          </w:p>
        </w:tc>
        <w:tc>
          <w:tcPr>
            <w:tcW w:w="286" w:type="pct"/>
          </w:tcPr>
          <w:p w14:paraId="0502E5C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7" w:type="pct"/>
          </w:tcPr>
          <w:p w14:paraId="5B361268"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67" w:type="pct"/>
          </w:tcPr>
          <w:p w14:paraId="446CF71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105</w:t>
            </w:r>
          </w:p>
        </w:tc>
        <w:tc>
          <w:tcPr>
            <w:tcW w:w="369" w:type="pct"/>
          </w:tcPr>
          <w:p w14:paraId="234F5ED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30.0</w:t>
            </w:r>
          </w:p>
        </w:tc>
        <w:tc>
          <w:tcPr>
            <w:tcW w:w="326" w:type="pct"/>
          </w:tcPr>
          <w:p w14:paraId="36F5DD6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389" w:type="pct"/>
          </w:tcPr>
          <w:p w14:paraId="113CACD1"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26.3</w:t>
            </w:r>
          </w:p>
        </w:tc>
        <w:tc>
          <w:tcPr>
            <w:tcW w:w="302" w:type="pct"/>
          </w:tcPr>
          <w:p w14:paraId="5FBE77F5"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w:t>
            </w:r>
          </w:p>
        </w:tc>
        <w:tc>
          <w:tcPr>
            <w:tcW w:w="388" w:type="pct"/>
          </w:tcPr>
          <w:p w14:paraId="290CEE6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w:t>
            </w:r>
          </w:p>
        </w:tc>
        <w:tc>
          <w:tcPr>
            <w:tcW w:w="342" w:type="pct"/>
          </w:tcPr>
          <w:p w14:paraId="70221385"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2.91</w:t>
            </w:r>
          </w:p>
        </w:tc>
        <w:tc>
          <w:tcPr>
            <w:tcW w:w="561" w:type="pct"/>
          </w:tcPr>
          <w:p w14:paraId="6653C110"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r w:rsidR="00EF2B7F" w:rsidRPr="00EF2B7F" w14:paraId="5C7BF07B" w14:textId="77777777" w:rsidTr="00EF2B7F">
        <w:tc>
          <w:tcPr>
            <w:tcW w:w="649" w:type="pct"/>
          </w:tcPr>
          <w:p w14:paraId="607436E3" w14:textId="77777777" w:rsidR="003E2EF8" w:rsidRPr="00EF2B7F" w:rsidRDefault="003E2EF8" w:rsidP="00F40054">
            <w:pPr>
              <w:autoSpaceDE w:val="0"/>
              <w:autoSpaceDN w:val="0"/>
              <w:adjustRightInd w:val="0"/>
              <w:spacing w:line="276" w:lineRule="auto"/>
              <w:ind w:left="60" w:right="60"/>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lastRenderedPageBreak/>
              <w:t>Opinion of mother-in-law</w:t>
            </w:r>
          </w:p>
        </w:tc>
        <w:tc>
          <w:tcPr>
            <w:tcW w:w="286" w:type="pct"/>
          </w:tcPr>
          <w:p w14:paraId="656A9B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w:t>
            </w:r>
          </w:p>
        </w:tc>
        <w:tc>
          <w:tcPr>
            <w:tcW w:w="368" w:type="pct"/>
          </w:tcPr>
          <w:p w14:paraId="45E117F3"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6.9</w:t>
            </w:r>
          </w:p>
        </w:tc>
        <w:tc>
          <w:tcPr>
            <w:tcW w:w="286" w:type="pct"/>
          </w:tcPr>
          <w:p w14:paraId="6760A269"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88</w:t>
            </w:r>
          </w:p>
        </w:tc>
        <w:tc>
          <w:tcPr>
            <w:tcW w:w="367" w:type="pct"/>
          </w:tcPr>
          <w:p w14:paraId="01438DE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25.1</w:t>
            </w:r>
          </w:p>
        </w:tc>
        <w:tc>
          <w:tcPr>
            <w:tcW w:w="367" w:type="pct"/>
          </w:tcPr>
          <w:p w14:paraId="17A6D49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99</w:t>
            </w:r>
          </w:p>
        </w:tc>
        <w:tc>
          <w:tcPr>
            <w:tcW w:w="369" w:type="pct"/>
          </w:tcPr>
          <w:p w14:paraId="7637901B"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28.3</w:t>
            </w:r>
          </w:p>
        </w:tc>
        <w:tc>
          <w:tcPr>
            <w:tcW w:w="326" w:type="pct"/>
          </w:tcPr>
          <w:p w14:paraId="4CA057ED"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101</w:t>
            </w:r>
          </w:p>
        </w:tc>
        <w:tc>
          <w:tcPr>
            <w:tcW w:w="389" w:type="pct"/>
          </w:tcPr>
          <w:p w14:paraId="3E5A07EC"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28.9</w:t>
            </w:r>
          </w:p>
        </w:tc>
        <w:tc>
          <w:tcPr>
            <w:tcW w:w="302" w:type="pct"/>
          </w:tcPr>
          <w:p w14:paraId="1EEEC6FF"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388" w:type="pct"/>
          </w:tcPr>
          <w:p w14:paraId="4954EB72" w14:textId="77777777" w:rsidR="003E2EF8" w:rsidRPr="00EF2B7F" w:rsidRDefault="003E2EF8"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342" w:type="pct"/>
          </w:tcPr>
          <w:p w14:paraId="59D940D7"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2.99</w:t>
            </w:r>
          </w:p>
        </w:tc>
        <w:tc>
          <w:tcPr>
            <w:tcW w:w="561" w:type="pct"/>
          </w:tcPr>
          <w:p w14:paraId="7E995C6E" w14:textId="77777777" w:rsidR="003E2EF8" w:rsidRPr="00EF2B7F" w:rsidRDefault="00212175"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Reject</w:t>
            </w:r>
          </w:p>
        </w:tc>
      </w:tr>
    </w:tbl>
    <w:p w14:paraId="19C576BA" w14:textId="77777777" w:rsidR="00B94C3C" w:rsidRPr="00EF2B7F" w:rsidRDefault="00B94C3C"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62B56D3D" w14:textId="773AB4FC" w:rsidR="00B94C3C" w:rsidRDefault="00EF2B7F" w:rsidP="00A141F3">
      <w:pPr>
        <w:spacing w:line="276" w:lineRule="auto"/>
        <w:jc w:val="both"/>
        <w:rPr>
          <w:rStyle w:val="fadeinm1hgl8"/>
          <w:rFonts w:ascii="Times New Roman" w:eastAsia="Times New Roman" w:hAnsi="Times New Roman" w:cs="Times New Roman"/>
          <w:bCs/>
          <w:color w:val="000000" w:themeColor="text1"/>
          <w:kern w:val="0"/>
          <w14:ligatures w14:val="none"/>
        </w:rPr>
      </w:pPr>
      <w:r w:rsidRPr="00EF2B7F">
        <w:rPr>
          <w:rStyle w:val="fadeinm1hgl8"/>
          <w:rFonts w:ascii="Times New Roman" w:eastAsia="Times New Roman" w:hAnsi="Times New Roman" w:cs="Times New Roman"/>
          <w:bCs/>
          <w:color w:val="000000" w:themeColor="text1"/>
          <w:kern w:val="0"/>
          <w14:ligatures w14:val="none"/>
        </w:rPr>
        <w:t>Table 5 summarizes respondents’ views on factors affecting malaria vaccine uptake, revealing that only three factors exceeded the acceptance threshold of 3.0: cost of the vaccine (mean = 3.09), misinformation/misconception (mean = 3.04), and cultural beliefs (mean = 3.02). These emerged as the most significant perceived barriers. Other factors such as lack of awareness, access to healthcare, and concerns about vaccine safety and effectiveness fell just below the threshold, suggesting moderate influence on vaccine acceptance.</w:t>
      </w:r>
    </w:p>
    <w:p w14:paraId="4442F130" w14:textId="77777777" w:rsidR="00EF2B7F" w:rsidRPr="00EF2B7F" w:rsidRDefault="00EF2B7F" w:rsidP="00A141F3">
      <w:pPr>
        <w:spacing w:line="276" w:lineRule="auto"/>
        <w:jc w:val="both"/>
        <w:rPr>
          <w:rFonts w:ascii="Times New Roman" w:hAnsi="Times New Roman" w:cs="Times New Roman"/>
          <w:b/>
          <w:bCs/>
          <w:color w:val="000000" w:themeColor="text1"/>
        </w:rPr>
      </w:pPr>
    </w:p>
    <w:p w14:paraId="652CAB61" w14:textId="77777777" w:rsidR="00C50BF8" w:rsidRPr="00EF2B7F" w:rsidRDefault="00B94C3C"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t>4.1.6 ASSOCIATIONS BETWEEN KNOWLEDGE AND WILLINGNESS AND SOCIODEMOGRAPHIC CHARACTERISTICS</w:t>
      </w:r>
    </w:p>
    <w:p w14:paraId="7DB7897E" w14:textId="77777777" w:rsidR="00125C33" w:rsidRDefault="00125C33" w:rsidP="00A141F3">
      <w:pPr>
        <w:pStyle w:val="Caption"/>
        <w:keepNext/>
        <w:spacing w:after="160" w:line="276" w:lineRule="auto"/>
        <w:jc w:val="both"/>
        <w:rPr>
          <w:rFonts w:ascii="Times New Roman" w:hAnsi="Times New Roman" w:cs="Times New Roman"/>
          <w:i w:val="0"/>
          <w:noProof/>
          <w:color w:val="000000" w:themeColor="text1"/>
          <w:sz w:val="24"/>
          <w:szCs w:val="24"/>
        </w:rPr>
      </w:pPr>
      <w:r w:rsidRPr="00EF2B7F">
        <w:rPr>
          <w:rFonts w:ascii="Times New Roman" w:hAnsi="Times New Roman" w:cs="Times New Roman"/>
          <w:i w:val="0"/>
          <w:color w:val="000000" w:themeColor="text1"/>
          <w:sz w:val="24"/>
          <w:szCs w:val="24"/>
        </w:rPr>
        <w:t xml:space="preserve">Table </w:t>
      </w:r>
      <w:r w:rsidRPr="00EF2B7F">
        <w:rPr>
          <w:rFonts w:ascii="Times New Roman" w:hAnsi="Times New Roman" w:cs="Times New Roman"/>
          <w:i w:val="0"/>
          <w:color w:val="000000" w:themeColor="text1"/>
          <w:sz w:val="24"/>
          <w:szCs w:val="24"/>
        </w:rPr>
        <w:fldChar w:fldCharType="begin"/>
      </w:r>
      <w:r w:rsidRPr="00EF2B7F">
        <w:rPr>
          <w:rFonts w:ascii="Times New Roman" w:hAnsi="Times New Roman" w:cs="Times New Roman"/>
          <w:i w:val="0"/>
          <w:color w:val="000000" w:themeColor="text1"/>
          <w:sz w:val="24"/>
          <w:szCs w:val="24"/>
        </w:rPr>
        <w:instrText xml:space="preserve"> SEQ Table \* ARABIC </w:instrText>
      </w:r>
      <w:r w:rsidRPr="00EF2B7F">
        <w:rPr>
          <w:rFonts w:ascii="Times New Roman" w:hAnsi="Times New Roman" w:cs="Times New Roman"/>
          <w:i w:val="0"/>
          <w:color w:val="000000" w:themeColor="text1"/>
          <w:sz w:val="24"/>
          <w:szCs w:val="24"/>
        </w:rPr>
        <w:fldChar w:fldCharType="separate"/>
      </w:r>
      <w:r w:rsidR="006C3D36" w:rsidRPr="00EF2B7F">
        <w:rPr>
          <w:rFonts w:ascii="Times New Roman" w:hAnsi="Times New Roman" w:cs="Times New Roman"/>
          <w:i w:val="0"/>
          <w:noProof/>
          <w:color w:val="000000" w:themeColor="text1"/>
          <w:sz w:val="24"/>
          <w:szCs w:val="24"/>
        </w:rPr>
        <w:t>6</w:t>
      </w:r>
      <w:r w:rsidRPr="00EF2B7F">
        <w:rPr>
          <w:rFonts w:ascii="Times New Roman" w:hAnsi="Times New Roman" w:cs="Times New Roman"/>
          <w:i w:val="0"/>
          <w:color w:val="000000" w:themeColor="text1"/>
          <w:sz w:val="24"/>
          <w:szCs w:val="24"/>
        </w:rPr>
        <w:fldChar w:fldCharType="end"/>
      </w:r>
      <w:r w:rsidRPr="00EF2B7F">
        <w:rPr>
          <w:rFonts w:ascii="Times New Roman" w:hAnsi="Times New Roman" w:cs="Times New Roman"/>
          <w:i w:val="0"/>
          <w:color w:val="000000" w:themeColor="text1"/>
          <w:sz w:val="24"/>
          <w:szCs w:val="24"/>
        </w:rPr>
        <w:t>a: Association between knowledge and sociodemographic characteristics</w:t>
      </w:r>
      <w:r w:rsidRPr="00EF2B7F">
        <w:rPr>
          <w:rFonts w:ascii="Times New Roman" w:hAnsi="Times New Roman" w:cs="Times New Roman"/>
          <w:i w:val="0"/>
          <w:noProof/>
          <w:color w:val="000000" w:themeColor="text1"/>
          <w:sz w:val="24"/>
          <w:szCs w:val="24"/>
        </w:rPr>
        <w:t xml:space="preserve"> Among Caregivers at the Institute of Health, UNTH</w:t>
      </w:r>
    </w:p>
    <w:p w14:paraId="75965695" w14:textId="77777777" w:rsidR="00EF2B7F" w:rsidRPr="00EF2B7F" w:rsidRDefault="00EF2B7F" w:rsidP="00EF2B7F"/>
    <w:tbl>
      <w:tblPr>
        <w:tblStyle w:val="GridTable4-Accent11"/>
        <w:tblW w:w="9350" w:type="dxa"/>
        <w:tblLayout w:type="fixed"/>
        <w:tblLook w:val="0620" w:firstRow="1" w:lastRow="0" w:firstColumn="0" w:lastColumn="0" w:noHBand="1" w:noVBand="1"/>
      </w:tblPr>
      <w:tblGrid>
        <w:gridCol w:w="1435"/>
        <w:gridCol w:w="1530"/>
        <w:gridCol w:w="900"/>
        <w:gridCol w:w="1080"/>
        <w:gridCol w:w="990"/>
        <w:gridCol w:w="1170"/>
        <w:gridCol w:w="1170"/>
        <w:gridCol w:w="1075"/>
      </w:tblGrid>
      <w:tr w:rsidR="00EF2B7F" w:rsidRPr="00EF2B7F" w14:paraId="04364177" w14:textId="77777777" w:rsidTr="00EF2B7F">
        <w:trPr>
          <w:cnfStyle w:val="100000000000" w:firstRow="1" w:lastRow="0" w:firstColumn="0" w:lastColumn="0" w:oddVBand="0" w:evenVBand="0" w:oddHBand="0" w:evenHBand="0" w:firstRowFirstColumn="0" w:firstRowLastColumn="0" w:lastRowFirstColumn="0" w:lastRowLastColumn="0"/>
        </w:trPr>
        <w:tc>
          <w:tcPr>
            <w:tcW w:w="2965" w:type="dxa"/>
            <w:gridSpan w:val="2"/>
            <w:vMerge w:val="restart"/>
          </w:tcPr>
          <w:p w14:paraId="05229E23" w14:textId="77777777" w:rsidR="00125C33" w:rsidRPr="00EF2B7F" w:rsidRDefault="00125C33" w:rsidP="00A141F3">
            <w:pPr>
              <w:autoSpaceDE w:val="0"/>
              <w:autoSpaceDN w:val="0"/>
              <w:adjustRightInd w:val="0"/>
              <w:spacing w:line="276" w:lineRule="auto"/>
              <w:jc w:val="both"/>
              <w:rPr>
                <w:rFonts w:ascii="Times New Roman" w:hAnsi="Times New Roman" w:cs="Times New Roman"/>
                <w:kern w:val="0"/>
                <w14:ligatures w14:val="none"/>
              </w:rPr>
            </w:pPr>
            <w:r w:rsidRPr="00EF2B7F">
              <w:rPr>
                <w:rFonts w:ascii="Times New Roman" w:hAnsi="Times New Roman" w:cs="Times New Roman"/>
                <w:kern w:val="0"/>
                <w14:ligatures w14:val="none"/>
              </w:rPr>
              <w:t>Variable</w:t>
            </w:r>
          </w:p>
        </w:tc>
        <w:tc>
          <w:tcPr>
            <w:tcW w:w="4140" w:type="dxa"/>
            <w:gridSpan w:val="4"/>
          </w:tcPr>
          <w:p w14:paraId="1C1965D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Overall Knowledge Level</w:t>
            </w:r>
          </w:p>
        </w:tc>
        <w:tc>
          <w:tcPr>
            <w:tcW w:w="1170" w:type="dxa"/>
          </w:tcPr>
          <w:p w14:paraId="156449F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c>
          <w:tcPr>
            <w:tcW w:w="1075" w:type="dxa"/>
          </w:tcPr>
          <w:p w14:paraId="437540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r>
      <w:tr w:rsidR="00EF2B7F" w:rsidRPr="00EF2B7F" w14:paraId="48F9DB20" w14:textId="77777777" w:rsidTr="00EF2B7F">
        <w:tc>
          <w:tcPr>
            <w:tcW w:w="2965" w:type="dxa"/>
            <w:gridSpan w:val="2"/>
            <w:vMerge/>
          </w:tcPr>
          <w:p w14:paraId="307A22DC"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980" w:type="dxa"/>
            <w:gridSpan w:val="2"/>
          </w:tcPr>
          <w:p w14:paraId="589827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Bad knowledge</w:t>
            </w:r>
          </w:p>
        </w:tc>
        <w:tc>
          <w:tcPr>
            <w:tcW w:w="2160" w:type="dxa"/>
            <w:gridSpan w:val="2"/>
          </w:tcPr>
          <w:p w14:paraId="602A112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Good knowledge</w:t>
            </w:r>
          </w:p>
        </w:tc>
        <w:tc>
          <w:tcPr>
            <w:tcW w:w="1170" w:type="dxa"/>
          </w:tcPr>
          <w:p w14:paraId="48E0786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X</w:t>
            </w:r>
            <w:r w:rsidRPr="00EF2B7F">
              <w:rPr>
                <w:rFonts w:ascii="Times New Roman" w:hAnsi="Times New Roman" w:cs="Times New Roman"/>
                <w:color w:val="000000" w:themeColor="text1"/>
                <w:kern w:val="0"/>
                <w:vertAlign w:val="superscript"/>
                <w14:ligatures w14:val="none"/>
              </w:rPr>
              <w:t>2</w:t>
            </w:r>
          </w:p>
        </w:tc>
        <w:tc>
          <w:tcPr>
            <w:tcW w:w="1075" w:type="dxa"/>
          </w:tcPr>
          <w:p w14:paraId="6678F27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w:t>
            </w:r>
          </w:p>
        </w:tc>
      </w:tr>
      <w:tr w:rsidR="00EF2B7F" w:rsidRPr="00EF2B7F" w14:paraId="6A26AF52" w14:textId="77777777" w:rsidTr="00EF2B7F">
        <w:tc>
          <w:tcPr>
            <w:tcW w:w="2965" w:type="dxa"/>
            <w:gridSpan w:val="2"/>
            <w:vMerge/>
          </w:tcPr>
          <w:p w14:paraId="3458410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900" w:type="dxa"/>
          </w:tcPr>
          <w:p w14:paraId="38C4752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080" w:type="dxa"/>
          </w:tcPr>
          <w:p w14:paraId="63D016F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990" w:type="dxa"/>
          </w:tcPr>
          <w:p w14:paraId="410CDBF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170" w:type="dxa"/>
          </w:tcPr>
          <w:p w14:paraId="25605AD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 xml:space="preserve"> %</w:t>
            </w:r>
          </w:p>
        </w:tc>
        <w:tc>
          <w:tcPr>
            <w:tcW w:w="1170" w:type="dxa"/>
          </w:tcPr>
          <w:p w14:paraId="7C89D37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4E81F1D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9C8C6ED" w14:textId="77777777" w:rsidTr="00EF2B7F">
        <w:tc>
          <w:tcPr>
            <w:tcW w:w="1435" w:type="dxa"/>
            <w:vMerge w:val="restart"/>
          </w:tcPr>
          <w:p w14:paraId="6920D92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530" w:type="dxa"/>
          </w:tcPr>
          <w:p w14:paraId="2C38348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900" w:type="dxa"/>
          </w:tcPr>
          <w:p w14:paraId="03447DE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c>
          <w:tcPr>
            <w:tcW w:w="1080" w:type="dxa"/>
          </w:tcPr>
          <w:p w14:paraId="759E02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10.7%</w:t>
            </w:r>
          </w:p>
        </w:tc>
        <w:tc>
          <w:tcPr>
            <w:tcW w:w="990" w:type="dxa"/>
          </w:tcPr>
          <w:p w14:paraId="49C804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w:t>
            </w:r>
          </w:p>
        </w:tc>
        <w:tc>
          <w:tcPr>
            <w:tcW w:w="1170" w:type="dxa"/>
          </w:tcPr>
          <w:p w14:paraId="1957D70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1170" w:type="dxa"/>
          </w:tcPr>
          <w:p w14:paraId="59E00D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1.184</w:t>
            </w:r>
          </w:p>
        </w:tc>
        <w:tc>
          <w:tcPr>
            <w:tcW w:w="1075" w:type="dxa"/>
          </w:tcPr>
          <w:p w14:paraId="036CA37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0.757</w:t>
            </w:r>
          </w:p>
        </w:tc>
      </w:tr>
      <w:tr w:rsidR="00EF2B7F" w:rsidRPr="00EF2B7F" w14:paraId="6E4A0718" w14:textId="77777777" w:rsidTr="00EF2B7F">
        <w:tc>
          <w:tcPr>
            <w:tcW w:w="1435" w:type="dxa"/>
            <w:vMerge/>
          </w:tcPr>
          <w:p w14:paraId="26846E1B"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180CCF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900" w:type="dxa"/>
          </w:tcPr>
          <w:p w14:paraId="0543DA5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w:t>
            </w:r>
          </w:p>
        </w:tc>
        <w:tc>
          <w:tcPr>
            <w:tcW w:w="1080" w:type="dxa"/>
          </w:tcPr>
          <w:p w14:paraId="171B7DA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24.6%</w:t>
            </w:r>
          </w:p>
        </w:tc>
        <w:tc>
          <w:tcPr>
            <w:tcW w:w="990" w:type="dxa"/>
          </w:tcPr>
          <w:p w14:paraId="14AFCE1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58</w:t>
            </w:r>
          </w:p>
        </w:tc>
        <w:tc>
          <w:tcPr>
            <w:tcW w:w="1170" w:type="dxa"/>
          </w:tcPr>
          <w:p w14:paraId="378286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29.7%</w:t>
            </w:r>
          </w:p>
        </w:tc>
        <w:tc>
          <w:tcPr>
            <w:tcW w:w="1170" w:type="dxa"/>
          </w:tcPr>
          <w:p w14:paraId="257DFC0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D3A3D2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12D3CD1" w14:textId="77777777" w:rsidTr="00EF2B7F">
        <w:tc>
          <w:tcPr>
            <w:tcW w:w="1435" w:type="dxa"/>
            <w:vMerge/>
          </w:tcPr>
          <w:p w14:paraId="28FF0773"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5ACD97A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900" w:type="dxa"/>
          </w:tcPr>
          <w:p w14:paraId="1C3EAE9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w:t>
            </w:r>
          </w:p>
        </w:tc>
        <w:tc>
          <w:tcPr>
            <w:tcW w:w="1080" w:type="dxa"/>
          </w:tcPr>
          <w:p w14:paraId="2BBCAC0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33.6%</w:t>
            </w:r>
          </w:p>
        </w:tc>
        <w:tc>
          <w:tcPr>
            <w:tcW w:w="990" w:type="dxa"/>
          </w:tcPr>
          <w:p w14:paraId="0021365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65</w:t>
            </w:r>
          </w:p>
        </w:tc>
        <w:tc>
          <w:tcPr>
            <w:tcW w:w="1170" w:type="dxa"/>
          </w:tcPr>
          <w:p w14:paraId="152F0D6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33.3%</w:t>
            </w:r>
          </w:p>
        </w:tc>
        <w:tc>
          <w:tcPr>
            <w:tcW w:w="1170" w:type="dxa"/>
          </w:tcPr>
          <w:p w14:paraId="492252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44C413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5DEFBDBB" w14:textId="77777777" w:rsidTr="00EF2B7F">
        <w:tc>
          <w:tcPr>
            <w:tcW w:w="1435" w:type="dxa"/>
            <w:vMerge/>
          </w:tcPr>
          <w:p w14:paraId="2F82E88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C20662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900" w:type="dxa"/>
          </w:tcPr>
          <w:p w14:paraId="11FAD1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w:t>
            </w:r>
          </w:p>
        </w:tc>
        <w:tc>
          <w:tcPr>
            <w:tcW w:w="1080" w:type="dxa"/>
          </w:tcPr>
          <w:p w14:paraId="5E55994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31.1%</w:t>
            </w:r>
          </w:p>
        </w:tc>
        <w:tc>
          <w:tcPr>
            <w:tcW w:w="990" w:type="dxa"/>
          </w:tcPr>
          <w:p w14:paraId="14E5A9C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54</w:t>
            </w:r>
          </w:p>
        </w:tc>
        <w:tc>
          <w:tcPr>
            <w:tcW w:w="1170" w:type="dxa"/>
          </w:tcPr>
          <w:p w14:paraId="49B037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170" w:type="dxa"/>
          </w:tcPr>
          <w:p w14:paraId="084C1B0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AB5DD1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4D7DB29" w14:textId="77777777" w:rsidTr="00EF2B7F">
        <w:tc>
          <w:tcPr>
            <w:tcW w:w="1435" w:type="dxa"/>
            <w:vMerge w:val="restart"/>
          </w:tcPr>
          <w:p w14:paraId="514E8AD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530" w:type="dxa"/>
          </w:tcPr>
          <w:p w14:paraId="4D3261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900" w:type="dxa"/>
          </w:tcPr>
          <w:p w14:paraId="20E5B34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271B5D2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w:t>
            </w:r>
          </w:p>
        </w:tc>
        <w:tc>
          <w:tcPr>
            <w:tcW w:w="990" w:type="dxa"/>
          </w:tcPr>
          <w:p w14:paraId="5FD130A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w:t>
            </w:r>
          </w:p>
        </w:tc>
        <w:tc>
          <w:tcPr>
            <w:tcW w:w="1170" w:type="dxa"/>
          </w:tcPr>
          <w:p w14:paraId="77454D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6.2%</w:t>
            </w:r>
          </w:p>
        </w:tc>
        <w:tc>
          <w:tcPr>
            <w:tcW w:w="1170" w:type="dxa"/>
          </w:tcPr>
          <w:p w14:paraId="38C247E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2.273</w:t>
            </w:r>
          </w:p>
        </w:tc>
        <w:tc>
          <w:tcPr>
            <w:tcW w:w="1075" w:type="dxa"/>
          </w:tcPr>
          <w:p w14:paraId="104D699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0.132</w:t>
            </w:r>
          </w:p>
        </w:tc>
      </w:tr>
      <w:tr w:rsidR="00EF2B7F" w:rsidRPr="00EF2B7F" w14:paraId="05C7EB98" w14:textId="77777777" w:rsidTr="00EF2B7F">
        <w:tc>
          <w:tcPr>
            <w:tcW w:w="1435" w:type="dxa"/>
            <w:vMerge/>
          </w:tcPr>
          <w:p w14:paraId="67FF748E"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4E2762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900" w:type="dxa"/>
          </w:tcPr>
          <w:p w14:paraId="57F7A6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119</w:t>
            </w:r>
          </w:p>
        </w:tc>
        <w:tc>
          <w:tcPr>
            <w:tcW w:w="1080" w:type="dxa"/>
          </w:tcPr>
          <w:p w14:paraId="52B09C2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97.5%</w:t>
            </w:r>
          </w:p>
        </w:tc>
        <w:tc>
          <w:tcPr>
            <w:tcW w:w="990" w:type="dxa"/>
          </w:tcPr>
          <w:p w14:paraId="5C62FD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183</w:t>
            </w:r>
          </w:p>
        </w:tc>
        <w:tc>
          <w:tcPr>
            <w:tcW w:w="1170" w:type="dxa"/>
          </w:tcPr>
          <w:p w14:paraId="5C986B7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93.8%</w:t>
            </w:r>
          </w:p>
        </w:tc>
        <w:tc>
          <w:tcPr>
            <w:tcW w:w="1170" w:type="dxa"/>
          </w:tcPr>
          <w:p w14:paraId="5E606BB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3410DBA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E9DAA82" w14:textId="77777777" w:rsidTr="00EF2B7F">
        <w:tc>
          <w:tcPr>
            <w:tcW w:w="1435" w:type="dxa"/>
            <w:vMerge w:val="restart"/>
          </w:tcPr>
          <w:p w14:paraId="61A5C9B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530" w:type="dxa"/>
          </w:tcPr>
          <w:p w14:paraId="30390EE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900" w:type="dxa"/>
          </w:tcPr>
          <w:p w14:paraId="17FCC8E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82</w:t>
            </w:r>
          </w:p>
        </w:tc>
        <w:tc>
          <w:tcPr>
            <w:tcW w:w="1080" w:type="dxa"/>
          </w:tcPr>
          <w:p w14:paraId="57B4D0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67.2%</w:t>
            </w:r>
          </w:p>
        </w:tc>
        <w:tc>
          <w:tcPr>
            <w:tcW w:w="990" w:type="dxa"/>
          </w:tcPr>
          <w:p w14:paraId="4EBE75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1170" w:type="dxa"/>
          </w:tcPr>
          <w:p w14:paraId="7BAB8BB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60.0%</w:t>
            </w:r>
          </w:p>
        </w:tc>
        <w:tc>
          <w:tcPr>
            <w:tcW w:w="1170" w:type="dxa"/>
          </w:tcPr>
          <w:p w14:paraId="7F1C09B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1.671</w:t>
            </w:r>
          </w:p>
        </w:tc>
        <w:tc>
          <w:tcPr>
            <w:tcW w:w="1075" w:type="dxa"/>
          </w:tcPr>
          <w:p w14:paraId="71AE166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0.196</w:t>
            </w:r>
          </w:p>
        </w:tc>
      </w:tr>
      <w:tr w:rsidR="00EF2B7F" w:rsidRPr="00EF2B7F" w14:paraId="34108E05" w14:textId="77777777" w:rsidTr="00EF2B7F">
        <w:tc>
          <w:tcPr>
            <w:tcW w:w="1435" w:type="dxa"/>
            <w:vMerge/>
          </w:tcPr>
          <w:p w14:paraId="41A30F4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278DC64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900" w:type="dxa"/>
          </w:tcPr>
          <w:p w14:paraId="04FD319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w:t>
            </w:r>
          </w:p>
        </w:tc>
        <w:tc>
          <w:tcPr>
            <w:tcW w:w="1080" w:type="dxa"/>
          </w:tcPr>
          <w:p w14:paraId="006461D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32.8%</w:t>
            </w:r>
          </w:p>
        </w:tc>
        <w:tc>
          <w:tcPr>
            <w:tcW w:w="990" w:type="dxa"/>
          </w:tcPr>
          <w:p w14:paraId="260A7C3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78</w:t>
            </w:r>
          </w:p>
        </w:tc>
        <w:tc>
          <w:tcPr>
            <w:tcW w:w="1170" w:type="dxa"/>
          </w:tcPr>
          <w:p w14:paraId="7B4B9D7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40.0%</w:t>
            </w:r>
          </w:p>
        </w:tc>
        <w:tc>
          <w:tcPr>
            <w:tcW w:w="1170" w:type="dxa"/>
          </w:tcPr>
          <w:p w14:paraId="1EE5173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55B8F80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6627A91A" w14:textId="77777777" w:rsidTr="00EF2B7F">
        <w:tc>
          <w:tcPr>
            <w:tcW w:w="1435" w:type="dxa"/>
            <w:vMerge w:val="restart"/>
          </w:tcPr>
          <w:p w14:paraId="7A252F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530" w:type="dxa"/>
          </w:tcPr>
          <w:p w14:paraId="7F9692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900" w:type="dxa"/>
          </w:tcPr>
          <w:p w14:paraId="4E74585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50</w:t>
            </w:r>
          </w:p>
        </w:tc>
        <w:tc>
          <w:tcPr>
            <w:tcW w:w="1080" w:type="dxa"/>
          </w:tcPr>
          <w:p w14:paraId="606EE8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41.0%</w:t>
            </w:r>
          </w:p>
        </w:tc>
        <w:tc>
          <w:tcPr>
            <w:tcW w:w="990" w:type="dxa"/>
          </w:tcPr>
          <w:p w14:paraId="19E9250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76</w:t>
            </w:r>
          </w:p>
        </w:tc>
        <w:tc>
          <w:tcPr>
            <w:tcW w:w="1170" w:type="dxa"/>
          </w:tcPr>
          <w:p w14:paraId="203E72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39.0%</w:t>
            </w:r>
          </w:p>
        </w:tc>
        <w:tc>
          <w:tcPr>
            <w:tcW w:w="1170" w:type="dxa"/>
          </w:tcPr>
          <w:p w14:paraId="16B02DF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2.877</w:t>
            </w:r>
          </w:p>
        </w:tc>
        <w:tc>
          <w:tcPr>
            <w:tcW w:w="1075" w:type="dxa"/>
          </w:tcPr>
          <w:p w14:paraId="7FE097A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0.411</w:t>
            </w:r>
          </w:p>
        </w:tc>
      </w:tr>
      <w:tr w:rsidR="00EF2B7F" w:rsidRPr="00EF2B7F" w14:paraId="0CC2A647" w14:textId="77777777" w:rsidTr="00EF2B7F">
        <w:tc>
          <w:tcPr>
            <w:tcW w:w="1435" w:type="dxa"/>
            <w:vMerge/>
          </w:tcPr>
          <w:p w14:paraId="1A8F41F5"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04E222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900" w:type="dxa"/>
          </w:tcPr>
          <w:p w14:paraId="7264BBE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w:t>
            </w:r>
          </w:p>
        </w:tc>
        <w:tc>
          <w:tcPr>
            <w:tcW w:w="1080" w:type="dxa"/>
          </w:tcPr>
          <w:p w14:paraId="1D89095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32.0%</w:t>
            </w:r>
          </w:p>
        </w:tc>
        <w:tc>
          <w:tcPr>
            <w:tcW w:w="990" w:type="dxa"/>
          </w:tcPr>
          <w:p w14:paraId="2D37736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77</w:t>
            </w:r>
          </w:p>
        </w:tc>
        <w:tc>
          <w:tcPr>
            <w:tcW w:w="1170" w:type="dxa"/>
          </w:tcPr>
          <w:p w14:paraId="4353A78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39.5%</w:t>
            </w:r>
          </w:p>
        </w:tc>
        <w:tc>
          <w:tcPr>
            <w:tcW w:w="1170" w:type="dxa"/>
          </w:tcPr>
          <w:p w14:paraId="7B4F208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25A02B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05F4FA9" w14:textId="77777777" w:rsidTr="00EF2B7F">
        <w:tc>
          <w:tcPr>
            <w:tcW w:w="1435" w:type="dxa"/>
            <w:vMerge/>
          </w:tcPr>
          <w:p w14:paraId="2271B09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7E9026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900" w:type="dxa"/>
          </w:tcPr>
          <w:p w14:paraId="7B16B68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080" w:type="dxa"/>
          </w:tcPr>
          <w:p w14:paraId="3165AC9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w:t>
            </w:r>
          </w:p>
        </w:tc>
        <w:tc>
          <w:tcPr>
            <w:tcW w:w="990" w:type="dxa"/>
          </w:tcPr>
          <w:p w14:paraId="249A07D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w:t>
            </w:r>
          </w:p>
        </w:tc>
        <w:tc>
          <w:tcPr>
            <w:tcW w:w="1170" w:type="dxa"/>
          </w:tcPr>
          <w:p w14:paraId="442AF8A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w:t>
            </w:r>
          </w:p>
        </w:tc>
        <w:tc>
          <w:tcPr>
            <w:tcW w:w="1170" w:type="dxa"/>
          </w:tcPr>
          <w:p w14:paraId="3F90FD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384E56A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4CFF6205" w14:textId="77777777" w:rsidTr="00EF2B7F">
        <w:tc>
          <w:tcPr>
            <w:tcW w:w="1435" w:type="dxa"/>
            <w:vMerge/>
          </w:tcPr>
          <w:p w14:paraId="537FDE0F"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6B76D33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900" w:type="dxa"/>
          </w:tcPr>
          <w:p w14:paraId="4891E92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080" w:type="dxa"/>
          </w:tcPr>
          <w:p w14:paraId="20AA66E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25.4%</w:t>
            </w:r>
          </w:p>
        </w:tc>
        <w:tc>
          <w:tcPr>
            <w:tcW w:w="990" w:type="dxa"/>
          </w:tcPr>
          <w:p w14:paraId="443A1DF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41</w:t>
            </w:r>
          </w:p>
        </w:tc>
        <w:tc>
          <w:tcPr>
            <w:tcW w:w="1170" w:type="dxa"/>
          </w:tcPr>
          <w:p w14:paraId="049D084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21.0%</w:t>
            </w:r>
          </w:p>
        </w:tc>
        <w:tc>
          <w:tcPr>
            <w:tcW w:w="1170" w:type="dxa"/>
          </w:tcPr>
          <w:p w14:paraId="1752E9A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62D97F8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4AEC1FA" w14:textId="77777777" w:rsidTr="00EF2B7F">
        <w:tc>
          <w:tcPr>
            <w:tcW w:w="1435" w:type="dxa"/>
            <w:vMerge w:val="restart"/>
          </w:tcPr>
          <w:p w14:paraId="7C60482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530" w:type="dxa"/>
          </w:tcPr>
          <w:p w14:paraId="14BE224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900" w:type="dxa"/>
          </w:tcPr>
          <w:p w14:paraId="5D3579D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117</w:t>
            </w:r>
          </w:p>
        </w:tc>
        <w:tc>
          <w:tcPr>
            <w:tcW w:w="1080" w:type="dxa"/>
          </w:tcPr>
          <w:p w14:paraId="678F557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95.9%</w:t>
            </w:r>
          </w:p>
        </w:tc>
        <w:tc>
          <w:tcPr>
            <w:tcW w:w="990" w:type="dxa"/>
          </w:tcPr>
          <w:p w14:paraId="00CD95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186</w:t>
            </w:r>
          </w:p>
        </w:tc>
        <w:tc>
          <w:tcPr>
            <w:tcW w:w="1170" w:type="dxa"/>
          </w:tcPr>
          <w:p w14:paraId="69FEC3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95.4%</w:t>
            </w:r>
          </w:p>
        </w:tc>
        <w:tc>
          <w:tcPr>
            <w:tcW w:w="1170" w:type="dxa"/>
          </w:tcPr>
          <w:p w14:paraId="6DAE3DF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0.530</w:t>
            </w:r>
          </w:p>
        </w:tc>
        <w:tc>
          <w:tcPr>
            <w:tcW w:w="1075" w:type="dxa"/>
          </w:tcPr>
          <w:p w14:paraId="508C629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0.767</w:t>
            </w:r>
          </w:p>
        </w:tc>
      </w:tr>
      <w:tr w:rsidR="00EF2B7F" w:rsidRPr="00EF2B7F" w14:paraId="432952BD" w14:textId="77777777" w:rsidTr="00EF2B7F">
        <w:tc>
          <w:tcPr>
            <w:tcW w:w="1435" w:type="dxa"/>
            <w:vMerge/>
          </w:tcPr>
          <w:p w14:paraId="2F54511D"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50B88F5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900" w:type="dxa"/>
          </w:tcPr>
          <w:p w14:paraId="535FD3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080" w:type="dxa"/>
          </w:tcPr>
          <w:p w14:paraId="1E370AA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1.6%</w:t>
            </w:r>
          </w:p>
        </w:tc>
        <w:tc>
          <w:tcPr>
            <w:tcW w:w="990" w:type="dxa"/>
          </w:tcPr>
          <w:p w14:paraId="40A04D1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w:t>
            </w:r>
          </w:p>
        </w:tc>
        <w:tc>
          <w:tcPr>
            <w:tcW w:w="1170" w:type="dxa"/>
          </w:tcPr>
          <w:p w14:paraId="60BA031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1170" w:type="dxa"/>
          </w:tcPr>
          <w:p w14:paraId="5B1612E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78DFF79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13DAED0" w14:textId="77777777" w:rsidTr="00EF2B7F">
        <w:tc>
          <w:tcPr>
            <w:tcW w:w="1435" w:type="dxa"/>
            <w:vMerge/>
          </w:tcPr>
          <w:p w14:paraId="2357E737"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530" w:type="dxa"/>
          </w:tcPr>
          <w:p w14:paraId="7E4DF8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900" w:type="dxa"/>
          </w:tcPr>
          <w:p w14:paraId="104535A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4A2922C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2.5%</w:t>
            </w:r>
          </w:p>
        </w:tc>
        <w:tc>
          <w:tcPr>
            <w:tcW w:w="990" w:type="dxa"/>
          </w:tcPr>
          <w:p w14:paraId="27294DC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w:t>
            </w:r>
          </w:p>
        </w:tc>
        <w:tc>
          <w:tcPr>
            <w:tcW w:w="1170" w:type="dxa"/>
          </w:tcPr>
          <w:p w14:paraId="769A427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w:t>
            </w:r>
          </w:p>
        </w:tc>
        <w:tc>
          <w:tcPr>
            <w:tcW w:w="1170" w:type="dxa"/>
          </w:tcPr>
          <w:p w14:paraId="16F54B7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075" w:type="dxa"/>
          </w:tcPr>
          <w:p w14:paraId="5B5BF11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bl>
    <w:p w14:paraId="66685420" w14:textId="77777777" w:rsidR="00125C33" w:rsidRPr="00EF2B7F" w:rsidRDefault="00125C3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Statistical significance is set at p&lt;0.05</w:t>
      </w:r>
    </w:p>
    <w:p w14:paraId="4B70457D" w14:textId="77777777" w:rsidR="00004C3F" w:rsidRPr="00EF2B7F" w:rsidRDefault="00004C3F" w:rsidP="00A141F3">
      <w:pPr>
        <w:pStyle w:val="NormalWeb"/>
        <w:spacing w:after="160" w:afterAutospacing="0" w:line="276" w:lineRule="auto"/>
        <w:jc w:val="both"/>
        <w:rPr>
          <w:color w:val="000000" w:themeColor="text1"/>
        </w:rPr>
      </w:pPr>
      <w:r w:rsidRPr="00EF2B7F">
        <w:rPr>
          <w:color w:val="000000" w:themeColor="text1"/>
        </w:rPr>
        <w:lastRenderedPageBreak/>
        <w:t>Table 6a presents the relationship between sociodemographic factors and overall knowledge of the malaria vaccine. Most respondents were aged 31–40, female, urban residents, and predominantly Igbo. While good knowledge was more common among females, urban dwellers, and those aged 31–40, none of the associations with age, sex, residence, religion, or ethnicity were statistically significant (p &gt; 0.05).</w:t>
      </w:r>
    </w:p>
    <w:p w14:paraId="2D269B89" w14:textId="77777777" w:rsidR="00BB319E" w:rsidRPr="00EF2B7F" w:rsidRDefault="00BB319E"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p w14:paraId="3D29A96A" w14:textId="77777777" w:rsidR="00125C33" w:rsidRPr="00EF2B7F" w:rsidRDefault="00125C33" w:rsidP="00A141F3">
      <w:pPr>
        <w:pStyle w:val="Caption"/>
        <w:keepNext/>
        <w:spacing w:after="160" w:line="276" w:lineRule="auto"/>
        <w:jc w:val="both"/>
        <w:rPr>
          <w:rFonts w:ascii="Times New Roman" w:hAnsi="Times New Roman" w:cs="Times New Roman"/>
          <w:i w:val="0"/>
          <w:color w:val="000000" w:themeColor="text1"/>
          <w:sz w:val="24"/>
          <w:szCs w:val="24"/>
        </w:rPr>
      </w:pPr>
      <w:r w:rsidRPr="00EF2B7F">
        <w:rPr>
          <w:rFonts w:ascii="Times New Roman" w:hAnsi="Times New Roman" w:cs="Times New Roman"/>
          <w:i w:val="0"/>
          <w:color w:val="000000" w:themeColor="text1"/>
          <w:sz w:val="24"/>
          <w:szCs w:val="24"/>
        </w:rPr>
        <w:t>Table 6b: Association between Willingness and sociodemographic characteristics Among Caregivers at the Institute of Health, UNTH</w:t>
      </w:r>
    </w:p>
    <w:tbl>
      <w:tblPr>
        <w:tblStyle w:val="GridTable4-Accent11"/>
        <w:tblW w:w="9350" w:type="dxa"/>
        <w:tblLayout w:type="fixed"/>
        <w:tblLook w:val="0620" w:firstRow="1" w:lastRow="0" w:firstColumn="0" w:lastColumn="0" w:noHBand="1" w:noVBand="1"/>
      </w:tblPr>
      <w:tblGrid>
        <w:gridCol w:w="1525"/>
        <w:gridCol w:w="1440"/>
        <w:gridCol w:w="900"/>
        <w:gridCol w:w="900"/>
        <w:gridCol w:w="1080"/>
        <w:gridCol w:w="1080"/>
        <w:gridCol w:w="1182"/>
        <w:gridCol w:w="1243"/>
      </w:tblGrid>
      <w:tr w:rsidR="00EF2B7F" w:rsidRPr="00EF2B7F" w14:paraId="1DC866B5" w14:textId="77777777" w:rsidTr="00EF2B7F">
        <w:trPr>
          <w:cnfStyle w:val="100000000000" w:firstRow="1" w:lastRow="0" w:firstColumn="0" w:lastColumn="0" w:oddVBand="0" w:evenVBand="0" w:oddHBand="0" w:evenHBand="0" w:firstRowFirstColumn="0" w:firstRowLastColumn="0" w:lastRowFirstColumn="0" w:lastRowLastColumn="0"/>
        </w:trPr>
        <w:tc>
          <w:tcPr>
            <w:tcW w:w="2965" w:type="dxa"/>
            <w:gridSpan w:val="2"/>
            <w:vMerge w:val="restart"/>
          </w:tcPr>
          <w:p w14:paraId="02552EC3" w14:textId="77777777" w:rsidR="00125C33" w:rsidRPr="00EF2B7F" w:rsidRDefault="00125C33" w:rsidP="00A141F3">
            <w:pPr>
              <w:autoSpaceDE w:val="0"/>
              <w:autoSpaceDN w:val="0"/>
              <w:adjustRightInd w:val="0"/>
              <w:spacing w:line="276" w:lineRule="auto"/>
              <w:jc w:val="both"/>
              <w:rPr>
                <w:rFonts w:ascii="Times New Roman" w:hAnsi="Times New Roman" w:cs="Times New Roman"/>
                <w:kern w:val="0"/>
                <w14:ligatures w14:val="none"/>
              </w:rPr>
            </w:pPr>
          </w:p>
        </w:tc>
        <w:tc>
          <w:tcPr>
            <w:tcW w:w="3960" w:type="dxa"/>
            <w:gridSpan w:val="4"/>
          </w:tcPr>
          <w:p w14:paraId="18EFADD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r w:rsidRPr="00EF2B7F">
              <w:rPr>
                <w:rFonts w:ascii="Times New Roman" w:hAnsi="Times New Roman" w:cs="Times New Roman"/>
                <w:kern w:val="0"/>
                <w14:ligatures w14:val="none"/>
              </w:rPr>
              <w:t>Overall Willingness level</w:t>
            </w:r>
          </w:p>
        </w:tc>
        <w:tc>
          <w:tcPr>
            <w:tcW w:w="1182" w:type="dxa"/>
          </w:tcPr>
          <w:p w14:paraId="3DED7B2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kern w:val="0"/>
                <w14:ligatures w14:val="none"/>
              </w:rPr>
            </w:pPr>
          </w:p>
        </w:tc>
        <w:tc>
          <w:tcPr>
            <w:tcW w:w="1243" w:type="dxa"/>
          </w:tcPr>
          <w:p w14:paraId="5A9B95A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78C10ED4" w14:textId="77777777" w:rsidTr="00EF2B7F">
        <w:tc>
          <w:tcPr>
            <w:tcW w:w="2965" w:type="dxa"/>
            <w:gridSpan w:val="2"/>
            <w:vMerge/>
          </w:tcPr>
          <w:p w14:paraId="2C18F516"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800" w:type="dxa"/>
            <w:gridSpan w:val="2"/>
          </w:tcPr>
          <w:p w14:paraId="547F23D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Unwillingness</w:t>
            </w:r>
          </w:p>
        </w:tc>
        <w:tc>
          <w:tcPr>
            <w:tcW w:w="2160" w:type="dxa"/>
            <w:gridSpan w:val="2"/>
          </w:tcPr>
          <w:p w14:paraId="2C8E903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Willingness</w:t>
            </w:r>
          </w:p>
        </w:tc>
        <w:tc>
          <w:tcPr>
            <w:tcW w:w="1182" w:type="dxa"/>
          </w:tcPr>
          <w:p w14:paraId="743FBF7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X</w:t>
            </w:r>
            <w:r w:rsidRPr="00EF2B7F">
              <w:rPr>
                <w:rFonts w:ascii="Times New Roman" w:hAnsi="Times New Roman" w:cs="Times New Roman"/>
                <w:color w:val="000000" w:themeColor="text1"/>
                <w:kern w:val="0"/>
                <w:vertAlign w:val="superscript"/>
                <w14:ligatures w14:val="none"/>
              </w:rPr>
              <w:t>2</w:t>
            </w:r>
          </w:p>
        </w:tc>
        <w:tc>
          <w:tcPr>
            <w:tcW w:w="1243" w:type="dxa"/>
          </w:tcPr>
          <w:p w14:paraId="4CA1DDA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w:t>
            </w:r>
          </w:p>
        </w:tc>
      </w:tr>
      <w:tr w:rsidR="00EF2B7F" w:rsidRPr="00EF2B7F" w14:paraId="1BB77F9E" w14:textId="77777777" w:rsidTr="00EF2B7F">
        <w:tc>
          <w:tcPr>
            <w:tcW w:w="2965" w:type="dxa"/>
            <w:gridSpan w:val="2"/>
            <w:vMerge/>
          </w:tcPr>
          <w:p w14:paraId="2162DFF1"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900" w:type="dxa"/>
          </w:tcPr>
          <w:p w14:paraId="6935DD0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900" w:type="dxa"/>
          </w:tcPr>
          <w:p w14:paraId="526CD2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1080" w:type="dxa"/>
          </w:tcPr>
          <w:p w14:paraId="33DBD4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Freq</w:t>
            </w:r>
          </w:p>
        </w:tc>
        <w:tc>
          <w:tcPr>
            <w:tcW w:w="1080" w:type="dxa"/>
          </w:tcPr>
          <w:p w14:paraId="136A701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w:t>
            </w:r>
          </w:p>
        </w:tc>
        <w:tc>
          <w:tcPr>
            <w:tcW w:w="1182" w:type="dxa"/>
          </w:tcPr>
          <w:p w14:paraId="755A2D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1F97C04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5A59A78A" w14:textId="77777777" w:rsidTr="00EF2B7F">
        <w:tc>
          <w:tcPr>
            <w:tcW w:w="1525" w:type="dxa"/>
            <w:vMerge w:val="restart"/>
          </w:tcPr>
          <w:p w14:paraId="69A7897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Age</w:t>
            </w:r>
          </w:p>
        </w:tc>
        <w:tc>
          <w:tcPr>
            <w:tcW w:w="1440" w:type="dxa"/>
          </w:tcPr>
          <w:p w14:paraId="5B52905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&lt;20</w:t>
            </w:r>
          </w:p>
        </w:tc>
        <w:tc>
          <w:tcPr>
            <w:tcW w:w="900" w:type="dxa"/>
          </w:tcPr>
          <w:p w14:paraId="09787D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6E754E2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2545314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w:t>
            </w:r>
          </w:p>
        </w:tc>
        <w:tc>
          <w:tcPr>
            <w:tcW w:w="1080" w:type="dxa"/>
          </w:tcPr>
          <w:p w14:paraId="6A7F25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w:t>
            </w:r>
          </w:p>
        </w:tc>
        <w:tc>
          <w:tcPr>
            <w:tcW w:w="1182" w:type="dxa"/>
          </w:tcPr>
          <w:p w14:paraId="2ACEF4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2.924</w:t>
            </w:r>
          </w:p>
        </w:tc>
        <w:tc>
          <w:tcPr>
            <w:tcW w:w="1243" w:type="dxa"/>
          </w:tcPr>
          <w:p w14:paraId="60849BC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0.404</w:t>
            </w:r>
          </w:p>
        </w:tc>
      </w:tr>
      <w:tr w:rsidR="00EF2B7F" w:rsidRPr="00EF2B7F" w14:paraId="01CCD9FB" w14:textId="77777777" w:rsidTr="00EF2B7F">
        <w:tc>
          <w:tcPr>
            <w:tcW w:w="1525" w:type="dxa"/>
            <w:vMerge/>
          </w:tcPr>
          <w:p w14:paraId="3C7D4F72"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2E5D9AF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21-30</w:t>
            </w:r>
          </w:p>
        </w:tc>
        <w:tc>
          <w:tcPr>
            <w:tcW w:w="900" w:type="dxa"/>
          </w:tcPr>
          <w:p w14:paraId="580F95D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68F3CF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6C6CCB3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93</w:t>
            </w:r>
          </w:p>
        </w:tc>
        <w:tc>
          <w:tcPr>
            <w:tcW w:w="1080" w:type="dxa"/>
          </w:tcPr>
          <w:p w14:paraId="24BC51F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27.7</w:t>
            </w:r>
          </w:p>
        </w:tc>
        <w:tc>
          <w:tcPr>
            <w:tcW w:w="1182" w:type="dxa"/>
          </w:tcPr>
          <w:p w14:paraId="67A18D6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3BBAA1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111716E1" w14:textId="77777777" w:rsidTr="00EF2B7F">
        <w:tc>
          <w:tcPr>
            <w:tcW w:w="1525" w:type="dxa"/>
            <w:vMerge/>
          </w:tcPr>
          <w:p w14:paraId="2AD33552"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03B15B0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31-40</w:t>
            </w:r>
          </w:p>
        </w:tc>
        <w:tc>
          <w:tcPr>
            <w:tcW w:w="900" w:type="dxa"/>
          </w:tcPr>
          <w:p w14:paraId="45FE6DB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w:t>
            </w:r>
          </w:p>
        </w:tc>
        <w:tc>
          <w:tcPr>
            <w:tcW w:w="900" w:type="dxa"/>
          </w:tcPr>
          <w:p w14:paraId="4CC3F29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50.0</w:t>
            </w:r>
          </w:p>
        </w:tc>
        <w:tc>
          <w:tcPr>
            <w:tcW w:w="1080" w:type="dxa"/>
          </w:tcPr>
          <w:p w14:paraId="143DDD3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109</w:t>
            </w:r>
          </w:p>
        </w:tc>
        <w:tc>
          <w:tcPr>
            <w:tcW w:w="1080" w:type="dxa"/>
          </w:tcPr>
          <w:p w14:paraId="245CBC2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32.4</w:t>
            </w:r>
          </w:p>
        </w:tc>
        <w:tc>
          <w:tcPr>
            <w:tcW w:w="1182" w:type="dxa"/>
          </w:tcPr>
          <w:p w14:paraId="14AB2C5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05CFD47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E0C4CBD" w14:textId="77777777" w:rsidTr="00EF2B7F">
        <w:tc>
          <w:tcPr>
            <w:tcW w:w="1525" w:type="dxa"/>
            <w:vMerge/>
          </w:tcPr>
          <w:p w14:paraId="3DD55EF3"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3DA8665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&gt;40</w:t>
            </w:r>
          </w:p>
        </w:tc>
        <w:tc>
          <w:tcPr>
            <w:tcW w:w="900" w:type="dxa"/>
          </w:tcPr>
          <w:p w14:paraId="006C190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900" w:type="dxa"/>
          </w:tcPr>
          <w:p w14:paraId="4E0955E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21.4</w:t>
            </w:r>
          </w:p>
        </w:tc>
        <w:tc>
          <w:tcPr>
            <w:tcW w:w="1080" w:type="dxa"/>
          </w:tcPr>
          <w:p w14:paraId="5731140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w:t>
            </w:r>
          </w:p>
        </w:tc>
        <w:tc>
          <w:tcPr>
            <w:tcW w:w="1080" w:type="dxa"/>
          </w:tcPr>
          <w:p w14:paraId="10DAFE3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30.7</w:t>
            </w:r>
          </w:p>
        </w:tc>
        <w:tc>
          <w:tcPr>
            <w:tcW w:w="1182" w:type="dxa"/>
          </w:tcPr>
          <w:p w14:paraId="3C56F5A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6F1B86B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038AB780" w14:textId="77777777" w:rsidTr="00EF2B7F">
        <w:tc>
          <w:tcPr>
            <w:tcW w:w="1525" w:type="dxa"/>
            <w:vMerge w:val="restart"/>
          </w:tcPr>
          <w:p w14:paraId="08E8A6E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Sex</w:t>
            </w:r>
          </w:p>
        </w:tc>
        <w:tc>
          <w:tcPr>
            <w:tcW w:w="1440" w:type="dxa"/>
          </w:tcPr>
          <w:p w14:paraId="6058E21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Male</w:t>
            </w:r>
          </w:p>
        </w:tc>
        <w:tc>
          <w:tcPr>
            <w:tcW w:w="900" w:type="dxa"/>
          </w:tcPr>
          <w:p w14:paraId="4CE72A5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5B50CB4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459299E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19</w:t>
            </w:r>
          </w:p>
        </w:tc>
        <w:tc>
          <w:tcPr>
            <w:tcW w:w="1080" w:type="dxa"/>
          </w:tcPr>
          <w:p w14:paraId="24267D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5.7</w:t>
            </w:r>
          </w:p>
        </w:tc>
        <w:tc>
          <w:tcPr>
            <w:tcW w:w="1182" w:type="dxa"/>
          </w:tcPr>
          <w:p w14:paraId="73A6578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0.837</w:t>
            </w:r>
          </w:p>
        </w:tc>
        <w:tc>
          <w:tcPr>
            <w:tcW w:w="1243" w:type="dxa"/>
          </w:tcPr>
          <w:p w14:paraId="4F79825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0.360</w:t>
            </w:r>
          </w:p>
        </w:tc>
      </w:tr>
      <w:tr w:rsidR="00EF2B7F" w:rsidRPr="00EF2B7F" w14:paraId="547403BC" w14:textId="77777777" w:rsidTr="00EF2B7F">
        <w:tc>
          <w:tcPr>
            <w:tcW w:w="1525" w:type="dxa"/>
            <w:vMerge/>
          </w:tcPr>
          <w:p w14:paraId="7BAE6630"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C93449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Female</w:t>
            </w:r>
          </w:p>
        </w:tc>
        <w:tc>
          <w:tcPr>
            <w:tcW w:w="900" w:type="dxa"/>
          </w:tcPr>
          <w:p w14:paraId="68BAFFC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14</w:t>
            </w:r>
          </w:p>
        </w:tc>
        <w:tc>
          <w:tcPr>
            <w:tcW w:w="900" w:type="dxa"/>
          </w:tcPr>
          <w:p w14:paraId="68F3C55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100.0</w:t>
            </w:r>
          </w:p>
        </w:tc>
        <w:tc>
          <w:tcPr>
            <w:tcW w:w="1080" w:type="dxa"/>
          </w:tcPr>
          <w:p w14:paraId="6AE790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317</w:t>
            </w:r>
          </w:p>
        </w:tc>
        <w:tc>
          <w:tcPr>
            <w:tcW w:w="1080" w:type="dxa"/>
          </w:tcPr>
          <w:p w14:paraId="50B0800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94.3</w:t>
            </w:r>
          </w:p>
        </w:tc>
        <w:tc>
          <w:tcPr>
            <w:tcW w:w="1182" w:type="dxa"/>
          </w:tcPr>
          <w:p w14:paraId="1E2CB74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3481039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69C1071" w14:textId="77777777" w:rsidTr="00EF2B7F">
        <w:tc>
          <w:tcPr>
            <w:tcW w:w="1525" w:type="dxa"/>
            <w:vMerge w:val="restart"/>
          </w:tcPr>
          <w:p w14:paraId="01C0268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Residence</w:t>
            </w:r>
          </w:p>
        </w:tc>
        <w:tc>
          <w:tcPr>
            <w:tcW w:w="1440" w:type="dxa"/>
          </w:tcPr>
          <w:p w14:paraId="4391E9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Urban</w:t>
            </w:r>
          </w:p>
        </w:tc>
        <w:tc>
          <w:tcPr>
            <w:tcW w:w="900" w:type="dxa"/>
          </w:tcPr>
          <w:p w14:paraId="4FACF8B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w:t>
            </w:r>
          </w:p>
        </w:tc>
        <w:tc>
          <w:tcPr>
            <w:tcW w:w="900" w:type="dxa"/>
          </w:tcPr>
          <w:p w14:paraId="39CD65A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71.4</w:t>
            </w:r>
          </w:p>
        </w:tc>
        <w:tc>
          <w:tcPr>
            <w:tcW w:w="1080" w:type="dxa"/>
          </w:tcPr>
          <w:p w14:paraId="17C0CE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206</w:t>
            </w:r>
          </w:p>
        </w:tc>
        <w:tc>
          <w:tcPr>
            <w:tcW w:w="1080" w:type="dxa"/>
          </w:tcPr>
          <w:p w14:paraId="5AC64A2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61.3</w:t>
            </w:r>
          </w:p>
        </w:tc>
        <w:tc>
          <w:tcPr>
            <w:tcW w:w="1182" w:type="dxa"/>
          </w:tcPr>
          <w:p w14:paraId="0417523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0.582</w:t>
            </w:r>
          </w:p>
        </w:tc>
        <w:tc>
          <w:tcPr>
            <w:tcW w:w="1243" w:type="dxa"/>
          </w:tcPr>
          <w:p w14:paraId="0DBA13F3" w14:textId="77777777" w:rsidR="00125C33" w:rsidRPr="00EF2B7F" w:rsidRDefault="00125C33" w:rsidP="00A141F3">
            <w:pPr>
              <w:tabs>
                <w:tab w:val="center" w:pos="513"/>
                <w:tab w:val="right" w:pos="967"/>
              </w:tabs>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ab/>
              <w:t>0.445</w:t>
            </w:r>
          </w:p>
        </w:tc>
      </w:tr>
      <w:tr w:rsidR="00EF2B7F" w:rsidRPr="00EF2B7F" w14:paraId="131AD915" w14:textId="77777777" w:rsidTr="00EF2B7F">
        <w:tc>
          <w:tcPr>
            <w:tcW w:w="1525" w:type="dxa"/>
            <w:vMerge/>
          </w:tcPr>
          <w:p w14:paraId="1C2F9D9D"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9BE4C5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Rural</w:t>
            </w:r>
          </w:p>
        </w:tc>
        <w:tc>
          <w:tcPr>
            <w:tcW w:w="900" w:type="dxa"/>
          </w:tcPr>
          <w:p w14:paraId="4483FB0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164114D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59C8DD1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130</w:t>
            </w:r>
          </w:p>
        </w:tc>
        <w:tc>
          <w:tcPr>
            <w:tcW w:w="1080" w:type="dxa"/>
          </w:tcPr>
          <w:p w14:paraId="09D6673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38.7</w:t>
            </w:r>
          </w:p>
        </w:tc>
        <w:tc>
          <w:tcPr>
            <w:tcW w:w="1182" w:type="dxa"/>
          </w:tcPr>
          <w:p w14:paraId="0141803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48E1A24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4EEC375B" w14:textId="77777777" w:rsidTr="00EF2B7F">
        <w:tc>
          <w:tcPr>
            <w:tcW w:w="1525" w:type="dxa"/>
            <w:vMerge w:val="restart"/>
          </w:tcPr>
          <w:p w14:paraId="0806B96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Religion</w:t>
            </w:r>
          </w:p>
        </w:tc>
        <w:tc>
          <w:tcPr>
            <w:tcW w:w="1440" w:type="dxa"/>
          </w:tcPr>
          <w:p w14:paraId="05041FF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Pentecostal</w:t>
            </w:r>
          </w:p>
        </w:tc>
        <w:tc>
          <w:tcPr>
            <w:tcW w:w="900" w:type="dxa"/>
          </w:tcPr>
          <w:p w14:paraId="0A4AA49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6C9808B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1F94587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137</w:t>
            </w:r>
          </w:p>
        </w:tc>
        <w:tc>
          <w:tcPr>
            <w:tcW w:w="1080" w:type="dxa"/>
          </w:tcPr>
          <w:p w14:paraId="19126F0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40.8</w:t>
            </w:r>
          </w:p>
        </w:tc>
        <w:tc>
          <w:tcPr>
            <w:tcW w:w="1182" w:type="dxa"/>
          </w:tcPr>
          <w:p w14:paraId="733A0F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1.038</w:t>
            </w:r>
          </w:p>
        </w:tc>
        <w:tc>
          <w:tcPr>
            <w:tcW w:w="1243" w:type="dxa"/>
          </w:tcPr>
          <w:p w14:paraId="15829DC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0.792</w:t>
            </w:r>
          </w:p>
        </w:tc>
      </w:tr>
      <w:tr w:rsidR="00EF2B7F" w:rsidRPr="00EF2B7F" w14:paraId="50F2288A" w14:textId="77777777" w:rsidTr="00EF2B7F">
        <w:tc>
          <w:tcPr>
            <w:tcW w:w="1525" w:type="dxa"/>
            <w:vMerge/>
          </w:tcPr>
          <w:p w14:paraId="57148A41"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4A08C48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Catholic</w:t>
            </w:r>
          </w:p>
        </w:tc>
        <w:tc>
          <w:tcPr>
            <w:tcW w:w="900" w:type="dxa"/>
          </w:tcPr>
          <w:p w14:paraId="4D68D5A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6</w:t>
            </w:r>
          </w:p>
        </w:tc>
        <w:tc>
          <w:tcPr>
            <w:tcW w:w="900" w:type="dxa"/>
          </w:tcPr>
          <w:p w14:paraId="49DA04C5"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42.9</w:t>
            </w:r>
          </w:p>
        </w:tc>
        <w:tc>
          <w:tcPr>
            <w:tcW w:w="1080" w:type="dxa"/>
          </w:tcPr>
          <w:p w14:paraId="4BF5D8E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122</w:t>
            </w:r>
          </w:p>
        </w:tc>
        <w:tc>
          <w:tcPr>
            <w:tcW w:w="1080" w:type="dxa"/>
          </w:tcPr>
          <w:p w14:paraId="318DE50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36.3</w:t>
            </w:r>
          </w:p>
        </w:tc>
        <w:tc>
          <w:tcPr>
            <w:tcW w:w="1182" w:type="dxa"/>
          </w:tcPr>
          <w:p w14:paraId="2B97838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6E9E7B6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216BC3BA" w14:textId="77777777" w:rsidTr="00EF2B7F">
        <w:tc>
          <w:tcPr>
            <w:tcW w:w="1525" w:type="dxa"/>
            <w:vMerge/>
          </w:tcPr>
          <w:p w14:paraId="750A2074"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208BF8AE"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Muslim</w:t>
            </w:r>
          </w:p>
        </w:tc>
        <w:tc>
          <w:tcPr>
            <w:tcW w:w="900" w:type="dxa"/>
          </w:tcPr>
          <w:p w14:paraId="34CFEC79"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27AFBFD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1C5E70F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w:t>
            </w:r>
          </w:p>
        </w:tc>
        <w:tc>
          <w:tcPr>
            <w:tcW w:w="1080" w:type="dxa"/>
          </w:tcPr>
          <w:p w14:paraId="6E1FBA5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182" w:type="dxa"/>
          </w:tcPr>
          <w:p w14:paraId="523CB84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7E7674C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18CF9E6F" w14:textId="77777777" w:rsidTr="00EF2B7F">
        <w:tc>
          <w:tcPr>
            <w:tcW w:w="1525" w:type="dxa"/>
            <w:vMerge/>
          </w:tcPr>
          <w:p w14:paraId="3E4075BC"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49F18BD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Others</w:t>
            </w:r>
          </w:p>
        </w:tc>
        <w:tc>
          <w:tcPr>
            <w:tcW w:w="900" w:type="dxa"/>
          </w:tcPr>
          <w:p w14:paraId="528F333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4</w:t>
            </w:r>
          </w:p>
        </w:tc>
        <w:tc>
          <w:tcPr>
            <w:tcW w:w="900" w:type="dxa"/>
          </w:tcPr>
          <w:p w14:paraId="5AAD8D7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28.6</w:t>
            </w:r>
          </w:p>
        </w:tc>
        <w:tc>
          <w:tcPr>
            <w:tcW w:w="1080" w:type="dxa"/>
          </w:tcPr>
          <w:p w14:paraId="4F18F40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74</w:t>
            </w:r>
          </w:p>
        </w:tc>
        <w:tc>
          <w:tcPr>
            <w:tcW w:w="1080" w:type="dxa"/>
          </w:tcPr>
          <w:p w14:paraId="0B57B78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22.0</w:t>
            </w:r>
          </w:p>
        </w:tc>
        <w:tc>
          <w:tcPr>
            <w:tcW w:w="1182" w:type="dxa"/>
          </w:tcPr>
          <w:p w14:paraId="3F283B8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057FF46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6C5F86B8" w14:textId="77777777" w:rsidTr="00EF2B7F">
        <w:tc>
          <w:tcPr>
            <w:tcW w:w="1525" w:type="dxa"/>
            <w:vMerge w:val="restart"/>
          </w:tcPr>
          <w:p w14:paraId="6FFDD6B2"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Ethnicity</w:t>
            </w:r>
          </w:p>
        </w:tc>
        <w:tc>
          <w:tcPr>
            <w:tcW w:w="1440" w:type="dxa"/>
          </w:tcPr>
          <w:p w14:paraId="78226AB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Igbo</w:t>
            </w:r>
          </w:p>
        </w:tc>
        <w:tc>
          <w:tcPr>
            <w:tcW w:w="900" w:type="dxa"/>
          </w:tcPr>
          <w:p w14:paraId="5B64D8A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13</w:t>
            </w:r>
          </w:p>
        </w:tc>
        <w:tc>
          <w:tcPr>
            <w:tcW w:w="900" w:type="dxa"/>
          </w:tcPr>
          <w:p w14:paraId="46D86758"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92.9</w:t>
            </w:r>
          </w:p>
        </w:tc>
        <w:tc>
          <w:tcPr>
            <w:tcW w:w="1080" w:type="dxa"/>
          </w:tcPr>
          <w:p w14:paraId="77016B4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322</w:t>
            </w:r>
          </w:p>
        </w:tc>
        <w:tc>
          <w:tcPr>
            <w:tcW w:w="1080" w:type="dxa"/>
          </w:tcPr>
          <w:p w14:paraId="0C7DEB4D"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95.8</w:t>
            </w:r>
          </w:p>
        </w:tc>
        <w:tc>
          <w:tcPr>
            <w:tcW w:w="1182" w:type="dxa"/>
          </w:tcPr>
          <w:p w14:paraId="55B88E5C"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1.158</w:t>
            </w:r>
          </w:p>
        </w:tc>
        <w:tc>
          <w:tcPr>
            <w:tcW w:w="1243" w:type="dxa"/>
          </w:tcPr>
          <w:p w14:paraId="243A51C4"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0.560</w:t>
            </w:r>
          </w:p>
        </w:tc>
      </w:tr>
      <w:tr w:rsidR="00EF2B7F" w:rsidRPr="00EF2B7F" w14:paraId="743E1166" w14:textId="77777777" w:rsidTr="00EF2B7F">
        <w:tc>
          <w:tcPr>
            <w:tcW w:w="1525" w:type="dxa"/>
            <w:vMerge/>
          </w:tcPr>
          <w:p w14:paraId="27C03BBA"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14C0243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Hausa</w:t>
            </w:r>
          </w:p>
        </w:tc>
        <w:tc>
          <w:tcPr>
            <w:tcW w:w="900" w:type="dxa"/>
          </w:tcPr>
          <w:p w14:paraId="2A3A1D0F"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900" w:type="dxa"/>
          </w:tcPr>
          <w:p w14:paraId="1279A271"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.0</w:t>
            </w:r>
          </w:p>
        </w:tc>
        <w:tc>
          <w:tcPr>
            <w:tcW w:w="1080" w:type="dxa"/>
          </w:tcPr>
          <w:p w14:paraId="5F59824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5</w:t>
            </w:r>
          </w:p>
        </w:tc>
        <w:tc>
          <w:tcPr>
            <w:tcW w:w="1080" w:type="dxa"/>
          </w:tcPr>
          <w:p w14:paraId="07E86EC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1.5</w:t>
            </w:r>
          </w:p>
        </w:tc>
        <w:tc>
          <w:tcPr>
            <w:tcW w:w="1182" w:type="dxa"/>
          </w:tcPr>
          <w:p w14:paraId="7AEDD77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116F41DA"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r w:rsidR="00EF2B7F" w:rsidRPr="00EF2B7F" w14:paraId="3A31F99B" w14:textId="77777777" w:rsidTr="00EF2B7F">
        <w:tc>
          <w:tcPr>
            <w:tcW w:w="1525" w:type="dxa"/>
            <w:vMerge/>
          </w:tcPr>
          <w:p w14:paraId="0C2E61A8" w14:textId="77777777" w:rsidR="00125C33" w:rsidRPr="00EF2B7F" w:rsidRDefault="00125C33" w:rsidP="00A141F3">
            <w:pPr>
              <w:autoSpaceDE w:val="0"/>
              <w:autoSpaceDN w:val="0"/>
              <w:adjustRightInd w:val="0"/>
              <w:spacing w:line="276" w:lineRule="auto"/>
              <w:jc w:val="both"/>
              <w:rPr>
                <w:rFonts w:ascii="Times New Roman" w:hAnsi="Times New Roman" w:cs="Times New Roman"/>
                <w:color w:val="000000" w:themeColor="text1"/>
                <w:kern w:val="0"/>
                <w14:ligatures w14:val="none"/>
              </w:rPr>
            </w:pPr>
          </w:p>
        </w:tc>
        <w:tc>
          <w:tcPr>
            <w:tcW w:w="1440" w:type="dxa"/>
          </w:tcPr>
          <w:p w14:paraId="6A65173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Yoruba</w:t>
            </w:r>
          </w:p>
        </w:tc>
        <w:tc>
          <w:tcPr>
            <w:tcW w:w="900" w:type="dxa"/>
          </w:tcPr>
          <w:p w14:paraId="433860C3"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1</w:t>
            </w:r>
          </w:p>
        </w:tc>
        <w:tc>
          <w:tcPr>
            <w:tcW w:w="900" w:type="dxa"/>
          </w:tcPr>
          <w:p w14:paraId="64E4F320"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7.1</w:t>
            </w:r>
          </w:p>
        </w:tc>
        <w:tc>
          <w:tcPr>
            <w:tcW w:w="1080" w:type="dxa"/>
          </w:tcPr>
          <w:p w14:paraId="3E500E1B"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9</w:t>
            </w:r>
          </w:p>
        </w:tc>
        <w:tc>
          <w:tcPr>
            <w:tcW w:w="1080" w:type="dxa"/>
          </w:tcPr>
          <w:p w14:paraId="203A08D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r w:rsidRPr="00EF2B7F">
              <w:rPr>
                <w:rFonts w:ascii="Times New Roman" w:hAnsi="Times New Roman" w:cs="Times New Roman"/>
                <w:color w:val="000000" w:themeColor="text1"/>
                <w:kern w:val="0"/>
                <w14:ligatures w14:val="none"/>
              </w:rPr>
              <w:t>2.7</w:t>
            </w:r>
          </w:p>
        </w:tc>
        <w:tc>
          <w:tcPr>
            <w:tcW w:w="1182" w:type="dxa"/>
          </w:tcPr>
          <w:p w14:paraId="6D71CA36"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c>
          <w:tcPr>
            <w:tcW w:w="1243" w:type="dxa"/>
          </w:tcPr>
          <w:p w14:paraId="41677CF7" w14:textId="77777777" w:rsidR="00125C33" w:rsidRPr="00EF2B7F" w:rsidRDefault="00125C33" w:rsidP="00A141F3">
            <w:pPr>
              <w:autoSpaceDE w:val="0"/>
              <w:autoSpaceDN w:val="0"/>
              <w:adjustRightInd w:val="0"/>
              <w:spacing w:line="276" w:lineRule="auto"/>
              <w:ind w:left="60" w:right="60"/>
              <w:jc w:val="both"/>
              <w:rPr>
                <w:rFonts w:ascii="Times New Roman" w:hAnsi="Times New Roman" w:cs="Times New Roman"/>
                <w:color w:val="000000" w:themeColor="text1"/>
                <w:kern w:val="0"/>
                <w14:ligatures w14:val="none"/>
              </w:rPr>
            </w:pPr>
          </w:p>
        </w:tc>
      </w:tr>
    </w:tbl>
    <w:p w14:paraId="2A417C09" w14:textId="77777777" w:rsidR="00C50BF8" w:rsidRPr="00EF2B7F" w:rsidRDefault="00125C33" w:rsidP="00A141F3">
      <w:pPr>
        <w:spacing w:line="276" w:lineRule="auto"/>
        <w:jc w:val="both"/>
        <w:rPr>
          <w:rFonts w:ascii="Times New Roman" w:hAnsi="Times New Roman" w:cs="Times New Roman"/>
          <w:bCs/>
          <w:color w:val="000000" w:themeColor="text1"/>
        </w:rPr>
      </w:pPr>
      <w:r w:rsidRPr="00EF2B7F">
        <w:rPr>
          <w:rFonts w:ascii="Times New Roman" w:hAnsi="Times New Roman" w:cs="Times New Roman"/>
          <w:bCs/>
          <w:color w:val="000000" w:themeColor="text1"/>
        </w:rPr>
        <w:t>S</w:t>
      </w:r>
      <w:r w:rsidR="00C50BF8" w:rsidRPr="00EF2B7F">
        <w:rPr>
          <w:rFonts w:ascii="Times New Roman" w:hAnsi="Times New Roman" w:cs="Times New Roman"/>
          <w:bCs/>
          <w:color w:val="000000" w:themeColor="text1"/>
        </w:rPr>
        <w:t xml:space="preserve">tatistical significance </w:t>
      </w:r>
      <w:r w:rsidRPr="00EF2B7F">
        <w:rPr>
          <w:rFonts w:ascii="Times New Roman" w:hAnsi="Times New Roman" w:cs="Times New Roman"/>
          <w:bCs/>
          <w:color w:val="000000" w:themeColor="text1"/>
        </w:rPr>
        <w:t>is set at p&lt;0.05</w:t>
      </w:r>
    </w:p>
    <w:p w14:paraId="2D403F1C" w14:textId="77777777" w:rsidR="00B94C3C" w:rsidRPr="00EF2B7F" w:rsidRDefault="00004C3F" w:rsidP="00A141F3">
      <w:pPr>
        <w:spacing w:line="276" w:lineRule="auto"/>
        <w:jc w:val="both"/>
        <w:rPr>
          <w:rFonts w:ascii="Times New Roman" w:hAnsi="Times New Roman" w:cs="Times New Roman"/>
          <w:b/>
          <w:bCs/>
          <w:color w:val="000000" w:themeColor="text1"/>
        </w:rPr>
      </w:pPr>
      <w:r w:rsidRPr="00EF2B7F">
        <w:rPr>
          <w:rStyle w:val="fadeinm1hgl8"/>
          <w:rFonts w:ascii="Times New Roman" w:hAnsi="Times New Roman" w:cs="Times New Roman"/>
          <w:color w:val="000000" w:themeColor="text1"/>
        </w:rPr>
        <w:t>The table summarizes the association between sociodemographic characteristics and overall willingness to accept the malaria vaccine. Willingness was highest among females, those aged 31–40, urban residents, Pentecostals, and the Igbo ethnic group. However, none of the associations with age, sex, residence, religion, or ethnicity were statistically significant (p &gt; 0.05).</w:t>
      </w:r>
    </w:p>
    <w:p w14:paraId="14C1E6D9" w14:textId="77777777" w:rsidR="00B934A7" w:rsidRPr="00EF2B7F" w:rsidRDefault="00B934A7" w:rsidP="00A141F3">
      <w:pPr>
        <w:spacing w:line="276" w:lineRule="auto"/>
        <w:jc w:val="both"/>
        <w:rPr>
          <w:rFonts w:ascii="Times New Roman" w:hAnsi="Times New Roman" w:cs="Times New Roman"/>
          <w:b/>
          <w:bCs/>
          <w:color w:val="000000" w:themeColor="text1"/>
        </w:rPr>
      </w:pPr>
    </w:p>
    <w:p w14:paraId="6DC1C5DB" w14:textId="77777777" w:rsidR="00F40054" w:rsidRPr="00EF2B7F" w:rsidRDefault="00F40054" w:rsidP="00A141F3">
      <w:pPr>
        <w:spacing w:line="276" w:lineRule="auto"/>
        <w:jc w:val="both"/>
        <w:rPr>
          <w:rFonts w:ascii="Times New Roman" w:hAnsi="Times New Roman" w:cs="Times New Roman"/>
          <w:b/>
          <w:bCs/>
          <w:color w:val="000000" w:themeColor="text1"/>
        </w:rPr>
        <w:sectPr w:rsidR="00F40054" w:rsidRPr="00EF2B7F">
          <w:pgSz w:w="12240" w:h="15840"/>
          <w:pgMar w:top="1440" w:right="1440" w:bottom="1440" w:left="1440" w:header="720" w:footer="720" w:gutter="0"/>
          <w:cols w:space="720"/>
          <w:docGrid w:linePitch="360"/>
        </w:sectPr>
      </w:pPr>
    </w:p>
    <w:p w14:paraId="3DD05726" w14:textId="77777777" w:rsidR="00C50BF8" w:rsidRPr="00EF2B7F" w:rsidRDefault="00004C3F" w:rsidP="00A141F3">
      <w:pPr>
        <w:spacing w:line="276" w:lineRule="auto"/>
        <w:jc w:val="both"/>
        <w:rPr>
          <w:rFonts w:ascii="Times New Roman" w:hAnsi="Times New Roman" w:cs="Times New Roman"/>
          <w:b/>
          <w:bCs/>
          <w:color w:val="000000" w:themeColor="text1"/>
        </w:rPr>
      </w:pPr>
      <w:r w:rsidRPr="00EF2B7F">
        <w:rPr>
          <w:rFonts w:ascii="Times New Roman" w:hAnsi="Times New Roman" w:cs="Times New Roman"/>
          <w:b/>
          <w:bCs/>
          <w:color w:val="000000" w:themeColor="text1"/>
        </w:rPr>
        <w:lastRenderedPageBreak/>
        <w:t>4.2</w:t>
      </w:r>
      <w:r w:rsidR="00C50BF8" w:rsidRPr="00EF2B7F">
        <w:rPr>
          <w:rFonts w:ascii="Times New Roman" w:hAnsi="Times New Roman" w:cs="Times New Roman"/>
          <w:b/>
          <w:bCs/>
          <w:color w:val="000000" w:themeColor="text1"/>
        </w:rPr>
        <w:t xml:space="preserve"> DISCUSSION</w:t>
      </w:r>
    </w:p>
    <w:p w14:paraId="7CAC188E"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majority of caregivers in this study were female (94.6%) and between the ages of 31 and 40, with a mean age of 35 (±9 SD). They were primarily Igbo (95.7%), urban (61.7%), and Christian, particularly Catholic (36.6%) and Pentecostal (40.3%). These results are consistent with those of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{"citationID":"bsHAE3Z9","properties":{"formattedCitation":"\\super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also found that women made up the majority of caregivers. This suggests that women bear the majority of the responsibility for child health in a variety of African contexts. This study's ethnic and religious makeup may restrict generalizability because it represents the local demography of the study site (UNTH in southeast Nigeria).</w:t>
      </w:r>
    </w:p>
    <w:p w14:paraId="7136F1ED"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Nearly all respondents (97.4%) were aware of malaria, and most (97.1%) correctly identified mosquito bites as the method of transmission. A comparatively high 71.4% of people were aware of the malaria vaccine, and 82.9% of them correctly identified its goal as preventing sickness. These numbers represent a significant increase over those seen in a number of prior studies. For example, Ajayi and Emeto</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{"citationID":"nI7Th7uU","properties":{"formattedCitation":"\\super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12</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reported 40.3% awareness of the malaria vaccine in Northern Nigeria, while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{"citationID":"GMyQY8Vk","properties":{"formattedCitation":"\\super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reported only 14.7% awareness in Tanzania. Similarly, </w:t>
      </w:r>
      <w:proofErr w:type="spellStart"/>
      <w:r w:rsidRPr="00EF2B7F">
        <w:rPr>
          <w:rFonts w:ascii="Times New Roman" w:eastAsia="Times New Roman" w:hAnsi="Times New Roman" w:cs="Times New Roman"/>
          <w:color w:val="000000" w:themeColor="text1"/>
        </w:rPr>
        <w:t>Ojakaa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{"citationID":"VPbezhW2","properties":{"formattedCitation":"\\super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observed awareness levels ranging from 25–40% among healthcare facilities in Kenya.</w:t>
      </w:r>
    </w:p>
    <w:p w14:paraId="63EBF221"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study's location at a tertiary healthcare center, which frequently offers greater access to health education and vaccine promotion than community-based or rural contexts, may be the reason for the increased knowledge seen in this study. Literature such as </w:t>
      </w:r>
      <w:r w:rsidR="00F40054" w:rsidRPr="00EF2B7F">
        <w:rPr>
          <w:rFonts w:ascii="Times New Roman" w:eastAsia="Times New Roman" w:hAnsi="Times New Roman" w:cs="Times New Roman"/>
          <w:color w:val="000000" w:themeColor="text1"/>
        </w:rPr>
        <w:t xml:space="preserve">that of </w:t>
      </w:r>
      <w:proofErr w:type="spellStart"/>
      <w:r w:rsidR="00F40054" w:rsidRPr="00EF2B7F">
        <w:rPr>
          <w:rFonts w:ascii="Times New Roman" w:eastAsia="Times New Roman" w:hAnsi="Times New Roman" w:cs="Times New Roman"/>
          <w:color w:val="000000" w:themeColor="text1"/>
        </w:rPr>
        <w:t>Sulaiman</w:t>
      </w:r>
      <w:proofErr w:type="spellEnd"/>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{"citationID":"e5PWWODC","properties":{"formattedCitation":"\\super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17</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observed greater knowledge and acceptance rates in facility-based research, lends credibility to this idea.</w:t>
      </w:r>
    </w:p>
    <w:p w14:paraId="6DB4BE8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Although the general level of awareness was high, just 44% of those surveyed had heard of the specific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malaria vaccine, and only 29% knew that the WHO would soon recommend its use in Nigeria by 2024–2025. This finding</w:t>
      </w:r>
      <w:r w:rsidR="00F40054" w:rsidRPr="00EF2B7F">
        <w:rPr>
          <w:rFonts w:ascii="Times New Roman" w:eastAsia="Times New Roman" w:hAnsi="Times New Roman" w:cs="Times New Roman"/>
          <w:color w:val="000000" w:themeColor="text1"/>
        </w:rPr>
        <w:t xml:space="preserve"> is in line with </w:t>
      </w:r>
      <w:proofErr w:type="spellStart"/>
      <w:r w:rsidR="00F40054" w:rsidRPr="00EF2B7F">
        <w:rPr>
          <w:rFonts w:ascii="Times New Roman" w:eastAsia="Times New Roman" w:hAnsi="Times New Roman" w:cs="Times New Roman"/>
          <w:color w:val="000000" w:themeColor="text1"/>
        </w:rPr>
        <w:t>Meñaca</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{"citationID":"n54SvaLU","properties":{"formattedCitation":"\\super 15\\nosupersub{}","plainCitation":"15","noteIndex":0},"citationItems":[{"id":939,"uris":["http://zotero.org/users/local/uZHmDmCk/items/6CYKU6AJ"],"itemData":{"id":939,"type":"article-journal","abstract":"Malaria is a leading cause of morbidity and mortality among children in Ghana. As part of the effort to inform local and national decision-making in preparation for possible malaria vaccine introduction, this qualitative study explored community-level factors that could affect vaccine acceptance in …","container-title":"PloS one","DOI":"10.1371/journal.pone.0109707","ISSN":"1932-6203","issue":"10","language":"en","note":"publisher: PLoS One\nPMID: 25334094","source":"pubmed.ncbi.nlm.nih.gov","title":"Factors likely to affect community acceptance of a malaria vaccine in two districts of Ghana: a qualitative study","title-short":"Factors likely to affect community acceptance of a malaria vaccine in two districts of Ghana","URL":"https://pubmed.ncbi.nlm.nih.gov/25334094/","volume":"9","author":[{"family":"A","given":"Meñaca"},{"family":"H","given":"Tagbor"},{"family":"R","given":"Adjei"},{"family":"C","given":"Bart-Plange"},{"family":"Y","given":"Collymore"},{"family":"A","given":"Ba-Nguz"},{"family":"K","given":"Mertes"},{"family":"A","given":"Bingham"}],"accessed":{"date-parts":[["2025",5,18]]},"issued":{"date-parts":[["2014",10,15]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15</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pointed out that although thorough knowledge of individual vaccines was still lacking, broad vaccine efficacy was understood.</w:t>
      </w:r>
    </w:p>
    <w:p w14:paraId="49FDC8AF"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study also revealed that the most popular information sources were health facilities (28.7%) and television (24%). These findings are in line with those of </w:t>
      </w:r>
      <w:proofErr w:type="spellStart"/>
      <w:r w:rsidRPr="00EF2B7F">
        <w:rPr>
          <w:rFonts w:ascii="Times New Roman" w:eastAsia="Times New Roman" w:hAnsi="Times New Roman" w:cs="Times New Roman"/>
          <w:color w:val="000000" w:themeColor="text1"/>
        </w:rPr>
        <w:t>Mwingira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{"citationID":"O115SAAb","properties":{"formattedCitation":"\\super 11\\nosupersub{}","plainCitation":"11","noteIndex":0},"citationItems":[{"id":924,"uris":["http://zotero.org/users/local/uZHmDmCk/items/HV52F6IE"],"itemData":{"id":924,"type":"article-journal","abstract":"Tanzania is a malaria-endemic country that relies solely on anti-malarial drugs and vector control measures, including insecticide-treated bed nets and indoor residual spraying. However, the growing resistance to these interventions threatens their effectiveness, highlighting the need for additional strategies to accelerate malaria eradication efforts. Currently, malaria vaccines have begun to roll out in endemic areas. However, hesitancy emanating from misinformation on vaccine efficacy and safety has been recorded in various parts of the world. In this context, this study investigated the knowledge and willingness of caregivers towards the malaria vaccine.","container-title":"Malaria Journal","DOI":"10.1186/s12936-024-05183-8","ISSN":"1475-2875","issue":"1","journalAbbreviation":"Malaria Journal","page":"35","source":"BioMed Central","title":"Knowledge and willingness towards malaria vaccines among caregivers in Dar es Salaam, Tanzania","volume":"24","author":[{"family":"Mwingira","given":"Felista"},{"family":"Matiya","given":"Deokary"},{"family":"Chacky","given":"Frank"}],"issued":{"date-parts":[["2025",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indicated that hospitals (47.6%) and television (45.2%) were the preferred channels. The current study identified social media and community outreach initiatives as secondary sources, in contrast to </w:t>
      </w:r>
      <w:proofErr w:type="spellStart"/>
      <w:r w:rsidRPr="00EF2B7F">
        <w:rPr>
          <w:rFonts w:ascii="Times New Roman" w:eastAsia="Times New Roman" w:hAnsi="Times New Roman" w:cs="Times New Roman"/>
          <w:color w:val="000000" w:themeColor="text1"/>
        </w:rPr>
        <w:t>Alagbe</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{"citationID":"VNjNEnFQ","properties":{"formattedCitation":"\\super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pointed out that friends and prenatal clinics were important sources in Northern Nigeria. These disparities might be a reflection of geographical differences in access to the media and levels of faith in medical institutions.</w:t>
      </w:r>
    </w:p>
    <w:p w14:paraId="2808CFC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96% of caregivers in this study expressed general willingness to accept the malaria vaccine, which is a remarkably high level of willingness. To be more precise, 82.3% of respondents stated that they would vaccinate their child, 79.7% said they would be ready to pay for it, and 84.3% said they would urge others to do the same. These numbers are in line with, or slightly below, those reported by Musa et al</w:t>
      </w:r>
      <w:r w:rsidR="00F40054"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{"citationID":"NRT2aOgH","properties":{"formattedCitation":"\\super 19\\nosupersub{}","plainCitation":"19","noteIndex":0},"citationItems":[{"id":951,"uris":["http://zotero.org/users/local/uZHmDmCk/items/9FAUKBQI"],"itemData":{"id":951,"type":"article-journal","container-title":"Vacunas (English Edition)","DOI":"10.1016/j.vacune.2024.10.005","journalAbbreviation":"Vacunas (English Edition)","page":"439-447","source":"ResearchGate","title":"Acceptance of malaria vaccine among mothers of under-five children in Nigeria: Results from the M-VAN survey","title-short":"Acceptance of malaria vaccine among mothers of under-five children in Nigeria","volume":"25","author":[{"family":"Musa","given":"Muhammad"},{"family":"Sulaiman","given":"Abdulwahab"},{"family":"Tsiga-Ahmed","given":"Fatimah"},{"family":"Bako","given":"Abdulaziz"},{"family":"Sulaiman","given":"Sahabi"}],"issued":{"date-parts":[["2024",10,1]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19</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(97.6% in Nigeria), </w:t>
      </w:r>
      <w:proofErr w:type="spellStart"/>
      <w:r w:rsidR="00F40054" w:rsidRPr="00EF2B7F">
        <w:rPr>
          <w:rFonts w:ascii="Times New Roman" w:eastAsia="Times New Roman" w:hAnsi="Times New Roman" w:cs="Times New Roman"/>
          <w:color w:val="000000" w:themeColor="text1"/>
        </w:rPr>
        <w:t>Sula</w:t>
      </w:r>
      <w:r w:rsidRPr="00EF2B7F">
        <w:rPr>
          <w:rFonts w:ascii="Times New Roman" w:eastAsia="Times New Roman" w:hAnsi="Times New Roman" w:cs="Times New Roman"/>
          <w:color w:val="000000" w:themeColor="text1"/>
        </w:rPr>
        <w:t>iman</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{"citationID":"Qo8FYYBj","properties":{"formattedCitation":"\\super 17\\nosupersub{}","plainCitation":"17","noteIndex":0},"citationItems":[{"id":946,"uris":["http://zotero.org/users/local/uZHmDmCk/items/GHDLHZAU"],"itemData":{"id":946,"type":"article-journal","abstract":"Introduction Malaria is the second leading cause of death in children after diarrheal disease, with low- and middle-income countries (LMICs) accounting for over 9 in 10 incidence and deaths. Widespread acceptance and uptake of the RTS,S vaccine, recently approved by the world health organization (WHO), is projected to significantly reduce malaria incidence and deaths. Therefore, we conducted this systematic review and meta-analysis with the aim to determine the malaria vaccine acceptance rate and the factors associated with acceptance. Methods We searched six databases including Google Scholar, PubMed, Cochrane, African Index Medicus, The Regional Office for Africa Library, and WHO Institutional Repository for Information Sharing (IRIS) to identify studies evaluating the malaria vaccine acceptance rate. This systematic review and meta-analysis followed the Preferred Reporting Items for Systematic Review and Meta-analysis (PRISMA) guidelines. Studies were included if they were original articles published in the English language in peer-reviewed journals and assessed the prevalence of willingness to accept a free malaria vaccine, and not qualitative. The risk of publication bias was checked using both Beggar’s funnel plot and Egger’s test, while the I2 statistic was used to assess the heterogeneity of the included studies. Study quality was determined using the Newcastle-Ottawa scale. A meta-analysis was performed using a random effects model to evaluate the pooled prevalence of malaria vaccine acceptance. The protocol for this article was registered prospectively on the International Prospective Register for Systematic Reviews (PROSPERO), with ID number CRD42022334282). Results Our analysis included 11 studies with a total sample size of 14, 666 participants. The aggregate malaria vaccine acceptance rate was 95.3% (95% CI:93.0%–97.2%). Among the general population, the acceptance rate was 96.3% (95% CI:92.0%–99.0%) and among mothers, it was 94.4% (95% CI:90.8%–97.2%). By country, Nigeria had the highest acceptance rate (97.6%, 95% CI:96.0%-98.8%), followed by Ghana (94.6%, 95% CI:93.8%-95.3%) and Tanzania (92.5%, 95% CI:84.4%-97.8%). Sociodemographic determinants of vaccine acceptance included place of residence, tribe, age, sex, occupation, and religion. Reasons for low acceptance included safety concerns, efficacy profile, vaccine’s requirement for multiple injections, and poor level of awareness. Conclusion Future efforts should be focused on identifying factors that may improve the actual uptake of the RTS,S vaccine in malaria-endemic communities.","container-title":"PLOS ONE","DOI":"10.1371/journal.pone.0278224","ISSN":"1932-6203","issue":"12","journalAbbreviation":"PLOS ONE","language":"en","note":"publisher: Public Library of Science","page":"e0278224","source":"PLoS Journals","title":"A systematic review and meta-analysis of the prevalence of caregiver acceptance of malaria vaccine for under-five children in low-income and middle-income countries (LMICs)","volume":"17","author":[{"family":"Sulaiman","given":"Sahabi Kabir"},{"family":"Musa","given":"Muhammad Sale"},{"family":"Tsiga-Ahmed","given":"Fatimah Ismail"},{"family":"Dayyab","given":"Farouq Muhammad"},{"family":"Sulaiman","given":"Abdulwahab Kabir"},{"family":"Bako","given":"Abdulaziz Tijjani"}],"issued":{"date-parts":[["2022",12,1]]}}}],"schema":"https://github.com/citation-style-language/schema/raw/master/csl-citation.json"}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17</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(acceptance rate: 95.3%), </w:t>
      </w:r>
      <w:r w:rsidRPr="00EF2B7F">
        <w:rPr>
          <w:rFonts w:ascii="Times New Roman" w:eastAsia="Times New Roman" w:hAnsi="Times New Roman" w:cs="Times New Roman"/>
          <w:color w:val="000000" w:themeColor="text1"/>
        </w:rPr>
        <w:lastRenderedPageBreak/>
        <w:t xml:space="preserve">and </w:t>
      </w:r>
      <w:proofErr w:type="spellStart"/>
      <w:r w:rsidR="00F40054" w:rsidRPr="00EF2B7F">
        <w:rPr>
          <w:rFonts w:ascii="Times New Roman" w:eastAsia="Times New Roman" w:hAnsi="Times New Roman" w:cs="Times New Roman"/>
          <w:color w:val="000000" w:themeColor="text1"/>
        </w:rPr>
        <w:t>Ojakaa</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{"citationID":"hsMbsvGt","properties":{"formattedCitation":"\\super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in Kenya (94.4%). Given that 94.6% of respondents viewed malaria as a serious health issue that required vaccination, these high acceptance levels may once more be ascribed to the tertiary care setting and high perceived severity of malaria, which supports findings by Bam</w:t>
      </w:r>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{"citationID":"1neyy0I9","properties":{"formattedCitation":"\\super 22\\nosupersub{}","plainCitation":"22","noteIndex":0},"citationItems":[{"id":960,"uris":["http://zotero.org/users/local/uZHmDmCk/items/2UEG7568"],"itemData":{"id":960,"type":"article-journal","abstract":"Background Malaria is a disease of public health concern and in endemic areas, pregnant women and children under-five years are vulnerable to the disease. The introduction of the pilot program of a malaria vaccine for children under-five years in Ghana is an intervention to further reduce the burden of the disease. However, the availability of the vaccine does not necessarily mean it will be accepted by the public. This is why the perceptions and acceptance of the vaccine among mothers of these children are worth exploring. Method A descriptive qualitative study, with the aid of a semi-structured interview guide, was utilized in collecting data from ten (10) purposively sampled mothers whose children were taking the malaria vaccine in a municipality in Ghana. Written informed consent was obtained from all participants. The audiotaped interviews were transcribed verbatim and inductively analyzed into themes describing their perceptions and acceptance. Results Participants were aged between 22 and 40 years with eight (8) of them married. Three themes emerged from the study. \"Awareness of malaria and the malaria vaccine\" (1), “Insight into the malaria vaccine” (2), where participants communicated the beliefs and judgments formed on the vaccine, its benefits, and the need for vaccinating their children. With the third theme \"Reaction to vaccine” (3), participants communicated their motivation to vaccinate their children and their concerns about the administration of the vaccine. Conclusion The caregivers had positive perceptions about the malaria vaccine for children, with fewer hospital admissions and saving money as some benefits. Healthworkers played a significant role in influencing the acceptance of the vaccine. However, the fear of the unknown concerning the side effects of the vaccine serve as a possible barrier to recommending the vaccine to other caregivers. Health education must also address the fears of caregivers in order to enhance recommending the malaria vaccine to other caregivers and promote uptake of the vaccination.","container-title":"PLOS ONE","DOI":"10.1371/journal.pone.0288686","ISSN":"1932-6203","issue":"7","journalAbbreviation":"PLOS ONE","language":"en","note":"publisher: Public Library of Science","page":"e0288686","source":"PLoS Journals","title":"Caregivers’ perception and acceptance of malaria vaccine for Children","volume":"18","author":[{"family":"Bam","given":"Victoria"},{"family":"Mohammed","given":"Abdulai"},{"family":"Kusi-Amponsah","given":"Abigail"},{"family":"Armah","given":"Jerry"},{"family":"Lomotey","given":"Alberta Yemotsoo"},{"family":"Budu","given":"Hayford Isaac"},{"family":"Poku","given":"Collins Atta"},{"family":"Kyei-Dompim","given":"Joana"},{"family":"Dwumfour","given":"Catherine"}],"issued":{"date-parts":[["2023",7,26]]}}}],"schema":"https://github.com/citation-style-language/schema/raw/master/csl-citation.json"}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22</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highlighted that perceived risk and severity are important predictors of vaccine acceptance.</w:t>
      </w:r>
    </w:p>
    <w:p w14:paraId="75188000"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Just 27.1% of parents were willing to let their kids take part in malaria vaccine trials, despite a high level of general willingness. This reluctance may be due to safety concerns and a fear of the unknown, which is in line with research by </w:t>
      </w:r>
      <w:proofErr w:type="spellStart"/>
      <w:r w:rsidRPr="00EF2B7F">
        <w:rPr>
          <w:rFonts w:ascii="Times New Roman" w:eastAsia="Times New Roman" w:hAnsi="Times New Roman" w:cs="Times New Roman"/>
          <w:color w:val="000000" w:themeColor="text1"/>
        </w:rPr>
        <w:t>Adigwe</w:t>
      </w:r>
      <w:proofErr w:type="spellEnd"/>
      <w:r w:rsidRPr="00EF2B7F">
        <w:rPr>
          <w:rFonts w:ascii="Times New Roman" w:eastAsia="Times New Roman" w:hAnsi="Times New Roman" w:cs="Times New Roman"/>
          <w:color w:val="000000" w:themeColor="text1"/>
        </w:rPr>
        <w:t xml:space="preserve"> and Onovbavba,</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{"citationID":"gmGwCbWi","properties":{"formattedCitation":"\\super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which found that almost 70% of parents were concerned about the negative effects of new vaccines.</w:t>
      </w:r>
    </w:p>
    <w:p w14:paraId="47F3775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It is noteworthy that the study did not identify religion, vaccine safety, or effectiveness as significant barriers because their mean scores were below the 3.0 criterion. This finding is slightly at odds with the fi</w:t>
      </w:r>
      <w:r w:rsidR="00F40054" w:rsidRPr="00EF2B7F">
        <w:rPr>
          <w:rFonts w:ascii="Times New Roman" w:eastAsia="Times New Roman" w:hAnsi="Times New Roman" w:cs="Times New Roman"/>
          <w:color w:val="000000" w:themeColor="text1"/>
        </w:rPr>
        <w:t>ndings of Afolabi and Ilesanmi</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{"citationID":"5ogE55wc","properties":{"formattedCitation":"\\super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who highlighted the importance of relig</w:t>
      </w:r>
      <w:r w:rsidR="00F40054" w:rsidRPr="00EF2B7F">
        <w:rPr>
          <w:rFonts w:ascii="Times New Roman" w:eastAsia="Times New Roman" w:hAnsi="Times New Roman" w:cs="Times New Roman"/>
          <w:color w:val="000000" w:themeColor="text1"/>
        </w:rPr>
        <w:t xml:space="preserve">ious mistrust, and </w:t>
      </w:r>
      <w:proofErr w:type="spellStart"/>
      <w:r w:rsidR="00F40054" w:rsidRPr="00EF2B7F">
        <w:rPr>
          <w:rFonts w:ascii="Times New Roman" w:eastAsia="Times New Roman" w:hAnsi="Times New Roman" w:cs="Times New Roman"/>
          <w:color w:val="000000" w:themeColor="text1"/>
        </w:rPr>
        <w:t>Röbl</w:t>
      </w:r>
      <w:proofErr w:type="spellEnd"/>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{"citationID":"U5VQaJUk","properties":{"formattedCitation":"\\super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mentioned safety as a prominent worry. The disparity can be a result of regional variations in religious perspectives on vaccination and trust in the healthcare system. Notably, the current study found no significant correlation between religion and either willingness or knowledge, which is consistent with the findings of Taylor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{"citationID":"62eSTQ6H","properties":{"formattedCitation":"\\super 24\\nosupersub{}","plainCitation":"24","noteIndex":0},"citationItems":[{"id":968,"uris":["http://zotero.org/users/local/uZHmDmCk/items/68LY262E"],"itemData":{"id":968,"type":"article-journal","abstract":"BACKGROUND: Vaccine hesitancy constitutes a major threat to the Global Polio Eradication Initiative (GPEI), and to further expansion of routine immunisation. Understanding hesitancy, leading in some cases to refusal, is vital to the success of GPEI. Re-emergence of circulating wild poliovirus in northern Nigeria in mid-2016, after 24months polio-free, gives urgency to this. But it is equally important to protect and sustain the global gains available through routine immunisation in a time of rising scepticism and potential rejection of specific vaccines or immunisation more generally.\nMETHODS AND FINDINGS: This study is based on a purposive sampling survey of 1653 households in high- and low-performing rural, semiurban and urban areas of three high-risk states of northern Nigeria in 2013-14 (Sokoto, Kano and Bauchi). The survey sought to understand factors at household and community level associated with propensity to refuse polio vaccine. Wealth, female education and knowledge of vaccines were associated with lower propensity to refuse oral polio vaccine (OPV) among rural households. But higher risk of refusal among wealthier, more literate urban household rendered these findings ambiguous. Ethnic and religious identity did not appear to be associated with risk of OPV refusal. Risk of vaccine refusal was highly clustered among households within a small sub-group of sampled settlements. Contrary to expectations, households in these settlements reported higher levels of expectation of government as service provider, but at the same time lesser confidence in the efficacy of their relations with government.\nCONCLUSIONS: Results suggest that strategies to address the micro-political dimension of vaccination - expanding community-level engagement, strengthening the role of local government in public health, and enhancing public participation of women - should be effective in reducing non-compliance, asan important set of strategies complementary to conventional didactic/educational approaches and working through religious and traditional 'influencers'.","container-title":"Vaccine","DOI":"10.1016/j.vaccine.2017.09.075","ISSN":"1873-2518","issue":"47","journalAbbreviation":"Vaccine","language":"eng","note":"PMID: 29031691","page":"6438-6443","source":"PubMed","title":"Understanding vaccine hesitancy in polio eradication in northern Nigeria","volume":"35","author":[{"family":"Taylor","given":"Sebastian"},{"family":"Khan","given":"Mahmud"},{"family":"Muhammad","given":"Ado"},{"family":"Akpala","given":"Okey"},{"family":"Strien","given":"Marit","non-dropping-particle":"van"},{"family":"Morry","given":"Chris"},{"family":"Feek","given":"Warren"},{"family":"Ogden","given":"Ellyn"}],"issued":{"date-parts":[["2017",11,7]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24</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came to the conclusion that religion had no bearing on OPV refusal.</w:t>
      </w:r>
    </w:p>
    <w:p w14:paraId="6236EBE5"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The most significant barriers among those evaluated were cost (mean = 3.09), misinformation (3.04), and cultural beliefs (3.02), which are consistent with previous fi</w:t>
      </w:r>
      <w:r w:rsidR="00F40054" w:rsidRPr="00EF2B7F">
        <w:rPr>
          <w:rFonts w:ascii="Times New Roman" w:eastAsia="Times New Roman" w:hAnsi="Times New Roman" w:cs="Times New Roman"/>
          <w:color w:val="000000" w:themeColor="text1"/>
        </w:rPr>
        <w:t>ndings by Afolabi and Ilesanmi</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{"citationID":"TZeF4t0w","properties":{"formattedCitation":"\\super 26\\nosupersub{}","plainCitation":"26","noteIndex":0},"citationItems":[{"id":970,"uris":["http://zotero.org/users/local/uZHmDmCk/items/PE7RLSRS"],"itemData":{"id":970,"type":"article-journal","abstract":"The outbreak of the novel coronavirus disease (COVID-19) has resulted in many cases of morbidity and mortality across the globe, and the lack of the COVID-19 vaccine has contributed greatly to this experience. COVID-19 vaccines have currently been ...","container-title":"The Pan African Medical Journal","DOI":"10.11604/pamj.2021.38.3.27401","language":"en","note":"PMID: 33520072","page":"3","source":"pmc.ncbi.nlm.nih.gov","title":"Dealing with vaccine hesitancy in Africa: the prospective COVID-19 vaccine context","title-short":"Dealing with vaccine hesitancy in Africa","volume":"38","author":[{"family":"Afolabi","given":"Aanuoluwapo Adeyimika"},{"family":"Ilesanmi","given":"Olayinka Stephen"}],"issued":{"date-parts":[["2021",1,5]]}}}],"schema":"https://github.com/citation-style-language/schema/raw/master/csl-citation.json"}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religious and traditional beliefs could have a negative impact on vaccine acceptance. Misinformation is a particularly prevalent barrier, as noted in the literatu</w:t>
      </w:r>
      <w:r w:rsidR="00F40054" w:rsidRPr="00EF2B7F">
        <w:rPr>
          <w:rFonts w:ascii="Times New Roman" w:eastAsia="Times New Roman" w:hAnsi="Times New Roman" w:cs="Times New Roman"/>
          <w:color w:val="000000" w:themeColor="text1"/>
        </w:rPr>
        <w:t xml:space="preserve">re (e.g., </w:t>
      </w:r>
      <w:proofErr w:type="spellStart"/>
      <w:r w:rsidR="00F40054" w:rsidRPr="00EF2B7F">
        <w:rPr>
          <w:rFonts w:ascii="Times New Roman" w:eastAsia="Times New Roman" w:hAnsi="Times New Roman" w:cs="Times New Roman"/>
          <w:color w:val="000000" w:themeColor="text1"/>
        </w:rPr>
        <w:t>Adigwe</w:t>
      </w:r>
      <w:proofErr w:type="spellEnd"/>
      <w:r w:rsidR="00F40054" w:rsidRPr="00EF2B7F">
        <w:rPr>
          <w:rFonts w:ascii="Times New Roman" w:eastAsia="Times New Roman" w:hAnsi="Times New Roman" w:cs="Times New Roman"/>
          <w:color w:val="000000" w:themeColor="text1"/>
        </w:rPr>
        <w:t xml:space="preserve"> and Onovbavba</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{"citationID":"MVD2cJzA","properties":{"formattedCitation":"\\super 23\\nosupersub{}","plainCitation":"23","noteIndex":0},"citationItems":[{"id":965,"uris":["http://zotero.org/users/local/uZHmDmCk/items/S8DK7BD5"],"itemData":{"id":965,"type":"article-journal","abstract":"BACKGROUND: With the recent approval of the malaria vaccine by the World Health Organization, it is expected that global acceptance and subsequent uptake of the intervention can help to reduce the burden of the disease in Africa. This study adopted a proactive approach in assessing parents' acceptance of the malaria vaccine, alongside their willingness to pay for the novel public health intervention.\nMETHODS: A national cross-sectional survey was undertaken in Nigeria using a questionnaire as the data collection instrument. The study tool was administered to parents of child-bearing age. Descriptive and inferential statistical analyses were performed using the Statistical Package for Social Sciences (SPSS) software version 25.\nRESULTS: A total of 1413 valid responses were received with male (49.5%) and female (50.5%) participants represented by similar proportions. Close to two-thirds (62.5%) of the participants were between the ages of 31 and 40 years, and 47.4% of the participants were educated up to national diploma level. More than two-thirds (69.6%) of the participants indicated that they were worried about side effects that may be associated with the malaria vaccine. A strong majority (90%) of the participants indicated that the vaccine should be administered at no cost to citizens, while 46.7% of the respondents were willing to pay for the malaria vaccination. Levels of education attained by the respondents influenced their willingness to pay for malaria vaccination. This variable also underpinned participants'  reasons for non-acceptance of the vaccine. Those who attained only primary and secondary levels of education were significantly more likely to reject the malaria vaccine because they were against vaccines in general (AOR = 6.63; 95% CI = 1.33 - 39.25; p = 0.021).\nCONCLUSION: This study provides critical novel insights which could influence vaccination efforts aimed at reducing the burden of malaria in Nigeria, as well as similar settings.","container-title":"Malaria Journal","DOI":"10.1186/s12936-025-05268-y","ISSN":"1475-2875","issue":"1","journalAbbreviation":"Malar J","language":"eng","note":"PMID: 39915774\nPMCID: PMC11803972","page":"36","source":"PubMed","title":"Acceptance and affordability of malaria vaccines: issues relating to hesitancy and willingness to pay amongst Nigerian parents of under-five children","title-short":"Acceptance and affordability of malaria vaccines","volume":"24","author":[{"family":"Adigwe","given":"Obi Peter"},{"family":"Onavbavba","given":"Godspower"}],"issued":{"date-parts":[["2025",2,7]]}}}],"schema":"https://github.com/citation-style-language/schema/raw/master/csl-citation.json"}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and the current study, underscoring the need for focused health education campaigns.</w:t>
      </w:r>
    </w:p>
    <w:p w14:paraId="7004AA79"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In this study, no meaningful correlations between knowledge levels and sociodemographic factors were discovered. This stands in contrast</w:t>
      </w:r>
      <w:r w:rsidR="00F40054" w:rsidRPr="00EF2B7F">
        <w:rPr>
          <w:rFonts w:ascii="Times New Roman" w:eastAsia="Times New Roman" w:hAnsi="Times New Roman" w:cs="Times New Roman"/>
          <w:color w:val="000000" w:themeColor="text1"/>
        </w:rPr>
        <w:t xml:space="preserve"> to research by Ajayi and Emeto</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{"citationID":"pj00KLL8","properties":{"formattedCitation":"\\super 12\\nosupersub{}","plainCitation":"12","noteIndex":0},"citationItems":[{"id":927,"uris":["http://zotero.org/users/local/uZHmDmCk/items/CZRS5C2W"],"itemData":{"id":927,"type":"article-journal","abstract":"BACKGROUND: Malaria vaccine, RTS, S/AS01, has demonstrated modest efficacy against malaria and holds promises for children living in areas where malaria transmission is high. This study assessed caregivers' awareness and willingness to accept the vaccine and provided vital information for policymakers, health workers, and social mobilizers on critical areas to focus on promoting the new vaccine uptake before its arrival for use in Nigeria.\nMETHODS: The study was a community-based cross-sectional survey. A multistage sampling technique was used to select four states in Northern Nigeria, where the incidence and prevalence of malaria are highest in the country and 504 caregivers of under-five children were interviewed. A semi-structured interviewer-administered questionnaire was used and data analysis was done with p-value at 0.05.\nRESULTS: Two hundred and three (40.3%) respondents were aware of malaria vaccine while four hundred and sixty-three (91.9%) were willing to accept the vaccine when it is introduced for use in the country. Level of education (AOR; 0.42; CI 0.23-0.78), employment status (AOR; 3.03; CI 1.82-5.03), previous experience of other childhood vaccinations (AOR; 4.87; CI 2.89-8.20), and caregivers having suffered malaria within the last one year (AOR; 1.85; CI 1.10 -3.13) significantly predicted malaria vaccine awareness. Awareness of the new malaria vaccine (AOR = 6.88; 95% CI 1.53-30.99), and previous experience of other childhood vaccinations (AOR = 6.16; 95% CI 2.54-14.94) were significant predictors of the vaccine acceptability.\nCONCLUSION: Caregiver's awareness of the new malaria vaccine was inadequate. There is a need to intensify efforts on social and behavioural communication change activities tailoring messages on the vaccine to address uptake hesitancy. Also, an intense community engagement with focus on providing information on the safety of the vaccine is encouraged.","container-title":"Malaria Journal","DOI":"10.1186/s12936-023-04768-z","ISSN":"1475-2875","issue":"1","journalAbbreviation":"Malar J","language":"eng","note":"PMID: 37907916\nPMCID: PMC10619215","page":"329","source":"PubMed","title":"Awareness and acceptability of malaria vaccine among caregivers of under-5 children in Northern Nigeria","volume":"22","author":[{"family":"Ajayi","given":"Mary Yetunde"},{"family":"Emeto","given":"Daniel Chukwuyere"}],"issued":{"date-parts":[["2023",10,31]]}}}],"schema":"https://github.com/citation-style-language/schema/raw/master/csl-citation.json"}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12</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and </w:t>
      </w:r>
      <w:proofErr w:type="spellStart"/>
      <w:r w:rsidR="00F40054" w:rsidRPr="00EF2B7F">
        <w:rPr>
          <w:rFonts w:ascii="Times New Roman" w:eastAsia="Times New Roman" w:hAnsi="Times New Roman" w:cs="Times New Roman"/>
          <w:color w:val="000000" w:themeColor="text1"/>
        </w:rPr>
        <w:t>Ojakaa</w:t>
      </w:r>
      <w:proofErr w:type="spellEnd"/>
      <w:r w:rsidR="00F40054" w:rsidRPr="00EF2B7F">
        <w:rPr>
          <w:rFonts w:ascii="Times New Roman" w:eastAsia="Times New Roman" w:hAnsi="Times New Roman" w:cs="Times New Roman"/>
          <w:color w:val="000000" w:themeColor="text1"/>
        </w:rPr>
        <w:t xml:space="preserve"> et al.</w:t>
      </w:r>
      <w:r w:rsidRPr="00EF2B7F">
        <w:rPr>
          <w:rFonts w:ascii="Times New Roman" w:eastAsia="Times New Roman" w:hAnsi="Times New Roman" w:cs="Times New Roman"/>
          <w:color w:val="000000" w:themeColor="text1"/>
        </w:rPr>
        <w:t>,</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{"citationID":"2t1Qy4Yg","properties":{"formattedCitation":"\\super 13\\nosupersub{}","plainCitation":"13","noteIndex":0},"citationItems":[{"id":931,"uris":["http://zotero.org/users/local/uZHmDmCk/items/JFVKAQQ4"],"itemData":{"id":931,"type":"article-journal","abstract":"Several malaria vaccines are currently in clinical trials and are expected to provide an improved strategy for malaria control. Prior to introduction of a new vaccine, policymakers must consider the socio cultural environment of the region to ensure widespread community approval. This study investigated the acceptance of a malaria vaccine by child caregivers and analysed factors that influence these.","container-title":"Malaria Journal","DOI":"10.1186/1475-2875-13-172","ISSN":"1475-2875","issue":"1","journalAbbreviation":"Malaria Journal","page":"172","source":"BioMed Central","title":"Acceptance of a malaria vaccine by caregivers of sick children in Kenya","volume":"13","author":[{"family":"Ojakaa","given":"David I."},{"family":"Jarvis","given":"Jordan D."},{"family":"Matilu","given":"Mary I."},{"family":"Thiam","given":"Sylla"}],"issued":{"date-parts":[["2014",5,5]]}}}],"schema":"https://github.com/citation-style-language/schema/raw/master/csl-citation.json"}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13</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who found that vaccination awareness was positively correlated with both education level and employment position. Given that the majority of the study's participants were educated, urban-dwelling women, the sample may have been rather homogeneous, which could have obscured disparities that would otherwise be more noticeable in a population with a wider range of socioeconomic backgrounds.</w:t>
      </w:r>
    </w:p>
    <w:p w14:paraId="7E0CCE9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Although none of the sociodemographic factors were substantially associated with willingness in this investigation, earlier studies have shown otherwise. Younger age and higher wealth were found to predict increased willingness by both </w:t>
      </w:r>
      <w:proofErr w:type="spellStart"/>
      <w:r w:rsidRPr="00EF2B7F">
        <w:rPr>
          <w:rFonts w:ascii="Times New Roman" w:eastAsia="Times New Roman" w:hAnsi="Times New Roman" w:cs="Times New Roman"/>
          <w:color w:val="000000" w:themeColor="text1"/>
        </w:rPr>
        <w:t>Nyalundja</w:t>
      </w:r>
      <w:proofErr w:type="spellEnd"/>
      <w:r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{"citationID":"93F0tKpp","properties":{"formattedCitation":"\\super 20\\nosupersub{}","plainCitation":"20","noteIndex":0},"citationItems":[{"id":953,"uris":["http://zotero.org/users/local/uZHmDmCk/items/LLQZ7R9E"],"itemData":{"id":953,"type":"article-journal","abstract":"Two novel vaccines against malaria are proposed as a complementary control tool to prevent and reduce &lt;i&gt;Plasmodium falciparum&lt;/i&gt; related disease and death in under-five children from moderate to high malaria transmission regions. The Democratic Republic of Congo (DRC) has committed to eradicate ma …","container-title":"Vaccines","DOI":"10.3390/vaccines12040380","ISSN":"2076-393X","issue":"4","language":"en","note":"publisher: Vaccines (Basel)\nPMID: 38675762","source":"pubmed.ncbi.nlm.nih.gov","title":"Socio-Demographic Factors Influencing Malaria Vaccine Acceptance for Under-Five Children in a Malaria-Endemic Region: A Community-Based Study in the Democratic Republic of Congo","title-short":"Socio-Demographic Factors Influencing Malaria Vaccine Acceptance for Under-Five Children in a Malaria-Endemic Region","URL":"https://pubmed.ncbi.nlm.nih.gov/38675762/","volume":"12","author":[{"family":"Ad","given":"Nyalundja"},{"family":"Pm","given":"Bugeme"},{"family":"As","given":"Guillaume"},{"family":"Ab","given":"Ntaboba"},{"family":"Vu","given":"Hatu'm"},{"family":"Jl","given":"Tamuzi"},{"family":"D","given":"Ndwandwe"},{"family":"C","given":"Iwu-Jaja"},{"family":"Cs","given":"Wiysonge"},{"family":"Pdmc","given":"Katoto"}],"accessed":{"date-parts":[["2025",5,18]]},"issued":{"date-parts":[["2024",4,2]]}}}],"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20</w:t>
      </w:r>
      <w:r w:rsidR="00F40054" w:rsidRPr="00EF2B7F">
        <w:rPr>
          <w:rFonts w:ascii="Times New Roman" w:eastAsia="Times New Roman" w:hAnsi="Times New Roman" w:cs="Times New Roman"/>
          <w:color w:val="000000" w:themeColor="text1"/>
        </w:rPr>
        <w:fldChar w:fldCharType="end"/>
      </w:r>
      <w:r w:rsidR="00F40054" w:rsidRPr="00EF2B7F">
        <w:rPr>
          <w:rFonts w:ascii="Times New Roman" w:eastAsia="Times New Roman" w:hAnsi="Times New Roman" w:cs="Times New Roman"/>
          <w:color w:val="000000" w:themeColor="text1"/>
        </w:rPr>
        <w:t xml:space="preserve"> and </w:t>
      </w:r>
      <w:proofErr w:type="spellStart"/>
      <w:r w:rsidR="00F40054" w:rsidRPr="00EF2B7F">
        <w:rPr>
          <w:rFonts w:ascii="Times New Roman" w:eastAsia="Times New Roman" w:hAnsi="Times New Roman" w:cs="Times New Roman"/>
          <w:color w:val="000000" w:themeColor="text1"/>
        </w:rPr>
        <w:t>Alagbe</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{"citationID":"oUCDvv7R","properties":{"formattedCitation":"\\super 16\\nosupersub{}","plainCitation":"16","noteIndex":0},"citationItems":[{"id":943,"uris":["http://zotero.org/users/local/uZHmDmCk/items/QQ96VNN8"],"itemData":{"id":943,"type":"article-journal","abstract":"OBJECTIVE: This study aimed to assess mothers' awareness, perceptions and willingness to accept malaria vaccines for their children under 5 years old in a city in Northcentral Nigeria.\nDESIGN: The research employed a hospital-based cross-sectional observational study design to gather and analyse relevant data.\nSETTING: The study was conducted at the immunisation clinic of a tertiary health centre in Northcentral Nigeria.\nPARTICIPANTS: A total of 376 women of reproductive age (15-49 years) participated in the study. All participants resided in the study area and had children aged 0-5 years.\nMAIN OUTCOME MEASURES: The study evaluated mothers' awareness of the malaria vaccine, their perceptions about its use and their willingness to vaccinate their children under 5 years of age.\nRESULTS: Awareness of the malaria vaccine was low, with only 89 mothers (23.7%) reporting prior knowledge of it. Despite this, an overwhelming 366 participants (97.3%) expressed willingness to vaccinate their children and 352 (93.6%) were willing to pay for the vaccine. Concerns about injection site reactions, fever and pain were common, with 126 mothers (33.6%) preferring an oral vaccine. Positive perception significantly influenced willingness to vaccinate (χ²=5.987, p=0.014). Additionally, age, marital status, educational level and income were significantly associated with willingness to vaccinate (p=0.002, 0.025, 0.015, 0.026, respectively). At the multivariate level, younger maternal age (OR=1.179, p=0.011) and higher income (OR=1.040, p=0.049) emerged as direct predictors of vaccine acceptance.\nCONCLUSIONS: While awareness of malaria vaccines among mothers was limited, there was a strong willingness to vaccinate, influenced by positive perceptions, younger maternal age and higher income. The findings highlight the importance of targeted educational campaigns to improve awareness and acceptance of malaria vaccines. Future studies should explore interventions to enhance vaccine acceptance and address potential barriers to vaccine awareness.","container-title":"BMJ open","DOI":"10.1136/bmjopen-2024-091739","ISSN":"2044-6055","issue":"3","journalAbbreviation":"BMJ Open","language":"eng","note":"PMID: 40132837\nPMCID: PMC11938232","page":"e091739","source":"PubMed","title":"Awareness, perceptions and willingness to accept malaria vaccine for children under age 5 among mothers in Northcentral Nigeria: a cross-sectional study","title-short":"Awareness, perceptions and willingness to accept malaria vaccine for children under age 5 among mothers in Northcentral Nigeria","volume":"15","author":[{"family":"Alagbe","given":"Oludare Oladayo"},{"family":"Iliya","given":"Rahamatu Shamsiyyah"},{"family":"Rotimi","given":"Bosede"},{"family":"Solomon","given":"Amos"}],"issued":{"date-parts":[["2025",3,25]]}}}],"schema":"https://github.com/citation-style-language/schema/raw/master/csl-citation.json"}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16</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w:t>
      </w:r>
      <w:r w:rsidR="00F40054" w:rsidRPr="00EF2B7F">
        <w:rPr>
          <w:rFonts w:ascii="Times New Roman" w:eastAsia="Times New Roman" w:hAnsi="Times New Roman" w:cs="Times New Roman"/>
          <w:color w:val="000000" w:themeColor="text1"/>
        </w:rPr>
        <w:t xml:space="preserve">In a similar vein, </w:t>
      </w:r>
      <w:proofErr w:type="spellStart"/>
      <w:r w:rsidR="00F40054" w:rsidRPr="00EF2B7F">
        <w:rPr>
          <w:rFonts w:ascii="Times New Roman" w:eastAsia="Times New Roman" w:hAnsi="Times New Roman" w:cs="Times New Roman"/>
          <w:color w:val="000000" w:themeColor="text1"/>
        </w:rPr>
        <w:t>Röbl</w:t>
      </w:r>
      <w:proofErr w:type="spellEnd"/>
      <w:r w:rsidR="00F40054" w:rsidRPr="00EF2B7F">
        <w:rPr>
          <w:rFonts w:ascii="Times New Roman" w:eastAsia="Times New Roman" w:hAnsi="Times New Roman" w:cs="Times New Roman"/>
          <w:color w:val="000000" w:themeColor="text1"/>
        </w:rPr>
        <w:t xml:space="preserve"> et al.</w:t>
      </w:r>
      <w:r w:rsidR="00F40054" w:rsidRPr="00EF2B7F">
        <w:rPr>
          <w:rFonts w:ascii="Times New Roman" w:eastAsia="Times New Roman" w:hAnsi="Times New Roman" w:cs="Times New Roman"/>
          <w:color w:val="000000" w:themeColor="text1"/>
        </w:rPr>
        <w:fldChar w:fldCharType="begin"/>
      </w:r>
      <w:r w:rsidR="00F40054" w:rsidRPr="00EF2B7F">
        <w:rPr>
          <w:rFonts w:ascii="Times New Roman" w:eastAsia="Times New Roman" w:hAnsi="Times New Roman" w:cs="Times New Roman"/>
          <w:color w:val="000000" w:themeColor="text1"/>
        </w:rPr>
        <w:instrText xml:space="preserve"> ADDIN ZOTERO_ITEM CSL_CITATION {"citationID":"g0LDakOZ","properties":{"formattedCitation":"\\super 21\\nosupersub{}","plainCitation":"21","noteIndex":0},"citationItems":[{"id":957,"uris":["http://zotero.org/users/local/uZHmDmCk/items/MFZSE534"],"itemData":{"id":957,"type":"article-journal","abstract":"Malaria is a leading cause of death and reduced life span in Guinea and Sierra Leone, where plans for rolling out the malaria vaccine for children are being made. There is little evidence about caregiver acceptance rates to guide roll-out policies. To inform future vaccine implementation planning, this analysis aimed to assess potential malaria vaccine acceptance by caregivers and identify factors associated with acceptance in Guinea and Sierra Leone.","container-title":"Malaria Journal","DOI":"10.1186/s12936-023-04783-0","ISSN":"1475-2875","issue":"1","journalAbbreviation":"Malaria Journal","page":"355","source":"BioMed Central","title":"Caregiver acceptance of malaria vaccination for children under 5 years of age and associated factors: cross-sectional household survey, Guinea and Sierra Leone, 2022","title-short":"Caregiver acceptance of malaria vaccination for children under 5 years of age and associated factors","volume":"22","author":[{"family":"Röbl","given":"Klara"},{"family":"Fischer","given":"Hanna-Tina"},{"family":"Delamou","given":"Alexandre"},{"family":"Mbawah","given":"Abdul Karim"},{"family":"Geurts","given":"Brogan"},{"family":"Feddern","given":"Lukas"},{"family":"Baldé","given":"Habibata"},{"family":"Kaba","given":"Ibrahima"},{"family":"Pozo-Martin","given":"Francisco"},{"family":"Weishaar","given":"Heide"},{"family":"Menelik-Obbarius","given":"Sara"},{"family":"Burger","given":"Gerrit"},{"family":"Diaconu","given":"Viorela"},{"family":"Dörre","given":"Achim"},{"family":"El Bcheraoui","given":"Charbel"}],"issued":{"date-parts":[["2023",11,20]]}}}],"schema":"https://github.com/citation-style-language/schema/raw/master/csl-citation.json"} </w:instrText>
      </w:r>
      <w:r w:rsidR="00F40054" w:rsidRPr="00EF2B7F">
        <w:rPr>
          <w:rFonts w:ascii="Times New Roman" w:eastAsia="Times New Roman" w:hAnsi="Times New Roman" w:cs="Times New Roman"/>
          <w:color w:val="000000" w:themeColor="text1"/>
        </w:rPr>
        <w:fldChar w:fldCharType="separate"/>
      </w:r>
      <w:r w:rsidR="00F40054" w:rsidRPr="00EF2B7F">
        <w:rPr>
          <w:rFonts w:ascii="Times New Roman" w:hAnsi="Times New Roman" w:cs="Times New Roman"/>
          <w:color w:val="000000" w:themeColor="text1"/>
          <w:vertAlign w:val="superscript"/>
        </w:rPr>
        <w:t>21</w:t>
      </w:r>
      <w:r w:rsidR="00F40054" w:rsidRPr="00EF2B7F">
        <w:rPr>
          <w:rFonts w:ascii="Times New Roman" w:eastAsia="Times New Roman" w:hAnsi="Times New Roman" w:cs="Times New Roman"/>
          <w:color w:val="000000" w:themeColor="text1"/>
        </w:rPr>
        <w:fldChar w:fldCharType="end"/>
      </w:r>
      <w:r w:rsidRPr="00EF2B7F">
        <w:rPr>
          <w:rFonts w:ascii="Times New Roman" w:eastAsia="Times New Roman" w:hAnsi="Times New Roman" w:cs="Times New Roman"/>
          <w:color w:val="000000" w:themeColor="text1"/>
        </w:rPr>
        <w:t xml:space="preserve"> discovered a correlation between acceptance and higher education levels. Again, the absence of significant connections in this study could be the result of a ceiling effect caused by the high willingness across the board or sample homogeneity.</w:t>
      </w:r>
    </w:p>
    <w:p w14:paraId="4C5DEFE3"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lastRenderedPageBreak/>
        <w:t>Overall, the outcomes of this study show better levels of malaria vaccination awareness and willingness than most of the literature evaluated. These favorable results were probably influenced by the tertiary healthcare center setting, the majority of urban and educated caregivers, and trust in healthcare systems. Reluctance to take part in vaccine studies, persisting disinformation, and knowledge gaps about particular vaccines (such RTS and S) are still concerns that need to be addressed. To achieve widespread and long-term uptake of the malaria vaccine, interventions aimed at closing these gaps will be essential, particularly when conducted through reliable sources like the media and medical professionals.</w:t>
      </w:r>
    </w:p>
    <w:p w14:paraId="4AC8B580" w14:textId="77777777" w:rsidR="00E12BE2" w:rsidRPr="00EF2B7F" w:rsidRDefault="00E12BE2" w:rsidP="00A141F3">
      <w:pPr>
        <w:spacing w:line="276" w:lineRule="auto"/>
        <w:jc w:val="both"/>
        <w:rPr>
          <w:rFonts w:ascii="Times New Roman" w:hAnsi="Times New Roman" w:cs="Times New Roman"/>
          <w:color w:val="000000" w:themeColor="text1"/>
        </w:rPr>
      </w:pPr>
    </w:p>
    <w:p w14:paraId="10E7C7C5" w14:textId="77777777" w:rsidR="00F40054" w:rsidRPr="00EF2B7F" w:rsidRDefault="00F40054" w:rsidP="00A141F3">
      <w:pPr>
        <w:spacing w:line="276" w:lineRule="auto"/>
        <w:jc w:val="both"/>
        <w:rPr>
          <w:rFonts w:ascii="Times New Roman" w:hAnsi="Times New Roman" w:cs="Times New Roman"/>
          <w:b/>
          <w:color w:val="000000" w:themeColor="text1"/>
        </w:rPr>
      </w:pPr>
    </w:p>
    <w:p w14:paraId="26E782FF" w14:textId="77777777" w:rsidR="00F40054" w:rsidRPr="00EF2B7F" w:rsidRDefault="00F40054" w:rsidP="00A141F3">
      <w:pPr>
        <w:spacing w:line="276" w:lineRule="auto"/>
        <w:jc w:val="both"/>
        <w:rPr>
          <w:rFonts w:ascii="Times New Roman" w:hAnsi="Times New Roman" w:cs="Times New Roman"/>
          <w:b/>
          <w:color w:val="000000" w:themeColor="text1"/>
        </w:rPr>
      </w:pPr>
      <w:r w:rsidRPr="00EF2B7F">
        <w:rPr>
          <w:rFonts w:ascii="Times New Roman" w:hAnsi="Times New Roman" w:cs="Times New Roman"/>
          <w:b/>
          <w:color w:val="000000" w:themeColor="text1"/>
        </w:rPr>
        <w:t>4.3 CONCLUSION</w:t>
      </w:r>
    </w:p>
    <w:p w14:paraId="1A992D7B"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This study evaluated caregivers of children under five at the Institute of Child Health, University of Nigeria Teaching Hospital (UNTH), Enugu, about their knowledge, willingness, and obstacles regarding the uptake of the malaria vaccine. The results demonstrated that respondents had a high degree of general awareness about malaria and a comparatively high level of awareness of the malaria vaccine. The majority of caregivers showed a solid understanding of the function of the malaria vaccine and the way it helps prevent malaria. But there were still certain knowledge gaps, especially with regard to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 and the ideal age to administer it, indicating the need for more focused educational initiatives.</w:t>
      </w:r>
    </w:p>
    <w:p w14:paraId="01728E0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Given that 96% of respondents had a favorable view regarding vaccination their children against malaria, willingness to accept the vaccine was determined to be exceptionally high. Indicating widespread community readiness for vaccine deployment, the majority were also eager to spend money on immunization and to persuade others to become involved. These acceptance levels support the importance of institutional health settings in promoting healthy behaviors and are in line with results from facility-based research conducted throughout Africa, especially in Nigeria. However, reluctance to take part in vaccine studies and mild safety concerns point to areas that require greater transparency and community involvement.</w:t>
      </w:r>
    </w:p>
    <w:p w14:paraId="22C004FA"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Although a number of potential obstacles to the adoption of the malaria vaccine were investigated, just a few—cost, disinformation, and cultural beliefs—came to light as serious issues. This study population did not strongly approve other barriers that are frequently mentioned in the literature, such as fear of side effects and religious views. Strong faith in the healthcare system and religious tolerance in the area may be the reasons for these characteristics' comparatively modest impact in the current study. However, maintaining high vaccination acceptance rates and guaranteeing fair access for all socioeconomic groups still depend on clearing up inaccurate information and enhancing affordability.</w:t>
      </w:r>
    </w:p>
    <w:p w14:paraId="3B8BC184"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According to the study's findings, parents in a tertiary healthcare setting are prepared to vaccinate their children against malaria, but it also highlights important information gaps and </w:t>
      </w:r>
      <w:r w:rsidRPr="00EF2B7F">
        <w:rPr>
          <w:rFonts w:ascii="Times New Roman" w:eastAsia="Times New Roman" w:hAnsi="Times New Roman" w:cs="Times New Roman"/>
          <w:color w:val="000000" w:themeColor="text1"/>
        </w:rPr>
        <w:lastRenderedPageBreak/>
        <w:t>persistent sociocultural issues. Enhancing public education, bolstering confidence in health institutions, and addressing informational and financial obstacles are all critical to the successful deployment of the malaria vaccine, particularly as it gets ready for its WHO-backed launch in Nigeria. Policymakers, health educators, and program designers aiming to eradicate malaria through vaccination techniques can learn a lot from these findings.</w:t>
      </w:r>
    </w:p>
    <w:p w14:paraId="7B8BA9FF" w14:textId="77777777" w:rsidR="00E12BE2" w:rsidRPr="00EF2B7F" w:rsidRDefault="00E12BE2" w:rsidP="00A141F3">
      <w:pPr>
        <w:spacing w:line="276" w:lineRule="auto"/>
        <w:jc w:val="both"/>
        <w:rPr>
          <w:rFonts w:ascii="Times New Roman" w:hAnsi="Times New Roman" w:cs="Times New Roman"/>
          <w:color w:val="000000" w:themeColor="text1"/>
        </w:rPr>
      </w:pPr>
    </w:p>
    <w:p w14:paraId="38059745" w14:textId="77777777" w:rsidR="00F40054" w:rsidRPr="00EF2B7F" w:rsidRDefault="00F40054" w:rsidP="00A141F3">
      <w:pPr>
        <w:spacing w:line="276" w:lineRule="auto"/>
        <w:jc w:val="both"/>
        <w:rPr>
          <w:rFonts w:ascii="Times New Roman" w:hAnsi="Times New Roman" w:cs="Times New Roman"/>
          <w:color w:val="000000" w:themeColor="text1"/>
        </w:rPr>
      </w:pPr>
    </w:p>
    <w:p w14:paraId="498900D1" w14:textId="77777777" w:rsidR="00E12BE2" w:rsidRPr="00EF2B7F" w:rsidRDefault="00F40054" w:rsidP="00A141F3">
      <w:pPr>
        <w:pStyle w:val="Heading3"/>
        <w:spacing w:after="160" w:line="276" w:lineRule="auto"/>
        <w:jc w:val="both"/>
        <w:rPr>
          <w:rFonts w:ascii="Times New Roman" w:hAnsi="Times New Roman" w:cs="Times New Roman"/>
          <w:color w:val="000000" w:themeColor="text1"/>
        </w:rPr>
      </w:pPr>
      <w:r w:rsidRPr="00EF2B7F">
        <w:rPr>
          <w:rStyle w:val="Strong"/>
          <w:rFonts w:ascii="Times New Roman" w:hAnsi="Times New Roman" w:cs="Times New Roman"/>
          <w:bCs w:val="0"/>
          <w:color w:val="000000" w:themeColor="text1"/>
        </w:rPr>
        <w:t>4.4 RECOMMENDATIONS</w:t>
      </w:r>
    </w:p>
    <w:p w14:paraId="27F12818"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Based on the findings of this study, the following recommendations are made to promote knowledge, acceptance, and adoption of the malaria vaccination among caregivers, particularly as Nigeria prepares for the countrywide rollout of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w:t>
      </w:r>
    </w:p>
    <w:p w14:paraId="699BF636" w14:textId="77777777" w:rsidR="00E12BE2" w:rsidRPr="00EF2B7F" w:rsidRDefault="00E12BE2" w:rsidP="00A141F3">
      <w:pPr>
        <w:spacing w:line="276" w:lineRule="auto"/>
        <w:jc w:val="both"/>
        <w:rPr>
          <w:rFonts w:ascii="Times New Roman" w:hAnsi="Times New Roman" w:cs="Times New Roman"/>
          <w:color w:val="000000" w:themeColor="text1"/>
        </w:rPr>
      </w:pPr>
    </w:p>
    <w:p w14:paraId="1F415920"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Boost Campaigns for Public Health Education and Awareness </w:t>
      </w:r>
    </w:p>
    <w:p w14:paraId="2904DC7F"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In particular,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vaccine's purpose, safety, effectiveness, and recommended age of administration should be covered in more detail in public health campaigns that emphasize malaria vaccine education. Even with widespread awareness, there are still large gaps in some knowledge. To prevent misconceptions, health promotion campaigns should incorporate culturally relevant, simplified messaging that explains the advantages and limits of the malaria vaccination. </w:t>
      </w:r>
      <w:r w:rsidRPr="00EF2B7F">
        <w:rPr>
          <w:rFonts w:ascii="Times New Roman" w:eastAsia="Times New Roman" w:hAnsi="Times New Roman" w:cs="Times New Roman"/>
          <w:color w:val="000000" w:themeColor="text1"/>
        </w:rPr>
        <w:br/>
        <w:t>According to this study, the most efficient information sources for health education are community outreach initiatives, hospitals, health professionals, and media. It may also be possible to reach caregivers early and often by incorporating these messages into prenatal and vaccination clinic visits.</w:t>
      </w:r>
    </w:p>
    <w:p w14:paraId="3A8BACA2"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Address Cultural Illusions and Misinformation </w:t>
      </w:r>
    </w:p>
    <w:p w14:paraId="1B6A9B0B"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Through community discussions and stakeholder participation, health officials must aggressively address rumors, misconceptions, and vaccination reluctance, as disinformation and cultural beliefs were found to be major obstacles to vaccine uptake. Involving traditional influencers, religious leaders, and community leaders in sensitization campaigns can help dispel misconceptions and foster trust, especially among conservative and rural groups. </w:t>
      </w:r>
      <w:r w:rsidRPr="00EF2B7F">
        <w:rPr>
          <w:rFonts w:ascii="Times New Roman" w:eastAsia="Times New Roman" w:hAnsi="Times New Roman" w:cs="Times New Roman"/>
          <w:color w:val="000000" w:themeColor="text1"/>
        </w:rPr>
        <w:br/>
        <w:t xml:space="preserve">Creating focused communication plans with the use of regional languages and early adopters' testimonies could also aid in clearing up misconceptions and anxieties. These campaigns should specifically highlight the </w:t>
      </w:r>
      <w:proofErr w:type="gramStart"/>
      <w:r w:rsidRPr="00EF2B7F">
        <w:rPr>
          <w:rFonts w:ascii="Times New Roman" w:eastAsia="Times New Roman" w:hAnsi="Times New Roman" w:cs="Times New Roman"/>
          <w:color w:val="000000" w:themeColor="text1"/>
        </w:rPr>
        <w:t>RTS,S</w:t>
      </w:r>
      <w:proofErr w:type="gramEnd"/>
      <w:r w:rsidRPr="00EF2B7F">
        <w:rPr>
          <w:rFonts w:ascii="Times New Roman" w:eastAsia="Times New Roman" w:hAnsi="Times New Roman" w:cs="Times New Roman"/>
          <w:color w:val="000000" w:themeColor="text1"/>
        </w:rPr>
        <w:t xml:space="preserve"> vaccine's safety and make it clear that it is a supplement to other malaria prevention measures rather than a replacement for them.</w:t>
      </w:r>
    </w:p>
    <w:p w14:paraId="63CAC6D1" w14:textId="77777777" w:rsidR="00E12BE2" w:rsidRPr="00EF2B7F" w:rsidRDefault="00E12BE2" w:rsidP="00A141F3">
      <w:pPr>
        <w:pStyle w:val="Heading4"/>
        <w:spacing w:after="160" w:line="276" w:lineRule="auto"/>
        <w:jc w:val="both"/>
        <w:rPr>
          <w:rStyle w:val="Strong"/>
          <w:rFonts w:ascii="Times New Roman" w:hAnsi="Times New Roman" w:cs="Times New Roman"/>
          <w:b w:val="0"/>
          <w:bCs w:val="0"/>
          <w:i w:val="0"/>
          <w:color w:val="000000" w:themeColor="text1"/>
          <w:sz w:val="24"/>
          <w:szCs w:val="24"/>
        </w:rPr>
      </w:pPr>
    </w:p>
    <w:p w14:paraId="753A2740"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b/>
          <w:color w:val="000000" w:themeColor="text1"/>
        </w:rPr>
        <w:t xml:space="preserve">Increase the affordability and accessibility of vaccines </w:t>
      </w:r>
    </w:p>
    <w:p w14:paraId="5300AE98" w14:textId="77777777" w:rsidR="00E12BE2" w:rsidRPr="00EF2B7F" w:rsidRDefault="00E12BE2" w:rsidP="00A141F3">
      <w:pPr>
        <w:spacing w:line="276" w:lineRule="auto"/>
        <w:jc w:val="both"/>
        <w:rPr>
          <w:rFonts w:ascii="Times New Roman" w:hAnsi="Times New Roman" w:cs="Times New Roman"/>
          <w:color w:val="000000" w:themeColor="text1"/>
        </w:rPr>
      </w:pPr>
      <w:r w:rsidRPr="00EF2B7F">
        <w:rPr>
          <w:rFonts w:ascii="Times New Roman" w:eastAsia="Times New Roman" w:hAnsi="Times New Roman" w:cs="Times New Roman"/>
          <w:color w:val="000000" w:themeColor="text1"/>
        </w:rPr>
        <w:lastRenderedPageBreak/>
        <w:t xml:space="preserve">The cost of the malaria vaccine was shown to be a major deterrent. To enhance fairness in vaccination access, the government should consider financing or fully integrating the malaria vaccine into the National Program on Immunization (NPI), as supported by over 70% of the survey participants. It will help guarantee that children from low-income households are not excluded if the vaccine is made freely available through primary healthcare centers. </w:t>
      </w:r>
      <w:r w:rsidRPr="00EF2B7F">
        <w:rPr>
          <w:rFonts w:ascii="Times New Roman" w:eastAsia="Times New Roman" w:hAnsi="Times New Roman" w:cs="Times New Roman"/>
          <w:color w:val="000000" w:themeColor="text1"/>
        </w:rPr>
        <w:br/>
        <w:t xml:space="preserve">A sufficient supply and distribution of the vaccine, particularly to underprivileged rural communities, should also be guaranteed by logistical planning. Healthcare personnel must be properly trained in vaccination delivery, storage, and community outreach as part of a gradual deployment. </w:t>
      </w:r>
      <w:r w:rsidRPr="00EF2B7F">
        <w:rPr>
          <w:rFonts w:ascii="Times New Roman" w:eastAsia="Times New Roman" w:hAnsi="Times New Roman" w:cs="Times New Roman"/>
          <w:color w:val="000000" w:themeColor="text1"/>
        </w:rPr>
        <w:br/>
      </w:r>
    </w:p>
    <w:p w14:paraId="5C36F03B"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 xml:space="preserve">Encourage Participation in Research and Community Engagement </w:t>
      </w:r>
    </w:p>
    <w:p w14:paraId="42AB00AB" w14:textId="77777777" w:rsidR="00E12BE2" w:rsidRPr="00EF2B7F" w:rsidRDefault="00E12BE2" w:rsidP="00F40054">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 xml:space="preserve">The low percentage of respondents (27.1%) who are prepared to let kids take part in vaccine trials points to a persistent fear or mistrust of medical research. Future vaccine-related research and pilot projects should address this by include caregivers early in the design phase through feedback sessions, community advisory boards, and open communication. </w:t>
      </w:r>
      <w:r w:rsidRPr="00EF2B7F">
        <w:rPr>
          <w:rFonts w:ascii="Times New Roman" w:eastAsia="Times New Roman" w:hAnsi="Times New Roman" w:cs="Times New Roman"/>
          <w:color w:val="000000" w:themeColor="text1"/>
        </w:rPr>
        <w:br/>
        <w:t>Future study participation may progressively rise as a result of enhancing research literacy and emphasizing the value of clinical trials in enhancing public health outcomes. Providing safety guarantees, informed consent, and ethical standards can all help to boost caregiver confidence.</w:t>
      </w:r>
    </w:p>
    <w:p w14:paraId="354575EA" w14:textId="77777777" w:rsidR="00E12BE2" w:rsidRPr="00EF2B7F" w:rsidRDefault="00E12BE2" w:rsidP="00A141F3">
      <w:pPr>
        <w:spacing w:line="276" w:lineRule="auto"/>
        <w:jc w:val="both"/>
        <w:rPr>
          <w:rFonts w:ascii="Times New Roman" w:hAnsi="Times New Roman" w:cs="Times New Roman"/>
          <w:color w:val="000000" w:themeColor="text1"/>
        </w:rPr>
      </w:pPr>
    </w:p>
    <w:p w14:paraId="44C96B06" w14:textId="77777777" w:rsidR="00F40054" w:rsidRPr="00EF2B7F" w:rsidRDefault="00E12BE2" w:rsidP="00F40054">
      <w:pPr>
        <w:pStyle w:val="ListParagraph"/>
        <w:numPr>
          <w:ilvl w:val="0"/>
          <w:numId w:val="24"/>
        </w:numPr>
        <w:spacing w:line="276" w:lineRule="auto"/>
        <w:jc w:val="both"/>
        <w:rPr>
          <w:rFonts w:ascii="Times New Roman" w:eastAsia="Times New Roman" w:hAnsi="Times New Roman" w:cs="Times New Roman"/>
          <w:b/>
          <w:color w:val="000000" w:themeColor="text1"/>
        </w:rPr>
      </w:pPr>
      <w:r w:rsidRPr="00EF2B7F">
        <w:rPr>
          <w:rFonts w:ascii="Times New Roman" w:eastAsia="Times New Roman" w:hAnsi="Times New Roman" w:cs="Times New Roman"/>
          <w:b/>
          <w:color w:val="000000" w:themeColor="text1"/>
        </w:rPr>
        <w:t xml:space="preserve">Track and Assess Vaccine Rollout Developments </w:t>
      </w:r>
    </w:p>
    <w:p w14:paraId="7E1B96EC" w14:textId="77777777" w:rsidR="00E12BE2" w:rsidRPr="00EF2B7F" w:rsidRDefault="00E12BE2" w:rsidP="00A141F3">
      <w:pPr>
        <w:spacing w:line="276" w:lineRule="auto"/>
        <w:jc w:val="both"/>
        <w:rPr>
          <w:rFonts w:ascii="Times New Roman" w:eastAsia="Times New Roman" w:hAnsi="Times New Roman" w:cs="Times New Roman"/>
          <w:color w:val="000000" w:themeColor="text1"/>
        </w:rPr>
      </w:pPr>
      <w:r w:rsidRPr="00EF2B7F">
        <w:rPr>
          <w:rFonts w:ascii="Times New Roman" w:eastAsia="Times New Roman" w:hAnsi="Times New Roman" w:cs="Times New Roman"/>
          <w:color w:val="000000" w:themeColor="text1"/>
        </w:rPr>
        <w:t>Mechanisms for ongoing monitoring and evaluation should be put in place as Nigeria is ready to incorporate the malaria vaccine into national policy. Regular input from healthcare professionals and caregivers will assist in identifying new issues and areas that could use improvement. Continuous knowledge levels, acceptance patterns, and obstacles over time can be evaluated using surveys, focus groups, and digital reporting tools. The information acquired by these systems will guide future plans and guarantee that the malaria vaccine is implemented in a way that is effective, inclusive, and responsive.</w:t>
      </w:r>
    </w:p>
    <w:p w14:paraId="5E2B6832" w14:textId="77777777" w:rsidR="00C822D5" w:rsidRDefault="00C822D5" w:rsidP="00C822D5">
      <w:pPr>
        <w:spacing w:line="276" w:lineRule="auto"/>
        <w:jc w:val="both"/>
        <w:rPr>
          <w:rFonts w:ascii="Times New Roman" w:hAnsi="Times New Roman" w:cs="Times New Roman"/>
          <w:b/>
          <w:color w:val="000000" w:themeColor="text1"/>
        </w:rPr>
      </w:pPr>
    </w:p>
    <w:p w14:paraId="687BE7C0" w14:textId="6E4E2E1B" w:rsidR="00C822D5" w:rsidRPr="00C822D5" w:rsidRDefault="00C822D5" w:rsidP="00C822D5">
      <w:pPr>
        <w:spacing w:line="276" w:lineRule="auto"/>
        <w:jc w:val="both"/>
        <w:rPr>
          <w:rFonts w:ascii="Times New Roman" w:hAnsi="Times New Roman" w:cs="Times New Roman"/>
          <w:b/>
          <w:color w:val="000000" w:themeColor="text1"/>
        </w:rPr>
      </w:pPr>
      <w:r w:rsidRPr="00C822D5">
        <w:rPr>
          <w:rFonts w:ascii="Times New Roman" w:hAnsi="Times New Roman" w:cs="Times New Roman"/>
          <w:b/>
          <w:color w:val="000000" w:themeColor="text1"/>
        </w:rPr>
        <w:t xml:space="preserve">ETHICAL </w:t>
      </w:r>
      <w:r>
        <w:rPr>
          <w:rFonts w:ascii="Times New Roman" w:hAnsi="Times New Roman" w:cs="Times New Roman"/>
          <w:b/>
          <w:color w:val="000000" w:themeColor="text1"/>
        </w:rPr>
        <w:t xml:space="preserve">APPROVAL and CONSENT: </w:t>
      </w:r>
    </w:p>
    <w:p w14:paraId="74769E5E" w14:textId="77777777" w:rsidR="00C822D5" w:rsidRPr="00EF2B7F" w:rsidRDefault="00C822D5" w:rsidP="00C822D5">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t>Ethical approval was obtained from the Ethical Clearance Committee, UNTH. Participants were informed about the study's purpose and verbal consent obtained before participation. Confidentiality and anonymity were maintained throughout the study.</w:t>
      </w:r>
    </w:p>
    <w:p w14:paraId="0379E276" w14:textId="77777777" w:rsidR="00E12BE2" w:rsidRPr="00EF2B7F" w:rsidRDefault="00E12BE2" w:rsidP="00A141F3">
      <w:pPr>
        <w:spacing w:line="276" w:lineRule="auto"/>
        <w:jc w:val="both"/>
        <w:rPr>
          <w:rFonts w:ascii="Times New Roman" w:hAnsi="Times New Roman" w:cs="Times New Roman"/>
          <w:color w:val="000000" w:themeColor="text1"/>
        </w:rPr>
      </w:pPr>
    </w:p>
    <w:p w14:paraId="75F16CC1" w14:textId="77777777" w:rsidR="00C50BF8" w:rsidRPr="00EF2B7F" w:rsidRDefault="00C50BF8" w:rsidP="00A141F3">
      <w:pPr>
        <w:spacing w:line="276" w:lineRule="auto"/>
        <w:jc w:val="both"/>
        <w:rPr>
          <w:rFonts w:ascii="Times New Roman" w:hAnsi="Times New Roman" w:cs="Times New Roman"/>
          <w:color w:val="000000" w:themeColor="text1"/>
        </w:rPr>
      </w:pPr>
    </w:p>
    <w:p w14:paraId="49E6288A" w14:textId="77777777" w:rsidR="00C50BF8" w:rsidRPr="00EF2B7F" w:rsidRDefault="00C50BF8" w:rsidP="00A141F3">
      <w:pPr>
        <w:spacing w:line="276" w:lineRule="auto"/>
        <w:jc w:val="both"/>
        <w:rPr>
          <w:rFonts w:ascii="Times New Roman" w:hAnsi="Times New Roman" w:cs="Times New Roman"/>
          <w:color w:val="000000" w:themeColor="text1"/>
        </w:rPr>
      </w:pPr>
    </w:p>
    <w:p w14:paraId="1DAE1CDD" w14:textId="77777777" w:rsidR="00C50BF8" w:rsidRPr="00EF2B7F" w:rsidRDefault="00C50BF8" w:rsidP="00A141F3">
      <w:pPr>
        <w:spacing w:line="276" w:lineRule="auto"/>
        <w:jc w:val="both"/>
        <w:rPr>
          <w:rFonts w:ascii="Times New Roman" w:hAnsi="Times New Roman" w:cs="Times New Roman"/>
          <w:color w:val="000000" w:themeColor="text1"/>
        </w:rPr>
      </w:pPr>
    </w:p>
    <w:p w14:paraId="583A3AD8" w14:textId="77777777" w:rsidR="00362E87" w:rsidRPr="00C822D5" w:rsidRDefault="00362E87" w:rsidP="00362E87">
      <w:pPr>
        <w:rPr>
          <w:rFonts w:ascii="Calibri" w:eastAsia="Calibri" w:hAnsi="Calibri" w:cs="Times New Roman"/>
          <w:b/>
          <w:highlight w:val="yellow"/>
        </w:rPr>
      </w:pPr>
      <w:bookmarkStart w:id="2" w:name="_Hlk201835975"/>
      <w:bookmarkStart w:id="3" w:name="_Hlk193540946"/>
      <w:bookmarkStart w:id="4" w:name="_Hlk180402183"/>
      <w:bookmarkStart w:id="5" w:name="_Hlk183680988"/>
      <w:bookmarkStart w:id="6" w:name="_Hlk197173371"/>
      <w:r w:rsidRPr="00C822D5">
        <w:rPr>
          <w:rFonts w:ascii="Calibri" w:eastAsia="Calibri" w:hAnsi="Calibri" w:cs="Times New Roman"/>
          <w:b/>
          <w:highlight w:val="yellow"/>
        </w:rPr>
        <w:t>Disclaimer (Artificial intelligence)</w:t>
      </w:r>
    </w:p>
    <w:p w14:paraId="4CF04FC7"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3A3160EE"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manuscript. </w:t>
      </w:r>
    </w:p>
    <w:p w14:paraId="136069EC"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74CC45F1"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A42C21"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43DD850"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1.</w:t>
      </w:r>
    </w:p>
    <w:p w14:paraId="13A0453D" w14:textId="77777777" w:rsidR="00362E87" w:rsidRPr="009C5487" w:rsidRDefault="00362E87" w:rsidP="00362E87">
      <w:pPr>
        <w:rPr>
          <w:rFonts w:ascii="Calibri" w:eastAsia="Calibri" w:hAnsi="Calibri" w:cs="Times New Roman"/>
          <w:highlight w:val="yellow"/>
        </w:rPr>
      </w:pPr>
      <w:r w:rsidRPr="009C5487">
        <w:rPr>
          <w:rFonts w:ascii="Calibri" w:eastAsia="Calibri" w:hAnsi="Calibri" w:cs="Times New Roman"/>
          <w:highlight w:val="yellow"/>
        </w:rPr>
        <w:t>2.</w:t>
      </w:r>
      <w:bookmarkEnd w:id="2"/>
    </w:p>
    <w:p w14:paraId="068CF647" w14:textId="77777777" w:rsidR="00362E87" w:rsidRPr="009C5487" w:rsidRDefault="00362E87" w:rsidP="00362E87">
      <w:pPr>
        <w:rPr>
          <w:rFonts w:ascii="Calibri" w:eastAsia="Calibri" w:hAnsi="Calibri" w:cs="Times New Roman"/>
        </w:rPr>
      </w:pPr>
      <w:r w:rsidRPr="009C5487">
        <w:rPr>
          <w:rFonts w:ascii="Calibri" w:eastAsia="Calibri" w:hAnsi="Calibri" w:cs="Times New Roman"/>
          <w:highlight w:val="yellow"/>
        </w:rPr>
        <w:t>3.</w:t>
      </w:r>
      <w:bookmarkEnd w:id="3"/>
    </w:p>
    <w:bookmarkEnd w:id="4"/>
    <w:bookmarkEnd w:id="5"/>
    <w:bookmarkEnd w:id="6"/>
    <w:p w14:paraId="3B95FEE3" w14:textId="77777777" w:rsidR="00C50BF8" w:rsidRPr="00EF2B7F" w:rsidRDefault="00C50BF8" w:rsidP="00A141F3">
      <w:pPr>
        <w:spacing w:line="276" w:lineRule="auto"/>
        <w:jc w:val="both"/>
        <w:rPr>
          <w:rFonts w:ascii="Times New Roman" w:hAnsi="Times New Roman" w:cs="Times New Roman"/>
          <w:color w:val="000000" w:themeColor="text1"/>
        </w:rPr>
      </w:pPr>
    </w:p>
    <w:p w14:paraId="04601193" w14:textId="77777777" w:rsidR="00C50BF8" w:rsidRPr="00EF2B7F" w:rsidRDefault="00C50BF8" w:rsidP="00A141F3">
      <w:pPr>
        <w:spacing w:line="276" w:lineRule="auto"/>
        <w:jc w:val="both"/>
        <w:rPr>
          <w:rFonts w:ascii="Times New Roman" w:hAnsi="Times New Roman" w:cs="Times New Roman"/>
          <w:color w:val="000000" w:themeColor="text1"/>
        </w:rPr>
      </w:pPr>
    </w:p>
    <w:p w14:paraId="748EF656" w14:textId="77777777" w:rsidR="00C50BF8" w:rsidRPr="00EF2B7F" w:rsidRDefault="00C50BF8" w:rsidP="00A141F3">
      <w:pPr>
        <w:spacing w:line="276" w:lineRule="auto"/>
        <w:jc w:val="both"/>
        <w:rPr>
          <w:rFonts w:ascii="Times New Roman" w:hAnsi="Times New Roman" w:cs="Times New Roman"/>
          <w:color w:val="000000" w:themeColor="text1"/>
        </w:rPr>
      </w:pPr>
    </w:p>
    <w:p w14:paraId="2B8D3B74" w14:textId="77777777" w:rsidR="00F40054" w:rsidRPr="00EF2B7F" w:rsidRDefault="00F40054" w:rsidP="00A141F3">
      <w:pPr>
        <w:spacing w:line="276" w:lineRule="auto"/>
        <w:jc w:val="both"/>
        <w:rPr>
          <w:rFonts w:ascii="Times New Roman" w:hAnsi="Times New Roman" w:cs="Times New Roman"/>
          <w:color w:val="000000" w:themeColor="text1"/>
        </w:rPr>
        <w:sectPr w:rsidR="00F40054" w:rsidRPr="00EF2B7F">
          <w:pgSz w:w="12240" w:h="15840"/>
          <w:pgMar w:top="1440" w:right="1440" w:bottom="1440" w:left="1440" w:header="720" w:footer="720" w:gutter="0"/>
          <w:cols w:space="720"/>
          <w:docGrid w:linePitch="360"/>
        </w:sectPr>
      </w:pPr>
    </w:p>
    <w:p w14:paraId="642E8E81" w14:textId="77777777" w:rsidR="00F40054" w:rsidRPr="00EF2B7F" w:rsidRDefault="00F40054" w:rsidP="00F40054">
      <w:pPr>
        <w:pStyle w:val="Bibliography"/>
        <w:jc w:val="center"/>
        <w:rPr>
          <w:rFonts w:ascii="Times New Roman" w:hAnsi="Times New Roman" w:cs="Times New Roman"/>
          <w:b/>
          <w:color w:val="000000" w:themeColor="text1"/>
        </w:rPr>
      </w:pPr>
      <w:r w:rsidRPr="00EF2B7F">
        <w:rPr>
          <w:rFonts w:ascii="Times New Roman" w:hAnsi="Times New Roman" w:cs="Times New Roman"/>
          <w:b/>
          <w:color w:val="000000" w:themeColor="text1"/>
        </w:rPr>
        <w:lastRenderedPageBreak/>
        <w:t>REFERENCES</w:t>
      </w:r>
    </w:p>
    <w:p w14:paraId="691DE1F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fldChar w:fldCharType="begin"/>
      </w:r>
      <w:r w:rsidRPr="00EF2B7F">
        <w:rPr>
          <w:rFonts w:ascii="Times New Roman" w:hAnsi="Times New Roman" w:cs="Times New Roman"/>
          <w:color w:val="000000" w:themeColor="text1"/>
        </w:rPr>
        <w:instrText xml:space="preserve"> ADDIN ZOTERO_BIBL {"uncited":[],"omitted":[],"custom":[]} CSL_BIBLIOGRAPHY </w:instrText>
      </w:r>
      <w:r w:rsidRPr="00EF2B7F">
        <w:rPr>
          <w:rFonts w:ascii="Times New Roman" w:hAnsi="Times New Roman" w:cs="Times New Roman"/>
          <w:color w:val="000000" w:themeColor="text1"/>
        </w:rPr>
        <w:fldChar w:fldCharType="separate"/>
      </w:r>
      <w:r w:rsidRPr="00EF2B7F">
        <w:rPr>
          <w:rFonts w:ascii="Times New Roman" w:hAnsi="Times New Roman" w:cs="Times New Roman"/>
          <w:color w:val="000000" w:themeColor="text1"/>
        </w:rPr>
        <w:t xml:space="preserve">1. </w:t>
      </w:r>
      <w:r w:rsidRPr="00EF2B7F">
        <w:rPr>
          <w:rFonts w:ascii="Times New Roman" w:hAnsi="Times New Roman" w:cs="Times New Roman"/>
          <w:color w:val="000000" w:themeColor="text1"/>
        </w:rPr>
        <w:tab/>
        <w:t xml:space="preserve">Amadi ANC, Amoke CO, Ganiyu K. The status of malaria parasitemia and assessment of the use of long lasting insecticide treated bed net among Umudike Community of Umuahia, Abia State, Nigeria. Animal Research International. 2017;14(3):2876–82. </w:t>
      </w:r>
    </w:p>
    <w:p w14:paraId="3A73EC7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 </w:t>
      </w:r>
      <w:r w:rsidRPr="00EF2B7F">
        <w:rPr>
          <w:rFonts w:ascii="Times New Roman" w:hAnsi="Times New Roman" w:cs="Times New Roman"/>
          <w:color w:val="000000" w:themeColor="text1"/>
        </w:rPr>
        <w:tab/>
        <w:t xml:space="preserve">Jarvis CI, Multerer L, Lewis D, Binka F, Edmunds WJ, Alexander N, et al. Spatial Effects of Permethrin-Impregnated Bed Nets on Child Mortality: 26 Years on, a Spatial Reanalysis of a Cluster Randomized Trial. Am J Trop Med Hyg. 2019 Dec;101(6):1434–41. </w:t>
      </w:r>
    </w:p>
    <w:p w14:paraId="0C449D7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3. </w:t>
      </w:r>
      <w:r w:rsidRPr="00EF2B7F">
        <w:rPr>
          <w:rFonts w:ascii="Times New Roman" w:hAnsi="Times New Roman" w:cs="Times New Roman"/>
          <w:color w:val="000000" w:themeColor="text1"/>
        </w:rPr>
        <w:tab/>
        <w:t xml:space="preserve">Romore I, Ali AM, Semali I, Mshinda H, Tanner M, Abdulla S. Assessment of parental perception of malaria vaccine in Tanzania. Malaria Journal. 2015 Sep 17;14(1):355. </w:t>
      </w:r>
    </w:p>
    <w:p w14:paraId="3F593266"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4. </w:t>
      </w:r>
      <w:r w:rsidRPr="00EF2B7F">
        <w:rPr>
          <w:rFonts w:ascii="Times New Roman" w:hAnsi="Times New Roman" w:cs="Times New Roman"/>
          <w:color w:val="000000" w:themeColor="text1"/>
        </w:rPr>
        <w:tab/>
        <w:t xml:space="preserve">Chukwuocha UM, Okorie PC, Iwuoha GN, Ibe SN, Dozie IN, Nwoke BE. Awareness, perceptions and intent to comply with the prospective malaria vaccine in parts of South Eastern Nigeria. Malaria Journal. 2018 May 2;17(1):187. </w:t>
      </w:r>
    </w:p>
    <w:p w14:paraId="5BEF42E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5. </w:t>
      </w:r>
      <w:r w:rsidRPr="00EF2B7F">
        <w:rPr>
          <w:rFonts w:ascii="Times New Roman" w:hAnsi="Times New Roman" w:cs="Times New Roman"/>
          <w:color w:val="000000" w:themeColor="text1"/>
        </w:rPr>
        <w:tab/>
        <w:t>Asadu C, Ikpoyi D. Hardest-hit Nigeria is latest African country to provide malaria vaccine to young children [Internet]. AP News. 2024 [cited 2025 May 18]. Available from: https://apnews.com/article/malaria-africa-nigeria-who-vaccine-health-e2e11f0b2f199ab3967b98ef0a006b26</w:t>
      </w:r>
    </w:p>
    <w:p w14:paraId="04E77011"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6. </w:t>
      </w:r>
      <w:r w:rsidRPr="00EF2B7F">
        <w:rPr>
          <w:rFonts w:ascii="Times New Roman" w:hAnsi="Times New Roman" w:cs="Times New Roman"/>
          <w:color w:val="000000" w:themeColor="text1"/>
        </w:rPr>
        <w:tab/>
        <w:t>ghanamedj.org [Internet]. [cited 2025 May 18]. Available from: https://www.ghanamedj.org/</w:t>
      </w:r>
    </w:p>
    <w:p w14:paraId="3DC2FA38"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7. </w:t>
      </w:r>
      <w:r w:rsidRPr="00EF2B7F">
        <w:rPr>
          <w:rFonts w:ascii="Times New Roman" w:hAnsi="Times New Roman" w:cs="Times New Roman"/>
          <w:color w:val="000000" w:themeColor="text1"/>
        </w:rPr>
        <w:tab/>
        <w:t xml:space="preserve">Hoyt J, Okello G, Bange T, Kariuki S, Jalloh MF, Webster J, et al. RTS,S/AS01 malaria vaccine pilot implementation in western Kenya: a qualitative longitudinal study to understand immunisation barriers and optimise uptake. BMC Public Health. 2023 Nov 18;23:2283. </w:t>
      </w:r>
    </w:p>
    <w:p w14:paraId="7C05F91A"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8. </w:t>
      </w:r>
      <w:r w:rsidRPr="00EF2B7F">
        <w:rPr>
          <w:rFonts w:ascii="Times New Roman" w:hAnsi="Times New Roman" w:cs="Times New Roman"/>
          <w:color w:val="000000" w:themeColor="text1"/>
        </w:rPr>
        <w:tab/>
        <w:t xml:space="preserve">Dubé E, Gagnon D, Ouakki M, Bettinger JA, Guay M, Halperin S, et al. Understanding Vaccine Hesitancy in Canada: Results of a Consultation Study by the Canadian Immunization Research Network. PLoS One. 2016;11(6):e0156118. </w:t>
      </w:r>
    </w:p>
    <w:p w14:paraId="0C325495"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9. </w:t>
      </w:r>
      <w:r w:rsidRPr="00EF2B7F">
        <w:rPr>
          <w:rFonts w:ascii="Times New Roman" w:hAnsi="Times New Roman" w:cs="Times New Roman"/>
          <w:color w:val="000000" w:themeColor="text1"/>
        </w:rPr>
        <w:tab/>
        <w:t xml:space="preserve">Kamya C, Namugaya F, Opio C, Katamba P, Carnahan E, Katahoire A, et al. Coverage and Drivers to Reaching the Last Child With Vaccination in Urban Settings: A Mixed-Methods Study in Kampala, Uganda. Glob Health Sci Pract. 2022 Aug 30;10(4):e2100663. </w:t>
      </w:r>
    </w:p>
    <w:p w14:paraId="01E38E9B"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10. </w:t>
      </w:r>
      <w:r w:rsidRPr="00EF2B7F">
        <w:rPr>
          <w:rFonts w:ascii="Times New Roman" w:hAnsi="Times New Roman" w:cs="Times New Roman"/>
          <w:color w:val="000000" w:themeColor="text1"/>
        </w:rPr>
        <w:tab/>
        <w:t>WHO recommends R21/Matrix-M vaccine for malaria prevention in updated advice on immunization [Internet]. [cited 2025 May 18]. Available from: https://www.who.int/news/item/02-10-2023-who-recommends-r21-matrix-m-vaccine-for-malaria-prevention-in-updated-advice-on-immunization</w:t>
      </w:r>
    </w:p>
    <w:p w14:paraId="11E285C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11. </w:t>
      </w:r>
      <w:r w:rsidRPr="00EF2B7F">
        <w:rPr>
          <w:rFonts w:ascii="Times New Roman" w:hAnsi="Times New Roman" w:cs="Times New Roman"/>
          <w:color w:val="000000" w:themeColor="text1"/>
        </w:rPr>
        <w:tab/>
        <w:t xml:space="preserve">Mwingira F, Matiya D, Chacky F. Knowledge and willingness towards malaria vaccines among caregivers in Dar es Salaam, Tanzania. Malaria Journal. 2025 Feb 6;24(1):35. </w:t>
      </w:r>
    </w:p>
    <w:p w14:paraId="3A34243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 xml:space="preserve">12. </w:t>
      </w:r>
      <w:r w:rsidRPr="00EF2B7F">
        <w:rPr>
          <w:rFonts w:ascii="Times New Roman" w:hAnsi="Times New Roman" w:cs="Times New Roman"/>
          <w:color w:val="000000" w:themeColor="text1"/>
        </w:rPr>
        <w:tab/>
        <w:t xml:space="preserve">Ajayi MY, Emeto DC. Awareness and acceptability of malaria vaccine among caregivers of under-5 children in Northern Nigeria. Malar J. 2023 Oct 31;22(1):329. </w:t>
      </w:r>
    </w:p>
    <w:p w14:paraId="7D5DACB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13. </w:t>
      </w:r>
      <w:r w:rsidRPr="00EF2B7F">
        <w:rPr>
          <w:rFonts w:ascii="Times New Roman" w:hAnsi="Times New Roman" w:cs="Times New Roman"/>
          <w:color w:val="000000" w:themeColor="text1"/>
        </w:rPr>
        <w:tab/>
        <w:t xml:space="preserve">Ojakaa DI, Jarvis JD, Matilu MI, Thiam S. Acceptance of a malaria vaccine by caregivers of sick children in Kenya. Malaria Journal. 2014 May 5;13(1):172. </w:t>
      </w:r>
    </w:p>
    <w:p w14:paraId="0DB8C44D"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14. </w:t>
      </w:r>
      <w:r w:rsidRPr="00EF2B7F">
        <w:rPr>
          <w:rFonts w:ascii="Times New Roman" w:hAnsi="Times New Roman" w:cs="Times New Roman"/>
          <w:color w:val="000000" w:themeColor="text1"/>
        </w:rPr>
        <w:tab/>
        <w:t xml:space="preserve">Mohammed A, Bam V, Armah J, Kusi‐Amponsah Diji A, Lomotey AY, Poku CA, et al. Community awareness, knowledge and perception about malaria vaccine in the Kassena‐Nankana East Municipality: A descriptive cross‐sectional survey. Nursing Open. 2024 Sep 2;11(9):e70025. </w:t>
      </w:r>
    </w:p>
    <w:p w14:paraId="044F7859"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15. </w:t>
      </w:r>
      <w:r w:rsidRPr="00EF2B7F">
        <w:rPr>
          <w:rFonts w:ascii="Times New Roman" w:hAnsi="Times New Roman" w:cs="Times New Roman"/>
          <w:color w:val="000000" w:themeColor="text1"/>
        </w:rPr>
        <w:tab/>
        <w:t>A M, H T, R A, C BP, Y C, A BN, et al. Factors likely to affect community acceptance of a malaria vaccine in two districts of Ghana: a qualitative study. PloS one [Internet]. 2014 Oct 15 [cited 2025 May 18];9(10). Available from: https://pubmed.ncbi.nlm.nih.gov/25334094/</w:t>
      </w:r>
    </w:p>
    <w:p w14:paraId="77C88E8C"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16. </w:t>
      </w:r>
      <w:r w:rsidRPr="00EF2B7F">
        <w:rPr>
          <w:rFonts w:ascii="Times New Roman" w:hAnsi="Times New Roman" w:cs="Times New Roman"/>
          <w:color w:val="000000" w:themeColor="text1"/>
        </w:rPr>
        <w:tab/>
        <w:t xml:space="preserve">Alagbe OO, Iliya RS, Rotimi B, Solomon A. Awareness, perceptions and willingness to accept malaria vaccine for children under age 5 among mothers in Northcentral Nigeria: a cross-sectional study. BMJ Open. 2025 Mar 25;15(3):e091739. </w:t>
      </w:r>
    </w:p>
    <w:p w14:paraId="6411951B"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17. </w:t>
      </w:r>
      <w:r w:rsidRPr="00EF2B7F">
        <w:rPr>
          <w:rFonts w:ascii="Times New Roman" w:hAnsi="Times New Roman" w:cs="Times New Roman"/>
          <w:color w:val="000000" w:themeColor="text1"/>
        </w:rPr>
        <w:tab/>
        <w:t xml:space="preserve">Sulaiman SK, Musa MS, Tsiga-Ahmed FI, Dayyab FM, Sulaiman AK, Bako AT. A systematic review and meta-analysis of the prevalence of caregiver acceptance of malaria vaccine for under-five children in low-income and middle-income countries (LMICs). PLOS ONE. 2022 Dec 1;17(12):e0278224. </w:t>
      </w:r>
    </w:p>
    <w:p w14:paraId="11921D9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18. </w:t>
      </w:r>
      <w:r w:rsidRPr="00EF2B7F">
        <w:rPr>
          <w:rFonts w:ascii="Times New Roman" w:hAnsi="Times New Roman" w:cs="Times New Roman"/>
          <w:color w:val="000000" w:themeColor="text1"/>
        </w:rPr>
        <w:tab/>
        <w:t xml:space="preserve">White SE, Harvey SA, Meza G, Llanos A, Guzman M, Gamboa D, et al. Acceptability of a herd immunity-focused, transmission-blocking malaria vaccine in malaria-endemic communities in the Peruvian Amazon: an exploratory study. Malaria Journal. 2018 Apr 27;17(1):179. </w:t>
      </w:r>
    </w:p>
    <w:p w14:paraId="2D857867"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19. </w:t>
      </w:r>
      <w:r w:rsidRPr="00EF2B7F">
        <w:rPr>
          <w:rFonts w:ascii="Times New Roman" w:hAnsi="Times New Roman" w:cs="Times New Roman"/>
          <w:color w:val="000000" w:themeColor="text1"/>
        </w:rPr>
        <w:tab/>
        <w:t xml:space="preserve">Musa M, Sulaiman A, Tsiga-Ahmed F, Bako A, Sulaiman S. Acceptance of malaria vaccine among mothers of under-five children in Nigeria: Results from the M-VAN survey. Vacunas (English Edition). 2024 Oct 1;25:439–47. </w:t>
      </w:r>
    </w:p>
    <w:p w14:paraId="7468E5C0"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20. </w:t>
      </w:r>
      <w:r w:rsidRPr="00EF2B7F">
        <w:rPr>
          <w:rFonts w:ascii="Times New Roman" w:hAnsi="Times New Roman" w:cs="Times New Roman"/>
          <w:color w:val="000000" w:themeColor="text1"/>
        </w:rPr>
        <w:tab/>
        <w:t>Ad N, Pm B, As G, Ab N, Vu H, Jl T, et al. Socio-Demographic Factors Influencing Malaria Vaccine Acceptance for Under-Five Children in a Malaria-Endemic Region: A Community-Based Study in the Democratic Republic of Congo. Vaccines [Internet]. 2024 Apr 2 [cited 2025 May 18];12(4). Available from: https://pubmed.ncbi.nlm.nih.gov/38675762/</w:t>
      </w:r>
    </w:p>
    <w:p w14:paraId="7742EAE3"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21. </w:t>
      </w:r>
      <w:r w:rsidRPr="00EF2B7F">
        <w:rPr>
          <w:rFonts w:ascii="Times New Roman" w:hAnsi="Times New Roman" w:cs="Times New Roman"/>
          <w:color w:val="000000" w:themeColor="text1"/>
        </w:rPr>
        <w:tab/>
        <w:t xml:space="preserve">Röbl K, Fischer HT, Delamou A, Mbawah AK, Geurts B, Feddern L, et al. Caregiver acceptance of malaria vaccination for children under 5 years of age and associated factors: cross-sectional household survey, Guinea and Sierra Leone, 2022. Malaria Journal. 2023 Nov 20;22(1):355. </w:t>
      </w:r>
    </w:p>
    <w:p w14:paraId="5D39F548"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lastRenderedPageBreak/>
        <w:t xml:space="preserve">22. </w:t>
      </w:r>
      <w:r w:rsidRPr="00EF2B7F">
        <w:rPr>
          <w:rFonts w:ascii="Times New Roman" w:hAnsi="Times New Roman" w:cs="Times New Roman"/>
          <w:color w:val="000000" w:themeColor="text1"/>
        </w:rPr>
        <w:tab/>
        <w:t xml:space="preserve">Bam V, Mohammed A, Kusi-Amponsah A, Armah J, Lomotey AY, Budu HI, et al. Caregivers’ perception and acceptance of malaria vaccine for Children. PLOS ONE. 2023 Jul 26;18(7):e0288686. </w:t>
      </w:r>
    </w:p>
    <w:p w14:paraId="1383BDE0"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23. </w:t>
      </w:r>
      <w:r w:rsidRPr="00EF2B7F">
        <w:rPr>
          <w:rFonts w:ascii="Times New Roman" w:hAnsi="Times New Roman" w:cs="Times New Roman"/>
          <w:color w:val="000000" w:themeColor="text1"/>
        </w:rPr>
        <w:tab/>
        <w:t xml:space="preserve">Adigwe OP, Onavbavba G. Acceptance and affordability of malaria vaccines: issues relating to hesitancy and willingness to pay amongst Nigerian parents of under-five children. Malar J. 2025 Feb 7;24(1):36. </w:t>
      </w:r>
    </w:p>
    <w:p w14:paraId="4017F15F"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24. </w:t>
      </w:r>
      <w:r w:rsidRPr="00EF2B7F">
        <w:rPr>
          <w:rFonts w:ascii="Times New Roman" w:hAnsi="Times New Roman" w:cs="Times New Roman"/>
          <w:color w:val="000000" w:themeColor="text1"/>
        </w:rPr>
        <w:tab/>
        <w:t xml:space="preserve">Taylor S, Khan M, Muhammad A, Akpala O, van Strien M, Morry C, et al. Understanding vaccine hesitancy in polio eradication in northern Nigeria. Vaccine. 2017 Nov 7;35(47):6438–43. </w:t>
      </w:r>
    </w:p>
    <w:p w14:paraId="7193AFC9"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25. </w:t>
      </w:r>
      <w:r w:rsidRPr="00EF2B7F">
        <w:rPr>
          <w:rFonts w:ascii="Times New Roman" w:hAnsi="Times New Roman" w:cs="Times New Roman"/>
          <w:color w:val="000000" w:themeColor="text1"/>
        </w:rPr>
        <w:tab/>
        <w:t xml:space="preserve">Fournet N, Mollema L, Ruijs WL, Harmsen IA, Keck F, Durand JY, et al. Under-vaccinated groups in Europe and their beliefs, attitudes and reasons for non-vaccination; two systematic reviews. BMC Public Health. 2018 Jan 30;18(1):196. </w:t>
      </w:r>
    </w:p>
    <w:p w14:paraId="49CBAFE6"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26. </w:t>
      </w:r>
      <w:r w:rsidRPr="00EF2B7F">
        <w:rPr>
          <w:rFonts w:ascii="Times New Roman" w:hAnsi="Times New Roman" w:cs="Times New Roman"/>
          <w:color w:val="000000" w:themeColor="text1"/>
        </w:rPr>
        <w:tab/>
        <w:t xml:space="preserve">Afolabi AA, Ilesanmi OS. Dealing with vaccine hesitancy in Africa: the prospective COVID-19 vaccine context. The Pan African Medical Journal. 2021 Jan 5;38:3. </w:t>
      </w:r>
    </w:p>
    <w:p w14:paraId="2627EA6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27. </w:t>
      </w:r>
      <w:r w:rsidRPr="00EF2B7F">
        <w:rPr>
          <w:rFonts w:ascii="Times New Roman" w:hAnsi="Times New Roman" w:cs="Times New Roman"/>
          <w:color w:val="000000" w:themeColor="text1"/>
        </w:rPr>
        <w:tab/>
        <w:t xml:space="preserve">Abdulkadir BI, Ajayi IO. Willingness to accept malaria vaccine among caregivers of under-5 children in Ibadan North Local Government Area, Nigeria. Malariaworld J. 2015;6:2. </w:t>
      </w:r>
    </w:p>
    <w:p w14:paraId="6457BE04"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28. </w:t>
      </w:r>
      <w:r w:rsidRPr="00EF2B7F">
        <w:rPr>
          <w:rFonts w:ascii="Times New Roman" w:hAnsi="Times New Roman" w:cs="Times New Roman"/>
          <w:color w:val="000000" w:themeColor="text1"/>
        </w:rPr>
        <w:tab/>
        <w:t xml:space="preserve">Amin MA, Afrin S, Bonna AS, Rozars MFK, Nabi MH, Hawlader MDH. Knowledge and acceptance of malaria vaccine among parents of under-five children of malaria endemic areas in Bangladesh: A cross-sectional study. Health Expect. 2023 Dec;26(6):2630–43. </w:t>
      </w:r>
    </w:p>
    <w:p w14:paraId="1521886E" w14:textId="77777777" w:rsidR="00F40054" w:rsidRPr="00EF2B7F" w:rsidRDefault="00F40054" w:rsidP="00924AA3">
      <w:pPr>
        <w:pStyle w:val="Bibliography"/>
        <w:jc w:val="both"/>
        <w:rPr>
          <w:rFonts w:ascii="Times New Roman" w:hAnsi="Times New Roman" w:cs="Times New Roman"/>
          <w:color w:val="000000" w:themeColor="text1"/>
        </w:rPr>
      </w:pPr>
      <w:r w:rsidRPr="00EF2B7F">
        <w:rPr>
          <w:rFonts w:ascii="Times New Roman" w:hAnsi="Times New Roman" w:cs="Times New Roman"/>
          <w:color w:val="000000" w:themeColor="text1"/>
        </w:rPr>
        <w:t xml:space="preserve">29. </w:t>
      </w:r>
      <w:r w:rsidRPr="00EF2B7F">
        <w:rPr>
          <w:rFonts w:ascii="Times New Roman" w:hAnsi="Times New Roman" w:cs="Times New Roman"/>
          <w:color w:val="000000" w:themeColor="text1"/>
        </w:rPr>
        <w:tab/>
        <w:t xml:space="preserve">Lopez AR, Brown CA. Knowledge, attitudes and practices regarding malaria prevention and control in communities in the Eastern Region, Ghana, 2020. PLoS One. 2023;18(8):e0290822. </w:t>
      </w:r>
    </w:p>
    <w:p w14:paraId="427BA9CB" w14:textId="77777777" w:rsidR="00C50BF8" w:rsidRPr="00EF2B7F" w:rsidRDefault="00F40054" w:rsidP="00924AA3">
      <w:pPr>
        <w:spacing w:line="276" w:lineRule="auto"/>
        <w:jc w:val="both"/>
        <w:rPr>
          <w:rFonts w:ascii="Times New Roman" w:hAnsi="Times New Roman" w:cs="Times New Roman"/>
          <w:color w:val="000000" w:themeColor="text1"/>
        </w:rPr>
      </w:pPr>
      <w:r w:rsidRPr="00EF2B7F">
        <w:rPr>
          <w:rFonts w:ascii="Times New Roman" w:hAnsi="Times New Roman" w:cs="Times New Roman"/>
          <w:color w:val="000000" w:themeColor="text1"/>
        </w:rPr>
        <w:fldChar w:fldCharType="end"/>
      </w:r>
    </w:p>
    <w:sectPr w:rsidR="00C50BF8" w:rsidRPr="00EF2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552B" w14:textId="77777777" w:rsidR="00A66CFB" w:rsidRDefault="00A66CFB" w:rsidP="00E878EF">
      <w:pPr>
        <w:spacing w:after="0" w:line="240" w:lineRule="auto"/>
      </w:pPr>
      <w:r>
        <w:separator/>
      </w:r>
    </w:p>
  </w:endnote>
  <w:endnote w:type="continuationSeparator" w:id="0">
    <w:p w14:paraId="769E8F29" w14:textId="77777777" w:rsidR="00A66CFB" w:rsidRDefault="00A66CFB" w:rsidP="00E8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DF82D" w14:textId="77777777" w:rsidR="00207BE7" w:rsidRDefault="0020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C77E" w14:textId="77777777" w:rsidR="00207BE7" w:rsidRDefault="00207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6653" w14:textId="77777777" w:rsidR="00207BE7" w:rsidRDefault="0020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BF8F9" w14:textId="77777777" w:rsidR="00A66CFB" w:rsidRDefault="00A66CFB" w:rsidP="00E878EF">
      <w:pPr>
        <w:spacing w:after="0" w:line="240" w:lineRule="auto"/>
      </w:pPr>
      <w:r>
        <w:separator/>
      </w:r>
    </w:p>
  </w:footnote>
  <w:footnote w:type="continuationSeparator" w:id="0">
    <w:p w14:paraId="5051E387" w14:textId="77777777" w:rsidR="00A66CFB" w:rsidRDefault="00A66CFB" w:rsidP="00E8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9D78" w14:textId="60A1A98F" w:rsidR="00207BE7" w:rsidRDefault="00A66CFB">
    <w:pPr>
      <w:pStyle w:val="Header"/>
    </w:pPr>
    <w:r>
      <w:rPr>
        <w:noProof/>
      </w:rPr>
      <w:pict w14:anchorId="604F6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8DEE" w14:textId="26706F3D" w:rsidR="00207BE7" w:rsidRDefault="00A66CFB">
    <w:pPr>
      <w:pStyle w:val="Header"/>
    </w:pPr>
    <w:r>
      <w:rPr>
        <w:noProof/>
      </w:rPr>
      <w:pict w14:anchorId="501A9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C2B6" w14:textId="1405FC5B" w:rsidR="00207BE7" w:rsidRDefault="00A66CFB">
    <w:pPr>
      <w:pStyle w:val="Header"/>
    </w:pPr>
    <w:r>
      <w:rPr>
        <w:noProof/>
      </w:rPr>
      <w:pict w14:anchorId="10AB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39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B449358"/>
    <w:lvl w:ilvl="0" w:tplc="134EFCD2">
      <w:start w:val="1"/>
      <w:numFmt w:val="bullet"/>
      <w:lvlText w:val="•"/>
      <w:lvlJc w:val="left"/>
      <w:pPr>
        <w:tabs>
          <w:tab w:val="left" w:pos="720"/>
        </w:tabs>
        <w:ind w:left="720" w:hanging="360"/>
      </w:pPr>
      <w:rPr>
        <w:rFonts w:ascii="Arial" w:hAnsi="Arial" w:hint="default"/>
      </w:rPr>
    </w:lvl>
    <w:lvl w:ilvl="1" w:tplc="BEA440EC" w:tentative="1">
      <w:start w:val="1"/>
      <w:numFmt w:val="bullet"/>
      <w:lvlText w:val="•"/>
      <w:lvlJc w:val="left"/>
      <w:pPr>
        <w:tabs>
          <w:tab w:val="left" w:pos="1440"/>
        </w:tabs>
        <w:ind w:left="1440" w:hanging="360"/>
      </w:pPr>
      <w:rPr>
        <w:rFonts w:ascii="Arial" w:hAnsi="Arial" w:hint="default"/>
      </w:rPr>
    </w:lvl>
    <w:lvl w:ilvl="2" w:tplc="23CA8020" w:tentative="1">
      <w:start w:val="1"/>
      <w:numFmt w:val="bullet"/>
      <w:lvlText w:val="•"/>
      <w:lvlJc w:val="left"/>
      <w:pPr>
        <w:tabs>
          <w:tab w:val="left" w:pos="2160"/>
        </w:tabs>
        <w:ind w:left="2160" w:hanging="360"/>
      </w:pPr>
      <w:rPr>
        <w:rFonts w:ascii="Arial" w:hAnsi="Arial" w:hint="default"/>
      </w:rPr>
    </w:lvl>
    <w:lvl w:ilvl="3" w:tplc="DA58DF40" w:tentative="1">
      <w:start w:val="1"/>
      <w:numFmt w:val="bullet"/>
      <w:lvlText w:val="•"/>
      <w:lvlJc w:val="left"/>
      <w:pPr>
        <w:tabs>
          <w:tab w:val="left" w:pos="2880"/>
        </w:tabs>
        <w:ind w:left="2880" w:hanging="360"/>
      </w:pPr>
      <w:rPr>
        <w:rFonts w:ascii="Arial" w:hAnsi="Arial" w:hint="default"/>
      </w:rPr>
    </w:lvl>
    <w:lvl w:ilvl="4" w:tplc="17101BAC" w:tentative="1">
      <w:start w:val="1"/>
      <w:numFmt w:val="bullet"/>
      <w:lvlText w:val="•"/>
      <w:lvlJc w:val="left"/>
      <w:pPr>
        <w:tabs>
          <w:tab w:val="left" w:pos="3600"/>
        </w:tabs>
        <w:ind w:left="3600" w:hanging="360"/>
      </w:pPr>
      <w:rPr>
        <w:rFonts w:ascii="Arial" w:hAnsi="Arial" w:hint="default"/>
      </w:rPr>
    </w:lvl>
    <w:lvl w:ilvl="5" w:tplc="E2CC449C" w:tentative="1">
      <w:start w:val="1"/>
      <w:numFmt w:val="bullet"/>
      <w:lvlText w:val="•"/>
      <w:lvlJc w:val="left"/>
      <w:pPr>
        <w:tabs>
          <w:tab w:val="left" w:pos="4320"/>
        </w:tabs>
        <w:ind w:left="4320" w:hanging="360"/>
      </w:pPr>
      <w:rPr>
        <w:rFonts w:ascii="Arial" w:hAnsi="Arial" w:hint="default"/>
      </w:rPr>
    </w:lvl>
    <w:lvl w:ilvl="6" w:tplc="9E8E5BEE" w:tentative="1">
      <w:start w:val="1"/>
      <w:numFmt w:val="bullet"/>
      <w:lvlText w:val="•"/>
      <w:lvlJc w:val="left"/>
      <w:pPr>
        <w:tabs>
          <w:tab w:val="left" w:pos="5040"/>
        </w:tabs>
        <w:ind w:left="5040" w:hanging="360"/>
      </w:pPr>
      <w:rPr>
        <w:rFonts w:ascii="Arial" w:hAnsi="Arial" w:hint="default"/>
      </w:rPr>
    </w:lvl>
    <w:lvl w:ilvl="7" w:tplc="1C60F996" w:tentative="1">
      <w:start w:val="1"/>
      <w:numFmt w:val="bullet"/>
      <w:lvlText w:val="•"/>
      <w:lvlJc w:val="left"/>
      <w:pPr>
        <w:tabs>
          <w:tab w:val="left" w:pos="5760"/>
        </w:tabs>
        <w:ind w:left="5760" w:hanging="360"/>
      </w:pPr>
      <w:rPr>
        <w:rFonts w:ascii="Arial" w:hAnsi="Arial" w:hint="default"/>
      </w:rPr>
    </w:lvl>
    <w:lvl w:ilvl="8" w:tplc="7B866932"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multilevel"/>
    <w:tmpl w:val="4746C0A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B0AC3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000004"/>
    <w:multiLevelType w:val="hybridMultilevel"/>
    <w:tmpl w:val="0D96841A"/>
    <w:lvl w:ilvl="0" w:tplc="A3BAA068">
      <w:start w:val="1"/>
      <w:numFmt w:val="bullet"/>
      <w:lvlText w:val="•"/>
      <w:lvlJc w:val="left"/>
      <w:pPr>
        <w:tabs>
          <w:tab w:val="left"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43C2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F432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1E92480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EEDAE9E8"/>
    <w:lvl w:ilvl="0" w:tplc="EECA7B78">
      <w:start w:val="1"/>
      <w:numFmt w:val="bullet"/>
      <w:lvlText w:val="•"/>
      <w:lvlJc w:val="left"/>
      <w:pPr>
        <w:tabs>
          <w:tab w:val="left" w:pos="360"/>
        </w:tabs>
        <w:ind w:left="360" w:hanging="360"/>
      </w:pPr>
      <w:rPr>
        <w:rFonts w:ascii="Arial" w:hAnsi="Arial" w:hint="default"/>
      </w:rPr>
    </w:lvl>
    <w:lvl w:ilvl="1" w:tplc="2CDAF9BA" w:tentative="1">
      <w:start w:val="1"/>
      <w:numFmt w:val="bullet"/>
      <w:lvlText w:val="•"/>
      <w:lvlJc w:val="left"/>
      <w:pPr>
        <w:tabs>
          <w:tab w:val="left" w:pos="1080"/>
        </w:tabs>
        <w:ind w:left="1080" w:hanging="360"/>
      </w:pPr>
      <w:rPr>
        <w:rFonts w:ascii="Arial" w:hAnsi="Arial" w:hint="default"/>
      </w:rPr>
    </w:lvl>
    <w:lvl w:ilvl="2" w:tplc="FB824440" w:tentative="1">
      <w:start w:val="1"/>
      <w:numFmt w:val="bullet"/>
      <w:lvlText w:val="•"/>
      <w:lvlJc w:val="left"/>
      <w:pPr>
        <w:tabs>
          <w:tab w:val="left" w:pos="1800"/>
        </w:tabs>
        <w:ind w:left="1800" w:hanging="360"/>
      </w:pPr>
      <w:rPr>
        <w:rFonts w:ascii="Arial" w:hAnsi="Arial" w:hint="default"/>
      </w:rPr>
    </w:lvl>
    <w:lvl w:ilvl="3" w:tplc="D30CF9A4" w:tentative="1">
      <w:start w:val="1"/>
      <w:numFmt w:val="bullet"/>
      <w:lvlText w:val="•"/>
      <w:lvlJc w:val="left"/>
      <w:pPr>
        <w:tabs>
          <w:tab w:val="left" w:pos="2520"/>
        </w:tabs>
        <w:ind w:left="2520" w:hanging="360"/>
      </w:pPr>
      <w:rPr>
        <w:rFonts w:ascii="Arial" w:hAnsi="Arial" w:hint="default"/>
      </w:rPr>
    </w:lvl>
    <w:lvl w:ilvl="4" w:tplc="A468C456" w:tentative="1">
      <w:start w:val="1"/>
      <w:numFmt w:val="bullet"/>
      <w:lvlText w:val="•"/>
      <w:lvlJc w:val="left"/>
      <w:pPr>
        <w:tabs>
          <w:tab w:val="left" w:pos="3240"/>
        </w:tabs>
        <w:ind w:left="3240" w:hanging="360"/>
      </w:pPr>
      <w:rPr>
        <w:rFonts w:ascii="Arial" w:hAnsi="Arial" w:hint="default"/>
      </w:rPr>
    </w:lvl>
    <w:lvl w:ilvl="5" w:tplc="A6F80E00" w:tentative="1">
      <w:start w:val="1"/>
      <w:numFmt w:val="bullet"/>
      <w:lvlText w:val="•"/>
      <w:lvlJc w:val="left"/>
      <w:pPr>
        <w:tabs>
          <w:tab w:val="left" w:pos="3960"/>
        </w:tabs>
        <w:ind w:left="3960" w:hanging="360"/>
      </w:pPr>
      <w:rPr>
        <w:rFonts w:ascii="Arial" w:hAnsi="Arial" w:hint="default"/>
      </w:rPr>
    </w:lvl>
    <w:lvl w:ilvl="6" w:tplc="9614187C" w:tentative="1">
      <w:start w:val="1"/>
      <w:numFmt w:val="bullet"/>
      <w:lvlText w:val="•"/>
      <w:lvlJc w:val="left"/>
      <w:pPr>
        <w:tabs>
          <w:tab w:val="left" w:pos="4680"/>
        </w:tabs>
        <w:ind w:left="4680" w:hanging="360"/>
      </w:pPr>
      <w:rPr>
        <w:rFonts w:ascii="Arial" w:hAnsi="Arial" w:hint="default"/>
      </w:rPr>
    </w:lvl>
    <w:lvl w:ilvl="7" w:tplc="BDB6AA8C" w:tentative="1">
      <w:start w:val="1"/>
      <w:numFmt w:val="bullet"/>
      <w:lvlText w:val="•"/>
      <w:lvlJc w:val="left"/>
      <w:pPr>
        <w:tabs>
          <w:tab w:val="left" w:pos="5400"/>
        </w:tabs>
        <w:ind w:left="5400" w:hanging="360"/>
      </w:pPr>
      <w:rPr>
        <w:rFonts w:ascii="Arial" w:hAnsi="Arial" w:hint="default"/>
      </w:rPr>
    </w:lvl>
    <w:lvl w:ilvl="8" w:tplc="4D4E055E" w:tentative="1">
      <w:start w:val="1"/>
      <w:numFmt w:val="bullet"/>
      <w:lvlText w:val="•"/>
      <w:lvlJc w:val="left"/>
      <w:pPr>
        <w:tabs>
          <w:tab w:val="left" w:pos="6120"/>
        </w:tabs>
        <w:ind w:left="6120" w:hanging="360"/>
      </w:pPr>
      <w:rPr>
        <w:rFonts w:ascii="Arial" w:hAnsi="Arial" w:hint="default"/>
      </w:rPr>
    </w:lvl>
  </w:abstractNum>
  <w:abstractNum w:abstractNumId="8" w15:restartNumberingAfterBreak="0">
    <w:nsid w:val="00000009"/>
    <w:multiLevelType w:val="hybridMultilevel"/>
    <w:tmpl w:val="D20A8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E1622680"/>
    <w:lvl w:ilvl="0" w:tplc="A3BAA068">
      <w:start w:val="1"/>
      <w:numFmt w:val="bullet"/>
      <w:lvlText w:val="•"/>
      <w:lvlJc w:val="left"/>
      <w:pPr>
        <w:tabs>
          <w:tab w:val="left" w:pos="720"/>
        </w:tabs>
        <w:ind w:left="720" w:hanging="360"/>
      </w:pPr>
      <w:rPr>
        <w:rFonts w:ascii="Arial" w:hAnsi="Arial" w:hint="default"/>
      </w:rPr>
    </w:lvl>
    <w:lvl w:ilvl="1" w:tplc="2B9E92B4" w:tentative="1">
      <w:start w:val="1"/>
      <w:numFmt w:val="bullet"/>
      <w:lvlText w:val="•"/>
      <w:lvlJc w:val="left"/>
      <w:pPr>
        <w:tabs>
          <w:tab w:val="left" w:pos="1440"/>
        </w:tabs>
        <w:ind w:left="1440" w:hanging="360"/>
      </w:pPr>
      <w:rPr>
        <w:rFonts w:ascii="Arial" w:hAnsi="Arial" w:hint="default"/>
      </w:rPr>
    </w:lvl>
    <w:lvl w:ilvl="2" w:tplc="A8FEB906" w:tentative="1">
      <w:start w:val="1"/>
      <w:numFmt w:val="bullet"/>
      <w:lvlText w:val="•"/>
      <w:lvlJc w:val="left"/>
      <w:pPr>
        <w:tabs>
          <w:tab w:val="left" w:pos="2160"/>
        </w:tabs>
        <w:ind w:left="2160" w:hanging="360"/>
      </w:pPr>
      <w:rPr>
        <w:rFonts w:ascii="Arial" w:hAnsi="Arial" w:hint="default"/>
      </w:rPr>
    </w:lvl>
    <w:lvl w:ilvl="3" w:tplc="BF409626" w:tentative="1">
      <w:start w:val="1"/>
      <w:numFmt w:val="bullet"/>
      <w:lvlText w:val="•"/>
      <w:lvlJc w:val="left"/>
      <w:pPr>
        <w:tabs>
          <w:tab w:val="left" w:pos="2880"/>
        </w:tabs>
        <w:ind w:left="2880" w:hanging="360"/>
      </w:pPr>
      <w:rPr>
        <w:rFonts w:ascii="Arial" w:hAnsi="Arial" w:hint="default"/>
      </w:rPr>
    </w:lvl>
    <w:lvl w:ilvl="4" w:tplc="92FEBA34" w:tentative="1">
      <w:start w:val="1"/>
      <w:numFmt w:val="bullet"/>
      <w:lvlText w:val="•"/>
      <w:lvlJc w:val="left"/>
      <w:pPr>
        <w:tabs>
          <w:tab w:val="left" w:pos="3600"/>
        </w:tabs>
        <w:ind w:left="3600" w:hanging="360"/>
      </w:pPr>
      <w:rPr>
        <w:rFonts w:ascii="Arial" w:hAnsi="Arial" w:hint="default"/>
      </w:rPr>
    </w:lvl>
    <w:lvl w:ilvl="5" w:tplc="10AAB5CE" w:tentative="1">
      <w:start w:val="1"/>
      <w:numFmt w:val="bullet"/>
      <w:lvlText w:val="•"/>
      <w:lvlJc w:val="left"/>
      <w:pPr>
        <w:tabs>
          <w:tab w:val="left" w:pos="4320"/>
        </w:tabs>
        <w:ind w:left="4320" w:hanging="360"/>
      </w:pPr>
      <w:rPr>
        <w:rFonts w:ascii="Arial" w:hAnsi="Arial" w:hint="default"/>
      </w:rPr>
    </w:lvl>
    <w:lvl w:ilvl="6" w:tplc="1C0697F2" w:tentative="1">
      <w:start w:val="1"/>
      <w:numFmt w:val="bullet"/>
      <w:lvlText w:val="•"/>
      <w:lvlJc w:val="left"/>
      <w:pPr>
        <w:tabs>
          <w:tab w:val="left" w:pos="5040"/>
        </w:tabs>
        <w:ind w:left="5040" w:hanging="360"/>
      </w:pPr>
      <w:rPr>
        <w:rFonts w:ascii="Arial" w:hAnsi="Arial" w:hint="default"/>
      </w:rPr>
    </w:lvl>
    <w:lvl w:ilvl="7" w:tplc="CB4843D4" w:tentative="1">
      <w:start w:val="1"/>
      <w:numFmt w:val="bullet"/>
      <w:lvlText w:val="•"/>
      <w:lvlJc w:val="left"/>
      <w:pPr>
        <w:tabs>
          <w:tab w:val="left" w:pos="5760"/>
        </w:tabs>
        <w:ind w:left="5760" w:hanging="360"/>
      </w:pPr>
      <w:rPr>
        <w:rFonts w:ascii="Arial" w:hAnsi="Arial" w:hint="default"/>
      </w:rPr>
    </w:lvl>
    <w:lvl w:ilvl="8" w:tplc="96468AE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000000B"/>
    <w:multiLevelType w:val="multilevel"/>
    <w:tmpl w:val="E5FC7406"/>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1" w15:restartNumberingAfterBreak="0">
    <w:nsid w:val="0000000C"/>
    <w:multiLevelType w:val="multilevel"/>
    <w:tmpl w:val="4FD4D5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000000D"/>
    <w:multiLevelType w:val="hybridMultilevel"/>
    <w:tmpl w:val="6574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multilevel"/>
    <w:tmpl w:val="564E7C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0A7814"/>
    <w:multiLevelType w:val="multilevel"/>
    <w:tmpl w:val="BBEA7B9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3E7C6E"/>
    <w:multiLevelType w:val="multilevel"/>
    <w:tmpl w:val="D68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23127"/>
    <w:multiLevelType w:val="multilevel"/>
    <w:tmpl w:val="DB58524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E4FE6"/>
    <w:multiLevelType w:val="multilevel"/>
    <w:tmpl w:val="7C5431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AE0686"/>
    <w:multiLevelType w:val="hybridMultilevel"/>
    <w:tmpl w:val="BEAA0AB6"/>
    <w:lvl w:ilvl="0" w:tplc="BC7EA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813D5"/>
    <w:multiLevelType w:val="multilevel"/>
    <w:tmpl w:val="EA02CF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BC508C"/>
    <w:multiLevelType w:val="multilevel"/>
    <w:tmpl w:val="A2D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A6697"/>
    <w:multiLevelType w:val="multilevel"/>
    <w:tmpl w:val="06E24E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792C9F"/>
    <w:multiLevelType w:val="multilevel"/>
    <w:tmpl w:val="F6C6A3A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45571"/>
    <w:multiLevelType w:val="multilevel"/>
    <w:tmpl w:val="398640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DE598B"/>
    <w:multiLevelType w:val="multilevel"/>
    <w:tmpl w:val="EA92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DB2EBD"/>
    <w:multiLevelType w:val="multilevel"/>
    <w:tmpl w:val="9DE6FB8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D02011"/>
    <w:multiLevelType w:val="hybridMultilevel"/>
    <w:tmpl w:val="A352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21"/>
  </w:num>
  <w:num w:numId="4">
    <w:abstractNumId w:val="14"/>
  </w:num>
  <w:num w:numId="5">
    <w:abstractNumId w:val="23"/>
  </w:num>
  <w:num w:numId="6">
    <w:abstractNumId w:val="10"/>
  </w:num>
  <w:num w:numId="7">
    <w:abstractNumId w:val="11"/>
  </w:num>
  <w:num w:numId="8">
    <w:abstractNumId w:val="9"/>
  </w:num>
  <w:num w:numId="9">
    <w:abstractNumId w:val="0"/>
  </w:num>
  <w:num w:numId="10">
    <w:abstractNumId w:val="6"/>
  </w:num>
  <w:num w:numId="11">
    <w:abstractNumId w:val="7"/>
  </w:num>
  <w:num w:numId="12">
    <w:abstractNumId w:val="1"/>
  </w:num>
  <w:num w:numId="13">
    <w:abstractNumId w:val="3"/>
  </w:num>
  <w:num w:numId="14">
    <w:abstractNumId w:val="22"/>
  </w:num>
  <w:num w:numId="15">
    <w:abstractNumId w:val="25"/>
  </w:num>
  <w:num w:numId="16">
    <w:abstractNumId w:val="19"/>
  </w:num>
  <w:num w:numId="17">
    <w:abstractNumId w:val="17"/>
  </w:num>
  <w:num w:numId="18">
    <w:abstractNumId w:val="2"/>
  </w:num>
  <w:num w:numId="19">
    <w:abstractNumId w:val="4"/>
  </w:num>
  <w:num w:numId="20">
    <w:abstractNumId w:val="8"/>
  </w:num>
  <w:num w:numId="21">
    <w:abstractNumId w:val="12"/>
  </w:num>
  <w:num w:numId="22">
    <w:abstractNumId w:val="13"/>
  </w:num>
  <w:num w:numId="23">
    <w:abstractNumId w:val="26"/>
  </w:num>
  <w:num w:numId="24">
    <w:abstractNumId w:val="18"/>
  </w:num>
  <w:num w:numId="25">
    <w:abstractNumId w:val="15"/>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63D"/>
    <w:rsid w:val="00004C3F"/>
    <w:rsid w:val="000467D8"/>
    <w:rsid w:val="00061428"/>
    <w:rsid w:val="00093420"/>
    <w:rsid w:val="000B0DB3"/>
    <w:rsid w:val="000B20D5"/>
    <w:rsid w:val="000C286A"/>
    <w:rsid w:val="000D1083"/>
    <w:rsid w:val="000F1BEC"/>
    <w:rsid w:val="000F6F6B"/>
    <w:rsid w:val="00125C33"/>
    <w:rsid w:val="0013363D"/>
    <w:rsid w:val="00156BF9"/>
    <w:rsid w:val="00172638"/>
    <w:rsid w:val="0018516E"/>
    <w:rsid w:val="001F0831"/>
    <w:rsid w:val="00207BE7"/>
    <w:rsid w:val="00212175"/>
    <w:rsid w:val="0022474A"/>
    <w:rsid w:val="00230E09"/>
    <w:rsid w:val="002E7B69"/>
    <w:rsid w:val="00362E87"/>
    <w:rsid w:val="003E2EF8"/>
    <w:rsid w:val="003E57A9"/>
    <w:rsid w:val="003F5CC5"/>
    <w:rsid w:val="00432C9B"/>
    <w:rsid w:val="004456EC"/>
    <w:rsid w:val="0057388E"/>
    <w:rsid w:val="005E66D5"/>
    <w:rsid w:val="005F3094"/>
    <w:rsid w:val="0062544F"/>
    <w:rsid w:val="00646EAB"/>
    <w:rsid w:val="00663588"/>
    <w:rsid w:val="0066492C"/>
    <w:rsid w:val="00691B5A"/>
    <w:rsid w:val="006C1F54"/>
    <w:rsid w:val="006C3D36"/>
    <w:rsid w:val="007516DA"/>
    <w:rsid w:val="007B6EC6"/>
    <w:rsid w:val="007F73E8"/>
    <w:rsid w:val="00801CDC"/>
    <w:rsid w:val="008542A4"/>
    <w:rsid w:val="00863B23"/>
    <w:rsid w:val="00894DE1"/>
    <w:rsid w:val="008F529D"/>
    <w:rsid w:val="00924AA3"/>
    <w:rsid w:val="0093454F"/>
    <w:rsid w:val="009C5C99"/>
    <w:rsid w:val="00A141F3"/>
    <w:rsid w:val="00A15850"/>
    <w:rsid w:val="00A66CFB"/>
    <w:rsid w:val="00A926C1"/>
    <w:rsid w:val="00AC28D6"/>
    <w:rsid w:val="00B17A82"/>
    <w:rsid w:val="00B24F1B"/>
    <w:rsid w:val="00B32A4B"/>
    <w:rsid w:val="00B934A7"/>
    <w:rsid w:val="00B94C3C"/>
    <w:rsid w:val="00BB319E"/>
    <w:rsid w:val="00BB461F"/>
    <w:rsid w:val="00BF6AB8"/>
    <w:rsid w:val="00C24632"/>
    <w:rsid w:val="00C50BF8"/>
    <w:rsid w:val="00C822D5"/>
    <w:rsid w:val="00C947F6"/>
    <w:rsid w:val="00CA3585"/>
    <w:rsid w:val="00D32755"/>
    <w:rsid w:val="00D35C36"/>
    <w:rsid w:val="00D766DB"/>
    <w:rsid w:val="00D7673E"/>
    <w:rsid w:val="00DB32FF"/>
    <w:rsid w:val="00DD73B0"/>
    <w:rsid w:val="00E12BE2"/>
    <w:rsid w:val="00E878EF"/>
    <w:rsid w:val="00E90192"/>
    <w:rsid w:val="00EA0C46"/>
    <w:rsid w:val="00EA7568"/>
    <w:rsid w:val="00EF2B7F"/>
    <w:rsid w:val="00F40054"/>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B6286"/>
  <w15:docId w15:val="{D7933C0D-51D3-49F8-B713-6862D01F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63D"/>
    <w:pPr>
      <w:spacing w:line="278" w:lineRule="auto"/>
    </w:pPr>
    <w:rPr>
      <w:kern w:val="2"/>
      <w:sz w:val="24"/>
      <w:szCs w:val="24"/>
      <w14:ligatures w14:val="standardContextual"/>
    </w:rPr>
  </w:style>
  <w:style w:type="paragraph" w:styleId="Heading1">
    <w:name w:val="heading 1"/>
    <w:basedOn w:val="Normal"/>
    <w:link w:val="Heading1Char"/>
    <w:uiPriority w:val="9"/>
    <w:qFormat/>
    <w:rsid w:val="00C50BF8"/>
    <w:pPr>
      <w:widowControl w:val="0"/>
      <w:autoSpaceDE w:val="0"/>
      <w:autoSpaceDN w:val="0"/>
      <w:spacing w:after="0" w:line="240" w:lineRule="auto"/>
      <w:ind w:left="208"/>
      <w:jc w:val="center"/>
      <w:outlineLvl w:val="0"/>
    </w:pPr>
    <w:rPr>
      <w:rFonts w:ascii="Times New Roman" w:eastAsia="Times New Roman" w:hAnsi="Times New Roman" w:cs="Times New Roman"/>
      <w:b/>
      <w:bCs/>
      <w:kern w:val="0"/>
      <w14:ligatures w14:val="none"/>
    </w:rPr>
  </w:style>
  <w:style w:type="paragraph" w:styleId="Heading2">
    <w:name w:val="heading 2"/>
    <w:basedOn w:val="Normal"/>
    <w:next w:val="Normal"/>
    <w:link w:val="Heading2Char"/>
    <w:uiPriority w:val="9"/>
    <w:qFormat/>
    <w:rsid w:val="00C50BF8"/>
    <w:pPr>
      <w:keepNext/>
      <w:keepLines/>
      <w:spacing w:before="40" w:after="0" w:line="259" w:lineRule="auto"/>
      <w:outlineLvl w:val="1"/>
    </w:pPr>
    <w:rPr>
      <w:rFonts w:ascii="Calibri Light" w:eastAsia="SimSun" w:hAnsi="Calibri Light" w:cs="SimSun"/>
      <w:color w:val="2F5496"/>
      <w:kern w:val="0"/>
      <w:sz w:val="26"/>
      <w:szCs w:val="26"/>
      <w14:ligatures w14:val="none"/>
    </w:rPr>
  </w:style>
  <w:style w:type="paragraph" w:styleId="Heading3">
    <w:name w:val="heading 3"/>
    <w:basedOn w:val="Normal"/>
    <w:next w:val="Normal"/>
    <w:link w:val="Heading3Char"/>
    <w:uiPriority w:val="9"/>
    <w:semiHidden/>
    <w:unhideWhenUsed/>
    <w:qFormat/>
    <w:rsid w:val="00E12BE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2BE2"/>
    <w:pPr>
      <w:keepNext/>
      <w:keepLines/>
      <w:spacing w:before="40" w:after="0" w:line="259" w:lineRule="auto"/>
      <w:outlineLvl w:val="3"/>
    </w:pPr>
    <w:rPr>
      <w:rFonts w:asciiTheme="majorHAnsi" w:eastAsiaTheme="majorEastAsia" w:hAnsiTheme="majorHAnsi" w:cstheme="majorBidi"/>
      <w:i/>
      <w:iCs/>
      <w:color w:val="2E74B5" w:themeColor="accent1" w:themeShade="BF"/>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F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50BF8"/>
    <w:rPr>
      <w:rFonts w:ascii="Calibri Light" w:eastAsia="SimSun" w:hAnsi="Calibri Light" w:cs="SimSun"/>
      <w:color w:val="2F5496"/>
      <w:sz w:val="26"/>
      <w:szCs w:val="26"/>
    </w:rPr>
  </w:style>
  <w:style w:type="paragraph" w:styleId="ListParagraph">
    <w:name w:val="List Paragraph"/>
    <w:basedOn w:val="Normal"/>
    <w:uiPriority w:val="34"/>
    <w:qFormat/>
    <w:rsid w:val="0013363D"/>
    <w:pPr>
      <w:ind w:left="720"/>
      <w:contextualSpacing/>
    </w:pPr>
  </w:style>
  <w:style w:type="paragraph" w:styleId="NormalWeb">
    <w:name w:val="Normal (Web)"/>
    <w:basedOn w:val="Normal"/>
    <w:uiPriority w:val="99"/>
    <w:unhideWhenUsed/>
    <w:rsid w:val="0013363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3363D"/>
    <w:rPr>
      <w:b/>
      <w:bCs/>
    </w:rPr>
  </w:style>
  <w:style w:type="character" w:styleId="Hyperlink">
    <w:name w:val="Hyperlink"/>
    <w:basedOn w:val="DefaultParagraphFont"/>
    <w:uiPriority w:val="99"/>
    <w:unhideWhenUsed/>
    <w:rsid w:val="0013363D"/>
    <w:rPr>
      <w:color w:val="0000FF"/>
      <w:u w:val="single"/>
    </w:rPr>
  </w:style>
  <w:style w:type="character" w:styleId="FollowedHyperlink">
    <w:name w:val="FollowedHyperlink"/>
    <w:basedOn w:val="DefaultParagraphFont"/>
    <w:uiPriority w:val="99"/>
    <w:semiHidden/>
    <w:unhideWhenUsed/>
    <w:rsid w:val="00DD73B0"/>
    <w:rPr>
      <w:color w:val="954F72" w:themeColor="followedHyperlink"/>
      <w:u w:val="single"/>
    </w:rPr>
  </w:style>
  <w:style w:type="character" w:styleId="CommentReference">
    <w:name w:val="annotation reference"/>
    <w:basedOn w:val="DefaultParagraphFont"/>
    <w:uiPriority w:val="99"/>
    <w:semiHidden/>
    <w:unhideWhenUsed/>
    <w:rsid w:val="00061428"/>
    <w:rPr>
      <w:sz w:val="16"/>
      <w:szCs w:val="16"/>
    </w:rPr>
  </w:style>
  <w:style w:type="paragraph" w:styleId="CommentText">
    <w:name w:val="annotation text"/>
    <w:basedOn w:val="Normal"/>
    <w:link w:val="CommentTextChar"/>
    <w:uiPriority w:val="99"/>
    <w:unhideWhenUsed/>
    <w:rsid w:val="00061428"/>
    <w:pPr>
      <w:spacing w:after="200" w:line="240" w:lineRule="auto"/>
    </w:pPr>
    <w:rPr>
      <w:rFonts w:ascii="Times New Roman" w:eastAsiaTheme="minorEastAsia" w:hAnsi="Times New Roman"/>
      <w:kern w:val="0"/>
      <w:sz w:val="20"/>
      <w:szCs w:val="20"/>
      <w14:ligatures w14:val="none"/>
    </w:rPr>
  </w:style>
  <w:style w:type="character" w:customStyle="1" w:styleId="CommentTextChar">
    <w:name w:val="Comment Text Char"/>
    <w:basedOn w:val="DefaultParagraphFont"/>
    <w:link w:val="CommentText"/>
    <w:uiPriority w:val="99"/>
    <w:rsid w:val="00061428"/>
    <w:rPr>
      <w:rFonts w:ascii="Times New Roman" w:eastAsiaTheme="minorEastAsia" w:hAnsi="Times New Roman"/>
      <w:sz w:val="20"/>
      <w:szCs w:val="20"/>
    </w:rPr>
  </w:style>
  <w:style w:type="paragraph" w:styleId="BalloonText">
    <w:name w:val="Balloon Text"/>
    <w:basedOn w:val="Normal"/>
    <w:link w:val="BalloonTextChar"/>
    <w:uiPriority w:val="99"/>
    <w:unhideWhenUsed/>
    <w:rsid w:val="00061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61428"/>
    <w:rPr>
      <w:rFonts w:ascii="Segoe UI" w:hAnsi="Segoe UI" w:cs="Segoe UI"/>
      <w:kern w:val="2"/>
      <w:sz w:val="18"/>
      <w:szCs w:val="18"/>
      <w14:ligatures w14:val="standardContextual"/>
    </w:rPr>
  </w:style>
  <w:style w:type="paragraph" w:styleId="BodyText">
    <w:name w:val="Body Text"/>
    <w:basedOn w:val="Normal"/>
    <w:link w:val="BodyTextChar"/>
    <w:uiPriority w:val="1"/>
    <w:qFormat/>
    <w:rsid w:val="00C50BF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50BF8"/>
    <w:rPr>
      <w:rFonts w:ascii="Times New Roman" w:eastAsia="Times New Roman" w:hAnsi="Times New Roman" w:cs="Times New Roman"/>
      <w:sz w:val="24"/>
      <w:szCs w:val="24"/>
    </w:rPr>
  </w:style>
  <w:style w:type="paragraph" w:styleId="Header">
    <w:name w:val="header"/>
    <w:basedOn w:val="Normal"/>
    <w:link w:val="HeaderChar"/>
    <w:uiPriority w:val="99"/>
    <w:rsid w:val="00C50BF8"/>
    <w:pPr>
      <w:tabs>
        <w:tab w:val="center" w:pos="4680"/>
        <w:tab w:val="right" w:pos="9360"/>
      </w:tabs>
      <w:spacing w:after="0" w:line="240" w:lineRule="auto"/>
    </w:pPr>
    <w:rPr>
      <w:rFonts w:ascii="Calibri" w:eastAsia="Calibri" w:hAnsi="Calibri" w:cs="SimSun"/>
      <w:kern w:val="0"/>
      <w:sz w:val="22"/>
      <w:szCs w:val="22"/>
      <w14:ligatures w14:val="none"/>
    </w:rPr>
  </w:style>
  <w:style w:type="character" w:customStyle="1" w:styleId="HeaderChar">
    <w:name w:val="Header Char"/>
    <w:basedOn w:val="DefaultParagraphFont"/>
    <w:link w:val="Header"/>
    <w:uiPriority w:val="99"/>
    <w:rsid w:val="00C50BF8"/>
    <w:rPr>
      <w:rFonts w:ascii="Calibri" w:eastAsia="Calibri" w:hAnsi="Calibri" w:cs="SimSun"/>
    </w:rPr>
  </w:style>
  <w:style w:type="paragraph" w:styleId="Footer">
    <w:name w:val="footer"/>
    <w:basedOn w:val="Normal"/>
    <w:link w:val="FooterChar"/>
    <w:uiPriority w:val="99"/>
    <w:rsid w:val="00C50BF8"/>
    <w:pPr>
      <w:tabs>
        <w:tab w:val="center" w:pos="4680"/>
        <w:tab w:val="right" w:pos="9360"/>
      </w:tabs>
      <w:spacing w:after="0" w:line="240" w:lineRule="auto"/>
    </w:pPr>
    <w:rPr>
      <w:rFonts w:ascii="Calibri" w:eastAsia="Calibri" w:hAnsi="Calibri" w:cs="SimSun"/>
      <w:kern w:val="0"/>
      <w:sz w:val="22"/>
      <w:szCs w:val="22"/>
      <w14:ligatures w14:val="none"/>
    </w:rPr>
  </w:style>
  <w:style w:type="character" w:customStyle="1" w:styleId="FooterChar">
    <w:name w:val="Footer Char"/>
    <w:basedOn w:val="DefaultParagraphFont"/>
    <w:link w:val="Footer"/>
    <w:uiPriority w:val="99"/>
    <w:rsid w:val="00C50BF8"/>
    <w:rPr>
      <w:rFonts w:ascii="Calibri" w:eastAsia="Calibri" w:hAnsi="Calibri" w:cs="SimSun"/>
    </w:rPr>
  </w:style>
  <w:style w:type="character" w:customStyle="1" w:styleId="UnresolvedMention1">
    <w:name w:val="Unresolved Mention1"/>
    <w:basedOn w:val="DefaultParagraphFont"/>
    <w:uiPriority w:val="99"/>
    <w:rsid w:val="00C50BF8"/>
    <w:rPr>
      <w:color w:val="605E5C"/>
      <w:shd w:val="clear" w:color="auto" w:fill="E1DFDD"/>
    </w:rPr>
  </w:style>
  <w:style w:type="table" w:customStyle="1" w:styleId="ListTable6Colorful1">
    <w:name w:val="List Table 6 Colorful1"/>
    <w:basedOn w:val="TableNormal"/>
    <w:uiPriority w:val="51"/>
    <w:rsid w:val="00C50BF8"/>
    <w:pPr>
      <w:spacing w:after="0" w:line="240" w:lineRule="auto"/>
    </w:pPr>
    <w:rPr>
      <w:rFonts w:ascii="Calibri" w:eastAsia="Calibri" w:hAnsi="Calibri" w:cs="SimSu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rsid w:val="000C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deinm1hgl8">
    <w:name w:val="_fadein_m1hgl_8"/>
    <w:basedOn w:val="DefaultParagraphFont"/>
    <w:rsid w:val="001F0831"/>
  </w:style>
  <w:style w:type="table" w:customStyle="1" w:styleId="GridTable4-Accent11">
    <w:name w:val="Grid Table 4 - Accent 11"/>
    <w:basedOn w:val="TableNormal"/>
    <w:uiPriority w:val="49"/>
    <w:rsid w:val="002E7B69"/>
    <w:pPr>
      <w:spacing w:after="0" w:line="240" w:lineRule="auto"/>
    </w:p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B934A7"/>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12BE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E12BE2"/>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F40054"/>
  </w:style>
  <w:style w:type="paragraph" w:styleId="CommentSubject">
    <w:name w:val="annotation subject"/>
    <w:basedOn w:val="CommentText"/>
    <w:next w:val="CommentText"/>
    <w:link w:val="CommentSubjectChar"/>
    <w:uiPriority w:val="99"/>
    <w:semiHidden/>
    <w:unhideWhenUsed/>
    <w:rsid w:val="00172638"/>
    <w:pPr>
      <w:spacing w:after="160"/>
    </w:pPr>
    <w:rPr>
      <w:rFonts w:asciiTheme="minorHAnsi" w:eastAsia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172638"/>
    <w:rPr>
      <w:rFonts w:ascii="Times New Roman" w:eastAsiaTheme="minorEastAsia" w:hAnsi="Times New Roman"/>
      <w:b/>
      <w:bCs/>
      <w:kern w:val="2"/>
      <w:sz w:val="20"/>
      <w:szCs w:val="20"/>
      <w14:ligatures w14:val="standardContextual"/>
    </w:rPr>
  </w:style>
  <w:style w:type="character" w:styleId="Emphasis">
    <w:name w:val="Emphasis"/>
    <w:basedOn w:val="DefaultParagraphFont"/>
    <w:uiPriority w:val="20"/>
    <w:qFormat/>
    <w:rsid w:val="00A15850"/>
    <w:rPr>
      <w:i/>
      <w:iCs/>
    </w:rPr>
  </w:style>
  <w:style w:type="character" w:customStyle="1" w:styleId="UnresolvedMention2">
    <w:name w:val="Unresolved Mention2"/>
    <w:basedOn w:val="DefaultParagraphFont"/>
    <w:uiPriority w:val="99"/>
    <w:semiHidden/>
    <w:unhideWhenUsed/>
    <w:rsid w:val="00C9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1360">
      <w:bodyDiv w:val="1"/>
      <w:marLeft w:val="0"/>
      <w:marRight w:val="0"/>
      <w:marTop w:val="0"/>
      <w:marBottom w:val="0"/>
      <w:divBdr>
        <w:top w:val="none" w:sz="0" w:space="0" w:color="auto"/>
        <w:left w:val="none" w:sz="0" w:space="0" w:color="auto"/>
        <w:bottom w:val="none" w:sz="0" w:space="0" w:color="auto"/>
        <w:right w:val="none" w:sz="0" w:space="0" w:color="auto"/>
      </w:divBdr>
    </w:div>
    <w:div w:id="109473078">
      <w:bodyDiv w:val="1"/>
      <w:marLeft w:val="0"/>
      <w:marRight w:val="0"/>
      <w:marTop w:val="0"/>
      <w:marBottom w:val="0"/>
      <w:divBdr>
        <w:top w:val="none" w:sz="0" w:space="0" w:color="auto"/>
        <w:left w:val="none" w:sz="0" w:space="0" w:color="auto"/>
        <w:bottom w:val="none" w:sz="0" w:space="0" w:color="auto"/>
        <w:right w:val="none" w:sz="0" w:space="0" w:color="auto"/>
      </w:divBdr>
    </w:div>
    <w:div w:id="135341436">
      <w:bodyDiv w:val="1"/>
      <w:marLeft w:val="0"/>
      <w:marRight w:val="0"/>
      <w:marTop w:val="0"/>
      <w:marBottom w:val="0"/>
      <w:divBdr>
        <w:top w:val="none" w:sz="0" w:space="0" w:color="auto"/>
        <w:left w:val="none" w:sz="0" w:space="0" w:color="auto"/>
        <w:bottom w:val="none" w:sz="0" w:space="0" w:color="auto"/>
        <w:right w:val="none" w:sz="0" w:space="0" w:color="auto"/>
      </w:divBdr>
    </w:div>
    <w:div w:id="259996341">
      <w:bodyDiv w:val="1"/>
      <w:marLeft w:val="0"/>
      <w:marRight w:val="0"/>
      <w:marTop w:val="0"/>
      <w:marBottom w:val="0"/>
      <w:divBdr>
        <w:top w:val="none" w:sz="0" w:space="0" w:color="auto"/>
        <w:left w:val="none" w:sz="0" w:space="0" w:color="auto"/>
        <w:bottom w:val="none" w:sz="0" w:space="0" w:color="auto"/>
        <w:right w:val="none" w:sz="0" w:space="0" w:color="auto"/>
      </w:divBdr>
    </w:div>
    <w:div w:id="383992065">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640228635">
      <w:bodyDiv w:val="1"/>
      <w:marLeft w:val="0"/>
      <w:marRight w:val="0"/>
      <w:marTop w:val="0"/>
      <w:marBottom w:val="0"/>
      <w:divBdr>
        <w:top w:val="none" w:sz="0" w:space="0" w:color="auto"/>
        <w:left w:val="none" w:sz="0" w:space="0" w:color="auto"/>
        <w:bottom w:val="none" w:sz="0" w:space="0" w:color="auto"/>
        <w:right w:val="none" w:sz="0" w:space="0" w:color="auto"/>
      </w:divBdr>
    </w:div>
    <w:div w:id="660428934">
      <w:bodyDiv w:val="1"/>
      <w:marLeft w:val="0"/>
      <w:marRight w:val="0"/>
      <w:marTop w:val="0"/>
      <w:marBottom w:val="0"/>
      <w:divBdr>
        <w:top w:val="none" w:sz="0" w:space="0" w:color="auto"/>
        <w:left w:val="none" w:sz="0" w:space="0" w:color="auto"/>
        <w:bottom w:val="none" w:sz="0" w:space="0" w:color="auto"/>
        <w:right w:val="none" w:sz="0" w:space="0" w:color="auto"/>
      </w:divBdr>
    </w:div>
    <w:div w:id="848326500">
      <w:bodyDiv w:val="1"/>
      <w:marLeft w:val="0"/>
      <w:marRight w:val="0"/>
      <w:marTop w:val="0"/>
      <w:marBottom w:val="0"/>
      <w:divBdr>
        <w:top w:val="none" w:sz="0" w:space="0" w:color="auto"/>
        <w:left w:val="none" w:sz="0" w:space="0" w:color="auto"/>
        <w:bottom w:val="none" w:sz="0" w:space="0" w:color="auto"/>
        <w:right w:val="none" w:sz="0" w:space="0" w:color="auto"/>
      </w:divBdr>
    </w:div>
    <w:div w:id="950362181">
      <w:bodyDiv w:val="1"/>
      <w:marLeft w:val="0"/>
      <w:marRight w:val="0"/>
      <w:marTop w:val="0"/>
      <w:marBottom w:val="0"/>
      <w:divBdr>
        <w:top w:val="none" w:sz="0" w:space="0" w:color="auto"/>
        <w:left w:val="none" w:sz="0" w:space="0" w:color="auto"/>
        <w:bottom w:val="none" w:sz="0" w:space="0" w:color="auto"/>
        <w:right w:val="none" w:sz="0" w:space="0" w:color="auto"/>
      </w:divBdr>
    </w:div>
    <w:div w:id="983318029">
      <w:bodyDiv w:val="1"/>
      <w:marLeft w:val="0"/>
      <w:marRight w:val="0"/>
      <w:marTop w:val="0"/>
      <w:marBottom w:val="0"/>
      <w:divBdr>
        <w:top w:val="none" w:sz="0" w:space="0" w:color="auto"/>
        <w:left w:val="none" w:sz="0" w:space="0" w:color="auto"/>
        <w:bottom w:val="none" w:sz="0" w:space="0" w:color="auto"/>
        <w:right w:val="none" w:sz="0" w:space="0" w:color="auto"/>
      </w:divBdr>
    </w:div>
    <w:div w:id="1219784419">
      <w:bodyDiv w:val="1"/>
      <w:marLeft w:val="0"/>
      <w:marRight w:val="0"/>
      <w:marTop w:val="0"/>
      <w:marBottom w:val="0"/>
      <w:divBdr>
        <w:top w:val="none" w:sz="0" w:space="0" w:color="auto"/>
        <w:left w:val="none" w:sz="0" w:space="0" w:color="auto"/>
        <w:bottom w:val="none" w:sz="0" w:space="0" w:color="auto"/>
        <w:right w:val="none" w:sz="0" w:space="0" w:color="auto"/>
      </w:divBdr>
    </w:div>
    <w:div w:id="1316299553">
      <w:bodyDiv w:val="1"/>
      <w:marLeft w:val="0"/>
      <w:marRight w:val="0"/>
      <w:marTop w:val="0"/>
      <w:marBottom w:val="0"/>
      <w:divBdr>
        <w:top w:val="none" w:sz="0" w:space="0" w:color="auto"/>
        <w:left w:val="none" w:sz="0" w:space="0" w:color="auto"/>
        <w:bottom w:val="none" w:sz="0" w:space="0" w:color="auto"/>
        <w:right w:val="none" w:sz="0" w:space="0" w:color="auto"/>
      </w:divBdr>
    </w:div>
    <w:div w:id="1467623709">
      <w:bodyDiv w:val="1"/>
      <w:marLeft w:val="0"/>
      <w:marRight w:val="0"/>
      <w:marTop w:val="0"/>
      <w:marBottom w:val="0"/>
      <w:divBdr>
        <w:top w:val="none" w:sz="0" w:space="0" w:color="auto"/>
        <w:left w:val="none" w:sz="0" w:space="0" w:color="auto"/>
        <w:bottom w:val="none" w:sz="0" w:space="0" w:color="auto"/>
        <w:right w:val="none" w:sz="0" w:space="0" w:color="auto"/>
      </w:divBdr>
    </w:div>
    <w:div w:id="1531918222">
      <w:bodyDiv w:val="1"/>
      <w:marLeft w:val="0"/>
      <w:marRight w:val="0"/>
      <w:marTop w:val="0"/>
      <w:marBottom w:val="0"/>
      <w:divBdr>
        <w:top w:val="none" w:sz="0" w:space="0" w:color="auto"/>
        <w:left w:val="none" w:sz="0" w:space="0" w:color="auto"/>
        <w:bottom w:val="none" w:sz="0" w:space="0" w:color="auto"/>
        <w:right w:val="none" w:sz="0" w:space="0" w:color="auto"/>
      </w:divBdr>
    </w:div>
    <w:div w:id="2115635726">
      <w:bodyDiv w:val="1"/>
      <w:marLeft w:val="0"/>
      <w:marRight w:val="0"/>
      <w:marTop w:val="0"/>
      <w:marBottom w:val="0"/>
      <w:divBdr>
        <w:top w:val="none" w:sz="0" w:space="0" w:color="auto"/>
        <w:left w:val="none" w:sz="0" w:space="0" w:color="auto"/>
        <w:bottom w:val="none" w:sz="0" w:space="0" w:color="auto"/>
        <w:right w:val="none" w:sz="0" w:space="0" w:color="auto"/>
      </w:divBdr>
    </w:div>
    <w:div w:id="2118330170">
      <w:bodyDiv w:val="1"/>
      <w:marLeft w:val="0"/>
      <w:marRight w:val="0"/>
      <w:marTop w:val="0"/>
      <w:marBottom w:val="0"/>
      <w:divBdr>
        <w:top w:val="none" w:sz="0" w:space="0" w:color="auto"/>
        <w:left w:val="none" w:sz="0" w:space="0" w:color="auto"/>
        <w:bottom w:val="none" w:sz="0" w:space="0" w:color="auto"/>
        <w:right w:val="none" w:sz="0" w:space="0" w:color="auto"/>
      </w:divBdr>
    </w:div>
    <w:div w:id="214607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Source of Info</a:t>
            </a:r>
            <a:r>
              <a:rPr lang="en-US" baseline="0"/>
              <a:t> on Malaria Vaccine</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Percentage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2030-4BEB-8B33-F9AF6F6E9516}"/>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2030-4BEB-8B33-F9AF6F6E9516}"/>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2030-4BEB-8B33-F9AF6F6E9516}"/>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2030-4BEB-8B33-F9AF6F6E9516}"/>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2030-4BEB-8B33-F9AF6F6E951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TV</c:v>
                </c:pt>
                <c:pt idx="1">
                  <c:v>Hospital/Health Worker</c:v>
                </c:pt>
                <c:pt idx="2">
                  <c:v>Community Outreach</c:v>
                </c:pt>
                <c:pt idx="3">
                  <c:v>Social media</c:v>
                </c:pt>
                <c:pt idx="4">
                  <c:v>Others</c:v>
                </c:pt>
              </c:strCache>
            </c:strRef>
          </c:cat>
          <c:val>
            <c:numRef>
              <c:f>Sheet1!$B$2:$B$6</c:f>
              <c:numCache>
                <c:formatCode>0.0</c:formatCode>
                <c:ptCount val="5"/>
                <c:pt idx="0">
                  <c:v>24</c:v>
                </c:pt>
                <c:pt idx="1">
                  <c:v>28.7</c:v>
                </c:pt>
                <c:pt idx="2">
                  <c:v>15.6</c:v>
                </c:pt>
                <c:pt idx="3">
                  <c:v>12.5</c:v>
                </c:pt>
                <c:pt idx="4">
                  <c:v>19.2</c:v>
                </c:pt>
              </c:numCache>
            </c:numRef>
          </c:val>
          <c:extLst>
            <c:ext xmlns:c16="http://schemas.microsoft.com/office/drawing/2014/chart" uri="{C3380CC4-5D6E-409C-BE32-E72D297353CC}">
              <c16:uniqueId val="{00000005-8C25-40A9-A129-FE9A16B0B524}"/>
            </c:ext>
          </c:extLst>
        </c:ser>
        <c:dLbls>
          <c:dLblPos val="inEnd"/>
          <c:showLegendKey val="0"/>
          <c:showVal val="1"/>
          <c:showCatName val="0"/>
          <c:showSerName val="0"/>
          <c:showPercent val="0"/>
          <c:showBubbleSize val="0"/>
        </c:dLbls>
        <c:gapWidth val="41"/>
        <c:axId val="172715392"/>
        <c:axId val="172717184"/>
      </c:barChart>
      <c:catAx>
        <c:axId val="17271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717184"/>
        <c:crosses val="autoZero"/>
        <c:auto val="1"/>
        <c:lblAlgn val="ctr"/>
        <c:lblOffset val="100"/>
        <c:noMultiLvlLbl val="0"/>
      </c:catAx>
      <c:valAx>
        <c:axId val="172717184"/>
        <c:scaling>
          <c:orientation val="minMax"/>
        </c:scaling>
        <c:delete val="1"/>
        <c:axPos val="l"/>
        <c:numFmt formatCode="0.0" sourceLinked="1"/>
        <c:majorTickMark val="none"/>
        <c:minorTickMark val="none"/>
        <c:tickLblPos val="nextTo"/>
        <c:crossAx val="1727153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Overall knowledge level</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59D-43F9-BB6F-2339C3F65565}"/>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59D-43F9-BB6F-2339C3F65565}"/>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59D-43F9-BB6F-2339C3F65565}"/>
              </c:ext>
            </c:extLst>
          </c:dPt>
          <c:dLbls>
            <c:dLbl>
              <c:idx val="0"/>
              <c:delete val="1"/>
              <c:extLst>
                <c:ext xmlns:c15="http://schemas.microsoft.com/office/drawing/2012/chart" uri="{CE6537A1-D6FC-4f65-9D91-7224C49458BB}"/>
                <c:ext xmlns:c16="http://schemas.microsoft.com/office/drawing/2014/chart" uri="{C3380CC4-5D6E-409C-BE32-E72D297353CC}">
                  <c16:uniqueId val="{00000001-B59D-43F9-BB6F-2339C3F65565}"/>
                </c:ext>
              </c:extLst>
            </c:dLbl>
            <c:dLbl>
              <c:idx val="1"/>
              <c:tx>
                <c:rich>
                  <a:bodyPr/>
                  <a:lstStyle/>
                  <a:p>
                    <a:r>
                      <a:rPr lang="en-US"/>
                      <a:t>122 (34.9%)</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59D-43F9-BB6F-2339C3F65565}"/>
                </c:ext>
              </c:extLst>
            </c:dLbl>
            <c:dLbl>
              <c:idx val="2"/>
              <c:tx>
                <c:rich>
                  <a:bodyPr/>
                  <a:lstStyle/>
                  <a:p>
                    <a:r>
                      <a:rPr lang="en-US"/>
                      <a:t>195 (61.5%)</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59D-43F9-BB6F-2339C3F655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1">
                <c:v>Bad knowledge</c:v>
              </c:pt>
              <c:pt idx="2">
                <c:v>Good knowledge</c:v>
              </c:pt>
            </c:strLit>
          </c:cat>
          <c:val>
            <c:numLit>
              <c:formatCode>General</c:formatCode>
              <c:ptCount val="3"/>
              <c:pt idx="0">
                <c:v>0</c:v>
              </c:pt>
              <c:pt idx="1">
                <c:v>38.485804416403788</c:v>
              </c:pt>
              <c:pt idx="2">
                <c:v>61.514195583596212</c:v>
              </c:pt>
            </c:numLit>
          </c:val>
          <c:extLst>
            <c:ext xmlns:c16="http://schemas.microsoft.com/office/drawing/2014/chart" uri="{C3380CC4-5D6E-409C-BE32-E72D297353CC}">
              <c16:uniqueId val="{00000006-B59D-43F9-BB6F-2339C3F65565}"/>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Overall Level of Willingness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Unwillingness</c:v>
              </c:pt>
              <c:pt idx="1">
                <c:v>Willingness</c:v>
              </c:pt>
            </c:strLit>
          </c:cat>
          <c:val>
            <c:numLit>
              <c:formatCode>General</c:formatCode>
              <c:ptCount val="2"/>
              <c:pt idx="0">
                <c:v>4</c:v>
              </c:pt>
              <c:pt idx="1">
                <c:v>96</c:v>
              </c:pt>
            </c:numLit>
          </c:val>
          <c:extLst>
            <c:ext xmlns:c16="http://schemas.microsoft.com/office/drawing/2014/chart" uri="{C3380CC4-5D6E-409C-BE32-E72D297353CC}">
              <c16:uniqueId val="{00000000-E65B-4C0C-BDB9-C03657E6660D}"/>
            </c:ext>
          </c:extLst>
        </c:ser>
        <c:dLbls>
          <c:showLegendKey val="0"/>
          <c:showVal val="0"/>
          <c:showCatName val="0"/>
          <c:showSerName val="0"/>
          <c:showPercent val="0"/>
          <c:showBubbleSize val="0"/>
        </c:dLbls>
        <c:gapWidth val="219"/>
        <c:overlap val="-27"/>
        <c:axId val="172971136"/>
        <c:axId val="172973056"/>
      </c:barChart>
      <c:catAx>
        <c:axId val="172971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73056"/>
        <c:crosses val="autoZero"/>
        <c:auto val="1"/>
        <c:lblAlgn val="ctr"/>
        <c:lblOffset val="100"/>
        <c:noMultiLvlLbl val="0"/>
      </c:catAx>
      <c:valAx>
        <c:axId val="17297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7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30</Pages>
  <Words>29242</Words>
  <Characters>166682</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21</cp:revision>
  <cp:lastPrinted>2025-05-19T14:52:00Z</cp:lastPrinted>
  <dcterms:created xsi:type="dcterms:W3CDTF">2025-06-16T21:49:00Z</dcterms:created>
  <dcterms:modified xsi:type="dcterms:W3CDTF">2025-07-18T12:48:00Z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id="UbZBJjBV"/&gt;&lt;style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