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A5" w:rsidRDefault="00342678">
      <w:pPr>
        <w:spacing w:after="720" w:line="276" w:lineRule="auto"/>
        <w:jc w:val="center"/>
        <w:rPr>
          <w:rFonts w:ascii="Times New Roman" w:hAnsi="Times New Roman"/>
          <w:b/>
          <w:color w:val="333333"/>
          <w:sz w:val="28"/>
          <w:szCs w:val="28"/>
          <w:u w:val="single"/>
        </w:rPr>
      </w:pPr>
      <w:r>
        <w:rPr>
          <w:rFonts w:ascii="Times New Roman" w:hAnsi="Times New Roman"/>
          <w:b/>
          <w:color w:val="333333"/>
          <w:sz w:val="28"/>
          <w:szCs w:val="28"/>
          <w:u w:val="single"/>
        </w:rPr>
        <w:t>ORAL SEBACEOUS CARCINOMA</w:t>
      </w:r>
      <w:r w:rsidR="00FD5AA7">
        <w:rPr>
          <w:rFonts w:ascii="Times New Roman" w:hAnsi="Times New Roman"/>
          <w:b/>
          <w:color w:val="333333"/>
          <w:sz w:val="28"/>
          <w:szCs w:val="28"/>
          <w:u w:val="single"/>
        </w:rPr>
        <w:t xml:space="preserve">: </w:t>
      </w:r>
      <w:r>
        <w:rPr>
          <w:rFonts w:ascii="Times New Roman" w:hAnsi="Times New Roman"/>
          <w:b/>
          <w:color w:val="333333"/>
          <w:sz w:val="28"/>
          <w:szCs w:val="28"/>
          <w:u w:val="single"/>
        </w:rPr>
        <w:t>A SYSTEMATIC REVIEW</w:t>
      </w:r>
    </w:p>
    <w:p w:rsidR="008E11A5" w:rsidRDefault="00342678">
      <w:pPr>
        <w:spacing w:after="720" w:line="276" w:lineRule="auto"/>
        <w:jc w:val="both"/>
        <w:rPr>
          <w:rFonts w:ascii="Times New Roman" w:hAnsi="Times New Roman"/>
          <w:b/>
          <w:sz w:val="28"/>
          <w:szCs w:val="28"/>
          <w:u w:val="single"/>
        </w:rPr>
      </w:pPr>
      <w:r>
        <w:rPr>
          <w:rFonts w:ascii="Times New Roman" w:hAnsi="Times New Roman"/>
          <w:b/>
          <w:sz w:val="28"/>
          <w:szCs w:val="28"/>
          <w:u w:val="single"/>
        </w:rPr>
        <w:t>ABSTRACT –</w:t>
      </w:r>
    </w:p>
    <w:p w:rsidR="008E11A5" w:rsidRDefault="00342678">
      <w:pPr>
        <w:ind w:left="360"/>
        <w:jc w:val="both"/>
        <w:rPr>
          <w:rFonts w:ascii="Times New Roman" w:hAnsi="Times New Roman"/>
          <w:sz w:val="28"/>
          <w:szCs w:val="28"/>
        </w:rPr>
      </w:pPr>
      <w:r>
        <w:rPr>
          <w:rFonts w:ascii="Times New Roman" w:hAnsi="Times New Roman"/>
          <w:b/>
          <w:sz w:val="28"/>
          <w:szCs w:val="28"/>
        </w:rPr>
        <w:t>Introduction:</w:t>
      </w:r>
      <w:r>
        <w:rPr>
          <w:rFonts w:ascii="Times New Roman" w:hAnsi="Times New Roman"/>
          <w:sz w:val="28"/>
          <w:szCs w:val="28"/>
        </w:rPr>
        <w:t xml:space="preserve"> Sebaceous carcinoma is predominantly known as a cutaneous malignancy, most commonly arising in the periocular region. It is locally aggressive and carries a risk of metastasis. Its occurrence in the oral cavity is exceptionally rare, making it a diagnostic challenge for clinicians and pathologists. Furthermore, recognition of intraoral sebaceous carcinoma is important, as it may be associated with genetic syndromes such as Muir-Torre syndrome, which has broader implications for patient management and family screening. Therefore, awareness of this rare entity in the oral cavity is crucial for timely diagnosis, appropriate therapy, and comprehensive patient care </w:t>
      </w:r>
      <w:r>
        <w:rPr>
          <w:rStyle w:val="Strong"/>
          <w:rFonts w:ascii="Times New Roman" w:hAnsi="Times New Roman"/>
          <w:bCs w:val="0"/>
          <w:sz w:val="28"/>
          <w:szCs w:val="28"/>
        </w:rPr>
        <w:t>Objectives</w:t>
      </w:r>
      <w:r>
        <w:rPr>
          <w:rStyle w:val="Strong"/>
          <w:rFonts w:ascii="Times New Roman" w:hAnsi="Times New Roman"/>
          <w:b w:val="0"/>
          <w:bCs w:val="0"/>
          <w:sz w:val="28"/>
          <w:szCs w:val="28"/>
        </w:rPr>
        <w:t xml:space="preserve"> - </w:t>
      </w:r>
      <w:r w:rsidRPr="000A1783">
        <w:rPr>
          <w:rFonts w:ascii="Times New Roman" w:hAnsi="Times New Roman"/>
          <w:sz w:val="28"/>
          <w:szCs w:val="28"/>
          <w:highlight w:val="yellow"/>
        </w:rPr>
        <w:t xml:space="preserve">To </w:t>
      </w:r>
      <w:proofErr w:type="spellStart"/>
      <w:r w:rsidRPr="000A1783">
        <w:rPr>
          <w:rFonts w:ascii="Times New Roman" w:hAnsi="Times New Roman"/>
          <w:sz w:val="28"/>
          <w:szCs w:val="28"/>
          <w:highlight w:val="yellow"/>
        </w:rPr>
        <w:t>asses</w:t>
      </w:r>
      <w:proofErr w:type="spellEnd"/>
      <w:r w:rsidRPr="000A1783">
        <w:rPr>
          <w:rFonts w:ascii="Times New Roman" w:hAnsi="Times New Roman"/>
          <w:sz w:val="28"/>
          <w:szCs w:val="28"/>
          <w:highlight w:val="yellow"/>
        </w:rPr>
        <w:t xml:space="preserve"> the demographics, clinical and histopathological features, differential diagnoses, treatment approaches, and patient outcomes in oral sebaceous carcinoma</w:t>
      </w:r>
      <w:r>
        <w:rPr>
          <w:rFonts w:ascii="Times New Roman" w:hAnsi="Times New Roman"/>
          <w:sz w:val="28"/>
          <w:szCs w:val="28"/>
        </w:rPr>
        <w:t xml:space="preserve">. </w:t>
      </w:r>
      <w:r>
        <w:rPr>
          <w:rStyle w:val="Strong"/>
          <w:rFonts w:ascii="Times New Roman" w:hAnsi="Times New Roman"/>
          <w:bCs w:val="0"/>
          <w:sz w:val="28"/>
          <w:szCs w:val="28"/>
        </w:rPr>
        <w:t>Methods:</w:t>
      </w:r>
      <w:r>
        <w:rPr>
          <w:rStyle w:val="Strong"/>
          <w:rFonts w:ascii="Times New Roman" w:hAnsi="Times New Roman"/>
          <w:b w:val="0"/>
          <w:bCs w:val="0"/>
          <w:sz w:val="28"/>
          <w:szCs w:val="28"/>
        </w:rPr>
        <w:t xml:space="preserve"> </w:t>
      </w:r>
      <w:r>
        <w:rPr>
          <w:rFonts w:ascii="Times New Roman" w:hAnsi="Times New Roman"/>
          <w:sz w:val="28"/>
          <w:szCs w:val="28"/>
        </w:rPr>
        <w:t xml:space="preserve">Case reports and case series of oral sebaceous carcinoma were retrieved through a systematic search of three electronic databases, using the following inclusion criteria – </w:t>
      </w:r>
      <w:proofErr w:type="gramStart"/>
      <w:r>
        <w:rPr>
          <w:rFonts w:ascii="Times New Roman" w:hAnsi="Times New Roman"/>
          <w:sz w:val="28"/>
          <w:szCs w:val="28"/>
        </w:rPr>
        <w:t>1)Case</w:t>
      </w:r>
      <w:proofErr w:type="gramEnd"/>
      <w:r>
        <w:rPr>
          <w:rFonts w:ascii="Times New Roman" w:hAnsi="Times New Roman"/>
          <w:sz w:val="28"/>
          <w:szCs w:val="28"/>
        </w:rPr>
        <w:t xml:space="preserve"> reports and case series on patients with intraoral sebaceous carcinoma published between 2000 and 2024. 2) Articles published in English.</w:t>
      </w:r>
      <w:proofErr w:type="gramStart"/>
      <w:r>
        <w:rPr>
          <w:rFonts w:ascii="Times New Roman" w:hAnsi="Times New Roman"/>
          <w:sz w:val="28"/>
          <w:szCs w:val="28"/>
        </w:rPr>
        <w:t>3)Case</w:t>
      </w:r>
      <w:proofErr w:type="gramEnd"/>
      <w:r>
        <w:rPr>
          <w:rFonts w:ascii="Times New Roman" w:hAnsi="Times New Roman"/>
          <w:sz w:val="28"/>
          <w:szCs w:val="28"/>
        </w:rPr>
        <w:t xml:space="preserve"> reports and case series, including those with literature reviews, published from 2000 to 2024.Reference checks of identified cases were also conducted to aid in snowballing or case networking. Data from 13 selected cases were extracted for analysis.</w:t>
      </w:r>
      <w:r>
        <w:rPr>
          <w:rFonts w:ascii="Times New Roman" w:hAnsi="Times New Roman"/>
          <w:color w:val="000000"/>
          <w:sz w:val="28"/>
          <w:szCs w:val="28"/>
        </w:rPr>
        <w:t xml:space="preserve"> </w:t>
      </w:r>
      <w:r>
        <w:rPr>
          <w:rFonts w:ascii="Times New Roman" w:hAnsi="Times New Roman"/>
          <w:b/>
          <w:sz w:val="28"/>
          <w:szCs w:val="28"/>
        </w:rPr>
        <w:t>Results:</w:t>
      </w:r>
      <w:r>
        <w:rPr>
          <w:rFonts w:ascii="Times New Roman" w:hAnsi="Times New Roman"/>
          <w:sz w:val="28"/>
          <w:szCs w:val="28"/>
        </w:rPr>
        <w:t xml:space="preserve"> The search strategy retrieved 1,894 articles. After full-text assessment of 123 articles, 13 met the inclusion criteria and were included in the review.</w:t>
      </w:r>
      <w:r w:rsidR="000A1783">
        <w:rPr>
          <w:rFonts w:ascii="Times New Roman" w:hAnsi="Times New Roman"/>
          <w:sz w:val="28"/>
          <w:szCs w:val="28"/>
        </w:rPr>
        <w:t xml:space="preserve"> </w:t>
      </w:r>
      <w:r w:rsidRPr="000A1783">
        <w:rPr>
          <w:rFonts w:ascii="Times New Roman" w:hAnsi="Times New Roman"/>
          <w:sz w:val="28"/>
          <w:szCs w:val="28"/>
          <w:highlight w:val="yellow"/>
        </w:rPr>
        <w:t>In most studies, the affected region was the upper or lower lip, followed by the tongue and palate. Clinically, on extraoral examination, the lesion appeared as a markedly ulcerated, exophytic, irregularly shaped, indurated mass of varying dimensions</w:t>
      </w:r>
      <w:r w:rsidR="000A1783">
        <w:rPr>
          <w:rFonts w:ascii="Times New Roman" w:hAnsi="Times New Roman"/>
          <w:sz w:val="28"/>
          <w:szCs w:val="28"/>
          <w:highlight w:val="yellow"/>
        </w:rPr>
        <w:t>.</w:t>
      </w:r>
    </w:p>
    <w:p w:rsidR="008E11A5" w:rsidRDefault="00342678">
      <w:pPr>
        <w:jc w:val="both"/>
        <w:rPr>
          <w:rFonts w:ascii="Times New Roman" w:hAnsi="Times New Roman"/>
          <w:sz w:val="28"/>
          <w:szCs w:val="28"/>
        </w:rPr>
      </w:pPr>
      <w:r>
        <w:rPr>
          <w:rFonts w:ascii="Times New Roman" w:hAnsi="Times New Roman"/>
          <w:sz w:val="28"/>
          <w:szCs w:val="28"/>
        </w:rPr>
        <w:t xml:space="preserve"> The most common diagnosis was sebaceous carcinoma of the oral region. </w:t>
      </w:r>
      <w:r>
        <w:rPr>
          <w:rFonts w:ascii="Times New Roman" w:hAnsi="Times New Roman"/>
          <w:b/>
          <w:color w:val="000000"/>
          <w:sz w:val="28"/>
          <w:szCs w:val="28"/>
        </w:rPr>
        <w:t xml:space="preserve">Conclusion: </w:t>
      </w:r>
      <w:r>
        <w:rPr>
          <w:rFonts w:ascii="Times New Roman" w:hAnsi="Times New Roman"/>
          <w:sz w:val="28"/>
          <w:szCs w:val="28"/>
        </w:rPr>
        <w:t xml:space="preserve">Oral sebaceous carcinoma is an extremely rare and aggressive malignancy with potential for local recurrence and distant metastasis. Regular follow-up is essential to monitor for recurrence or spread. </w:t>
      </w:r>
      <w:r w:rsidRPr="000A1783">
        <w:rPr>
          <w:rFonts w:ascii="Times New Roman" w:hAnsi="Times New Roman"/>
          <w:sz w:val="28"/>
          <w:szCs w:val="28"/>
          <w:highlight w:val="yellow"/>
        </w:rPr>
        <w:t xml:space="preserve">Increased </w:t>
      </w:r>
      <w:r w:rsidRPr="000A1783">
        <w:rPr>
          <w:rFonts w:ascii="Times New Roman" w:hAnsi="Times New Roman"/>
          <w:bCs/>
          <w:sz w:val="28"/>
          <w:szCs w:val="28"/>
          <w:highlight w:val="yellow"/>
        </w:rPr>
        <w:t xml:space="preserve">awareness </w:t>
      </w:r>
      <w:r w:rsidRPr="000A1783">
        <w:rPr>
          <w:rFonts w:ascii="Times New Roman" w:hAnsi="Times New Roman"/>
          <w:bCs/>
          <w:sz w:val="28"/>
          <w:szCs w:val="28"/>
          <w:highlight w:val="yellow"/>
        </w:rPr>
        <w:lastRenderedPageBreak/>
        <w:t>among clinicians and pathologists of the oral occurrence of sebaceous carcinoma</w:t>
      </w:r>
      <w:r w:rsidRPr="000A1783">
        <w:rPr>
          <w:rFonts w:ascii="Times New Roman" w:hAnsi="Times New Roman"/>
          <w:sz w:val="28"/>
          <w:szCs w:val="28"/>
          <w:highlight w:val="yellow"/>
        </w:rPr>
        <w:t xml:space="preserve"> its diagnosis and improve prognosis through timely intervention.</w:t>
      </w:r>
    </w:p>
    <w:p w:rsidR="008E11A5" w:rsidRDefault="00342678">
      <w:pPr>
        <w:spacing w:after="720" w:line="276" w:lineRule="auto"/>
        <w:jc w:val="both"/>
        <w:rPr>
          <w:rFonts w:ascii="Times New Roman" w:hAnsi="Times New Roman"/>
          <w:b/>
          <w:sz w:val="28"/>
          <w:szCs w:val="28"/>
        </w:rPr>
      </w:pPr>
      <w:r>
        <w:rPr>
          <w:rFonts w:ascii="Times New Roman" w:hAnsi="Times New Roman"/>
          <w:b/>
          <w:sz w:val="28"/>
          <w:szCs w:val="28"/>
        </w:rPr>
        <w:t xml:space="preserve">KEYWORDS – oral sebaceous carcinoma, oral cavity, sebaceous glands </w:t>
      </w:r>
    </w:p>
    <w:p w:rsidR="008E11A5" w:rsidRDefault="00342678">
      <w:pPr>
        <w:spacing w:after="720" w:line="276" w:lineRule="auto"/>
        <w:jc w:val="both"/>
        <w:rPr>
          <w:rFonts w:ascii="Times New Roman" w:hAnsi="Times New Roman"/>
          <w:b/>
          <w:color w:val="333333"/>
          <w:sz w:val="28"/>
          <w:szCs w:val="28"/>
          <w:u w:val="single"/>
        </w:rPr>
      </w:pPr>
      <w:r>
        <w:rPr>
          <w:rFonts w:ascii="Times New Roman" w:hAnsi="Times New Roman"/>
          <w:b/>
          <w:bCs/>
          <w:sz w:val="28"/>
          <w:szCs w:val="28"/>
          <w:u w:val="single"/>
        </w:rPr>
        <w:t>Introduction</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bCs/>
          <w:sz w:val="28"/>
          <w:szCs w:val="28"/>
        </w:rPr>
        <w:t>Sebaceous carcinoma (SC)</w:t>
      </w:r>
      <w:r>
        <w:rPr>
          <w:rFonts w:ascii="Times New Roman" w:hAnsi="Times New Roman"/>
          <w:sz w:val="28"/>
          <w:szCs w:val="28"/>
        </w:rPr>
        <w:t xml:space="preserve"> is a rare and aggressive cutaneous malignancy, with fewer than 400 cases reported in the literature to date. The first documented case was described by Allaire in 1891¹. According to the World Health Organization (WHO), sebaceous carcinoma is defined as “a malignant tumor composed of sebaceous cells of varying maturity that are arranged in sheets and/or nests with different degrees of pleomorphism, nuclear atypia, and </w:t>
      </w:r>
      <w:proofErr w:type="gramStart"/>
      <w:r>
        <w:rPr>
          <w:rFonts w:ascii="Times New Roman" w:hAnsi="Times New Roman"/>
          <w:sz w:val="28"/>
          <w:szCs w:val="28"/>
        </w:rPr>
        <w:t>invasiveness”²</w:t>
      </w:r>
      <w:proofErr w:type="gramEnd"/>
      <w:r>
        <w:rPr>
          <w:rFonts w:ascii="Times New Roman" w:hAnsi="Times New Roman"/>
          <w:sz w:val="28"/>
          <w:szCs w:val="28"/>
        </w:rPr>
        <w:t>. This tumor originates from sebaceous glands in the skin and can therefore develop anywhere on the body where these glands are present.</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sz w:val="28"/>
          <w:szCs w:val="28"/>
        </w:rPr>
        <w:t xml:space="preserve">Sebaceous carcinoma is broadly classified into two subtypes: </w:t>
      </w:r>
      <w:r>
        <w:rPr>
          <w:rFonts w:ascii="Times New Roman" w:hAnsi="Times New Roman"/>
          <w:bCs/>
          <w:sz w:val="28"/>
          <w:szCs w:val="28"/>
        </w:rPr>
        <w:t>ocular</w:t>
      </w:r>
      <w:r>
        <w:rPr>
          <w:rFonts w:ascii="Times New Roman" w:hAnsi="Times New Roman"/>
          <w:sz w:val="28"/>
          <w:szCs w:val="28"/>
        </w:rPr>
        <w:t xml:space="preserve"> and </w:t>
      </w:r>
      <w:r>
        <w:rPr>
          <w:rFonts w:ascii="Times New Roman" w:hAnsi="Times New Roman"/>
          <w:bCs/>
          <w:sz w:val="28"/>
          <w:szCs w:val="28"/>
        </w:rPr>
        <w:t>extraocular</w:t>
      </w:r>
      <w:r>
        <w:rPr>
          <w:rFonts w:ascii="Times New Roman" w:hAnsi="Times New Roman"/>
          <w:sz w:val="28"/>
          <w:szCs w:val="28"/>
        </w:rPr>
        <w:t xml:space="preserve">³. Ocular SC is the third most common malignancy of the eyelids, with most cases arising from the </w:t>
      </w:r>
      <w:r>
        <w:rPr>
          <w:rFonts w:ascii="Times New Roman" w:hAnsi="Times New Roman"/>
          <w:bCs/>
          <w:sz w:val="28"/>
          <w:szCs w:val="28"/>
        </w:rPr>
        <w:t>meibomian glands</w:t>
      </w:r>
      <w:r>
        <w:rPr>
          <w:rFonts w:ascii="Times New Roman" w:hAnsi="Times New Roman"/>
          <w:sz w:val="28"/>
          <w:szCs w:val="28"/>
        </w:rPr>
        <w:t xml:space="preserve">. Extraocular SC accounts for approximately </w:t>
      </w:r>
      <w:r>
        <w:rPr>
          <w:rFonts w:ascii="Times New Roman" w:hAnsi="Times New Roman"/>
          <w:bCs/>
          <w:sz w:val="28"/>
          <w:szCs w:val="28"/>
        </w:rPr>
        <w:t>20% of all cases</w:t>
      </w:r>
      <w:r>
        <w:rPr>
          <w:rFonts w:ascii="Times New Roman" w:hAnsi="Times New Roman"/>
          <w:sz w:val="28"/>
          <w:szCs w:val="28"/>
        </w:rPr>
        <w:t xml:space="preserve">, most commonly involving the </w:t>
      </w:r>
      <w:r>
        <w:rPr>
          <w:rFonts w:ascii="Times New Roman" w:hAnsi="Times New Roman"/>
          <w:bCs/>
          <w:sz w:val="28"/>
          <w:szCs w:val="28"/>
        </w:rPr>
        <w:t>head and neck region</w:t>
      </w:r>
      <w:r>
        <w:rPr>
          <w:rFonts w:ascii="Times New Roman" w:hAnsi="Times New Roman"/>
          <w:sz w:val="28"/>
          <w:szCs w:val="28"/>
        </w:rPr>
        <w:t xml:space="preserve">, particularly the scalp, face, parotid gland, buccal mucosa, and tongue³. Among the extraocular forms, </w:t>
      </w:r>
      <w:r>
        <w:rPr>
          <w:rFonts w:ascii="Times New Roman" w:hAnsi="Times New Roman"/>
          <w:bCs/>
          <w:sz w:val="28"/>
          <w:szCs w:val="28"/>
        </w:rPr>
        <w:t>non-cutaneous sebaceous carcinoma</w:t>
      </w:r>
      <w:r>
        <w:rPr>
          <w:rFonts w:ascii="Times New Roman" w:hAnsi="Times New Roman"/>
          <w:sz w:val="28"/>
          <w:szCs w:val="28"/>
        </w:rPr>
        <w:t xml:space="preserve"> most frequently affects the </w:t>
      </w:r>
      <w:r>
        <w:rPr>
          <w:rFonts w:ascii="Times New Roman" w:hAnsi="Times New Roman"/>
          <w:bCs/>
          <w:sz w:val="28"/>
          <w:szCs w:val="28"/>
        </w:rPr>
        <w:t>major salivary glands⁴</w:t>
      </w:r>
      <w:r>
        <w:rPr>
          <w:rFonts w:ascii="Times New Roman" w:hAnsi="Times New Roman"/>
          <w:sz w:val="28"/>
          <w:szCs w:val="28"/>
        </w:rPr>
        <w:t>.</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sz w:val="28"/>
          <w:szCs w:val="28"/>
        </w:rPr>
        <w:t xml:space="preserve">The </w:t>
      </w:r>
      <w:r>
        <w:rPr>
          <w:rFonts w:ascii="Times New Roman" w:hAnsi="Times New Roman"/>
          <w:bCs/>
          <w:sz w:val="28"/>
          <w:szCs w:val="28"/>
        </w:rPr>
        <w:t>first reported case of intraoral (IO) SC</w:t>
      </w:r>
      <w:r>
        <w:rPr>
          <w:rFonts w:ascii="Times New Roman" w:hAnsi="Times New Roman"/>
          <w:sz w:val="28"/>
          <w:szCs w:val="28"/>
        </w:rPr>
        <w:t xml:space="preserve"> was described by </w:t>
      </w:r>
      <w:proofErr w:type="spellStart"/>
      <w:r>
        <w:rPr>
          <w:rFonts w:ascii="Times New Roman" w:hAnsi="Times New Roman"/>
          <w:bCs/>
          <w:sz w:val="28"/>
          <w:szCs w:val="28"/>
        </w:rPr>
        <w:t>Damm</w:t>
      </w:r>
      <w:proofErr w:type="spellEnd"/>
      <w:r>
        <w:rPr>
          <w:rFonts w:ascii="Times New Roman" w:hAnsi="Times New Roman"/>
          <w:bCs/>
          <w:sz w:val="28"/>
          <w:szCs w:val="28"/>
        </w:rPr>
        <w:t xml:space="preserve"> et al. in 1991</w:t>
      </w:r>
      <w:r>
        <w:rPr>
          <w:rFonts w:ascii="Times New Roman" w:hAnsi="Times New Roman"/>
          <w:sz w:val="28"/>
          <w:szCs w:val="28"/>
        </w:rPr>
        <w:t xml:space="preserve">, marking the earliest known instance in English-language literature of sebaceous carcinoma presenting as an intraoral tumor⁸. While sebaceous adenomas have occasionally been reported in the oral cavity, </w:t>
      </w:r>
      <w:r>
        <w:rPr>
          <w:rFonts w:ascii="Times New Roman" w:hAnsi="Times New Roman"/>
          <w:bCs/>
          <w:sz w:val="28"/>
          <w:szCs w:val="28"/>
        </w:rPr>
        <w:t>oral sebaceous carcinoma remains extremely rare⁵</w:t>
      </w:r>
      <w:r>
        <w:rPr>
          <w:rFonts w:ascii="Times New Roman" w:hAnsi="Times New Roman"/>
          <w:sz w:val="28"/>
          <w:szCs w:val="28"/>
        </w:rPr>
        <w:t xml:space="preserve">. Primary SC of the oral cavity is thought to arise either from </w:t>
      </w:r>
      <w:r>
        <w:rPr>
          <w:rFonts w:ascii="Times New Roman" w:hAnsi="Times New Roman"/>
          <w:bCs/>
          <w:sz w:val="28"/>
          <w:szCs w:val="28"/>
        </w:rPr>
        <w:t>Fordyce granules</w:t>
      </w:r>
      <w:r>
        <w:rPr>
          <w:rFonts w:ascii="Times New Roman" w:hAnsi="Times New Roman"/>
          <w:sz w:val="28"/>
          <w:szCs w:val="28"/>
        </w:rPr>
        <w:t xml:space="preserve"> or from </w:t>
      </w:r>
      <w:r>
        <w:rPr>
          <w:rFonts w:ascii="Times New Roman" w:hAnsi="Times New Roman"/>
          <w:bCs/>
          <w:sz w:val="28"/>
          <w:szCs w:val="28"/>
        </w:rPr>
        <w:t>salivary gland elements⁶</w:t>
      </w:r>
      <w:r>
        <w:rPr>
          <w:rFonts w:ascii="Times New Roman" w:hAnsi="Times New Roman"/>
          <w:sz w:val="28"/>
          <w:szCs w:val="28"/>
        </w:rPr>
        <w:t>. Fordyce granules—ectopic sebaceous glands found in approximately 80% of adults—are considered normal anatomical variants</w:t>
      </w:r>
      <w:proofErr w:type="gramStart"/>
      <w:r>
        <w:rPr>
          <w:rFonts w:ascii="Times New Roman" w:hAnsi="Times New Roman"/>
          <w:sz w:val="28"/>
          <w:szCs w:val="28"/>
        </w:rPr>
        <w:t>⁶,⁷</w:t>
      </w:r>
      <w:proofErr w:type="gramEnd"/>
      <w:r>
        <w:rPr>
          <w:rFonts w:ascii="Times New Roman" w:hAnsi="Times New Roman"/>
          <w:sz w:val="28"/>
          <w:szCs w:val="28"/>
        </w:rPr>
        <w:t xml:space="preserve">. Clinically, these granules appear as asymptomatic, small yellow-white papules on the buccal mucosa and upper lip⁸. Rarely, these ectopic sebaceous glands may undergo neoplastic transformation, giving rise to sebaceous neoplasms. Oral SC typically presents as a </w:t>
      </w:r>
      <w:r>
        <w:rPr>
          <w:rFonts w:ascii="Times New Roman" w:hAnsi="Times New Roman"/>
          <w:bCs/>
          <w:sz w:val="28"/>
          <w:szCs w:val="28"/>
        </w:rPr>
        <w:t>non-encapsulated, asymptomatic nodule</w:t>
      </w:r>
      <w:r>
        <w:rPr>
          <w:rFonts w:ascii="Times New Roman" w:hAnsi="Times New Roman"/>
          <w:sz w:val="28"/>
          <w:szCs w:val="28"/>
        </w:rPr>
        <w:t xml:space="preserve"> and can easily be mistaken for more common benign lesions, often resulting in </w:t>
      </w:r>
      <w:r>
        <w:rPr>
          <w:rFonts w:ascii="Times New Roman" w:hAnsi="Times New Roman"/>
          <w:bCs/>
          <w:sz w:val="28"/>
          <w:szCs w:val="28"/>
        </w:rPr>
        <w:t>delayed diagnosis and treatment⁹</w:t>
      </w:r>
      <w:r>
        <w:rPr>
          <w:rFonts w:ascii="Times New Roman" w:hAnsi="Times New Roman"/>
          <w:sz w:val="28"/>
          <w:szCs w:val="28"/>
        </w:rPr>
        <w:t>.</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sz w:val="28"/>
          <w:szCs w:val="28"/>
        </w:rPr>
        <w:lastRenderedPageBreak/>
        <w:t xml:space="preserve">Although the </w:t>
      </w:r>
      <w:r>
        <w:rPr>
          <w:rFonts w:ascii="Times New Roman" w:hAnsi="Times New Roman"/>
          <w:bCs/>
          <w:sz w:val="28"/>
          <w:szCs w:val="28"/>
        </w:rPr>
        <w:t>exact etiology</w:t>
      </w:r>
      <w:r>
        <w:rPr>
          <w:rFonts w:ascii="Times New Roman" w:hAnsi="Times New Roman"/>
          <w:sz w:val="28"/>
          <w:szCs w:val="28"/>
        </w:rPr>
        <w:t xml:space="preserve"> of SC remains unclear, several </w:t>
      </w:r>
      <w:r>
        <w:rPr>
          <w:rFonts w:ascii="Times New Roman" w:hAnsi="Times New Roman"/>
          <w:bCs/>
          <w:sz w:val="28"/>
          <w:szCs w:val="28"/>
        </w:rPr>
        <w:t>risk factors</w:t>
      </w:r>
      <w:r>
        <w:rPr>
          <w:rFonts w:ascii="Times New Roman" w:hAnsi="Times New Roman"/>
          <w:sz w:val="28"/>
          <w:szCs w:val="28"/>
        </w:rPr>
        <w:t xml:space="preserve"> have been identified. These include </w:t>
      </w:r>
      <w:r>
        <w:rPr>
          <w:rFonts w:ascii="Times New Roman" w:hAnsi="Times New Roman"/>
          <w:bCs/>
          <w:sz w:val="28"/>
          <w:szCs w:val="28"/>
        </w:rPr>
        <w:t>inherited genetic mutations</w:t>
      </w:r>
      <w:r>
        <w:rPr>
          <w:rFonts w:ascii="Times New Roman" w:hAnsi="Times New Roman"/>
          <w:sz w:val="28"/>
          <w:szCs w:val="28"/>
        </w:rPr>
        <w:t xml:space="preserve">, particularly those associated with </w:t>
      </w:r>
      <w:r>
        <w:rPr>
          <w:rFonts w:ascii="Times New Roman" w:hAnsi="Times New Roman"/>
          <w:bCs/>
          <w:sz w:val="28"/>
          <w:szCs w:val="28"/>
        </w:rPr>
        <w:t>Muir–Torre Syndrome</w:t>
      </w:r>
      <w:r>
        <w:rPr>
          <w:rFonts w:ascii="Times New Roman" w:hAnsi="Times New Roman"/>
          <w:sz w:val="28"/>
          <w:szCs w:val="28"/>
        </w:rPr>
        <w:t xml:space="preserve">, a variant of Lynch syndrome¹⁰. Other contributing risk factors include </w:t>
      </w:r>
      <w:r>
        <w:rPr>
          <w:rFonts w:ascii="Times New Roman" w:hAnsi="Times New Roman"/>
          <w:bCs/>
          <w:sz w:val="28"/>
          <w:szCs w:val="28"/>
        </w:rPr>
        <w:t>long-term ultraviolet (UV) exposure</w:t>
      </w:r>
      <w:r>
        <w:rPr>
          <w:rFonts w:ascii="Times New Roman" w:hAnsi="Times New Roman"/>
          <w:sz w:val="28"/>
          <w:szCs w:val="28"/>
        </w:rPr>
        <w:t xml:space="preserve">, </w:t>
      </w:r>
      <w:r>
        <w:rPr>
          <w:rFonts w:ascii="Times New Roman" w:hAnsi="Times New Roman"/>
          <w:bCs/>
          <w:sz w:val="28"/>
          <w:szCs w:val="28"/>
        </w:rPr>
        <w:t>immunosuppression</w:t>
      </w:r>
      <w:r>
        <w:rPr>
          <w:rFonts w:ascii="Times New Roman" w:hAnsi="Times New Roman"/>
          <w:sz w:val="28"/>
          <w:szCs w:val="28"/>
        </w:rPr>
        <w:t xml:space="preserve">, and </w:t>
      </w:r>
      <w:r>
        <w:rPr>
          <w:rFonts w:ascii="Times New Roman" w:hAnsi="Times New Roman"/>
          <w:bCs/>
          <w:sz w:val="28"/>
          <w:szCs w:val="28"/>
        </w:rPr>
        <w:t>viral infections¹</w:t>
      </w:r>
      <w:proofErr w:type="gramStart"/>
      <w:r>
        <w:rPr>
          <w:rFonts w:ascii="Times New Roman" w:hAnsi="Times New Roman"/>
          <w:bCs/>
          <w:sz w:val="28"/>
          <w:szCs w:val="28"/>
        </w:rPr>
        <w:t>⁰,¹</w:t>
      </w:r>
      <w:proofErr w:type="gramEnd"/>
      <w:r>
        <w:rPr>
          <w:rFonts w:ascii="Times New Roman" w:hAnsi="Times New Roman"/>
          <w:bCs/>
          <w:sz w:val="28"/>
          <w:szCs w:val="28"/>
        </w:rPr>
        <w:t>¹</w:t>
      </w:r>
      <w:r>
        <w:rPr>
          <w:rFonts w:ascii="Times New Roman" w:hAnsi="Times New Roman"/>
          <w:sz w:val="28"/>
          <w:szCs w:val="28"/>
        </w:rPr>
        <w:t xml:space="preserve">. Genetic alterations associated with SC often affect DNA mismatch repair genes (e.g., </w:t>
      </w:r>
      <w:r>
        <w:rPr>
          <w:rFonts w:ascii="Times New Roman" w:hAnsi="Times New Roman"/>
          <w:bCs/>
          <w:sz w:val="28"/>
          <w:szCs w:val="28"/>
        </w:rPr>
        <w:t>MSH2, MSH6, MLH1</w:t>
      </w:r>
      <w:r>
        <w:rPr>
          <w:rFonts w:ascii="Times New Roman" w:hAnsi="Times New Roman"/>
          <w:sz w:val="28"/>
          <w:szCs w:val="28"/>
        </w:rPr>
        <w:t xml:space="preserve">), resulting in </w:t>
      </w:r>
      <w:r>
        <w:rPr>
          <w:rFonts w:ascii="Times New Roman" w:hAnsi="Times New Roman"/>
          <w:bCs/>
          <w:sz w:val="28"/>
          <w:szCs w:val="28"/>
        </w:rPr>
        <w:t>microsatellite instability¹¹</w:t>
      </w:r>
      <w:r>
        <w:rPr>
          <w:rFonts w:ascii="Times New Roman" w:hAnsi="Times New Roman"/>
          <w:sz w:val="28"/>
          <w:szCs w:val="28"/>
        </w:rPr>
        <w:t xml:space="preserve">. Sebaceous carcinoma typically affects </w:t>
      </w:r>
      <w:r>
        <w:rPr>
          <w:rFonts w:ascii="Times New Roman" w:hAnsi="Times New Roman"/>
          <w:bCs/>
          <w:sz w:val="28"/>
          <w:szCs w:val="28"/>
        </w:rPr>
        <w:t>middle-aged to elderly individuals</w:t>
      </w:r>
      <w:r>
        <w:rPr>
          <w:rFonts w:ascii="Times New Roman" w:hAnsi="Times New Roman"/>
          <w:sz w:val="28"/>
          <w:szCs w:val="28"/>
        </w:rPr>
        <w:t xml:space="preserve">, with a </w:t>
      </w:r>
      <w:r>
        <w:rPr>
          <w:rFonts w:ascii="Times New Roman" w:hAnsi="Times New Roman"/>
          <w:bCs/>
          <w:sz w:val="28"/>
          <w:szCs w:val="28"/>
        </w:rPr>
        <w:t>mean age of 65 years</w:t>
      </w:r>
      <w:r>
        <w:rPr>
          <w:rFonts w:ascii="Times New Roman" w:hAnsi="Times New Roman"/>
          <w:sz w:val="28"/>
          <w:szCs w:val="28"/>
        </w:rPr>
        <w:t xml:space="preserve"> (range: 9–93 years), and shows </w:t>
      </w:r>
      <w:r>
        <w:rPr>
          <w:rFonts w:ascii="Times New Roman" w:hAnsi="Times New Roman"/>
          <w:bCs/>
          <w:sz w:val="28"/>
          <w:szCs w:val="28"/>
        </w:rPr>
        <w:t>no significant gender predilection¹²</w:t>
      </w:r>
      <w:r>
        <w:rPr>
          <w:rFonts w:ascii="Times New Roman" w:hAnsi="Times New Roman"/>
          <w:sz w:val="28"/>
          <w:szCs w:val="28"/>
        </w:rPr>
        <w:t>.</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sz w:val="28"/>
          <w:szCs w:val="28"/>
        </w:rPr>
        <w:t xml:space="preserve">SC is recognized for its </w:t>
      </w:r>
      <w:r>
        <w:rPr>
          <w:rFonts w:ascii="Times New Roman" w:hAnsi="Times New Roman"/>
          <w:bCs/>
          <w:sz w:val="28"/>
          <w:szCs w:val="28"/>
        </w:rPr>
        <w:t>aggressive biological behavior</w:t>
      </w:r>
      <w:r>
        <w:rPr>
          <w:rFonts w:ascii="Times New Roman" w:hAnsi="Times New Roman"/>
          <w:sz w:val="28"/>
          <w:szCs w:val="28"/>
        </w:rPr>
        <w:t xml:space="preserve">, with the potential for </w:t>
      </w:r>
      <w:r>
        <w:rPr>
          <w:rFonts w:ascii="Times New Roman" w:hAnsi="Times New Roman"/>
          <w:bCs/>
          <w:sz w:val="28"/>
          <w:szCs w:val="28"/>
        </w:rPr>
        <w:t>local invasion and distant metastasis¹⁰</w:t>
      </w:r>
      <w:r>
        <w:rPr>
          <w:rFonts w:ascii="Times New Roman" w:hAnsi="Times New Roman"/>
          <w:sz w:val="28"/>
          <w:szCs w:val="28"/>
        </w:rPr>
        <w:t xml:space="preserve">. Therefore, early detection is critical for effective management. </w:t>
      </w:r>
      <w:r>
        <w:rPr>
          <w:rFonts w:ascii="Times New Roman" w:hAnsi="Times New Roman"/>
          <w:bCs/>
          <w:sz w:val="28"/>
          <w:szCs w:val="28"/>
        </w:rPr>
        <w:t>Accurate staging using the TNM system</w:t>
      </w:r>
      <w:r>
        <w:rPr>
          <w:rFonts w:ascii="Times New Roman" w:hAnsi="Times New Roman"/>
          <w:sz w:val="28"/>
          <w:szCs w:val="28"/>
        </w:rPr>
        <w:t xml:space="preserve"> is essential for assessing disease extent, guiding treatment, and providing prognostic information¹</w:t>
      </w:r>
      <w:proofErr w:type="gramStart"/>
      <w:r>
        <w:rPr>
          <w:rFonts w:ascii="Times New Roman" w:hAnsi="Times New Roman"/>
          <w:sz w:val="28"/>
          <w:szCs w:val="28"/>
        </w:rPr>
        <w:t>³</w:t>
      </w:r>
      <w:r w:rsidR="000A1783">
        <w:rPr>
          <w:rFonts w:ascii="Times New Roman" w:hAnsi="Times New Roman"/>
          <w:sz w:val="28"/>
          <w:szCs w:val="28"/>
          <w:vertAlign w:val="superscript"/>
        </w:rPr>
        <w:t>,</w:t>
      </w:r>
      <w:r>
        <w:rPr>
          <w:rFonts w:ascii="Times New Roman" w:hAnsi="Times New Roman"/>
          <w:sz w:val="28"/>
          <w:szCs w:val="28"/>
        </w:rPr>
        <w:t>¹</w:t>
      </w:r>
      <w:proofErr w:type="gramEnd"/>
      <w:r>
        <w:rPr>
          <w:rFonts w:ascii="Times New Roman" w:hAnsi="Times New Roman"/>
          <w:sz w:val="28"/>
          <w:szCs w:val="28"/>
        </w:rPr>
        <w:t xml:space="preserve">⁴. Due to the absence of standardized imaging protocols, </w:t>
      </w:r>
      <w:r>
        <w:rPr>
          <w:rFonts w:ascii="Times New Roman" w:hAnsi="Times New Roman"/>
          <w:bCs/>
          <w:sz w:val="28"/>
          <w:szCs w:val="28"/>
        </w:rPr>
        <w:t>histopathological evaluation</w:t>
      </w:r>
      <w:r>
        <w:rPr>
          <w:rFonts w:ascii="Times New Roman" w:hAnsi="Times New Roman"/>
          <w:sz w:val="28"/>
          <w:szCs w:val="28"/>
        </w:rPr>
        <w:t xml:space="preserve"> of biopsy or excised specimens remains the </w:t>
      </w:r>
      <w:r>
        <w:rPr>
          <w:rFonts w:ascii="Times New Roman" w:hAnsi="Times New Roman"/>
          <w:bCs/>
          <w:sz w:val="28"/>
          <w:szCs w:val="28"/>
        </w:rPr>
        <w:t>gold standard</w:t>
      </w:r>
      <w:r>
        <w:rPr>
          <w:rFonts w:ascii="Times New Roman" w:hAnsi="Times New Roman"/>
          <w:sz w:val="28"/>
          <w:szCs w:val="28"/>
        </w:rPr>
        <w:t xml:space="preserve"> for diagnosis. Histologically, SC belongs to the </w:t>
      </w:r>
      <w:r>
        <w:rPr>
          <w:rFonts w:ascii="Times New Roman" w:hAnsi="Times New Roman"/>
          <w:bCs/>
          <w:sz w:val="28"/>
          <w:szCs w:val="28"/>
        </w:rPr>
        <w:t>spectrum of sebaceous neoplasms</w:t>
      </w:r>
      <w:r>
        <w:rPr>
          <w:rFonts w:ascii="Times New Roman" w:hAnsi="Times New Roman"/>
          <w:sz w:val="28"/>
          <w:szCs w:val="28"/>
        </w:rPr>
        <w:t xml:space="preserve">, which includes sebaceous adenoma and </w:t>
      </w:r>
      <w:r>
        <w:rPr>
          <w:rFonts w:ascii="Times New Roman" w:hAnsi="Times New Roman"/>
          <w:bCs/>
          <w:sz w:val="28"/>
          <w:szCs w:val="28"/>
        </w:rPr>
        <w:t>basal cell carcinoma with sebaceous differentiation¹⁵</w:t>
      </w:r>
      <w:r>
        <w:rPr>
          <w:rFonts w:ascii="Times New Roman" w:hAnsi="Times New Roman"/>
          <w:sz w:val="28"/>
          <w:szCs w:val="28"/>
        </w:rPr>
        <w:t xml:space="preserve">. SC typically exhibits </w:t>
      </w:r>
      <w:r>
        <w:rPr>
          <w:rFonts w:ascii="Times New Roman" w:hAnsi="Times New Roman"/>
          <w:bCs/>
          <w:sz w:val="28"/>
          <w:szCs w:val="28"/>
        </w:rPr>
        <w:t>well-circumscribed lobules</w:t>
      </w:r>
      <w:r>
        <w:rPr>
          <w:rFonts w:ascii="Times New Roman" w:hAnsi="Times New Roman"/>
          <w:sz w:val="28"/>
          <w:szCs w:val="28"/>
        </w:rPr>
        <w:t xml:space="preserve"> of neoplastic sebaceous cells with </w:t>
      </w:r>
      <w:r>
        <w:rPr>
          <w:rFonts w:ascii="Times New Roman" w:hAnsi="Times New Roman"/>
          <w:bCs/>
          <w:sz w:val="28"/>
          <w:szCs w:val="28"/>
        </w:rPr>
        <w:t>eosinophilic cytoplasm</w:t>
      </w:r>
      <w:r>
        <w:rPr>
          <w:rFonts w:ascii="Times New Roman" w:hAnsi="Times New Roman"/>
          <w:sz w:val="28"/>
          <w:szCs w:val="28"/>
        </w:rPr>
        <w:t xml:space="preserve"> and </w:t>
      </w:r>
      <w:r>
        <w:rPr>
          <w:rFonts w:ascii="Times New Roman" w:hAnsi="Times New Roman"/>
          <w:bCs/>
          <w:sz w:val="28"/>
          <w:szCs w:val="28"/>
        </w:rPr>
        <w:t>marked atypia</w:t>
      </w:r>
      <w:r>
        <w:rPr>
          <w:rFonts w:ascii="Times New Roman" w:hAnsi="Times New Roman"/>
          <w:sz w:val="28"/>
          <w:szCs w:val="28"/>
        </w:rPr>
        <w:t xml:space="preserve">. Cytological features include </w:t>
      </w:r>
      <w:r>
        <w:rPr>
          <w:rFonts w:ascii="Times New Roman" w:hAnsi="Times New Roman"/>
          <w:bCs/>
          <w:sz w:val="28"/>
          <w:szCs w:val="28"/>
        </w:rPr>
        <w:t>nuclear pleomorphism</w:t>
      </w:r>
      <w:r>
        <w:rPr>
          <w:rFonts w:ascii="Times New Roman" w:hAnsi="Times New Roman"/>
          <w:sz w:val="28"/>
          <w:szCs w:val="28"/>
        </w:rPr>
        <w:t xml:space="preserve">, </w:t>
      </w:r>
      <w:r>
        <w:rPr>
          <w:rFonts w:ascii="Times New Roman" w:hAnsi="Times New Roman"/>
          <w:bCs/>
          <w:sz w:val="28"/>
          <w:szCs w:val="28"/>
        </w:rPr>
        <w:t>frequent mitotic figures</w:t>
      </w:r>
      <w:r>
        <w:rPr>
          <w:rFonts w:ascii="Times New Roman" w:hAnsi="Times New Roman"/>
          <w:sz w:val="28"/>
          <w:szCs w:val="28"/>
        </w:rPr>
        <w:t xml:space="preserve">, and occasionally </w:t>
      </w:r>
      <w:r>
        <w:rPr>
          <w:rFonts w:ascii="Times New Roman" w:hAnsi="Times New Roman"/>
          <w:bCs/>
          <w:sz w:val="28"/>
          <w:szCs w:val="28"/>
        </w:rPr>
        <w:t>foamy or glassy cytoplasm¹</w:t>
      </w:r>
      <w:proofErr w:type="gramStart"/>
      <w:r>
        <w:rPr>
          <w:rFonts w:ascii="Times New Roman" w:hAnsi="Times New Roman"/>
          <w:bCs/>
          <w:sz w:val="28"/>
          <w:szCs w:val="28"/>
        </w:rPr>
        <w:t>⁶</w:t>
      </w:r>
      <w:r w:rsidR="000A1783">
        <w:rPr>
          <w:rFonts w:ascii="Times New Roman" w:hAnsi="Times New Roman"/>
          <w:bCs/>
          <w:sz w:val="28"/>
          <w:szCs w:val="28"/>
          <w:vertAlign w:val="superscript"/>
        </w:rPr>
        <w:t>,</w:t>
      </w:r>
      <w:r>
        <w:rPr>
          <w:rFonts w:ascii="Times New Roman" w:hAnsi="Times New Roman"/>
          <w:bCs/>
          <w:sz w:val="28"/>
          <w:szCs w:val="28"/>
        </w:rPr>
        <w:t>¹</w:t>
      </w:r>
      <w:proofErr w:type="gramEnd"/>
      <w:r>
        <w:rPr>
          <w:rFonts w:ascii="Times New Roman" w:hAnsi="Times New Roman"/>
          <w:bCs/>
          <w:sz w:val="28"/>
          <w:szCs w:val="28"/>
        </w:rPr>
        <w:t>⁷</w:t>
      </w:r>
    </w:p>
    <w:p w:rsidR="008E11A5" w:rsidRDefault="00342678">
      <w:pPr>
        <w:spacing w:after="100" w:afterAutospacing="1" w:line="240" w:lineRule="auto"/>
        <w:jc w:val="both"/>
        <w:rPr>
          <w:rFonts w:ascii="Times New Roman" w:hAnsi="Times New Roman"/>
          <w:sz w:val="28"/>
          <w:szCs w:val="28"/>
        </w:rPr>
      </w:pPr>
      <w:r>
        <w:rPr>
          <w:rFonts w:ascii="Times New Roman" w:hAnsi="Times New Roman"/>
          <w:bCs/>
          <w:sz w:val="28"/>
          <w:szCs w:val="28"/>
        </w:rPr>
        <w:t>Optimal treatment</w:t>
      </w:r>
      <w:r>
        <w:rPr>
          <w:rFonts w:ascii="Times New Roman" w:hAnsi="Times New Roman"/>
          <w:sz w:val="28"/>
          <w:szCs w:val="28"/>
        </w:rPr>
        <w:t xml:space="preserve"> involves </w:t>
      </w:r>
      <w:r>
        <w:rPr>
          <w:rFonts w:ascii="Times New Roman" w:hAnsi="Times New Roman"/>
          <w:bCs/>
          <w:sz w:val="28"/>
          <w:szCs w:val="28"/>
        </w:rPr>
        <w:t>surgical excision with clear margins</w:t>
      </w:r>
      <w:r>
        <w:rPr>
          <w:rFonts w:ascii="Times New Roman" w:hAnsi="Times New Roman"/>
          <w:sz w:val="28"/>
          <w:szCs w:val="28"/>
        </w:rPr>
        <w:t xml:space="preserve">, generally a </w:t>
      </w:r>
      <w:r>
        <w:rPr>
          <w:rFonts w:ascii="Times New Roman" w:hAnsi="Times New Roman"/>
          <w:bCs/>
          <w:sz w:val="28"/>
          <w:szCs w:val="28"/>
        </w:rPr>
        <w:t>5 mm margin</w:t>
      </w:r>
      <w:r>
        <w:rPr>
          <w:rFonts w:ascii="Times New Roman" w:hAnsi="Times New Roman"/>
          <w:sz w:val="28"/>
          <w:szCs w:val="28"/>
        </w:rPr>
        <w:t xml:space="preserve"> to prevent local recurrence¹⁹. In ocular SC, </w:t>
      </w:r>
      <w:r>
        <w:rPr>
          <w:rFonts w:ascii="Times New Roman" w:hAnsi="Times New Roman"/>
          <w:bCs/>
          <w:sz w:val="28"/>
          <w:szCs w:val="28"/>
        </w:rPr>
        <w:t>regional neck dissection or sentinel lymph node biopsy</w:t>
      </w:r>
      <w:r>
        <w:rPr>
          <w:rFonts w:ascii="Times New Roman" w:hAnsi="Times New Roman"/>
          <w:sz w:val="28"/>
          <w:szCs w:val="28"/>
        </w:rPr>
        <w:t xml:space="preserve"> may be indicated²⁰. The role of </w:t>
      </w:r>
      <w:r>
        <w:rPr>
          <w:rFonts w:ascii="Times New Roman" w:hAnsi="Times New Roman"/>
          <w:bCs/>
          <w:sz w:val="28"/>
          <w:szCs w:val="28"/>
        </w:rPr>
        <w:t>adjuvant radiotherapy (RT)</w:t>
      </w:r>
      <w:r>
        <w:rPr>
          <w:rFonts w:ascii="Times New Roman" w:hAnsi="Times New Roman"/>
          <w:sz w:val="28"/>
          <w:szCs w:val="28"/>
        </w:rPr>
        <w:t xml:space="preserve"> or </w:t>
      </w:r>
      <w:r>
        <w:rPr>
          <w:rFonts w:ascii="Times New Roman" w:hAnsi="Times New Roman"/>
          <w:bCs/>
          <w:sz w:val="28"/>
          <w:szCs w:val="28"/>
        </w:rPr>
        <w:t>systemic therapy (ST)</w:t>
      </w:r>
      <w:r>
        <w:rPr>
          <w:rFonts w:ascii="Times New Roman" w:hAnsi="Times New Roman"/>
          <w:sz w:val="28"/>
          <w:szCs w:val="28"/>
        </w:rPr>
        <w:t xml:space="preserve"> remains controversial, particularly in non-ocular cases. RT may be considered for patients who are not surgical candidates. </w:t>
      </w:r>
      <w:r>
        <w:rPr>
          <w:rFonts w:ascii="Times New Roman" w:hAnsi="Times New Roman"/>
          <w:bCs/>
          <w:sz w:val="28"/>
          <w:szCs w:val="28"/>
        </w:rPr>
        <w:t>Prognosis</w:t>
      </w:r>
      <w:r>
        <w:rPr>
          <w:rFonts w:ascii="Times New Roman" w:hAnsi="Times New Roman"/>
          <w:sz w:val="28"/>
          <w:szCs w:val="28"/>
        </w:rPr>
        <w:t xml:space="preserve"> is influenced by multiple factors including </w:t>
      </w:r>
      <w:r>
        <w:rPr>
          <w:rFonts w:ascii="Times New Roman" w:hAnsi="Times New Roman"/>
          <w:bCs/>
          <w:sz w:val="28"/>
          <w:szCs w:val="28"/>
        </w:rPr>
        <w:t>tumor size, location, clinical stage</w:t>
      </w:r>
      <w:r>
        <w:rPr>
          <w:rFonts w:ascii="Times New Roman" w:hAnsi="Times New Roman"/>
          <w:sz w:val="28"/>
          <w:szCs w:val="28"/>
        </w:rPr>
        <w:t xml:space="preserve">, and </w:t>
      </w:r>
      <w:r>
        <w:rPr>
          <w:rFonts w:ascii="Times New Roman" w:hAnsi="Times New Roman"/>
          <w:bCs/>
          <w:sz w:val="28"/>
          <w:szCs w:val="28"/>
        </w:rPr>
        <w:t>treatment approach</w:t>
      </w:r>
      <w:r>
        <w:rPr>
          <w:rFonts w:ascii="Times New Roman" w:hAnsi="Times New Roman"/>
          <w:sz w:val="28"/>
          <w:szCs w:val="28"/>
        </w:rPr>
        <w:t>.</w:t>
      </w:r>
    </w:p>
    <w:p w:rsidR="008E11A5" w:rsidRDefault="00342678">
      <w:pPr>
        <w:spacing w:after="100" w:afterAutospacing="1" w:line="240" w:lineRule="auto"/>
        <w:jc w:val="both"/>
        <w:rPr>
          <w:rFonts w:ascii="Times New Roman" w:hAnsi="Times New Roman"/>
          <w:sz w:val="28"/>
          <w:szCs w:val="28"/>
          <w:highlight w:val="yellow"/>
        </w:rPr>
      </w:pPr>
      <w:r>
        <w:rPr>
          <w:rFonts w:ascii="Times New Roman" w:hAnsi="Times New Roman"/>
          <w:sz w:val="28"/>
          <w:szCs w:val="28"/>
          <w:highlight w:val="yellow"/>
        </w:rPr>
        <w:t>This systematic review addresses a highly rare and underreported malignancy. Given the diagnostic challenges and potential for misdiagnosis due to its resemblance to more common oral lesions, this review provides valuable insights into its clinical and histopathological characteristics. The work contributes to raising awareness among clinicians. By highlighting associations with genetic syndromes like Muir-Torre syndrome, the manuscript also underscores broader implications for patient surveillance and family screening.</w:t>
      </w:r>
    </w:p>
    <w:p w:rsidR="008E11A5" w:rsidRDefault="00342678">
      <w:pPr>
        <w:spacing w:after="0" w:line="276"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lastRenderedPageBreak/>
        <w:t>AIMS AND OBJECTIVES –</w:t>
      </w:r>
    </w:p>
    <w:p w:rsidR="008E11A5" w:rsidRDefault="00342678">
      <w:pPr>
        <w:pStyle w:val="Heading3"/>
        <w:jc w:val="both"/>
        <w:rPr>
          <w:rStyle w:val="Strong"/>
          <w:b/>
          <w:bCs/>
          <w:sz w:val="28"/>
          <w:szCs w:val="28"/>
        </w:rPr>
      </w:pPr>
      <w:r>
        <w:rPr>
          <w:rStyle w:val="Strong"/>
          <w:b/>
          <w:bCs/>
          <w:sz w:val="28"/>
          <w:szCs w:val="28"/>
        </w:rPr>
        <w:t>Aim –</w:t>
      </w:r>
    </w:p>
    <w:p w:rsidR="008E11A5" w:rsidRDefault="00342678">
      <w:pPr>
        <w:pStyle w:val="Heading3"/>
        <w:jc w:val="both"/>
        <w:rPr>
          <w:b w:val="0"/>
          <w:sz w:val="28"/>
          <w:szCs w:val="28"/>
        </w:rPr>
      </w:pPr>
      <w:r>
        <w:rPr>
          <w:b w:val="0"/>
          <w:sz w:val="28"/>
          <w:szCs w:val="28"/>
        </w:rPr>
        <w:t>To conduct a systematic review to evaluate the clinical and pathological characteristics of oral sebaceous carcinoma.</w:t>
      </w:r>
    </w:p>
    <w:p w:rsidR="008E11A5" w:rsidRDefault="00342678">
      <w:pPr>
        <w:pStyle w:val="Heading3"/>
        <w:jc w:val="both"/>
        <w:rPr>
          <w:sz w:val="28"/>
          <w:szCs w:val="28"/>
        </w:rPr>
      </w:pPr>
      <w:r>
        <w:rPr>
          <w:rStyle w:val="Strong"/>
          <w:b/>
          <w:bCs/>
          <w:sz w:val="28"/>
          <w:szCs w:val="28"/>
        </w:rPr>
        <w:t>Objectives</w:t>
      </w:r>
    </w:p>
    <w:p w:rsidR="008E11A5" w:rsidRDefault="00342678">
      <w:pPr>
        <w:pStyle w:val="NormalWeb"/>
        <w:numPr>
          <w:ilvl w:val="0"/>
          <w:numId w:val="1"/>
        </w:numPr>
        <w:jc w:val="both"/>
        <w:rPr>
          <w:sz w:val="28"/>
          <w:szCs w:val="28"/>
        </w:rPr>
      </w:pPr>
      <w:r>
        <w:rPr>
          <w:sz w:val="28"/>
          <w:szCs w:val="28"/>
        </w:rPr>
        <w:t>To analyze the demographic profile of reported cases.</w:t>
      </w:r>
    </w:p>
    <w:p w:rsidR="008E11A5" w:rsidRDefault="00342678">
      <w:pPr>
        <w:pStyle w:val="NormalWeb"/>
        <w:numPr>
          <w:ilvl w:val="0"/>
          <w:numId w:val="1"/>
        </w:numPr>
        <w:jc w:val="both"/>
        <w:rPr>
          <w:sz w:val="28"/>
          <w:szCs w:val="28"/>
        </w:rPr>
      </w:pPr>
      <w:r>
        <w:rPr>
          <w:sz w:val="28"/>
          <w:szCs w:val="28"/>
        </w:rPr>
        <w:t>To describe the clinical and histopathological features of oral sebaceous carcinoma.</w:t>
      </w:r>
    </w:p>
    <w:p w:rsidR="008E11A5" w:rsidRDefault="00342678">
      <w:pPr>
        <w:pStyle w:val="NormalWeb"/>
        <w:numPr>
          <w:ilvl w:val="0"/>
          <w:numId w:val="1"/>
        </w:numPr>
        <w:jc w:val="both"/>
        <w:rPr>
          <w:sz w:val="28"/>
          <w:szCs w:val="28"/>
        </w:rPr>
      </w:pPr>
      <w:r>
        <w:rPr>
          <w:sz w:val="28"/>
          <w:szCs w:val="28"/>
        </w:rPr>
        <w:t>To identify and compare differential diagnoses considered in reported cases.</w:t>
      </w:r>
    </w:p>
    <w:p w:rsidR="008E11A5" w:rsidRDefault="00342678">
      <w:pPr>
        <w:pStyle w:val="NormalWeb"/>
        <w:numPr>
          <w:ilvl w:val="0"/>
          <w:numId w:val="1"/>
        </w:numPr>
        <w:jc w:val="both"/>
        <w:rPr>
          <w:sz w:val="28"/>
          <w:szCs w:val="28"/>
        </w:rPr>
      </w:pPr>
      <w:r>
        <w:rPr>
          <w:sz w:val="28"/>
          <w:szCs w:val="28"/>
        </w:rPr>
        <w:t>To review the treatment modalities employed in managing oral sebaceous carcinoma.</w:t>
      </w:r>
    </w:p>
    <w:p w:rsidR="008E11A5" w:rsidRDefault="00342678">
      <w:pPr>
        <w:pStyle w:val="NormalWeb"/>
        <w:numPr>
          <w:ilvl w:val="0"/>
          <w:numId w:val="1"/>
        </w:numPr>
        <w:jc w:val="both"/>
        <w:rPr>
          <w:sz w:val="28"/>
          <w:szCs w:val="28"/>
        </w:rPr>
      </w:pPr>
      <w:r>
        <w:rPr>
          <w:sz w:val="28"/>
          <w:szCs w:val="28"/>
        </w:rPr>
        <w:t>To assess patient outcomes and prognostic factors associated with the condition.</w:t>
      </w:r>
    </w:p>
    <w:p w:rsidR="008E11A5" w:rsidRDefault="00342678">
      <w:pPr>
        <w:spacing w:after="0" w:line="276"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MATERIALS AND METHOD</w:t>
      </w:r>
    </w:p>
    <w:p w:rsidR="008E11A5" w:rsidRDefault="00342678">
      <w:pPr>
        <w:pStyle w:val="NormalWeb"/>
        <w:jc w:val="both"/>
        <w:rPr>
          <w:sz w:val="28"/>
          <w:szCs w:val="28"/>
        </w:rPr>
      </w:pPr>
      <w:r>
        <w:rPr>
          <w:sz w:val="28"/>
          <w:szCs w:val="28"/>
        </w:rPr>
        <w:t xml:space="preserve">The study protocol was registered in the </w:t>
      </w:r>
      <w:r>
        <w:rPr>
          <w:rStyle w:val="Strong"/>
          <w:b w:val="0"/>
          <w:sz w:val="28"/>
          <w:szCs w:val="28"/>
        </w:rPr>
        <w:t>PROSPERO</w:t>
      </w:r>
      <w:r>
        <w:rPr>
          <w:sz w:val="28"/>
          <w:szCs w:val="28"/>
        </w:rPr>
        <w:t xml:space="preserve"> database, and the registration number for this review is </w:t>
      </w:r>
      <w:r>
        <w:rPr>
          <w:rStyle w:val="Strong"/>
          <w:b w:val="0"/>
          <w:sz w:val="28"/>
          <w:szCs w:val="28"/>
        </w:rPr>
        <w:t>CRD42025639648</w:t>
      </w:r>
      <w:r>
        <w:rPr>
          <w:sz w:val="28"/>
          <w:szCs w:val="28"/>
        </w:rPr>
        <w:t>.</w:t>
      </w:r>
    </w:p>
    <w:p w:rsidR="008E11A5" w:rsidRDefault="00342678">
      <w:pPr>
        <w:pStyle w:val="NormalWeb"/>
        <w:jc w:val="both"/>
        <w:rPr>
          <w:sz w:val="28"/>
          <w:szCs w:val="28"/>
        </w:rPr>
      </w:pPr>
      <w:r>
        <w:rPr>
          <w:sz w:val="28"/>
          <w:szCs w:val="28"/>
        </w:rPr>
        <w:t xml:space="preserve">Case reports and case series of </w:t>
      </w:r>
      <w:r>
        <w:rPr>
          <w:rStyle w:val="Strong"/>
          <w:b w:val="0"/>
          <w:sz w:val="28"/>
          <w:szCs w:val="28"/>
        </w:rPr>
        <w:t>oral sebaceous carcinoma</w:t>
      </w:r>
      <w:r>
        <w:rPr>
          <w:sz w:val="28"/>
          <w:szCs w:val="28"/>
        </w:rPr>
        <w:t xml:space="preserve"> were retrieved through a </w:t>
      </w:r>
      <w:r>
        <w:rPr>
          <w:rStyle w:val="Strong"/>
          <w:b w:val="0"/>
          <w:sz w:val="28"/>
          <w:szCs w:val="28"/>
        </w:rPr>
        <w:t>systematic search</w:t>
      </w:r>
      <w:r>
        <w:rPr>
          <w:sz w:val="28"/>
          <w:szCs w:val="28"/>
        </w:rPr>
        <w:t xml:space="preserve"> of the following scientific databases:</w:t>
      </w:r>
    </w:p>
    <w:p w:rsidR="008E11A5" w:rsidRDefault="00342678">
      <w:pPr>
        <w:pStyle w:val="NormalWeb"/>
        <w:numPr>
          <w:ilvl w:val="0"/>
          <w:numId w:val="2"/>
        </w:numPr>
        <w:jc w:val="both"/>
        <w:rPr>
          <w:sz w:val="28"/>
          <w:szCs w:val="28"/>
        </w:rPr>
      </w:pPr>
      <w:r>
        <w:rPr>
          <w:rStyle w:val="Strong"/>
          <w:b w:val="0"/>
          <w:sz w:val="28"/>
          <w:szCs w:val="28"/>
        </w:rPr>
        <w:t>PubMed Central</w:t>
      </w:r>
      <w:r>
        <w:rPr>
          <w:sz w:val="28"/>
          <w:szCs w:val="28"/>
        </w:rPr>
        <w:t xml:space="preserve"> (National Library of Medicine)</w:t>
      </w:r>
    </w:p>
    <w:p w:rsidR="008E11A5" w:rsidRDefault="00342678">
      <w:pPr>
        <w:pStyle w:val="NormalWeb"/>
        <w:numPr>
          <w:ilvl w:val="0"/>
          <w:numId w:val="2"/>
        </w:numPr>
        <w:jc w:val="both"/>
        <w:rPr>
          <w:sz w:val="28"/>
          <w:szCs w:val="28"/>
        </w:rPr>
      </w:pPr>
      <w:r>
        <w:rPr>
          <w:rStyle w:val="Strong"/>
          <w:b w:val="0"/>
          <w:sz w:val="28"/>
          <w:szCs w:val="28"/>
        </w:rPr>
        <w:t>Google Scholar</w:t>
      </w:r>
      <w:r>
        <w:rPr>
          <w:sz w:val="28"/>
          <w:szCs w:val="28"/>
        </w:rPr>
        <w:t xml:space="preserve"> (Google, Mountain View, USA)</w:t>
      </w:r>
    </w:p>
    <w:p w:rsidR="008E11A5" w:rsidRDefault="00342678">
      <w:pPr>
        <w:pStyle w:val="NormalWeb"/>
        <w:numPr>
          <w:ilvl w:val="0"/>
          <w:numId w:val="2"/>
        </w:numPr>
        <w:jc w:val="both"/>
        <w:rPr>
          <w:sz w:val="28"/>
          <w:szCs w:val="28"/>
        </w:rPr>
      </w:pPr>
      <w:r>
        <w:rPr>
          <w:rStyle w:val="Strong"/>
          <w:b w:val="0"/>
          <w:sz w:val="28"/>
          <w:szCs w:val="28"/>
        </w:rPr>
        <w:t>ScienceDirect</w:t>
      </w:r>
    </w:p>
    <w:p w:rsidR="008E11A5" w:rsidRDefault="00342678">
      <w:pPr>
        <w:pStyle w:val="NormalWeb"/>
        <w:jc w:val="both"/>
        <w:rPr>
          <w:sz w:val="28"/>
          <w:szCs w:val="28"/>
        </w:rPr>
      </w:pPr>
      <w:r>
        <w:rPr>
          <w:sz w:val="28"/>
          <w:szCs w:val="28"/>
        </w:rPr>
        <w:t>The search strategy used the following keywords:</w:t>
      </w:r>
      <w:r>
        <w:rPr>
          <w:sz w:val="28"/>
          <w:szCs w:val="28"/>
        </w:rPr>
        <w:br/>
      </w:r>
      <w:r>
        <w:rPr>
          <w:rStyle w:val="Strong"/>
          <w:b w:val="0"/>
          <w:sz w:val="28"/>
          <w:szCs w:val="28"/>
        </w:rPr>
        <w:t>“Sebaceous Carcinoma” OR “Oral Cavity” AND “Oral Mucosa.”</w:t>
      </w:r>
    </w:p>
    <w:p w:rsidR="008E11A5" w:rsidRDefault="00342678">
      <w:pPr>
        <w:pStyle w:val="NormalWeb"/>
        <w:jc w:val="both"/>
        <w:rPr>
          <w:sz w:val="28"/>
          <w:szCs w:val="28"/>
        </w:rPr>
      </w:pPr>
      <w:r>
        <w:rPr>
          <w:sz w:val="28"/>
          <w:szCs w:val="28"/>
        </w:rPr>
        <w:t xml:space="preserve">Relevant literature was screened to identify cases reported under various terminologies; however, </w:t>
      </w:r>
      <w:r>
        <w:rPr>
          <w:rStyle w:val="Strong"/>
          <w:b w:val="0"/>
          <w:sz w:val="28"/>
          <w:szCs w:val="28"/>
        </w:rPr>
        <w:t>case reports published before the year 2000</w:t>
      </w:r>
      <w:r>
        <w:rPr>
          <w:b/>
          <w:sz w:val="28"/>
          <w:szCs w:val="28"/>
        </w:rPr>
        <w:t xml:space="preserve"> </w:t>
      </w:r>
      <w:r>
        <w:rPr>
          <w:sz w:val="28"/>
          <w:szCs w:val="28"/>
        </w:rPr>
        <w:t>were excluded from the current review.</w:t>
      </w:r>
    </w:p>
    <w:p w:rsidR="008E11A5" w:rsidRDefault="00342678">
      <w:pPr>
        <w:pStyle w:val="NormalWeb"/>
        <w:jc w:val="both"/>
        <w:rPr>
          <w:sz w:val="28"/>
          <w:szCs w:val="28"/>
        </w:rPr>
      </w:pPr>
      <w:r>
        <w:rPr>
          <w:sz w:val="28"/>
          <w:szCs w:val="28"/>
        </w:rPr>
        <w:t xml:space="preserve">An </w:t>
      </w:r>
      <w:r>
        <w:rPr>
          <w:rStyle w:val="Strong"/>
          <w:b w:val="0"/>
          <w:sz w:val="28"/>
          <w:szCs w:val="28"/>
        </w:rPr>
        <w:t>independent researcher</w:t>
      </w:r>
      <w:r>
        <w:rPr>
          <w:sz w:val="28"/>
          <w:szCs w:val="28"/>
        </w:rPr>
        <w:t xml:space="preserve"> performed the database search and identified </w:t>
      </w:r>
      <w:r>
        <w:rPr>
          <w:rStyle w:val="Strong"/>
          <w:sz w:val="28"/>
          <w:szCs w:val="28"/>
        </w:rPr>
        <w:t xml:space="preserve">68 </w:t>
      </w:r>
      <w:r>
        <w:rPr>
          <w:rStyle w:val="Strong"/>
          <w:b w:val="0"/>
          <w:sz w:val="28"/>
          <w:szCs w:val="28"/>
        </w:rPr>
        <w:t>relevant studies</w:t>
      </w:r>
      <w:r>
        <w:rPr>
          <w:sz w:val="28"/>
          <w:szCs w:val="28"/>
        </w:rPr>
        <w:t xml:space="preserve">. In addition, </w:t>
      </w:r>
      <w:r>
        <w:rPr>
          <w:rStyle w:val="Strong"/>
          <w:b w:val="0"/>
          <w:sz w:val="28"/>
          <w:szCs w:val="28"/>
        </w:rPr>
        <w:t>reference checks</w:t>
      </w:r>
      <w:r>
        <w:rPr>
          <w:sz w:val="28"/>
          <w:szCs w:val="28"/>
        </w:rPr>
        <w:t xml:space="preserve"> of the selected articles were carried </w:t>
      </w:r>
      <w:r>
        <w:rPr>
          <w:sz w:val="28"/>
          <w:szCs w:val="28"/>
        </w:rPr>
        <w:lastRenderedPageBreak/>
        <w:t xml:space="preserve">out to facilitate </w:t>
      </w:r>
      <w:r>
        <w:rPr>
          <w:rStyle w:val="Strong"/>
          <w:b w:val="0"/>
          <w:sz w:val="28"/>
          <w:szCs w:val="28"/>
        </w:rPr>
        <w:t>snowballing</w:t>
      </w:r>
      <w:r>
        <w:rPr>
          <w:sz w:val="28"/>
          <w:szCs w:val="28"/>
        </w:rPr>
        <w:t xml:space="preserve"> and ensure the inclusion of potentially missed cases. Reference checks of the cases identified were also made to help snowballing or networking of the cases. A table was tabulated regarding author, year of publication, demographic data as age, gender, clinical features, histopathological features, and differential diagnosis treatment opted for each of the case reports included.</w:t>
      </w:r>
    </w:p>
    <w:p w:rsidR="008E11A5" w:rsidRDefault="00342678">
      <w:pPr>
        <w:spacing w:after="0" w:line="276"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SEARCH STRATEGY </w:t>
      </w:r>
    </w:p>
    <w:p w:rsidR="008E11A5" w:rsidRDefault="00342678">
      <w:pPr>
        <w:spacing w:after="0" w:line="276" w:lineRule="auto"/>
        <w:jc w:val="both"/>
        <w:rPr>
          <w:rFonts w:ascii="Times New Roman" w:hAnsi="Times New Roman"/>
          <w:sz w:val="28"/>
          <w:szCs w:val="28"/>
        </w:rPr>
      </w:pPr>
      <w:r>
        <w:rPr>
          <w:rFonts w:ascii="Times New Roman" w:hAnsi="Times New Roman"/>
          <w:sz w:val="28"/>
          <w:szCs w:val="28"/>
        </w:rPr>
        <w:t xml:space="preserve">To find pertinent studies on the demographic, clinical and histological conditions and outcomes of sebaceous carcinoma, a thorough search was undertaken in the Google scholar, PubMed, </w:t>
      </w:r>
      <w:proofErr w:type="spellStart"/>
      <w:r>
        <w:rPr>
          <w:rFonts w:ascii="Times New Roman" w:hAnsi="Times New Roman"/>
          <w:sz w:val="28"/>
          <w:szCs w:val="28"/>
        </w:rPr>
        <w:t>sciencedirect</w:t>
      </w:r>
      <w:proofErr w:type="spellEnd"/>
      <w:r>
        <w:rPr>
          <w:rFonts w:ascii="Times New Roman" w:hAnsi="Times New Roman"/>
          <w:sz w:val="28"/>
          <w:szCs w:val="28"/>
        </w:rPr>
        <w:t xml:space="preserve"> and DOAJ database. The filters were fixed at article type (prospective, retrospective, cross-sectional studies), publication date (January 2003 till January 2023), and the best match option. Controlled vocabulary (</w:t>
      </w:r>
      <w:proofErr w:type="spellStart"/>
      <w:r>
        <w:rPr>
          <w:rFonts w:ascii="Times New Roman" w:hAnsi="Times New Roman"/>
          <w:sz w:val="28"/>
          <w:szCs w:val="28"/>
        </w:rPr>
        <w:t>MeSH</w:t>
      </w:r>
      <w:proofErr w:type="spellEnd"/>
      <w:r>
        <w:rPr>
          <w:rFonts w:ascii="Times New Roman" w:hAnsi="Times New Roman"/>
          <w:sz w:val="28"/>
          <w:szCs w:val="28"/>
        </w:rPr>
        <w:t xml:space="preserve"> terms in PubMed) and free-text terms in the titles and/or abstracts were used to define the search strategy in the database. The search strategies developed using Boolean operators for PubMed and databases is given below and the “screening process of studies is presented in the form of PRISMA flow-chart (Figure1).  </w:t>
      </w:r>
      <w:r>
        <w:rPr>
          <w:rFonts w:ascii="Times New Roman" w:eastAsia="Calibri" w:hAnsi="Times New Roman"/>
          <w:sz w:val="28"/>
          <w:szCs w:val="28"/>
        </w:rPr>
        <w:t>Keywords used were</w:t>
      </w:r>
      <w:r>
        <w:rPr>
          <w:rFonts w:ascii="Times New Roman" w:eastAsia="Calibri" w:hAnsi="Times New Roman"/>
          <w:b/>
          <w:sz w:val="28"/>
          <w:szCs w:val="28"/>
        </w:rPr>
        <w:t xml:space="preserve"> “</w:t>
      </w:r>
      <w:r>
        <w:rPr>
          <w:rFonts w:ascii="Times New Roman" w:eastAsia="Calibri" w:hAnsi="Times New Roman"/>
          <w:sz w:val="28"/>
          <w:szCs w:val="28"/>
        </w:rPr>
        <w:t>Patients with “Oral carcinoma” or Oral Sebaceous Carcinoma (P)” or “Sebaceous Carcinoma</w:t>
      </w:r>
      <w:r>
        <w:rPr>
          <w:rFonts w:ascii="Times New Roman" w:hAnsi="Times New Roman"/>
          <w:bCs/>
          <w:kern w:val="36"/>
          <w:sz w:val="28"/>
          <w:szCs w:val="28"/>
        </w:rPr>
        <w:t xml:space="preserve"> of oral cavity” or “</w:t>
      </w:r>
      <w:r>
        <w:rPr>
          <w:rFonts w:ascii="Times New Roman" w:eastAsia="Calibri" w:hAnsi="Times New Roman"/>
          <w:sz w:val="28"/>
          <w:szCs w:val="28"/>
        </w:rPr>
        <w:t xml:space="preserve">Oral involvement of sebaceous carcinoma” or “Patient outcome in Oral sebaceous carcinoma” or </w:t>
      </w:r>
      <w:r>
        <w:rPr>
          <w:rFonts w:ascii="Times New Roman" w:hAnsi="Times New Roman"/>
          <w:sz w:val="28"/>
          <w:szCs w:val="28"/>
        </w:rPr>
        <w:t>patients with Oral Sebaceous Carcinoma OR sebaceous gland carcinoma OR sebaceous gland adenocarcinoma) AND (Oral cavity OR oral involvement OR oral region) AND (</w:t>
      </w:r>
      <w:proofErr w:type="spellStart"/>
      <w:r>
        <w:rPr>
          <w:rFonts w:ascii="Times New Roman" w:hAnsi="Times New Roman"/>
          <w:sz w:val="28"/>
          <w:szCs w:val="28"/>
        </w:rPr>
        <w:t>clinico</w:t>
      </w:r>
      <w:proofErr w:type="spellEnd"/>
      <w:r>
        <w:rPr>
          <w:rFonts w:ascii="Times New Roman" w:hAnsi="Times New Roman"/>
          <w:sz w:val="28"/>
          <w:szCs w:val="28"/>
        </w:rPr>
        <w:t>-pathological features OR histopathological features OR IHC) AND (outcome OR prognosis)</w:t>
      </w:r>
    </w:p>
    <w:p w:rsidR="008E11A5" w:rsidRDefault="00342678">
      <w:pPr>
        <w:spacing w:after="0" w:line="276" w:lineRule="auto"/>
        <w:jc w:val="both"/>
        <w:rPr>
          <w:rFonts w:ascii="Times New Roman" w:hAnsi="Times New Roman"/>
          <w:sz w:val="28"/>
          <w:szCs w:val="28"/>
          <w:u w:val="single"/>
        </w:rPr>
      </w:pPr>
      <w:r>
        <w:rPr>
          <w:rFonts w:ascii="Times New Roman" w:hAnsi="Times New Roman"/>
          <w:b/>
          <w:bCs/>
          <w:color w:val="000000"/>
          <w:sz w:val="28"/>
          <w:szCs w:val="28"/>
          <w:u w:val="single"/>
        </w:rPr>
        <w:t xml:space="preserve">ELIGIBILITY CRITERIA </w:t>
      </w:r>
    </w:p>
    <w:p w:rsidR="008E11A5" w:rsidRDefault="00342678">
      <w:pPr>
        <w:spacing w:after="0" w:line="276" w:lineRule="auto"/>
        <w:jc w:val="both"/>
        <w:rPr>
          <w:rFonts w:ascii="Times New Roman" w:hAnsi="Times New Roman"/>
          <w:sz w:val="28"/>
          <w:szCs w:val="28"/>
          <w:u w:val="single"/>
        </w:rPr>
      </w:pPr>
      <w:r>
        <w:rPr>
          <w:rFonts w:ascii="Times New Roman" w:hAnsi="Times New Roman"/>
          <w:b/>
          <w:bCs/>
          <w:color w:val="000000"/>
          <w:sz w:val="28"/>
          <w:szCs w:val="28"/>
          <w:u w:val="single"/>
        </w:rPr>
        <w:t xml:space="preserve">Inclusion Criteria </w:t>
      </w:r>
      <w:r>
        <w:rPr>
          <w:rFonts w:ascii="Times New Roman" w:hAnsi="Times New Roman"/>
          <w:color w:val="000000"/>
          <w:sz w:val="28"/>
          <w:szCs w:val="28"/>
        </w:rPr>
        <w:t xml:space="preserve">Following articles are included </w:t>
      </w:r>
    </w:p>
    <w:p w:rsidR="008E11A5" w:rsidRDefault="00342678">
      <w:pPr>
        <w:spacing w:after="0" w:line="276" w:lineRule="auto"/>
        <w:jc w:val="both"/>
        <w:rPr>
          <w:rFonts w:ascii="Times New Roman" w:hAnsi="Times New Roman"/>
          <w:sz w:val="28"/>
          <w:szCs w:val="28"/>
        </w:rPr>
      </w:pPr>
      <w:r>
        <w:rPr>
          <w:rFonts w:ascii="Times New Roman" w:hAnsi="Times New Roman"/>
          <w:color w:val="333333"/>
          <w:sz w:val="28"/>
          <w:szCs w:val="28"/>
        </w:rPr>
        <w:t>1</w:t>
      </w:r>
      <w:r>
        <w:rPr>
          <w:rFonts w:ascii="Times New Roman" w:hAnsi="Times New Roman"/>
          <w:color w:val="000000"/>
          <w:sz w:val="28"/>
          <w:szCs w:val="28"/>
        </w:rPr>
        <w:t xml:space="preserve">.Case reports and case series on patients with intraoral </w:t>
      </w:r>
      <w:proofErr w:type="spellStart"/>
      <w:r>
        <w:rPr>
          <w:rFonts w:ascii="Times New Roman" w:hAnsi="Times New Roman"/>
          <w:color w:val="000000"/>
          <w:sz w:val="28"/>
          <w:szCs w:val="28"/>
        </w:rPr>
        <w:t>Sebaseous</w:t>
      </w:r>
      <w:proofErr w:type="spellEnd"/>
      <w:r>
        <w:rPr>
          <w:rFonts w:ascii="Times New Roman" w:hAnsi="Times New Roman"/>
          <w:color w:val="000000"/>
          <w:sz w:val="28"/>
          <w:szCs w:val="28"/>
        </w:rPr>
        <w:t xml:space="preserve"> carcinoma from 2000-2024</w:t>
      </w:r>
      <w:r>
        <w:rPr>
          <w:rFonts w:ascii="Times New Roman" w:hAnsi="Times New Roman"/>
          <w:sz w:val="28"/>
          <w:szCs w:val="28"/>
        </w:rPr>
        <w:t xml:space="preserve"> </w:t>
      </w:r>
      <w:r>
        <w:rPr>
          <w:rFonts w:ascii="Times New Roman" w:hAnsi="Times New Roman"/>
          <w:color w:val="000000"/>
          <w:sz w:val="28"/>
          <w:szCs w:val="28"/>
        </w:rPr>
        <w:t xml:space="preserve">2. Articles published in </w:t>
      </w:r>
      <w:proofErr w:type="gramStart"/>
      <w:r>
        <w:rPr>
          <w:rFonts w:ascii="Times New Roman" w:hAnsi="Times New Roman"/>
          <w:color w:val="000000"/>
          <w:sz w:val="28"/>
          <w:szCs w:val="28"/>
        </w:rPr>
        <w:t>English  3</w:t>
      </w:r>
      <w:proofErr w:type="gramEnd"/>
      <w:r>
        <w:rPr>
          <w:rFonts w:ascii="Times New Roman" w:hAnsi="Times New Roman"/>
          <w:color w:val="000000"/>
          <w:sz w:val="28"/>
          <w:szCs w:val="28"/>
        </w:rPr>
        <w:t>. Case reports and case series, Case reports and case series with review between 2000-2024</w:t>
      </w:r>
    </w:p>
    <w:p w:rsidR="008E11A5" w:rsidRDefault="00342678">
      <w:pPr>
        <w:spacing w:after="0" w:line="276" w:lineRule="auto"/>
        <w:jc w:val="both"/>
        <w:rPr>
          <w:rFonts w:ascii="Times New Roman" w:hAnsi="Times New Roman"/>
          <w:sz w:val="28"/>
          <w:szCs w:val="28"/>
          <w:u w:val="single"/>
        </w:rPr>
      </w:pPr>
      <w:r>
        <w:rPr>
          <w:rFonts w:ascii="Times New Roman" w:hAnsi="Times New Roman"/>
          <w:b/>
          <w:bCs/>
          <w:color w:val="000000"/>
          <w:sz w:val="28"/>
          <w:szCs w:val="28"/>
          <w:u w:val="single"/>
        </w:rPr>
        <w:t xml:space="preserve">Exclusion Criteria </w:t>
      </w:r>
      <w:r>
        <w:rPr>
          <w:rFonts w:ascii="Times New Roman" w:hAnsi="Times New Roman"/>
          <w:color w:val="000000"/>
          <w:sz w:val="24"/>
          <w:szCs w:val="28"/>
        </w:rPr>
        <w:t xml:space="preserve">Following articles are excluded: </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lastRenderedPageBreak/>
        <w:t xml:space="preserve">1. Case reports and case series on patients with extraoral </w:t>
      </w:r>
      <w:proofErr w:type="spellStart"/>
      <w:r>
        <w:rPr>
          <w:rFonts w:ascii="Times New Roman" w:hAnsi="Times New Roman"/>
          <w:color w:val="000000"/>
          <w:sz w:val="24"/>
          <w:szCs w:val="28"/>
        </w:rPr>
        <w:t>sebaseous</w:t>
      </w:r>
      <w:proofErr w:type="spellEnd"/>
      <w:r>
        <w:rPr>
          <w:rFonts w:ascii="Times New Roman" w:hAnsi="Times New Roman"/>
          <w:color w:val="000000"/>
          <w:sz w:val="24"/>
          <w:szCs w:val="28"/>
        </w:rPr>
        <w:t xml:space="preserve"> carcinoma, </w:t>
      </w:r>
      <w:proofErr w:type="spellStart"/>
      <w:r>
        <w:rPr>
          <w:rFonts w:ascii="Times New Roman" w:hAnsi="Times New Roman"/>
          <w:color w:val="000000"/>
          <w:sz w:val="24"/>
          <w:szCs w:val="28"/>
        </w:rPr>
        <w:t>sebaseous</w:t>
      </w:r>
      <w:proofErr w:type="spellEnd"/>
      <w:r>
        <w:rPr>
          <w:rFonts w:ascii="Times New Roman" w:hAnsi="Times New Roman"/>
          <w:color w:val="000000"/>
          <w:sz w:val="24"/>
          <w:szCs w:val="28"/>
        </w:rPr>
        <w:t xml:space="preserve"> carcinoma of major salivary glands</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t xml:space="preserve">2. Articles published in other language </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t xml:space="preserve">4. Abstracts </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t xml:space="preserve">5. Randomized and nonrandomized clinical trials </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t xml:space="preserve">6. All studies </w:t>
      </w:r>
    </w:p>
    <w:p w:rsidR="008E11A5" w:rsidRDefault="00342678">
      <w:pPr>
        <w:spacing w:after="0" w:line="240" w:lineRule="auto"/>
        <w:jc w:val="both"/>
        <w:rPr>
          <w:rFonts w:ascii="Times New Roman" w:hAnsi="Times New Roman"/>
          <w:sz w:val="24"/>
          <w:szCs w:val="28"/>
        </w:rPr>
      </w:pPr>
      <w:r>
        <w:rPr>
          <w:rFonts w:ascii="Times New Roman" w:hAnsi="Times New Roman"/>
          <w:color w:val="000000"/>
          <w:sz w:val="24"/>
          <w:szCs w:val="28"/>
        </w:rPr>
        <w:t xml:space="preserve">7. Unpublished data. </w:t>
      </w:r>
    </w:p>
    <w:p w:rsidR="008E11A5" w:rsidRDefault="00342678">
      <w:pPr>
        <w:spacing w:after="0" w:line="276" w:lineRule="auto"/>
        <w:jc w:val="both"/>
        <w:rPr>
          <w:rFonts w:ascii="Times New Roman" w:hAnsi="Times New Roman"/>
          <w:sz w:val="28"/>
          <w:szCs w:val="28"/>
        </w:rPr>
      </w:pPr>
      <w:r>
        <w:rPr>
          <w:rFonts w:ascii="Times New Roman" w:hAnsi="Times New Roman"/>
          <w:color w:val="000000"/>
          <w:sz w:val="28"/>
          <w:szCs w:val="28"/>
        </w:rPr>
        <w:t xml:space="preserve">8. Articles with incomplete data. </w:t>
      </w:r>
    </w:p>
    <w:p w:rsidR="008E11A5" w:rsidRDefault="00342678">
      <w:pPr>
        <w:spacing w:after="0" w:line="276" w:lineRule="auto"/>
        <w:jc w:val="both"/>
        <w:rPr>
          <w:rFonts w:ascii="Times New Roman" w:hAnsi="Times New Roman"/>
          <w:sz w:val="28"/>
          <w:szCs w:val="28"/>
        </w:rPr>
      </w:pPr>
      <w:r>
        <w:rPr>
          <w:rFonts w:ascii="Times New Roman" w:hAnsi="Times New Roman"/>
          <w:color w:val="000000"/>
          <w:sz w:val="28"/>
          <w:szCs w:val="28"/>
        </w:rPr>
        <w:t>The references of the selected articles were also analyzed for additional studies. The research question was set in accordance with the PICOT format.</w:t>
      </w:r>
    </w:p>
    <w:p w:rsidR="008E11A5" w:rsidRDefault="00342678">
      <w:pPr>
        <w:pStyle w:val="BodyText"/>
        <w:spacing w:before="216" w:line="276" w:lineRule="auto"/>
        <w:jc w:val="both"/>
        <w:rPr>
          <w:color w:val="000000"/>
          <w:sz w:val="28"/>
          <w:szCs w:val="28"/>
        </w:rPr>
      </w:pPr>
      <w:r>
        <w:rPr>
          <w:b/>
          <w:spacing w:val="-2"/>
          <w:sz w:val="28"/>
          <w:szCs w:val="28"/>
        </w:rPr>
        <w:t>STUDY SELECTION:</w:t>
      </w:r>
      <w:r>
        <w:rPr>
          <w:b/>
          <w:sz w:val="28"/>
          <w:szCs w:val="28"/>
        </w:rPr>
        <w:t xml:space="preserve"> </w:t>
      </w:r>
      <w:r>
        <w:rPr>
          <w:sz w:val="28"/>
          <w:szCs w:val="28"/>
        </w:rPr>
        <w:t>The</w:t>
      </w:r>
      <w:r>
        <w:rPr>
          <w:spacing w:val="-2"/>
          <w:sz w:val="28"/>
          <w:szCs w:val="28"/>
        </w:rPr>
        <w:t xml:space="preserve"> </w:t>
      </w:r>
      <w:r>
        <w:rPr>
          <w:sz w:val="28"/>
          <w:szCs w:val="28"/>
        </w:rPr>
        <w:t>study</w:t>
      </w:r>
      <w:r>
        <w:rPr>
          <w:spacing w:val="-2"/>
          <w:sz w:val="28"/>
          <w:szCs w:val="28"/>
        </w:rPr>
        <w:t xml:space="preserve"> </w:t>
      </w:r>
      <w:r>
        <w:rPr>
          <w:sz w:val="28"/>
          <w:szCs w:val="28"/>
        </w:rPr>
        <w:t>selection was done</w:t>
      </w:r>
      <w:r>
        <w:rPr>
          <w:spacing w:val="-1"/>
          <w:sz w:val="28"/>
          <w:szCs w:val="28"/>
        </w:rPr>
        <w:t xml:space="preserve"> </w:t>
      </w:r>
      <w:r>
        <w:rPr>
          <w:sz w:val="28"/>
          <w:szCs w:val="28"/>
        </w:rPr>
        <w:t>in three</w:t>
      </w:r>
      <w:r>
        <w:rPr>
          <w:spacing w:val="-1"/>
          <w:sz w:val="28"/>
          <w:szCs w:val="28"/>
        </w:rPr>
        <w:t xml:space="preserve"> </w:t>
      </w:r>
      <w:r>
        <w:rPr>
          <w:sz w:val="28"/>
          <w:szCs w:val="28"/>
        </w:rPr>
        <w:t>steps. All the</w:t>
      </w:r>
      <w:r>
        <w:rPr>
          <w:spacing w:val="-1"/>
          <w:sz w:val="28"/>
          <w:szCs w:val="28"/>
        </w:rPr>
        <w:t xml:space="preserve"> </w:t>
      </w:r>
      <w:r>
        <w:rPr>
          <w:sz w:val="28"/>
          <w:szCs w:val="28"/>
        </w:rPr>
        <w:t>titles were</w:t>
      </w:r>
      <w:r>
        <w:rPr>
          <w:spacing w:val="-2"/>
          <w:sz w:val="28"/>
          <w:szCs w:val="28"/>
        </w:rPr>
        <w:t xml:space="preserve"> </w:t>
      </w:r>
      <w:r>
        <w:rPr>
          <w:sz w:val="28"/>
          <w:szCs w:val="28"/>
        </w:rPr>
        <w:t>reviewed and based on the inclusion</w:t>
      </w:r>
      <w:r>
        <w:rPr>
          <w:spacing w:val="-4"/>
          <w:sz w:val="28"/>
          <w:szCs w:val="28"/>
        </w:rPr>
        <w:t xml:space="preserve"> </w:t>
      </w:r>
      <w:r>
        <w:rPr>
          <w:sz w:val="28"/>
          <w:szCs w:val="28"/>
        </w:rPr>
        <w:t>and</w:t>
      </w:r>
      <w:r>
        <w:rPr>
          <w:spacing w:val="-4"/>
          <w:sz w:val="28"/>
          <w:szCs w:val="28"/>
        </w:rPr>
        <w:t xml:space="preserve"> </w:t>
      </w:r>
      <w:r>
        <w:rPr>
          <w:sz w:val="28"/>
          <w:szCs w:val="28"/>
        </w:rPr>
        <w:t>exclusion</w:t>
      </w:r>
      <w:r>
        <w:rPr>
          <w:spacing w:val="-4"/>
          <w:sz w:val="28"/>
          <w:szCs w:val="28"/>
        </w:rPr>
        <w:t xml:space="preserve"> </w:t>
      </w:r>
      <w:r>
        <w:rPr>
          <w:sz w:val="28"/>
          <w:szCs w:val="28"/>
        </w:rPr>
        <w:t>criteria;</w:t>
      </w:r>
      <w:r>
        <w:rPr>
          <w:spacing w:val="-4"/>
          <w:sz w:val="28"/>
          <w:szCs w:val="28"/>
        </w:rPr>
        <w:t xml:space="preserve"> </w:t>
      </w:r>
      <w:r>
        <w:rPr>
          <w:sz w:val="28"/>
          <w:szCs w:val="28"/>
        </w:rPr>
        <w:t>appropriate</w:t>
      </w:r>
      <w:r>
        <w:rPr>
          <w:spacing w:val="-4"/>
          <w:sz w:val="28"/>
          <w:szCs w:val="28"/>
        </w:rPr>
        <w:t xml:space="preserve"> </w:t>
      </w:r>
      <w:r>
        <w:rPr>
          <w:sz w:val="28"/>
          <w:szCs w:val="28"/>
        </w:rPr>
        <w:t>studies</w:t>
      </w:r>
      <w:r>
        <w:rPr>
          <w:spacing w:val="-4"/>
          <w:sz w:val="28"/>
          <w:szCs w:val="28"/>
        </w:rPr>
        <w:t xml:space="preserve"> </w:t>
      </w:r>
      <w:r>
        <w:rPr>
          <w:sz w:val="28"/>
          <w:szCs w:val="28"/>
        </w:rPr>
        <w:t>were</w:t>
      </w:r>
      <w:r>
        <w:rPr>
          <w:spacing w:val="-5"/>
          <w:sz w:val="28"/>
          <w:szCs w:val="28"/>
        </w:rPr>
        <w:t xml:space="preserve"> </w:t>
      </w:r>
      <w:r>
        <w:rPr>
          <w:sz w:val="28"/>
          <w:szCs w:val="28"/>
        </w:rPr>
        <w:t>selected.</w:t>
      </w:r>
      <w:r>
        <w:rPr>
          <w:spacing w:val="-4"/>
          <w:sz w:val="28"/>
          <w:szCs w:val="28"/>
        </w:rPr>
        <w:t xml:space="preserve"> </w:t>
      </w:r>
      <w:r>
        <w:rPr>
          <w:sz w:val="28"/>
          <w:szCs w:val="28"/>
        </w:rPr>
        <w:t>For</w:t>
      </w:r>
      <w:r>
        <w:rPr>
          <w:spacing w:val="-4"/>
          <w:sz w:val="28"/>
          <w:szCs w:val="28"/>
        </w:rPr>
        <w:t xml:space="preserve"> </w:t>
      </w:r>
      <w:r>
        <w:rPr>
          <w:sz w:val="28"/>
          <w:szCs w:val="28"/>
        </w:rPr>
        <w:t>all</w:t>
      </w:r>
      <w:r>
        <w:rPr>
          <w:spacing w:val="-4"/>
          <w:sz w:val="28"/>
          <w:szCs w:val="28"/>
        </w:rPr>
        <w:t xml:space="preserve"> </w:t>
      </w:r>
      <w:r>
        <w:rPr>
          <w:sz w:val="28"/>
          <w:szCs w:val="28"/>
        </w:rPr>
        <w:t>the</w:t>
      </w:r>
      <w:r>
        <w:rPr>
          <w:spacing w:val="-4"/>
          <w:sz w:val="28"/>
          <w:szCs w:val="28"/>
        </w:rPr>
        <w:t xml:space="preserve"> </w:t>
      </w:r>
      <w:r>
        <w:rPr>
          <w:sz w:val="28"/>
          <w:szCs w:val="28"/>
        </w:rPr>
        <w:t>selected</w:t>
      </w:r>
      <w:r>
        <w:rPr>
          <w:spacing w:val="-4"/>
          <w:sz w:val="28"/>
          <w:szCs w:val="28"/>
        </w:rPr>
        <w:t xml:space="preserve"> </w:t>
      </w:r>
      <w:r>
        <w:rPr>
          <w:sz w:val="28"/>
          <w:szCs w:val="28"/>
        </w:rPr>
        <w:t>titles, abstracts</w:t>
      </w:r>
      <w:r>
        <w:rPr>
          <w:spacing w:val="-1"/>
          <w:sz w:val="28"/>
          <w:szCs w:val="28"/>
        </w:rPr>
        <w:t xml:space="preserve"> </w:t>
      </w:r>
      <w:r>
        <w:rPr>
          <w:sz w:val="28"/>
          <w:szCs w:val="28"/>
        </w:rPr>
        <w:t>were</w:t>
      </w:r>
      <w:r>
        <w:rPr>
          <w:spacing w:val="-4"/>
          <w:sz w:val="28"/>
          <w:szCs w:val="28"/>
        </w:rPr>
        <w:t xml:space="preserve"> </w:t>
      </w:r>
      <w:r>
        <w:rPr>
          <w:sz w:val="28"/>
          <w:szCs w:val="28"/>
        </w:rPr>
        <w:t>obtained</w:t>
      </w:r>
      <w:r>
        <w:rPr>
          <w:spacing w:val="-1"/>
          <w:sz w:val="28"/>
          <w:szCs w:val="28"/>
        </w:rPr>
        <w:t xml:space="preserve"> </w:t>
      </w:r>
      <w:r>
        <w:rPr>
          <w:sz w:val="28"/>
          <w:szCs w:val="28"/>
        </w:rPr>
        <w:t>and</w:t>
      </w:r>
      <w:r>
        <w:rPr>
          <w:spacing w:val="-3"/>
          <w:sz w:val="28"/>
          <w:szCs w:val="28"/>
        </w:rPr>
        <w:t xml:space="preserve"> </w:t>
      </w:r>
      <w:r>
        <w:rPr>
          <w:sz w:val="28"/>
          <w:szCs w:val="28"/>
        </w:rPr>
        <w:t>reviewed,</w:t>
      </w:r>
      <w:r>
        <w:rPr>
          <w:spacing w:val="-1"/>
          <w:sz w:val="28"/>
          <w:szCs w:val="28"/>
        </w:rPr>
        <w:t xml:space="preserve"> </w:t>
      </w:r>
      <w:r>
        <w:rPr>
          <w:sz w:val="28"/>
          <w:szCs w:val="28"/>
        </w:rPr>
        <w:t>from</w:t>
      </w:r>
      <w:r>
        <w:rPr>
          <w:spacing w:val="-10"/>
          <w:sz w:val="28"/>
          <w:szCs w:val="28"/>
        </w:rPr>
        <w:t xml:space="preserve"> </w:t>
      </w:r>
      <w:r>
        <w:rPr>
          <w:sz w:val="28"/>
          <w:szCs w:val="28"/>
        </w:rPr>
        <w:t>which</w:t>
      </w:r>
      <w:r>
        <w:rPr>
          <w:spacing w:val="-8"/>
          <w:sz w:val="28"/>
          <w:szCs w:val="28"/>
        </w:rPr>
        <w:t xml:space="preserve"> </w:t>
      </w:r>
      <w:r>
        <w:rPr>
          <w:sz w:val="28"/>
          <w:szCs w:val="28"/>
        </w:rPr>
        <w:t>appropriate</w:t>
      </w:r>
      <w:r>
        <w:rPr>
          <w:spacing w:val="-6"/>
          <w:sz w:val="28"/>
          <w:szCs w:val="28"/>
        </w:rPr>
        <w:t xml:space="preserve"> </w:t>
      </w:r>
      <w:r>
        <w:rPr>
          <w:sz w:val="28"/>
          <w:szCs w:val="28"/>
        </w:rPr>
        <w:t>abstracts</w:t>
      </w:r>
      <w:r>
        <w:rPr>
          <w:spacing w:val="-7"/>
          <w:sz w:val="28"/>
          <w:szCs w:val="28"/>
        </w:rPr>
        <w:t xml:space="preserve"> </w:t>
      </w:r>
      <w:r>
        <w:rPr>
          <w:sz w:val="28"/>
          <w:szCs w:val="28"/>
        </w:rPr>
        <w:t>were</w:t>
      </w:r>
      <w:r>
        <w:rPr>
          <w:spacing w:val="-9"/>
          <w:sz w:val="28"/>
          <w:szCs w:val="28"/>
        </w:rPr>
        <w:t xml:space="preserve"> </w:t>
      </w:r>
      <w:r>
        <w:rPr>
          <w:sz w:val="28"/>
          <w:szCs w:val="28"/>
        </w:rPr>
        <w:t>selected</w:t>
      </w:r>
      <w:r>
        <w:rPr>
          <w:spacing w:val="-5"/>
          <w:sz w:val="28"/>
          <w:szCs w:val="28"/>
        </w:rPr>
        <w:t xml:space="preserve"> </w:t>
      </w:r>
      <w:r>
        <w:rPr>
          <w:sz w:val="28"/>
          <w:szCs w:val="28"/>
        </w:rPr>
        <w:t>based on</w:t>
      </w:r>
      <w:r>
        <w:rPr>
          <w:spacing w:val="-3"/>
          <w:sz w:val="28"/>
          <w:szCs w:val="28"/>
        </w:rPr>
        <w:t xml:space="preserve"> </w:t>
      </w:r>
      <w:r>
        <w:rPr>
          <w:sz w:val="28"/>
          <w:szCs w:val="28"/>
        </w:rPr>
        <w:t>the criteria. Full-text articles were</w:t>
      </w:r>
      <w:r>
        <w:rPr>
          <w:spacing w:val="-4"/>
          <w:sz w:val="28"/>
          <w:szCs w:val="28"/>
        </w:rPr>
        <w:t xml:space="preserve"> </w:t>
      </w:r>
      <w:r>
        <w:rPr>
          <w:sz w:val="28"/>
          <w:szCs w:val="28"/>
        </w:rPr>
        <w:t xml:space="preserve">obtained and analyzed, and the final set was obtained keeping in mind the selection </w:t>
      </w:r>
      <w:proofErr w:type="spellStart"/>
      <w:proofErr w:type="gramStart"/>
      <w:r>
        <w:rPr>
          <w:sz w:val="28"/>
          <w:szCs w:val="28"/>
        </w:rPr>
        <w:t>criteria.</w:t>
      </w:r>
      <w:r>
        <w:rPr>
          <w:color w:val="000000"/>
          <w:sz w:val="28"/>
          <w:szCs w:val="28"/>
        </w:rPr>
        <w:t>The</w:t>
      </w:r>
      <w:proofErr w:type="spellEnd"/>
      <w:proofErr w:type="gramEnd"/>
      <w:r>
        <w:rPr>
          <w:color w:val="000000"/>
          <w:sz w:val="28"/>
          <w:szCs w:val="28"/>
        </w:rPr>
        <w:t xml:space="preserve"> initial search strategy yielded 690 references. After removing duplications and nonrelevant articles, the number of references reduced to 123. This number was further reduced to 13 based on abstracts and titles </w:t>
      </w:r>
    </w:p>
    <w:p w:rsidR="008E11A5" w:rsidRDefault="008E11A5">
      <w:pPr>
        <w:pStyle w:val="BodyText"/>
        <w:spacing w:before="216" w:line="276" w:lineRule="auto"/>
        <w:jc w:val="both"/>
        <w:rPr>
          <w:color w:val="000000"/>
          <w:sz w:val="28"/>
          <w:szCs w:val="28"/>
        </w:rPr>
      </w:pPr>
    </w:p>
    <w:p w:rsidR="008E11A5" w:rsidRDefault="00342678">
      <w:pPr>
        <w:pStyle w:val="BodyText"/>
        <w:spacing w:before="216" w:line="276" w:lineRule="auto"/>
        <w:jc w:val="both"/>
        <w:rPr>
          <w:b/>
          <w:color w:val="000000"/>
          <w:sz w:val="28"/>
          <w:szCs w:val="28"/>
        </w:rPr>
        <w:sectPr w:rsidR="008E11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docGrid w:type="lines" w:linePitch="360"/>
        </w:sectPr>
      </w:pPr>
      <w:r>
        <w:rPr>
          <w:b/>
          <w:color w:val="000000"/>
          <w:sz w:val="28"/>
          <w:szCs w:val="28"/>
        </w:rPr>
        <w:t xml:space="preserve">Fig .1: </w:t>
      </w:r>
      <w:r>
        <w:rPr>
          <w:b/>
          <w:bCs/>
          <w:sz w:val="28"/>
          <w:szCs w:val="28"/>
        </w:rPr>
        <w:t>PRISMA flow-chart</w:t>
      </w:r>
      <w:r>
        <w:rPr>
          <w:b/>
          <w:sz w:val="28"/>
          <w:szCs w:val="28"/>
        </w:rPr>
        <w:t xml:space="preserve"> </w:t>
      </w:r>
    </w:p>
    <w:p w:rsidR="008E11A5" w:rsidRDefault="00342678">
      <w:pPr>
        <w:spacing w:line="276" w:lineRule="auto"/>
        <w:jc w:val="both"/>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75648" behindDoc="0" locked="0" layoutInCell="1" allowOverlap="1">
                <wp:simplePos x="0" y="0"/>
                <wp:positionH relativeFrom="column">
                  <wp:posOffset>3286125</wp:posOffset>
                </wp:positionH>
                <wp:positionV relativeFrom="paragraph">
                  <wp:posOffset>10160</wp:posOffset>
                </wp:positionV>
                <wp:extent cx="2640330" cy="699770"/>
                <wp:effectExtent l="0" t="0" r="26670" b="2413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699770"/>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Additional records identified through other sources (Google Scholar)</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=1204)</w:t>
                            </w:r>
                          </w:p>
                        </w:txbxContent>
                      </wps:txbx>
                      <wps:bodyPr rot="0" vert="horz" wrap="square" lIns="91440" tIns="91440" rIns="91440" bIns="91440" anchor="t" anchorCtr="0" upright="1">
                        <a:noAutofit/>
                      </wps:bodyPr>
                    </wps:wsp>
                  </a:graphicData>
                </a:graphic>
              </wp:anchor>
            </w:drawing>
          </mc:Choice>
          <mc:Fallback>
            <w:pict>
              <v:rect id="Rectangle 9" o:spid="_x0000_s1026" style="position:absolute;left:0;text-align:left;margin-left:258.75pt;margin-top:.8pt;width:207.9pt;height:55.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Additional records identified through other sources (Goo</w:t>
                      </w:r>
                      <w:r>
                        <w:rPr>
                          <w:rFonts w:ascii="Times New Roman" w:hAnsi="Times New Roman"/>
                          <w:sz w:val="24"/>
                        </w:rPr>
                        <w:t>gle Scholar)</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=1204)</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382905</wp:posOffset>
                </wp:positionH>
                <wp:positionV relativeFrom="paragraph">
                  <wp:posOffset>12065</wp:posOffset>
                </wp:positionV>
                <wp:extent cx="2746375" cy="699770"/>
                <wp:effectExtent l="0" t="0" r="15875" b="2413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699770"/>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Records identified through database searching (PubMed)</w:t>
                            </w:r>
                            <w:r>
                              <w:rPr>
                                <w:rFonts w:ascii="Times New Roman" w:hAnsi="Times New Roman"/>
                                <w:b/>
                                <w:bCs/>
                                <w:sz w:val="24"/>
                              </w:rPr>
                              <w:t>”</w:t>
                            </w:r>
                            <w:r>
                              <w:rPr>
                                <w:rFonts w:ascii="Times New Roman" w:hAnsi="Times New Roman"/>
                                <w:sz w:val="24"/>
                              </w:rPr>
                              <w:br/>
                            </w:r>
                            <w:r>
                              <w:rPr>
                                <w:rFonts w:ascii="Times New Roman" w:hAnsi="Times New Roman"/>
                                <w:b/>
                                <w:sz w:val="24"/>
                              </w:rPr>
                              <w:t>(n = 690)</w:t>
                            </w:r>
                          </w:p>
                        </w:txbxContent>
                      </wps:txbx>
                      <wps:bodyPr rot="0" vert="horz" wrap="square" lIns="91440" tIns="91440" rIns="91440" bIns="91440" anchor="t" anchorCtr="0" upright="1">
                        <a:noAutofit/>
                      </wps:bodyPr>
                    </wps:wsp>
                  </a:graphicData>
                </a:graphic>
              </wp:anchor>
            </w:drawing>
          </mc:Choice>
          <mc:Fallback>
            <w:pict>
              <v:rect id="Rectangle 2" o:spid="_x0000_s1027" style="position:absolute;left:0;text-align:left;margin-left:30.15pt;margin-top:.95pt;width:216.25pt;height:55.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Records identified through database searching (PubMed)</w:t>
                      </w:r>
                      <w:r>
                        <w:rPr>
                          <w:rFonts w:ascii="Times New Roman" w:hAnsi="Times New Roman"/>
                          <w:b/>
                          <w:bCs/>
                          <w:sz w:val="24"/>
                        </w:rPr>
                        <w:t>”</w:t>
                      </w:r>
                      <w:r>
                        <w:rPr>
                          <w:rFonts w:ascii="Times New Roman" w:hAnsi="Times New Roman"/>
                          <w:sz w:val="24"/>
                        </w:rPr>
                        <w:br/>
                      </w:r>
                      <w:r>
                        <w:rPr>
                          <w:rFonts w:ascii="Times New Roman" w:hAnsi="Times New Roman"/>
                          <w:b/>
                          <w:sz w:val="24"/>
                        </w:rPr>
                        <w:t>(n = 690)</w:t>
                      </w:r>
                    </w:p>
                  </w:txbxContent>
                </v:textbox>
              </v:rect>
            </w:pict>
          </mc:Fallback>
        </mc:AlternateContent>
      </w:r>
    </w:p>
    <w:p w:rsidR="008E11A5" w:rsidRDefault="008E11A5">
      <w:pPr>
        <w:spacing w:line="276" w:lineRule="auto"/>
        <w:jc w:val="both"/>
        <w:rPr>
          <w:rFonts w:ascii="Times New Roman" w:hAnsi="Times New Roman"/>
          <w:sz w:val="28"/>
          <w:szCs w:val="28"/>
        </w:rPr>
      </w:pP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-681990</wp:posOffset>
                </wp:positionH>
                <wp:positionV relativeFrom="paragraph">
                  <wp:posOffset>219075</wp:posOffset>
                </wp:positionV>
                <wp:extent cx="1371600" cy="479425"/>
                <wp:effectExtent l="7937" t="0" r="26988" b="26987"/>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79666"/>
                        </a:xfrm>
                        <a:prstGeom prst="roundRect">
                          <a:avLst>
                            <a:gd name="adj" fmla="val 16667"/>
                          </a:avLst>
                        </a:prstGeom>
                        <a:solidFill>
                          <a:srgbClr val="CCECFF"/>
                        </a:solidFill>
                        <a:ln w="9525">
                          <a:solidFill>
                            <a:srgbClr val="000000"/>
                          </a:solidFill>
                          <a:round/>
                        </a:ln>
                      </wps:spPr>
                      <wps:txbx>
                        <w:txbxContent>
                          <w:p w:rsidR="008E11A5" w:rsidRDefault="00342678">
                            <w:pPr>
                              <w:pStyle w:val="Heading2"/>
                              <w:rPr>
                                <w:rFonts w:ascii="Calibri" w:hAnsi="Calibri"/>
                                <w:sz w:val="28"/>
                              </w:rPr>
                            </w:pPr>
                            <w:r>
                              <w:rPr>
                                <w:rFonts w:ascii="Calibri" w:hAnsi="Calibri"/>
                                <w:sz w:val="28"/>
                              </w:rPr>
                              <w:t>Identification</w:t>
                            </w:r>
                          </w:p>
                          <w:p w:rsidR="008E11A5" w:rsidRDefault="00342678">
                            <w:pPr>
                              <w:pStyle w:val="Heading2"/>
                              <w:rPr>
                                <w:rFonts w:ascii="Calibri" w:hAnsi="Calibri"/>
                                <w:sz w:val="28"/>
                              </w:rPr>
                            </w:pPr>
                            <w:r>
                              <w:rPr>
                                <w:rFonts w:ascii="Calibri" w:hAnsi="Calibri"/>
                                <w:sz w:val="28"/>
                              </w:rPr>
                              <w:t>Identification</w:t>
                            </w:r>
                          </w:p>
                        </w:txbxContent>
                      </wps:txbx>
                      <wps:bodyPr rot="0" vert="vert270" wrap="square" lIns="45720" tIns="45720" rIns="45720" bIns="45720" anchor="t" anchorCtr="0" upright="1">
                        <a:noAutofit/>
                      </wps:bodyPr>
                    </wps:wsp>
                  </a:graphicData>
                </a:graphic>
              </wp:anchor>
            </w:drawing>
          </mc:Choice>
          <mc:Fallback>
            <w:pict>
              <v:roundrect id="AutoShape 8" o:spid="_x0000_s1028" style="position:absolute;left:0;text-align:left;margin-left:-53.7pt;margin-top:17.25pt;width:108pt;height:37.7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" fillcolor="#ccecff">
                <v:textbox style="layout-flow:vertical;mso-layout-flow-alt:bottom-to-top" inset="3.6pt,,3.6pt">
                  <w:txbxContent>
                    <w:p w:rsidR="008E11A5" w:rsidRDefault="00342678">
                      <w:pPr>
                        <w:pStyle w:val="Heading2"/>
                        <w:rPr>
                          <w:rFonts w:ascii="Calibri" w:hAnsi="Calibri"/>
                          <w:sz w:val="28"/>
                        </w:rPr>
                      </w:pPr>
                      <w:r>
                        <w:rPr>
                          <w:rFonts w:ascii="Calibri" w:hAnsi="Calibri"/>
                          <w:sz w:val="28"/>
                        </w:rPr>
                        <w:t>Identification</w:t>
                      </w:r>
                    </w:p>
                    <w:p w:rsidR="008E11A5" w:rsidRDefault="00342678">
                      <w:pPr>
                        <w:pStyle w:val="Heading2"/>
                        <w:rPr>
                          <w:rFonts w:ascii="Calibri" w:hAnsi="Calibri"/>
                          <w:sz w:val="28"/>
                        </w:rPr>
                      </w:pPr>
                      <w:r>
                        <w:rPr>
                          <w:rFonts w:ascii="Calibri" w:hAnsi="Calibri"/>
                          <w:sz w:val="28"/>
                        </w:rPr>
                        <w:t>Identification</w:t>
                      </w: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3021965</wp:posOffset>
                </wp:positionH>
                <wp:positionV relativeFrom="paragraph">
                  <wp:posOffset>137795</wp:posOffset>
                </wp:positionV>
                <wp:extent cx="454025" cy="340995"/>
                <wp:effectExtent l="38100" t="0" r="22860" b="59055"/>
                <wp:wrapNone/>
                <wp:docPr id="264316795" name="Straight Arrow Connector 7"/>
                <wp:cNvGraphicFramePr/>
                <a:graphic xmlns:a="http://schemas.openxmlformats.org/drawingml/2006/main">
                  <a:graphicData uri="http://schemas.microsoft.com/office/word/2010/wordprocessingShape">
                    <wps:wsp>
                      <wps:cNvCnPr/>
                      <wps:spPr>
                        <a:xfrm flipH="1">
                          <a:off x="0" y="0"/>
                          <a:ext cx="453830" cy="341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7" o:spid="_x0000_s1026" o:spt="32" type="#_x0000_t32" style="position:absolute;left:0pt;flip:x;margin-left:237.95pt;margin-top:10.85pt;height:26.85pt;width:35.75pt;z-index:251682816;mso-width-relative:page;mso-height-relative:page;" filled="f" stroked="t" coordsize="21600,21600" o:gfxdata="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I1LENgAAAAJAQAADwAAAAAAAAABACAAAAAiAAAAZHJz&#10;L2Rvd25yZXYueG1sUEsBAhQAFAAAAAgAh07iQA3JlhwEAgAA+gMAAA4AAAAAAAAAAQAgAAAAJwEA&#10;AGRycy9lMm9Eb2MueG1sUEsFBgAAAAAGAAYAWQEAAJ0FAAAAAA==&#10;">
                <v:fill on="f" focussize="0,0"/>
                <v:stroke weight="0.5pt" color="#4472C4 [3204]" miterlimit="8" joinstyle="miter"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1645920</wp:posOffset>
                </wp:positionH>
                <wp:positionV relativeFrom="paragraph">
                  <wp:posOffset>155575</wp:posOffset>
                </wp:positionV>
                <wp:extent cx="316230" cy="316230"/>
                <wp:effectExtent l="0" t="0" r="64770" b="65405"/>
                <wp:wrapNone/>
                <wp:docPr id="1200740402" name="Straight Arrow Connector 6"/>
                <wp:cNvGraphicFramePr/>
                <a:graphic xmlns:a="http://schemas.openxmlformats.org/drawingml/2006/main">
                  <a:graphicData uri="http://schemas.microsoft.com/office/word/2010/wordprocessingShape">
                    <wps:wsp>
                      <wps:cNvCnPr/>
                      <wps:spPr>
                        <a:xfrm>
                          <a:off x="0" y="0"/>
                          <a:ext cx="316279" cy="3160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6" o:spid="_x0000_s1026" o:spt="32" type="#_x0000_t32" style="position:absolute;left:0pt;margin-left:129.6pt;margin-top:12.25pt;height:24.9pt;width:24.9pt;z-index:251681792;mso-width-relative:page;mso-height-relative:page;" filled="f" stroked="t" coordsize="21600,21600" o:gfxdata="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92VjZAAAACQEAAA8AAAAAAAAAAQAgAAAAIgAAAGRycy9kb3ducmV2&#10;LnhtbFBLAQIUABQAAAAIAIdO4kCoBh/y+wEAAPEDAAAOAAAAAAAAAAEAIAAAACgBAABkcnMvZTJv&#10;RG9jLnhtbFBLBQYAAAAABgAGAFkBAACVBQAAAAA=&#10;">
                <v:fill on="f" focussize="0,0"/>
                <v:stroke weight="0.5pt" color="#4472C4 [3204]" miterlimit="8" joinstyle="miter" endarrow="block"/>
                <v:imagedata o:title=""/>
                <o:lock v:ext="edit" aspectratio="f"/>
              </v:shape>
            </w:pict>
          </mc:Fallback>
        </mc:AlternateContent>
      </w:r>
    </w:p>
    <w:p w:rsidR="008E11A5" w:rsidRDefault="000A1783">
      <w:pPr>
        <w:spacing w:line="276" w:lineRule="auto"/>
        <w:jc w:val="both"/>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3464914</wp:posOffset>
                </wp:positionH>
                <wp:positionV relativeFrom="paragraph">
                  <wp:posOffset>250363</wp:posOffset>
                </wp:positionV>
                <wp:extent cx="2752725" cy="617855"/>
                <wp:effectExtent l="0" t="0" r="28575" b="10795"/>
                <wp:wrapNone/>
                <wp:docPr id="5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17855"/>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Records excluded after review of titles </w:t>
                            </w:r>
                            <w:r>
                              <w:rPr>
                                <w:rFonts w:ascii="Times New Roman" w:hAnsi="Times New Roman"/>
                                <w:sz w:val="24"/>
                              </w:rPr>
                              <w:br/>
                            </w:r>
                            <w:r>
                              <w:rPr>
                                <w:rFonts w:ascii="Times New Roman" w:hAnsi="Times New Roman"/>
                                <w:b/>
                                <w:sz w:val="24"/>
                              </w:rPr>
                              <w:t>(n =1482)</w:t>
                            </w:r>
                            <w:r>
                              <w:rPr>
                                <w:rFonts w:ascii="Times New Roman" w:hAnsi="Times New Roman"/>
                                <w:b/>
                                <w:color w:val="FFFFFF" w:themeColor="background1"/>
                                <w:sz w:val="24"/>
                              </w:rPr>
                              <w:t>”</w:t>
                            </w:r>
                          </w:p>
                        </w:txbxContent>
                      </wps:txbx>
                      <wps:bodyPr rot="0" vert="horz" wrap="square" lIns="91440" tIns="91440" rIns="91440" bIns="91440" anchor="t" anchorCtr="0" upright="1">
                        <a:noAutofit/>
                      </wps:bodyPr>
                    </wps:wsp>
                  </a:graphicData>
                </a:graphic>
              </wp:anchor>
            </w:drawing>
          </mc:Choice>
          <mc:Fallback>
            <w:pict>
              <v:rect id="Rectangle 22" o:spid="_x0000_s1029" style="position:absolute;left:0;text-align:left;margin-left:272.85pt;margin-top:19.7pt;width:216.75pt;height:4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Records excluded after review of titles </w:t>
                      </w:r>
                      <w:r>
                        <w:rPr>
                          <w:rFonts w:ascii="Times New Roman" w:hAnsi="Times New Roman"/>
                          <w:sz w:val="24"/>
                        </w:rPr>
                        <w:br/>
                      </w:r>
                      <w:r>
                        <w:rPr>
                          <w:rFonts w:ascii="Times New Roman" w:hAnsi="Times New Roman"/>
                          <w:b/>
                          <w:sz w:val="24"/>
                        </w:rPr>
                        <w:t>(n =1482)</w:t>
                      </w:r>
                      <w:r>
                        <w:rPr>
                          <w:rFonts w:ascii="Times New Roman" w:hAnsi="Times New Roman"/>
                          <w:b/>
                          <w:color w:val="FFFFFF" w:themeColor="background1"/>
                          <w:sz w:val="24"/>
                        </w:rPr>
                        <w:t>”</w:t>
                      </w:r>
                    </w:p>
                  </w:txbxContent>
                </v:textbox>
              </v:rect>
            </w:pict>
          </mc:Fallback>
        </mc:AlternateContent>
      </w:r>
      <w:r w:rsidR="00342678">
        <w:rPr>
          <w:rFonts w:ascii="Times New Roman" w:hAnsi="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1189990</wp:posOffset>
                </wp:positionH>
                <wp:positionV relativeFrom="paragraph">
                  <wp:posOffset>194310</wp:posOffset>
                </wp:positionV>
                <wp:extent cx="1346835" cy="730250"/>
                <wp:effectExtent l="0" t="0" r="24765" b="12700"/>
                <wp:wrapNone/>
                <wp:docPr id="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968" cy="730350"/>
                        </a:xfrm>
                        <a:prstGeom prst="rect">
                          <a:avLst/>
                        </a:prstGeom>
                        <a:solidFill>
                          <a:srgbClr val="FFFFFF"/>
                        </a:solidFill>
                        <a:ln w="9525">
                          <a:solidFill>
                            <a:srgbClr val="000000"/>
                          </a:solidFill>
                          <a:miter lim="800000"/>
                        </a:ln>
                      </wps:spPr>
                      <wps:txbx>
                        <w:txbxContent>
                          <w:p w:rsidR="008E11A5" w:rsidRDefault="00342678">
                            <w:pPr>
                              <w:spacing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Total Titles screened</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w:t>
                            </w:r>
                            <w:r>
                              <w:rPr>
                                <w:rFonts w:ascii="Times New Roman" w:hAnsi="Times New Roman"/>
                                <w:b/>
                                <w:sz w:val="24"/>
                                <w:szCs w:val="24"/>
                              </w:rPr>
                              <w:t>1894</w:t>
                            </w:r>
                            <w:r>
                              <w:rPr>
                                <w:rFonts w:ascii="Times New Roman" w:hAnsi="Times New Roman"/>
                                <w:b/>
                                <w:sz w:val="24"/>
                              </w:rPr>
                              <w:t>)</w:t>
                            </w:r>
                          </w:p>
                        </w:txbxContent>
                      </wps:txbx>
                      <wps:bodyPr rot="0" vert="horz" wrap="square" lIns="91440" tIns="91440" rIns="91440" bIns="91440" anchor="t" anchorCtr="0" upright="1">
                        <a:noAutofit/>
                      </wps:bodyPr>
                    </wps:wsp>
                  </a:graphicData>
                </a:graphic>
              </wp:anchor>
            </w:drawing>
          </mc:Choice>
          <mc:Fallback>
            <w:pict>
              <v:rect id="Rectangle 10" o:spid="_x0000_s1030" style="position:absolute;left:0;text-align:left;margin-left:93.7pt;margin-top:15.3pt;width:106.05pt;height: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">
                <v:textbox inset=",7.2pt,,7.2pt">
                  <w:txbxContent>
                    <w:p w:rsidR="008E11A5" w:rsidRDefault="00342678">
                      <w:pPr>
                        <w:spacing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Total Titles screened</w:t>
                      </w:r>
                      <w:r>
                        <w:rPr>
                          <w:rFonts w:ascii="Times New Roman" w:hAnsi="Times New Roman"/>
                          <w:color w:val="FFFFFF" w:themeColor="background1"/>
                          <w:sz w:val="24"/>
                        </w:rPr>
                        <w:t>”</w:t>
                      </w:r>
                      <w:r>
                        <w:rPr>
                          <w:rFonts w:ascii="Times New Roman" w:hAnsi="Times New Roman"/>
                          <w:sz w:val="24"/>
                        </w:rPr>
                        <w:br/>
                      </w:r>
                      <w:r>
                        <w:rPr>
                          <w:rFonts w:ascii="Times New Roman" w:hAnsi="Times New Roman"/>
                          <w:b/>
                          <w:sz w:val="24"/>
                        </w:rPr>
                        <w:t>(n =</w:t>
                      </w:r>
                      <w:r>
                        <w:rPr>
                          <w:rFonts w:ascii="Times New Roman" w:hAnsi="Times New Roman"/>
                          <w:b/>
                          <w:sz w:val="24"/>
                          <w:szCs w:val="24"/>
                        </w:rPr>
                        <w:t>1894</w:t>
                      </w:r>
                      <w:r>
                        <w:rPr>
                          <w:rFonts w:ascii="Times New Roman" w:hAnsi="Times New Roman"/>
                          <w:b/>
                          <w:sz w:val="24"/>
                        </w:rPr>
                        <w:t>)</w:t>
                      </w:r>
                    </w:p>
                  </w:txbxContent>
                </v:textbox>
              </v:rect>
            </w:pict>
          </mc:Fallback>
        </mc:AlternateContent>
      </w:r>
    </w:p>
    <w:p w:rsidR="008E11A5" w:rsidRDefault="000A1783">
      <w:pPr>
        <w:spacing w:line="276" w:lineRule="auto"/>
        <w:jc w:val="both"/>
        <w:rPr>
          <w:rFonts w:ascii="Times New Roman" w:hAnsi="Times New Roman"/>
          <w:b/>
          <w:sz w:val="28"/>
          <w:szCs w:val="28"/>
          <w:u w:val="single"/>
        </w:rPr>
      </w:pPr>
      <w:r>
        <w:rPr>
          <w:rFonts w:ascii="Times New Roman" w:hAnsi="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2600201</wp:posOffset>
                </wp:positionH>
                <wp:positionV relativeFrom="paragraph">
                  <wp:posOffset>105006</wp:posOffset>
                </wp:positionV>
                <wp:extent cx="714375" cy="142875"/>
                <wp:effectExtent l="0" t="19050" r="47625" b="47625"/>
                <wp:wrapNone/>
                <wp:docPr id="1652816666" name="Arrow: Right 2"/>
                <wp:cNvGraphicFramePr/>
                <a:graphic xmlns:a="http://schemas.openxmlformats.org/drawingml/2006/main">
                  <a:graphicData uri="http://schemas.microsoft.com/office/word/2010/wordprocessingShape">
                    <wps:wsp>
                      <wps:cNvSpPr/>
                      <wps:spPr>
                        <a:xfrm>
                          <a:off x="0" y="0"/>
                          <a:ext cx="714375" cy="1428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814F9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04.75pt;margin-top:8.25pt;width:56.2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" adj="19440" fillcolor="#4472c4 [3204]" strokecolor="#09101d [484]" strokeweight="1pt"/>
            </w:pict>
          </mc:Fallback>
        </mc:AlternateContent>
      </w:r>
    </w:p>
    <w:p w:rsidR="008E11A5" w:rsidRDefault="008E11A5">
      <w:pPr>
        <w:spacing w:line="276" w:lineRule="auto"/>
        <w:jc w:val="both"/>
        <w:rPr>
          <w:rFonts w:ascii="Times New Roman" w:hAnsi="Times New Roman"/>
          <w:sz w:val="28"/>
          <w:szCs w:val="28"/>
        </w:rPr>
      </w:pP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1962150</wp:posOffset>
                </wp:positionH>
                <wp:positionV relativeFrom="paragraph">
                  <wp:posOffset>56515</wp:posOffset>
                </wp:positionV>
                <wp:extent cx="0" cy="327660"/>
                <wp:effectExtent l="76200" t="0" r="76200" b="53975"/>
                <wp:wrapNone/>
                <wp:docPr id="1817107398" name="Straight Arrow Connector 5"/>
                <wp:cNvGraphicFramePr/>
                <a:graphic xmlns:a="http://schemas.openxmlformats.org/drawingml/2006/main">
                  <a:graphicData uri="http://schemas.microsoft.com/office/word/2010/wordprocessingShape">
                    <wps:wsp>
                      <wps:cNvCnPr/>
                      <wps:spPr>
                        <a:xfrm>
                          <a:off x="0" y="0"/>
                          <a:ext cx="0" cy="327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5" o:spid="_x0000_s1026" o:spt="32" type="#_x0000_t32" style="position:absolute;left:0pt;margin-left:154.5pt;margin-top:4.45pt;height:25.8pt;width:0pt;z-index:251683840;mso-width-relative:page;mso-height-relative:page;" filled="f" stroked="t" coordsize="21600,21600" o:gfxdata="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8iTX1gAAAAgBAAAPAAAAAAAAAAEAIAAAACIAAABkcnMvZG93bnJldi54bWxQSwEC&#10;FAAUAAAACACHTuJAr9OVcfYBAADsAwAADgAAAAAAAAABACAAAAAlAQAAZHJzL2Uyb0RvYy54bWxQ&#10;SwUGAAAAAAYABgBZAQAAjQUAAAAA&#10;">
                <v:fill on="f" focussize="0,0"/>
                <v:stroke weight="0.5pt" color="#4472C4 [3204]" miterlimit="8" joinstyle="miter" endarrow="block"/>
                <v:imagedata o:title=""/>
                <o:lock v:ext="edit" aspectratio="f"/>
              </v:shape>
            </w:pict>
          </mc:Fallback>
        </mc:AlternateContent>
      </w: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763905</wp:posOffset>
                </wp:positionH>
                <wp:positionV relativeFrom="paragraph">
                  <wp:posOffset>106045</wp:posOffset>
                </wp:positionV>
                <wp:extent cx="2599690" cy="534670"/>
                <wp:effectExtent l="0" t="0" r="10160" b="1778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534670"/>
                        </a:xfrm>
                        <a:prstGeom prst="rect">
                          <a:avLst/>
                        </a:prstGeom>
                        <a:solidFill>
                          <a:srgbClr val="FFFFFF"/>
                        </a:solidFill>
                        <a:ln w="9525">
                          <a:solidFill>
                            <a:srgbClr val="000000"/>
                          </a:solidFill>
                          <a:miter lim="800000"/>
                        </a:ln>
                      </wps:spPr>
                      <wps:txbx>
                        <w:txbxContent>
                          <w:p w:rsidR="008E11A5" w:rsidRDefault="00342678">
                            <w:pPr>
                              <w:spacing w:after="0" w:line="240" w:lineRule="auto"/>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Titles screened for duplicate removal</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 412)</w:t>
                            </w:r>
                          </w:p>
                        </w:txbxContent>
                      </wps:txbx>
                      <wps:bodyPr rot="0" vert="horz" wrap="square" lIns="91440" tIns="91440" rIns="91440" bIns="91440" anchor="t" anchorCtr="0" upright="1">
                        <a:noAutofit/>
                      </wps:bodyPr>
                    </wps:wsp>
                  </a:graphicData>
                </a:graphic>
              </wp:anchor>
            </w:drawing>
          </mc:Choice>
          <mc:Fallback>
            <w:pict>
              <v:rect id="Rectangle 11" o:spid="_x0000_s1031" style="position:absolute;left:0;text-align:left;margin-left:60.15pt;margin-top:8.35pt;width:204.7pt;height:42.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">
                <v:textbox inset=",7.2pt,,7.2pt">
                  <w:txbxContent>
                    <w:p w:rsidR="008E11A5" w:rsidRDefault="00342678">
                      <w:pPr>
                        <w:spacing w:after="0" w:line="240" w:lineRule="auto"/>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Titles screened for </w:t>
                      </w:r>
                      <w:r>
                        <w:rPr>
                          <w:rFonts w:ascii="Times New Roman" w:hAnsi="Times New Roman"/>
                          <w:sz w:val="24"/>
                        </w:rPr>
                        <w:t>duplicate removal</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 412)</w:t>
                      </w:r>
                    </w:p>
                  </w:txbxContent>
                </v:textbox>
              </v:rect>
            </w:pict>
          </mc:Fallback>
        </mc:AlternateContent>
      </w:r>
    </w:p>
    <w:p w:rsidR="008E11A5" w:rsidRDefault="00342678">
      <w:pPr>
        <w:spacing w:line="276" w:lineRule="auto"/>
        <w:jc w:val="both"/>
        <w:rPr>
          <w:rFonts w:ascii="Times New Roman" w:hAnsi="Times New Roman"/>
          <w:b/>
          <w:sz w:val="28"/>
          <w:szCs w:val="28"/>
          <w:lang w:eastAsia="en-IN"/>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-678180</wp:posOffset>
                </wp:positionH>
                <wp:positionV relativeFrom="paragraph">
                  <wp:posOffset>307340</wp:posOffset>
                </wp:positionV>
                <wp:extent cx="1414780" cy="564515"/>
                <wp:effectExtent l="5715" t="0" r="20320" b="2032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14639" cy="564515"/>
                        </a:xfrm>
                        <a:prstGeom prst="roundRect">
                          <a:avLst>
                            <a:gd name="adj" fmla="val 16667"/>
                          </a:avLst>
                        </a:prstGeom>
                        <a:solidFill>
                          <a:srgbClr val="CCECFF"/>
                        </a:solidFill>
                        <a:ln w="9525">
                          <a:solidFill>
                            <a:srgbClr val="000000"/>
                          </a:solidFill>
                          <a:round/>
                        </a:ln>
                      </wps:spPr>
                      <wps:txbx>
                        <w:txbxContent>
                          <w:p w:rsidR="008E11A5" w:rsidRDefault="00342678">
                            <w:pPr>
                              <w:pStyle w:val="Heading2"/>
                              <w:rPr>
                                <w:rFonts w:ascii="Calibri" w:hAnsi="Calibri"/>
                                <w:sz w:val="28"/>
                              </w:rPr>
                            </w:pPr>
                            <w:r>
                              <w:rPr>
                                <w:rFonts w:ascii="Calibri" w:hAnsi="Calibri"/>
                                <w:sz w:val="28"/>
                              </w:rPr>
                              <w:t xml:space="preserve">     Screening</w:t>
                            </w:r>
                          </w:p>
                        </w:txbxContent>
                      </wps:txbx>
                      <wps:bodyPr rot="0" vert="vert270" wrap="square" lIns="45720" tIns="45720" rIns="45720" bIns="45720" anchor="t" anchorCtr="0" upright="1">
                        <a:noAutofit/>
                      </wps:bodyPr>
                    </wps:wsp>
                  </a:graphicData>
                </a:graphic>
              </wp:anchor>
            </w:drawing>
          </mc:Choice>
          <mc:Fallback>
            <w:pict>
              <v:roundrect id="AutoShape 3" o:spid="_x0000_s1032" style="position:absolute;left:0;text-align:left;margin-left:-53.4pt;margin-top:24.2pt;width:111.4pt;height:44.4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" fillcolor="#ccecff">
                <v:textbox style="layout-flow:vertical;mso-layout-flow-alt:bottom-to-top" inset="3.6pt,,3.6pt">
                  <w:txbxContent>
                    <w:p w:rsidR="008E11A5" w:rsidRDefault="00342678">
                      <w:pPr>
                        <w:pStyle w:val="Heading2"/>
                        <w:rPr>
                          <w:rFonts w:ascii="Calibri" w:hAnsi="Calibri"/>
                          <w:sz w:val="28"/>
                        </w:rPr>
                      </w:pPr>
                      <w:r>
                        <w:rPr>
                          <w:rFonts w:ascii="Calibri" w:hAnsi="Calibri"/>
                          <w:sz w:val="28"/>
                        </w:rPr>
                        <w:t xml:space="preserve">     Screening</w:t>
                      </w:r>
                    </w:p>
                  </w:txbxContent>
                </v:textbox>
              </v:roundrect>
            </w:pict>
          </mc:Fallback>
        </mc:AlternateContent>
      </w:r>
    </w:p>
    <w:p w:rsidR="008E11A5" w:rsidRDefault="000A1783">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2424744</wp:posOffset>
                </wp:positionH>
                <wp:positionV relativeFrom="paragraph">
                  <wp:posOffset>301807</wp:posOffset>
                </wp:positionV>
                <wp:extent cx="916940" cy="74930"/>
                <wp:effectExtent l="0" t="19050" r="35560" b="40005"/>
                <wp:wrapNone/>
                <wp:docPr id="738151996" name="Arrow: Right 2"/>
                <wp:cNvGraphicFramePr/>
                <a:graphic xmlns:a="http://schemas.openxmlformats.org/drawingml/2006/main">
                  <a:graphicData uri="http://schemas.microsoft.com/office/word/2010/wordprocessingShape">
                    <wps:wsp>
                      <wps:cNvSpPr/>
                      <wps:spPr>
                        <a:xfrm>
                          <a:off x="0" y="0"/>
                          <a:ext cx="916940" cy="74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52B4707" id="Arrow: Right 2" o:spid="_x0000_s1026" type="#_x0000_t13" style="position:absolute;margin-left:190.9pt;margin-top:23.75pt;width:72.2pt;height:5.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" adj="20717" fillcolor="#4472c4 [3204]" strokecolor="#09101d [484]" strokeweight="1pt"/>
            </w:pict>
          </mc:Fallback>
        </mc:AlternateContent>
      </w:r>
      <w:r w:rsidR="00342678">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3571875</wp:posOffset>
                </wp:positionH>
                <wp:positionV relativeFrom="paragraph">
                  <wp:posOffset>128905</wp:posOffset>
                </wp:positionV>
                <wp:extent cx="2343150" cy="521970"/>
                <wp:effectExtent l="0" t="0" r="19050" b="11430"/>
                <wp:wrapNone/>
                <wp:docPr id="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21970"/>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szCs w:val="24"/>
                              </w:rPr>
                            </w:pPr>
                            <w:r>
                              <w:rPr>
                                <w:rFonts w:ascii="Times New Roman" w:hAnsi="Times New Roman"/>
                                <w:sz w:val="24"/>
                                <w:szCs w:val="24"/>
                              </w:rPr>
                              <w:t xml:space="preserve">Excluded- duplicates </w:t>
                            </w:r>
                            <w:r>
                              <w:rPr>
                                <w:rFonts w:ascii="Times New Roman" w:hAnsi="Times New Roman"/>
                                <w:sz w:val="24"/>
                                <w:szCs w:val="24"/>
                              </w:rPr>
                              <w:br/>
                            </w:r>
                            <w:r>
                              <w:rPr>
                                <w:rFonts w:ascii="Times New Roman" w:hAnsi="Times New Roman"/>
                                <w:b/>
                                <w:sz w:val="24"/>
                                <w:szCs w:val="24"/>
                              </w:rPr>
                              <w:t>(n =289)</w:t>
                            </w:r>
                          </w:p>
                        </w:txbxContent>
                      </wps:txbx>
                      <wps:bodyPr rot="0" vert="horz" wrap="square" lIns="91440" tIns="91440" rIns="91440" bIns="91440" anchor="t" anchorCtr="0" upright="1">
                        <a:noAutofit/>
                      </wps:bodyPr>
                    </wps:wsp>
                  </a:graphicData>
                </a:graphic>
              </wp:anchor>
            </w:drawing>
          </mc:Choice>
          <mc:Fallback>
            <w:pict>
              <v:rect id="Rectangle 12" o:spid="_x0000_s1033" style="position:absolute;left:0;text-align:left;margin-left:281.25pt;margin-top:10.15pt;width:184.5pt;height:4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">
                <v:textbox inset=",7.2pt,,7.2pt">
                  <w:txbxContent>
                    <w:p w:rsidR="008E11A5" w:rsidRDefault="00342678">
                      <w:pPr>
                        <w:spacing w:after="0" w:line="240" w:lineRule="auto"/>
                        <w:jc w:val="center"/>
                        <w:rPr>
                          <w:rFonts w:ascii="Times New Roman" w:hAnsi="Times New Roman"/>
                          <w:sz w:val="24"/>
                          <w:szCs w:val="24"/>
                        </w:rPr>
                      </w:pPr>
                      <w:r>
                        <w:rPr>
                          <w:rFonts w:ascii="Times New Roman" w:hAnsi="Times New Roman"/>
                          <w:sz w:val="24"/>
                          <w:szCs w:val="24"/>
                        </w:rPr>
                        <w:t xml:space="preserve">Excluded- duplicates </w:t>
                      </w:r>
                      <w:r>
                        <w:rPr>
                          <w:rFonts w:ascii="Times New Roman" w:hAnsi="Times New Roman"/>
                          <w:sz w:val="24"/>
                          <w:szCs w:val="24"/>
                        </w:rPr>
                        <w:br/>
                      </w:r>
                      <w:r>
                        <w:rPr>
                          <w:rFonts w:ascii="Times New Roman" w:hAnsi="Times New Roman"/>
                          <w:b/>
                          <w:sz w:val="24"/>
                          <w:szCs w:val="24"/>
                        </w:rPr>
                        <w:t>(n =289)</w:t>
                      </w:r>
                    </w:p>
                  </w:txbxContent>
                </v:textbox>
              </v:rect>
            </w:pict>
          </mc:Fallback>
        </mc:AlternateContent>
      </w:r>
      <w:r w:rsidR="00342678">
        <w:rPr>
          <w:rFonts w:ascii="Times New Roman" w:hAnsi="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2009140</wp:posOffset>
                </wp:positionH>
                <wp:positionV relativeFrom="paragraph">
                  <wp:posOffset>51435</wp:posOffset>
                </wp:positionV>
                <wp:extent cx="0" cy="422910"/>
                <wp:effectExtent l="76200" t="0" r="57150" b="53340"/>
                <wp:wrapNone/>
                <wp:docPr id="1670301618" name="Straight Arrow Connector 7"/>
                <wp:cNvGraphicFramePr/>
                <a:graphic xmlns:a="http://schemas.openxmlformats.org/drawingml/2006/main">
                  <a:graphicData uri="http://schemas.microsoft.com/office/word/2010/wordprocessingShape">
                    <wps:wsp>
                      <wps:cNvCnPr/>
                      <wps:spPr>
                        <a:xfrm>
                          <a:off x="0" y="0"/>
                          <a:ext cx="0" cy="423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7" o:spid="_x0000_s1026" o:spt="32" type="#_x0000_t32" style="position:absolute;left:0pt;margin-left:158.2pt;margin-top:4.05pt;height:33.3pt;width:0pt;z-index:251684864;mso-width-relative:page;mso-height-relative:page;" filled="f" stroked="t" coordsize="21600,21600" o:gfxdata="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h2nMdcAAAAIAQAADwAAAAAAAAABACAAAAAiAAAAZHJzL2Rvd25yZXYueG1sUEsB&#10;AhQAFAAAAAgAh07iQDCDkNX2AQAA7AMAAA4AAAAAAAAAAQAgAAAAJgEAAGRycy9lMm9Eb2MueG1s&#10;UEsFBgAAAAAGAAYAWQEAAI4FAAAAAA==&#10;">
                <v:fill on="f" focussize="0,0"/>
                <v:stroke weight="0.5pt" color="#4472C4 [3204]" miterlimit="8" joinstyle="miter" endarrow="block"/>
                <v:imagedata o:title=""/>
                <o:lock v:ext="edit" aspectratio="f"/>
              </v:shape>
            </w:pict>
          </mc:Fallback>
        </mc:AlternateContent>
      </w: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1020445</wp:posOffset>
                </wp:positionH>
                <wp:positionV relativeFrom="paragraph">
                  <wp:posOffset>177165</wp:posOffset>
                </wp:positionV>
                <wp:extent cx="1888490" cy="775970"/>
                <wp:effectExtent l="0" t="0" r="16510" b="24130"/>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776177"/>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Abstracts screened</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(n=123)</w:t>
                            </w:r>
                          </w:p>
                          <w:p w:rsidR="008E11A5" w:rsidRDefault="008E11A5">
                            <w:pPr>
                              <w:spacing w:after="0" w:line="240" w:lineRule="auto"/>
                              <w:jc w:val="center"/>
                              <w:rPr>
                                <w:rFonts w:ascii="Times New Roman" w:hAnsi="Times New Roman"/>
                                <w:b/>
                                <w:sz w:val="24"/>
                              </w:rPr>
                            </w:pPr>
                          </w:p>
                        </w:txbxContent>
                      </wps:txbx>
                      <wps:bodyPr rot="0" vert="horz" wrap="square" lIns="91440" tIns="91440" rIns="91440" bIns="91440" anchor="t" anchorCtr="0" upright="1">
                        <a:noAutofit/>
                      </wps:bodyPr>
                    </wps:wsp>
                  </a:graphicData>
                </a:graphic>
              </wp:anchor>
            </w:drawing>
          </mc:Choice>
          <mc:Fallback>
            <w:pict>
              <v:rect id="Rectangle 13" o:spid="_x0000_s1034" style="position:absolute;left:0;text-align:left;margin-left:80.35pt;margin-top:13.95pt;width:148.7pt;height:61.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Abstracts screened</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(n=123)</w:t>
                      </w:r>
                    </w:p>
                    <w:p w:rsidR="008E11A5" w:rsidRDefault="008E11A5">
                      <w:pPr>
                        <w:spacing w:after="0" w:line="240" w:lineRule="auto"/>
                        <w:jc w:val="center"/>
                        <w:rPr>
                          <w:rFonts w:ascii="Times New Roman" w:hAnsi="Times New Roman"/>
                          <w:b/>
                          <w:sz w:val="24"/>
                        </w:rPr>
                      </w:pPr>
                    </w:p>
                  </w:txbxContent>
                </v:textbox>
              </v:rect>
            </w:pict>
          </mc:Fallback>
        </mc:AlternateContent>
      </w:r>
    </w:p>
    <w:p w:rsidR="008E11A5" w:rsidRDefault="008E11A5">
      <w:pPr>
        <w:spacing w:line="276" w:lineRule="auto"/>
        <w:jc w:val="both"/>
        <w:rPr>
          <w:rFonts w:ascii="Times New Roman" w:hAnsi="Times New Roman"/>
          <w:sz w:val="28"/>
          <w:szCs w:val="28"/>
        </w:rPr>
      </w:pP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3590925</wp:posOffset>
                </wp:positionH>
                <wp:positionV relativeFrom="paragraph">
                  <wp:posOffset>285115</wp:posOffset>
                </wp:positionV>
                <wp:extent cx="2345055" cy="544830"/>
                <wp:effectExtent l="0" t="0" r="17145" b="26670"/>
                <wp:wrapNone/>
                <wp:docPr id="5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544830"/>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Records excluded (n=98) after review of abstracts</w:t>
                            </w:r>
                            <w:r>
                              <w:rPr>
                                <w:rFonts w:ascii="Times New Roman" w:hAnsi="Times New Roman"/>
                                <w:color w:val="FFFFFF" w:themeColor="background1"/>
                                <w:sz w:val="24"/>
                                <w:szCs w:val="24"/>
                              </w:rPr>
                              <w:t xml:space="preserve">” </w:t>
                            </w:r>
                            <w:r>
                              <w:rPr>
                                <w:rFonts w:ascii="Times New Roman" w:hAnsi="Times New Roman"/>
                                <w:sz w:val="24"/>
                                <w:szCs w:val="24"/>
                              </w:rPr>
                              <w:br/>
                            </w:r>
                            <w:r>
                              <w:rPr>
                                <w:rFonts w:ascii="Times New Roman" w:hAnsi="Times New Roman"/>
                                <w:b/>
                                <w:sz w:val="24"/>
                                <w:szCs w:val="24"/>
                              </w:rPr>
                              <w:t>(n =776)</w:t>
                            </w:r>
                          </w:p>
                        </w:txbxContent>
                      </wps:txbx>
                      <wps:bodyPr rot="0" vert="horz" wrap="square" lIns="91440" tIns="91440" rIns="91440" bIns="91440" anchor="t" anchorCtr="0" upright="1">
                        <a:noAutofit/>
                      </wps:bodyPr>
                    </wps:wsp>
                  </a:graphicData>
                </a:graphic>
              </wp:anchor>
            </w:drawing>
          </mc:Choice>
          <mc:Fallback>
            <w:pict>
              <v:rect id="Rectangle 14" o:spid="_x0000_s1035" style="position:absolute;left:0;text-align:left;margin-left:282.75pt;margin-top:22.45pt;width:184.65pt;height:4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">
                <v:textbox inset=",7.2pt,,7.2pt">
                  <w:txbxContent>
                    <w:p w:rsidR="008E11A5" w:rsidRDefault="00342678">
                      <w:pPr>
                        <w:spacing w:after="0" w:line="240" w:lineRule="auto"/>
                        <w:jc w:val="center"/>
                        <w:rPr>
                          <w:rFonts w:ascii="Times New Roman" w:hAnsi="Times New Roman"/>
                          <w:sz w:val="24"/>
                          <w:szCs w:val="24"/>
                        </w:rPr>
                      </w:pPr>
                      <w:r>
                        <w:rPr>
                          <w:rFonts w:ascii="Times New Roman" w:hAnsi="Times New Roman"/>
                          <w:color w:val="FFFFFF" w:themeColor="background1"/>
                          <w:sz w:val="24"/>
                          <w:szCs w:val="24"/>
                        </w:rPr>
                        <w:t>“</w:t>
                      </w:r>
                      <w:r>
                        <w:rPr>
                          <w:rFonts w:ascii="Times New Roman" w:hAnsi="Times New Roman"/>
                          <w:sz w:val="24"/>
                          <w:szCs w:val="24"/>
                        </w:rPr>
                        <w:t>Records excluded (n=98) after review of abstracts</w:t>
                      </w:r>
                      <w:r>
                        <w:rPr>
                          <w:rFonts w:ascii="Times New Roman" w:hAnsi="Times New Roman"/>
                          <w:color w:val="FFFFFF" w:themeColor="background1"/>
                          <w:sz w:val="24"/>
                          <w:szCs w:val="24"/>
                        </w:rPr>
                        <w:t xml:space="preserve">” </w:t>
                      </w:r>
                      <w:r>
                        <w:rPr>
                          <w:rFonts w:ascii="Times New Roman" w:hAnsi="Times New Roman"/>
                          <w:sz w:val="24"/>
                          <w:szCs w:val="24"/>
                        </w:rPr>
                        <w:br/>
                      </w:r>
                      <w:r>
                        <w:rPr>
                          <w:rFonts w:ascii="Times New Roman" w:hAnsi="Times New Roman"/>
                          <w:b/>
                          <w:sz w:val="24"/>
                          <w:szCs w:val="24"/>
                        </w:rPr>
                        <w:t>(n =776)</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2003425</wp:posOffset>
                </wp:positionH>
                <wp:positionV relativeFrom="paragraph">
                  <wp:posOffset>190500</wp:posOffset>
                </wp:positionV>
                <wp:extent cx="0" cy="600710"/>
                <wp:effectExtent l="76200" t="0" r="57150" b="47625"/>
                <wp:wrapNone/>
                <wp:docPr id="37414478" name="Straight Arrow Connector 8"/>
                <wp:cNvGraphicFramePr/>
                <a:graphic xmlns:a="http://schemas.openxmlformats.org/drawingml/2006/main">
                  <a:graphicData uri="http://schemas.microsoft.com/office/word/2010/wordprocessingShape">
                    <wps:wsp>
                      <wps:cNvCnPr/>
                      <wps:spPr>
                        <a:xfrm>
                          <a:off x="0" y="0"/>
                          <a:ext cx="0" cy="600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8" o:spid="_x0000_s1026" o:spt="32" type="#_x0000_t32" style="position:absolute;left:0pt;margin-left:157.75pt;margin-top:15pt;height:47.3pt;width:0pt;z-index:251685888;mso-width-relative:page;mso-height-relative:page;" filled="f" stroked="t" coordsize="21600,21600" o:gfxdata="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fOga9cAAAAKAQAADwAAAAAAAAABACAAAAAiAAAAZHJzL2Rvd25yZXYueG1sUEsBAhQA&#10;FAAAAAgAh07iQD2KpUvzAQAA6gMAAA4AAAAAAAAAAQAgAAAAJgEAAGRycy9lMm9Eb2MueG1sUEsF&#10;BgAAAAAGAAYAWQEAAIsFAAAAAA==&#10;">
                <v:fill on="f" focussize="0,0"/>
                <v:stroke weight="0.5pt" color="#4472C4 [3204]" miterlimit="8" joinstyle="miter" endarrow="block"/>
                <v:imagedata o:title=""/>
                <o:lock v:ext="edit" aspectratio="f"/>
              </v:shape>
            </w:pict>
          </mc:Fallback>
        </mc:AlternateContent>
      </w: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106045</wp:posOffset>
                </wp:positionV>
                <wp:extent cx="916940" cy="74930"/>
                <wp:effectExtent l="0" t="19050" r="35560" b="39370"/>
                <wp:wrapNone/>
                <wp:docPr id="610183907" name="Arrow: Right 2"/>
                <wp:cNvGraphicFramePr/>
                <a:graphic xmlns:a="http://schemas.openxmlformats.org/drawingml/2006/main">
                  <a:graphicData uri="http://schemas.microsoft.com/office/word/2010/wordprocessingShape">
                    <wps:wsp>
                      <wps:cNvSpPr/>
                      <wps:spPr>
                        <a:xfrm>
                          <a:off x="0" y="0"/>
                          <a:ext cx="916940" cy="74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AD30BC6" id="Arrow: Right 2" o:spid="_x0000_s1026" type="#_x0000_t13" style="position:absolute;margin-left:0;margin-top:8.35pt;width:72.2pt;height:5.9pt;z-index:2516797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" adj="20717" fillcolor="#4472c4 [3204]" strokecolor="#09101d [484]" strokeweight="1pt">
                <w10:wrap anchorx="margin"/>
              </v:shape>
            </w:pict>
          </mc:Fallback>
        </mc:AlternateContent>
      </w: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-740410</wp:posOffset>
                </wp:positionH>
                <wp:positionV relativeFrom="paragraph">
                  <wp:posOffset>330200</wp:posOffset>
                </wp:positionV>
                <wp:extent cx="1570355" cy="553085"/>
                <wp:effectExtent l="0" t="5397" r="24447" b="24448"/>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70355" cy="552973"/>
                        </a:xfrm>
                        <a:prstGeom prst="roundRect">
                          <a:avLst>
                            <a:gd name="adj" fmla="val 16667"/>
                          </a:avLst>
                        </a:prstGeom>
                        <a:solidFill>
                          <a:srgbClr val="CCECFF"/>
                        </a:solidFill>
                        <a:ln w="9525">
                          <a:solidFill>
                            <a:srgbClr val="000000"/>
                          </a:solidFill>
                          <a:round/>
                        </a:ln>
                      </wps:spPr>
                      <wps:txbx>
                        <w:txbxContent>
                          <w:p w:rsidR="008E11A5" w:rsidRDefault="00342678">
                            <w:pPr>
                              <w:pStyle w:val="Heading2"/>
                              <w:rPr>
                                <w:rFonts w:ascii="Calibri" w:hAnsi="Calibri"/>
                                <w:sz w:val="28"/>
                                <w:szCs w:val="22"/>
                              </w:rPr>
                            </w:pPr>
                            <w:r>
                              <w:rPr>
                                <w:rFonts w:ascii="Calibri" w:hAnsi="Calibri"/>
                                <w:sz w:val="28"/>
                                <w:szCs w:val="22"/>
                              </w:rPr>
                              <w:t xml:space="preserve">        Eligibility</w:t>
                            </w:r>
                          </w:p>
                        </w:txbxContent>
                      </wps:txbx>
                      <wps:bodyPr rot="0" vert="vert270" wrap="square" lIns="45720" tIns="45720" rIns="45720" bIns="45720" anchor="t" anchorCtr="0" upright="1">
                        <a:noAutofit/>
                      </wps:bodyPr>
                    </wps:wsp>
                  </a:graphicData>
                </a:graphic>
              </wp:anchor>
            </w:drawing>
          </mc:Choice>
          <mc:Fallback>
            <w:pict>
              <v:roundrect id="AutoShape 5" o:spid="_x0000_s1036" style="position:absolute;left:0;text-align:left;margin-left:-58.3pt;margin-top:26pt;width:123.65pt;height:43.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" fillcolor="#ccecff">
                <v:textbox style="layout-flow:vertical;mso-layout-flow-alt:bottom-to-top" inset="3.6pt,,3.6pt">
                  <w:txbxContent>
                    <w:p w:rsidR="008E11A5" w:rsidRDefault="00342678">
                      <w:pPr>
                        <w:pStyle w:val="Heading2"/>
                        <w:rPr>
                          <w:rFonts w:ascii="Calibri" w:hAnsi="Calibri"/>
                          <w:sz w:val="28"/>
                          <w:szCs w:val="22"/>
                        </w:rPr>
                      </w:pPr>
                      <w:r>
                        <w:rPr>
                          <w:rFonts w:ascii="Calibri" w:hAnsi="Calibri"/>
                          <w:sz w:val="28"/>
                          <w:szCs w:val="22"/>
                        </w:rPr>
                        <w:t xml:space="preserve">        Eligibility</w:t>
                      </w:r>
                    </w:p>
                  </w:txbxContent>
                </v:textbox>
              </v:roundrect>
            </w:pict>
          </mc:Fallback>
        </mc:AlternateContent>
      </w:r>
      <w:r>
        <w:rPr>
          <w:rFonts w:ascii="Times New Roman" w:hAnsi="Times New Roman"/>
          <w:b/>
          <w:noProof/>
          <w:sz w:val="28"/>
          <w:szCs w:val="28"/>
        </w:rPr>
        <mc:AlternateContent>
          <mc:Choice Requires="wps">
            <w:drawing>
              <wp:anchor distT="0" distB="0" distL="114300" distR="114300" simplePos="0" relativeHeight="251676672" behindDoc="1" locked="0" layoutInCell="1" allowOverlap="1">
                <wp:simplePos x="0" y="0"/>
                <wp:positionH relativeFrom="column">
                  <wp:posOffset>1341120</wp:posOffset>
                </wp:positionH>
                <wp:positionV relativeFrom="paragraph">
                  <wp:posOffset>212090</wp:posOffset>
                </wp:positionV>
                <wp:extent cx="1403350" cy="1082040"/>
                <wp:effectExtent l="0" t="0" r="25400" b="22860"/>
                <wp:wrapTight wrapText="bothSides">
                  <wp:wrapPolygon edited="0">
                    <wp:start x="0" y="0"/>
                    <wp:lineTo x="0" y="21676"/>
                    <wp:lineTo x="21698" y="21676"/>
                    <wp:lineTo x="21698" y="0"/>
                    <wp:lineTo x="0" y="0"/>
                  </wp:wrapPolygon>
                </wp:wrapTight>
                <wp:docPr id="5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82040"/>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Full texts screened on basis of inclusion and exclusion criteria</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(n=25)</w:t>
                            </w:r>
                          </w:p>
                          <w:p w:rsidR="008E11A5" w:rsidRDefault="008E11A5">
                            <w:pPr>
                              <w:spacing w:after="0" w:line="240" w:lineRule="auto"/>
                              <w:jc w:val="center"/>
                            </w:pPr>
                          </w:p>
                        </w:txbxContent>
                      </wps:txbx>
                      <wps:bodyPr rot="0" vert="horz" wrap="square" lIns="91440" tIns="91440" rIns="91440" bIns="91440" anchor="t" anchorCtr="0" upright="1">
                        <a:noAutofit/>
                      </wps:bodyPr>
                    </wps:wsp>
                  </a:graphicData>
                </a:graphic>
              </wp:anchor>
            </w:drawing>
          </mc:Choice>
          <mc:Fallback>
            <w:pict>
              <v:rect id="Rectangle 25" o:spid="_x0000_s1037" style="position:absolute;left:0;text-align:left;margin-left:105.6pt;margin-top:16.7pt;width:110.5pt;height:85.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Full texts screened on basis of </w:t>
                      </w:r>
                      <w:r>
                        <w:rPr>
                          <w:rFonts w:ascii="Times New Roman" w:hAnsi="Times New Roman"/>
                          <w:sz w:val="24"/>
                        </w:rPr>
                        <w:t>inclusion and exclusion criteria</w:t>
                      </w:r>
                      <w:r>
                        <w:rPr>
                          <w:rFonts w:ascii="Times New Roman" w:hAnsi="Times New Roman"/>
                          <w:color w:val="FFFFFF" w:themeColor="background1"/>
                          <w:sz w:val="24"/>
                        </w:rPr>
                        <w:t>”</w:t>
                      </w:r>
                    </w:p>
                    <w:p w:rsidR="008E11A5" w:rsidRDefault="00342678">
                      <w:pPr>
                        <w:spacing w:after="0" w:line="240" w:lineRule="auto"/>
                        <w:jc w:val="center"/>
                        <w:rPr>
                          <w:rFonts w:ascii="Times New Roman" w:hAnsi="Times New Roman"/>
                          <w:b/>
                          <w:sz w:val="24"/>
                        </w:rPr>
                      </w:pPr>
                      <w:r>
                        <w:rPr>
                          <w:rFonts w:ascii="Times New Roman" w:hAnsi="Times New Roman"/>
                          <w:b/>
                          <w:sz w:val="24"/>
                        </w:rPr>
                        <w:t>(n=25)</w:t>
                      </w:r>
                    </w:p>
                    <w:p w:rsidR="008E11A5" w:rsidRDefault="008E11A5">
                      <w:pPr>
                        <w:spacing w:after="0" w:line="240" w:lineRule="auto"/>
                        <w:jc w:val="center"/>
                      </w:pPr>
                    </w:p>
                  </w:txbxContent>
                </v:textbox>
                <w10:wrap type="tight"/>
              </v:rect>
            </w:pict>
          </mc:Fallback>
        </mc:AlternateContent>
      </w:r>
    </w:p>
    <w:p w:rsidR="008E11A5" w:rsidRDefault="008E11A5">
      <w:pPr>
        <w:spacing w:line="276" w:lineRule="auto"/>
        <w:jc w:val="both"/>
        <w:rPr>
          <w:rFonts w:ascii="Times New Roman" w:hAnsi="Times New Roman"/>
          <w:sz w:val="28"/>
          <w:szCs w:val="28"/>
        </w:rPr>
      </w:pPr>
    </w:p>
    <w:p w:rsidR="008E11A5" w:rsidRDefault="008E11A5">
      <w:pPr>
        <w:spacing w:line="276" w:lineRule="auto"/>
        <w:jc w:val="both"/>
        <w:rPr>
          <w:rFonts w:ascii="Times New Roman" w:hAnsi="Times New Roman"/>
          <w:sz w:val="28"/>
          <w:szCs w:val="28"/>
        </w:rPr>
      </w:pP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3540760</wp:posOffset>
                </wp:positionH>
                <wp:positionV relativeFrom="paragraph">
                  <wp:posOffset>252730</wp:posOffset>
                </wp:positionV>
                <wp:extent cx="2113280" cy="581025"/>
                <wp:effectExtent l="0" t="0" r="20320" b="28575"/>
                <wp:wrapNone/>
                <wp:docPr id="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81025"/>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b/>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Studies excluded after review of full text </w:t>
                            </w:r>
                            <w:r>
                              <w:rPr>
                                <w:rFonts w:ascii="Times New Roman" w:hAnsi="Times New Roman"/>
                                <w:b/>
                                <w:sz w:val="24"/>
                                <w:szCs w:val="24"/>
                              </w:rPr>
                              <w:t>(n=12)</w:t>
                            </w:r>
                            <w:r>
                              <w:rPr>
                                <w:rFonts w:ascii="Times New Roman" w:hAnsi="Times New Roman"/>
                                <w:b/>
                                <w:color w:val="FFFFFF" w:themeColor="background1"/>
                                <w:sz w:val="24"/>
                                <w:szCs w:val="24"/>
                              </w:rPr>
                              <w:t>”</w:t>
                            </w:r>
                          </w:p>
                          <w:p w:rsidR="008E11A5" w:rsidRDefault="008E11A5">
                            <w:pPr>
                              <w:spacing w:after="0" w:line="240" w:lineRule="auto"/>
                              <w:jc w:val="center"/>
                              <w:rPr>
                                <w:rFonts w:ascii="Times New Roman" w:hAnsi="Times New Roman"/>
                                <w:sz w:val="24"/>
                                <w:szCs w:val="24"/>
                              </w:rPr>
                            </w:pPr>
                          </w:p>
                        </w:txbxContent>
                      </wps:txbx>
                      <wps:bodyPr rot="0" vert="horz" wrap="square" lIns="91440" tIns="91440" rIns="91440" bIns="91440" anchor="t" anchorCtr="0" upright="1">
                        <a:noAutofit/>
                      </wps:bodyPr>
                    </wps:wsp>
                  </a:graphicData>
                </a:graphic>
              </wp:anchor>
            </w:drawing>
          </mc:Choice>
          <mc:Fallback>
            <w:pict>
              <v:rect id="Rectangle 26" o:spid="_x0000_s1038" style="position:absolute;left:0;text-align:left;margin-left:278.8pt;margin-top:19.9pt;width:166.4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">
                <v:textbox inset=",7.2pt,,7.2pt">
                  <w:txbxContent>
                    <w:p w:rsidR="008E11A5" w:rsidRDefault="00342678">
                      <w:pPr>
                        <w:spacing w:after="0" w:line="240" w:lineRule="auto"/>
                        <w:jc w:val="center"/>
                        <w:rPr>
                          <w:rFonts w:ascii="Times New Roman" w:hAnsi="Times New Roman"/>
                          <w:b/>
                          <w:sz w:val="24"/>
                          <w:szCs w:val="24"/>
                        </w:rPr>
                      </w:pPr>
                      <w:r>
                        <w:rPr>
                          <w:rFonts w:ascii="Times New Roman" w:hAnsi="Times New Roman"/>
                          <w:color w:val="FFFFFF" w:themeColor="background1"/>
                          <w:sz w:val="24"/>
                          <w:szCs w:val="24"/>
                        </w:rPr>
                        <w:t>“</w:t>
                      </w:r>
                      <w:r>
                        <w:rPr>
                          <w:rFonts w:ascii="Times New Roman" w:hAnsi="Times New Roman"/>
                          <w:sz w:val="24"/>
                          <w:szCs w:val="24"/>
                        </w:rPr>
                        <w:t xml:space="preserve">Studies excluded after review of full text </w:t>
                      </w:r>
                      <w:r>
                        <w:rPr>
                          <w:rFonts w:ascii="Times New Roman" w:hAnsi="Times New Roman"/>
                          <w:b/>
                          <w:sz w:val="24"/>
                          <w:szCs w:val="24"/>
                        </w:rPr>
                        <w:t>(n=12)</w:t>
                      </w:r>
                      <w:r>
                        <w:rPr>
                          <w:rFonts w:ascii="Times New Roman" w:hAnsi="Times New Roman"/>
                          <w:b/>
                          <w:color w:val="FFFFFF" w:themeColor="background1"/>
                          <w:sz w:val="24"/>
                          <w:szCs w:val="24"/>
                        </w:rPr>
                        <w:t>”</w:t>
                      </w:r>
                    </w:p>
                    <w:p w:rsidR="008E11A5" w:rsidRDefault="008E11A5">
                      <w:pPr>
                        <w:spacing w:after="0" w:line="240" w:lineRule="auto"/>
                        <w:jc w:val="center"/>
                        <w:rPr>
                          <w:rFonts w:ascii="Times New Roman" w:hAnsi="Times New Roman"/>
                          <w:sz w:val="24"/>
                          <w:szCs w:val="24"/>
                        </w:rPr>
                      </w:pP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2112645</wp:posOffset>
                </wp:positionH>
                <wp:positionV relativeFrom="paragraph">
                  <wp:posOffset>289560</wp:posOffset>
                </wp:positionV>
                <wp:extent cx="0" cy="641350"/>
                <wp:effectExtent l="76200" t="0" r="76200" b="63500"/>
                <wp:wrapNone/>
                <wp:docPr id="886132207" name="Straight Arrow Connector 9"/>
                <wp:cNvGraphicFramePr/>
                <a:graphic xmlns:a="http://schemas.openxmlformats.org/drawingml/2006/main">
                  <a:graphicData uri="http://schemas.microsoft.com/office/word/2010/wordprocessingShape">
                    <wps:wsp>
                      <wps:cNvCnPr/>
                      <wps:spPr>
                        <a:xfrm>
                          <a:off x="0" y="0"/>
                          <a:ext cx="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Straight Arrow Connector 9" o:spid="_x0000_s1026" o:spt="32" type="#_x0000_t32" style="position:absolute;left:0pt;margin-left:166.35pt;margin-top:22.8pt;height:50.5pt;width:0pt;z-index:251686912;mso-width-relative:page;mso-height-relative:page;" filled="f" stroked="t" coordsize="21600,21600" o:gfxdata="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ewlk2AAAAAoBAAAPAAAAAAAAAAEAIAAAACIAAABkcnMvZG93bnJldi54bWxQSwEC&#10;FAAUAAAACACHTuJA/46JGfQBAADrAwAADgAAAAAAAAABACAAAAAnAQAAZHJzL2Uyb0RvYy54bWxQ&#10;SwUGAAAAAAYABgBZAQAAjQUAAAAA&#10;">
                <v:fill on="f" focussize="0,0"/>
                <v:stroke weight="0.5pt" color="#4472C4 [3204]" miterlimit="8" joinstyle="miter" endarrow="block"/>
                <v:imagedata o:title=""/>
                <o:lock v:ext="edit" aspectratio="f"/>
              </v:shape>
            </w:pict>
          </mc:Fallback>
        </mc:AlternateContent>
      </w:r>
    </w:p>
    <w:p w:rsidR="008E11A5" w:rsidRDefault="00342678">
      <w:pPr>
        <w:spacing w:line="276" w:lineRule="auto"/>
        <w:jc w:val="both"/>
        <w:rPr>
          <w:rFonts w:ascii="Times New Roman" w:hAnsi="Times New Roman"/>
          <w:b/>
          <w:sz w:val="28"/>
          <w:szCs w:val="28"/>
          <w:lang w:eastAsia="en-IN"/>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130810</wp:posOffset>
                </wp:positionV>
                <wp:extent cx="869950" cy="812165"/>
                <wp:effectExtent l="0" t="9525" r="16510" b="16510"/>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69688" cy="812415"/>
                        </a:xfrm>
                        <a:prstGeom prst="roundRect">
                          <a:avLst>
                            <a:gd name="adj" fmla="val 16667"/>
                          </a:avLst>
                        </a:prstGeom>
                        <a:solidFill>
                          <a:srgbClr val="CCECFF"/>
                        </a:solidFill>
                        <a:ln w="9525">
                          <a:solidFill>
                            <a:srgbClr val="000000"/>
                          </a:solidFill>
                          <a:round/>
                        </a:ln>
                      </wps:spPr>
                      <wps:txbx>
                        <w:txbxContent>
                          <w:p w:rsidR="008E11A5" w:rsidRDefault="00342678">
                            <w:pPr>
                              <w:pStyle w:val="Heading2"/>
                              <w:rPr>
                                <w:rFonts w:ascii="Calibri" w:hAnsi="Calibri"/>
                                <w:sz w:val="28"/>
                              </w:rPr>
                            </w:pPr>
                            <w:r>
                              <w:rPr>
                                <w:rFonts w:ascii="Calibri" w:hAnsi="Calibri"/>
                                <w:sz w:val="28"/>
                              </w:rPr>
                              <w:t xml:space="preserve">      Included</w:t>
                            </w:r>
                          </w:p>
                          <w:p w:rsidR="008E11A5" w:rsidRDefault="008E11A5"/>
                        </w:txbxContent>
                      </wps:txbx>
                      <wps:bodyPr rot="0" vert="vert270" wrap="square" lIns="45720" tIns="45720" rIns="45720" bIns="45720" anchor="t" anchorCtr="0" upright="1">
                        <a:noAutofit/>
                      </wps:bodyPr>
                    </wps:wsp>
                  </a:graphicData>
                </a:graphic>
              </wp:anchor>
            </w:drawing>
          </mc:Choice>
          <mc:Fallback>
            <w:pict>
              <v:roundrect id="AutoShape 4" o:spid="_x0000_s1039" style="position:absolute;left:0;text-align:left;margin-left:-34.5pt;margin-top:10.3pt;width:68.5pt;height:63.9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" fillcolor="#ccecff">
                <v:textbox style="layout-flow:vertical;mso-layout-flow-alt:bottom-to-top" inset="3.6pt,,3.6pt">
                  <w:txbxContent>
                    <w:p w:rsidR="008E11A5" w:rsidRDefault="00342678">
                      <w:pPr>
                        <w:pStyle w:val="Heading2"/>
                        <w:rPr>
                          <w:rFonts w:ascii="Calibri" w:hAnsi="Calibri"/>
                          <w:sz w:val="28"/>
                        </w:rPr>
                      </w:pPr>
                      <w:r>
                        <w:rPr>
                          <w:rFonts w:ascii="Calibri" w:hAnsi="Calibri"/>
                          <w:sz w:val="28"/>
                        </w:rPr>
                        <w:t xml:space="preserve">      Included</w:t>
                      </w:r>
                    </w:p>
                    <w:p w:rsidR="008E11A5" w:rsidRDefault="008E11A5"/>
                  </w:txbxContent>
                </v:textbox>
              </v:roundrect>
            </w:pict>
          </mc:Fallback>
        </mc:AlternateContent>
      </w:r>
      <w:r>
        <w:rPr>
          <w:rFonts w:ascii="Times New Roman" w:hAnsi="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2443480</wp:posOffset>
                </wp:positionH>
                <wp:positionV relativeFrom="paragraph">
                  <wp:posOffset>104775</wp:posOffset>
                </wp:positionV>
                <wp:extent cx="916940" cy="74930"/>
                <wp:effectExtent l="0" t="19050" r="35560" b="40005"/>
                <wp:wrapNone/>
                <wp:docPr id="664780256" name="Arrow: Right 2"/>
                <wp:cNvGraphicFramePr/>
                <a:graphic xmlns:a="http://schemas.openxmlformats.org/drawingml/2006/main">
                  <a:graphicData uri="http://schemas.microsoft.com/office/word/2010/wordprocessingShape">
                    <wps:wsp>
                      <wps:cNvSpPr/>
                      <wps:spPr>
                        <a:xfrm>
                          <a:off x="0" y="0"/>
                          <a:ext cx="916940" cy="749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Right 2" o:spid="_x0000_s1026" o:spt="13" type="#_x0000_t13" style="position:absolute;left:0pt;margin-left:192.4pt;margin-top:8.25pt;height:5.9pt;width:72.2pt;z-index:251680768;v-text-anchor:middle;mso-width-relative:page;mso-height-relative:page;" fillcolor="#4472C4 [3204]" filled="t" stroked="t" coordsize="21600,21600" o:gfxdata="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MgbZ72QAAAAkBAAAPAAAAAAAA&#10;AAEAIAAAACIAAABkcnMvZG93bnJldi54bWxQSwECFAAUAAAACACHTuJAm6D6xoMCAAAnBQAADgAA&#10;AAAAAAABACAAAAAoAQAAZHJzL2Uyb0RvYy54bWxQSwUGAAAAAAYABgBZAQAAHQYAAAAA&#10;" adj="20718,5400">
                <v:fill on="t" focussize="0,0"/>
                <v:stroke weight="1pt" color="#172C51 [3204]" miterlimit="8" joinstyle="miter"/>
                <v:imagedata o:title=""/>
                <o:lock v:ext="edit" aspectratio="f"/>
              </v:shape>
            </w:pict>
          </mc:Fallback>
        </mc:AlternateContent>
      </w:r>
    </w:p>
    <w:p w:rsidR="008E11A5" w:rsidRDefault="00342678">
      <w:pPr>
        <w:spacing w:line="276"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788035</wp:posOffset>
                </wp:positionH>
                <wp:positionV relativeFrom="paragraph">
                  <wp:posOffset>172085</wp:posOffset>
                </wp:positionV>
                <wp:extent cx="2291715" cy="614680"/>
                <wp:effectExtent l="0" t="0" r="13335" b="13970"/>
                <wp:wrapNone/>
                <wp:docPr id="6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14856"/>
                        </a:xfrm>
                        <a:prstGeom prst="rect">
                          <a:avLst/>
                        </a:prstGeom>
                        <a:solidFill>
                          <a:srgbClr val="FFFFFF"/>
                        </a:solidFill>
                        <a:ln w="9525">
                          <a:solidFill>
                            <a:srgbClr val="000000"/>
                          </a:solidFill>
                          <a:miter lim="800000"/>
                        </a:ln>
                      </wps:spPr>
                      <wps:txbx>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Studies included in qualitative synthesis (n=13) </w:t>
                            </w:r>
                            <w:r>
                              <w:rPr>
                                <w:rFonts w:ascii="Times New Roman" w:hAnsi="Times New Roman"/>
                                <w:b/>
                                <w:sz w:val="24"/>
                              </w:rPr>
                              <w:t>13 estimates</w:t>
                            </w:r>
                            <w:r>
                              <w:rPr>
                                <w:rFonts w:ascii="Times New Roman" w:hAnsi="Times New Roman"/>
                                <w:b/>
                                <w:color w:val="FFFFFF" w:themeColor="background1"/>
                                <w:sz w:val="24"/>
                              </w:rPr>
                              <w:t>”</w:t>
                            </w:r>
                          </w:p>
                        </w:txbxContent>
                      </wps:txbx>
                      <wps:bodyPr rot="0" vert="horz" wrap="square" lIns="91440" tIns="91440" rIns="91440" bIns="91440" anchor="t" anchorCtr="0" upright="1">
                        <a:noAutofit/>
                      </wps:bodyPr>
                    </wps:wsp>
                  </a:graphicData>
                </a:graphic>
              </wp:anchor>
            </w:drawing>
          </mc:Choice>
          <mc:Fallback>
            <w:pict>
              <v:rect id="Rectangle 15" o:spid="_x0000_s1040" style="position:absolute;left:0;text-align:left;margin-left:62.05pt;margin-top:13.55pt;width:180.45pt;height:48.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">
                <v:textbox inset=",7.2pt,,7.2pt">
                  <w:txbxContent>
                    <w:p w:rsidR="008E11A5" w:rsidRDefault="00342678">
                      <w:pPr>
                        <w:spacing w:after="0" w:line="240" w:lineRule="auto"/>
                        <w:jc w:val="center"/>
                        <w:rPr>
                          <w:rFonts w:ascii="Times New Roman" w:hAnsi="Times New Roman"/>
                          <w:sz w:val="24"/>
                        </w:rPr>
                      </w:pPr>
                      <w:r>
                        <w:rPr>
                          <w:rFonts w:ascii="Times New Roman" w:hAnsi="Times New Roman"/>
                          <w:color w:val="FFFFFF" w:themeColor="background1"/>
                          <w:sz w:val="24"/>
                        </w:rPr>
                        <w:t>“</w:t>
                      </w:r>
                      <w:r>
                        <w:rPr>
                          <w:rFonts w:ascii="Times New Roman" w:hAnsi="Times New Roman"/>
                          <w:sz w:val="24"/>
                        </w:rPr>
                        <w:t xml:space="preserve">Studies included in qualitative synthesis (n=13) </w:t>
                      </w:r>
                      <w:r>
                        <w:rPr>
                          <w:rFonts w:ascii="Times New Roman" w:hAnsi="Times New Roman"/>
                          <w:b/>
                          <w:sz w:val="24"/>
                        </w:rPr>
                        <w:t>13 estimates</w:t>
                      </w:r>
                      <w:r>
                        <w:rPr>
                          <w:rFonts w:ascii="Times New Roman" w:hAnsi="Times New Roman"/>
                          <w:b/>
                          <w:color w:val="FFFFFF" w:themeColor="background1"/>
                          <w:sz w:val="24"/>
                        </w:rPr>
                        <w:t>”</w:t>
                      </w:r>
                    </w:p>
                  </w:txbxContent>
                </v:textbox>
              </v:rect>
            </w:pict>
          </mc:Fallback>
        </mc:AlternateContent>
      </w:r>
    </w:p>
    <w:p w:rsidR="008E11A5" w:rsidRDefault="008E11A5">
      <w:pPr>
        <w:spacing w:before="2" w:line="276" w:lineRule="auto"/>
        <w:ind w:right="911"/>
        <w:jc w:val="both"/>
        <w:rPr>
          <w:rFonts w:ascii="Times New Roman" w:hAnsi="Times New Roman"/>
          <w:sz w:val="28"/>
          <w:szCs w:val="28"/>
        </w:rPr>
        <w:sectPr w:rsidR="008E11A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8E11A5" w:rsidRDefault="00342678">
      <w:pPr>
        <w:spacing w:after="0" w:line="360" w:lineRule="auto"/>
        <w:jc w:val="both"/>
        <w:rPr>
          <w:rFonts w:ascii="Times New Roman" w:hAnsi="Times New Roman"/>
          <w:sz w:val="28"/>
          <w:szCs w:val="28"/>
        </w:rPr>
      </w:pPr>
      <w:r>
        <w:rPr>
          <w:rFonts w:ascii="Times New Roman" w:hAnsi="Times New Roman"/>
          <w:b/>
          <w:bCs/>
          <w:color w:val="000000"/>
          <w:sz w:val="28"/>
          <w:szCs w:val="28"/>
        </w:rPr>
        <w:lastRenderedPageBreak/>
        <w:t xml:space="preserve">ASSESSMENT OF RISK OF BIAS </w:t>
      </w:r>
    </w:p>
    <w:p w:rsidR="008E11A5" w:rsidRDefault="00342678">
      <w:pPr>
        <w:spacing w:after="0" w:line="360" w:lineRule="auto"/>
        <w:jc w:val="both"/>
        <w:rPr>
          <w:rFonts w:ascii="Times New Roman" w:hAnsi="Times New Roman"/>
          <w:sz w:val="28"/>
          <w:szCs w:val="28"/>
        </w:rPr>
      </w:pPr>
      <w:r>
        <w:rPr>
          <w:rFonts w:ascii="Times New Roman" w:hAnsi="Times New Roman"/>
          <w:color w:val="000000"/>
          <w:sz w:val="28"/>
          <w:szCs w:val="28"/>
        </w:rPr>
        <w:t>Risk of bias assessment of all the included studies was performed. All the included studies were case reports; about 2 studies included 2 cases. For the risk of bias assessment of included case reports, JBI critical appraisal checklist for Case reports was used to assess Risk of bias of included case reports. t has been found that most of the case reports included showed all of the items of appraisal with a “yes” response across all the studies. Thus, when the overall quality assessment or Risk of bias is done; it can be interpreted that all of the included case reports showed better quality of assessment.</w:t>
      </w:r>
    </w:p>
    <w:p w:rsidR="008E11A5" w:rsidRDefault="00342678">
      <w:pPr>
        <w:spacing w:line="360" w:lineRule="auto"/>
        <w:jc w:val="both"/>
        <w:rPr>
          <w:rFonts w:ascii="Times New Roman" w:eastAsia="Calibri" w:hAnsi="Times New Roman"/>
          <w:b/>
          <w:sz w:val="28"/>
          <w:szCs w:val="28"/>
        </w:rPr>
      </w:pPr>
      <w:r>
        <w:rPr>
          <w:rFonts w:ascii="Times New Roman" w:eastAsia="Calibri" w:hAnsi="Times New Roman"/>
          <w:b/>
          <w:sz w:val="28"/>
          <w:szCs w:val="28"/>
        </w:rPr>
        <w:t>RESULTS</w:t>
      </w:r>
    </w:p>
    <w:p w:rsidR="008E11A5" w:rsidRDefault="00342678">
      <w:pPr>
        <w:spacing w:after="720" w:line="360" w:lineRule="auto"/>
        <w:jc w:val="both"/>
        <w:rPr>
          <w:rFonts w:ascii="Times New Roman" w:hAnsi="Times New Roman"/>
          <w:sz w:val="28"/>
          <w:szCs w:val="28"/>
        </w:rPr>
      </w:pPr>
      <w:r>
        <w:rPr>
          <w:rFonts w:ascii="Times New Roman" w:hAnsi="Times New Roman"/>
          <w:sz w:val="28"/>
          <w:szCs w:val="28"/>
        </w:rPr>
        <w:t>The search strategy retrieved 1894 articles. 1482 r</w:t>
      </w:r>
      <w:r>
        <w:rPr>
          <w:rFonts w:ascii="Times New Roman" w:hAnsi="Times New Roman"/>
          <w:color w:val="000000"/>
          <w:sz w:val="28"/>
          <w:szCs w:val="28"/>
        </w:rPr>
        <w:t xml:space="preserve">ecords excluded after review of titles 412 titles remaining screened for duplication out of which 289 excluded. </w:t>
      </w:r>
      <w:r>
        <w:rPr>
          <w:rFonts w:ascii="Times New Roman" w:hAnsi="Times New Roman"/>
          <w:sz w:val="28"/>
          <w:szCs w:val="28"/>
        </w:rPr>
        <w:t xml:space="preserve">Assessment of the full text was done for 123 articles after which 13 were included in the study. All included paper </w:t>
      </w:r>
      <w:proofErr w:type="gramStart"/>
      <w:r>
        <w:rPr>
          <w:rFonts w:ascii="Times New Roman" w:hAnsi="Times New Roman"/>
          <w:sz w:val="28"/>
          <w:szCs w:val="28"/>
        </w:rPr>
        <w:t>were</w:t>
      </w:r>
      <w:proofErr w:type="gramEnd"/>
      <w:r>
        <w:rPr>
          <w:rFonts w:ascii="Times New Roman" w:hAnsi="Times New Roman"/>
          <w:sz w:val="28"/>
          <w:szCs w:val="28"/>
        </w:rPr>
        <w:t xml:space="preserve"> published between 2000 to 2024.</w:t>
      </w:r>
    </w:p>
    <w:p w:rsidR="008E11A5" w:rsidRDefault="00342678">
      <w:pPr>
        <w:spacing w:after="720" w:line="360" w:lineRule="auto"/>
        <w:jc w:val="both"/>
        <w:rPr>
          <w:rFonts w:ascii="Times New Roman" w:eastAsiaTheme="minorHAnsi" w:hAnsi="Times New Roman"/>
          <w:sz w:val="28"/>
          <w:szCs w:val="28"/>
        </w:rPr>
      </w:pPr>
      <w:r>
        <w:rPr>
          <w:rFonts w:ascii="Times New Roman" w:eastAsia="Calibri" w:hAnsi="Times New Roman"/>
          <w:sz w:val="28"/>
          <w:szCs w:val="28"/>
        </w:rPr>
        <w:t>The present systematic review was conducted to assess</w:t>
      </w:r>
      <w:r>
        <w:rPr>
          <w:rFonts w:ascii="Times New Roman" w:hAnsi="Times New Roman"/>
          <w:sz w:val="28"/>
          <w:szCs w:val="28"/>
        </w:rPr>
        <w:t xml:space="preserve"> </w:t>
      </w:r>
      <w:r>
        <w:rPr>
          <w:rFonts w:ascii="Times New Roman" w:eastAsia="Calibri" w:hAnsi="Times New Roman"/>
          <w:sz w:val="28"/>
          <w:szCs w:val="28"/>
        </w:rPr>
        <w:t>demographics, Clinical and histopathological features, differential diagnosis, treatment and patient outcomes in oral sebaceous carcinoma. The screening process was undertaken in three steps that included screening of titles followed by screening of abstracts and finally screening of full text for inclusion in the review. The characteristics of the studies included in the systematic review are presented in the below tables.</w:t>
      </w:r>
      <w:r>
        <w:rPr>
          <w:rFonts w:ascii="Times New Roman" w:eastAsia="Calibri" w:hAnsi="Times New Roman"/>
          <w:color w:val="FFFFFF"/>
          <w:sz w:val="28"/>
          <w:szCs w:val="28"/>
        </w:rPr>
        <w:t>”</w:t>
      </w:r>
    </w:p>
    <w:p w:rsidR="008E11A5" w:rsidRDefault="00342678">
      <w:pPr>
        <w:spacing w:line="360" w:lineRule="auto"/>
        <w:jc w:val="both"/>
        <w:rPr>
          <w:rFonts w:ascii="Times New Roman" w:eastAsia="Calibri" w:hAnsi="Times New Roman"/>
          <w:color w:val="000000"/>
          <w:sz w:val="28"/>
          <w:szCs w:val="28"/>
        </w:rPr>
      </w:pPr>
      <w:r>
        <w:rPr>
          <w:rFonts w:ascii="Times New Roman" w:eastAsia="Calibri" w:hAnsi="Times New Roman"/>
          <w:sz w:val="28"/>
          <w:szCs w:val="28"/>
        </w:rPr>
        <w:t>The</w:t>
      </w:r>
      <w:r>
        <w:rPr>
          <w:rFonts w:ascii="Times New Roman" w:eastAsia="Calibri" w:hAnsi="Times New Roman"/>
          <w:color w:val="FFFFFF"/>
          <w:sz w:val="28"/>
          <w:szCs w:val="28"/>
        </w:rPr>
        <w:t xml:space="preserve"> </w:t>
      </w:r>
      <w:r>
        <w:rPr>
          <w:rFonts w:ascii="Times New Roman" w:eastAsia="Calibri" w:hAnsi="Times New Roman"/>
          <w:sz w:val="28"/>
          <w:szCs w:val="28"/>
        </w:rPr>
        <w:t xml:space="preserve">table 1 represents study characteristics with respect to age group, patients, exposure and primary and secondary outcomes with follow-up of the included studies. </w:t>
      </w:r>
      <w:r>
        <w:rPr>
          <w:rFonts w:ascii="Times New Roman" w:eastAsia="Calibri" w:hAnsi="Times New Roman"/>
          <w:color w:val="000000"/>
          <w:sz w:val="28"/>
          <w:szCs w:val="28"/>
        </w:rPr>
        <w:t xml:space="preserve">The age of the study participants across the studies varied from 40 years to 81 years; with mean age around 60 years. All the cases involved in the studies </w:t>
      </w:r>
      <w:r>
        <w:rPr>
          <w:rFonts w:ascii="Times New Roman" w:eastAsia="Calibri" w:hAnsi="Times New Roman"/>
          <w:color w:val="000000"/>
          <w:sz w:val="28"/>
          <w:szCs w:val="28"/>
        </w:rPr>
        <w:lastRenderedPageBreak/>
        <w:t xml:space="preserve">were having sebaceous carcinoma of the oral region. In majority of the studies the region affected was upper or lower lip, followed by tongue and palate. Clinically on extra oral examination the lesion appeared as markedly ulcerated, exophytic, irregularly shaped, indurated mass varying in dimensions. The most common diagnosis arrived at was Sebaceous carcinoma of the oral region. The common </w:t>
      </w:r>
      <w:proofErr w:type="spellStart"/>
      <w:r>
        <w:rPr>
          <w:rFonts w:ascii="Times New Roman" w:eastAsia="Calibri" w:hAnsi="Times New Roman"/>
          <w:color w:val="000000"/>
          <w:sz w:val="28"/>
          <w:szCs w:val="28"/>
        </w:rPr>
        <w:t>histo</w:t>
      </w:r>
      <w:proofErr w:type="spellEnd"/>
      <w:r>
        <w:rPr>
          <w:rFonts w:ascii="Times New Roman" w:eastAsia="Calibri" w:hAnsi="Times New Roman"/>
          <w:color w:val="000000"/>
          <w:sz w:val="28"/>
          <w:szCs w:val="28"/>
        </w:rPr>
        <w:t xml:space="preserve">-pathological findings across the included studies were presence of neoplastic cells which showed a range of sebaceous differentiation with finely vacuolated rather than clear cytoplasm. Immunohistochemistry showed strong nuclear immunoreactivity with Androgen Receptor and scattered membranous and cytoplasmic reactivity with EMA and </w:t>
      </w:r>
      <w:r>
        <w:rPr>
          <w:rFonts w:ascii="Times New Roman" w:eastAsia="Calibri" w:hAnsi="Times New Roman"/>
          <w:sz w:val="28"/>
          <w:szCs w:val="28"/>
        </w:rPr>
        <w:t xml:space="preserve">positive for S-100 protein, EMA, but negative for CEA. The differential diagnosis was </w:t>
      </w:r>
      <w:r>
        <w:rPr>
          <w:rFonts w:ascii="Times New Roman" w:eastAsia="Calibri" w:hAnsi="Times New Roman"/>
          <w:color w:val="000000"/>
          <w:sz w:val="28"/>
          <w:szCs w:val="28"/>
        </w:rPr>
        <w:t xml:space="preserve">squamous cell carcinoma, basal cell carcinoma and malignant salivary gland </w:t>
      </w:r>
      <w:proofErr w:type="spellStart"/>
      <w:proofErr w:type="gramStart"/>
      <w:r>
        <w:rPr>
          <w:rFonts w:ascii="Times New Roman" w:eastAsia="Calibri" w:hAnsi="Times New Roman"/>
          <w:color w:val="000000"/>
          <w:sz w:val="28"/>
          <w:szCs w:val="28"/>
        </w:rPr>
        <w:t>neoplasm.The</w:t>
      </w:r>
      <w:proofErr w:type="spellEnd"/>
      <w:proofErr w:type="gramEnd"/>
      <w:r>
        <w:rPr>
          <w:rFonts w:ascii="Times New Roman" w:eastAsia="Calibri" w:hAnsi="Times New Roman"/>
          <w:color w:val="000000"/>
          <w:sz w:val="28"/>
          <w:szCs w:val="28"/>
        </w:rPr>
        <w:t xml:space="preserve"> treatment </w:t>
      </w:r>
      <w:proofErr w:type="spellStart"/>
      <w:r>
        <w:rPr>
          <w:rFonts w:ascii="Times New Roman" w:eastAsia="Calibri" w:hAnsi="Times New Roman"/>
          <w:color w:val="000000"/>
          <w:sz w:val="28"/>
          <w:szCs w:val="28"/>
        </w:rPr>
        <w:t>fiven</w:t>
      </w:r>
      <w:proofErr w:type="spellEnd"/>
      <w:r>
        <w:rPr>
          <w:rFonts w:ascii="Times New Roman" w:eastAsia="Calibri" w:hAnsi="Times New Roman"/>
          <w:color w:val="000000"/>
          <w:sz w:val="28"/>
          <w:szCs w:val="28"/>
        </w:rPr>
        <w:t xml:space="preserve"> for most of the cases was incisional biopsy followed by wide local excision of the residual </w:t>
      </w:r>
      <w:proofErr w:type="spellStart"/>
      <w:r>
        <w:rPr>
          <w:rFonts w:ascii="Times New Roman" w:eastAsia="Calibri" w:hAnsi="Times New Roman"/>
          <w:color w:val="000000"/>
          <w:sz w:val="28"/>
          <w:szCs w:val="28"/>
        </w:rPr>
        <w:t>tumour</w:t>
      </w:r>
      <w:proofErr w:type="spellEnd"/>
      <w:r>
        <w:rPr>
          <w:rFonts w:ascii="Times New Roman" w:eastAsia="Calibri" w:hAnsi="Times New Roman"/>
          <w:color w:val="000000"/>
          <w:sz w:val="28"/>
          <w:szCs w:val="28"/>
        </w:rPr>
        <w:t xml:space="preserve">; followed by chemotherapy and radiotherapy if required. Amongst all the cases reported in this systematic review, about 2 cases showed lymph node involvement with distant metastases. </w:t>
      </w:r>
    </w:p>
    <w:p w:rsidR="008E11A5" w:rsidRDefault="008E11A5">
      <w:pPr>
        <w:pStyle w:val="TableParagraph"/>
        <w:spacing w:line="360" w:lineRule="auto"/>
        <w:ind w:left="0"/>
        <w:jc w:val="both"/>
        <w:rPr>
          <w:sz w:val="28"/>
          <w:szCs w:val="28"/>
        </w:rPr>
      </w:pPr>
    </w:p>
    <w:p w:rsidR="008E11A5" w:rsidRDefault="008E11A5">
      <w:pPr>
        <w:spacing w:after="0" w:line="276" w:lineRule="auto"/>
        <w:jc w:val="both"/>
        <w:rPr>
          <w:rFonts w:ascii="Times New Roman" w:eastAsia="Calibri" w:hAnsi="Times New Roman"/>
          <w:sz w:val="28"/>
          <w:szCs w:val="28"/>
        </w:rPr>
        <w:sectPr w:rsidR="008E11A5">
          <w:pgSz w:w="11906" w:h="16838"/>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sectPr>
      </w:pPr>
    </w:p>
    <w:p w:rsidR="008E11A5" w:rsidRDefault="00342678">
      <w:pPr>
        <w:spacing w:line="276" w:lineRule="auto"/>
        <w:jc w:val="both"/>
        <w:rPr>
          <w:rFonts w:ascii="Times New Roman" w:eastAsia="Calibri" w:hAnsi="Times New Roman"/>
          <w:b/>
          <w:sz w:val="28"/>
          <w:szCs w:val="28"/>
        </w:rPr>
      </w:pPr>
      <w:r>
        <w:rPr>
          <w:rFonts w:ascii="Times New Roman" w:eastAsia="Calibri" w:hAnsi="Times New Roman"/>
          <w:b/>
          <w:sz w:val="28"/>
          <w:szCs w:val="28"/>
        </w:rPr>
        <w:lastRenderedPageBreak/>
        <w:t>Table 1- Details of the study participants, intervention, and comparator of the studies included in the systematic review</w:t>
      </w:r>
    </w:p>
    <w:tbl>
      <w:tblPr>
        <w:tblStyle w:val="TableGrid"/>
        <w:tblW w:w="15698" w:type="dxa"/>
        <w:tblLook w:val="04A0" w:firstRow="1" w:lastRow="0" w:firstColumn="1" w:lastColumn="0" w:noHBand="0" w:noVBand="1"/>
      </w:tblPr>
      <w:tblGrid>
        <w:gridCol w:w="450"/>
        <w:gridCol w:w="948"/>
        <w:gridCol w:w="758"/>
        <w:gridCol w:w="569"/>
        <w:gridCol w:w="1093"/>
        <w:gridCol w:w="993"/>
        <w:gridCol w:w="1327"/>
        <w:gridCol w:w="795"/>
        <w:gridCol w:w="912"/>
        <w:gridCol w:w="930"/>
        <w:gridCol w:w="1301"/>
        <w:gridCol w:w="1625"/>
        <w:gridCol w:w="1319"/>
        <w:gridCol w:w="1165"/>
        <w:gridCol w:w="1513"/>
      </w:tblGrid>
      <w:tr w:rsidR="008E11A5">
        <w:tc>
          <w:tcPr>
            <w:tcW w:w="493" w:type="dxa"/>
          </w:tcPr>
          <w:p w:rsidR="008E11A5" w:rsidRDefault="00342678">
            <w:pPr>
              <w:pStyle w:val="TableParagraph"/>
              <w:ind w:left="0"/>
              <w:jc w:val="both"/>
              <w:rPr>
                <w:sz w:val="28"/>
                <w:szCs w:val="28"/>
              </w:rPr>
            </w:pPr>
            <w:r>
              <w:rPr>
                <w:sz w:val="28"/>
                <w:szCs w:val="28"/>
              </w:rPr>
              <w:t>SR NO</w:t>
            </w:r>
          </w:p>
        </w:tc>
        <w:tc>
          <w:tcPr>
            <w:tcW w:w="934" w:type="dxa"/>
          </w:tcPr>
          <w:p w:rsidR="008E11A5" w:rsidRDefault="00342678">
            <w:pPr>
              <w:pStyle w:val="TableParagraph"/>
              <w:ind w:left="0"/>
              <w:jc w:val="both"/>
              <w:rPr>
                <w:sz w:val="28"/>
                <w:szCs w:val="28"/>
              </w:rPr>
            </w:pPr>
            <w:r>
              <w:rPr>
                <w:sz w:val="28"/>
                <w:szCs w:val="28"/>
              </w:rPr>
              <w:t xml:space="preserve">Authors name </w:t>
            </w:r>
          </w:p>
        </w:tc>
        <w:tc>
          <w:tcPr>
            <w:tcW w:w="854" w:type="dxa"/>
          </w:tcPr>
          <w:p w:rsidR="008E11A5" w:rsidRDefault="00342678">
            <w:pPr>
              <w:pStyle w:val="TableParagraph"/>
              <w:ind w:left="0"/>
              <w:jc w:val="both"/>
              <w:rPr>
                <w:sz w:val="28"/>
                <w:szCs w:val="28"/>
              </w:rPr>
            </w:pPr>
            <w:r>
              <w:rPr>
                <w:sz w:val="28"/>
                <w:szCs w:val="28"/>
              </w:rPr>
              <w:t>No of reported cases</w:t>
            </w:r>
          </w:p>
        </w:tc>
        <w:tc>
          <w:tcPr>
            <w:tcW w:w="5814" w:type="dxa"/>
            <w:gridSpan w:val="6"/>
          </w:tcPr>
          <w:p w:rsidR="008E11A5" w:rsidRDefault="00342678">
            <w:pPr>
              <w:pStyle w:val="TableParagraph"/>
              <w:ind w:left="0"/>
              <w:jc w:val="both"/>
              <w:rPr>
                <w:sz w:val="28"/>
                <w:szCs w:val="28"/>
              </w:rPr>
            </w:pPr>
            <w:r>
              <w:rPr>
                <w:sz w:val="28"/>
                <w:szCs w:val="28"/>
              </w:rPr>
              <w:t xml:space="preserve">Demographic data </w:t>
            </w:r>
          </w:p>
        </w:tc>
        <w:tc>
          <w:tcPr>
            <w:tcW w:w="1022" w:type="dxa"/>
          </w:tcPr>
          <w:p w:rsidR="008E11A5" w:rsidRDefault="00342678">
            <w:pPr>
              <w:pStyle w:val="TableParagraph"/>
              <w:ind w:left="0"/>
              <w:jc w:val="both"/>
              <w:rPr>
                <w:sz w:val="28"/>
                <w:szCs w:val="28"/>
              </w:rPr>
            </w:pPr>
            <w:r>
              <w:rPr>
                <w:sz w:val="28"/>
                <w:szCs w:val="28"/>
              </w:rPr>
              <w:t>exposure</w:t>
            </w:r>
          </w:p>
        </w:tc>
        <w:tc>
          <w:tcPr>
            <w:tcW w:w="2648" w:type="dxa"/>
            <w:gridSpan w:val="2"/>
          </w:tcPr>
          <w:p w:rsidR="008E11A5" w:rsidRDefault="00342678">
            <w:pPr>
              <w:pStyle w:val="TableParagraph"/>
              <w:ind w:left="0"/>
              <w:jc w:val="both"/>
              <w:rPr>
                <w:sz w:val="28"/>
                <w:szCs w:val="28"/>
              </w:rPr>
            </w:pPr>
            <w:r>
              <w:rPr>
                <w:sz w:val="28"/>
                <w:szCs w:val="28"/>
              </w:rPr>
              <w:t>Histopathological features</w:t>
            </w:r>
          </w:p>
        </w:tc>
        <w:tc>
          <w:tcPr>
            <w:tcW w:w="1298" w:type="dxa"/>
          </w:tcPr>
          <w:p w:rsidR="008E11A5" w:rsidRDefault="00342678">
            <w:pPr>
              <w:pStyle w:val="TableParagraph"/>
              <w:ind w:left="0"/>
              <w:jc w:val="both"/>
              <w:rPr>
                <w:sz w:val="28"/>
                <w:szCs w:val="28"/>
              </w:rPr>
            </w:pPr>
            <w:r>
              <w:rPr>
                <w:sz w:val="28"/>
                <w:szCs w:val="28"/>
              </w:rPr>
              <w:t>Differential diagnosis</w:t>
            </w:r>
          </w:p>
        </w:tc>
        <w:tc>
          <w:tcPr>
            <w:tcW w:w="1147" w:type="dxa"/>
          </w:tcPr>
          <w:p w:rsidR="008E11A5" w:rsidRDefault="00342678">
            <w:pPr>
              <w:pStyle w:val="TableParagraph"/>
              <w:ind w:left="0"/>
              <w:jc w:val="both"/>
              <w:rPr>
                <w:sz w:val="28"/>
                <w:szCs w:val="28"/>
              </w:rPr>
            </w:pPr>
            <w:r>
              <w:rPr>
                <w:sz w:val="28"/>
                <w:szCs w:val="28"/>
              </w:rPr>
              <w:t>treatment</w:t>
            </w:r>
          </w:p>
        </w:tc>
        <w:tc>
          <w:tcPr>
            <w:tcW w:w="1488" w:type="dxa"/>
          </w:tcPr>
          <w:p w:rsidR="008E11A5" w:rsidRDefault="00342678">
            <w:pPr>
              <w:pStyle w:val="TableParagraph"/>
              <w:ind w:left="0"/>
              <w:jc w:val="both"/>
              <w:rPr>
                <w:sz w:val="28"/>
                <w:szCs w:val="28"/>
              </w:rPr>
            </w:pPr>
            <w:r>
              <w:rPr>
                <w:sz w:val="28"/>
                <w:szCs w:val="28"/>
              </w:rPr>
              <w:t>Patient outcome</w:t>
            </w:r>
          </w:p>
        </w:tc>
      </w:tr>
      <w:tr w:rsidR="008E11A5">
        <w:tc>
          <w:tcPr>
            <w:tcW w:w="493" w:type="dxa"/>
          </w:tcPr>
          <w:p w:rsidR="008E11A5" w:rsidRDefault="008E11A5">
            <w:pPr>
              <w:pStyle w:val="TableParagraph"/>
              <w:ind w:left="0"/>
              <w:jc w:val="both"/>
              <w:rPr>
                <w:sz w:val="28"/>
                <w:szCs w:val="28"/>
              </w:rPr>
            </w:pPr>
          </w:p>
        </w:tc>
        <w:tc>
          <w:tcPr>
            <w:tcW w:w="934" w:type="dxa"/>
          </w:tcPr>
          <w:p w:rsidR="008E11A5" w:rsidRDefault="008E11A5">
            <w:pPr>
              <w:pStyle w:val="TableParagraph"/>
              <w:ind w:left="0"/>
              <w:jc w:val="both"/>
              <w:rPr>
                <w:sz w:val="28"/>
                <w:szCs w:val="28"/>
              </w:rPr>
            </w:pPr>
          </w:p>
        </w:tc>
        <w:tc>
          <w:tcPr>
            <w:tcW w:w="854" w:type="dxa"/>
          </w:tcPr>
          <w:p w:rsidR="008E11A5" w:rsidRDefault="008E11A5">
            <w:pPr>
              <w:pStyle w:val="TableParagraph"/>
              <w:ind w:left="0"/>
              <w:jc w:val="both"/>
              <w:rPr>
                <w:sz w:val="28"/>
                <w:szCs w:val="28"/>
              </w:rPr>
            </w:pPr>
          </w:p>
        </w:tc>
        <w:tc>
          <w:tcPr>
            <w:tcW w:w="70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Age /Sex</w:t>
            </w:r>
          </w:p>
        </w:tc>
        <w:tc>
          <w:tcPr>
            <w:tcW w:w="1085" w:type="dxa"/>
          </w:tcPr>
          <w:p w:rsidR="008E11A5" w:rsidRDefault="00342678">
            <w:pPr>
              <w:pStyle w:val="TableParagraph"/>
              <w:ind w:left="0"/>
              <w:jc w:val="both"/>
              <w:rPr>
                <w:sz w:val="28"/>
                <w:szCs w:val="28"/>
              </w:rPr>
            </w:pPr>
            <w:r>
              <w:rPr>
                <w:sz w:val="28"/>
                <w:szCs w:val="28"/>
              </w:rPr>
              <w:t>site</w:t>
            </w:r>
          </w:p>
        </w:tc>
        <w:tc>
          <w:tcPr>
            <w:tcW w:w="1145" w:type="dxa"/>
          </w:tcPr>
          <w:p w:rsidR="008E11A5" w:rsidRDefault="00342678">
            <w:pPr>
              <w:pStyle w:val="TableParagraph"/>
              <w:ind w:left="0"/>
              <w:jc w:val="both"/>
              <w:rPr>
                <w:sz w:val="28"/>
                <w:szCs w:val="28"/>
              </w:rPr>
            </w:pPr>
            <w:r>
              <w:rPr>
                <w:sz w:val="28"/>
                <w:szCs w:val="28"/>
              </w:rPr>
              <w:t xml:space="preserve">Appearance  </w:t>
            </w:r>
          </w:p>
        </w:tc>
        <w:tc>
          <w:tcPr>
            <w:tcW w:w="1307" w:type="dxa"/>
          </w:tcPr>
          <w:p w:rsidR="008E11A5" w:rsidRDefault="00342678">
            <w:pPr>
              <w:pStyle w:val="TableParagraph"/>
              <w:ind w:left="0"/>
              <w:jc w:val="both"/>
              <w:rPr>
                <w:sz w:val="28"/>
                <w:szCs w:val="28"/>
              </w:rPr>
            </w:pPr>
            <w:r>
              <w:rPr>
                <w:rFonts w:eastAsia="Calibri"/>
                <w:sz w:val="28"/>
                <w:szCs w:val="28"/>
              </w:rPr>
              <w:t>Size &amp; features</w:t>
            </w:r>
          </w:p>
        </w:tc>
        <w:tc>
          <w:tcPr>
            <w:tcW w:w="783" w:type="dxa"/>
          </w:tcPr>
          <w:p w:rsidR="008E11A5" w:rsidRDefault="00342678">
            <w:pPr>
              <w:pStyle w:val="TableParagraph"/>
              <w:ind w:left="0"/>
              <w:jc w:val="both"/>
              <w:rPr>
                <w:sz w:val="28"/>
                <w:szCs w:val="28"/>
              </w:rPr>
            </w:pPr>
            <w:r>
              <w:rPr>
                <w:rFonts w:eastAsia="Calibri"/>
                <w:sz w:val="28"/>
                <w:szCs w:val="28"/>
              </w:rPr>
              <w:t>Duration</w:t>
            </w:r>
          </w:p>
        </w:tc>
        <w:tc>
          <w:tcPr>
            <w:tcW w:w="794" w:type="dxa"/>
          </w:tcPr>
          <w:p w:rsidR="008E11A5" w:rsidRDefault="00342678">
            <w:pPr>
              <w:pStyle w:val="TableParagraph"/>
              <w:ind w:left="0"/>
              <w:jc w:val="both"/>
              <w:rPr>
                <w:sz w:val="28"/>
                <w:szCs w:val="28"/>
              </w:rPr>
            </w:pPr>
            <w:r>
              <w:rPr>
                <w:rFonts w:eastAsia="Calibri"/>
                <w:sz w:val="28"/>
                <w:szCs w:val="28"/>
              </w:rPr>
              <w:t>TNM staging</w:t>
            </w:r>
          </w:p>
        </w:tc>
        <w:tc>
          <w:tcPr>
            <w:tcW w:w="1022" w:type="dxa"/>
          </w:tcPr>
          <w:p w:rsidR="008E11A5" w:rsidRDefault="008E11A5">
            <w:pPr>
              <w:pStyle w:val="TableParagraph"/>
              <w:ind w:left="0"/>
              <w:jc w:val="both"/>
              <w:rPr>
                <w:sz w:val="28"/>
                <w:szCs w:val="28"/>
              </w:rPr>
            </w:pPr>
          </w:p>
        </w:tc>
        <w:tc>
          <w:tcPr>
            <w:tcW w:w="1280" w:type="dxa"/>
          </w:tcPr>
          <w:p w:rsidR="008E11A5" w:rsidRDefault="008E11A5">
            <w:pPr>
              <w:pStyle w:val="TableParagraph"/>
              <w:ind w:left="0"/>
              <w:jc w:val="both"/>
              <w:rPr>
                <w:sz w:val="28"/>
                <w:szCs w:val="28"/>
              </w:rPr>
            </w:pPr>
          </w:p>
        </w:tc>
        <w:tc>
          <w:tcPr>
            <w:tcW w:w="1368" w:type="dxa"/>
          </w:tcPr>
          <w:p w:rsidR="008E11A5" w:rsidRDefault="008E11A5">
            <w:pPr>
              <w:pStyle w:val="TableParagraph"/>
              <w:ind w:left="0"/>
              <w:jc w:val="both"/>
              <w:rPr>
                <w:sz w:val="28"/>
                <w:szCs w:val="28"/>
              </w:rPr>
            </w:pPr>
          </w:p>
        </w:tc>
        <w:tc>
          <w:tcPr>
            <w:tcW w:w="1298" w:type="dxa"/>
          </w:tcPr>
          <w:p w:rsidR="008E11A5" w:rsidRDefault="008E11A5">
            <w:pPr>
              <w:pStyle w:val="TableParagraph"/>
              <w:ind w:left="0"/>
              <w:jc w:val="both"/>
              <w:rPr>
                <w:sz w:val="28"/>
                <w:szCs w:val="28"/>
              </w:rPr>
            </w:pPr>
          </w:p>
        </w:tc>
        <w:tc>
          <w:tcPr>
            <w:tcW w:w="1147" w:type="dxa"/>
          </w:tcPr>
          <w:p w:rsidR="008E11A5" w:rsidRDefault="008E11A5">
            <w:pPr>
              <w:pStyle w:val="TableParagraph"/>
              <w:ind w:left="0"/>
              <w:jc w:val="both"/>
              <w:rPr>
                <w:sz w:val="28"/>
                <w:szCs w:val="28"/>
              </w:rPr>
            </w:pPr>
          </w:p>
        </w:tc>
        <w:tc>
          <w:tcPr>
            <w:tcW w:w="1488" w:type="dxa"/>
          </w:tcPr>
          <w:p w:rsidR="008E11A5" w:rsidRDefault="008E11A5">
            <w:pPr>
              <w:pStyle w:val="TableParagraph"/>
              <w:ind w:left="0"/>
              <w:jc w:val="both"/>
              <w:rPr>
                <w:sz w:val="28"/>
                <w:szCs w:val="28"/>
              </w:rPr>
            </w:pP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proofErr w:type="spellStart"/>
            <w:r>
              <w:rPr>
                <w:rFonts w:eastAsia="Calibri"/>
                <w:sz w:val="28"/>
                <w:szCs w:val="28"/>
              </w:rPr>
              <w:t>Handschel</w:t>
            </w:r>
            <w:proofErr w:type="spellEnd"/>
            <w:r>
              <w:rPr>
                <w:rFonts w:eastAsia="Calibri"/>
                <w:sz w:val="28"/>
                <w:szCs w:val="28"/>
              </w:rPr>
              <w:t xml:space="preserve"> J et al 2003</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80/F</w:t>
            </w:r>
          </w:p>
        </w:tc>
        <w:tc>
          <w:tcPr>
            <w:tcW w:w="1085"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Edentulous alveolar ridge of the mandible</w:t>
            </w:r>
          </w:p>
        </w:tc>
        <w:tc>
          <w:tcPr>
            <w:tcW w:w="1145" w:type="dxa"/>
          </w:tcPr>
          <w:p w:rsidR="008E11A5" w:rsidRDefault="00342678">
            <w:pPr>
              <w:pStyle w:val="TableParagraph"/>
              <w:ind w:left="0"/>
              <w:jc w:val="both"/>
              <w:rPr>
                <w:sz w:val="28"/>
                <w:szCs w:val="28"/>
              </w:rPr>
            </w:pPr>
            <w:r>
              <w:rPr>
                <w:sz w:val="28"/>
                <w:szCs w:val="28"/>
              </w:rPr>
              <w:t>ulcerated</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1.5 × 1.2 cm lesion in the anterior floor of the mouth</w:t>
            </w:r>
          </w:p>
        </w:tc>
        <w:tc>
          <w:tcPr>
            <w:tcW w:w="783" w:type="dxa"/>
          </w:tcPr>
          <w:p w:rsidR="008E11A5" w:rsidRDefault="00342678">
            <w:pPr>
              <w:pStyle w:val="TableParagraph"/>
              <w:ind w:left="0"/>
              <w:jc w:val="both"/>
              <w:rPr>
                <w:sz w:val="28"/>
                <w:szCs w:val="28"/>
              </w:rPr>
            </w:pPr>
            <w:r>
              <w:rPr>
                <w:rFonts w:eastAsia="Calibri"/>
                <w:sz w:val="28"/>
                <w:szCs w:val="28"/>
              </w:rPr>
              <w:t>6 months</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Intraoral sebaceous carcinoma</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solid cords and nests, the central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portions of which were often filled with clear cells showing a honeyco</w:t>
            </w:r>
            <w:r>
              <w:rPr>
                <w:rFonts w:ascii="Times New Roman" w:eastAsia="Calibri" w:hAnsi="Times New Roman"/>
                <w:sz w:val="28"/>
                <w:szCs w:val="28"/>
              </w:rPr>
              <w:lastRenderedPageBreak/>
              <w:t>mbed cytoplasm</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CEA showed specifically stained </w:t>
            </w:r>
            <w:proofErr w:type="spellStart"/>
            <w:r>
              <w:rPr>
                <w:rFonts w:ascii="Times New Roman" w:eastAsia="Calibri" w:hAnsi="Times New Roman"/>
                <w:sz w:val="28"/>
                <w:szCs w:val="28"/>
              </w:rPr>
              <w:t>tumour</w:t>
            </w:r>
            <w:proofErr w:type="spellEnd"/>
          </w:p>
          <w:p w:rsidR="008E11A5" w:rsidRDefault="00342678">
            <w:pPr>
              <w:pStyle w:val="TableParagraph"/>
              <w:ind w:left="0"/>
              <w:jc w:val="both"/>
              <w:rPr>
                <w:sz w:val="28"/>
                <w:szCs w:val="28"/>
              </w:rPr>
            </w:pPr>
            <w:r>
              <w:rPr>
                <w:rFonts w:eastAsia="Calibri"/>
                <w:sz w:val="28"/>
                <w:szCs w:val="28"/>
              </w:rPr>
              <w:t>cells with foamy cytoplasm</w:t>
            </w:r>
          </w:p>
        </w:tc>
        <w:tc>
          <w:tcPr>
            <w:tcW w:w="1298" w:type="dxa"/>
          </w:tcPr>
          <w:p w:rsidR="008E11A5" w:rsidRDefault="00342678">
            <w:pPr>
              <w:pStyle w:val="TableParagraph"/>
              <w:ind w:left="0"/>
              <w:jc w:val="both"/>
              <w:rPr>
                <w:sz w:val="28"/>
                <w:szCs w:val="28"/>
              </w:rPr>
            </w:pPr>
            <w:r>
              <w:rPr>
                <w:rFonts w:eastAsia="Calibri"/>
                <w:sz w:val="28"/>
                <w:szCs w:val="28"/>
              </w:rPr>
              <w:t>NR</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excised with a 1-cm margin of healthy tissue </w:t>
            </w:r>
            <w:proofErr w:type="gramStart"/>
            <w:r>
              <w:rPr>
                <w:rFonts w:ascii="Times New Roman" w:eastAsia="Calibri" w:hAnsi="Times New Roman"/>
                <w:sz w:val="28"/>
                <w:szCs w:val="28"/>
              </w:rPr>
              <w:t>including  Sebaceous</w:t>
            </w:r>
            <w:proofErr w:type="gramEnd"/>
            <w:r>
              <w:rPr>
                <w:rFonts w:ascii="Times New Roman" w:eastAsia="Calibri" w:hAnsi="Times New Roman"/>
                <w:sz w:val="28"/>
                <w:szCs w:val="28"/>
              </w:rPr>
              <w:t xml:space="preserve"> carcinoma in the anterior floor of </w:t>
            </w:r>
            <w:r>
              <w:rPr>
                <w:rFonts w:ascii="Times New Roman" w:eastAsia="Calibri" w:hAnsi="Times New Roman"/>
                <w:sz w:val="28"/>
                <w:szCs w:val="28"/>
              </w:rPr>
              <w:lastRenderedPageBreak/>
              <w:t>the mouth.</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postoperative course</w:t>
            </w:r>
          </w:p>
          <w:p w:rsidR="008E11A5" w:rsidRDefault="00342678">
            <w:pPr>
              <w:pStyle w:val="TableParagraph"/>
              <w:ind w:left="0"/>
              <w:jc w:val="both"/>
              <w:rPr>
                <w:sz w:val="28"/>
                <w:szCs w:val="28"/>
              </w:rPr>
            </w:pPr>
            <w:r>
              <w:rPr>
                <w:rFonts w:eastAsia="Calibri"/>
                <w:sz w:val="28"/>
                <w:szCs w:val="28"/>
              </w:rPr>
              <w:t>was uneventful.</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Alawi F et al 2005</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66/M</w:t>
            </w:r>
          </w:p>
        </w:tc>
        <w:tc>
          <w:tcPr>
            <w:tcW w:w="1085" w:type="dxa"/>
          </w:tcPr>
          <w:p w:rsidR="008E11A5" w:rsidRDefault="00342678">
            <w:pPr>
              <w:pStyle w:val="TableParagraph"/>
              <w:ind w:left="0"/>
              <w:jc w:val="both"/>
              <w:rPr>
                <w:sz w:val="28"/>
                <w:szCs w:val="28"/>
              </w:rPr>
            </w:pPr>
            <w:r>
              <w:rPr>
                <w:rFonts w:eastAsia="Calibri"/>
                <w:sz w:val="28"/>
                <w:szCs w:val="28"/>
              </w:rPr>
              <w:t>upper lip.</w:t>
            </w:r>
          </w:p>
        </w:tc>
        <w:tc>
          <w:tcPr>
            <w:tcW w:w="1145" w:type="dxa"/>
          </w:tcPr>
          <w:p w:rsidR="008E11A5" w:rsidRDefault="00342678">
            <w:pPr>
              <w:pStyle w:val="TableParagraph"/>
              <w:ind w:left="0"/>
              <w:jc w:val="both"/>
              <w:rPr>
                <w:sz w:val="28"/>
                <w:szCs w:val="28"/>
              </w:rPr>
            </w:pPr>
            <w:r>
              <w:rPr>
                <w:rFonts w:eastAsia="Calibri"/>
                <w:sz w:val="28"/>
                <w:szCs w:val="28"/>
              </w:rPr>
              <w:t>bleeding sore’’</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markedly</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ulcerated, exophytic, irregularly shaped, indurated mass of the upper left labial mucosa, measuring 1.5 X 3 X 1.0 cm in size</w:t>
            </w:r>
          </w:p>
        </w:tc>
        <w:tc>
          <w:tcPr>
            <w:tcW w:w="783" w:type="dxa"/>
          </w:tcPr>
          <w:p w:rsidR="008E11A5" w:rsidRDefault="00342678">
            <w:pPr>
              <w:pStyle w:val="TableParagraph"/>
              <w:ind w:left="0"/>
              <w:jc w:val="both"/>
              <w:rPr>
                <w:sz w:val="28"/>
                <w:szCs w:val="28"/>
              </w:rPr>
            </w:pPr>
            <w:r>
              <w:rPr>
                <w:rFonts w:eastAsia="Calibri"/>
                <w:sz w:val="28"/>
                <w:szCs w:val="28"/>
              </w:rPr>
              <w:t>3 years</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Sebaceous carcinoma of the oral mucosa</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severely dysplastic squamous epithelium exhibiting transition</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to an infiltrating malignant neoplasm composed of islands and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sheets of anastomosing basaloid </w:t>
            </w:r>
            <w:r>
              <w:rPr>
                <w:rFonts w:ascii="Times New Roman" w:eastAsia="Calibri" w:hAnsi="Times New Roman"/>
                <w:sz w:val="28"/>
                <w:szCs w:val="28"/>
              </w:rPr>
              <w:lastRenderedPageBreak/>
              <w:t>epithelial cells with areas of</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prominent sebaceous differentiation.</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strong nuclear immunoreactivity with AR and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scattered membranous and cytoplasmic reactivity with EMA, completely unreactive with</w:t>
            </w:r>
          </w:p>
          <w:p w:rsidR="008E11A5" w:rsidRDefault="00342678">
            <w:pPr>
              <w:pStyle w:val="TableParagraph"/>
              <w:ind w:left="0"/>
              <w:jc w:val="both"/>
              <w:rPr>
                <w:sz w:val="28"/>
                <w:szCs w:val="28"/>
              </w:rPr>
            </w:pPr>
            <w:r>
              <w:rPr>
                <w:rFonts w:eastAsia="Calibri"/>
                <w:sz w:val="28"/>
                <w:szCs w:val="28"/>
              </w:rPr>
              <w:t>the AR antibody.</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squamous cell carcinoma and malignant salivary gland neoplasm.</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incisional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biopsy was performed and wide local</w:t>
            </w:r>
          </w:p>
          <w:p w:rsidR="008E11A5" w:rsidRDefault="00342678">
            <w:pPr>
              <w:pStyle w:val="TableParagraph"/>
              <w:ind w:left="0"/>
              <w:jc w:val="both"/>
              <w:rPr>
                <w:sz w:val="28"/>
                <w:szCs w:val="28"/>
              </w:rPr>
            </w:pPr>
            <w:r>
              <w:rPr>
                <w:rFonts w:eastAsia="Calibri"/>
                <w:sz w:val="28"/>
                <w:szCs w:val="28"/>
              </w:rPr>
              <w:t>excision of the residual tumor</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After 1 year of follow-up, there</w:t>
            </w:r>
          </w:p>
          <w:p w:rsidR="008E11A5" w:rsidRDefault="00342678">
            <w:pPr>
              <w:pStyle w:val="TableParagraph"/>
              <w:ind w:left="0"/>
              <w:jc w:val="both"/>
              <w:rPr>
                <w:sz w:val="28"/>
                <w:szCs w:val="28"/>
              </w:rPr>
            </w:pPr>
            <w:r>
              <w:rPr>
                <w:rFonts w:eastAsia="Calibri"/>
                <w:sz w:val="28"/>
                <w:szCs w:val="28"/>
              </w:rPr>
              <w:t>has been no evidence of local recurrence or metastasis.</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Gomes CC et al 2007</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55/M</w:t>
            </w:r>
          </w:p>
        </w:tc>
        <w:tc>
          <w:tcPr>
            <w:tcW w:w="1085"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continuous</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pain and severe trismus in the posterior mandible </w:t>
            </w:r>
          </w:p>
        </w:tc>
        <w:tc>
          <w:tcPr>
            <w:tcW w:w="1145" w:type="dxa"/>
          </w:tcPr>
          <w:p w:rsidR="008E11A5" w:rsidRDefault="00342678">
            <w:pPr>
              <w:pStyle w:val="TableParagraph"/>
              <w:ind w:left="0"/>
              <w:jc w:val="both"/>
              <w:rPr>
                <w:sz w:val="28"/>
                <w:szCs w:val="28"/>
              </w:rPr>
            </w:pPr>
            <w:r>
              <w:rPr>
                <w:rFonts w:eastAsia="Calibri"/>
                <w:sz w:val="28"/>
                <w:szCs w:val="28"/>
              </w:rPr>
              <w:t>right side of the mandible</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swelling in the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angle of the right side of the mandible could be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observed, as well as submandibular and anterior cervical</w:t>
            </w:r>
          </w:p>
          <w:p w:rsidR="008E11A5" w:rsidRDefault="00342678">
            <w:pPr>
              <w:pStyle w:val="TableParagraph"/>
              <w:ind w:left="0"/>
              <w:jc w:val="both"/>
              <w:rPr>
                <w:sz w:val="28"/>
                <w:szCs w:val="28"/>
              </w:rPr>
            </w:pPr>
            <w:r>
              <w:rPr>
                <w:rFonts w:eastAsia="Calibri"/>
                <w:sz w:val="28"/>
                <w:szCs w:val="28"/>
              </w:rPr>
              <w:t xml:space="preserve">lymph nodes </w:t>
            </w:r>
            <w:r>
              <w:rPr>
                <w:rFonts w:eastAsia="Calibri"/>
                <w:sz w:val="28"/>
                <w:szCs w:val="28"/>
              </w:rPr>
              <w:lastRenderedPageBreak/>
              <w:t>enlargement.</w:t>
            </w:r>
          </w:p>
        </w:tc>
        <w:tc>
          <w:tcPr>
            <w:tcW w:w="783" w:type="dxa"/>
          </w:tcPr>
          <w:p w:rsidR="008E11A5" w:rsidRDefault="00342678">
            <w:pPr>
              <w:pStyle w:val="TableParagraph"/>
              <w:ind w:left="0"/>
              <w:jc w:val="both"/>
              <w:rPr>
                <w:sz w:val="28"/>
                <w:szCs w:val="28"/>
              </w:rPr>
            </w:pPr>
            <w:r>
              <w:rPr>
                <w:rFonts w:eastAsia="Calibri"/>
                <w:sz w:val="28"/>
                <w:szCs w:val="28"/>
              </w:rPr>
              <w:lastRenderedPageBreak/>
              <w:t>3 months</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Intraoral sebaceous carcinoma</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surface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mucosa with </w:t>
            </w:r>
            <w:proofErr w:type="spellStart"/>
            <w:r>
              <w:rPr>
                <w:rFonts w:ascii="Times New Roman" w:eastAsia="Calibri" w:hAnsi="Times New Roman"/>
                <w:sz w:val="28"/>
                <w:szCs w:val="28"/>
              </w:rPr>
              <w:t>inWltrating</w:t>
            </w:r>
            <w:proofErr w:type="spellEnd"/>
            <w:r>
              <w:rPr>
                <w:rFonts w:ascii="Times New Roman" w:eastAsia="Calibri" w:hAnsi="Times New Roman"/>
                <w:sz w:val="28"/>
                <w:szCs w:val="28"/>
              </w:rPr>
              <w:t xml:space="preserve"> nests and sheets of eosinophilic</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epithelial cells exhibiting prominent nucleoli,</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moderate cellular and nuclear polymorphisms and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poorly </w:t>
            </w:r>
            <w:proofErr w:type="spellStart"/>
            <w:r>
              <w:rPr>
                <w:rFonts w:ascii="Times New Roman" w:eastAsia="Calibri" w:hAnsi="Times New Roman"/>
                <w:sz w:val="28"/>
                <w:szCs w:val="28"/>
              </w:rPr>
              <w:t>deWned</w:t>
            </w:r>
            <w:proofErr w:type="spellEnd"/>
            <w:r>
              <w:rPr>
                <w:rFonts w:ascii="Times New Roman" w:eastAsia="Calibri" w:hAnsi="Times New Roman"/>
                <w:sz w:val="28"/>
                <w:szCs w:val="28"/>
              </w:rPr>
              <w:t xml:space="preserve"> cellular outlines. centrally located vesicular-shaped nuclei and exhibiting</w:t>
            </w:r>
          </w:p>
          <w:p w:rsidR="008E11A5" w:rsidRDefault="00342678">
            <w:pPr>
              <w:pStyle w:val="TableParagraph"/>
              <w:ind w:left="0"/>
              <w:jc w:val="both"/>
              <w:rPr>
                <w:sz w:val="28"/>
                <w:szCs w:val="28"/>
              </w:rPr>
            </w:pPr>
            <w:r>
              <w:rPr>
                <w:rFonts w:eastAsia="Calibri"/>
                <w:sz w:val="28"/>
                <w:szCs w:val="28"/>
              </w:rPr>
              <w:t>vacuolated or foamy cytoplasm</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androgen receptor (Clone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AR441, </w:t>
            </w:r>
            <w:proofErr w:type="spellStart"/>
            <w:r>
              <w:rPr>
                <w:rFonts w:ascii="Times New Roman" w:eastAsia="Calibri" w:hAnsi="Times New Roman"/>
                <w:sz w:val="28"/>
                <w:szCs w:val="28"/>
              </w:rPr>
              <w:t>Dako</w:t>
            </w:r>
            <w:proofErr w:type="spellEnd"/>
            <w:r>
              <w:rPr>
                <w:rFonts w:ascii="Times New Roman" w:eastAsia="Calibri" w:hAnsi="Times New Roman"/>
                <w:sz w:val="28"/>
                <w:szCs w:val="28"/>
              </w:rPr>
              <w:t>, Carpinteria, USA) revealed positive</w:t>
            </w:r>
          </w:p>
          <w:p w:rsidR="008E11A5" w:rsidRDefault="00342678">
            <w:pPr>
              <w:pStyle w:val="TableParagraph"/>
              <w:ind w:left="0"/>
              <w:jc w:val="both"/>
              <w:rPr>
                <w:sz w:val="28"/>
                <w:szCs w:val="28"/>
              </w:rPr>
            </w:pPr>
            <w:r>
              <w:rPr>
                <w:rFonts w:eastAsia="Calibri"/>
                <w:sz w:val="28"/>
                <w:szCs w:val="28"/>
              </w:rPr>
              <w:t xml:space="preserve">nuclear staining </w:t>
            </w:r>
          </w:p>
        </w:tc>
        <w:tc>
          <w:tcPr>
            <w:tcW w:w="1298" w:type="dxa"/>
          </w:tcPr>
          <w:p w:rsidR="008E11A5" w:rsidRDefault="00342678">
            <w:pPr>
              <w:pStyle w:val="TableParagraph"/>
              <w:ind w:left="0"/>
              <w:jc w:val="both"/>
              <w:rPr>
                <w:sz w:val="28"/>
                <w:szCs w:val="28"/>
              </w:rPr>
            </w:pPr>
            <w:r>
              <w:rPr>
                <w:rFonts w:eastAsia="Calibri"/>
                <w:sz w:val="28"/>
                <w:szCs w:val="28"/>
              </w:rPr>
              <w:t>squamous cell carcinoma, basal cell carcinoma</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incisional biopsy, chemotherapy in</w:t>
            </w:r>
          </w:p>
          <w:p w:rsidR="008E11A5" w:rsidRDefault="00342678">
            <w:pPr>
              <w:pStyle w:val="TableParagraph"/>
              <w:ind w:left="0"/>
              <w:jc w:val="both"/>
              <w:rPr>
                <w:sz w:val="28"/>
                <w:szCs w:val="28"/>
              </w:rPr>
            </w:pPr>
            <w:r>
              <w:rPr>
                <w:rFonts w:eastAsia="Calibri"/>
                <w:sz w:val="28"/>
                <w:szCs w:val="28"/>
              </w:rPr>
              <w:t>association with radiotherapy</w:t>
            </w:r>
          </w:p>
        </w:tc>
        <w:tc>
          <w:tcPr>
            <w:tcW w:w="1488" w:type="dxa"/>
          </w:tcPr>
          <w:p w:rsidR="008E11A5" w:rsidRDefault="00342678">
            <w:pPr>
              <w:pStyle w:val="TableParagraph"/>
              <w:ind w:left="0"/>
              <w:jc w:val="both"/>
              <w:rPr>
                <w:sz w:val="28"/>
                <w:szCs w:val="28"/>
              </w:rPr>
            </w:pPr>
            <w:r>
              <w:rPr>
                <w:rFonts w:eastAsia="Calibri"/>
                <w:sz w:val="28"/>
                <w:szCs w:val="28"/>
              </w:rPr>
              <w:t>Follow-up done</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 xml:space="preserve">Oshiro H et </w:t>
            </w:r>
            <w:r>
              <w:rPr>
                <w:rFonts w:eastAsia="Calibri"/>
                <w:sz w:val="28"/>
                <w:szCs w:val="28"/>
              </w:rPr>
              <w:lastRenderedPageBreak/>
              <w:t>al 2010</w:t>
            </w:r>
          </w:p>
        </w:tc>
        <w:tc>
          <w:tcPr>
            <w:tcW w:w="854" w:type="dxa"/>
          </w:tcPr>
          <w:p w:rsidR="008E11A5" w:rsidRDefault="00342678">
            <w:pPr>
              <w:pStyle w:val="TableParagraph"/>
              <w:ind w:left="0"/>
              <w:jc w:val="both"/>
              <w:rPr>
                <w:sz w:val="28"/>
                <w:szCs w:val="28"/>
              </w:rPr>
            </w:pPr>
            <w:r>
              <w:rPr>
                <w:sz w:val="28"/>
                <w:szCs w:val="28"/>
              </w:rPr>
              <w:lastRenderedPageBreak/>
              <w:t>1</w:t>
            </w:r>
          </w:p>
        </w:tc>
        <w:tc>
          <w:tcPr>
            <w:tcW w:w="700" w:type="dxa"/>
          </w:tcPr>
          <w:p w:rsidR="008E11A5" w:rsidRDefault="00342678">
            <w:pPr>
              <w:pStyle w:val="TableParagraph"/>
              <w:ind w:left="0"/>
              <w:jc w:val="both"/>
              <w:rPr>
                <w:sz w:val="28"/>
                <w:szCs w:val="28"/>
              </w:rPr>
            </w:pPr>
            <w:r>
              <w:rPr>
                <w:sz w:val="28"/>
                <w:szCs w:val="28"/>
              </w:rPr>
              <w:t>66/M</w:t>
            </w:r>
          </w:p>
        </w:tc>
        <w:tc>
          <w:tcPr>
            <w:tcW w:w="1085" w:type="dxa"/>
          </w:tcPr>
          <w:p w:rsidR="008E11A5" w:rsidRDefault="00342678">
            <w:pPr>
              <w:pStyle w:val="TableParagraph"/>
              <w:ind w:left="0"/>
              <w:jc w:val="both"/>
              <w:rPr>
                <w:sz w:val="28"/>
                <w:szCs w:val="28"/>
              </w:rPr>
            </w:pPr>
            <w:r>
              <w:rPr>
                <w:sz w:val="28"/>
                <w:szCs w:val="28"/>
              </w:rPr>
              <w:t xml:space="preserve">Mass like </w:t>
            </w:r>
          </w:p>
        </w:tc>
        <w:tc>
          <w:tcPr>
            <w:tcW w:w="1145" w:type="dxa"/>
          </w:tcPr>
          <w:p w:rsidR="008E11A5" w:rsidRDefault="00342678">
            <w:pPr>
              <w:pStyle w:val="TableParagraph"/>
              <w:ind w:left="0"/>
              <w:jc w:val="both"/>
              <w:rPr>
                <w:sz w:val="28"/>
                <w:szCs w:val="28"/>
              </w:rPr>
            </w:pPr>
            <w:r>
              <w:rPr>
                <w:sz w:val="28"/>
                <w:szCs w:val="28"/>
              </w:rPr>
              <w:t>tongue</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tumorous lesion </w:t>
            </w:r>
            <w:r>
              <w:rPr>
                <w:rFonts w:ascii="Times New Roman" w:eastAsia="Calibri" w:hAnsi="Times New Roman"/>
                <w:sz w:val="28"/>
                <w:szCs w:val="28"/>
              </w:rPr>
              <w:lastRenderedPageBreak/>
              <w:t>located in the dorsal and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midline part of the tongue, measuring about 25 mm in greatest</w:t>
            </w:r>
          </w:p>
          <w:p w:rsidR="008E11A5" w:rsidRDefault="00342678">
            <w:pPr>
              <w:pStyle w:val="TableParagraph"/>
              <w:ind w:left="0"/>
              <w:jc w:val="both"/>
              <w:rPr>
                <w:sz w:val="28"/>
                <w:szCs w:val="28"/>
              </w:rPr>
            </w:pPr>
            <w:r>
              <w:rPr>
                <w:rFonts w:eastAsia="Calibri"/>
                <w:sz w:val="28"/>
                <w:szCs w:val="28"/>
              </w:rPr>
              <w:t xml:space="preserve">diameter </w:t>
            </w:r>
          </w:p>
        </w:tc>
        <w:tc>
          <w:tcPr>
            <w:tcW w:w="783" w:type="dxa"/>
          </w:tcPr>
          <w:p w:rsidR="008E11A5" w:rsidRDefault="00342678">
            <w:pPr>
              <w:pStyle w:val="TableParagraph"/>
              <w:ind w:left="0"/>
              <w:jc w:val="both"/>
              <w:rPr>
                <w:sz w:val="28"/>
                <w:szCs w:val="28"/>
              </w:rPr>
            </w:pPr>
            <w:r>
              <w:rPr>
                <w:rFonts w:eastAsia="Calibri"/>
                <w:sz w:val="28"/>
                <w:szCs w:val="28"/>
              </w:rPr>
              <w:lastRenderedPageBreak/>
              <w:t>1 mont</w:t>
            </w:r>
            <w:r>
              <w:rPr>
                <w:rFonts w:eastAsia="Calibri"/>
                <w:sz w:val="28"/>
                <w:szCs w:val="28"/>
              </w:rPr>
              <w:lastRenderedPageBreak/>
              <w:t>h</w:t>
            </w:r>
          </w:p>
        </w:tc>
        <w:tc>
          <w:tcPr>
            <w:tcW w:w="794"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T2N2cM0</w:t>
            </w:r>
          </w:p>
          <w:p w:rsidR="008E11A5" w:rsidRDefault="00342678">
            <w:pPr>
              <w:pStyle w:val="TableParagraph"/>
              <w:ind w:left="0"/>
              <w:jc w:val="both"/>
              <w:rPr>
                <w:sz w:val="28"/>
                <w:szCs w:val="28"/>
              </w:rPr>
            </w:pPr>
            <w:r>
              <w:rPr>
                <w:rFonts w:eastAsia="Calibri"/>
                <w:sz w:val="28"/>
                <w:szCs w:val="28"/>
              </w:rPr>
              <w:lastRenderedPageBreak/>
              <w:t>primary lingual tumor.</w:t>
            </w:r>
          </w:p>
        </w:tc>
        <w:tc>
          <w:tcPr>
            <w:tcW w:w="1022" w:type="dxa"/>
          </w:tcPr>
          <w:p w:rsidR="008E11A5" w:rsidRDefault="00342678">
            <w:pPr>
              <w:pStyle w:val="TableParagraph"/>
              <w:ind w:left="0"/>
              <w:jc w:val="both"/>
              <w:rPr>
                <w:sz w:val="28"/>
                <w:szCs w:val="28"/>
              </w:rPr>
            </w:pPr>
            <w:r>
              <w:rPr>
                <w:rFonts w:eastAsia="Calibri"/>
                <w:sz w:val="28"/>
                <w:szCs w:val="28"/>
              </w:rPr>
              <w:lastRenderedPageBreak/>
              <w:t xml:space="preserve">Primary </w:t>
            </w:r>
            <w:r>
              <w:rPr>
                <w:rFonts w:eastAsia="Calibri"/>
                <w:sz w:val="28"/>
                <w:szCs w:val="28"/>
              </w:rPr>
              <w:lastRenderedPageBreak/>
              <w:t>sebaceous carcinoma of the tongue</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neoplastic </w:t>
            </w:r>
            <w:proofErr w:type="spellStart"/>
            <w:r>
              <w:rPr>
                <w:rFonts w:ascii="Times New Roman" w:eastAsia="Calibri" w:hAnsi="Times New Roman"/>
                <w:sz w:val="28"/>
                <w:szCs w:val="28"/>
              </w:rPr>
              <w:lastRenderedPageBreak/>
              <w:t>sebocytic</w:t>
            </w:r>
            <w:proofErr w:type="spellEnd"/>
            <w:r>
              <w:rPr>
                <w:rFonts w:ascii="Times New Roman" w:eastAsia="Calibri" w:hAnsi="Times New Roman"/>
                <w:sz w:val="28"/>
                <w:szCs w:val="28"/>
              </w:rPr>
              <w:t xml:space="preserve"> and basaloid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cells, and Sudan III staining and electron microscopy</w:t>
            </w:r>
          </w:p>
          <w:p w:rsidR="008E11A5" w:rsidRDefault="00342678">
            <w:pPr>
              <w:pStyle w:val="TableParagraph"/>
              <w:ind w:left="0"/>
              <w:jc w:val="both"/>
              <w:rPr>
                <w:sz w:val="28"/>
                <w:szCs w:val="28"/>
              </w:rPr>
            </w:pPr>
            <w:r>
              <w:rPr>
                <w:rFonts w:eastAsia="Calibri"/>
                <w:sz w:val="28"/>
                <w:szCs w:val="28"/>
              </w:rPr>
              <w:t>revealed intracytoplasmic lipid droplets.</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neoplastic cells</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stained positive for adipophilin; epithelial membrane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antigen; epithelial antigen; and </w:t>
            </w:r>
            <w:proofErr w:type="spellStart"/>
            <w:r>
              <w:rPr>
                <w:rFonts w:ascii="Times New Roman" w:eastAsia="Calibri" w:hAnsi="Times New Roman"/>
                <w:sz w:val="28"/>
                <w:szCs w:val="28"/>
              </w:rPr>
              <w:t>cytokeratins</w:t>
            </w:r>
            <w:proofErr w:type="spellEnd"/>
            <w:r>
              <w:rPr>
                <w:rFonts w:ascii="Times New Roman" w:eastAsia="Calibri" w:hAnsi="Times New Roman"/>
                <w:sz w:val="28"/>
                <w:szCs w:val="28"/>
              </w:rPr>
              <w:t xml:space="preserve"> 7, 8, and 15, but</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negative for </w:t>
            </w:r>
            <w:proofErr w:type="spellStart"/>
            <w:r>
              <w:rPr>
                <w:rFonts w:ascii="Times New Roman" w:eastAsia="Calibri" w:hAnsi="Times New Roman"/>
                <w:sz w:val="28"/>
                <w:szCs w:val="28"/>
              </w:rPr>
              <w:t>cytokeratins</w:t>
            </w:r>
            <w:proofErr w:type="spellEnd"/>
            <w:r>
              <w:rPr>
                <w:rFonts w:ascii="Times New Roman" w:eastAsia="Calibri" w:hAnsi="Times New Roman"/>
                <w:sz w:val="28"/>
                <w:szCs w:val="28"/>
              </w:rPr>
              <w:t xml:space="preserve"> 5/6, 18, 19, and 20; the androgen</w:t>
            </w:r>
          </w:p>
          <w:p w:rsidR="008E11A5" w:rsidRDefault="00342678">
            <w:pPr>
              <w:pStyle w:val="TableParagraph"/>
              <w:ind w:left="0"/>
              <w:jc w:val="both"/>
              <w:rPr>
                <w:sz w:val="28"/>
                <w:szCs w:val="28"/>
              </w:rPr>
            </w:pPr>
            <w:r>
              <w:rPr>
                <w:rFonts w:eastAsia="Calibri"/>
                <w:sz w:val="28"/>
                <w:szCs w:val="28"/>
              </w:rPr>
              <w:t>receptor; and carcinoembryonic antigen</w:t>
            </w:r>
          </w:p>
        </w:tc>
        <w:tc>
          <w:tcPr>
            <w:tcW w:w="1298" w:type="dxa"/>
          </w:tcPr>
          <w:p w:rsidR="008E11A5" w:rsidRDefault="00342678">
            <w:pPr>
              <w:pStyle w:val="TableParagraph"/>
              <w:ind w:left="0"/>
              <w:jc w:val="both"/>
              <w:rPr>
                <w:sz w:val="28"/>
                <w:szCs w:val="28"/>
              </w:rPr>
            </w:pPr>
            <w:r>
              <w:rPr>
                <w:rFonts w:eastAsia="Calibri"/>
                <w:sz w:val="28"/>
                <w:szCs w:val="28"/>
              </w:rPr>
              <w:lastRenderedPageBreak/>
              <w:t>basal cell carcinom</w:t>
            </w:r>
            <w:r>
              <w:rPr>
                <w:rFonts w:eastAsia="Calibri"/>
                <w:sz w:val="28"/>
                <w:szCs w:val="28"/>
              </w:rPr>
              <w:lastRenderedPageBreak/>
              <w:t>a and squamous cell carcinoma</w:t>
            </w:r>
          </w:p>
        </w:tc>
        <w:tc>
          <w:tcPr>
            <w:tcW w:w="1147" w:type="dxa"/>
          </w:tcPr>
          <w:p w:rsidR="008E11A5" w:rsidRDefault="00342678">
            <w:pPr>
              <w:spacing w:after="0" w:line="240" w:lineRule="auto"/>
              <w:jc w:val="both"/>
              <w:rPr>
                <w:rFonts w:ascii="Times New Roman" w:eastAsia="Calibri" w:hAnsi="Times New Roman"/>
                <w:sz w:val="28"/>
                <w:szCs w:val="28"/>
              </w:rPr>
            </w:pPr>
            <w:proofErr w:type="spellStart"/>
            <w:r>
              <w:rPr>
                <w:rFonts w:ascii="Times New Roman" w:eastAsia="Calibri" w:hAnsi="Times New Roman"/>
                <w:sz w:val="28"/>
                <w:szCs w:val="28"/>
              </w:rPr>
              <w:lastRenderedPageBreak/>
              <w:t>Superselective</w:t>
            </w:r>
            <w:proofErr w:type="spellEnd"/>
          </w:p>
          <w:p w:rsidR="008E11A5" w:rsidRDefault="00342678">
            <w:pPr>
              <w:pStyle w:val="TableParagraph"/>
              <w:ind w:left="0"/>
              <w:jc w:val="both"/>
              <w:rPr>
                <w:sz w:val="28"/>
                <w:szCs w:val="28"/>
              </w:rPr>
            </w:pPr>
            <w:r>
              <w:rPr>
                <w:rFonts w:eastAsia="Calibri"/>
                <w:sz w:val="28"/>
                <w:szCs w:val="28"/>
              </w:rPr>
              <w:lastRenderedPageBreak/>
              <w:t>intraarterial chemotherapy and neck dissection</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patient died 17</w:t>
            </w:r>
          </w:p>
          <w:p w:rsidR="008E11A5" w:rsidRDefault="00342678">
            <w:pPr>
              <w:pStyle w:val="TableParagraph"/>
              <w:ind w:left="0"/>
              <w:jc w:val="both"/>
              <w:rPr>
                <w:sz w:val="28"/>
                <w:szCs w:val="28"/>
              </w:rPr>
            </w:pPr>
            <w:r>
              <w:rPr>
                <w:rFonts w:eastAsia="Calibri"/>
                <w:sz w:val="28"/>
                <w:szCs w:val="28"/>
              </w:rPr>
              <w:lastRenderedPageBreak/>
              <w:t>months after completing the initial course of chemoradiotherapy.</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Wang H et al 2010</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 xml:space="preserve">50/M </w:t>
            </w:r>
          </w:p>
        </w:tc>
        <w:tc>
          <w:tcPr>
            <w:tcW w:w="1085" w:type="dxa"/>
          </w:tcPr>
          <w:p w:rsidR="008E11A5" w:rsidRDefault="00342678">
            <w:pPr>
              <w:pStyle w:val="TableParagraph"/>
              <w:ind w:left="0"/>
              <w:jc w:val="both"/>
              <w:rPr>
                <w:sz w:val="28"/>
                <w:szCs w:val="28"/>
              </w:rPr>
            </w:pPr>
            <w:r>
              <w:rPr>
                <w:sz w:val="28"/>
                <w:szCs w:val="28"/>
              </w:rPr>
              <w:t xml:space="preserve">Mass like growth and </w:t>
            </w:r>
            <w:r>
              <w:rPr>
                <w:sz w:val="28"/>
                <w:szCs w:val="28"/>
              </w:rPr>
              <w:lastRenderedPageBreak/>
              <w:t>pain</w:t>
            </w:r>
          </w:p>
        </w:tc>
        <w:tc>
          <w:tcPr>
            <w:tcW w:w="1145" w:type="dxa"/>
          </w:tcPr>
          <w:p w:rsidR="008E11A5" w:rsidRDefault="00342678">
            <w:pPr>
              <w:pStyle w:val="TableParagraph"/>
              <w:ind w:left="0"/>
              <w:jc w:val="both"/>
              <w:rPr>
                <w:sz w:val="28"/>
                <w:szCs w:val="28"/>
              </w:rPr>
            </w:pPr>
            <w:r>
              <w:rPr>
                <w:sz w:val="28"/>
                <w:szCs w:val="28"/>
              </w:rPr>
              <w:lastRenderedPageBreak/>
              <w:t xml:space="preserve">Buccal mucosa </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4.8 X4.6 X2.7 cm </w:t>
            </w:r>
            <w:proofErr w:type="spellStart"/>
            <w:r>
              <w:rPr>
                <w:rFonts w:ascii="Times New Roman" w:eastAsia="Calibri" w:hAnsi="Times New Roman"/>
                <w:sz w:val="28"/>
                <w:szCs w:val="28"/>
              </w:rPr>
              <w:t>broadbased</w:t>
            </w:r>
            <w:proofErr w:type="spellEnd"/>
            <w:r>
              <w:rPr>
                <w:rFonts w:ascii="Times New Roman" w:eastAsia="Calibri" w:hAnsi="Times New Roman"/>
                <w:sz w:val="28"/>
                <w:szCs w:val="28"/>
              </w:rPr>
              <w:t>,</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fungating, and friable mass on the left posterior buccal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mucosa extending to the retromolar trigone and abutting on</w:t>
            </w:r>
          </w:p>
          <w:p w:rsidR="008E11A5" w:rsidRDefault="00342678">
            <w:pPr>
              <w:pStyle w:val="TableParagraph"/>
              <w:ind w:left="0"/>
              <w:jc w:val="both"/>
              <w:rPr>
                <w:sz w:val="28"/>
                <w:szCs w:val="28"/>
              </w:rPr>
            </w:pPr>
            <w:r>
              <w:rPr>
                <w:rFonts w:eastAsia="Calibri"/>
                <w:sz w:val="28"/>
                <w:szCs w:val="28"/>
              </w:rPr>
              <w:t>the left mandibular body without invasion of the bone.</w:t>
            </w:r>
          </w:p>
        </w:tc>
        <w:tc>
          <w:tcPr>
            <w:tcW w:w="783" w:type="dxa"/>
          </w:tcPr>
          <w:p w:rsidR="008E11A5" w:rsidRDefault="00342678">
            <w:pPr>
              <w:pStyle w:val="TableParagraph"/>
              <w:ind w:left="0"/>
              <w:jc w:val="both"/>
              <w:rPr>
                <w:sz w:val="28"/>
                <w:szCs w:val="28"/>
              </w:rPr>
            </w:pPr>
            <w:r>
              <w:rPr>
                <w:rFonts w:eastAsia="Calibri"/>
                <w:sz w:val="28"/>
                <w:szCs w:val="28"/>
              </w:rPr>
              <w:lastRenderedPageBreak/>
              <w:t>3 months</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 xml:space="preserve">Sebaceous carcinoma </w:t>
            </w:r>
            <w:r>
              <w:rPr>
                <w:rFonts w:eastAsia="Calibri"/>
                <w:sz w:val="28"/>
                <w:szCs w:val="28"/>
              </w:rPr>
              <w:lastRenderedPageBreak/>
              <w:t>of the oral cavity:</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sebaceous nests (70%),</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squamous islands with keratin pearl formation (2%), and</w:t>
            </w:r>
          </w:p>
          <w:p w:rsidR="008E11A5" w:rsidRDefault="00342678">
            <w:pPr>
              <w:pStyle w:val="TableParagraph"/>
              <w:ind w:left="0"/>
              <w:jc w:val="both"/>
              <w:rPr>
                <w:sz w:val="28"/>
                <w:szCs w:val="28"/>
              </w:rPr>
            </w:pPr>
            <w:r>
              <w:rPr>
                <w:rFonts w:eastAsia="Calibri"/>
                <w:sz w:val="28"/>
                <w:szCs w:val="28"/>
              </w:rPr>
              <w:t>poorly differentiated solid areas (28%).</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neoplastic cells displayed characteristi</w:t>
            </w:r>
            <w:r>
              <w:rPr>
                <w:rFonts w:ascii="Times New Roman" w:eastAsia="Calibri" w:hAnsi="Times New Roman"/>
                <w:sz w:val="28"/>
                <w:szCs w:val="28"/>
              </w:rPr>
              <w:lastRenderedPageBreak/>
              <w:t>c membranous and cytoplasmic</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staining for epithelial membrane antigen (EMA).</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The basaloid and sebaceous cells demonstrated strong nuclear</w:t>
            </w:r>
          </w:p>
          <w:p w:rsidR="008E11A5" w:rsidRDefault="00342678">
            <w:pPr>
              <w:pStyle w:val="TableParagraph"/>
              <w:ind w:left="0"/>
              <w:jc w:val="both"/>
              <w:rPr>
                <w:sz w:val="28"/>
                <w:szCs w:val="28"/>
              </w:rPr>
            </w:pPr>
            <w:r>
              <w:rPr>
                <w:rFonts w:eastAsia="Calibri"/>
                <w:sz w:val="28"/>
                <w:szCs w:val="28"/>
              </w:rPr>
              <w:t>immunoreactivity to androgen receptor</w:t>
            </w:r>
          </w:p>
        </w:tc>
        <w:tc>
          <w:tcPr>
            <w:tcW w:w="1298" w:type="dxa"/>
          </w:tcPr>
          <w:p w:rsidR="008E11A5" w:rsidRDefault="00342678">
            <w:pPr>
              <w:pStyle w:val="TableParagraph"/>
              <w:ind w:left="0"/>
              <w:jc w:val="both"/>
              <w:rPr>
                <w:sz w:val="28"/>
                <w:szCs w:val="28"/>
              </w:rPr>
            </w:pPr>
            <w:r>
              <w:rPr>
                <w:rFonts w:eastAsia="Calibri"/>
                <w:sz w:val="28"/>
                <w:szCs w:val="28"/>
              </w:rPr>
              <w:lastRenderedPageBreak/>
              <w:t>Squamous cell carcinoma</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tumor was completely </w:t>
            </w:r>
            <w:r>
              <w:rPr>
                <w:rFonts w:ascii="Times New Roman" w:eastAsia="Calibri" w:hAnsi="Times New Roman"/>
                <w:sz w:val="28"/>
                <w:szCs w:val="28"/>
              </w:rPr>
              <w:lastRenderedPageBreak/>
              <w:t>resected. All neck lymph nodes were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negative for carcinoma. The patient received radiation therapy</w:t>
            </w:r>
          </w:p>
          <w:p w:rsidR="008E11A5" w:rsidRDefault="00342678">
            <w:pPr>
              <w:pStyle w:val="TableParagraph"/>
              <w:ind w:left="0"/>
              <w:jc w:val="both"/>
              <w:rPr>
                <w:sz w:val="28"/>
                <w:szCs w:val="28"/>
              </w:rPr>
            </w:pPr>
            <w:r>
              <w:rPr>
                <w:rFonts w:eastAsia="Calibri"/>
                <w:sz w:val="28"/>
                <w:szCs w:val="28"/>
              </w:rPr>
              <w:t>after the surgery</w:t>
            </w:r>
          </w:p>
        </w:tc>
        <w:tc>
          <w:tcPr>
            <w:tcW w:w="1488" w:type="dxa"/>
          </w:tcPr>
          <w:p w:rsidR="008E11A5" w:rsidRDefault="008E11A5">
            <w:pPr>
              <w:spacing w:after="0" w:line="240" w:lineRule="auto"/>
              <w:jc w:val="both"/>
              <w:rPr>
                <w:rFonts w:ascii="Times New Roman" w:eastAsia="Calibri" w:hAnsi="Times New Roman"/>
                <w:sz w:val="28"/>
                <w:szCs w:val="28"/>
              </w:rPr>
            </w:pP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5-year</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survival with sebaceous carcinoma in the salivary</w:t>
            </w:r>
          </w:p>
          <w:p w:rsidR="008E11A5" w:rsidRDefault="00342678">
            <w:pPr>
              <w:pStyle w:val="TableParagraph"/>
              <w:ind w:left="0"/>
              <w:jc w:val="both"/>
              <w:rPr>
                <w:sz w:val="28"/>
                <w:szCs w:val="28"/>
              </w:rPr>
            </w:pPr>
            <w:r>
              <w:rPr>
                <w:rFonts w:eastAsia="Calibri"/>
                <w:sz w:val="28"/>
                <w:szCs w:val="28"/>
              </w:rPr>
              <w:t xml:space="preserve">glands </w:t>
            </w:r>
            <w:proofErr w:type="gramStart"/>
            <w:r>
              <w:rPr>
                <w:rFonts w:eastAsia="Calibri"/>
                <w:sz w:val="28"/>
                <w:szCs w:val="28"/>
              </w:rPr>
              <w:t>is</w:t>
            </w:r>
            <w:proofErr w:type="gramEnd"/>
            <w:r>
              <w:rPr>
                <w:rFonts w:eastAsia="Calibri"/>
                <w:sz w:val="28"/>
                <w:szCs w:val="28"/>
              </w:rPr>
              <w:t xml:space="preserve"> 60%</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Wetzel S et al 2014</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 xml:space="preserve">75/M </w:t>
            </w:r>
          </w:p>
        </w:tc>
        <w:tc>
          <w:tcPr>
            <w:tcW w:w="1085" w:type="dxa"/>
          </w:tcPr>
          <w:p w:rsidR="008E11A5" w:rsidRDefault="00342678">
            <w:pPr>
              <w:pStyle w:val="TableParagraph"/>
              <w:ind w:left="0"/>
              <w:jc w:val="both"/>
              <w:rPr>
                <w:sz w:val="28"/>
                <w:szCs w:val="28"/>
              </w:rPr>
            </w:pPr>
            <w:r>
              <w:rPr>
                <w:rFonts w:eastAsia="Calibri"/>
                <w:sz w:val="28"/>
                <w:szCs w:val="28"/>
              </w:rPr>
              <w:t>erythematous raised ulcerat</w:t>
            </w:r>
            <w:r>
              <w:rPr>
                <w:rFonts w:eastAsia="Calibri"/>
                <w:sz w:val="28"/>
                <w:szCs w:val="28"/>
              </w:rPr>
              <w:lastRenderedPageBreak/>
              <w:t>ed lesion</w:t>
            </w:r>
          </w:p>
        </w:tc>
        <w:tc>
          <w:tcPr>
            <w:tcW w:w="1145" w:type="dxa"/>
          </w:tcPr>
          <w:p w:rsidR="008E11A5" w:rsidRDefault="00342678">
            <w:pPr>
              <w:pStyle w:val="TableParagraph"/>
              <w:ind w:left="0"/>
              <w:jc w:val="both"/>
              <w:rPr>
                <w:sz w:val="28"/>
                <w:szCs w:val="28"/>
              </w:rPr>
            </w:pPr>
            <w:r>
              <w:rPr>
                <w:rFonts w:eastAsia="Calibri"/>
                <w:sz w:val="28"/>
                <w:szCs w:val="28"/>
              </w:rPr>
              <w:lastRenderedPageBreak/>
              <w:t xml:space="preserve">attached maxillary </w:t>
            </w:r>
            <w:r>
              <w:rPr>
                <w:rFonts w:eastAsia="Calibri"/>
                <w:sz w:val="28"/>
                <w:szCs w:val="28"/>
              </w:rPr>
              <w:lastRenderedPageBreak/>
              <w:t>gingiva buccally</w:t>
            </w:r>
          </w:p>
        </w:tc>
        <w:tc>
          <w:tcPr>
            <w:tcW w:w="1307" w:type="dxa"/>
          </w:tcPr>
          <w:p w:rsidR="008E11A5" w:rsidRDefault="00342678">
            <w:pPr>
              <w:pStyle w:val="TableParagraph"/>
              <w:ind w:left="0"/>
              <w:jc w:val="both"/>
              <w:rPr>
                <w:sz w:val="28"/>
                <w:szCs w:val="28"/>
              </w:rPr>
            </w:pPr>
            <w:r>
              <w:rPr>
                <w:rFonts w:eastAsia="Calibri"/>
                <w:sz w:val="28"/>
                <w:szCs w:val="28"/>
              </w:rPr>
              <w:lastRenderedPageBreak/>
              <w:t>NR</w:t>
            </w:r>
          </w:p>
        </w:tc>
        <w:tc>
          <w:tcPr>
            <w:tcW w:w="783" w:type="dxa"/>
          </w:tcPr>
          <w:p w:rsidR="008E11A5" w:rsidRDefault="00342678">
            <w:pPr>
              <w:pStyle w:val="TableParagraph"/>
              <w:ind w:left="0"/>
              <w:jc w:val="both"/>
              <w:rPr>
                <w:sz w:val="28"/>
                <w:szCs w:val="28"/>
              </w:rPr>
            </w:pPr>
            <w:r>
              <w:rPr>
                <w:rFonts w:eastAsia="Calibri"/>
                <w:sz w:val="28"/>
                <w:szCs w:val="28"/>
              </w:rPr>
              <w:t>NR</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 xml:space="preserve">Sebaceous carcinoma </w:t>
            </w:r>
            <w:r>
              <w:rPr>
                <w:rFonts w:eastAsia="Calibri"/>
                <w:sz w:val="28"/>
                <w:szCs w:val="28"/>
              </w:rPr>
              <w:lastRenderedPageBreak/>
              <w:t>of the maxillary gingiva</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stratified squamous</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epithelium showing transition to a malignant tumor comprised of lobules of epithelial</w:t>
            </w:r>
          </w:p>
          <w:p w:rsidR="008E11A5" w:rsidRDefault="00342678">
            <w:pPr>
              <w:pStyle w:val="TableParagraph"/>
              <w:ind w:left="0"/>
              <w:jc w:val="both"/>
              <w:rPr>
                <w:sz w:val="28"/>
                <w:szCs w:val="28"/>
              </w:rPr>
            </w:pPr>
            <w:r>
              <w:rPr>
                <w:rFonts w:eastAsia="Calibri"/>
                <w:sz w:val="28"/>
                <w:szCs w:val="28"/>
              </w:rPr>
              <w:t>cells exhibiting sebaceous differentiation</w:t>
            </w:r>
          </w:p>
        </w:tc>
        <w:tc>
          <w:tcPr>
            <w:tcW w:w="1368" w:type="dxa"/>
          </w:tcPr>
          <w:p w:rsidR="008E11A5" w:rsidRDefault="00342678">
            <w:pPr>
              <w:spacing w:after="0" w:line="240" w:lineRule="auto"/>
              <w:jc w:val="both"/>
              <w:rPr>
                <w:rFonts w:ascii="Times New Roman" w:eastAsia="Calibri" w:hAnsi="Times New Roman"/>
                <w:sz w:val="28"/>
                <w:szCs w:val="28"/>
              </w:rPr>
            </w:pPr>
            <w:proofErr w:type="spellStart"/>
            <w:r>
              <w:rPr>
                <w:rFonts w:ascii="Times New Roman" w:eastAsia="Calibri" w:hAnsi="Times New Roman"/>
                <w:sz w:val="28"/>
                <w:szCs w:val="28"/>
              </w:rPr>
              <w:lastRenderedPageBreak/>
              <w:t>lesional</w:t>
            </w:r>
            <w:proofErr w:type="spellEnd"/>
            <w:r>
              <w:rPr>
                <w:rFonts w:ascii="Times New Roman" w:eastAsia="Calibri" w:hAnsi="Times New Roman"/>
                <w:sz w:val="28"/>
                <w:szCs w:val="28"/>
              </w:rPr>
              <w:t xml:space="preserve"> cells reacted with androgen</w:t>
            </w:r>
          </w:p>
          <w:p w:rsidR="008E11A5" w:rsidRDefault="00342678">
            <w:pPr>
              <w:pStyle w:val="TableParagraph"/>
              <w:ind w:left="0"/>
              <w:jc w:val="both"/>
              <w:rPr>
                <w:sz w:val="28"/>
                <w:szCs w:val="28"/>
              </w:rPr>
            </w:pPr>
            <w:r>
              <w:rPr>
                <w:rFonts w:eastAsia="Calibri"/>
                <w:sz w:val="28"/>
                <w:szCs w:val="28"/>
              </w:rPr>
              <w:lastRenderedPageBreak/>
              <w:t xml:space="preserve">receptor and epithelial membrane antigen (EMA) </w:t>
            </w:r>
          </w:p>
        </w:tc>
        <w:tc>
          <w:tcPr>
            <w:tcW w:w="1298" w:type="dxa"/>
          </w:tcPr>
          <w:p w:rsidR="008E11A5" w:rsidRDefault="00342678">
            <w:pPr>
              <w:pStyle w:val="TableParagraph"/>
              <w:ind w:left="0"/>
              <w:jc w:val="both"/>
              <w:rPr>
                <w:sz w:val="28"/>
                <w:szCs w:val="28"/>
              </w:rPr>
            </w:pPr>
            <w:r>
              <w:rPr>
                <w:rFonts w:eastAsia="Calibri"/>
                <w:sz w:val="28"/>
                <w:szCs w:val="28"/>
              </w:rPr>
              <w:lastRenderedPageBreak/>
              <w:t xml:space="preserve">squamous cell carcinoma and </w:t>
            </w:r>
            <w:r>
              <w:rPr>
                <w:rFonts w:eastAsia="Calibri"/>
                <w:sz w:val="28"/>
                <w:szCs w:val="28"/>
              </w:rPr>
              <w:lastRenderedPageBreak/>
              <w:t>basal cell carcinoma</w:t>
            </w:r>
          </w:p>
        </w:tc>
        <w:tc>
          <w:tcPr>
            <w:tcW w:w="1147" w:type="dxa"/>
          </w:tcPr>
          <w:p w:rsidR="008E11A5" w:rsidRDefault="00342678">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surgical excision. Adjuva</w:t>
            </w:r>
            <w:r>
              <w:rPr>
                <w:rFonts w:ascii="Times New Roman" w:eastAsia="Calibri" w:hAnsi="Times New Roman"/>
                <w:sz w:val="28"/>
                <w:szCs w:val="28"/>
              </w:rPr>
              <w:lastRenderedPageBreak/>
              <w:t>nt radiation therapy and</w:t>
            </w:r>
          </w:p>
          <w:p w:rsidR="008E11A5" w:rsidRDefault="00342678">
            <w:pPr>
              <w:pStyle w:val="TableParagraph"/>
              <w:ind w:left="0"/>
              <w:jc w:val="both"/>
              <w:rPr>
                <w:sz w:val="28"/>
                <w:szCs w:val="28"/>
              </w:rPr>
            </w:pPr>
            <w:r>
              <w:rPr>
                <w:rFonts w:eastAsia="Calibri"/>
                <w:sz w:val="28"/>
                <w:szCs w:val="28"/>
              </w:rPr>
              <w:t>chemotherapy may also be given</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rare occurrence of intraoral SC overall</w:t>
            </w:r>
          </w:p>
          <w:p w:rsidR="008E11A5" w:rsidRDefault="00342678">
            <w:pPr>
              <w:pStyle w:val="TableParagraph"/>
              <w:ind w:left="0"/>
              <w:jc w:val="both"/>
              <w:rPr>
                <w:sz w:val="28"/>
                <w:szCs w:val="28"/>
              </w:rPr>
            </w:pPr>
            <w:r>
              <w:rPr>
                <w:rFonts w:eastAsia="Calibri"/>
                <w:sz w:val="28"/>
                <w:szCs w:val="28"/>
              </w:rPr>
              <w:lastRenderedPageBreak/>
              <w:t>survival rates have yet to be determined.</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 xml:space="preserve">Greenall CJ and </w:t>
            </w:r>
            <w:proofErr w:type="spellStart"/>
            <w:r>
              <w:rPr>
                <w:rFonts w:eastAsia="Calibri"/>
                <w:sz w:val="28"/>
                <w:szCs w:val="28"/>
              </w:rPr>
              <w:t>Drage</w:t>
            </w:r>
            <w:proofErr w:type="spellEnd"/>
            <w:r>
              <w:rPr>
                <w:rFonts w:eastAsia="Calibri"/>
                <w:sz w:val="28"/>
                <w:szCs w:val="28"/>
              </w:rPr>
              <w:t xml:space="preserve"> NA 2015</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81/M</w:t>
            </w:r>
          </w:p>
        </w:tc>
        <w:tc>
          <w:tcPr>
            <w:tcW w:w="1085" w:type="dxa"/>
          </w:tcPr>
          <w:p w:rsidR="008E11A5" w:rsidRDefault="00342678">
            <w:pPr>
              <w:pStyle w:val="TableParagraph"/>
              <w:ind w:left="0"/>
              <w:jc w:val="both"/>
              <w:rPr>
                <w:sz w:val="28"/>
                <w:szCs w:val="28"/>
              </w:rPr>
            </w:pPr>
            <w:proofErr w:type="gramStart"/>
            <w:r>
              <w:rPr>
                <w:sz w:val="28"/>
                <w:szCs w:val="28"/>
              </w:rPr>
              <w:t>Firm ,</w:t>
            </w:r>
            <w:proofErr w:type="gramEnd"/>
            <w:r>
              <w:rPr>
                <w:sz w:val="28"/>
                <w:szCs w:val="28"/>
              </w:rPr>
              <w:t xml:space="preserve"> irregular mass </w:t>
            </w:r>
          </w:p>
        </w:tc>
        <w:tc>
          <w:tcPr>
            <w:tcW w:w="1145" w:type="dxa"/>
          </w:tcPr>
          <w:p w:rsidR="008E11A5" w:rsidRDefault="00342678">
            <w:pPr>
              <w:pStyle w:val="TableParagraph"/>
              <w:ind w:left="0"/>
              <w:jc w:val="both"/>
              <w:rPr>
                <w:sz w:val="28"/>
                <w:szCs w:val="28"/>
              </w:rPr>
            </w:pPr>
            <w:r>
              <w:rPr>
                <w:rFonts w:eastAsia="Calibri"/>
                <w:sz w:val="28"/>
                <w:szCs w:val="28"/>
              </w:rPr>
              <w:t>upper right lip</w:t>
            </w:r>
          </w:p>
        </w:tc>
        <w:tc>
          <w:tcPr>
            <w:tcW w:w="1307" w:type="dxa"/>
          </w:tcPr>
          <w:p w:rsidR="008E11A5" w:rsidRDefault="00342678">
            <w:pPr>
              <w:pStyle w:val="TableParagraph"/>
              <w:ind w:left="0"/>
              <w:jc w:val="both"/>
              <w:rPr>
                <w:sz w:val="28"/>
                <w:szCs w:val="28"/>
              </w:rPr>
            </w:pPr>
            <w:r>
              <w:rPr>
                <w:rFonts w:eastAsia="Calibri"/>
                <w:sz w:val="28"/>
                <w:szCs w:val="28"/>
              </w:rPr>
              <w:t xml:space="preserve">poorly </w:t>
            </w:r>
            <w:proofErr w:type="gramStart"/>
            <w:r>
              <w:rPr>
                <w:rFonts w:eastAsia="Calibri"/>
                <w:sz w:val="28"/>
                <w:szCs w:val="28"/>
              </w:rPr>
              <w:t>defined ,hypoechoic</w:t>
            </w:r>
            <w:proofErr w:type="gramEnd"/>
            <w:r>
              <w:rPr>
                <w:rFonts w:eastAsia="Calibri"/>
                <w:sz w:val="28"/>
                <w:szCs w:val="28"/>
              </w:rPr>
              <w:t xml:space="preserve"> irregular mass in the right </w:t>
            </w:r>
            <w:proofErr w:type="spellStart"/>
            <w:r>
              <w:rPr>
                <w:rFonts w:eastAsia="Calibri"/>
                <w:sz w:val="28"/>
                <w:szCs w:val="28"/>
              </w:rPr>
              <w:t>naso</w:t>
            </w:r>
            <w:proofErr w:type="spellEnd"/>
            <w:r>
              <w:rPr>
                <w:rFonts w:eastAsia="Calibri"/>
                <w:sz w:val="28"/>
                <w:szCs w:val="28"/>
              </w:rPr>
              <w:t>-</w:t>
            </w:r>
            <w:r>
              <w:rPr>
                <w:rFonts w:eastAsia="Calibri"/>
                <w:sz w:val="28"/>
                <w:szCs w:val="28"/>
              </w:rPr>
              <w:lastRenderedPageBreak/>
              <w:t xml:space="preserve">labial region, with no internal vascularity, involving skin, subcutaneous fat, orbicularis </w:t>
            </w:r>
            <w:proofErr w:type="spellStart"/>
            <w:r>
              <w:rPr>
                <w:rFonts w:eastAsia="Calibri"/>
                <w:sz w:val="28"/>
                <w:szCs w:val="28"/>
              </w:rPr>
              <w:t>oris</w:t>
            </w:r>
            <w:proofErr w:type="spellEnd"/>
            <w:r>
              <w:rPr>
                <w:rFonts w:eastAsia="Calibri"/>
                <w:sz w:val="28"/>
                <w:szCs w:val="28"/>
              </w:rPr>
              <w:t xml:space="preserve"> and the intraoral mucosa </w:t>
            </w:r>
          </w:p>
        </w:tc>
        <w:tc>
          <w:tcPr>
            <w:tcW w:w="783" w:type="dxa"/>
          </w:tcPr>
          <w:p w:rsidR="008E11A5" w:rsidRDefault="00342678">
            <w:pPr>
              <w:pStyle w:val="TableParagraph"/>
              <w:ind w:left="0"/>
              <w:jc w:val="both"/>
              <w:rPr>
                <w:sz w:val="28"/>
                <w:szCs w:val="28"/>
              </w:rPr>
            </w:pPr>
            <w:proofErr w:type="gramStart"/>
            <w:r>
              <w:rPr>
                <w:rFonts w:eastAsia="Calibri"/>
                <w:sz w:val="28"/>
                <w:szCs w:val="28"/>
              </w:rPr>
              <w:lastRenderedPageBreak/>
              <w:t>Since</w:t>
            </w:r>
            <w:proofErr w:type="gramEnd"/>
            <w:r>
              <w:rPr>
                <w:rFonts w:eastAsia="Calibri"/>
                <w:sz w:val="28"/>
                <w:szCs w:val="28"/>
              </w:rPr>
              <w:t xml:space="preserve"> 2 month</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Sebaceous carcinoma of the lip</w:t>
            </w:r>
          </w:p>
        </w:tc>
        <w:tc>
          <w:tcPr>
            <w:tcW w:w="1280" w:type="dxa"/>
          </w:tcPr>
          <w:p w:rsidR="008E11A5" w:rsidRDefault="00342678">
            <w:pPr>
              <w:pStyle w:val="TableParagraph"/>
              <w:ind w:left="0"/>
              <w:jc w:val="both"/>
              <w:rPr>
                <w:sz w:val="28"/>
                <w:szCs w:val="28"/>
              </w:rPr>
            </w:pPr>
            <w:r>
              <w:rPr>
                <w:rFonts w:eastAsia="Calibri"/>
                <w:sz w:val="28"/>
                <w:szCs w:val="28"/>
              </w:rPr>
              <w:t xml:space="preserve">cells of salivary gland origin could be either reactionary or </w:t>
            </w:r>
            <w:r>
              <w:rPr>
                <w:rFonts w:eastAsia="Calibri"/>
                <w:sz w:val="28"/>
                <w:szCs w:val="28"/>
              </w:rPr>
              <w:lastRenderedPageBreak/>
              <w:t>malignant.</w:t>
            </w:r>
          </w:p>
        </w:tc>
        <w:tc>
          <w:tcPr>
            <w:tcW w:w="1368" w:type="dxa"/>
          </w:tcPr>
          <w:p w:rsidR="008E11A5" w:rsidRDefault="00342678">
            <w:pPr>
              <w:pStyle w:val="TableParagraph"/>
              <w:ind w:left="0"/>
              <w:jc w:val="both"/>
              <w:rPr>
                <w:sz w:val="28"/>
                <w:szCs w:val="28"/>
              </w:rPr>
            </w:pPr>
            <w:r>
              <w:rPr>
                <w:rFonts w:eastAsia="Calibri"/>
                <w:sz w:val="28"/>
                <w:szCs w:val="28"/>
              </w:rPr>
              <w:lastRenderedPageBreak/>
              <w:t>NA</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basal cell carcinoma,</w:t>
            </w:r>
          </w:p>
          <w:p w:rsidR="008E11A5" w:rsidRDefault="00342678">
            <w:pPr>
              <w:pStyle w:val="TableParagraph"/>
              <w:ind w:left="0"/>
              <w:jc w:val="both"/>
              <w:rPr>
                <w:sz w:val="28"/>
                <w:szCs w:val="28"/>
              </w:rPr>
            </w:pPr>
            <w:r>
              <w:rPr>
                <w:rFonts w:eastAsia="Calibri"/>
                <w:sz w:val="28"/>
                <w:szCs w:val="28"/>
              </w:rPr>
              <w:t xml:space="preserve">and malignant </w:t>
            </w:r>
            <w:proofErr w:type="spellStart"/>
            <w:r>
              <w:rPr>
                <w:rFonts w:eastAsia="Calibri"/>
                <w:sz w:val="28"/>
                <w:szCs w:val="28"/>
              </w:rPr>
              <w:t>tumours</w:t>
            </w:r>
            <w:proofErr w:type="spellEnd"/>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palliative</w:t>
            </w:r>
          </w:p>
          <w:p w:rsidR="008E11A5" w:rsidRDefault="00342678">
            <w:pPr>
              <w:pStyle w:val="TableParagraph"/>
              <w:ind w:left="0"/>
              <w:jc w:val="both"/>
              <w:rPr>
                <w:sz w:val="28"/>
                <w:szCs w:val="28"/>
              </w:rPr>
            </w:pPr>
            <w:r>
              <w:rPr>
                <w:rFonts w:eastAsia="Calibri"/>
                <w:sz w:val="28"/>
                <w:szCs w:val="28"/>
              </w:rPr>
              <w:t>radiotherapy</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Ultrasound may be useful in aiding the early surgical planning for patients </w:t>
            </w:r>
            <w:r>
              <w:rPr>
                <w:rFonts w:ascii="Times New Roman" w:eastAsia="Calibri" w:hAnsi="Times New Roman"/>
                <w:sz w:val="28"/>
                <w:szCs w:val="28"/>
              </w:rPr>
              <w:lastRenderedPageBreak/>
              <w:t>with extensive dermatological</w:t>
            </w:r>
          </w:p>
          <w:p w:rsidR="008E11A5" w:rsidRDefault="00342678">
            <w:pPr>
              <w:pStyle w:val="TableParagraph"/>
              <w:ind w:left="0"/>
              <w:jc w:val="both"/>
              <w:rPr>
                <w:sz w:val="28"/>
                <w:szCs w:val="28"/>
              </w:rPr>
            </w:pPr>
            <w:r>
              <w:rPr>
                <w:rFonts w:eastAsia="Calibri"/>
                <w:sz w:val="28"/>
                <w:szCs w:val="28"/>
              </w:rPr>
              <w:t>disease.</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Rowe M et al 2015</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76/M</w:t>
            </w:r>
          </w:p>
        </w:tc>
        <w:tc>
          <w:tcPr>
            <w:tcW w:w="1085" w:type="dxa"/>
          </w:tcPr>
          <w:p w:rsidR="008E11A5" w:rsidRDefault="00342678">
            <w:pPr>
              <w:pStyle w:val="TableParagraph"/>
              <w:ind w:left="0"/>
              <w:jc w:val="both"/>
              <w:rPr>
                <w:sz w:val="28"/>
                <w:szCs w:val="28"/>
              </w:rPr>
            </w:pPr>
            <w:r>
              <w:rPr>
                <w:rFonts w:eastAsia="Calibri"/>
                <w:sz w:val="28"/>
                <w:szCs w:val="28"/>
              </w:rPr>
              <w:t>exophytic lesion</w:t>
            </w:r>
          </w:p>
        </w:tc>
        <w:tc>
          <w:tcPr>
            <w:tcW w:w="1145" w:type="dxa"/>
          </w:tcPr>
          <w:p w:rsidR="008E11A5" w:rsidRDefault="00342678">
            <w:pPr>
              <w:pStyle w:val="TableParagraph"/>
              <w:ind w:left="0"/>
              <w:jc w:val="both"/>
              <w:rPr>
                <w:sz w:val="28"/>
                <w:szCs w:val="28"/>
              </w:rPr>
            </w:pPr>
            <w:r>
              <w:rPr>
                <w:rFonts w:eastAsia="Calibri"/>
                <w:sz w:val="28"/>
                <w:szCs w:val="28"/>
              </w:rPr>
              <w:t>upper gum with associated mobility of the adjacent teeth</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gingival tumor was</w:t>
            </w:r>
          </w:p>
          <w:p w:rsidR="008E11A5" w:rsidRDefault="00342678">
            <w:pPr>
              <w:pStyle w:val="TableParagraph"/>
              <w:ind w:left="0"/>
              <w:jc w:val="both"/>
              <w:rPr>
                <w:sz w:val="28"/>
                <w:szCs w:val="28"/>
              </w:rPr>
            </w:pPr>
            <w:r>
              <w:rPr>
                <w:rFonts w:eastAsia="Calibri"/>
                <w:sz w:val="28"/>
                <w:szCs w:val="28"/>
              </w:rPr>
              <w:t>1.5 X 1.4 X 1.1 cm and invaded the underlying bone</w:t>
            </w:r>
          </w:p>
        </w:tc>
        <w:tc>
          <w:tcPr>
            <w:tcW w:w="783" w:type="dxa"/>
          </w:tcPr>
          <w:p w:rsidR="008E11A5" w:rsidRDefault="00342678">
            <w:pPr>
              <w:pStyle w:val="TableParagraph"/>
              <w:ind w:left="0"/>
              <w:jc w:val="both"/>
              <w:rPr>
                <w:sz w:val="28"/>
                <w:szCs w:val="28"/>
              </w:rPr>
            </w:pPr>
            <w:r>
              <w:rPr>
                <w:rFonts w:eastAsia="Calibri"/>
                <w:sz w:val="28"/>
                <w:szCs w:val="28"/>
              </w:rPr>
              <w:t>6 weeks</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Intraoral sebaceous carcinoma metastatic to the lung and subcutis</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neoplastic proliferation was composed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of epithelioid cells with round to oval </w:t>
            </w:r>
            <w:r>
              <w:rPr>
                <w:rFonts w:ascii="Times New Roman" w:eastAsia="Calibri" w:hAnsi="Times New Roman"/>
                <w:sz w:val="28"/>
                <w:szCs w:val="28"/>
              </w:rPr>
              <w:lastRenderedPageBreak/>
              <w:t>nuclei, small to</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prominent nucleoli, and clear to vacuolated appearing</w:t>
            </w:r>
          </w:p>
          <w:p w:rsidR="008E11A5" w:rsidRDefault="00342678">
            <w:pPr>
              <w:pStyle w:val="TableParagraph"/>
              <w:ind w:left="0"/>
              <w:jc w:val="both"/>
              <w:rPr>
                <w:sz w:val="28"/>
                <w:szCs w:val="28"/>
              </w:rPr>
            </w:pPr>
            <w:r>
              <w:rPr>
                <w:rFonts w:eastAsia="Calibri"/>
                <w:sz w:val="28"/>
                <w:szCs w:val="28"/>
              </w:rPr>
              <w:t>cytoplasm</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PMS-2, MLH-1, MSH-</w:t>
            </w:r>
          </w:p>
          <w:p w:rsidR="008E11A5" w:rsidRDefault="00342678">
            <w:pPr>
              <w:pStyle w:val="TableParagraph"/>
              <w:ind w:left="0"/>
              <w:jc w:val="both"/>
              <w:rPr>
                <w:sz w:val="28"/>
                <w:szCs w:val="28"/>
              </w:rPr>
            </w:pPr>
            <w:r>
              <w:rPr>
                <w:rFonts w:eastAsia="Calibri"/>
                <w:sz w:val="28"/>
                <w:szCs w:val="28"/>
              </w:rPr>
              <w:t xml:space="preserve">2, and MSH-6 showed nuclear </w:t>
            </w:r>
            <w:proofErr w:type="spellStart"/>
            <w:r>
              <w:rPr>
                <w:rFonts w:eastAsia="Calibri"/>
                <w:sz w:val="28"/>
                <w:szCs w:val="28"/>
              </w:rPr>
              <w:t>reactivi</w:t>
            </w:r>
            <w:proofErr w:type="spellEnd"/>
          </w:p>
        </w:tc>
        <w:tc>
          <w:tcPr>
            <w:tcW w:w="1298" w:type="dxa"/>
          </w:tcPr>
          <w:p w:rsidR="008E11A5" w:rsidRDefault="00342678">
            <w:pPr>
              <w:pStyle w:val="TableParagraph"/>
              <w:ind w:left="0"/>
              <w:jc w:val="both"/>
              <w:rPr>
                <w:sz w:val="28"/>
                <w:szCs w:val="28"/>
              </w:rPr>
            </w:pPr>
            <w:r>
              <w:rPr>
                <w:rFonts w:eastAsia="Calibri"/>
                <w:sz w:val="28"/>
                <w:szCs w:val="28"/>
              </w:rPr>
              <w:t>NR</w:t>
            </w:r>
          </w:p>
        </w:tc>
        <w:tc>
          <w:tcPr>
            <w:tcW w:w="1147" w:type="dxa"/>
          </w:tcPr>
          <w:p w:rsidR="008E11A5" w:rsidRDefault="00342678">
            <w:pPr>
              <w:pStyle w:val="TableParagraph"/>
              <w:ind w:left="0"/>
              <w:jc w:val="both"/>
              <w:rPr>
                <w:sz w:val="28"/>
                <w:szCs w:val="28"/>
              </w:rPr>
            </w:pPr>
            <w:r>
              <w:rPr>
                <w:rFonts w:eastAsia="Calibri"/>
                <w:sz w:val="28"/>
                <w:szCs w:val="28"/>
              </w:rPr>
              <w:t>partial maxillectomy</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no previous case has an intraoral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sebaceous carcinoma metastasized to another dermal</w:t>
            </w:r>
          </w:p>
          <w:p w:rsidR="008E11A5" w:rsidRDefault="00342678">
            <w:pPr>
              <w:pStyle w:val="TableParagraph"/>
              <w:ind w:left="0"/>
              <w:jc w:val="both"/>
              <w:rPr>
                <w:sz w:val="28"/>
                <w:szCs w:val="28"/>
              </w:rPr>
            </w:pPr>
            <w:r>
              <w:rPr>
                <w:rFonts w:eastAsia="Calibri"/>
                <w:sz w:val="28"/>
                <w:szCs w:val="28"/>
              </w:rPr>
              <w:t>region of the body</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proofErr w:type="spellStart"/>
            <w:r>
              <w:rPr>
                <w:rFonts w:eastAsia="Calibri"/>
                <w:sz w:val="28"/>
                <w:szCs w:val="28"/>
              </w:rPr>
              <w:t>Jawanda</w:t>
            </w:r>
            <w:proofErr w:type="spellEnd"/>
            <w:r>
              <w:rPr>
                <w:rFonts w:eastAsia="Calibri"/>
                <w:sz w:val="28"/>
                <w:szCs w:val="28"/>
              </w:rPr>
              <w:t xml:space="preserve"> MJ et al 2018</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40/F</w:t>
            </w:r>
          </w:p>
        </w:tc>
        <w:tc>
          <w:tcPr>
            <w:tcW w:w="1085" w:type="dxa"/>
          </w:tcPr>
          <w:p w:rsidR="008E11A5" w:rsidRDefault="00342678">
            <w:pPr>
              <w:pStyle w:val="TableParagraph"/>
              <w:ind w:left="0"/>
              <w:jc w:val="both"/>
              <w:rPr>
                <w:sz w:val="28"/>
                <w:szCs w:val="28"/>
              </w:rPr>
            </w:pPr>
            <w:r>
              <w:rPr>
                <w:sz w:val="28"/>
                <w:szCs w:val="28"/>
              </w:rPr>
              <w:t xml:space="preserve">Swelling </w:t>
            </w:r>
          </w:p>
        </w:tc>
        <w:tc>
          <w:tcPr>
            <w:tcW w:w="1145" w:type="dxa"/>
          </w:tcPr>
          <w:p w:rsidR="008E11A5" w:rsidRDefault="00342678">
            <w:pPr>
              <w:pStyle w:val="TableParagraph"/>
              <w:ind w:left="0"/>
              <w:jc w:val="both"/>
              <w:rPr>
                <w:sz w:val="28"/>
                <w:szCs w:val="28"/>
              </w:rPr>
            </w:pPr>
            <w:r>
              <w:rPr>
                <w:sz w:val="28"/>
                <w:szCs w:val="28"/>
              </w:rPr>
              <w:t xml:space="preserve">Right side </w:t>
            </w:r>
            <w:proofErr w:type="spellStart"/>
            <w:r>
              <w:rPr>
                <w:sz w:val="28"/>
                <w:szCs w:val="28"/>
              </w:rPr>
              <w:t>invoving</w:t>
            </w:r>
            <w:proofErr w:type="spellEnd"/>
            <w:r>
              <w:rPr>
                <w:sz w:val="28"/>
                <w:szCs w:val="28"/>
              </w:rPr>
              <w:t xml:space="preserve"> buccal mucosa </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swelling was firm in consistency, nontender, and of approximately</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5 × 4 cm, extending </w:t>
            </w:r>
            <w:proofErr w:type="spellStart"/>
            <w:r>
              <w:rPr>
                <w:rFonts w:ascii="Times New Roman" w:eastAsia="Calibri" w:hAnsi="Times New Roman"/>
                <w:sz w:val="28"/>
                <w:szCs w:val="28"/>
              </w:rPr>
              <w:t>superoinferiorly</w:t>
            </w:r>
            <w:proofErr w:type="spellEnd"/>
            <w:r>
              <w:rPr>
                <w:rFonts w:ascii="Times New Roman" w:eastAsia="Calibri" w:hAnsi="Times New Roman"/>
                <w:sz w:val="28"/>
                <w:szCs w:val="28"/>
              </w:rPr>
              <w:t xml:space="preserve"> </w:t>
            </w:r>
            <w:r>
              <w:rPr>
                <w:rFonts w:ascii="Times New Roman" w:eastAsia="Calibri" w:hAnsi="Times New Roman"/>
                <w:sz w:val="28"/>
                <w:szCs w:val="28"/>
              </w:rPr>
              <w:lastRenderedPageBreak/>
              <w:t>from the infraorbital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ridge to 2cm above the inferior border of the mandible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and </w:t>
            </w:r>
            <w:proofErr w:type="spellStart"/>
            <w:r>
              <w:rPr>
                <w:rFonts w:ascii="Times New Roman" w:eastAsia="Calibri" w:hAnsi="Times New Roman"/>
                <w:sz w:val="28"/>
                <w:szCs w:val="28"/>
              </w:rPr>
              <w:t>anteroposteriorly</w:t>
            </w:r>
            <w:proofErr w:type="spellEnd"/>
            <w:r>
              <w:rPr>
                <w:rFonts w:ascii="Times New Roman" w:eastAsia="Calibri" w:hAnsi="Times New Roman"/>
                <w:sz w:val="28"/>
                <w:szCs w:val="28"/>
              </w:rPr>
              <w:t xml:space="preserve"> from the right corner of the mouth to</w:t>
            </w:r>
          </w:p>
          <w:p w:rsidR="008E11A5" w:rsidRDefault="00342678">
            <w:pPr>
              <w:pStyle w:val="TableParagraph"/>
              <w:ind w:left="0"/>
              <w:jc w:val="both"/>
              <w:rPr>
                <w:sz w:val="28"/>
                <w:szCs w:val="28"/>
              </w:rPr>
            </w:pPr>
            <w:r>
              <w:rPr>
                <w:rFonts w:eastAsia="Calibri"/>
                <w:sz w:val="28"/>
                <w:szCs w:val="28"/>
              </w:rPr>
              <w:t>1.5cm anterior to the tragus</w:t>
            </w:r>
          </w:p>
        </w:tc>
        <w:tc>
          <w:tcPr>
            <w:tcW w:w="783" w:type="dxa"/>
          </w:tcPr>
          <w:p w:rsidR="008E11A5" w:rsidRDefault="00342678">
            <w:pPr>
              <w:pStyle w:val="TableParagraph"/>
              <w:ind w:left="0"/>
              <w:jc w:val="both"/>
              <w:rPr>
                <w:sz w:val="28"/>
                <w:szCs w:val="28"/>
              </w:rPr>
            </w:pPr>
            <w:r>
              <w:rPr>
                <w:rFonts w:eastAsia="Calibri"/>
                <w:sz w:val="28"/>
                <w:szCs w:val="28"/>
              </w:rPr>
              <w:lastRenderedPageBreak/>
              <w:t>1 year</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Intraoral Sebaceous Carcinoma</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large nests of neoplastic</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cells with squamous appearance, separated by scanty</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stroma (</w:t>
            </w:r>
            <w:bookmarkStart w:id="0" w:name="_GoBack"/>
            <w:r>
              <w:rPr>
                <w:rFonts w:ascii="Times New Roman" w:eastAsia="Calibri" w:hAnsi="Times New Roman"/>
                <w:sz w:val="28"/>
                <w:szCs w:val="28"/>
              </w:rPr>
              <w:t>Fig</w:t>
            </w:r>
            <w:bookmarkEnd w:id="0"/>
            <w:r>
              <w:rPr>
                <w:rFonts w:ascii="Times New Roman" w:eastAsia="Calibri" w:hAnsi="Times New Roman"/>
                <w:sz w:val="28"/>
                <w:szCs w:val="28"/>
              </w:rPr>
              <w:t>ure 2). The neoplastic cells had large vesicular</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nuclei with prominent nucleoli. Cellular and nuclear pleomorphism</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with few nuclei showing </w:t>
            </w:r>
            <w:proofErr w:type="spellStart"/>
            <w:r>
              <w:rPr>
                <w:rFonts w:ascii="Times New Roman" w:eastAsia="Calibri" w:hAnsi="Times New Roman"/>
                <w:sz w:val="28"/>
                <w:szCs w:val="28"/>
              </w:rPr>
              <w:t>multilobation</w:t>
            </w:r>
            <w:proofErr w:type="spellEnd"/>
            <w:r>
              <w:rPr>
                <w:rFonts w:ascii="Times New Roman" w:eastAsia="Calibri" w:hAnsi="Times New Roman"/>
                <w:sz w:val="28"/>
                <w:szCs w:val="28"/>
              </w:rPr>
              <w:t xml:space="preserve"> was seen,</w:t>
            </w:r>
          </w:p>
          <w:p w:rsidR="008E11A5" w:rsidRDefault="00342678">
            <w:pPr>
              <w:pStyle w:val="TableParagraph"/>
              <w:ind w:left="0"/>
              <w:jc w:val="both"/>
              <w:rPr>
                <w:sz w:val="28"/>
                <w:szCs w:val="28"/>
              </w:rPr>
            </w:pPr>
            <w:r>
              <w:rPr>
                <w:rFonts w:eastAsia="Calibri"/>
                <w:sz w:val="28"/>
                <w:szCs w:val="28"/>
              </w:rPr>
              <w:t xml:space="preserve">along with </w:t>
            </w:r>
            <w:r>
              <w:rPr>
                <w:rFonts w:eastAsia="Calibri"/>
                <w:sz w:val="28"/>
                <w:szCs w:val="28"/>
              </w:rPr>
              <w:lastRenderedPageBreak/>
              <w:t>typical and atypical mitotic figures</w:t>
            </w:r>
          </w:p>
        </w:tc>
        <w:tc>
          <w:tcPr>
            <w:tcW w:w="1368" w:type="dxa"/>
          </w:tcPr>
          <w:p w:rsidR="008E11A5" w:rsidRDefault="00342678">
            <w:pPr>
              <w:pStyle w:val="TableParagraph"/>
              <w:ind w:left="0"/>
              <w:jc w:val="both"/>
              <w:rPr>
                <w:sz w:val="28"/>
                <w:szCs w:val="28"/>
              </w:rPr>
            </w:pPr>
            <w:r>
              <w:rPr>
                <w:rFonts w:eastAsia="Calibri"/>
                <w:sz w:val="28"/>
                <w:szCs w:val="28"/>
              </w:rPr>
              <w:lastRenderedPageBreak/>
              <w:t>Not performed</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metastatic</w:t>
            </w:r>
          </w:p>
          <w:p w:rsidR="008E11A5" w:rsidRDefault="00342678">
            <w:pPr>
              <w:pStyle w:val="TableParagraph"/>
              <w:ind w:left="0"/>
              <w:jc w:val="both"/>
              <w:rPr>
                <w:sz w:val="28"/>
                <w:szCs w:val="28"/>
              </w:rPr>
            </w:pPr>
            <w:r>
              <w:rPr>
                <w:rFonts w:eastAsia="Calibri"/>
                <w:sz w:val="28"/>
                <w:szCs w:val="28"/>
              </w:rPr>
              <w:t>clear cell renal carcinoma</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complete excision verified by negative margins.</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Radiotherapy is used if metastatic </w:t>
            </w:r>
            <w:r>
              <w:rPr>
                <w:rFonts w:ascii="Times New Roman" w:eastAsia="Calibri" w:hAnsi="Times New Roman"/>
                <w:sz w:val="28"/>
                <w:szCs w:val="28"/>
              </w:rPr>
              <w:lastRenderedPageBreak/>
              <w:t>disease and/or a high risk</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of recurrence are present. Multiagent chemotherapy has</w:t>
            </w:r>
          </w:p>
          <w:p w:rsidR="008E11A5" w:rsidRDefault="00342678">
            <w:pPr>
              <w:pStyle w:val="TableParagraph"/>
              <w:ind w:left="0"/>
              <w:jc w:val="both"/>
              <w:rPr>
                <w:sz w:val="28"/>
                <w:szCs w:val="28"/>
              </w:rPr>
            </w:pPr>
            <w:r>
              <w:rPr>
                <w:rFonts w:eastAsia="Calibri"/>
                <w:sz w:val="28"/>
                <w:szCs w:val="28"/>
              </w:rPr>
              <w:t>been used to treat recurrent disease</w:t>
            </w:r>
          </w:p>
        </w:tc>
        <w:tc>
          <w:tcPr>
            <w:tcW w:w="1488" w:type="dxa"/>
          </w:tcPr>
          <w:p w:rsidR="008E11A5" w:rsidRDefault="00342678">
            <w:pPr>
              <w:pStyle w:val="TableParagraph"/>
              <w:ind w:left="0"/>
              <w:jc w:val="both"/>
              <w:rPr>
                <w:sz w:val="28"/>
                <w:szCs w:val="28"/>
              </w:rPr>
            </w:pPr>
            <w:r>
              <w:rPr>
                <w:rFonts w:eastAsia="Calibri"/>
                <w:sz w:val="28"/>
                <w:szCs w:val="28"/>
              </w:rPr>
              <w:lastRenderedPageBreak/>
              <w:t>NR</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proofErr w:type="spellStart"/>
            <w:r>
              <w:rPr>
                <w:rFonts w:eastAsia="Calibri"/>
                <w:sz w:val="28"/>
                <w:szCs w:val="28"/>
              </w:rPr>
              <w:t>Ambrosino</w:t>
            </w:r>
            <w:proofErr w:type="spellEnd"/>
            <w:r>
              <w:rPr>
                <w:rFonts w:eastAsia="Calibri"/>
                <w:sz w:val="28"/>
                <w:szCs w:val="28"/>
              </w:rPr>
              <w:t xml:space="preserve"> M et al 2021</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71/M</w:t>
            </w:r>
          </w:p>
        </w:tc>
        <w:tc>
          <w:tcPr>
            <w:tcW w:w="1085" w:type="dxa"/>
          </w:tcPr>
          <w:p w:rsidR="008E11A5" w:rsidRDefault="00342678">
            <w:pPr>
              <w:pStyle w:val="TableParagraph"/>
              <w:ind w:left="0"/>
              <w:jc w:val="both"/>
              <w:rPr>
                <w:sz w:val="28"/>
                <w:szCs w:val="28"/>
              </w:rPr>
            </w:pPr>
            <w:r>
              <w:rPr>
                <w:sz w:val="28"/>
                <w:szCs w:val="28"/>
              </w:rPr>
              <w:t xml:space="preserve">Ulcerated </w:t>
            </w:r>
          </w:p>
        </w:tc>
        <w:tc>
          <w:tcPr>
            <w:tcW w:w="1145" w:type="dxa"/>
          </w:tcPr>
          <w:p w:rsidR="008E11A5" w:rsidRDefault="00342678">
            <w:pPr>
              <w:pStyle w:val="TableParagraph"/>
              <w:ind w:left="0"/>
              <w:jc w:val="both"/>
              <w:rPr>
                <w:sz w:val="28"/>
                <w:szCs w:val="28"/>
              </w:rPr>
            </w:pPr>
            <w:r>
              <w:rPr>
                <w:sz w:val="28"/>
                <w:szCs w:val="28"/>
              </w:rPr>
              <w:t>Lower lip</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markedly ulcerated, exophytic, irregularly shaped, indurated mass of the lower</w:t>
            </w:r>
          </w:p>
          <w:p w:rsidR="008E11A5" w:rsidRDefault="00342678">
            <w:pPr>
              <w:pStyle w:val="TableParagraph"/>
              <w:ind w:left="0"/>
              <w:jc w:val="both"/>
              <w:rPr>
                <w:sz w:val="28"/>
                <w:szCs w:val="28"/>
              </w:rPr>
            </w:pPr>
            <w:r>
              <w:rPr>
                <w:rFonts w:eastAsia="Calibri"/>
                <w:sz w:val="28"/>
                <w:szCs w:val="28"/>
              </w:rPr>
              <w:t>right labial region, measuring 1.8 cm in size</w:t>
            </w:r>
          </w:p>
        </w:tc>
        <w:tc>
          <w:tcPr>
            <w:tcW w:w="783" w:type="dxa"/>
          </w:tcPr>
          <w:p w:rsidR="008E11A5" w:rsidRDefault="00342678">
            <w:pPr>
              <w:pStyle w:val="TableParagraph"/>
              <w:ind w:left="0"/>
              <w:jc w:val="both"/>
              <w:rPr>
                <w:sz w:val="28"/>
                <w:szCs w:val="28"/>
              </w:rPr>
            </w:pPr>
            <w:r>
              <w:rPr>
                <w:rFonts w:eastAsia="Calibri"/>
                <w:sz w:val="28"/>
                <w:szCs w:val="28"/>
              </w:rPr>
              <w:t>1 year</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Sebaceous Carcinoma of The Lip</w:t>
            </w:r>
          </w:p>
        </w:tc>
        <w:tc>
          <w:tcPr>
            <w:tcW w:w="1280" w:type="dxa"/>
          </w:tcPr>
          <w:p w:rsidR="008E11A5" w:rsidRDefault="00342678">
            <w:pPr>
              <w:pStyle w:val="TableParagraph"/>
              <w:ind w:left="0"/>
              <w:jc w:val="both"/>
              <w:rPr>
                <w:sz w:val="28"/>
                <w:szCs w:val="28"/>
              </w:rPr>
            </w:pPr>
            <w:r>
              <w:rPr>
                <w:rFonts w:eastAsia="Calibri"/>
                <w:sz w:val="28"/>
                <w:szCs w:val="28"/>
              </w:rPr>
              <w:t>Neoplastic cells showed a range of sebaceous differentiation with finely vacuolated rather than clear cytoplasm</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Neoplastic cells were</w:t>
            </w:r>
          </w:p>
          <w:p w:rsidR="008E11A5" w:rsidRDefault="00342678">
            <w:pPr>
              <w:pStyle w:val="TableParagraph"/>
              <w:ind w:left="0"/>
              <w:jc w:val="both"/>
              <w:rPr>
                <w:sz w:val="28"/>
                <w:szCs w:val="28"/>
              </w:rPr>
            </w:pPr>
            <w:r>
              <w:rPr>
                <w:rFonts w:eastAsia="Calibri"/>
                <w:sz w:val="28"/>
                <w:szCs w:val="28"/>
              </w:rPr>
              <w:t>positive for S-100 protein, EMA, but negative for CEA</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squamous cell carcinoma, basal cell carcinoma with sebaceous</w:t>
            </w:r>
          </w:p>
          <w:p w:rsidR="008E11A5" w:rsidRDefault="00342678">
            <w:pPr>
              <w:pStyle w:val="TableParagraph"/>
              <w:ind w:left="0"/>
              <w:jc w:val="both"/>
              <w:rPr>
                <w:sz w:val="28"/>
                <w:szCs w:val="28"/>
              </w:rPr>
            </w:pPr>
            <w:r>
              <w:rPr>
                <w:rFonts w:eastAsia="Calibri"/>
                <w:sz w:val="28"/>
                <w:szCs w:val="28"/>
              </w:rPr>
              <w:t>differentiation and salivary gland neoplasm</w:t>
            </w:r>
          </w:p>
        </w:tc>
        <w:tc>
          <w:tcPr>
            <w:tcW w:w="1147" w:type="dxa"/>
          </w:tcPr>
          <w:p w:rsidR="008E11A5" w:rsidRDefault="00342678">
            <w:pPr>
              <w:pStyle w:val="TableParagraph"/>
              <w:ind w:left="0"/>
              <w:jc w:val="both"/>
              <w:rPr>
                <w:sz w:val="28"/>
                <w:szCs w:val="28"/>
              </w:rPr>
            </w:pPr>
            <w:r>
              <w:rPr>
                <w:rFonts w:eastAsia="Calibri"/>
                <w:sz w:val="28"/>
                <w:szCs w:val="28"/>
              </w:rPr>
              <w:t>Surgery</w:t>
            </w:r>
          </w:p>
        </w:tc>
        <w:tc>
          <w:tcPr>
            <w:tcW w:w="1488" w:type="dxa"/>
          </w:tcPr>
          <w:p w:rsidR="008E11A5" w:rsidRDefault="00342678">
            <w:pPr>
              <w:pStyle w:val="TableParagraph"/>
              <w:ind w:left="0"/>
              <w:jc w:val="both"/>
              <w:rPr>
                <w:sz w:val="28"/>
                <w:szCs w:val="28"/>
              </w:rPr>
            </w:pPr>
            <w:r>
              <w:rPr>
                <w:rFonts w:eastAsia="Calibri"/>
                <w:sz w:val="28"/>
                <w:szCs w:val="28"/>
              </w:rPr>
              <w:t>patient underwent a complete clinical and radiographic evaluation to identify any regional or distant metastases</w:t>
            </w:r>
          </w:p>
        </w:tc>
      </w:tr>
      <w:tr w:rsidR="008E11A5">
        <w:tc>
          <w:tcPr>
            <w:tcW w:w="493" w:type="dxa"/>
          </w:tcPr>
          <w:p w:rsidR="008E11A5" w:rsidRDefault="008E11A5">
            <w:pPr>
              <w:pStyle w:val="TableParagraph"/>
              <w:numPr>
                <w:ilvl w:val="0"/>
                <w:numId w:val="3"/>
              </w:numPr>
              <w:jc w:val="both"/>
              <w:rPr>
                <w:sz w:val="28"/>
                <w:szCs w:val="28"/>
              </w:rPr>
            </w:pPr>
          </w:p>
        </w:tc>
        <w:tc>
          <w:tcPr>
            <w:tcW w:w="934" w:type="dxa"/>
          </w:tcPr>
          <w:p w:rsidR="008E11A5" w:rsidRDefault="00342678">
            <w:pPr>
              <w:pStyle w:val="TableParagraph"/>
              <w:ind w:left="0"/>
              <w:jc w:val="both"/>
              <w:rPr>
                <w:sz w:val="28"/>
                <w:szCs w:val="28"/>
              </w:rPr>
            </w:pPr>
            <w:r>
              <w:rPr>
                <w:rFonts w:eastAsia="Calibri"/>
                <w:sz w:val="28"/>
                <w:szCs w:val="28"/>
              </w:rPr>
              <w:t>Lu Q et al 2021</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62/M</w:t>
            </w:r>
          </w:p>
        </w:tc>
        <w:tc>
          <w:tcPr>
            <w:tcW w:w="1085" w:type="dxa"/>
          </w:tcPr>
          <w:p w:rsidR="008E11A5" w:rsidRDefault="00342678">
            <w:pPr>
              <w:pStyle w:val="TableParagraph"/>
              <w:ind w:left="0"/>
              <w:jc w:val="both"/>
              <w:rPr>
                <w:sz w:val="28"/>
                <w:szCs w:val="28"/>
              </w:rPr>
            </w:pPr>
            <w:r>
              <w:rPr>
                <w:sz w:val="28"/>
                <w:szCs w:val="28"/>
              </w:rPr>
              <w:t xml:space="preserve">Growth like mass </w:t>
            </w:r>
          </w:p>
        </w:tc>
        <w:tc>
          <w:tcPr>
            <w:tcW w:w="1145" w:type="dxa"/>
          </w:tcPr>
          <w:p w:rsidR="008E11A5" w:rsidRDefault="00342678">
            <w:pPr>
              <w:pStyle w:val="TableParagraph"/>
              <w:ind w:left="0"/>
              <w:jc w:val="both"/>
              <w:rPr>
                <w:sz w:val="28"/>
                <w:szCs w:val="28"/>
              </w:rPr>
            </w:pPr>
            <w:r>
              <w:rPr>
                <w:sz w:val="28"/>
                <w:szCs w:val="28"/>
              </w:rPr>
              <w:t xml:space="preserve">Palate </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a small nodule</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(0.5 cm × 0.5 cm) appeared beneath the </w:t>
            </w:r>
            <w:r>
              <w:rPr>
                <w:rFonts w:ascii="Times New Roman" w:eastAsia="Calibri" w:hAnsi="Times New Roman"/>
                <w:sz w:val="28"/>
                <w:szCs w:val="28"/>
              </w:rPr>
              <w:lastRenderedPageBreak/>
              <w:t>mucosa; however,</w:t>
            </w:r>
          </w:p>
          <w:p w:rsidR="008E11A5" w:rsidRDefault="00342678">
            <w:pPr>
              <w:pStyle w:val="TableParagraph"/>
              <w:ind w:left="0"/>
              <w:jc w:val="both"/>
              <w:rPr>
                <w:sz w:val="28"/>
                <w:szCs w:val="28"/>
              </w:rPr>
            </w:pPr>
            <w:r>
              <w:rPr>
                <w:rFonts w:eastAsia="Calibri"/>
                <w:sz w:val="28"/>
                <w:szCs w:val="28"/>
              </w:rPr>
              <w:t>it gradually grew to its present size of 2.0 cm × 1.5 cm)</w:t>
            </w:r>
          </w:p>
        </w:tc>
        <w:tc>
          <w:tcPr>
            <w:tcW w:w="783" w:type="dxa"/>
          </w:tcPr>
          <w:p w:rsidR="008E11A5" w:rsidRDefault="00342678">
            <w:pPr>
              <w:pStyle w:val="TableParagraph"/>
              <w:ind w:left="0"/>
              <w:jc w:val="both"/>
              <w:rPr>
                <w:sz w:val="28"/>
                <w:szCs w:val="28"/>
              </w:rPr>
            </w:pPr>
            <w:r>
              <w:rPr>
                <w:rFonts w:eastAsia="Calibri"/>
                <w:sz w:val="28"/>
                <w:szCs w:val="28"/>
              </w:rPr>
              <w:lastRenderedPageBreak/>
              <w:t>1 year</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Sebaceous carcinoma of the right palate</w:t>
            </w:r>
            <w:r>
              <w:rPr>
                <w:rFonts w:eastAsia="Calibri"/>
                <w:sz w:val="28"/>
                <w:szCs w:val="28"/>
              </w:rPr>
              <w:lastRenderedPageBreak/>
              <w:t>:</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inconclusive pattern</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but strongly suggested that </w:t>
            </w:r>
            <w:r>
              <w:rPr>
                <w:rFonts w:ascii="Times New Roman" w:eastAsia="Calibri" w:hAnsi="Times New Roman"/>
                <w:sz w:val="28"/>
                <w:szCs w:val="28"/>
              </w:rPr>
              <w:lastRenderedPageBreak/>
              <w:t>malignancy originated in</w:t>
            </w:r>
          </w:p>
          <w:p w:rsidR="008E11A5" w:rsidRDefault="00342678">
            <w:pPr>
              <w:pStyle w:val="TableParagraph"/>
              <w:ind w:left="0"/>
              <w:jc w:val="both"/>
              <w:rPr>
                <w:sz w:val="28"/>
                <w:szCs w:val="28"/>
              </w:rPr>
            </w:pPr>
            <w:r>
              <w:rPr>
                <w:rFonts w:eastAsia="Calibri"/>
                <w:sz w:val="28"/>
                <w:szCs w:val="28"/>
              </w:rPr>
              <w:t>the salivary gland</w:t>
            </w:r>
          </w:p>
        </w:tc>
        <w:tc>
          <w:tcPr>
            <w:tcW w:w="1368" w:type="dxa"/>
          </w:tcPr>
          <w:p w:rsidR="008E11A5" w:rsidRDefault="00342678">
            <w:pPr>
              <w:pStyle w:val="TableParagraph"/>
              <w:ind w:left="0"/>
              <w:jc w:val="both"/>
              <w:rPr>
                <w:sz w:val="28"/>
                <w:szCs w:val="28"/>
              </w:rPr>
            </w:pPr>
            <w:proofErr w:type="gramStart"/>
            <w:r>
              <w:rPr>
                <w:rFonts w:eastAsia="Calibri"/>
                <w:sz w:val="28"/>
                <w:szCs w:val="28"/>
              </w:rPr>
              <w:lastRenderedPageBreak/>
              <w:t>PAS(</w:t>
            </w:r>
            <w:proofErr w:type="gramEnd"/>
            <w:r>
              <w:rPr>
                <w:rFonts w:eastAsia="Calibri"/>
                <w:sz w:val="28"/>
                <w:szCs w:val="28"/>
              </w:rPr>
              <w:t>–), EMA(+), AR (+)</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squamous cell carcinoma (SCC) and</w:t>
            </w:r>
          </w:p>
          <w:p w:rsidR="008E11A5" w:rsidRDefault="00342678">
            <w:pPr>
              <w:pStyle w:val="TableParagraph"/>
              <w:ind w:left="0"/>
              <w:jc w:val="both"/>
              <w:rPr>
                <w:sz w:val="28"/>
                <w:szCs w:val="28"/>
              </w:rPr>
            </w:pPr>
            <w:r>
              <w:rPr>
                <w:rFonts w:eastAsia="Calibri"/>
                <w:sz w:val="28"/>
                <w:szCs w:val="28"/>
              </w:rPr>
              <w:t xml:space="preserve">mucoepidermoid </w:t>
            </w:r>
            <w:r>
              <w:rPr>
                <w:rFonts w:eastAsia="Calibri"/>
                <w:sz w:val="28"/>
                <w:szCs w:val="28"/>
              </w:rPr>
              <w:lastRenderedPageBreak/>
              <w:t>carcinoma</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Surgery, Postoperative chemotherapy and </w:t>
            </w:r>
            <w:r>
              <w:rPr>
                <w:rFonts w:ascii="Times New Roman" w:eastAsia="Calibri" w:hAnsi="Times New Roman"/>
                <w:sz w:val="28"/>
                <w:szCs w:val="28"/>
              </w:rPr>
              <w:lastRenderedPageBreak/>
              <w:t>radiotherapy were not</w:t>
            </w:r>
          </w:p>
          <w:p w:rsidR="008E11A5" w:rsidRDefault="00342678">
            <w:pPr>
              <w:pStyle w:val="TableParagraph"/>
              <w:ind w:left="0"/>
              <w:jc w:val="both"/>
              <w:rPr>
                <w:sz w:val="28"/>
                <w:szCs w:val="28"/>
              </w:rPr>
            </w:pPr>
            <w:r>
              <w:rPr>
                <w:rFonts w:eastAsia="Calibri"/>
                <w:sz w:val="28"/>
                <w:szCs w:val="28"/>
              </w:rPr>
              <w:t>adopted in the present case, as</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Patient was relatively satisfied</w:t>
            </w:r>
          </w:p>
          <w:p w:rsidR="008E11A5" w:rsidRDefault="00342678">
            <w:pPr>
              <w:pStyle w:val="TableParagraph"/>
              <w:ind w:left="0"/>
              <w:jc w:val="both"/>
              <w:rPr>
                <w:sz w:val="28"/>
                <w:szCs w:val="28"/>
              </w:rPr>
            </w:pPr>
            <w:r>
              <w:rPr>
                <w:rFonts w:eastAsia="Calibri"/>
                <w:sz w:val="28"/>
                <w:szCs w:val="28"/>
              </w:rPr>
              <w:t>with the surgery</w:t>
            </w:r>
          </w:p>
        </w:tc>
      </w:tr>
      <w:tr w:rsidR="008E11A5">
        <w:tc>
          <w:tcPr>
            <w:tcW w:w="493" w:type="dxa"/>
          </w:tcPr>
          <w:p w:rsidR="008E11A5" w:rsidRDefault="00342678">
            <w:pPr>
              <w:pStyle w:val="TableParagraph"/>
              <w:ind w:left="0"/>
              <w:jc w:val="both"/>
              <w:rPr>
                <w:sz w:val="28"/>
                <w:szCs w:val="28"/>
              </w:rPr>
            </w:pPr>
            <w:r>
              <w:rPr>
                <w:sz w:val="28"/>
                <w:szCs w:val="28"/>
              </w:rPr>
              <w:t>12</w:t>
            </w:r>
          </w:p>
        </w:tc>
        <w:tc>
          <w:tcPr>
            <w:tcW w:w="934" w:type="dxa"/>
          </w:tcPr>
          <w:p w:rsidR="008E11A5" w:rsidRDefault="00342678">
            <w:pPr>
              <w:pStyle w:val="TableParagraph"/>
              <w:ind w:left="0"/>
              <w:jc w:val="both"/>
              <w:rPr>
                <w:sz w:val="28"/>
                <w:szCs w:val="28"/>
              </w:rPr>
            </w:pPr>
            <w:proofErr w:type="spellStart"/>
            <w:r>
              <w:rPr>
                <w:rFonts w:eastAsia="Calibri"/>
                <w:sz w:val="28"/>
                <w:szCs w:val="28"/>
              </w:rPr>
              <w:t>Cosola</w:t>
            </w:r>
            <w:proofErr w:type="spellEnd"/>
            <w:r>
              <w:rPr>
                <w:rFonts w:eastAsia="Calibri"/>
                <w:sz w:val="28"/>
                <w:szCs w:val="28"/>
              </w:rPr>
              <w:t xml:space="preserve"> MD et al 2022</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71/M</w:t>
            </w:r>
          </w:p>
        </w:tc>
        <w:tc>
          <w:tcPr>
            <w:tcW w:w="1085" w:type="dxa"/>
          </w:tcPr>
          <w:p w:rsidR="008E11A5" w:rsidRDefault="00342678">
            <w:pPr>
              <w:pStyle w:val="TableParagraph"/>
              <w:ind w:left="0"/>
              <w:jc w:val="both"/>
              <w:rPr>
                <w:sz w:val="28"/>
                <w:szCs w:val="28"/>
              </w:rPr>
            </w:pPr>
            <w:r>
              <w:rPr>
                <w:sz w:val="28"/>
                <w:szCs w:val="28"/>
              </w:rPr>
              <w:t xml:space="preserve">Ulcerated </w:t>
            </w:r>
          </w:p>
        </w:tc>
        <w:tc>
          <w:tcPr>
            <w:tcW w:w="1145" w:type="dxa"/>
          </w:tcPr>
          <w:p w:rsidR="008E11A5" w:rsidRDefault="00342678">
            <w:pPr>
              <w:pStyle w:val="TableParagraph"/>
              <w:ind w:left="0"/>
              <w:jc w:val="both"/>
              <w:rPr>
                <w:sz w:val="28"/>
                <w:szCs w:val="28"/>
              </w:rPr>
            </w:pPr>
            <w:r>
              <w:rPr>
                <w:sz w:val="28"/>
                <w:szCs w:val="28"/>
              </w:rPr>
              <w:t>Lower lip</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markedly ulcerated, exophytic, irregularly shaped, indurated mass of the lower right</w:t>
            </w:r>
          </w:p>
          <w:p w:rsidR="008E11A5" w:rsidRDefault="00342678">
            <w:pPr>
              <w:pStyle w:val="TableParagraph"/>
              <w:ind w:left="0"/>
              <w:jc w:val="both"/>
              <w:rPr>
                <w:sz w:val="28"/>
                <w:szCs w:val="28"/>
              </w:rPr>
            </w:pPr>
            <w:r>
              <w:rPr>
                <w:rFonts w:eastAsia="Calibri"/>
                <w:sz w:val="28"/>
                <w:szCs w:val="28"/>
              </w:rPr>
              <w:t>labial region, measuring 1.8 cm in size.</w:t>
            </w:r>
          </w:p>
        </w:tc>
        <w:tc>
          <w:tcPr>
            <w:tcW w:w="783" w:type="dxa"/>
          </w:tcPr>
          <w:p w:rsidR="008E11A5" w:rsidRDefault="00342678">
            <w:pPr>
              <w:pStyle w:val="TableParagraph"/>
              <w:ind w:left="0"/>
              <w:jc w:val="both"/>
              <w:rPr>
                <w:sz w:val="28"/>
                <w:szCs w:val="28"/>
              </w:rPr>
            </w:pPr>
            <w:r>
              <w:rPr>
                <w:rFonts w:eastAsia="Calibri"/>
                <w:sz w:val="28"/>
                <w:szCs w:val="28"/>
              </w:rPr>
              <w:t>1 year</w:t>
            </w:r>
          </w:p>
        </w:tc>
        <w:tc>
          <w:tcPr>
            <w:tcW w:w="794" w:type="dxa"/>
          </w:tcPr>
          <w:p w:rsidR="008E11A5" w:rsidRDefault="00342678">
            <w:pPr>
              <w:pStyle w:val="TableParagraph"/>
              <w:ind w:left="0"/>
              <w:jc w:val="both"/>
              <w:rPr>
                <w:sz w:val="28"/>
                <w:szCs w:val="28"/>
              </w:rPr>
            </w:pPr>
            <w:r>
              <w:rPr>
                <w:rFonts w:eastAsia="Calibri"/>
                <w:sz w:val="28"/>
                <w:szCs w:val="28"/>
              </w:rPr>
              <w:t>NR</w:t>
            </w:r>
          </w:p>
        </w:tc>
        <w:tc>
          <w:tcPr>
            <w:tcW w:w="1022" w:type="dxa"/>
          </w:tcPr>
          <w:p w:rsidR="008E11A5" w:rsidRDefault="00342678">
            <w:pPr>
              <w:pStyle w:val="TableParagraph"/>
              <w:ind w:left="0"/>
              <w:jc w:val="both"/>
              <w:rPr>
                <w:sz w:val="28"/>
                <w:szCs w:val="28"/>
              </w:rPr>
            </w:pPr>
            <w:r>
              <w:rPr>
                <w:rFonts w:eastAsia="Calibri"/>
                <w:sz w:val="28"/>
                <w:szCs w:val="28"/>
              </w:rPr>
              <w:t>Sebaceous carcinoma of the lip:</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nodules</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or sheet of cells separated by a fibrovascular stroma. The neoplastic tissue was deeply infiltrating, involving the</w:t>
            </w:r>
          </w:p>
          <w:p w:rsidR="008E11A5" w:rsidRDefault="00342678">
            <w:pPr>
              <w:pStyle w:val="TableParagraph"/>
              <w:ind w:left="0"/>
              <w:jc w:val="both"/>
              <w:rPr>
                <w:sz w:val="28"/>
                <w:szCs w:val="28"/>
              </w:rPr>
            </w:pPr>
            <w:r>
              <w:rPr>
                <w:rFonts w:eastAsia="Calibri"/>
                <w:sz w:val="28"/>
                <w:szCs w:val="28"/>
              </w:rPr>
              <w:lastRenderedPageBreak/>
              <w:t>submucosa and even the underlying muscle.</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Neoplastic cells were positive for S-100 protein and epithelial membrane</w:t>
            </w:r>
          </w:p>
          <w:p w:rsidR="008E11A5" w:rsidRDefault="00342678">
            <w:pPr>
              <w:pStyle w:val="TableParagraph"/>
              <w:ind w:left="0"/>
              <w:jc w:val="both"/>
              <w:rPr>
                <w:sz w:val="28"/>
                <w:szCs w:val="28"/>
              </w:rPr>
            </w:pPr>
            <w:r>
              <w:rPr>
                <w:rFonts w:eastAsia="Calibri"/>
                <w:sz w:val="28"/>
                <w:szCs w:val="28"/>
              </w:rPr>
              <w:t>antigen, but negative for carcinoembryonic antigen</w:t>
            </w:r>
          </w:p>
        </w:tc>
        <w:tc>
          <w:tcPr>
            <w:tcW w:w="1298" w:type="dxa"/>
          </w:tcPr>
          <w:p w:rsidR="008E11A5" w:rsidRDefault="00342678">
            <w:pPr>
              <w:pStyle w:val="TableParagraph"/>
              <w:ind w:left="0"/>
              <w:jc w:val="both"/>
              <w:rPr>
                <w:sz w:val="28"/>
                <w:szCs w:val="28"/>
              </w:rPr>
            </w:pPr>
            <w:r>
              <w:rPr>
                <w:rFonts w:eastAsia="Calibri"/>
                <w:sz w:val="28"/>
                <w:szCs w:val="28"/>
              </w:rPr>
              <w:t>squamous cell carcinoma, basal cell carcinoma with sebaceous differentiation, and salivary gland neoplasms</w:t>
            </w:r>
          </w:p>
        </w:tc>
        <w:tc>
          <w:tcPr>
            <w:tcW w:w="1147" w:type="dxa"/>
          </w:tcPr>
          <w:p w:rsidR="008E11A5" w:rsidRDefault="00342678">
            <w:pPr>
              <w:pStyle w:val="TableParagraph"/>
              <w:ind w:left="0"/>
              <w:jc w:val="both"/>
              <w:rPr>
                <w:sz w:val="28"/>
                <w:szCs w:val="28"/>
              </w:rPr>
            </w:pPr>
            <w:r>
              <w:rPr>
                <w:rFonts w:eastAsia="Calibri"/>
                <w:sz w:val="28"/>
                <w:szCs w:val="28"/>
              </w:rPr>
              <w:t>excisional biopsy with 0.5 cm of free margins and W-shaped wedge was performed;</w:t>
            </w:r>
          </w:p>
        </w:tc>
        <w:tc>
          <w:tcPr>
            <w:tcW w:w="1488" w:type="dxa"/>
          </w:tcPr>
          <w:p w:rsidR="008E11A5" w:rsidRDefault="00342678">
            <w:pPr>
              <w:pStyle w:val="TableParagraph"/>
              <w:ind w:left="0"/>
              <w:jc w:val="both"/>
              <w:rPr>
                <w:sz w:val="28"/>
                <w:szCs w:val="28"/>
              </w:rPr>
            </w:pPr>
            <w:r>
              <w:rPr>
                <w:rFonts w:eastAsia="Calibri"/>
                <w:sz w:val="28"/>
                <w:szCs w:val="28"/>
              </w:rPr>
              <w:t>patient underwent a complete clinical and radiographic evaluation to identify any regional or distant metastases.</w:t>
            </w:r>
          </w:p>
        </w:tc>
      </w:tr>
      <w:tr w:rsidR="008E11A5">
        <w:tc>
          <w:tcPr>
            <w:tcW w:w="493" w:type="dxa"/>
          </w:tcPr>
          <w:p w:rsidR="008E11A5" w:rsidRDefault="00342678">
            <w:pPr>
              <w:pStyle w:val="TableParagraph"/>
              <w:ind w:left="0"/>
              <w:jc w:val="both"/>
              <w:rPr>
                <w:sz w:val="28"/>
                <w:szCs w:val="28"/>
              </w:rPr>
            </w:pPr>
            <w:r>
              <w:rPr>
                <w:sz w:val="28"/>
                <w:szCs w:val="28"/>
              </w:rPr>
              <w:t>13</w:t>
            </w:r>
          </w:p>
        </w:tc>
        <w:tc>
          <w:tcPr>
            <w:tcW w:w="934" w:type="dxa"/>
          </w:tcPr>
          <w:p w:rsidR="008E11A5" w:rsidRDefault="00342678">
            <w:pPr>
              <w:pStyle w:val="TableParagraph"/>
              <w:ind w:left="0"/>
              <w:jc w:val="both"/>
              <w:rPr>
                <w:rFonts w:eastAsia="Calibri"/>
                <w:sz w:val="28"/>
                <w:szCs w:val="28"/>
              </w:rPr>
            </w:pPr>
            <w:proofErr w:type="spellStart"/>
            <w:r>
              <w:rPr>
                <w:rFonts w:eastAsia="Calibri"/>
                <w:sz w:val="28"/>
                <w:szCs w:val="28"/>
              </w:rPr>
              <w:t>Katib</w:t>
            </w:r>
            <w:proofErr w:type="spellEnd"/>
            <w:r>
              <w:rPr>
                <w:rFonts w:eastAsia="Calibri"/>
                <w:sz w:val="28"/>
                <w:szCs w:val="28"/>
              </w:rPr>
              <w:t xml:space="preserve"> Y et al 2024</w:t>
            </w:r>
          </w:p>
        </w:tc>
        <w:tc>
          <w:tcPr>
            <w:tcW w:w="854" w:type="dxa"/>
          </w:tcPr>
          <w:p w:rsidR="008E11A5" w:rsidRDefault="00342678">
            <w:pPr>
              <w:pStyle w:val="TableParagraph"/>
              <w:ind w:left="0"/>
              <w:jc w:val="both"/>
              <w:rPr>
                <w:sz w:val="28"/>
                <w:szCs w:val="28"/>
              </w:rPr>
            </w:pPr>
            <w:r>
              <w:rPr>
                <w:sz w:val="28"/>
                <w:szCs w:val="28"/>
              </w:rPr>
              <w:t>1</w:t>
            </w:r>
          </w:p>
        </w:tc>
        <w:tc>
          <w:tcPr>
            <w:tcW w:w="700" w:type="dxa"/>
          </w:tcPr>
          <w:p w:rsidR="008E11A5" w:rsidRDefault="00342678">
            <w:pPr>
              <w:pStyle w:val="TableParagraph"/>
              <w:ind w:left="0"/>
              <w:jc w:val="both"/>
              <w:rPr>
                <w:sz w:val="28"/>
                <w:szCs w:val="28"/>
              </w:rPr>
            </w:pPr>
            <w:r>
              <w:rPr>
                <w:sz w:val="28"/>
                <w:szCs w:val="28"/>
              </w:rPr>
              <w:t xml:space="preserve">47/M </w:t>
            </w:r>
          </w:p>
        </w:tc>
        <w:tc>
          <w:tcPr>
            <w:tcW w:w="1085" w:type="dxa"/>
          </w:tcPr>
          <w:p w:rsidR="008E11A5" w:rsidRDefault="00342678">
            <w:pPr>
              <w:pStyle w:val="TableParagraph"/>
              <w:ind w:left="0"/>
              <w:jc w:val="both"/>
              <w:rPr>
                <w:sz w:val="28"/>
                <w:szCs w:val="28"/>
              </w:rPr>
            </w:pPr>
            <w:proofErr w:type="gramStart"/>
            <w:r>
              <w:rPr>
                <w:sz w:val="28"/>
                <w:szCs w:val="28"/>
              </w:rPr>
              <w:t>Ulcerated ,</w:t>
            </w:r>
            <w:proofErr w:type="gramEnd"/>
            <w:r>
              <w:rPr>
                <w:sz w:val="28"/>
                <w:szCs w:val="28"/>
              </w:rPr>
              <w:t xml:space="preserve"> painless mass </w:t>
            </w:r>
          </w:p>
        </w:tc>
        <w:tc>
          <w:tcPr>
            <w:tcW w:w="1145" w:type="dxa"/>
          </w:tcPr>
          <w:p w:rsidR="008E11A5" w:rsidRDefault="00342678">
            <w:pPr>
              <w:pStyle w:val="TableParagraph"/>
              <w:ind w:left="0"/>
              <w:jc w:val="both"/>
              <w:rPr>
                <w:sz w:val="28"/>
                <w:szCs w:val="28"/>
              </w:rPr>
            </w:pPr>
            <w:r>
              <w:rPr>
                <w:sz w:val="28"/>
                <w:szCs w:val="28"/>
              </w:rPr>
              <w:t>Upper lip</w:t>
            </w:r>
          </w:p>
        </w:tc>
        <w:tc>
          <w:tcPr>
            <w:tcW w:w="130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ulcerated, exophytic, and</w:t>
            </w:r>
          </w:p>
          <w:p w:rsidR="008E11A5" w:rsidRDefault="00342678">
            <w:pPr>
              <w:pStyle w:val="TableParagraph"/>
              <w:ind w:left="0"/>
              <w:jc w:val="both"/>
              <w:rPr>
                <w:sz w:val="28"/>
                <w:szCs w:val="28"/>
              </w:rPr>
            </w:pPr>
            <w:r>
              <w:rPr>
                <w:rFonts w:eastAsia="Calibri"/>
                <w:sz w:val="28"/>
                <w:szCs w:val="28"/>
              </w:rPr>
              <w:t xml:space="preserve">irregularly shaped mass was observed on the upper lip </w:t>
            </w:r>
          </w:p>
        </w:tc>
        <w:tc>
          <w:tcPr>
            <w:tcW w:w="783" w:type="dxa"/>
          </w:tcPr>
          <w:p w:rsidR="008E11A5" w:rsidRDefault="00342678">
            <w:pPr>
              <w:pStyle w:val="TableParagraph"/>
              <w:ind w:left="0"/>
              <w:jc w:val="both"/>
              <w:rPr>
                <w:sz w:val="28"/>
                <w:szCs w:val="28"/>
              </w:rPr>
            </w:pPr>
            <w:r>
              <w:rPr>
                <w:rFonts w:eastAsia="Calibri"/>
                <w:sz w:val="28"/>
                <w:szCs w:val="28"/>
              </w:rPr>
              <w:t>1 year</w:t>
            </w:r>
          </w:p>
        </w:tc>
        <w:tc>
          <w:tcPr>
            <w:tcW w:w="794" w:type="dxa"/>
          </w:tcPr>
          <w:p w:rsidR="008E11A5" w:rsidRDefault="00342678">
            <w:pPr>
              <w:pStyle w:val="TableParagraph"/>
              <w:ind w:left="0"/>
              <w:jc w:val="both"/>
              <w:rPr>
                <w:sz w:val="28"/>
                <w:szCs w:val="28"/>
              </w:rPr>
            </w:pPr>
            <w:r>
              <w:rPr>
                <w:rFonts w:eastAsia="Calibri"/>
                <w:sz w:val="28"/>
                <w:szCs w:val="28"/>
              </w:rPr>
              <w:t xml:space="preserve">Lymph node showed no metastases </w:t>
            </w:r>
          </w:p>
        </w:tc>
        <w:tc>
          <w:tcPr>
            <w:tcW w:w="1022"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oral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sebaceous carcinoma in the</w:t>
            </w:r>
          </w:p>
          <w:p w:rsidR="008E11A5" w:rsidRDefault="00342678">
            <w:pPr>
              <w:pStyle w:val="TableParagraph"/>
              <w:ind w:left="0"/>
              <w:jc w:val="both"/>
              <w:rPr>
                <w:sz w:val="28"/>
                <w:szCs w:val="28"/>
              </w:rPr>
            </w:pPr>
            <w:r>
              <w:rPr>
                <w:rFonts w:eastAsia="Calibri"/>
                <w:sz w:val="28"/>
                <w:szCs w:val="28"/>
              </w:rPr>
              <w:t>upper lip</w:t>
            </w:r>
          </w:p>
        </w:tc>
        <w:tc>
          <w:tcPr>
            <w:tcW w:w="1280"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malignant</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tumor with a nodular pattern consisting of basaloid cells with obvious</w:t>
            </w:r>
          </w:p>
          <w:p w:rsidR="008E11A5" w:rsidRDefault="00342678">
            <w:pPr>
              <w:pStyle w:val="TableParagraph"/>
              <w:ind w:left="0"/>
              <w:jc w:val="both"/>
              <w:rPr>
                <w:sz w:val="28"/>
                <w:szCs w:val="28"/>
              </w:rPr>
            </w:pPr>
            <w:r>
              <w:rPr>
                <w:rFonts w:eastAsia="Calibri"/>
                <w:sz w:val="28"/>
                <w:szCs w:val="28"/>
              </w:rPr>
              <w:t>sebaceous differentiations and frequent mitoses</w:t>
            </w:r>
          </w:p>
        </w:tc>
        <w:tc>
          <w:tcPr>
            <w:tcW w:w="136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neoplastic cells tested</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positive for broad-spectrum cytokeratin (AE1-AE3), epithelial membrane</w:t>
            </w:r>
          </w:p>
          <w:p w:rsidR="008E11A5" w:rsidRDefault="00342678">
            <w:pPr>
              <w:spacing w:after="0" w:line="240" w:lineRule="auto"/>
              <w:jc w:val="both"/>
              <w:rPr>
                <w:rFonts w:ascii="Times New Roman" w:hAnsi="Times New Roman"/>
                <w:sz w:val="28"/>
                <w:szCs w:val="28"/>
              </w:rPr>
            </w:pPr>
            <w:r>
              <w:rPr>
                <w:rFonts w:ascii="Times New Roman" w:eastAsia="Calibri" w:hAnsi="Times New Roman"/>
                <w:sz w:val="28"/>
                <w:szCs w:val="28"/>
              </w:rPr>
              <w:t xml:space="preserve">antigen (EMA), and P53, while testing negative for S-100 </w:t>
            </w:r>
            <w:proofErr w:type="spellStart"/>
            <w:r>
              <w:rPr>
                <w:rFonts w:ascii="Times New Roman" w:eastAsia="Calibri" w:hAnsi="Times New Roman"/>
                <w:sz w:val="28"/>
                <w:szCs w:val="28"/>
              </w:rPr>
              <w:t>andcarcinoembryonic</w:t>
            </w:r>
            <w:proofErr w:type="spellEnd"/>
            <w:r>
              <w:rPr>
                <w:rFonts w:ascii="Times New Roman" w:eastAsia="Calibri" w:hAnsi="Times New Roman"/>
                <w:sz w:val="28"/>
                <w:szCs w:val="28"/>
              </w:rPr>
              <w:t xml:space="preserve"> antigen (CEA).</w:t>
            </w:r>
          </w:p>
        </w:tc>
        <w:tc>
          <w:tcPr>
            <w:tcW w:w="129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basal cell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carcinoma (BCC), squamous cell carcinoma (SCC), and a</w:t>
            </w:r>
          </w:p>
          <w:p w:rsidR="008E11A5" w:rsidRDefault="00342678">
            <w:pPr>
              <w:pStyle w:val="TableParagraph"/>
              <w:ind w:left="0"/>
              <w:jc w:val="both"/>
              <w:rPr>
                <w:sz w:val="28"/>
                <w:szCs w:val="28"/>
              </w:rPr>
            </w:pPr>
            <w:r>
              <w:rPr>
                <w:rFonts w:eastAsia="Calibri"/>
                <w:sz w:val="28"/>
                <w:szCs w:val="28"/>
              </w:rPr>
              <w:t>salivary gland tumor.</w:t>
            </w:r>
          </w:p>
        </w:tc>
        <w:tc>
          <w:tcPr>
            <w:tcW w:w="1147"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lip-wide local</w:t>
            </w:r>
          </w:p>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excision with reconstruction using a local flap and </w:t>
            </w:r>
            <w:proofErr w:type="spellStart"/>
            <w:r>
              <w:rPr>
                <w:rFonts w:ascii="Times New Roman" w:eastAsia="Calibri" w:hAnsi="Times New Roman"/>
                <w:sz w:val="28"/>
                <w:szCs w:val="28"/>
              </w:rPr>
              <w:t>leftmodified</w:t>
            </w:r>
            <w:proofErr w:type="spellEnd"/>
          </w:p>
          <w:p w:rsidR="008E11A5" w:rsidRDefault="00342678">
            <w:pPr>
              <w:pStyle w:val="TableParagraph"/>
              <w:ind w:left="0"/>
              <w:jc w:val="both"/>
              <w:rPr>
                <w:sz w:val="28"/>
                <w:szCs w:val="28"/>
              </w:rPr>
            </w:pPr>
            <w:r>
              <w:rPr>
                <w:rFonts w:eastAsia="Calibri"/>
                <w:sz w:val="28"/>
                <w:szCs w:val="28"/>
              </w:rPr>
              <w:t>radical neck dissection.</w:t>
            </w:r>
          </w:p>
        </w:tc>
        <w:tc>
          <w:tcPr>
            <w:tcW w:w="1488" w:type="dxa"/>
          </w:tcPr>
          <w:p w:rsidR="008E11A5" w:rsidRDefault="00342678">
            <w:pPr>
              <w:spacing w:after="0" w:line="240" w:lineRule="auto"/>
              <w:jc w:val="both"/>
              <w:rPr>
                <w:rFonts w:ascii="Times New Roman" w:eastAsia="Calibri" w:hAnsi="Times New Roman"/>
                <w:sz w:val="28"/>
                <w:szCs w:val="28"/>
              </w:rPr>
            </w:pPr>
            <w:r>
              <w:rPr>
                <w:rFonts w:ascii="Times New Roman" w:eastAsia="Calibri" w:hAnsi="Times New Roman"/>
                <w:sz w:val="28"/>
                <w:szCs w:val="28"/>
              </w:rPr>
              <w:t>Three months post-RT, magnetic resonance</w:t>
            </w:r>
          </w:p>
          <w:p w:rsidR="008E11A5" w:rsidRDefault="00342678">
            <w:pPr>
              <w:pStyle w:val="TableParagraph"/>
              <w:ind w:left="0"/>
              <w:jc w:val="both"/>
              <w:rPr>
                <w:sz w:val="28"/>
                <w:szCs w:val="28"/>
              </w:rPr>
            </w:pPr>
            <w:r>
              <w:rPr>
                <w:rFonts w:eastAsia="Calibri"/>
                <w:sz w:val="28"/>
                <w:szCs w:val="28"/>
              </w:rPr>
              <w:t>imaging (MRI) scan indicated no tumor recurrence</w:t>
            </w:r>
          </w:p>
        </w:tc>
      </w:tr>
    </w:tbl>
    <w:p w:rsidR="008E11A5" w:rsidRDefault="00342678">
      <w:pPr>
        <w:pStyle w:val="TableParagraph"/>
        <w:spacing w:line="276" w:lineRule="auto"/>
        <w:ind w:left="0"/>
        <w:jc w:val="both"/>
        <w:rPr>
          <w:sz w:val="28"/>
          <w:szCs w:val="28"/>
        </w:rPr>
      </w:pPr>
      <w:r>
        <w:rPr>
          <w:sz w:val="28"/>
          <w:szCs w:val="28"/>
        </w:rPr>
        <w:t>NR –Not reported, NA- Not Available</w:t>
      </w:r>
    </w:p>
    <w:p w:rsidR="008E11A5" w:rsidRDefault="00342678">
      <w:pPr>
        <w:spacing w:line="276" w:lineRule="auto"/>
        <w:jc w:val="both"/>
        <w:rPr>
          <w:rFonts w:ascii="Times New Roman" w:hAnsi="Times New Roman"/>
          <w:sz w:val="28"/>
          <w:szCs w:val="28"/>
        </w:rPr>
      </w:pPr>
      <w:r>
        <w:rPr>
          <w:rFonts w:ascii="Times New Roman" w:hAnsi="Times New Roman"/>
          <w:sz w:val="28"/>
          <w:szCs w:val="28"/>
        </w:rPr>
        <w:lastRenderedPageBreak/>
        <w:t xml:space="preserve"> </w:t>
      </w:r>
    </w:p>
    <w:p w:rsidR="008E11A5" w:rsidRDefault="00342678">
      <w:pPr>
        <w:pStyle w:val="TableParagraph"/>
        <w:spacing w:line="276" w:lineRule="auto"/>
        <w:ind w:left="0"/>
        <w:jc w:val="both"/>
        <w:rPr>
          <w:sz w:val="28"/>
          <w:szCs w:val="28"/>
        </w:rPr>
      </w:pPr>
      <w:r>
        <w:rPr>
          <w:sz w:val="28"/>
          <w:szCs w:val="28"/>
        </w:rPr>
        <w:t xml:space="preserve"> </w:t>
      </w:r>
    </w:p>
    <w:p w:rsidR="008E11A5" w:rsidRDefault="008E11A5">
      <w:pPr>
        <w:spacing w:after="0" w:line="276" w:lineRule="auto"/>
        <w:jc w:val="both"/>
        <w:rPr>
          <w:rFonts w:ascii="Times New Roman" w:hAnsi="Times New Roman"/>
          <w:sz w:val="28"/>
          <w:szCs w:val="28"/>
        </w:rPr>
        <w:sectPr w:rsidR="008E11A5">
          <w:pgSz w:w="16840" w:h="11910" w:orient="landscape"/>
          <w:pgMar w:top="1340" w:right="566" w:bottom="1200" w:left="566" w:header="0" w:footer="1006" w:gutter="0"/>
          <w:pgBorders w:offsetFrom="page">
            <w:top w:val="single" w:sz="4" w:space="24" w:color="auto"/>
            <w:left w:val="single" w:sz="4" w:space="24" w:color="auto"/>
            <w:bottom w:val="single" w:sz="4" w:space="24" w:color="auto"/>
            <w:right w:val="single" w:sz="4" w:space="24" w:color="auto"/>
          </w:pgBorders>
          <w:cols w:space="720"/>
        </w:sectPr>
      </w:pPr>
    </w:p>
    <w:p w:rsidR="008E11A5" w:rsidRDefault="00342678">
      <w:pPr>
        <w:spacing w:line="276" w:lineRule="auto"/>
        <w:jc w:val="both"/>
        <w:rPr>
          <w:rFonts w:ascii="Times New Roman" w:hAnsi="Times New Roman"/>
          <w:b/>
          <w:bCs/>
          <w:sz w:val="32"/>
          <w:szCs w:val="28"/>
        </w:rPr>
      </w:pPr>
      <w:r>
        <w:rPr>
          <w:rFonts w:ascii="Times New Roman" w:hAnsi="Times New Roman"/>
          <w:b/>
          <w:bCs/>
          <w:sz w:val="32"/>
          <w:szCs w:val="28"/>
        </w:rPr>
        <w:lastRenderedPageBreak/>
        <w:t>DISCUSSION –</w:t>
      </w:r>
    </w:p>
    <w:p w:rsidR="008E11A5" w:rsidRDefault="00342678">
      <w:pPr>
        <w:spacing w:after="100" w:afterAutospacing="1" w:line="240" w:lineRule="auto"/>
        <w:jc w:val="both"/>
        <w:rPr>
          <w:rFonts w:ascii="Times New Roman" w:hAnsi="Times New Roman"/>
          <w:bCs/>
          <w:sz w:val="28"/>
          <w:szCs w:val="28"/>
        </w:rPr>
      </w:pPr>
      <w:r>
        <w:rPr>
          <w:rFonts w:ascii="Times New Roman" w:hAnsi="Times New Roman"/>
          <w:bCs/>
          <w:sz w:val="28"/>
          <w:szCs w:val="28"/>
        </w:rPr>
        <w:t xml:space="preserve">Sebaceous carcinoma (SC) is a rare epithelial neoplasm that typically originates in the ocular adnexa, most commonly from the meibomian glands or the glands of Zeis²¹. By definition, SC is a cytologically and/or architecturally malignant tumor characterized by exclusive </w:t>
      </w:r>
      <w:proofErr w:type="spellStart"/>
      <w:r>
        <w:rPr>
          <w:rFonts w:ascii="Times New Roman" w:hAnsi="Times New Roman"/>
          <w:bCs/>
          <w:sz w:val="28"/>
          <w:szCs w:val="28"/>
        </w:rPr>
        <w:t>sebocyte</w:t>
      </w:r>
      <w:proofErr w:type="spellEnd"/>
      <w:r>
        <w:rPr>
          <w:rFonts w:ascii="Times New Roman" w:hAnsi="Times New Roman"/>
          <w:bCs/>
          <w:sz w:val="28"/>
          <w:szCs w:val="28"/>
        </w:rPr>
        <w:t xml:space="preserve"> differentiation²². Although sebaceous glands are present in various anatomical sites, the majority of sebaceous tumors—including SC—occur in the head and neck region.</w:t>
      </w:r>
    </w:p>
    <w:p w:rsidR="008E11A5" w:rsidRDefault="00342678">
      <w:pPr>
        <w:spacing w:after="100" w:afterAutospacing="1" w:line="240" w:lineRule="auto"/>
        <w:jc w:val="both"/>
        <w:rPr>
          <w:rFonts w:ascii="Times New Roman" w:hAnsi="Times New Roman"/>
          <w:bCs/>
          <w:sz w:val="28"/>
          <w:szCs w:val="28"/>
        </w:rPr>
      </w:pPr>
      <w:r>
        <w:rPr>
          <w:rFonts w:ascii="Times New Roman" w:hAnsi="Times New Roman"/>
          <w:bCs/>
          <w:sz w:val="28"/>
          <w:szCs w:val="28"/>
        </w:rPr>
        <w:t xml:space="preserve">While sebaceous carcinoma shows a marked predilection for the ocular region, particularly the upper eyelids, approximately 25% of cases develop in </w:t>
      </w:r>
      <w:proofErr w:type="spellStart"/>
      <w:r>
        <w:rPr>
          <w:rFonts w:ascii="Times New Roman" w:hAnsi="Times New Roman"/>
          <w:bCs/>
          <w:sz w:val="28"/>
          <w:szCs w:val="28"/>
        </w:rPr>
        <w:t>extraorbital</w:t>
      </w:r>
      <w:proofErr w:type="spellEnd"/>
      <w:r>
        <w:rPr>
          <w:rFonts w:ascii="Times New Roman" w:hAnsi="Times New Roman"/>
          <w:bCs/>
          <w:sz w:val="28"/>
          <w:szCs w:val="28"/>
        </w:rPr>
        <w:t xml:space="preserve"> locations. Among these, the parotid gland accounts for nearly 30% of </w:t>
      </w:r>
      <w:proofErr w:type="spellStart"/>
      <w:r>
        <w:rPr>
          <w:rFonts w:ascii="Times New Roman" w:hAnsi="Times New Roman"/>
          <w:bCs/>
          <w:sz w:val="28"/>
          <w:szCs w:val="28"/>
        </w:rPr>
        <w:t>extraorbital</w:t>
      </w:r>
      <w:proofErr w:type="spellEnd"/>
      <w:r>
        <w:rPr>
          <w:rFonts w:ascii="Times New Roman" w:hAnsi="Times New Roman"/>
          <w:bCs/>
          <w:sz w:val="28"/>
          <w:szCs w:val="28"/>
        </w:rPr>
        <w:t xml:space="preserve"> cases²³.</w:t>
      </w:r>
    </w:p>
    <w:p w:rsidR="008E11A5" w:rsidRDefault="00342678">
      <w:pPr>
        <w:pStyle w:val="NormalWeb"/>
        <w:jc w:val="both"/>
        <w:rPr>
          <w:bCs/>
          <w:sz w:val="28"/>
          <w:szCs w:val="28"/>
        </w:rPr>
      </w:pPr>
      <w:r>
        <w:rPr>
          <w:rStyle w:val="Strong"/>
          <w:b w:val="0"/>
          <w:sz w:val="28"/>
          <w:szCs w:val="28"/>
        </w:rPr>
        <w:t>Glands exhibiting sebaceous differentiation</w:t>
      </w:r>
      <w:r>
        <w:rPr>
          <w:bCs/>
          <w:sz w:val="28"/>
          <w:szCs w:val="28"/>
        </w:rPr>
        <w:t xml:space="preserve"> are frequently identified within the </w:t>
      </w:r>
      <w:r>
        <w:rPr>
          <w:rStyle w:val="Strong"/>
          <w:b w:val="0"/>
          <w:sz w:val="28"/>
          <w:szCs w:val="28"/>
        </w:rPr>
        <w:t>oral cavity</w:t>
      </w:r>
      <w:r>
        <w:rPr>
          <w:bCs/>
          <w:sz w:val="28"/>
          <w:szCs w:val="28"/>
        </w:rPr>
        <w:t xml:space="preserve">, and similar differentiation may also be observed in the </w:t>
      </w:r>
      <w:r>
        <w:rPr>
          <w:rStyle w:val="Strong"/>
          <w:b w:val="0"/>
          <w:sz w:val="28"/>
          <w:szCs w:val="28"/>
        </w:rPr>
        <w:t>major salivary glands²⁴</w:t>
      </w:r>
      <w:r>
        <w:rPr>
          <w:bCs/>
          <w:sz w:val="28"/>
          <w:szCs w:val="28"/>
        </w:rPr>
        <w:t xml:space="preserve">. Sebaceous glands are found in approximately </w:t>
      </w:r>
      <w:r>
        <w:rPr>
          <w:rStyle w:val="Strong"/>
          <w:b w:val="0"/>
          <w:sz w:val="28"/>
          <w:szCs w:val="28"/>
        </w:rPr>
        <w:t>10%–40% of normal parotid glands</w:t>
      </w:r>
      <w:r>
        <w:rPr>
          <w:bCs/>
          <w:sz w:val="28"/>
          <w:szCs w:val="28"/>
        </w:rPr>
        <w:t xml:space="preserve"> and </w:t>
      </w:r>
      <w:r>
        <w:rPr>
          <w:rStyle w:val="Strong"/>
          <w:b w:val="0"/>
          <w:sz w:val="28"/>
          <w:szCs w:val="28"/>
        </w:rPr>
        <w:t>6%–10% of submandibular glands²⁵</w:t>
      </w:r>
      <w:r>
        <w:rPr>
          <w:bCs/>
          <w:sz w:val="28"/>
          <w:szCs w:val="28"/>
        </w:rPr>
        <w:t xml:space="preserve">. Despite their presence, </w:t>
      </w:r>
      <w:r>
        <w:rPr>
          <w:rStyle w:val="Strong"/>
          <w:b w:val="0"/>
          <w:sz w:val="28"/>
          <w:szCs w:val="28"/>
        </w:rPr>
        <w:t>both benign and malignant sebaceous tumors</w:t>
      </w:r>
      <w:r>
        <w:rPr>
          <w:bCs/>
          <w:sz w:val="28"/>
          <w:szCs w:val="28"/>
        </w:rPr>
        <w:t xml:space="preserve"> of the salivary glands remain </w:t>
      </w:r>
      <w:r>
        <w:rPr>
          <w:rStyle w:val="Strong"/>
          <w:b w:val="0"/>
          <w:sz w:val="28"/>
          <w:szCs w:val="28"/>
        </w:rPr>
        <w:t>extremely rare</w:t>
      </w:r>
      <w:r>
        <w:rPr>
          <w:bCs/>
          <w:sz w:val="28"/>
          <w:szCs w:val="28"/>
        </w:rPr>
        <w:t xml:space="preserve">, comprising </w:t>
      </w:r>
      <w:r>
        <w:rPr>
          <w:rStyle w:val="Strong"/>
          <w:b w:val="0"/>
          <w:sz w:val="28"/>
          <w:szCs w:val="28"/>
        </w:rPr>
        <w:t>less than 0.2%</w:t>
      </w:r>
      <w:r>
        <w:rPr>
          <w:bCs/>
          <w:sz w:val="28"/>
          <w:szCs w:val="28"/>
        </w:rPr>
        <w:t xml:space="preserve"> of all major salivary gland neoplasms²⁵. In contrast, </w:t>
      </w:r>
      <w:r>
        <w:rPr>
          <w:rStyle w:val="Strong"/>
          <w:b w:val="0"/>
          <w:sz w:val="28"/>
          <w:szCs w:val="28"/>
        </w:rPr>
        <w:t>Fordyce granules</w:t>
      </w:r>
      <w:r>
        <w:rPr>
          <w:bCs/>
          <w:sz w:val="28"/>
          <w:szCs w:val="28"/>
        </w:rPr>
        <w:t xml:space="preserve">—ectopic sebaceous glands—are </w:t>
      </w:r>
      <w:r>
        <w:rPr>
          <w:rStyle w:val="Strong"/>
          <w:b w:val="0"/>
          <w:sz w:val="28"/>
          <w:szCs w:val="28"/>
        </w:rPr>
        <w:t>commonly seen</w:t>
      </w:r>
      <w:r>
        <w:rPr>
          <w:bCs/>
          <w:sz w:val="28"/>
          <w:szCs w:val="28"/>
        </w:rPr>
        <w:t xml:space="preserve"> in the oral mucosa of up to </w:t>
      </w:r>
      <w:r>
        <w:rPr>
          <w:rStyle w:val="Strong"/>
          <w:b w:val="0"/>
          <w:sz w:val="28"/>
          <w:szCs w:val="28"/>
        </w:rPr>
        <w:t>80% of adults²⁶</w:t>
      </w:r>
      <w:r>
        <w:rPr>
          <w:bCs/>
          <w:sz w:val="28"/>
          <w:szCs w:val="28"/>
        </w:rPr>
        <w:t>.</w:t>
      </w:r>
    </w:p>
    <w:p w:rsidR="008E11A5" w:rsidRDefault="00342678">
      <w:pPr>
        <w:pStyle w:val="NormalWeb"/>
        <w:jc w:val="both"/>
        <w:rPr>
          <w:bCs/>
          <w:sz w:val="28"/>
          <w:szCs w:val="28"/>
        </w:rPr>
      </w:pPr>
      <w:r>
        <w:rPr>
          <w:rStyle w:val="Strong"/>
          <w:b w:val="0"/>
          <w:sz w:val="28"/>
          <w:szCs w:val="28"/>
        </w:rPr>
        <w:t>Clinically</w:t>
      </w:r>
      <w:r>
        <w:rPr>
          <w:bCs/>
          <w:sz w:val="28"/>
          <w:szCs w:val="28"/>
        </w:rPr>
        <w:t xml:space="preserve">, Fordyce granules appear as </w:t>
      </w:r>
      <w:r>
        <w:rPr>
          <w:rStyle w:val="Strong"/>
          <w:b w:val="0"/>
          <w:sz w:val="28"/>
          <w:szCs w:val="28"/>
        </w:rPr>
        <w:t>asymptomatic, rice-like white or yellow papules</w:t>
      </w:r>
      <w:r>
        <w:rPr>
          <w:bCs/>
          <w:sz w:val="28"/>
          <w:szCs w:val="28"/>
        </w:rPr>
        <w:t xml:space="preserve">, typically ranging from </w:t>
      </w:r>
      <w:r>
        <w:rPr>
          <w:rStyle w:val="Strong"/>
          <w:b w:val="0"/>
          <w:sz w:val="28"/>
          <w:szCs w:val="28"/>
        </w:rPr>
        <w:t>1–3 mm in diameter²⁷</w:t>
      </w:r>
      <w:r>
        <w:rPr>
          <w:bCs/>
          <w:sz w:val="28"/>
          <w:szCs w:val="28"/>
        </w:rPr>
        <w:t xml:space="preserve">. </w:t>
      </w:r>
      <w:r>
        <w:rPr>
          <w:rStyle w:val="Strong"/>
          <w:b w:val="0"/>
          <w:sz w:val="28"/>
          <w:szCs w:val="28"/>
        </w:rPr>
        <w:t>Histologically</w:t>
      </w:r>
      <w:r>
        <w:rPr>
          <w:bCs/>
          <w:sz w:val="28"/>
          <w:szCs w:val="28"/>
        </w:rPr>
        <w:t xml:space="preserve">, each gland contains approximately </w:t>
      </w:r>
      <w:r>
        <w:rPr>
          <w:rStyle w:val="Strong"/>
          <w:b w:val="0"/>
          <w:sz w:val="28"/>
          <w:szCs w:val="28"/>
        </w:rPr>
        <w:t>15 well-differentiated sebaceous lobules</w:t>
      </w:r>
      <w:r>
        <w:rPr>
          <w:bCs/>
          <w:sz w:val="28"/>
          <w:szCs w:val="28"/>
        </w:rPr>
        <w:t>. Although their exact function remains unclear, Fordyce granules have been associated with:</w:t>
      </w:r>
    </w:p>
    <w:p w:rsidR="008E11A5" w:rsidRDefault="00342678">
      <w:pPr>
        <w:pStyle w:val="NormalWeb"/>
        <w:numPr>
          <w:ilvl w:val="0"/>
          <w:numId w:val="4"/>
        </w:numPr>
        <w:jc w:val="both"/>
        <w:rPr>
          <w:bCs/>
          <w:sz w:val="28"/>
          <w:szCs w:val="28"/>
        </w:rPr>
      </w:pPr>
      <w:r>
        <w:rPr>
          <w:rStyle w:val="Strong"/>
          <w:b w:val="0"/>
          <w:sz w:val="28"/>
          <w:szCs w:val="28"/>
        </w:rPr>
        <w:t>Hyperplasia</w:t>
      </w:r>
      <w:r>
        <w:rPr>
          <w:bCs/>
          <w:sz w:val="28"/>
          <w:szCs w:val="28"/>
        </w:rPr>
        <w:t xml:space="preserve"> (increased number of well-differentiated lobules),</w:t>
      </w:r>
    </w:p>
    <w:p w:rsidR="008E11A5" w:rsidRDefault="00342678">
      <w:pPr>
        <w:pStyle w:val="NormalWeb"/>
        <w:numPr>
          <w:ilvl w:val="0"/>
          <w:numId w:val="4"/>
        </w:numPr>
        <w:jc w:val="both"/>
        <w:rPr>
          <w:bCs/>
          <w:sz w:val="28"/>
          <w:szCs w:val="28"/>
        </w:rPr>
      </w:pPr>
      <w:r>
        <w:rPr>
          <w:rStyle w:val="Strong"/>
          <w:b w:val="0"/>
          <w:sz w:val="28"/>
          <w:szCs w:val="28"/>
        </w:rPr>
        <w:t>Adenoma</w:t>
      </w:r>
      <w:r>
        <w:rPr>
          <w:bCs/>
          <w:sz w:val="28"/>
          <w:szCs w:val="28"/>
        </w:rPr>
        <w:t xml:space="preserve"> (a sharply demarcated mass), and</w:t>
      </w:r>
    </w:p>
    <w:p w:rsidR="008E11A5" w:rsidRDefault="00342678">
      <w:pPr>
        <w:pStyle w:val="NormalWeb"/>
        <w:numPr>
          <w:ilvl w:val="0"/>
          <w:numId w:val="4"/>
        </w:numPr>
        <w:jc w:val="both"/>
        <w:rPr>
          <w:bCs/>
          <w:sz w:val="28"/>
          <w:szCs w:val="28"/>
        </w:rPr>
      </w:pPr>
      <w:r>
        <w:rPr>
          <w:rStyle w:val="Strong"/>
          <w:b w:val="0"/>
          <w:sz w:val="28"/>
          <w:szCs w:val="28"/>
        </w:rPr>
        <w:t>Carcinoma</w:t>
      </w:r>
      <w:r>
        <w:rPr>
          <w:bCs/>
          <w:sz w:val="28"/>
          <w:szCs w:val="28"/>
        </w:rPr>
        <w:t xml:space="preserve"> (characterized by cytologic atypia and infiltrative </w:t>
      </w:r>
      <w:proofErr w:type="gramStart"/>
      <w:r>
        <w:rPr>
          <w:bCs/>
          <w:sz w:val="28"/>
          <w:szCs w:val="28"/>
        </w:rPr>
        <w:t>growth)³</w:t>
      </w:r>
      <w:proofErr w:type="gramEnd"/>
      <w:r>
        <w:rPr>
          <w:bCs/>
          <w:sz w:val="28"/>
          <w:szCs w:val="28"/>
        </w:rPr>
        <w:t>,²⁸.</w:t>
      </w:r>
    </w:p>
    <w:p w:rsidR="008E11A5" w:rsidRDefault="00342678">
      <w:pPr>
        <w:pStyle w:val="NormalWeb"/>
        <w:jc w:val="both"/>
        <w:rPr>
          <w:bCs/>
          <w:sz w:val="28"/>
          <w:szCs w:val="28"/>
        </w:rPr>
      </w:pPr>
      <w:r>
        <w:rPr>
          <w:bCs/>
          <w:sz w:val="28"/>
          <w:szCs w:val="28"/>
        </w:rPr>
        <w:t xml:space="preserve">The </w:t>
      </w:r>
      <w:r>
        <w:rPr>
          <w:rStyle w:val="Strong"/>
          <w:b w:val="0"/>
          <w:sz w:val="28"/>
          <w:szCs w:val="28"/>
        </w:rPr>
        <w:t>first reported case</w:t>
      </w:r>
      <w:r>
        <w:rPr>
          <w:bCs/>
          <w:sz w:val="28"/>
          <w:szCs w:val="28"/>
        </w:rPr>
        <w:t xml:space="preserve"> of </w:t>
      </w:r>
      <w:r>
        <w:rPr>
          <w:rStyle w:val="Strong"/>
          <w:b w:val="0"/>
          <w:sz w:val="28"/>
          <w:szCs w:val="28"/>
        </w:rPr>
        <w:t>intraoral sebaceous carcinoma (SC)</w:t>
      </w:r>
      <w:r>
        <w:rPr>
          <w:bCs/>
          <w:sz w:val="28"/>
          <w:szCs w:val="28"/>
        </w:rPr>
        <w:t xml:space="preserve"> was documented by </w:t>
      </w:r>
      <w:proofErr w:type="spellStart"/>
      <w:r>
        <w:rPr>
          <w:rStyle w:val="Strong"/>
          <w:b w:val="0"/>
          <w:sz w:val="28"/>
          <w:szCs w:val="28"/>
        </w:rPr>
        <w:t>Damm</w:t>
      </w:r>
      <w:proofErr w:type="spellEnd"/>
      <w:r>
        <w:rPr>
          <w:rStyle w:val="Strong"/>
          <w:b w:val="0"/>
          <w:sz w:val="28"/>
          <w:szCs w:val="28"/>
        </w:rPr>
        <w:t xml:space="preserve"> et al. in 1991</w:t>
      </w:r>
      <w:r>
        <w:rPr>
          <w:bCs/>
          <w:sz w:val="28"/>
          <w:szCs w:val="28"/>
        </w:rPr>
        <w:t>.</w:t>
      </w:r>
    </w:p>
    <w:p w:rsidR="008E11A5" w:rsidRDefault="00342678">
      <w:pPr>
        <w:pStyle w:val="NormalWeb"/>
        <w:jc w:val="both"/>
        <w:rPr>
          <w:bCs/>
          <w:sz w:val="28"/>
          <w:szCs w:val="28"/>
        </w:rPr>
      </w:pPr>
      <w:r>
        <w:rPr>
          <w:bCs/>
          <w:sz w:val="28"/>
          <w:szCs w:val="28"/>
        </w:rPr>
        <w:t xml:space="preserve">In this review of </w:t>
      </w:r>
      <w:r>
        <w:rPr>
          <w:rStyle w:val="Strong"/>
          <w:b w:val="0"/>
          <w:sz w:val="28"/>
          <w:szCs w:val="28"/>
        </w:rPr>
        <w:t>13 case reports</w:t>
      </w:r>
      <w:r>
        <w:rPr>
          <w:bCs/>
          <w:sz w:val="28"/>
          <w:szCs w:val="28"/>
        </w:rPr>
        <w:t xml:space="preserve">, </w:t>
      </w:r>
      <w:r>
        <w:rPr>
          <w:rStyle w:val="Strong"/>
          <w:b w:val="0"/>
          <w:sz w:val="28"/>
          <w:szCs w:val="28"/>
        </w:rPr>
        <w:t>10 patients were male</w:t>
      </w:r>
      <w:r>
        <w:rPr>
          <w:bCs/>
          <w:sz w:val="28"/>
          <w:szCs w:val="28"/>
        </w:rPr>
        <w:t xml:space="preserve">, suggesting a possible </w:t>
      </w:r>
      <w:r>
        <w:rPr>
          <w:rStyle w:val="Strong"/>
          <w:b w:val="0"/>
          <w:sz w:val="28"/>
          <w:szCs w:val="28"/>
        </w:rPr>
        <w:t>male predominance</w:t>
      </w:r>
      <w:r>
        <w:rPr>
          <w:bCs/>
          <w:sz w:val="28"/>
          <w:szCs w:val="28"/>
        </w:rPr>
        <w:t xml:space="preserve">; however, existing literature does </w:t>
      </w:r>
      <w:r>
        <w:rPr>
          <w:rStyle w:val="Strong"/>
          <w:b w:val="0"/>
          <w:sz w:val="28"/>
          <w:szCs w:val="28"/>
        </w:rPr>
        <w:t>not confirm a definitive gender predilection</w:t>
      </w:r>
      <w:r>
        <w:rPr>
          <w:bCs/>
          <w:sz w:val="28"/>
          <w:szCs w:val="28"/>
        </w:rPr>
        <w:t xml:space="preserve">. Intraoral sebaceous carcinoma typically occurs in </w:t>
      </w:r>
      <w:r>
        <w:rPr>
          <w:rStyle w:val="Strong"/>
          <w:b w:val="0"/>
          <w:sz w:val="28"/>
          <w:szCs w:val="28"/>
        </w:rPr>
        <w:t>adults</w:t>
      </w:r>
      <w:r>
        <w:rPr>
          <w:bCs/>
          <w:sz w:val="28"/>
          <w:szCs w:val="28"/>
        </w:rPr>
        <w:t xml:space="preserve">, with patient ages ranging from </w:t>
      </w:r>
      <w:r>
        <w:rPr>
          <w:rStyle w:val="Strong"/>
          <w:b w:val="0"/>
          <w:sz w:val="28"/>
          <w:szCs w:val="28"/>
        </w:rPr>
        <w:t>40 to 81 years</w:t>
      </w:r>
      <w:r>
        <w:rPr>
          <w:bCs/>
          <w:sz w:val="28"/>
          <w:szCs w:val="28"/>
        </w:rPr>
        <w:t xml:space="preserve">, and a </w:t>
      </w:r>
      <w:r>
        <w:rPr>
          <w:rStyle w:val="Strong"/>
          <w:b w:val="0"/>
          <w:sz w:val="28"/>
          <w:szCs w:val="28"/>
        </w:rPr>
        <w:t>mean age of approximately 60 years</w:t>
      </w:r>
      <w:r>
        <w:rPr>
          <w:bCs/>
          <w:sz w:val="28"/>
          <w:szCs w:val="28"/>
        </w:rPr>
        <w:t xml:space="preserve">. These </w:t>
      </w:r>
      <w:r>
        <w:rPr>
          <w:bCs/>
          <w:sz w:val="28"/>
          <w:szCs w:val="28"/>
        </w:rPr>
        <w:lastRenderedPageBreak/>
        <w:t xml:space="preserve">findings are consistent with previous reports, such as those by </w:t>
      </w:r>
      <w:r>
        <w:rPr>
          <w:rStyle w:val="Strong"/>
          <w:b w:val="0"/>
          <w:sz w:val="28"/>
          <w:szCs w:val="28"/>
        </w:rPr>
        <w:t>Wetzel et al. (2014)</w:t>
      </w:r>
      <w:r>
        <w:rPr>
          <w:bCs/>
          <w:sz w:val="28"/>
          <w:szCs w:val="28"/>
        </w:rPr>
        <w:t xml:space="preserve">, which documented a </w:t>
      </w:r>
      <w:r>
        <w:rPr>
          <w:rStyle w:val="Strong"/>
          <w:b w:val="0"/>
          <w:sz w:val="28"/>
          <w:szCs w:val="28"/>
        </w:rPr>
        <w:t>mean age of 60.2 years²⁸</w:t>
      </w:r>
      <w:r>
        <w:rPr>
          <w:bCs/>
          <w:sz w:val="28"/>
          <w:szCs w:val="28"/>
        </w:rPr>
        <w:t xml:space="preserve">. While the majority of cases occurred in individuals </w:t>
      </w:r>
      <w:r>
        <w:rPr>
          <w:rStyle w:val="Strong"/>
          <w:b w:val="0"/>
          <w:sz w:val="28"/>
          <w:szCs w:val="28"/>
        </w:rPr>
        <w:t>over 50 years old</w:t>
      </w:r>
      <w:r>
        <w:rPr>
          <w:bCs/>
          <w:sz w:val="28"/>
          <w:szCs w:val="28"/>
        </w:rPr>
        <w:t>, two notable exceptions include:</w:t>
      </w:r>
    </w:p>
    <w:p w:rsidR="008E11A5" w:rsidRDefault="00342678">
      <w:pPr>
        <w:pStyle w:val="NormalWeb"/>
        <w:numPr>
          <w:ilvl w:val="0"/>
          <w:numId w:val="5"/>
        </w:numPr>
        <w:jc w:val="both"/>
        <w:rPr>
          <w:bCs/>
          <w:sz w:val="28"/>
          <w:szCs w:val="28"/>
        </w:rPr>
      </w:pPr>
      <w:r>
        <w:rPr>
          <w:bCs/>
          <w:sz w:val="28"/>
          <w:szCs w:val="28"/>
        </w:rPr>
        <w:t xml:space="preserve">A </w:t>
      </w:r>
      <w:r>
        <w:rPr>
          <w:rStyle w:val="Strong"/>
          <w:b w:val="0"/>
          <w:sz w:val="28"/>
          <w:szCs w:val="28"/>
        </w:rPr>
        <w:t>40-year-old female</w:t>
      </w:r>
      <w:r>
        <w:rPr>
          <w:bCs/>
          <w:sz w:val="28"/>
          <w:szCs w:val="28"/>
        </w:rPr>
        <w:t xml:space="preserve"> reported by </w:t>
      </w:r>
      <w:proofErr w:type="spellStart"/>
      <w:r>
        <w:rPr>
          <w:rStyle w:val="Strong"/>
          <w:b w:val="0"/>
          <w:sz w:val="28"/>
          <w:szCs w:val="28"/>
        </w:rPr>
        <w:t>Jawanda</w:t>
      </w:r>
      <w:proofErr w:type="spellEnd"/>
      <w:r>
        <w:rPr>
          <w:rStyle w:val="Strong"/>
          <w:b w:val="0"/>
          <w:sz w:val="28"/>
          <w:szCs w:val="28"/>
        </w:rPr>
        <w:t xml:space="preserve"> et al. (</w:t>
      </w:r>
      <w:proofErr w:type="gramStart"/>
      <w:r>
        <w:rPr>
          <w:rStyle w:val="Strong"/>
          <w:b w:val="0"/>
          <w:sz w:val="28"/>
          <w:szCs w:val="28"/>
        </w:rPr>
        <w:t>2018)²</w:t>
      </w:r>
      <w:proofErr w:type="gramEnd"/>
      <w:r>
        <w:rPr>
          <w:rStyle w:val="Strong"/>
          <w:b w:val="0"/>
          <w:sz w:val="28"/>
          <w:szCs w:val="28"/>
        </w:rPr>
        <w:t>⁹</w:t>
      </w:r>
    </w:p>
    <w:p w:rsidR="008E11A5" w:rsidRDefault="00342678">
      <w:pPr>
        <w:pStyle w:val="NormalWeb"/>
        <w:numPr>
          <w:ilvl w:val="0"/>
          <w:numId w:val="5"/>
        </w:numPr>
        <w:jc w:val="both"/>
        <w:rPr>
          <w:bCs/>
          <w:sz w:val="28"/>
          <w:szCs w:val="28"/>
        </w:rPr>
      </w:pPr>
      <w:r>
        <w:rPr>
          <w:bCs/>
          <w:sz w:val="28"/>
          <w:szCs w:val="28"/>
        </w:rPr>
        <w:t xml:space="preserve">A </w:t>
      </w:r>
      <w:r>
        <w:rPr>
          <w:rStyle w:val="Strong"/>
          <w:b w:val="0"/>
          <w:sz w:val="28"/>
          <w:szCs w:val="28"/>
        </w:rPr>
        <w:t>47-year-old male</w:t>
      </w:r>
      <w:r>
        <w:rPr>
          <w:bCs/>
          <w:sz w:val="28"/>
          <w:szCs w:val="28"/>
        </w:rPr>
        <w:t xml:space="preserve"> reported by </w:t>
      </w:r>
      <w:proofErr w:type="spellStart"/>
      <w:r>
        <w:rPr>
          <w:rStyle w:val="Strong"/>
          <w:b w:val="0"/>
          <w:sz w:val="28"/>
          <w:szCs w:val="28"/>
        </w:rPr>
        <w:t>Katib</w:t>
      </w:r>
      <w:proofErr w:type="spellEnd"/>
      <w:r>
        <w:rPr>
          <w:rStyle w:val="Strong"/>
          <w:b w:val="0"/>
          <w:sz w:val="28"/>
          <w:szCs w:val="28"/>
        </w:rPr>
        <w:t xml:space="preserve"> et al. (</w:t>
      </w:r>
      <w:proofErr w:type="gramStart"/>
      <w:r>
        <w:rPr>
          <w:rStyle w:val="Strong"/>
          <w:b w:val="0"/>
          <w:sz w:val="28"/>
          <w:szCs w:val="28"/>
        </w:rPr>
        <w:t>2024)¹</w:t>
      </w:r>
      <w:proofErr w:type="gramEnd"/>
      <w:r>
        <w:rPr>
          <w:rStyle w:val="Strong"/>
          <w:b w:val="0"/>
          <w:sz w:val="28"/>
          <w:szCs w:val="28"/>
        </w:rPr>
        <w:t>⁰</w:t>
      </w:r>
    </w:p>
    <w:p w:rsidR="008E11A5" w:rsidRDefault="00342678">
      <w:pPr>
        <w:pStyle w:val="NormalWeb"/>
        <w:jc w:val="both"/>
        <w:rPr>
          <w:bCs/>
          <w:sz w:val="28"/>
          <w:szCs w:val="28"/>
        </w:rPr>
      </w:pPr>
      <w:r>
        <w:rPr>
          <w:bCs/>
          <w:sz w:val="28"/>
          <w:szCs w:val="28"/>
        </w:rPr>
        <w:t xml:space="preserve">Among the 13 cases reviewed, </w:t>
      </w:r>
      <w:r>
        <w:rPr>
          <w:rStyle w:val="Strong"/>
          <w:b w:val="0"/>
          <w:sz w:val="28"/>
          <w:szCs w:val="28"/>
        </w:rPr>
        <w:t>several patients had a history of smoking, alcohol use, or tobacco consumption</w:t>
      </w:r>
      <w:r>
        <w:rPr>
          <w:bCs/>
          <w:sz w:val="28"/>
          <w:szCs w:val="28"/>
        </w:rPr>
        <w:t xml:space="preserve">. However, </w:t>
      </w:r>
      <w:r>
        <w:rPr>
          <w:rStyle w:val="Strong"/>
          <w:b w:val="0"/>
          <w:sz w:val="28"/>
          <w:szCs w:val="28"/>
        </w:rPr>
        <w:t>no definitive correlation</w:t>
      </w:r>
      <w:r>
        <w:rPr>
          <w:bCs/>
          <w:sz w:val="28"/>
          <w:szCs w:val="28"/>
        </w:rPr>
        <w:t xml:space="preserve"> between these habits and the development of sebaceous carcinoma has been established.</w:t>
      </w:r>
    </w:p>
    <w:p w:rsidR="008E11A5" w:rsidRDefault="00342678">
      <w:pPr>
        <w:pStyle w:val="NormalWeb"/>
        <w:jc w:val="both"/>
        <w:rPr>
          <w:bCs/>
          <w:sz w:val="28"/>
          <w:szCs w:val="28"/>
        </w:rPr>
      </w:pPr>
      <w:r>
        <w:rPr>
          <w:bCs/>
          <w:sz w:val="28"/>
          <w:szCs w:val="28"/>
        </w:rPr>
        <w:t xml:space="preserve">Clinically, lesions exhibited </w:t>
      </w:r>
      <w:r>
        <w:rPr>
          <w:rStyle w:val="Strong"/>
          <w:b w:val="0"/>
          <w:sz w:val="28"/>
          <w:szCs w:val="28"/>
        </w:rPr>
        <w:t>variable features</w:t>
      </w:r>
      <w:r>
        <w:rPr>
          <w:bCs/>
          <w:sz w:val="28"/>
          <w:szCs w:val="28"/>
        </w:rPr>
        <w:t xml:space="preserve">, including </w:t>
      </w:r>
      <w:r>
        <w:rPr>
          <w:rStyle w:val="Strong"/>
          <w:b w:val="0"/>
          <w:sz w:val="28"/>
          <w:szCs w:val="28"/>
        </w:rPr>
        <w:t>ulceration</w:t>
      </w:r>
      <w:r>
        <w:rPr>
          <w:bCs/>
          <w:sz w:val="28"/>
          <w:szCs w:val="28"/>
        </w:rPr>
        <w:t xml:space="preserve">, </w:t>
      </w:r>
      <w:r>
        <w:rPr>
          <w:rStyle w:val="Strong"/>
          <w:b w:val="0"/>
          <w:sz w:val="28"/>
          <w:szCs w:val="28"/>
        </w:rPr>
        <w:t>mass-like growths</w:t>
      </w:r>
      <w:r>
        <w:rPr>
          <w:bCs/>
          <w:sz w:val="28"/>
          <w:szCs w:val="28"/>
        </w:rPr>
        <w:t xml:space="preserve">, </w:t>
      </w:r>
      <w:r>
        <w:rPr>
          <w:rStyle w:val="Strong"/>
          <w:b w:val="0"/>
          <w:sz w:val="28"/>
          <w:szCs w:val="28"/>
        </w:rPr>
        <w:t>bleeding sores</w:t>
      </w:r>
      <w:r>
        <w:rPr>
          <w:bCs/>
          <w:sz w:val="28"/>
          <w:szCs w:val="28"/>
        </w:rPr>
        <w:t xml:space="preserve">, and </w:t>
      </w:r>
      <w:r>
        <w:rPr>
          <w:rStyle w:val="Strong"/>
          <w:b w:val="0"/>
          <w:sz w:val="28"/>
          <w:szCs w:val="28"/>
        </w:rPr>
        <w:t>exophytic proliferations</w:t>
      </w:r>
      <w:r>
        <w:rPr>
          <w:bCs/>
          <w:sz w:val="28"/>
          <w:szCs w:val="28"/>
        </w:rPr>
        <w:t xml:space="preserve">. Several cases—including those reported by </w:t>
      </w:r>
      <w:proofErr w:type="spellStart"/>
      <w:r>
        <w:rPr>
          <w:rStyle w:val="Strong"/>
          <w:b w:val="0"/>
          <w:sz w:val="28"/>
          <w:szCs w:val="28"/>
        </w:rPr>
        <w:t>Cosola</w:t>
      </w:r>
      <w:proofErr w:type="spellEnd"/>
      <w:r>
        <w:rPr>
          <w:rStyle w:val="Strong"/>
          <w:b w:val="0"/>
          <w:sz w:val="28"/>
          <w:szCs w:val="28"/>
        </w:rPr>
        <w:t xml:space="preserve"> et al. (</w:t>
      </w:r>
      <w:proofErr w:type="gramStart"/>
      <w:r>
        <w:rPr>
          <w:rStyle w:val="Strong"/>
          <w:b w:val="0"/>
          <w:sz w:val="28"/>
          <w:szCs w:val="28"/>
        </w:rPr>
        <w:t>2022)³</w:t>
      </w:r>
      <w:proofErr w:type="gramEnd"/>
      <w:r>
        <w:rPr>
          <w:rStyle w:val="Strong"/>
          <w:b w:val="0"/>
          <w:sz w:val="28"/>
          <w:szCs w:val="28"/>
        </w:rPr>
        <w:t>⁰</w:t>
      </w:r>
      <w:r>
        <w:rPr>
          <w:bCs/>
          <w:sz w:val="28"/>
          <w:szCs w:val="28"/>
        </w:rPr>
        <w:t xml:space="preserve">, </w:t>
      </w:r>
      <w:r>
        <w:rPr>
          <w:rStyle w:val="Strong"/>
          <w:b w:val="0"/>
          <w:sz w:val="28"/>
          <w:szCs w:val="28"/>
        </w:rPr>
        <w:t>Alawi et al. (2005)²⁵</w:t>
      </w:r>
      <w:r>
        <w:rPr>
          <w:bCs/>
          <w:sz w:val="28"/>
          <w:szCs w:val="28"/>
        </w:rPr>
        <w:t xml:space="preserve">, </w:t>
      </w:r>
      <w:proofErr w:type="spellStart"/>
      <w:r>
        <w:rPr>
          <w:rStyle w:val="Strong"/>
          <w:b w:val="0"/>
          <w:sz w:val="28"/>
          <w:szCs w:val="28"/>
        </w:rPr>
        <w:t>Qun</w:t>
      </w:r>
      <w:proofErr w:type="spellEnd"/>
      <w:r>
        <w:rPr>
          <w:rStyle w:val="Strong"/>
          <w:b w:val="0"/>
          <w:sz w:val="28"/>
          <w:szCs w:val="28"/>
        </w:rPr>
        <w:t xml:space="preserve"> Lu et al. (2021)</w:t>
      </w:r>
      <w:r>
        <w:rPr>
          <w:bCs/>
          <w:sz w:val="28"/>
          <w:szCs w:val="28"/>
        </w:rPr>
        <w:t xml:space="preserve">, </w:t>
      </w:r>
      <w:r>
        <w:rPr>
          <w:rStyle w:val="Strong"/>
          <w:b w:val="0"/>
          <w:sz w:val="28"/>
          <w:szCs w:val="28"/>
        </w:rPr>
        <w:t>Wang et al. (2010)</w:t>
      </w:r>
      <w:r>
        <w:rPr>
          <w:bCs/>
          <w:sz w:val="28"/>
          <w:szCs w:val="28"/>
        </w:rPr>
        <w:t xml:space="preserve">, </w:t>
      </w:r>
      <w:r>
        <w:rPr>
          <w:rStyle w:val="Strong"/>
          <w:b w:val="0"/>
          <w:sz w:val="28"/>
          <w:szCs w:val="28"/>
        </w:rPr>
        <w:t>Wetzel et al. (2014)²⁸</w:t>
      </w:r>
      <w:r>
        <w:rPr>
          <w:bCs/>
          <w:sz w:val="28"/>
          <w:szCs w:val="28"/>
        </w:rPr>
        <w:t xml:space="preserve">, </w:t>
      </w:r>
      <w:proofErr w:type="spellStart"/>
      <w:r>
        <w:rPr>
          <w:rStyle w:val="Strong"/>
          <w:b w:val="0"/>
          <w:sz w:val="28"/>
          <w:szCs w:val="28"/>
        </w:rPr>
        <w:t>Handschel</w:t>
      </w:r>
      <w:proofErr w:type="spellEnd"/>
      <w:r>
        <w:rPr>
          <w:rStyle w:val="Strong"/>
          <w:b w:val="0"/>
          <w:sz w:val="28"/>
          <w:szCs w:val="28"/>
        </w:rPr>
        <w:t xml:space="preserve"> et al. (2003)²⁴</w:t>
      </w:r>
      <w:r>
        <w:rPr>
          <w:bCs/>
          <w:sz w:val="28"/>
          <w:szCs w:val="28"/>
        </w:rPr>
        <w:t xml:space="preserve">, and </w:t>
      </w:r>
      <w:r>
        <w:rPr>
          <w:rStyle w:val="Strong"/>
          <w:b w:val="0"/>
          <w:sz w:val="28"/>
          <w:szCs w:val="28"/>
        </w:rPr>
        <w:t>Gomes et al. (2007)</w:t>
      </w:r>
      <w:r>
        <w:rPr>
          <w:bCs/>
          <w:sz w:val="28"/>
          <w:szCs w:val="28"/>
        </w:rPr>
        <w:t xml:space="preserve">—described lesions as </w:t>
      </w:r>
      <w:r>
        <w:rPr>
          <w:rStyle w:val="Strong"/>
          <w:b w:val="0"/>
          <w:sz w:val="28"/>
          <w:szCs w:val="28"/>
        </w:rPr>
        <w:t>ulcerated, exophytic, irregularly shaped, and indurated</w:t>
      </w:r>
      <w:r>
        <w:rPr>
          <w:bCs/>
          <w:sz w:val="28"/>
          <w:szCs w:val="28"/>
        </w:rPr>
        <w:t xml:space="preserve">. In contrast, </w:t>
      </w:r>
      <w:proofErr w:type="spellStart"/>
      <w:r>
        <w:rPr>
          <w:rStyle w:val="Strong"/>
          <w:b w:val="0"/>
          <w:sz w:val="28"/>
          <w:szCs w:val="28"/>
        </w:rPr>
        <w:t>Katib</w:t>
      </w:r>
      <w:proofErr w:type="spellEnd"/>
      <w:r>
        <w:rPr>
          <w:rStyle w:val="Strong"/>
          <w:b w:val="0"/>
          <w:sz w:val="28"/>
          <w:szCs w:val="28"/>
        </w:rPr>
        <w:t xml:space="preserve"> et al. (</w:t>
      </w:r>
      <w:proofErr w:type="gramStart"/>
      <w:r>
        <w:rPr>
          <w:rStyle w:val="Strong"/>
          <w:b w:val="0"/>
          <w:sz w:val="28"/>
          <w:szCs w:val="28"/>
        </w:rPr>
        <w:t>2024)¹</w:t>
      </w:r>
      <w:proofErr w:type="gramEnd"/>
      <w:r>
        <w:rPr>
          <w:rStyle w:val="Strong"/>
          <w:b w:val="0"/>
          <w:sz w:val="28"/>
          <w:szCs w:val="28"/>
        </w:rPr>
        <w:t>⁰</w:t>
      </w:r>
      <w:r>
        <w:rPr>
          <w:bCs/>
          <w:sz w:val="28"/>
          <w:szCs w:val="28"/>
        </w:rPr>
        <w:t xml:space="preserve"> described the lesion as </w:t>
      </w:r>
      <w:r>
        <w:rPr>
          <w:rStyle w:val="Strong"/>
          <w:b w:val="0"/>
          <w:sz w:val="28"/>
          <w:szCs w:val="28"/>
        </w:rPr>
        <w:t>nodular</w:t>
      </w:r>
      <w:r>
        <w:rPr>
          <w:bCs/>
          <w:sz w:val="28"/>
          <w:szCs w:val="28"/>
        </w:rPr>
        <w:t xml:space="preserve"> in appearance. Three cases—reported by </w:t>
      </w:r>
      <w:r>
        <w:rPr>
          <w:rStyle w:val="Strong"/>
          <w:b w:val="0"/>
          <w:sz w:val="28"/>
          <w:szCs w:val="28"/>
        </w:rPr>
        <w:t>Oshiro et al. (</w:t>
      </w:r>
      <w:proofErr w:type="gramStart"/>
      <w:r>
        <w:rPr>
          <w:rStyle w:val="Strong"/>
          <w:b w:val="0"/>
          <w:sz w:val="28"/>
          <w:szCs w:val="28"/>
        </w:rPr>
        <w:t>2010)³</w:t>
      </w:r>
      <w:proofErr w:type="gramEnd"/>
      <w:r>
        <w:rPr>
          <w:rStyle w:val="Strong"/>
          <w:b w:val="0"/>
          <w:sz w:val="28"/>
          <w:szCs w:val="28"/>
        </w:rPr>
        <w:t>¹</w:t>
      </w:r>
      <w:r>
        <w:rPr>
          <w:bCs/>
          <w:sz w:val="28"/>
          <w:szCs w:val="28"/>
        </w:rPr>
        <w:t xml:space="preserve">, </w:t>
      </w:r>
      <w:r>
        <w:rPr>
          <w:rStyle w:val="Strong"/>
          <w:b w:val="0"/>
          <w:sz w:val="28"/>
          <w:szCs w:val="28"/>
        </w:rPr>
        <w:t>Greenall et al. (2015)</w:t>
      </w:r>
      <w:r>
        <w:rPr>
          <w:bCs/>
          <w:sz w:val="28"/>
          <w:szCs w:val="28"/>
        </w:rPr>
        <w:t xml:space="preserve">, and </w:t>
      </w:r>
      <w:proofErr w:type="spellStart"/>
      <w:r>
        <w:rPr>
          <w:rStyle w:val="Strong"/>
          <w:b w:val="0"/>
          <w:sz w:val="28"/>
          <w:szCs w:val="28"/>
        </w:rPr>
        <w:t>Jawanda</w:t>
      </w:r>
      <w:proofErr w:type="spellEnd"/>
      <w:r>
        <w:rPr>
          <w:rStyle w:val="Strong"/>
          <w:b w:val="0"/>
          <w:sz w:val="28"/>
          <w:szCs w:val="28"/>
        </w:rPr>
        <w:t xml:space="preserve"> et al. (2018)</w:t>
      </w:r>
      <w:r>
        <w:rPr>
          <w:bCs/>
          <w:sz w:val="28"/>
          <w:szCs w:val="28"/>
        </w:rPr>
        <w:t xml:space="preserve">—described the lesion as a </w:t>
      </w:r>
      <w:r>
        <w:rPr>
          <w:rStyle w:val="Strong"/>
          <w:b w:val="0"/>
          <w:sz w:val="28"/>
          <w:szCs w:val="28"/>
        </w:rPr>
        <w:t>swelling with intact overlying mucosa</w:t>
      </w:r>
      <w:r>
        <w:rPr>
          <w:bCs/>
          <w:sz w:val="28"/>
          <w:szCs w:val="28"/>
        </w:rPr>
        <w:t xml:space="preserve">. </w:t>
      </w:r>
      <w:proofErr w:type="spellStart"/>
      <w:r>
        <w:rPr>
          <w:rStyle w:val="Strong"/>
          <w:b w:val="0"/>
          <w:sz w:val="28"/>
          <w:szCs w:val="28"/>
        </w:rPr>
        <w:t>Jawanda</w:t>
      </w:r>
      <w:proofErr w:type="spellEnd"/>
      <w:r>
        <w:rPr>
          <w:rStyle w:val="Strong"/>
          <w:b w:val="0"/>
          <w:sz w:val="28"/>
          <w:szCs w:val="28"/>
        </w:rPr>
        <w:t xml:space="preserve"> et al. (2018)</w:t>
      </w:r>
      <w:r>
        <w:rPr>
          <w:bCs/>
          <w:sz w:val="28"/>
          <w:szCs w:val="28"/>
        </w:rPr>
        <w:t xml:space="preserve"> specifically noted the swelling to be </w:t>
      </w:r>
      <w:r>
        <w:rPr>
          <w:rStyle w:val="Strong"/>
          <w:b w:val="0"/>
          <w:sz w:val="28"/>
          <w:szCs w:val="28"/>
        </w:rPr>
        <w:t>mobile</w:t>
      </w:r>
      <w:r>
        <w:rPr>
          <w:bCs/>
          <w:sz w:val="28"/>
          <w:szCs w:val="28"/>
        </w:rPr>
        <w:t xml:space="preserve">, </w:t>
      </w:r>
      <w:proofErr w:type="gramStart"/>
      <w:r>
        <w:rPr>
          <w:bCs/>
          <w:sz w:val="28"/>
          <w:szCs w:val="28"/>
        </w:rPr>
        <w:t xml:space="preserve">with  </w:t>
      </w:r>
      <w:r>
        <w:rPr>
          <w:rStyle w:val="Strong"/>
          <w:b w:val="0"/>
          <w:sz w:val="28"/>
          <w:szCs w:val="28"/>
        </w:rPr>
        <w:t>no</w:t>
      </w:r>
      <w:proofErr w:type="gramEnd"/>
      <w:r>
        <w:rPr>
          <w:rStyle w:val="Strong"/>
          <w:b w:val="0"/>
          <w:sz w:val="28"/>
          <w:szCs w:val="28"/>
        </w:rPr>
        <w:t xml:space="preserve"> ulceration</w:t>
      </w:r>
      <w:r>
        <w:rPr>
          <w:bCs/>
          <w:sz w:val="28"/>
          <w:szCs w:val="28"/>
        </w:rPr>
        <w:t xml:space="preserve"> of the overlying skin. Intraoral examination revealed </w:t>
      </w:r>
      <w:r>
        <w:rPr>
          <w:rStyle w:val="Strong"/>
          <w:b w:val="0"/>
          <w:sz w:val="28"/>
          <w:szCs w:val="28"/>
        </w:rPr>
        <w:t>no visible swelling</w:t>
      </w:r>
      <w:r>
        <w:rPr>
          <w:bCs/>
          <w:sz w:val="28"/>
          <w:szCs w:val="28"/>
        </w:rPr>
        <w:t xml:space="preserve">, and the oral mucosa appeared intact. </w:t>
      </w:r>
      <w:r>
        <w:rPr>
          <w:rStyle w:val="Strong"/>
          <w:b w:val="0"/>
          <w:sz w:val="28"/>
          <w:szCs w:val="28"/>
        </w:rPr>
        <w:t>Oshiro et al. (2010)</w:t>
      </w:r>
      <w:r>
        <w:rPr>
          <w:bCs/>
          <w:sz w:val="28"/>
          <w:szCs w:val="28"/>
        </w:rPr>
        <w:t xml:space="preserve"> described a </w:t>
      </w:r>
      <w:r>
        <w:rPr>
          <w:rStyle w:val="Strong"/>
          <w:b w:val="0"/>
          <w:sz w:val="28"/>
          <w:szCs w:val="28"/>
        </w:rPr>
        <w:t>submucosal mass-forming lesion</w:t>
      </w:r>
      <w:r>
        <w:rPr>
          <w:bCs/>
          <w:sz w:val="28"/>
          <w:szCs w:val="28"/>
        </w:rPr>
        <w:t xml:space="preserve"> on the </w:t>
      </w:r>
      <w:r>
        <w:rPr>
          <w:rStyle w:val="Strong"/>
          <w:b w:val="0"/>
          <w:sz w:val="28"/>
          <w:szCs w:val="28"/>
        </w:rPr>
        <w:t>dorsal surface of the tongue</w:t>
      </w:r>
      <w:r>
        <w:rPr>
          <w:bCs/>
          <w:sz w:val="28"/>
          <w:szCs w:val="28"/>
        </w:rPr>
        <w:t xml:space="preserve">, covered by a </w:t>
      </w:r>
      <w:r>
        <w:rPr>
          <w:rStyle w:val="Strong"/>
          <w:b w:val="0"/>
          <w:sz w:val="28"/>
          <w:szCs w:val="28"/>
        </w:rPr>
        <w:t>smooth mucosal layer</w:t>
      </w:r>
      <w:r>
        <w:rPr>
          <w:bCs/>
          <w:sz w:val="28"/>
          <w:szCs w:val="28"/>
        </w:rPr>
        <w:t xml:space="preserve"> and associated with </w:t>
      </w:r>
      <w:r>
        <w:rPr>
          <w:rStyle w:val="Strong"/>
          <w:b w:val="0"/>
          <w:sz w:val="28"/>
          <w:szCs w:val="28"/>
        </w:rPr>
        <w:t>redness</w:t>
      </w:r>
      <w:r>
        <w:rPr>
          <w:bCs/>
          <w:sz w:val="28"/>
          <w:szCs w:val="28"/>
        </w:rPr>
        <w:t xml:space="preserve">. </w:t>
      </w:r>
      <w:r>
        <w:rPr>
          <w:rStyle w:val="Strong"/>
          <w:b w:val="0"/>
          <w:sz w:val="28"/>
          <w:szCs w:val="28"/>
        </w:rPr>
        <w:t>Greenall et al. (</w:t>
      </w:r>
      <w:proofErr w:type="gramStart"/>
      <w:r>
        <w:rPr>
          <w:rStyle w:val="Strong"/>
          <w:b w:val="0"/>
          <w:sz w:val="28"/>
          <w:szCs w:val="28"/>
        </w:rPr>
        <w:t>2015)³</w:t>
      </w:r>
      <w:proofErr w:type="gramEnd"/>
      <w:r>
        <w:rPr>
          <w:rStyle w:val="Strong"/>
          <w:b w:val="0"/>
          <w:sz w:val="28"/>
          <w:szCs w:val="28"/>
        </w:rPr>
        <w:t>⁴</w:t>
      </w:r>
      <w:r>
        <w:rPr>
          <w:bCs/>
          <w:sz w:val="28"/>
          <w:szCs w:val="28"/>
        </w:rPr>
        <w:t xml:space="preserve"> reported a lesion located on the </w:t>
      </w:r>
      <w:r>
        <w:rPr>
          <w:rStyle w:val="Strong"/>
          <w:b w:val="0"/>
          <w:sz w:val="28"/>
          <w:szCs w:val="28"/>
        </w:rPr>
        <w:t>upper right philtrum</w:t>
      </w:r>
      <w:r>
        <w:rPr>
          <w:bCs/>
          <w:sz w:val="28"/>
          <w:szCs w:val="28"/>
        </w:rPr>
        <w:t xml:space="preserve">, which appeared </w:t>
      </w:r>
      <w:r>
        <w:rPr>
          <w:rStyle w:val="Strong"/>
          <w:b w:val="0"/>
          <w:sz w:val="28"/>
          <w:szCs w:val="28"/>
        </w:rPr>
        <w:t>erythematous and indurated</w:t>
      </w:r>
      <w:r>
        <w:rPr>
          <w:bCs/>
          <w:sz w:val="28"/>
          <w:szCs w:val="28"/>
        </w:rPr>
        <w:t xml:space="preserve">, though </w:t>
      </w:r>
      <w:r>
        <w:rPr>
          <w:rStyle w:val="Strong"/>
          <w:b w:val="0"/>
          <w:sz w:val="28"/>
          <w:szCs w:val="28"/>
        </w:rPr>
        <w:t>overlying skin remained intact</w:t>
      </w:r>
      <w:r>
        <w:rPr>
          <w:bCs/>
          <w:sz w:val="28"/>
          <w:szCs w:val="28"/>
        </w:rPr>
        <w:t xml:space="preserve">. The </w:t>
      </w:r>
      <w:r>
        <w:rPr>
          <w:rStyle w:val="Strong"/>
          <w:b w:val="0"/>
          <w:sz w:val="28"/>
          <w:szCs w:val="28"/>
        </w:rPr>
        <w:t>most commonly involved sites</w:t>
      </w:r>
      <w:r>
        <w:rPr>
          <w:bCs/>
          <w:sz w:val="28"/>
          <w:szCs w:val="28"/>
        </w:rPr>
        <w:t xml:space="preserve"> were the </w:t>
      </w:r>
      <w:r>
        <w:rPr>
          <w:rStyle w:val="Strong"/>
          <w:b w:val="0"/>
          <w:sz w:val="28"/>
          <w:szCs w:val="28"/>
        </w:rPr>
        <w:t>upper and lower lip</w:t>
      </w:r>
      <w:r>
        <w:rPr>
          <w:bCs/>
          <w:sz w:val="28"/>
          <w:szCs w:val="28"/>
        </w:rPr>
        <w:t xml:space="preserve">, followed by the </w:t>
      </w:r>
      <w:r>
        <w:rPr>
          <w:rStyle w:val="Strong"/>
          <w:b w:val="0"/>
          <w:sz w:val="28"/>
          <w:szCs w:val="28"/>
        </w:rPr>
        <w:t>buccal mucosa</w:t>
      </w:r>
      <w:r>
        <w:rPr>
          <w:bCs/>
          <w:sz w:val="28"/>
          <w:szCs w:val="28"/>
        </w:rPr>
        <w:t xml:space="preserve">, </w:t>
      </w:r>
      <w:r>
        <w:rPr>
          <w:rStyle w:val="Strong"/>
          <w:b w:val="0"/>
          <w:sz w:val="28"/>
          <w:szCs w:val="28"/>
        </w:rPr>
        <w:t>tongue</w:t>
      </w:r>
      <w:r>
        <w:rPr>
          <w:bCs/>
          <w:sz w:val="28"/>
          <w:szCs w:val="28"/>
        </w:rPr>
        <w:t xml:space="preserve">, </w:t>
      </w:r>
      <w:r>
        <w:rPr>
          <w:rStyle w:val="Strong"/>
          <w:b w:val="0"/>
          <w:sz w:val="28"/>
          <w:szCs w:val="28"/>
        </w:rPr>
        <w:t>gingiva</w:t>
      </w:r>
      <w:r>
        <w:rPr>
          <w:bCs/>
          <w:sz w:val="28"/>
          <w:szCs w:val="28"/>
        </w:rPr>
        <w:t xml:space="preserve">, and </w:t>
      </w:r>
      <w:r>
        <w:rPr>
          <w:rStyle w:val="Strong"/>
          <w:b w:val="0"/>
          <w:sz w:val="28"/>
          <w:szCs w:val="28"/>
        </w:rPr>
        <w:t>floor of the mouth</w:t>
      </w:r>
      <w:r>
        <w:rPr>
          <w:bCs/>
          <w:sz w:val="28"/>
          <w:szCs w:val="28"/>
        </w:rPr>
        <w:t>.</w:t>
      </w:r>
    </w:p>
    <w:p w:rsidR="008E11A5" w:rsidRDefault="00342678">
      <w:pPr>
        <w:pStyle w:val="NormalWeb"/>
        <w:jc w:val="both"/>
        <w:rPr>
          <w:bCs/>
          <w:sz w:val="28"/>
          <w:szCs w:val="28"/>
        </w:rPr>
      </w:pPr>
      <w:r>
        <w:rPr>
          <w:bCs/>
          <w:sz w:val="28"/>
          <w:szCs w:val="28"/>
        </w:rPr>
        <w:t xml:space="preserve">Sebaceous glands in the oral cavity are referred to as </w:t>
      </w:r>
      <w:r>
        <w:rPr>
          <w:rStyle w:val="Strong"/>
          <w:b w:val="0"/>
          <w:sz w:val="28"/>
          <w:szCs w:val="28"/>
        </w:rPr>
        <w:t>Fordyce granules⁶</w:t>
      </w:r>
      <w:r>
        <w:rPr>
          <w:bCs/>
          <w:sz w:val="28"/>
          <w:szCs w:val="28"/>
        </w:rPr>
        <w:t xml:space="preserve">, which are present in approximately </w:t>
      </w:r>
      <w:r>
        <w:rPr>
          <w:rStyle w:val="Strong"/>
          <w:b w:val="0"/>
          <w:sz w:val="28"/>
          <w:szCs w:val="28"/>
        </w:rPr>
        <w:t>80% of adults</w:t>
      </w:r>
      <w:r>
        <w:rPr>
          <w:bCs/>
          <w:sz w:val="28"/>
          <w:szCs w:val="28"/>
        </w:rPr>
        <w:t xml:space="preserve">. </w:t>
      </w:r>
      <w:r>
        <w:rPr>
          <w:rStyle w:val="Strong"/>
          <w:b w:val="0"/>
          <w:sz w:val="28"/>
          <w:szCs w:val="28"/>
        </w:rPr>
        <w:t>Primary sebaceous carcinoma of the oral cavity</w:t>
      </w:r>
      <w:r>
        <w:rPr>
          <w:bCs/>
          <w:sz w:val="28"/>
          <w:szCs w:val="28"/>
        </w:rPr>
        <w:t xml:space="preserve"> is believed to originate either from </w:t>
      </w:r>
      <w:r>
        <w:rPr>
          <w:rStyle w:val="Strong"/>
          <w:b w:val="0"/>
          <w:sz w:val="28"/>
          <w:szCs w:val="28"/>
        </w:rPr>
        <w:t>Fordyce granules or</w:t>
      </w:r>
      <w:r>
        <w:rPr>
          <w:bCs/>
          <w:sz w:val="28"/>
          <w:szCs w:val="28"/>
        </w:rPr>
        <w:t xml:space="preserve"> </w:t>
      </w:r>
      <w:r>
        <w:rPr>
          <w:rStyle w:val="Strong"/>
          <w:b w:val="0"/>
          <w:sz w:val="28"/>
          <w:szCs w:val="28"/>
        </w:rPr>
        <w:t>salivary gland elements⁶</w:t>
      </w:r>
      <w:r>
        <w:rPr>
          <w:bCs/>
          <w:sz w:val="28"/>
          <w:szCs w:val="28"/>
        </w:rPr>
        <w:t xml:space="preserve">. Among the 13 cases reviewed, only </w:t>
      </w:r>
      <w:r>
        <w:rPr>
          <w:rStyle w:val="Strong"/>
          <w:b w:val="0"/>
          <w:sz w:val="28"/>
          <w:szCs w:val="28"/>
        </w:rPr>
        <w:t xml:space="preserve">2 </w:t>
      </w:r>
      <w:r>
        <w:rPr>
          <w:bCs/>
          <w:sz w:val="28"/>
          <w:szCs w:val="28"/>
        </w:rPr>
        <w:t xml:space="preserve">—reported by </w:t>
      </w:r>
      <w:proofErr w:type="spellStart"/>
      <w:r>
        <w:rPr>
          <w:rStyle w:val="Strong"/>
          <w:b w:val="0"/>
          <w:sz w:val="28"/>
          <w:szCs w:val="28"/>
        </w:rPr>
        <w:t>Jawanda</w:t>
      </w:r>
      <w:proofErr w:type="spellEnd"/>
      <w:r>
        <w:rPr>
          <w:rStyle w:val="Strong"/>
          <w:b w:val="0"/>
          <w:sz w:val="28"/>
          <w:szCs w:val="28"/>
        </w:rPr>
        <w:t xml:space="preserve"> et al. (</w:t>
      </w:r>
      <w:proofErr w:type="gramStart"/>
      <w:r>
        <w:rPr>
          <w:rStyle w:val="Strong"/>
          <w:b w:val="0"/>
          <w:sz w:val="28"/>
          <w:szCs w:val="28"/>
        </w:rPr>
        <w:t>2018)²</w:t>
      </w:r>
      <w:proofErr w:type="gramEnd"/>
      <w:r>
        <w:rPr>
          <w:rStyle w:val="Strong"/>
          <w:b w:val="0"/>
          <w:sz w:val="28"/>
          <w:szCs w:val="28"/>
        </w:rPr>
        <w:t>⁹</w:t>
      </w:r>
      <w:r>
        <w:rPr>
          <w:bCs/>
          <w:sz w:val="28"/>
          <w:szCs w:val="28"/>
        </w:rPr>
        <w:t xml:space="preserve"> and </w:t>
      </w:r>
      <w:r>
        <w:rPr>
          <w:rStyle w:val="Strong"/>
          <w:b w:val="0"/>
          <w:sz w:val="28"/>
          <w:szCs w:val="28"/>
        </w:rPr>
        <w:t>Alawi et al. (2005)²⁵</w:t>
      </w:r>
      <w:r>
        <w:rPr>
          <w:bCs/>
          <w:sz w:val="28"/>
          <w:szCs w:val="28"/>
        </w:rPr>
        <w:t xml:space="preserve">—confirmed the presence of </w:t>
      </w:r>
      <w:r>
        <w:rPr>
          <w:rStyle w:val="Strong"/>
          <w:b w:val="0"/>
          <w:sz w:val="28"/>
          <w:szCs w:val="28"/>
        </w:rPr>
        <w:t>Fordyce granules</w:t>
      </w:r>
      <w:r>
        <w:rPr>
          <w:bCs/>
          <w:sz w:val="28"/>
          <w:szCs w:val="28"/>
        </w:rPr>
        <w:t xml:space="preserve">. </w:t>
      </w:r>
      <w:r>
        <w:rPr>
          <w:rStyle w:val="Strong"/>
          <w:b w:val="0"/>
          <w:sz w:val="28"/>
          <w:szCs w:val="28"/>
        </w:rPr>
        <w:t>Alawi et al. (2005)</w:t>
      </w:r>
      <w:r>
        <w:rPr>
          <w:bCs/>
          <w:sz w:val="28"/>
          <w:szCs w:val="28"/>
        </w:rPr>
        <w:t xml:space="preserve"> described them as </w:t>
      </w:r>
      <w:r>
        <w:rPr>
          <w:rStyle w:val="Strong"/>
          <w:b w:val="0"/>
          <w:sz w:val="28"/>
          <w:szCs w:val="28"/>
        </w:rPr>
        <w:t>numerous</w:t>
      </w:r>
      <w:r>
        <w:rPr>
          <w:bCs/>
          <w:sz w:val="28"/>
          <w:szCs w:val="28"/>
        </w:rPr>
        <w:t xml:space="preserve">, measuring </w:t>
      </w:r>
      <w:r>
        <w:rPr>
          <w:rStyle w:val="Strong"/>
          <w:b w:val="0"/>
          <w:sz w:val="28"/>
          <w:szCs w:val="28"/>
        </w:rPr>
        <w:t>1–2 mm</w:t>
      </w:r>
      <w:r>
        <w:rPr>
          <w:bCs/>
          <w:sz w:val="28"/>
          <w:szCs w:val="28"/>
        </w:rPr>
        <w:t xml:space="preserve"> in diameter, primarily involving the </w:t>
      </w:r>
      <w:r>
        <w:rPr>
          <w:rStyle w:val="Strong"/>
          <w:b w:val="0"/>
          <w:sz w:val="28"/>
          <w:szCs w:val="28"/>
        </w:rPr>
        <w:t>upper labial mucosa</w:t>
      </w:r>
      <w:r>
        <w:rPr>
          <w:bCs/>
          <w:sz w:val="28"/>
          <w:szCs w:val="28"/>
        </w:rPr>
        <w:t xml:space="preserve">. Additionally, Fordyce granules were observed </w:t>
      </w:r>
      <w:r>
        <w:rPr>
          <w:rStyle w:val="Strong"/>
          <w:b w:val="0"/>
          <w:sz w:val="28"/>
          <w:szCs w:val="28"/>
        </w:rPr>
        <w:t>bilaterally in the buccal mucosa</w:t>
      </w:r>
      <w:r>
        <w:rPr>
          <w:bCs/>
          <w:sz w:val="28"/>
          <w:szCs w:val="28"/>
        </w:rPr>
        <w:t xml:space="preserve"> and the </w:t>
      </w:r>
      <w:r>
        <w:rPr>
          <w:rStyle w:val="Strong"/>
          <w:b w:val="0"/>
          <w:sz w:val="28"/>
          <w:szCs w:val="28"/>
        </w:rPr>
        <w:t>lower labial vestibule</w:t>
      </w:r>
      <w:r>
        <w:rPr>
          <w:bCs/>
          <w:sz w:val="28"/>
          <w:szCs w:val="28"/>
        </w:rPr>
        <w:t xml:space="preserve">. In both cases, the granules were located </w:t>
      </w:r>
      <w:r>
        <w:rPr>
          <w:rStyle w:val="Strong"/>
          <w:b w:val="0"/>
          <w:sz w:val="28"/>
          <w:szCs w:val="28"/>
        </w:rPr>
        <w:t>in close proximity to the lesion</w:t>
      </w:r>
      <w:r>
        <w:rPr>
          <w:bCs/>
          <w:sz w:val="28"/>
          <w:szCs w:val="28"/>
        </w:rPr>
        <w:t>.</w:t>
      </w:r>
    </w:p>
    <w:p w:rsidR="008E11A5" w:rsidRDefault="00342678">
      <w:pPr>
        <w:pStyle w:val="NormalWeb"/>
        <w:jc w:val="both"/>
        <w:rPr>
          <w:bCs/>
          <w:sz w:val="28"/>
          <w:szCs w:val="28"/>
        </w:rPr>
      </w:pPr>
      <w:r>
        <w:rPr>
          <w:bCs/>
          <w:sz w:val="28"/>
          <w:szCs w:val="28"/>
        </w:rPr>
        <w:lastRenderedPageBreak/>
        <w:t xml:space="preserve">The </w:t>
      </w:r>
      <w:r>
        <w:rPr>
          <w:rStyle w:val="Strong"/>
          <w:b w:val="0"/>
          <w:sz w:val="28"/>
          <w:szCs w:val="28"/>
        </w:rPr>
        <w:t>duration of the lesion</w:t>
      </w:r>
      <w:r>
        <w:rPr>
          <w:bCs/>
          <w:sz w:val="28"/>
          <w:szCs w:val="28"/>
        </w:rPr>
        <w:t xml:space="preserve"> ranged from </w:t>
      </w:r>
      <w:r>
        <w:rPr>
          <w:rStyle w:val="Strong"/>
          <w:b w:val="0"/>
          <w:sz w:val="28"/>
          <w:szCs w:val="28"/>
        </w:rPr>
        <w:t>6 weeks to 1 year</w:t>
      </w:r>
      <w:r>
        <w:rPr>
          <w:bCs/>
          <w:sz w:val="28"/>
          <w:szCs w:val="28"/>
        </w:rPr>
        <w:t xml:space="preserve"> across reported cases. Only </w:t>
      </w:r>
      <w:r>
        <w:rPr>
          <w:rStyle w:val="Strong"/>
          <w:b w:val="0"/>
          <w:sz w:val="28"/>
          <w:szCs w:val="28"/>
        </w:rPr>
        <w:t>one case</w:t>
      </w:r>
      <w:r>
        <w:rPr>
          <w:bCs/>
          <w:sz w:val="28"/>
          <w:szCs w:val="28"/>
        </w:rPr>
        <w:t xml:space="preserve"> exhibited </w:t>
      </w:r>
      <w:r>
        <w:rPr>
          <w:rStyle w:val="Strong"/>
          <w:b w:val="0"/>
          <w:sz w:val="28"/>
          <w:szCs w:val="28"/>
        </w:rPr>
        <w:t>cervical lymphadenopathy</w:t>
      </w:r>
      <w:r>
        <w:rPr>
          <w:bCs/>
          <w:sz w:val="28"/>
          <w:szCs w:val="28"/>
        </w:rPr>
        <w:t xml:space="preserve">. </w:t>
      </w:r>
      <w:r>
        <w:rPr>
          <w:rStyle w:val="Strong"/>
          <w:b w:val="0"/>
          <w:sz w:val="28"/>
          <w:szCs w:val="28"/>
        </w:rPr>
        <w:t>Oshiro et al. (2010)</w:t>
      </w:r>
      <w:r>
        <w:rPr>
          <w:bCs/>
          <w:sz w:val="28"/>
          <w:szCs w:val="28"/>
        </w:rPr>
        <w:t xml:space="preserve"> reported </w:t>
      </w:r>
      <w:r>
        <w:rPr>
          <w:rStyle w:val="Strong"/>
          <w:b w:val="0"/>
          <w:sz w:val="28"/>
          <w:szCs w:val="28"/>
        </w:rPr>
        <w:t>bilaterally enlarged cervical lymph nodes</w:t>
      </w:r>
      <w:r>
        <w:rPr>
          <w:bCs/>
          <w:sz w:val="28"/>
          <w:szCs w:val="28"/>
        </w:rPr>
        <w:t xml:space="preserve"> detected on </w:t>
      </w:r>
      <w:r>
        <w:rPr>
          <w:rStyle w:val="Strong"/>
          <w:b w:val="0"/>
          <w:sz w:val="28"/>
          <w:szCs w:val="28"/>
        </w:rPr>
        <w:t>whole-body CT</w:t>
      </w:r>
      <w:r>
        <w:rPr>
          <w:bCs/>
          <w:sz w:val="28"/>
          <w:szCs w:val="28"/>
        </w:rPr>
        <w:t xml:space="preserve">, suggesting </w:t>
      </w:r>
      <w:r>
        <w:rPr>
          <w:rStyle w:val="Strong"/>
          <w:b w:val="0"/>
          <w:sz w:val="28"/>
          <w:szCs w:val="28"/>
        </w:rPr>
        <w:t>regional lymph node metastasis</w:t>
      </w:r>
      <w:r>
        <w:rPr>
          <w:bCs/>
          <w:sz w:val="28"/>
          <w:szCs w:val="28"/>
        </w:rPr>
        <w:t xml:space="preserve">. No </w:t>
      </w:r>
      <w:r>
        <w:rPr>
          <w:rStyle w:val="Strong"/>
          <w:b w:val="0"/>
          <w:sz w:val="28"/>
          <w:szCs w:val="28"/>
        </w:rPr>
        <w:t>distant metastases</w:t>
      </w:r>
      <w:r>
        <w:rPr>
          <w:bCs/>
          <w:sz w:val="28"/>
          <w:szCs w:val="28"/>
        </w:rPr>
        <w:t xml:space="preserve"> were observed in this case. Based on these findings, the lesion was classified as </w:t>
      </w:r>
      <w:r>
        <w:rPr>
          <w:rStyle w:val="Strong"/>
          <w:b w:val="0"/>
          <w:sz w:val="28"/>
          <w:szCs w:val="28"/>
        </w:rPr>
        <w:t>T2N2cM0</w:t>
      </w:r>
      <w:r>
        <w:rPr>
          <w:bCs/>
          <w:sz w:val="28"/>
          <w:szCs w:val="28"/>
        </w:rPr>
        <w:t xml:space="preserve"> according to the </w:t>
      </w:r>
      <w:r>
        <w:rPr>
          <w:rStyle w:val="Strong"/>
          <w:b w:val="0"/>
          <w:sz w:val="28"/>
          <w:szCs w:val="28"/>
        </w:rPr>
        <w:t>International Union Against Cancer (UICC)</w:t>
      </w:r>
      <w:r>
        <w:rPr>
          <w:bCs/>
          <w:sz w:val="28"/>
          <w:szCs w:val="28"/>
        </w:rPr>
        <w:t xml:space="preserve"> staging guidelines.</w:t>
      </w:r>
    </w:p>
    <w:p w:rsidR="008E11A5" w:rsidRDefault="00342678">
      <w:pPr>
        <w:pStyle w:val="Heading3"/>
        <w:jc w:val="both"/>
        <w:rPr>
          <w:b w:val="0"/>
          <w:sz w:val="28"/>
          <w:szCs w:val="28"/>
        </w:rPr>
      </w:pPr>
      <w:r>
        <w:rPr>
          <w:rStyle w:val="Strong"/>
          <w:bCs/>
          <w:sz w:val="28"/>
          <w:szCs w:val="28"/>
        </w:rPr>
        <w:t xml:space="preserve">Radiographic Findings - </w:t>
      </w:r>
      <w:r>
        <w:rPr>
          <w:b w:val="0"/>
          <w:sz w:val="28"/>
          <w:szCs w:val="28"/>
        </w:rPr>
        <w:t xml:space="preserve">Various radiographic modalities—including </w:t>
      </w:r>
      <w:r>
        <w:rPr>
          <w:rStyle w:val="Strong"/>
          <w:bCs/>
          <w:sz w:val="28"/>
          <w:szCs w:val="28"/>
        </w:rPr>
        <w:t>CT scan, MRI, CBCT, and OPG</w:t>
      </w:r>
      <w:r>
        <w:rPr>
          <w:b w:val="0"/>
          <w:sz w:val="28"/>
          <w:szCs w:val="28"/>
        </w:rPr>
        <w:t xml:space="preserve">—have been utilized to assess both soft and hard tissue involvement in oral sebaceous </w:t>
      </w:r>
      <w:proofErr w:type="spellStart"/>
      <w:proofErr w:type="gramStart"/>
      <w:r>
        <w:rPr>
          <w:b w:val="0"/>
          <w:sz w:val="28"/>
          <w:szCs w:val="28"/>
        </w:rPr>
        <w:t>carcinoma.</w:t>
      </w:r>
      <w:r>
        <w:rPr>
          <w:rStyle w:val="Strong"/>
          <w:bCs/>
          <w:sz w:val="28"/>
          <w:szCs w:val="28"/>
        </w:rPr>
        <w:t>Gomes</w:t>
      </w:r>
      <w:proofErr w:type="spellEnd"/>
      <w:proofErr w:type="gramEnd"/>
      <w:r>
        <w:rPr>
          <w:rStyle w:val="Strong"/>
          <w:bCs/>
          <w:sz w:val="28"/>
          <w:szCs w:val="28"/>
        </w:rPr>
        <w:t xml:space="preserve"> et al. (2007)</w:t>
      </w:r>
      <w:r>
        <w:rPr>
          <w:b w:val="0"/>
          <w:sz w:val="28"/>
          <w:szCs w:val="28"/>
        </w:rPr>
        <w:t xml:space="preserve"> reported </w:t>
      </w:r>
      <w:r>
        <w:rPr>
          <w:rStyle w:val="Strong"/>
          <w:bCs/>
          <w:sz w:val="28"/>
          <w:szCs w:val="28"/>
        </w:rPr>
        <w:t>CT and OPG</w:t>
      </w:r>
      <w:r>
        <w:rPr>
          <w:b w:val="0"/>
          <w:sz w:val="28"/>
          <w:szCs w:val="28"/>
        </w:rPr>
        <w:t xml:space="preserve"> findings showing </w:t>
      </w:r>
      <w:r>
        <w:rPr>
          <w:rStyle w:val="Strong"/>
          <w:bCs/>
          <w:sz w:val="28"/>
          <w:szCs w:val="28"/>
        </w:rPr>
        <w:t>bone loss</w:t>
      </w:r>
      <w:r>
        <w:rPr>
          <w:b w:val="0"/>
          <w:sz w:val="28"/>
          <w:szCs w:val="28"/>
        </w:rPr>
        <w:t xml:space="preserve"> and </w:t>
      </w:r>
      <w:r>
        <w:rPr>
          <w:rStyle w:val="Strong"/>
          <w:bCs/>
          <w:sz w:val="28"/>
          <w:szCs w:val="28"/>
        </w:rPr>
        <w:t>invasion of the underlying submucosa and muscles</w:t>
      </w:r>
      <w:r>
        <w:rPr>
          <w:b w:val="0"/>
          <w:sz w:val="28"/>
          <w:szCs w:val="28"/>
        </w:rPr>
        <w:t xml:space="preserve">. </w:t>
      </w:r>
      <w:r>
        <w:rPr>
          <w:rStyle w:val="Strong"/>
          <w:bCs/>
          <w:sz w:val="28"/>
          <w:szCs w:val="28"/>
        </w:rPr>
        <w:t>Greenall et al. (2018)</w:t>
      </w:r>
      <w:r>
        <w:rPr>
          <w:b w:val="0"/>
          <w:sz w:val="28"/>
          <w:szCs w:val="28"/>
        </w:rPr>
        <w:t xml:space="preserve"> described ultrasonographic features as a </w:t>
      </w:r>
      <w:r>
        <w:rPr>
          <w:rStyle w:val="Strong"/>
          <w:bCs/>
          <w:sz w:val="28"/>
          <w:szCs w:val="28"/>
        </w:rPr>
        <w:t>poorly defined hypoechoic irregular mass</w:t>
      </w:r>
      <w:r>
        <w:rPr>
          <w:b w:val="0"/>
          <w:sz w:val="28"/>
          <w:szCs w:val="28"/>
        </w:rPr>
        <w:t xml:space="preserve"> in the </w:t>
      </w:r>
      <w:r>
        <w:rPr>
          <w:rStyle w:val="Strong"/>
          <w:bCs/>
          <w:sz w:val="28"/>
          <w:szCs w:val="28"/>
        </w:rPr>
        <w:t>right nasolabial region</w:t>
      </w:r>
      <w:r>
        <w:rPr>
          <w:b w:val="0"/>
          <w:sz w:val="28"/>
          <w:szCs w:val="28"/>
        </w:rPr>
        <w:t xml:space="preserve">, with </w:t>
      </w:r>
      <w:r>
        <w:rPr>
          <w:rStyle w:val="Strong"/>
          <w:bCs/>
          <w:sz w:val="28"/>
          <w:szCs w:val="28"/>
        </w:rPr>
        <w:t>no internal vascularity</w:t>
      </w:r>
      <w:r>
        <w:rPr>
          <w:b w:val="0"/>
          <w:sz w:val="28"/>
          <w:szCs w:val="28"/>
        </w:rPr>
        <w:t xml:space="preserve">. The lesion extended into the </w:t>
      </w:r>
      <w:r>
        <w:rPr>
          <w:rStyle w:val="Strong"/>
          <w:bCs/>
          <w:sz w:val="28"/>
          <w:szCs w:val="28"/>
        </w:rPr>
        <w:t>skin</w:t>
      </w:r>
      <w:r>
        <w:rPr>
          <w:b w:val="0"/>
          <w:sz w:val="28"/>
          <w:szCs w:val="28"/>
        </w:rPr>
        <w:t xml:space="preserve">, </w:t>
      </w:r>
      <w:r>
        <w:rPr>
          <w:rStyle w:val="Strong"/>
          <w:bCs/>
          <w:sz w:val="28"/>
          <w:szCs w:val="28"/>
        </w:rPr>
        <w:t>subcutaneous fat</w:t>
      </w:r>
      <w:r>
        <w:rPr>
          <w:b w:val="0"/>
          <w:sz w:val="28"/>
          <w:szCs w:val="28"/>
        </w:rPr>
        <w:t xml:space="preserve">, </w:t>
      </w:r>
      <w:r>
        <w:rPr>
          <w:rStyle w:val="Strong"/>
          <w:bCs/>
          <w:sz w:val="28"/>
          <w:szCs w:val="28"/>
        </w:rPr>
        <w:t xml:space="preserve">orbicularis </w:t>
      </w:r>
      <w:proofErr w:type="spellStart"/>
      <w:r>
        <w:rPr>
          <w:rStyle w:val="Strong"/>
          <w:bCs/>
          <w:sz w:val="28"/>
          <w:szCs w:val="28"/>
        </w:rPr>
        <w:t>oris</w:t>
      </w:r>
      <w:proofErr w:type="spellEnd"/>
      <w:r>
        <w:rPr>
          <w:b w:val="0"/>
          <w:sz w:val="28"/>
          <w:szCs w:val="28"/>
        </w:rPr>
        <w:t xml:space="preserve">, and </w:t>
      </w:r>
      <w:r>
        <w:rPr>
          <w:rStyle w:val="Strong"/>
          <w:bCs/>
          <w:sz w:val="28"/>
          <w:szCs w:val="28"/>
        </w:rPr>
        <w:t>intraoral mucosa</w:t>
      </w:r>
      <w:r>
        <w:rPr>
          <w:b w:val="0"/>
          <w:sz w:val="28"/>
          <w:szCs w:val="28"/>
        </w:rPr>
        <w:t>.</w:t>
      </w:r>
    </w:p>
    <w:p w:rsidR="008E11A5" w:rsidRDefault="00342678">
      <w:pPr>
        <w:pStyle w:val="NormalWeb"/>
        <w:jc w:val="both"/>
        <w:rPr>
          <w:bCs/>
          <w:sz w:val="28"/>
          <w:szCs w:val="28"/>
        </w:rPr>
      </w:pPr>
      <w:r>
        <w:rPr>
          <w:bCs/>
          <w:sz w:val="28"/>
          <w:szCs w:val="28"/>
        </w:rPr>
        <w:t xml:space="preserve">In the case reported by </w:t>
      </w:r>
      <w:proofErr w:type="spellStart"/>
      <w:r>
        <w:rPr>
          <w:rStyle w:val="Strong"/>
          <w:b w:val="0"/>
          <w:sz w:val="28"/>
          <w:szCs w:val="28"/>
        </w:rPr>
        <w:t>Jawanda</w:t>
      </w:r>
      <w:proofErr w:type="spellEnd"/>
      <w:r>
        <w:rPr>
          <w:rStyle w:val="Strong"/>
          <w:b w:val="0"/>
          <w:sz w:val="28"/>
          <w:szCs w:val="28"/>
        </w:rPr>
        <w:t xml:space="preserve"> et al. (2018)</w:t>
      </w:r>
      <w:r>
        <w:rPr>
          <w:bCs/>
          <w:sz w:val="28"/>
          <w:szCs w:val="28"/>
        </w:rPr>
        <w:t xml:space="preserve">, a </w:t>
      </w:r>
      <w:r>
        <w:rPr>
          <w:rStyle w:val="Strong"/>
          <w:b w:val="0"/>
          <w:sz w:val="28"/>
          <w:szCs w:val="28"/>
        </w:rPr>
        <w:t>Water’s view radiograph</w:t>
      </w:r>
      <w:r>
        <w:rPr>
          <w:bCs/>
          <w:sz w:val="28"/>
          <w:szCs w:val="28"/>
        </w:rPr>
        <w:t xml:space="preserve"> of the skull revealed a </w:t>
      </w:r>
      <w:r>
        <w:rPr>
          <w:rStyle w:val="Strong"/>
          <w:b w:val="0"/>
          <w:sz w:val="28"/>
          <w:szCs w:val="28"/>
        </w:rPr>
        <w:t>soft tissue swelling</w:t>
      </w:r>
      <w:r>
        <w:rPr>
          <w:bCs/>
          <w:sz w:val="28"/>
          <w:szCs w:val="28"/>
        </w:rPr>
        <w:t xml:space="preserve"> in the </w:t>
      </w:r>
      <w:r>
        <w:rPr>
          <w:rStyle w:val="Strong"/>
          <w:b w:val="0"/>
          <w:sz w:val="28"/>
          <w:szCs w:val="28"/>
        </w:rPr>
        <w:t>right cheek area</w:t>
      </w:r>
      <w:r>
        <w:rPr>
          <w:bCs/>
          <w:sz w:val="28"/>
          <w:szCs w:val="28"/>
        </w:rPr>
        <w:t xml:space="preserve">. </w:t>
      </w:r>
      <w:r>
        <w:rPr>
          <w:rStyle w:val="Strong"/>
          <w:b w:val="0"/>
          <w:sz w:val="28"/>
          <w:szCs w:val="28"/>
        </w:rPr>
        <w:t>Oshiro et al. (2010)</w:t>
      </w:r>
      <w:r>
        <w:rPr>
          <w:bCs/>
          <w:sz w:val="28"/>
          <w:szCs w:val="28"/>
        </w:rPr>
        <w:t xml:space="preserve"> confirmed the presence of a </w:t>
      </w:r>
      <w:r>
        <w:rPr>
          <w:rStyle w:val="Strong"/>
          <w:b w:val="0"/>
          <w:sz w:val="28"/>
          <w:szCs w:val="28"/>
        </w:rPr>
        <w:t>tumorous lesion on CT</w:t>
      </w:r>
      <w:r>
        <w:rPr>
          <w:bCs/>
          <w:sz w:val="28"/>
          <w:szCs w:val="28"/>
        </w:rPr>
        <w:t xml:space="preserve">, while </w:t>
      </w:r>
      <w:r>
        <w:rPr>
          <w:rStyle w:val="Strong"/>
          <w:b w:val="0"/>
          <w:sz w:val="28"/>
          <w:szCs w:val="28"/>
        </w:rPr>
        <w:t>MRI</w:t>
      </w:r>
      <w:r>
        <w:rPr>
          <w:bCs/>
          <w:sz w:val="28"/>
          <w:szCs w:val="28"/>
        </w:rPr>
        <w:t xml:space="preserve"> showed a mass located in the </w:t>
      </w:r>
      <w:r>
        <w:rPr>
          <w:rStyle w:val="Strong"/>
          <w:b w:val="0"/>
          <w:sz w:val="28"/>
          <w:szCs w:val="28"/>
        </w:rPr>
        <w:t>dorsal and midline region of the tongue</w:t>
      </w:r>
      <w:r>
        <w:rPr>
          <w:bCs/>
          <w:sz w:val="28"/>
          <w:szCs w:val="28"/>
        </w:rPr>
        <w:t xml:space="preserve">, measuring approximately </w:t>
      </w:r>
      <w:r>
        <w:rPr>
          <w:rStyle w:val="Strong"/>
          <w:b w:val="0"/>
          <w:sz w:val="28"/>
          <w:szCs w:val="28"/>
        </w:rPr>
        <w:t>25 mm</w:t>
      </w:r>
      <w:r>
        <w:rPr>
          <w:bCs/>
          <w:sz w:val="28"/>
          <w:szCs w:val="28"/>
        </w:rPr>
        <w:t xml:space="preserve"> in greatest diameter. </w:t>
      </w:r>
      <w:r>
        <w:rPr>
          <w:rStyle w:val="Strong"/>
          <w:b w:val="0"/>
          <w:sz w:val="28"/>
          <w:szCs w:val="28"/>
        </w:rPr>
        <w:t>FDG-PET (Fluorine-18 fluorodeoxyglucose positron emission tomography)</w:t>
      </w:r>
      <w:r>
        <w:rPr>
          <w:bCs/>
          <w:sz w:val="28"/>
          <w:szCs w:val="28"/>
        </w:rPr>
        <w:t xml:space="preserve"> revealed an area of </w:t>
      </w:r>
      <w:r>
        <w:rPr>
          <w:rStyle w:val="Strong"/>
          <w:b w:val="0"/>
          <w:sz w:val="28"/>
          <w:szCs w:val="28"/>
        </w:rPr>
        <w:t>high uptake</w:t>
      </w:r>
      <w:r>
        <w:rPr>
          <w:bCs/>
          <w:sz w:val="28"/>
          <w:szCs w:val="28"/>
        </w:rPr>
        <w:t xml:space="preserve"> (SUV max = 7.0), corresponding to the lingual lesion.</w:t>
      </w:r>
    </w:p>
    <w:p w:rsidR="008E11A5" w:rsidRDefault="00342678">
      <w:pPr>
        <w:pStyle w:val="NormalWeb"/>
        <w:jc w:val="both"/>
        <w:rPr>
          <w:sz w:val="28"/>
          <w:szCs w:val="28"/>
        </w:rPr>
      </w:pPr>
      <w:r>
        <w:rPr>
          <w:bCs/>
          <w:sz w:val="28"/>
          <w:szCs w:val="28"/>
        </w:rPr>
        <w:t xml:space="preserve">Ultrasound-guided </w:t>
      </w:r>
      <w:r>
        <w:rPr>
          <w:rStyle w:val="Strong"/>
          <w:b w:val="0"/>
          <w:sz w:val="28"/>
          <w:szCs w:val="28"/>
        </w:rPr>
        <w:t>fine-needle aspiration cytology (FNAC)</w:t>
      </w:r>
      <w:r>
        <w:rPr>
          <w:bCs/>
          <w:sz w:val="28"/>
          <w:szCs w:val="28"/>
        </w:rPr>
        <w:t xml:space="preserve"> reported by </w:t>
      </w:r>
      <w:r>
        <w:rPr>
          <w:rStyle w:val="Strong"/>
          <w:b w:val="0"/>
          <w:sz w:val="28"/>
          <w:szCs w:val="28"/>
        </w:rPr>
        <w:t>Greenall et al. (2018)</w:t>
      </w:r>
      <w:r>
        <w:rPr>
          <w:bCs/>
          <w:sz w:val="28"/>
          <w:szCs w:val="28"/>
        </w:rPr>
        <w:t xml:space="preserve"> suggested the lesion might be of </w:t>
      </w:r>
      <w:r>
        <w:rPr>
          <w:rStyle w:val="Strong"/>
          <w:b w:val="0"/>
          <w:sz w:val="28"/>
          <w:szCs w:val="28"/>
        </w:rPr>
        <w:t>salivary gland origin</w:t>
      </w:r>
      <w:r>
        <w:rPr>
          <w:bCs/>
          <w:sz w:val="28"/>
          <w:szCs w:val="28"/>
        </w:rPr>
        <w:t xml:space="preserve">, with possibilities ranging from </w:t>
      </w:r>
      <w:r>
        <w:rPr>
          <w:rStyle w:val="Strong"/>
          <w:b w:val="0"/>
          <w:sz w:val="28"/>
          <w:szCs w:val="28"/>
        </w:rPr>
        <w:t>reactive</w:t>
      </w:r>
      <w:r>
        <w:rPr>
          <w:bCs/>
          <w:sz w:val="28"/>
          <w:szCs w:val="28"/>
        </w:rPr>
        <w:t xml:space="preserve"> to </w:t>
      </w:r>
      <w:r>
        <w:rPr>
          <w:rStyle w:val="Strong"/>
          <w:b w:val="0"/>
          <w:sz w:val="28"/>
          <w:szCs w:val="28"/>
        </w:rPr>
        <w:t>malignant</w:t>
      </w:r>
      <w:r>
        <w:rPr>
          <w:bCs/>
          <w:sz w:val="28"/>
          <w:szCs w:val="28"/>
        </w:rPr>
        <w:t xml:space="preserve">. In contrast, </w:t>
      </w:r>
      <w:proofErr w:type="spellStart"/>
      <w:r>
        <w:rPr>
          <w:rStyle w:val="Strong"/>
          <w:b w:val="0"/>
          <w:sz w:val="28"/>
          <w:szCs w:val="28"/>
        </w:rPr>
        <w:t>Qun</w:t>
      </w:r>
      <w:proofErr w:type="spellEnd"/>
      <w:r>
        <w:rPr>
          <w:rStyle w:val="Strong"/>
          <w:b w:val="0"/>
          <w:sz w:val="28"/>
          <w:szCs w:val="28"/>
        </w:rPr>
        <w:t xml:space="preserve"> Lu et al. (2021)</w:t>
      </w:r>
      <w:r>
        <w:rPr>
          <w:bCs/>
          <w:sz w:val="28"/>
          <w:szCs w:val="28"/>
        </w:rPr>
        <w:t xml:space="preserve"> found </w:t>
      </w:r>
      <w:r>
        <w:rPr>
          <w:rStyle w:val="Strong"/>
          <w:b w:val="0"/>
          <w:sz w:val="28"/>
          <w:szCs w:val="28"/>
        </w:rPr>
        <w:t>no significant radiographic findings</w:t>
      </w:r>
      <w:r>
        <w:rPr>
          <w:sz w:val="28"/>
          <w:szCs w:val="28"/>
        </w:rPr>
        <w:t>.</w:t>
      </w:r>
    </w:p>
    <w:p w:rsidR="008E11A5" w:rsidRDefault="00342678">
      <w:pPr>
        <w:pStyle w:val="NormalWeb"/>
        <w:jc w:val="both"/>
        <w:rPr>
          <w:sz w:val="28"/>
          <w:szCs w:val="28"/>
        </w:rPr>
      </w:pPr>
      <w:r>
        <w:rPr>
          <w:sz w:val="28"/>
          <w:szCs w:val="28"/>
        </w:rPr>
        <w:t xml:space="preserve">Histologically, </w:t>
      </w:r>
      <w:r>
        <w:rPr>
          <w:rStyle w:val="Strong"/>
          <w:b w:val="0"/>
          <w:bCs w:val="0"/>
          <w:sz w:val="28"/>
          <w:szCs w:val="28"/>
        </w:rPr>
        <w:t>sebaceous neoplasms of the salivary glands</w:t>
      </w:r>
      <w:r>
        <w:rPr>
          <w:sz w:val="28"/>
          <w:szCs w:val="28"/>
        </w:rPr>
        <w:t xml:space="preserve"> are classified into five categories:</w:t>
      </w:r>
    </w:p>
    <w:p w:rsidR="008E11A5" w:rsidRDefault="00342678">
      <w:pPr>
        <w:pStyle w:val="NormalWeb"/>
        <w:numPr>
          <w:ilvl w:val="0"/>
          <w:numId w:val="6"/>
        </w:numPr>
        <w:jc w:val="both"/>
        <w:rPr>
          <w:sz w:val="28"/>
          <w:szCs w:val="28"/>
        </w:rPr>
      </w:pPr>
      <w:r>
        <w:rPr>
          <w:rStyle w:val="Strong"/>
          <w:b w:val="0"/>
          <w:bCs w:val="0"/>
          <w:sz w:val="28"/>
          <w:szCs w:val="28"/>
        </w:rPr>
        <w:t>Sebaceous adenoma</w:t>
      </w:r>
    </w:p>
    <w:p w:rsidR="008E11A5" w:rsidRDefault="00342678">
      <w:pPr>
        <w:pStyle w:val="NormalWeb"/>
        <w:numPr>
          <w:ilvl w:val="0"/>
          <w:numId w:val="6"/>
        </w:numPr>
        <w:jc w:val="both"/>
        <w:rPr>
          <w:sz w:val="28"/>
          <w:szCs w:val="28"/>
        </w:rPr>
      </w:pPr>
      <w:r>
        <w:rPr>
          <w:rStyle w:val="Strong"/>
          <w:b w:val="0"/>
          <w:bCs w:val="0"/>
          <w:sz w:val="28"/>
          <w:szCs w:val="28"/>
        </w:rPr>
        <w:t>Sebaceous lymphadenoma</w:t>
      </w:r>
    </w:p>
    <w:p w:rsidR="008E11A5" w:rsidRDefault="00342678">
      <w:pPr>
        <w:pStyle w:val="NormalWeb"/>
        <w:numPr>
          <w:ilvl w:val="0"/>
          <w:numId w:val="6"/>
        </w:numPr>
        <w:jc w:val="both"/>
        <w:rPr>
          <w:sz w:val="28"/>
          <w:szCs w:val="28"/>
        </w:rPr>
      </w:pPr>
      <w:r>
        <w:rPr>
          <w:rStyle w:val="Strong"/>
          <w:b w:val="0"/>
          <w:bCs w:val="0"/>
          <w:sz w:val="28"/>
          <w:szCs w:val="28"/>
        </w:rPr>
        <w:t>Sebaceous carcinoma (SC)</w:t>
      </w:r>
    </w:p>
    <w:p w:rsidR="008E11A5" w:rsidRDefault="00342678">
      <w:pPr>
        <w:pStyle w:val="NormalWeb"/>
        <w:numPr>
          <w:ilvl w:val="0"/>
          <w:numId w:val="6"/>
        </w:numPr>
        <w:jc w:val="both"/>
        <w:rPr>
          <w:sz w:val="28"/>
          <w:szCs w:val="28"/>
        </w:rPr>
      </w:pPr>
      <w:r>
        <w:rPr>
          <w:rStyle w:val="Strong"/>
          <w:b w:val="0"/>
          <w:bCs w:val="0"/>
          <w:sz w:val="28"/>
          <w:szCs w:val="28"/>
        </w:rPr>
        <w:t xml:space="preserve">Sebaceous </w:t>
      </w:r>
      <w:proofErr w:type="spellStart"/>
      <w:r>
        <w:rPr>
          <w:rStyle w:val="Strong"/>
          <w:b w:val="0"/>
          <w:bCs w:val="0"/>
          <w:sz w:val="28"/>
          <w:szCs w:val="28"/>
        </w:rPr>
        <w:t>lymphadenocarcinoma</w:t>
      </w:r>
      <w:proofErr w:type="spellEnd"/>
    </w:p>
    <w:p w:rsidR="008E11A5" w:rsidRDefault="00342678">
      <w:pPr>
        <w:pStyle w:val="NormalWeb"/>
        <w:numPr>
          <w:ilvl w:val="0"/>
          <w:numId w:val="6"/>
        </w:numPr>
        <w:jc w:val="both"/>
        <w:rPr>
          <w:sz w:val="28"/>
          <w:szCs w:val="28"/>
        </w:rPr>
      </w:pPr>
      <w:r>
        <w:rPr>
          <w:rStyle w:val="Strong"/>
          <w:b w:val="0"/>
          <w:bCs w:val="0"/>
          <w:sz w:val="28"/>
          <w:szCs w:val="28"/>
        </w:rPr>
        <w:t>Sebaceous differentiation in other tumors</w:t>
      </w:r>
      <w:r>
        <w:rPr>
          <w:sz w:val="28"/>
          <w:szCs w:val="28"/>
        </w:rPr>
        <w:t>⁽³⁵⁾</w:t>
      </w:r>
    </w:p>
    <w:p w:rsidR="008E11A5" w:rsidRDefault="00342678">
      <w:pPr>
        <w:pStyle w:val="NormalWeb"/>
        <w:jc w:val="both"/>
        <w:rPr>
          <w:sz w:val="28"/>
          <w:szCs w:val="28"/>
        </w:rPr>
      </w:pPr>
      <w:r>
        <w:rPr>
          <w:sz w:val="28"/>
          <w:szCs w:val="28"/>
        </w:rPr>
        <w:t xml:space="preserve">Microscopically, the tumor mass often appears to reside in the </w:t>
      </w:r>
      <w:r>
        <w:rPr>
          <w:rStyle w:val="Strong"/>
          <w:b w:val="0"/>
          <w:bCs w:val="0"/>
          <w:sz w:val="28"/>
          <w:szCs w:val="28"/>
        </w:rPr>
        <w:t>deeper mucosa</w:t>
      </w:r>
      <w:r>
        <w:rPr>
          <w:sz w:val="28"/>
          <w:szCs w:val="28"/>
        </w:rPr>
        <w:t xml:space="preserve">, with </w:t>
      </w:r>
      <w:r>
        <w:rPr>
          <w:rStyle w:val="Strong"/>
          <w:b w:val="0"/>
          <w:bCs w:val="0"/>
          <w:sz w:val="28"/>
          <w:szCs w:val="28"/>
        </w:rPr>
        <w:t>pushing margins</w:t>
      </w:r>
      <w:r>
        <w:rPr>
          <w:sz w:val="28"/>
          <w:szCs w:val="28"/>
        </w:rPr>
        <w:t xml:space="preserve"> and </w:t>
      </w:r>
      <w:r>
        <w:rPr>
          <w:rStyle w:val="Strong"/>
          <w:b w:val="0"/>
          <w:bCs w:val="0"/>
          <w:sz w:val="28"/>
          <w:szCs w:val="28"/>
        </w:rPr>
        <w:t>tumor nests</w:t>
      </w:r>
      <w:r>
        <w:rPr>
          <w:sz w:val="28"/>
          <w:szCs w:val="28"/>
        </w:rPr>
        <w:t xml:space="preserve">⁽³⁵⁾. The tumor typically consists of </w:t>
      </w:r>
      <w:r>
        <w:rPr>
          <w:rStyle w:val="Strong"/>
          <w:b w:val="0"/>
          <w:bCs w:val="0"/>
          <w:sz w:val="28"/>
          <w:szCs w:val="28"/>
        </w:rPr>
        <w:t>large nests of neoplastic cells</w:t>
      </w:r>
      <w:r>
        <w:rPr>
          <w:sz w:val="28"/>
          <w:szCs w:val="28"/>
        </w:rPr>
        <w:t xml:space="preserve"> with </w:t>
      </w:r>
      <w:proofErr w:type="spellStart"/>
      <w:r>
        <w:rPr>
          <w:rStyle w:val="Strong"/>
          <w:b w:val="0"/>
          <w:bCs w:val="0"/>
          <w:sz w:val="28"/>
          <w:szCs w:val="28"/>
        </w:rPr>
        <w:t>squamoid</w:t>
      </w:r>
      <w:proofErr w:type="spellEnd"/>
      <w:r>
        <w:rPr>
          <w:rStyle w:val="Strong"/>
          <w:b w:val="0"/>
          <w:bCs w:val="0"/>
          <w:sz w:val="28"/>
          <w:szCs w:val="28"/>
        </w:rPr>
        <w:t xml:space="preserve"> features</w:t>
      </w:r>
      <w:r>
        <w:rPr>
          <w:sz w:val="28"/>
          <w:szCs w:val="28"/>
        </w:rPr>
        <w:t xml:space="preserve">, separated by </w:t>
      </w:r>
      <w:r>
        <w:rPr>
          <w:rStyle w:val="Strong"/>
          <w:b w:val="0"/>
          <w:bCs w:val="0"/>
          <w:sz w:val="28"/>
          <w:szCs w:val="28"/>
        </w:rPr>
        <w:t>scanty stroma</w:t>
      </w:r>
      <w:r>
        <w:rPr>
          <w:sz w:val="28"/>
          <w:szCs w:val="28"/>
        </w:rPr>
        <w:t xml:space="preserve">. The cells display </w:t>
      </w:r>
      <w:r>
        <w:rPr>
          <w:rStyle w:val="Strong"/>
          <w:b w:val="0"/>
          <w:bCs w:val="0"/>
          <w:sz w:val="28"/>
          <w:szCs w:val="28"/>
        </w:rPr>
        <w:t>large vesicular nuclei</w:t>
      </w:r>
      <w:r>
        <w:rPr>
          <w:sz w:val="28"/>
          <w:szCs w:val="28"/>
        </w:rPr>
        <w:t xml:space="preserve"> with </w:t>
      </w:r>
      <w:r>
        <w:rPr>
          <w:rStyle w:val="Strong"/>
          <w:b w:val="0"/>
          <w:bCs w:val="0"/>
          <w:sz w:val="28"/>
          <w:szCs w:val="28"/>
        </w:rPr>
        <w:t>prominent nucleoli</w:t>
      </w:r>
      <w:r>
        <w:rPr>
          <w:sz w:val="28"/>
          <w:szCs w:val="28"/>
        </w:rPr>
        <w:t xml:space="preserve">, along with </w:t>
      </w:r>
      <w:r>
        <w:rPr>
          <w:rStyle w:val="Strong"/>
          <w:b w:val="0"/>
          <w:bCs w:val="0"/>
          <w:sz w:val="28"/>
          <w:szCs w:val="28"/>
        </w:rPr>
        <w:t xml:space="preserve">cellular and </w:t>
      </w:r>
      <w:r>
        <w:rPr>
          <w:rStyle w:val="Strong"/>
          <w:b w:val="0"/>
          <w:bCs w:val="0"/>
          <w:sz w:val="28"/>
          <w:szCs w:val="28"/>
        </w:rPr>
        <w:lastRenderedPageBreak/>
        <w:t>nuclear pleomorphism</w:t>
      </w:r>
      <w:r>
        <w:rPr>
          <w:sz w:val="28"/>
          <w:szCs w:val="28"/>
        </w:rPr>
        <w:t xml:space="preserve">. Occasional </w:t>
      </w:r>
      <w:proofErr w:type="spellStart"/>
      <w:r>
        <w:rPr>
          <w:rStyle w:val="Strong"/>
          <w:b w:val="0"/>
          <w:bCs w:val="0"/>
          <w:sz w:val="28"/>
          <w:szCs w:val="28"/>
        </w:rPr>
        <w:t>multilobated</w:t>
      </w:r>
      <w:proofErr w:type="spellEnd"/>
      <w:r>
        <w:rPr>
          <w:rStyle w:val="Strong"/>
          <w:b w:val="0"/>
          <w:bCs w:val="0"/>
          <w:sz w:val="28"/>
          <w:szCs w:val="28"/>
        </w:rPr>
        <w:t xml:space="preserve"> nuclei</w:t>
      </w:r>
      <w:r>
        <w:rPr>
          <w:sz w:val="28"/>
          <w:szCs w:val="28"/>
        </w:rPr>
        <w:t xml:space="preserve"> and both </w:t>
      </w:r>
      <w:r>
        <w:rPr>
          <w:rStyle w:val="Strong"/>
          <w:b w:val="0"/>
          <w:bCs w:val="0"/>
          <w:sz w:val="28"/>
          <w:szCs w:val="28"/>
        </w:rPr>
        <w:t>typical and atypical mitotic figures</w:t>
      </w:r>
      <w:r>
        <w:rPr>
          <w:sz w:val="28"/>
          <w:szCs w:val="28"/>
        </w:rPr>
        <w:t xml:space="preserve"> are </w:t>
      </w:r>
      <w:proofErr w:type="spellStart"/>
      <w:proofErr w:type="gramStart"/>
      <w:r>
        <w:rPr>
          <w:sz w:val="28"/>
          <w:szCs w:val="28"/>
        </w:rPr>
        <w:t>evident.The</w:t>
      </w:r>
      <w:proofErr w:type="spellEnd"/>
      <w:proofErr w:type="gramEnd"/>
      <w:r>
        <w:rPr>
          <w:sz w:val="28"/>
          <w:szCs w:val="28"/>
        </w:rPr>
        <w:t xml:space="preserve"> </w:t>
      </w:r>
      <w:r>
        <w:rPr>
          <w:rStyle w:val="Strong"/>
          <w:b w:val="0"/>
          <w:bCs w:val="0"/>
          <w:sz w:val="28"/>
          <w:szCs w:val="28"/>
        </w:rPr>
        <w:t>sebaceous nests</w:t>
      </w:r>
      <w:r>
        <w:rPr>
          <w:sz w:val="28"/>
          <w:szCs w:val="28"/>
        </w:rPr>
        <w:t xml:space="preserve"> are composed of </w:t>
      </w:r>
      <w:r>
        <w:rPr>
          <w:rStyle w:val="Strong"/>
          <w:b w:val="0"/>
          <w:bCs w:val="0"/>
          <w:sz w:val="28"/>
          <w:szCs w:val="28"/>
        </w:rPr>
        <w:t>clear tumor cells</w:t>
      </w:r>
      <w:r>
        <w:rPr>
          <w:sz w:val="28"/>
          <w:szCs w:val="28"/>
        </w:rPr>
        <w:t xml:space="preserve"> with </w:t>
      </w:r>
      <w:r>
        <w:rPr>
          <w:rStyle w:val="Strong"/>
          <w:b w:val="0"/>
          <w:bCs w:val="0"/>
          <w:sz w:val="28"/>
          <w:szCs w:val="28"/>
        </w:rPr>
        <w:t>foamy cytoplasm</w:t>
      </w:r>
      <w:r>
        <w:rPr>
          <w:sz w:val="28"/>
          <w:szCs w:val="28"/>
        </w:rPr>
        <w:t xml:space="preserve">. </w:t>
      </w:r>
      <w:proofErr w:type="spellStart"/>
      <w:r>
        <w:rPr>
          <w:rStyle w:val="Strong"/>
          <w:b w:val="0"/>
          <w:bCs w:val="0"/>
          <w:sz w:val="28"/>
          <w:szCs w:val="28"/>
        </w:rPr>
        <w:t>Handschel</w:t>
      </w:r>
      <w:proofErr w:type="spellEnd"/>
      <w:r>
        <w:rPr>
          <w:rStyle w:val="Strong"/>
          <w:b w:val="0"/>
          <w:bCs w:val="0"/>
          <w:sz w:val="28"/>
          <w:szCs w:val="28"/>
        </w:rPr>
        <w:t xml:space="preserve"> et al. (2003)</w:t>
      </w:r>
      <w:r>
        <w:rPr>
          <w:sz w:val="28"/>
          <w:szCs w:val="28"/>
        </w:rPr>
        <w:t xml:space="preserve"> described similar tumors arranged in </w:t>
      </w:r>
      <w:r>
        <w:rPr>
          <w:rStyle w:val="Strong"/>
          <w:b w:val="0"/>
          <w:bCs w:val="0"/>
          <w:sz w:val="28"/>
          <w:szCs w:val="28"/>
        </w:rPr>
        <w:t>solid cords and nests</w:t>
      </w:r>
      <w:r>
        <w:rPr>
          <w:sz w:val="28"/>
          <w:szCs w:val="28"/>
        </w:rPr>
        <w:t xml:space="preserve">, with central regions often filled with </w:t>
      </w:r>
      <w:r>
        <w:rPr>
          <w:rStyle w:val="Strong"/>
          <w:b w:val="0"/>
          <w:bCs w:val="0"/>
          <w:sz w:val="28"/>
          <w:szCs w:val="28"/>
        </w:rPr>
        <w:t xml:space="preserve">clear cells showing honeycomb-like </w:t>
      </w:r>
      <w:proofErr w:type="spellStart"/>
      <w:proofErr w:type="gramStart"/>
      <w:r>
        <w:rPr>
          <w:rStyle w:val="Strong"/>
          <w:b w:val="0"/>
          <w:bCs w:val="0"/>
          <w:sz w:val="28"/>
          <w:szCs w:val="28"/>
        </w:rPr>
        <w:t>cytoplasm</w:t>
      </w:r>
      <w:r>
        <w:rPr>
          <w:sz w:val="28"/>
          <w:szCs w:val="28"/>
        </w:rPr>
        <w:t>.</w:t>
      </w:r>
      <w:r>
        <w:rPr>
          <w:rStyle w:val="Strong"/>
          <w:b w:val="0"/>
          <w:bCs w:val="0"/>
          <w:sz w:val="28"/>
          <w:szCs w:val="28"/>
        </w:rPr>
        <w:t>Oshiro</w:t>
      </w:r>
      <w:proofErr w:type="spellEnd"/>
      <w:proofErr w:type="gramEnd"/>
      <w:r>
        <w:rPr>
          <w:rStyle w:val="Strong"/>
          <w:b w:val="0"/>
          <w:bCs w:val="0"/>
          <w:sz w:val="28"/>
          <w:szCs w:val="28"/>
        </w:rPr>
        <w:t xml:space="preserve"> et al. (2010)</w:t>
      </w:r>
      <w:r>
        <w:rPr>
          <w:sz w:val="28"/>
          <w:szCs w:val="28"/>
        </w:rPr>
        <w:t xml:space="preserve"> described lesions with </w:t>
      </w:r>
      <w:r>
        <w:rPr>
          <w:rStyle w:val="Strong"/>
          <w:b w:val="0"/>
          <w:bCs w:val="0"/>
          <w:sz w:val="28"/>
          <w:szCs w:val="28"/>
        </w:rPr>
        <w:t>enlarged nucleoli</w:t>
      </w:r>
      <w:r>
        <w:rPr>
          <w:sz w:val="28"/>
          <w:szCs w:val="28"/>
        </w:rPr>
        <w:t xml:space="preserve"> and </w:t>
      </w:r>
      <w:r>
        <w:rPr>
          <w:rStyle w:val="Strong"/>
          <w:b w:val="0"/>
          <w:bCs w:val="0"/>
          <w:sz w:val="28"/>
          <w:szCs w:val="28"/>
        </w:rPr>
        <w:t>bubbly cytoplasmic vacuolization</w:t>
      </w:r>
      <w:r>
        <w:rPr>
          <w:sz w:val="28"/>
          <w:szCs w:val="28"/>
        </w:rPr>
        <w:t xml:space="preserve">, along with a </w:t>
      </w:r>
      <w:r>
        <w:rPr>
          <w:rStyle w:val="Strong"/>
          <w:b w:val="0"/>
          <w:bCs w:val="0"/>
          <w:sz w:val="28"/>
          <w:szCs w:val="28"/>
        </w:rPr>
        <w:t>moderate to high nuclear-to-cytoplasmic ratio</w:t>
      </w:r>
      <w:r>
        <w:rPr>
          <w:sz w:val="28"/>
          <w:szCs w:val="28"/>
        </w:rPr>
        <w:t xml:space="preserve"> and </w:t>
      </w:r>
      <w:r>
        <w:rPr>
          <w:rStyle w:val="Strong"/>
          <w:b w:val="0"/>
          <w:bCs w:val="0"/>
          <w:sz w:val="28"/>
          <w:szCs w:val="28"/>
        </w:rPr>
        <w:t>pronounced nuclear pleomorphism</w:t>
      </w:r>
      <w:r>
        <w:rPr>
          <w:sz w:val="28"/>
          <w:szCs w:val="28"/>
        </w:rPr>
        <w:t xml:space="preserve">. More than </w:t>
      </w:r>
      <w:r>
        <w:rPr>
          <w:rStyle w:val="Strong"/>
          <w:b w:val="0"/>
          <w:bCs w:val="0"/>
          <w:sz w:val="28"/>
          <w:szCs w:val="28"/>
        </w:rPr>
        <w:t>10 mitotic figures per 10 high-power fields</w:t>
      </w:r>
      <w:r>
        <w:rPr>
          <w:sz w:val="28"/>
          <w:szCs w:val="28"/>
        </w:rPr>
        <w:t xml:space="preserve"> were observed. Additionally, </w:t>
      </w:r>
      <w:r>
        <w:rPr>
          <w:rStyle w:val="Strong"/>
          <w:b w:val="0"/>
          <w:bCs w:val="0"/>
          <w:sz w:val="28"/>
          <w:szCs w:val="28"/>
        </w:rPr>
        <w:t>pyknosis, karyorrhexis, and individual cell death</w:t>
      </w:r>
      <w:r>
        <w:rPr>
          <w:sz w:val="28"/>
          <w:szCs w:val="28"/>
        </w:rPr>
        <w:t xml:space="preserve"> were noted. The tumor cells formed </w:t>
      </w:r>
      <w:r>
        <w:rPr>
          <w:rStyle w:val="Strong"/>
          <w:b w:val="0"/>
          <w:bCs w:val="0"/>
          <w:sz w:val="28"/>
          <w:szCs w:val="28"/>
        </w:rPr>
        <w:t>irregularly lobulated solid nests</w:t>
      </w:r>
      <w:r>
        <w:rPr>
          <w:sz w:val="28"/>
          <w:szCs w:val="28"/>
        </w:rPr>
        <w:t xml:space="preserve">, with </w:t>
      </w:r>
      <w:r>
        <w:rPr>
          <w:rStyle w:val="Strong"/>
          <w:b w:val="0"/>
          <w:bCs w:val="0"/>
          <w:sz w:val="28"/>
          <w:szCs w:val="28"/>
        </w:rPr>
        <w:t>nuclear palisading</w:t>
      </w:r>
      <w:r>
        <w:rPr>
          <w:sz w:val="28"/>
          <w:szCs w:val="28"/>
        </w:rPr>
        <w:t xml:space="preserve"> at the periphery. However, </w:t>
      </w:r>
      <w:r>
        <w:rPr>
          <w:rStyle w:val="Strong"/>
          <w:b w:val="0"/>
          <w:bCs w:val="0"/>
          <w:sz w:val="28"/>
          <w:szCs w:val="28"/>
        </w:rPr>
        <w:t>keratinization</w:t>
      </w:r>
      <w:r>
        <w:rPr>
          <w:sz w:val="28"/>
          <w:szCs w:val="28"/>
        </w:rPr>
        <w:t xml:space="preserve">, </w:t>
      </w:r>
      <w:r>
        <w:rPr>
          <w:rStyle w:val="Strong"/>
          <w:b w:val="0"/>
          <w:bCs w:val="0"/>
          <w:sz w:val="28"/>
          <w:szCs w:val="28"/>
        </w:rPr>
        <w:t>intercellular bridging</w:t>
      </w:r>
      <w:r>
        <w:rPr>
          <w:sz w:val="28"/>
          <w:szCs w:val="28"/>
        </w:rPr>
        <w:t xml:space="preserve">, and </w:t>
      </w:r>
      <w:proofErr w:type="spellStart"/>
      <w:r>
        <w:rPr>
          <w:rStyle w:val="Strong"/>
          <w:b w:val="0"/>
          <w:bCs w:val="0"/>
          <w:sz w:val="28"/>
          <w:szCs w:val="28"/>
        </w:rPr>
        <w:t>comedo</w:t>
      </w:r>
      <w:proofErr w:type="spellEnd"/>
      <w:r>
        <w:rPr>
          <w:rStyle w:val="Strong"/>
          <w:b w:val="0"/>
          <w:bCs w:val="0"/>
          <w:sz w:val="28"/>
          <w:szCs w:val="28"/>
        </w:rPr>
        <w:t>-type necrosis</w:t>
      </w:r>
      <w:r>
        <w:rPr>
          <w:sz w:val="28"/>
          <w:szCs w:val="28"/>
        </w:rPr>
        <w:t xml:space="preserve"> were </w:t>
      </w:r>
      <w:proofErr w:type="spellStart"/>
      <w:proofErr w:type="gramStart"/>
      <w:r>
        <w:rPr>
          <w:sz w:val="28"/>
          <w:szCs w:val="28"/>
        </w:rPr>
        <w:t>absent.</w:t>
      </w:r>
      <w:r>
        <w:rPr>
          <w:rStyle w:val="Strong"/>
          <w:b w:val="0"/>
          <w:bCs w:val="0"/>
          <w:sz w:val="28"/>
          <w:szCs w:val="28"/>
        </w:rPr>
        <w:t>Alawi</w:t>
      </w:r>
      <w:proofErr w:type="spellEnd"/>
      <w:proofErr w:type="gramEnd"/>
      <w:r>
        <w:rPr>
          <w:rStyle w:val="Strong"/>
          <w:b w:val="0"/>
          <w:bCs w:val="0"/>
          <w:sz w:val="28"/>
          <w:szCs w:val="28"/>
        </w:rPr>
        <w:t xml:space="preserve"> et al. (2005)</w:t>
      </w:r>
      <w:r>
        <w:rPr>
          <w:sz w:val="28"/>
          <w:szCs w:val="28"/>
        </w:rPr>
        <w:t xml:space="preserve"> reported areas of </w:t>
      </w:r>
      <w:r>
        <w:rPr>
          <w:rStyle w:val="Strong"/>
          <w:b w:val="0"/>
          <w:bCs w:val="0"/>
          <w:sz w:val="28"/>
          <w:szCs w:val="28"/>
        </w:rPr>
        <w:t>prominent squamous differentiation</w:t>
      </w:r>
      <w:r>
        <w:rPr>
          <w:sz w:val="28"/>
          <w:szCs w:val="28"/>
        </w:rPr>
        <w:t xml:space="preserve"> with </w:t>
      </w:r>
      <w:r>
        <w:rPr>
          <w:rStyle w:val="Strong"/>
          <w:b w:val="0"/>
          <w:bCs w:val="0"/>
          <w:sz w:val="28"/>
          <w:szCs w:val="28"/>
        </w:rPr>
        <w:t>keratin pearl formation</w:t>
      </w:r>
      <w:r>
        <w:rPr>
          <w:sz w:val="28"/>
          <w:szCs w:val="28"/>
        </w:rPr>
        <w:t xml:space="preserve"> and </w:t>
      </w:r>
      <w:r>
        <w:rPr>
          <w:rStyle w:val="Strong"/>
          <w:b w:val="0"/>
          <w:bCs w:val="0"/>
          <w:sz w:val="28"/>
          <w:szCs w:val="28"/>
        </w:rPr>
        <w:t>focal necrosis</w:t>
      </w:r>
      <w:r>
        <w:rPr>
          <w:sz w:val="28"/>
          <w:szCs w:val="28"/>
        </w:rPr>
        <w:t xml:space="preserve">. </w:t>
      </w:r>
      <w:r>
        <w:rPr>
          <w:rStyle w:val="Strong"/>
          <w:b w:val="0"/>
          <w:bCs w:val="0"/>
          <w:sz w:val="28"/>
          <w:szCs w:val="28"/>
        </w:rPr>
        <w:t>Electron microscopy</w:t>
      </w:r>
      <w:r>
        <w:rPr>
          <w:sz w:val="28"/>
          <w:szCs w:val="28"/>
        </w:rPr>
        <w:t xml:space="preserve"> by </w:t>
      </w:r>
      <w:r>
        <w:rPr>
          <w:rStyle w:val="Strong"/>
          <w:b w:val="0"/>
          <w:bCs w:val="0"/>
          <w:sz w:val="28"/>
          <w:szCs w:val="28"/>
        </w:rPr>
        <w:t>Oshiro et al. (2010)</w:t>
      </w:r>
      <w:r>
        <w:rPr>
          <w:sz w:val="28"/>
          <w:szCs w:val="28"/>
        </w:rPr>
        <w:t xml:space="preserve"> showed </w:t>
      </w:r>
      <w:r>
        <w:rPr>
          <w:rStyle w:val="Strong"/>
          <w:b w:val="0"/>
          <w:bCs w:val="0"/>
          <w:sz w:val="28"/>
          <w:szCs w:val="28"/>
        </w:rPr>
        <w:t>neoplastic cells</w:t>
      </w:r>
      <w:r>
        <w:rPr>
          <w:sz w:val="28"/>
          <w:szCs w:val="28"/>
        </w:rPr>
        <w:t xml:space="preserve"> containing </w:t>
      </w:r>
      <w:r>
        <w:rPr>
          <w:rStyle w:val="Strong"/>
          <w:b w:val="0"/>
          <w:bCs w:val="0"/>
          <w:sz w:val="28"/>
          <w:szCs w:val="28"/>
        </w:rPr>
        <w:t>intracytoplasmic lipid droplets</w:t>
      </w:r>
      <w:r>
        <w:rPr>
          <w:sz w:val="28"/>
          <w:szCs w:val="28"/>
        </w:rPr>
        <w:t xml:space="preserve"> ranging from </w:t>
      </w:r>
      <w:r>
        <w:rPr>
          <w:rStyle w:val="Strong"/>
          <w:b w:val="0"/>
          <w:bCs w:val="0"/>
          <w:sz w:val="28"/>
          <w:szCs w:val="28"/>
        </w:rPr>
        <w:t>800 to 1,200 nm</w:t>
      </w:r>
      <w:r>
        <w:rPr>
          <w:sz w:val="28"/>
          <w:szCs w:val="28"/>
        </w:rPr>
        <w:t xml:space="preserve"> in diameter.</w:t>
      </w:r>
    </w:p>
    <w:p w:rsidR="008E11A5" w:rsidRDefault="00342678">
      <w:pPr>
        <w:pStyle w:val="NormalWeb"/>
        <w:jc w:val="both"/>
        <w:rPr>
          <w:sz w:val="28"/>
          <w:szCs w:val="28"/>
        </w:rPr>
      </w:pPr>
      <w:r>
        <w:rPr>
          <w:sz w:val="28"/>
          <w:szCs w:val="28"/>
        </w:rPr>
        <w:t>Neoplastic cells have been shown to stain positively for:</w:t>
      </w:r>
    </w:p>
    <w:p w:rsidR="008E11A5" w:rsidRDefault="00342678">
      <w:pPr>
        <w:pStyle w:val="NormalWeb"/>
        <w:numPr>
          <w:ilvl w:val="0"/>
          <w:numId w:val="7"/>
        </w:numPr>
        <w:jc w:val="both"/>
        <w:rPr>
          <w:sz w:val="28"/>
          <w:szCs w:val="28"/>
        </w:rPr>
      </w:pPr>
      <w:proofErr w:type="spellStart"/>
      <w:r>
        <w:rPr>
          <w:rStyle w:val="Strong"/>
          <w:b w:val="0"/>
          <w:bCs w:val="0"/>
          <w:sz w:val="28"/>
          <w:szCs w:val="28"/>
        </w:rPr>
        <w:t>Cytokeratins</w:t>
      </w:r>
      <w:proofErr w:type="spellEnd"/>
    </w:p>
    <w:p w:rsidR="008E11A5" w:rsidRDefault="00342678">
      <w:pPr>
        <w:pStyle w:val="NormalWeb"/>
        <w:numPr>
          <w:ilvl w:val="0"/>
          <w:numId w:val="7"/>
        </w:numPr>
        <w:jc w:val="both"/>
        <w:rPr>
          <w:sz w:val="28"/>
          <w:szCs w:val="28"/>
        </w:rPr>
      </w:pPr>
      <w:r>
        <w:rPr>
          <w:rStyle w:val="Strong"/>
          <w:b w:val="0"/>
          <w:bCs w:val="0"/>
          <w:sz w:val="28"/>
          <w:szCs w:val="28"/>
        </w:rPr>
        <w:t>Epithelial membrane antigen (EMA)</w:t>
      </w:r>
    </w:p>
    <w:p w:rsidR="008E11A5" w:rsidRDefault="00342678">
      <w:pPr>
        <w:pStyle w:val="NormalWeb"/>
        <w:numPr>
          <w:ilvl w:val="0"/>
          <w:numId w:val="7"/>
        </w:numPr>
        <w:jc w:val="both"/>
        <w:rPr>
          <w:sz w:val="28"/>
          <w:szCs w:val="28"/>
        </w:rPr>
      </w:pPr>
      <w:r>
        <w:rPr>
          <w:rStyle w:val="Strong"/>
          <w:b w:val="0"/>
          <w:bCs w:val="0"/>
          <w:sz w:val="28"/>
          <w:szCs w:val="28"/>
        </w:rPr>
        <w:t>Carcinoembryonic antigen (CEA)</w:t>
      </w:r>
      <w:r>
        <w:rPr>
          <w:sz w:val="28"/>
          <w:szCs w:val="28"/>
        </w:rPr>
        <w:t xml:space="preserve"> (notably in foamy cytoplasmic tumor cells)</w:t>
      </w:r>
    </w:p>
    <w:p w:rsidR="008E11A5" w:rsidRDefault="00342678">
      <w:pPr>
        <w:pStyle w:val="NormalWeb"/>
        <w:numPr>
          <w:ilvl w:val="0"/>
          <w:numId w:val="7"/>
        </w:numPr>
        <w:jc w:val="both"/>
        <w:rPr>
          <w:sz w:val="28"/>
          <w:szCs w:val="28"/>
        </w:rPr>
      </w:pPr>
      <w:r>
        <w:rPr>
          <w:rStyle w:val="Strong"/>
          <w:b w:val="0"/>
          <w:bCs w:val="0"/>
          <w:sz w:val="28"/>
          <w:szCs w:val="28"/>
        </w:rPr>
        <w:t>c-erbB2 (Her-2/neu)</w:t>
      </w:r>
      <w:r>
        <w:rPr>
          <w:sz w:val="28"/>
          <w:szCs w:val="28"/>
        </w:rPr>
        <w:t xml:space="preserve"> – shows </w:t>
      </w:r>
      <w:r>
        <w:rPr>
          <w:rStyle w:val="Strong"/>
          <w:b w:val="0"/>
          <w:bCs w:val="0"/>
          <w:sz w:val="28"/>
          <w:szCs w:val="28"/>
        </w:rPr>
        <w:t>weak membranous and cytoplasmic staining</w:t>
      </w:r>
      <w:r>
        <w:rPr>
          <w:sz w:val="28"/>
          <w:szCs w:val="28"/>
        </w:rPr>
        <w:t xml:space="preserve"> in most tumor cells</w:t>
      </w:r>
    </w:p>
    <w:p w:rsidR="008E11A5" w:rsidRDefault="00342678">
      <w:pPr>
        <w:pStyle w:val="NormalWeb"/>
        <w:numPr>
          <w:ilvl w:val="0"/>
          <w:numId w:val="7"/>
        </w:numPr>
        <w:jc w:val="both"/>
        <w:rPr>
          <w:sz w:val="28"/>
          <w:szCs w:val="28"/>
        </w:rPr>
      </w:pPr>
      <w:r>
        <w:rPr>
          <w:rStyle w:val="Strong"/>
          <w:b w:val="0"/>
          <w:bCs w:val="0"/>
          <w:sz w:val="28"/>
          <w:szCs w:val="28"/>
        </w:rPr>
        <w:t>Androgen receptor (AR)</w:t>
      </w:r>
      <w:r>
        <w:rPr>
          <w:sz w:val="28"/>
          <w:szCs w:val="28"/>
        </w:rPr>
        <w:t xml:space="preserve"> – demonstrates </w:t>
      </w:r>
      <w:r>
        <w:rPr>
          <w:rStyle w:val="Strong"/>
          <w:b w:val="0"/>
          <w:bCs w:val="0"/>
          <w:sz w:val="28"/>
          <w:szCs w:val="28"/>
        </w:rPr>
        <w:t>diffuse nuclear staining</w:t>
      </w:r>
    </w:p>
    <w:p w:rsidR="008E11A5" w:rsidRDefault="00342678">
      <w:pPr>
        <w:pStyle w:val="NormalWeb"/>
        <w:jc w:val="both"/>
        <w:rPr>
          <w:sz w:val="28"/>
          <w:szCs w:val="28"/>
        </w:rPr>
      </w:pPr>
      <w:r>
        <w:rPr>
          <w:rStyle w:val="Strong"/>
          <w:b w:val="0"/>
          <w:bCs w:val="0"/>
          <w:sz w:val="28"/>
          <w:szCs w:val="28"/>
        </w:rPr>
        <w:t>Carolina et al.</w:t>
      </w:r>
      <w:r>
        <w:rPr>
          <w:sz w:val="28"/>
          <w:szCs w:val="28"/>
        </w:rPr>
        <w:t xml:space="preserve"> suggested that </w:t>
      </w:r>
      <w:r>
        <w:rPr>
          <w:rStyle w:val="Strong"/>
          <w:b w:val="0"/>
          <w:bCs w:val="0"/>
          <w:sz w:val="28"/>
          <w:szCs w:val="28"/>
        </w:rPr>
        <w:t>Androgen Receptor</w:t>
      </w:r>
      <w:r>
        <w:rPr>
          <w:sz w:val="28"/>
          <w:szCs w:val="28"/>
        </w:rPr>
        <w:t xml:space="preserve"> is a </w:t>
      </w:r>
      <w:r>
        <w:rPr>
          <w:rStyle w:val="Strong"/>
          <w:b w:val="0"/>
          <w:bCs w:val="0"/>
          <w:sz w:val="28"/>
          <w:szCs w:val="28"/>
        </w:rPr>
        <w:t>more specific marker of sebaceous differentiation</w:t>
      </w:r>
      <w:r>
        <w:rPr>
          <w:sz w:val="28"/>
          <w:szCs w:val="28"/>
        </w:rPr>
        <w:t xml:space="preserve"> than EMA. On the contrary, </w:t>
      </w:r>
      <w:r>
        <w:rPr>
          <w:rStyle w:val="Strong"/>
          <w:b w:val="0"/>
          <w:bCs w:val="0"/>
          <w:sz w:val="28"/>
          <w:szCs w:val="28"/>
        </w:rPr>
        <w:t>gross cystic disease fluid protein (GCDFP-15)</w:t>
      </w:r>
      <w:r>
        <w:rPr>
          <w:sz w:val="28"/>
          <w:szCs w:val="28"/>
        </w:rPr>
        <w:t xml:space="preserve"> and related markers are generally </w:t>
      </w:r>
      <w:r>
        <w:rPr>
          <w:rStyle w:val="Strong"/>
          <w:b w:val="0"/>
          <w:bCs w:val="0"/>
          <w:sz w:val="28"/>
          <w:szCs w:val="28"/>
        </w:rPr>
        <w:t>negative</w:t>
      </w:r>
      <w:r>
        <w:rPr>
          <w:sz w:val="28"/>
          <w:szCs w:val="28"/>
        </w:rPr>
        <w:t xml:space="preserve"> in SC²⁹.</w:t>
      </w:r>
    </w:p>
    <w:p w:rsidR="008E11A5" w:rsidRDefault="00342678">
      <w:pPr>
        <w:pStyle w:val="NormalWeb"/>
        <w:jc w:val="both"/>
        <w:rPr>
          <w:sz w:val="28"/>
          <w:szCs w:val="28"/>
        </w:rPr>
      </w:pPr>
      <w:bookmarkStart w:id="1" w:name="_Hlk201835975"/>
      <w:bookmarkStart w:id="2" w:name="_Hlk180402183"/>
      <w:bookmarkStart w:id="3" w:name="_Hlk183680988"/>
      <w:bookmarkStart w:id="4" w:name="_Hlk193540946"/>
      <w:bookmarkStart w:id="5" w:name="_Hlk197173371"/>
      <w:r>
        <w:rPr>
          <w:sz w:val="28"/>
          <w:szCs w:val="28"/>
        </w:rPr>
        <w:t xml:space="preserve">Histologically, sebaceous neoplasms of the salivary glands are categorized into five types: </w:t>
      </w:r>
      <w:r>
        <w:rPr>
          <w:rStyle w:val="Strong"/>
          <w:b w:val="0"/>
          <w:bCs w:val="0"/>
          <w:sz w:val="28"/>
          <w:szCs w:val="28"/>
        </w:rPr>
        <w:t xml:space="preserve">sebaceous adenoma, sebaceous lymphadenoma, sebaceous carcinoma (SC), sebaceous </w:t>
      </w:r>
      <w:proofErr w:type="spellStart"/>
      <w:r>
        <w:rPr>
          <w:rStyle w:val="Strong"/>
          <w:b w:val="0"/>
          <w:bCs w:val="0"/>
          <w:sz w:val="28"/>
          <w:szCs w:val="28"/>
        </w:rPr>
        <w:t>lymphadenocarcinoma</w:t>
      </w:r>
      <w:proofErr w:type="spellEnd"/>
      <w:r>
        <w:rPr>
          <w:sz w:val="28"/>
          <w:szCs w:val="28"/>
        </w:rPr>
        <w:t xml:space="preserve">, and </w:t>
      </w:r>
      <w:r>
        <w:rPr>
          <w:rStyle w:val="Strong"/>
          <w:b w:val="0"/>
          <w:bCs w:val="0"/>
          <w:sz w:val="28"/>
          <w:szCs w:val="28"/>
        </w:rPr>
        <w:t>sebaceous differentiation in other tumors</w:t>
      </w:r>
      <w:r>
        <w:rPr>
          <w:sz w:val="28"/>
          <w:szCs w:val="28"/>
        </w:rPr>
        <w:t xml:space="preserve">. Microscopically, the tumor mass appeared to be situated in the </w:t>
      </w:r>
      <w:r>
        <w:rPr>
          <w:rStyle w:val="Strong"/>
          <w:b w:val="0"/>
          <w:bCs w:val="0"/>
          <w:sz w:val="28"/>
          <w:szCs w:val="28"/>
        </w:rPr>
        <w:t>deeper mucosa</w:t>
      </w:r>
      <w:r>
        <w:rPr>
          <w:sz w:val="28"/>
          <w:szCs w:val="28"/>
        </w:rPr>
        <w:t xml:space="preserve">, with </w:t>
      </w:r>
      <w:r>
        <w:rPr>
          <w:rStyle w:val="Strong"/>
          <w:b w:val="0"/>
          <w:bCs w:val="0"/>
          <w:sz w:val="28"/>
          <w:szCs w:val="28"/>
        </w:rPr>
        <w:t>pushing margins</w:t>
      </w:r>
      <w:r>
        <w:rPr>
          <w:sz w:val="28"/>
          <w:szCs w:val="28"/>
        </w:rPr>
        <w:t xml:space="preserve"> of tumor nests. The tumor consisted of </w:t>
      </w:r>
      <w:r>
        <w:rPr>
          <w:rStyle w:val="Strong"/>
          <w:b w:val="0"/>
          <w:bCs w:val="0"/>
          <w:sz w:val="28"/>
          <w:szCs w:val="28"/>
        </w:rPr>
        <w:t>large nests of neoplastic cells with squamous-like features</w:t>
      </w:r>
      <w:r>
        <w:rPr>
          <w:sz w:val="28"/>
          <w:szCs w:val="28"/>
        </w:rPr>
        <w:t xml:space="preserve">, separated by scanty stroma. These cells exhibited </w:t>
      </w:r>
      <w:r>
        <w:rPr>
          <w:rStyle w:val="Strong"/>
          <w:b w:val="0"/>
          <w:bCs w:val="0"/>
          <w:sz w:val="28"/>
          <w:szCs w:val="28"/>
        </w:rPr>
        <w:t>large vesicular nuclei with prominent nucleoli</w:t>
      </w:r>
      <w:r>
        <w:rPr>
          <w:sz w:val="28"/>
          <w:szCs w:val="28"/>
        </w:rPr>
        <w:t xml:space="preserve">, cellular and nuclear pleomorphism, some nuclei showing </w:t>
      </w:r>
      <w:proofErr w:type="spellStart"/>
      <w:r>
        <w:rPr>
          <w:rStyle w:val="Strong"/>
          <w:b w:val="0"/>
          <w:bCs w:val="0"/>
          <w:sz w:val="28"/>
          <w:szCs w:val="28"/>
        </w:rPr>
        <w:t>multilobation</w:t>
      </w:r>
      <w:proofErr w:type="spellEnd"/>
      <w:r>
        <w:rPr>
          <w:sz w:val="28"/>
          <w:szCs w:val="28"/>
        </w:rPr>
        <w:t xml:space="preserve">, and both </w:t>
      </w:r>
      <w:r>
        <w:rPr>
          <w:rStyle w:val="Strong"/>
          <w:b w:val="0"/>
          <w:bCs w:val="0"/>
          <w:sz w:val="28"/>
          <w:szCs w:val="28"/>
        </w:rPr>
        <w:t>typical and atypical mitotic figures</w:t>
      </w:r>
      <w:r>
        <w:rPr>
          <w:sz w:val="28"/>
          <w:szCs w:val="28"/>
        </w:rPr>
        <w:t xml:space="preserve">. The </w:t>
      </w:r>
      <w:r>
        <w:rPr>
          <w:rStyle w:val="Strong"/>
          <w:b w:val="0"/>
          <w:bCs w:val="0"/>
          <w:sz w:val="28"/>
          <w:szCs w:val="28"/>
        </w:rPr>
        <w:t>sebaceous nests</w:t>
      </w:r>
      <w:r>
        <w:rPr>
          <w:sz w:val="28"/>
          <w:szCs w:val="28"/>
        </w:rPr>
        <w:t xml:space="preserve"> were composed of </w:t>
      </w:r>
      <w:r>
        <w:rPr>
          <w:rStyle w:val="Strong"/>
          <w:b w:val="0"/>
          <w:bCs w:val="0"/>
          <w:sz w:val="28"/>
          <w:szCs w:val="28"/>
        </w:rPr>
        <w:t>clear tumor cells with foamy cytoplasm</w:t>
      </w:r>
      <w:r>
        <w:rPr>
          <w:sz w:val="28"/>
          <w:szCs w:val="28"/>
        </w:rPr>
        <w:t>.</w:t>
      </w:r>
    </w:p>
    <w:p w:rsidR="008E11A5" w:rsidRDefault="00342678">
      <w:pPr>
        <w:pStyle w:val="NormalWeb"/>
        <w:jc w:val="both"/>
        <w:rPr>
          <w:sz w:val="28"/>
          <w:szCs w:val="28"/>
        </w:rPr>
      </w:pPr>
      <w:proofErr w:type="spellStart"/>
      <w:r>
        <w:rPr>
          <w:sz w:val="28"/>
          <w:szCs w:val="28"/>
        </w:rPr>
        <w:lastRenderedPageBreak/>
        <w:t>Handschel</w:t>
      </w:r>
      <w:proofErr w:type="spellEnd"/>
      <w:r>
        <w:rPr>
          <w:sz w:val="28"/>
          <w:szCs w:val="28"/>
        </w:rPr>
        <w:t xml:space="preserve"> et al. (2003) described a similar tumor arranged in </w:t>
      </w:r>
      <w:r>
        <w:rPr>
          <w:rStyle w:val="Strong"/>
          <w:b w:val="0"/>
          <w:bCs w:val="0"/>
          <w:sz w:val="28"/>
          <w:szCs w:val="28"/>
        </w:rPr>
        <w:t>solid cords and nests</w:t>
      </w:r>
      <w:r>
        <w:rPr>
          <w:sz w:val="28"/>
          <w:szCs w:val="28"/>
        </w:rPr>
        <w:t xml:space="preserve">, with central portions often filled with </w:t>
      </w:r>
      <w:r>
        <w:rPr>
          <w:rStyle w:val="Strong"/>
          <w:b w:val="0"/>
          <w:bCs w:val="0"/>
          <w:sz w:val="28"/>
          <w:szCs w:val="28"/>
        </w:rPr>
        <w:t>clear cells exhibiting honeycombed cytoplasm</w:t>
      </w:r>
      <w:r>
        <w:rPr>
          <w:sz w:val="28"/>
          <w:szCs w:val="28"/>
        </w:rPr>
        <w:t xml:space="preserve">. Oshiro et al. (2010) further described </w:t>
      </w:r>
      <w:r>
        <w:rPr>
          <w:rStyle w:val="Strong"/>
          <w:b w:val="0"/>
          <w:bCs w:val="0"/>
          <w:sz w:val="28"/>
          <w:szCs w:val="28"/>
        </w:rPr>
        <w:t>enlarged nucleoli, bubbly cytoplasmic vacuolization</w:t>
      </w:r>
      <w:r>
        <w:rPr>
          <w:sz w:val="28"/>
          <w:szCs w:val="28"/>
        </w:rPr>
        <w:t xml:space="preserve">, moderate to high nuclear-to-cytoplasmic ratio, significant nuclear pleomorphism, and </w:t>
      </w:r>
      <w:r>
        <w:rPr>
          <w:rStyle w:val="Strong"/>
          <w:b w:val="0"/>
          <w:bCs w:val="0"/>
          <w:sz w:val="28"/>
          <w:szCs w:val="28"/>
        </w:rPr>
        <w:t>&gt;10 mitotic figures per 10 high-power fields</w:t>
      </w:r>
      <w:r>
        <w:rPr>
          <w:sz w:val="28"/>
          <w:szCs w:val="28"/>
        </w:rPr>
        <w:t xml:space="preserve">. </w:t>
      </w:r>
      <w:r>
        <w:rPr>
          <w:rStyle w:val="Strong"/>
          <w:b w:val="0"/>
          <w:bCs w:val="0"/>
          <w:sz w:val="28"/>
          <w:szCs w:val="28"/>
        </w:rPr>
        <w:t>Pyknosis, karyorrhexis</w:t>
      </w:r>
      <w:r>
        <w:rPr>
          <w:sz w:val="28"/>
          <w:szCs w:val="28"/>
        </w:rPr>
        <w:t xml:space="preserve">, and </w:t>
      </w:r>
      <w:r>
        <w:rPr>
          <w:rStyle w:val="Strong"/>
          <w:b w:val="0"/>
          <w:bCs w:val="0"/>
          <w:sz w:val="28"/>
          <w:szCs w:val="28"/>
        </w:rPr>
        <w:t>individual cell death</w:t>
      </w:r>
      <w:r>
        <w:rPr>
          <w:sz w:val="28"/>
          <w:szCs w:val="28"/>
        </w:rPr>
        <w:t xml:space="preserve"> were observed. The cells formed </w:t>
      </w:r>
      <w:r>
        <w:rPr>
          <w:rStyle w:val="Strong"/>
          <w:b w:val="0"/>
          <w:bCs w:val="0"/>
          <w:sz w:val="28"/>
          <w:szCs w:val="28"/>
        </w:rPr>
        <w:t>irregularly lobulated solid nests</w:t>
      </w:r>
      <w:r>
        <w:rPr>
          <w:sz w:val="28"/>
          <w:szCs w:val="28"/>
        </w:rPr>
        <w:t xml:space="preserve">. </w:t>
      </w:r>
      <w:proofErr w:type="spellStart"/>
      <w:r>
        <w:rPr>
          <w:rStyle w:val="Strong"/>
          <w:b w:val="0"/>
          <w:bCs w:val="0"/>
          <w:sz w:val="28"/>
          <w:szCs w:val="28"/>
        </w:rPr>
        <w:t>Comedo</w:t>
      </w:r>
      <w:proofErr w:type="spellEnd"/>
      <w:r>
        <w:rPr>
          <w:rStyle w:val="Strong"/>
          <w:b w:val="0"/>
          <w:bCs w:val="0"/>
          <w:sz w:val="28"/>
          <w:szCs w:val="28"/>
        </w:rPr>
        <w:t>-type necrosis</w:t>
      </w:r>
      <w:r>
        <w:rPr>
          <w:sz w:val="28"/>
          <w:szCs w:val="28"/>
        </w:rPr>
        <w:t xml:space="preserve"> was absent, but </w:t>
      </w:r>
      <w:r>
        <w:rPr>
          <w:rStyle w:val="Strong"/>
          <w:b w:val="0"/>
          <w:bCs w:val="0"/>
          <w:sz w:val="28"/>
          <w:szCs w:val="28"/>
        </w:rPr>
        <w:t>nuclear palisading</w:t>
      </w:r>
      <w:r>
        <w:rPr>
          <w:sz w:val="28"/>
          <w:szCs w:val="28"/>
        </w:rPr>
        <w:t xml:space="preserve"> was evident at the periphery of the nests. No </w:t>
      </w:r>
      <w:r>
        <w:rPr>
          <w:rStyle w:val="Strong"/>
          <w:b w:val="0"/>
          <w:bCs w:val="0"/>
          <w:sz w:val="28"/>
          <w:szCs w:val="28"/>
        </w:rPr>
        <w:t>keratinization or intercellular bridging</w:t>
      </w:r>
      <w:r>
        <w:rPr>
          <w:sz w:val="28"/>
          <w:szCs w:val="28"/>
        </w:rPr>
        <w:t xml:space="preserve"> was observed. Alawi et al. (2005) reported </w:t>
      </w:r>
      <w:r>
        <w:rPr>
          <w:rStyle w:val="Strong"/>
          <w:b w:val="0"/>
          <w:bCs w:val="0"/>
          <w:sz w:val="28"/>
          <w:szCs w:val="28"/>
        </w:rPr>
        <w:t>squamous differentiation, keratin pearl formation</w:t>
      </w:r>
      <w:r>
        <w:rPr>
          <w:sz w:val="28"/>
          <w:szCs w:val="28"/>
        </w:rPr>
        <w:t xml:space="preserve">, and areas of necrosis. </w:t>
      </w:r>
      <w:r>
        <w:rPr>
          <w:rStyle w:val="Strong"/>
          <w:b w:val="0"/>
          <w:bCs w:val="0"/>
          <w:sz w:val="28"/>
          <w:szCs w:val="28"/>
        </w:rPr>
        <w:t>Electron microscopy</w:t>
      </w:r>
      <w:r>
        <w:rPr>
          <w:sz w:val="28"/>
          <w:szCs w:val="28"/>
        </w:rPr>
        <w:t xml:space="preserve"> by Oshiro et al. (2010) revealed </w:t>
      </w:r>
      <w:r>
        <w:rPr>
          <w:rStyle w:val="Strong"/>
          <w:b w:val="0"/>
          <w:bCs w:val="0"/>
          <w:sz w:val="28"/>
          <w:szCs w:val="28"/>
        </w:rPr>
        <w:t>intracytoplasmic lipid droplets</w:t>
      </w:r>
      <w:r>
        <w:rPr>
          <w:sz w:val="28"/>
          <w:szCs w:val="28"/>
        </w:rPr>
        <w:t xml:space="preserve"> ranging from </w:t>
      </w:r>
      <w:r>
        <w:rPr>
          <w:rStyle w:val="Strong"/>
          <w:b w:val="0"/>
          <w:bCs w:val="0"/>
          <w:sz w:val="28"/>
          <w:szCs w:val="28"/>
        </w:rPr>
        <w:t>800 to 1,200 nm</w:t>
      </w:r>
      <w:r>
        <w:rPr>
          <w:sz w:val="28"/>
          <w:szCs w:val="28"/>
        </w:rPr>
        <w:t xml:space="preserve"> in diameter.</w:t>
      </w:r>
    </w:p>
    <w:p w:rsidR="008E11A5" w:rsidRDefault="00342678">
      <w:pPr>
        <w:pStyle w:val="NormalWeb"/>
        <w:jc w:val="both"/>
        <w:rPr>
          <w:sz w:val="28"/>
          <w:szCs w:val="28"/>
        </w:rPr>
      </w:pPr>
      <w:r>
        <w:rPr>
          <w:sz w:val="28"/>
          <w:szCs w:val="28"/>
        </w:rPr>
        <w:t xml:space="preserve">According to Plaza et al. (reference 16), </w:t>
      </w:r>
      <w:r>
        <w:rPr>
          <w:rStyle w:val="Strong"/>
          <w:b w:val="0"/>
          <w:bCs w:val="0"/>
          <w:sz w:val="28"/>
          <w:szCs w:val="28"/>
        </w:rPr>
        <w:t>histopathology remains the gold standard</w:t>
      </w:r>
      <w:r>
        <w:rPr>
          <w:sz w:val="28"/>
          <w:szCs w:val="28"/>
        </w:rPr>
        <w:t xml:space="preserve"> for diagnosing SC. They emphasized the value of </w:t>
      </w:r>
      <w:r>
        <w:rPr>
          <w:rStyle w:val="Strong"/>
          <w:b w:val="0"/>
          <w:bCs w:val="0"/>
          <w:sz w:val="28"/>
          <w:szCs w:val="28"/>
        </w:rPr>
        <w:t>immunohistochemical (IHC) assessment</w:t>
      </w:r>
      <w:r>
        <w:rPr>
          <w:sz w:val="28"/>
          <w:szCs w:val="28"/>
        </w:rPr>
        <w:t xml:space="preserve"> of epithelial markers and lipid droplet-associated proteins as diagnostic adjuncts. Neoplastic cells stain positively for </w:t>
      </w:r>
      <w:proofErr w:type="spellStart"/>
      <w:r>
        <w:rPr>
          <w:rStyle w:val="Strong"/>
          <w:b w:val="0"/>
          <w:bCs w:val="0"/>
          <w:sz w:val="28"/>
          <w:szCs w:val="28"/>
        </w:rPr>
        <w:t>cytokeratins</w:t>
      </w:r>
      <w:proofErr w:type="spellEnd"/>
      <w:r>
        <w:rPr>
          <w:rStyle w:val="Strong"/>
          <w:b w:val="0"/>
          <w:bCs w:val="0"/>
          <w:sz w:val="28"/>
          <w:szCs w:val="28"/>
        </w:rPr>
        <w:t xml:space="preserve"> (CKs), epithelial membrane antigen (EMA)</w:t>
      </w:r>
      <w:r>
        <w:rPr>
          <w:sz w:val="28"/>
          <w:szCs w:val="28"/>
        </w:rPr>
        <w:t xml:space="preserve">, and </w:t>
      </w:r>
      <w:r>
        <w:rPr>
          <w:rStyle w:val="Strong"/>
          <w:b w:val="0"/>
          <w:bCs w:val="0"/>
          <w:sz w:val="28"/>
          <w:szCs w:val="28"/>
        </w:rPr>
        <w:t>c-erbB2 (Her-2/neu)</w:t>
      </w:r>
      <w:r>
        <w:rPr>
          <w:sz w:val="28"/>
          <w:szCs w:val="28"/>
        </w:rPr>
        <w:t xml:space="preserve">. </w:t>
      </w:r>
      <w:r>
        <w:rPr>
          <w:rStyle w:val="Strong"/>
          <w:b w:val="0"/>
          <w:bCs w:val="0"/>
          <w:sz w:val="28"/>
          <w:szCs w:val="28"/>
        </w:rPr>
        <w:t>Carcinoembryonic antigen (CEA)</w:t>
      </w:r>
      <w:r>
        <w:rPr>
          <w:sz w:val="28"/>
          <w:szCs w:val="28"/>
        </w:rPr>
        <w:t xml:space="preserve"> expression is found in </w:t>
      </w:r>
      <w:r>
        <w:rPr>
          <w:rStyle w:val="Strong"/>
          <w:b w:val="0"/>
          <w:bCs w:val="0"/>
          <w:sz w:val="28"/>
          <w:szCs w:val="28"/>
        </w:rPr>
        <w:t>tumor cells with foamy cytoplasm</w:t>
      </w:r>
      <w:r>
        <w:rPr>
          <w:sz w:val="28"/>
          <w:szCs w:val="28"/>
        </w:rPr>
        <w:t xml:space="preserve">. SC also demonstrates </w:t>
      </w:r>
      <w:r>
        <w:rPr>
          <w:rStyle w:val="Strong"/>
          <w:b w:val="0"/>
          <w:bCs w:val="0"/>
          <w:sz w:val="28"/>
          <w:szCs w:val="28"/>
        </w:rPr>
        <w:t>diffuse nuclear staining for androgen receptor (AR)</w:t>
      </w:r>
      <w:r>
        <w:rPr>
          <w:sz w:val="28"/>
          <w:szCs w:val="28"/>
        </w:rPr>
        <w:t xml:space="preserve">. Carolina et al. considered AR a more reliable marker for sebaceous differentiation than EMA. c-erbB2 showed </w:t>
      </w:r>
      <w:r>
        <w:rPr>
          <w:rStyle w:val="Strong"/>
          <w:b w:val="0"/>
          <w:bCs w:val="0"/>
          <w:sz w:val="28"/>
          <w:szCs w:val="28"/>
        </w:rPr>
        <w:t>weak membranous and cytoplasmic staining</w:t>
      </w:r>
      <w:r>
        <w:rPr>
          <w:sz w:val="28"/>
          <w:szCs w:val="28"/>
        </w:rPr>
        <w:t xml:space="preserve"> in most tumor cells.</w:t>
      </w:r>
    </w:p>
    <w:p w:rsidR="008E11A5" w:rsidRDefault="00342678">
      <w:pPr>
        <w:pStyle w:val="NormalWeb"/>
        <w:jc w:val="both"/>
        <w:rPr>
          <w:sz w:val="28"/>
          <w:szCs w:val="28"/>
        </w:rPr>
      </w:pPr>
      <w:r>
        <w:rPr>
          <w:sz w:val="28"/>
          <w:szCs w:val="28"/>
        </w:rPr>
        <w:t xml:space="preserve">Neoplastic cells also exhibit </w:t>
      </w:r>
      <w:r>
        <w:rPr>
          <w:rStyle w:val="Strong"/>
          <w:b w:val="0"/>
          <w:bCs w:val="0"/>
          <w:sz w:val="28"/>
          <w:szCs w:val="28"/>
        </w:rPr>
        <w:t>diffuse positivity for broad-spectrum cytokeratin (AE1/AE3)</w:t>
      </w:r>
      <w:r>
        <w:rPr>
          <w:sz w:val="28"/>
          <w:szCs w:val="28"/>
        </w:rPr>
        <w:t xml:space="preserve"> and are </w:t>
      </w:r>
      <w:r>
        <w:rPr>
          <w:rStyle w:val="Strong"/>
          <w:b w:val="0"/>
          <w:bCs w:val="0"/>
          <w:sz w:val="28"/>
          <w:szCs w:val="28"/>
        </w:rPr>
        <w:t>focally positive for CK7, CK8, low molecular weight keratin (CAM5.2), CK15</w:t>
      </w:r>
      <w:r>
        <w:rPr>
          <w:sz w:val="28"/>
          <w:szCs w:val="28"/>
        </w:rPr>
        <w:t xml:space="preserve">, and </w:t>
      </w:r>
      <w:r>
        <w:rPr>
          <w:rStyle w:val="Strong"/>
          <w:b w:val="0"/>
          <w:bCs w:val="0"/>
          <w:sz w:val="28"/>
          <w:szCs w:val="28"/>
        </w:rPr>
        <w:t>CK19</w:t>
      </w:r>
      <w:r>
        <w:rPr>
          <w:sz w:val="28"/>
          <w:szCs w:val="28"/>
        </w:rPr>
        <w:t xml:space="preserve">, but </w:t>
      </w:r>
      <w:r>
        <w:rPr>
          <w:rStyle w:val="Strong"/>
          <w:b w:val="0"/>
          <w:bCs w:val="0"/>
          <w:sz w:val="28"/>
          <w:szCs w:val="28"/>
        </w:rPr>
        <w:t>negative for CK5/6, CK18</w:t>
      </w:r>
      <w:r>
        <w:rPr>
          <w:sz w:val="28"/>
          <w:szCs w:val="28"/>
        </w:rPr>
        <w:t xml:space="preserve">, and </w:t>
      </w:r>
      <w:r>
        <w:rPr>
          <w:rStyle w:val="Strong"/>
          <w:b w:val="0"/>
          <w:bCs w:val="0"/>
          <w:sz w:val="28"/>
          <w:szCs w:val="28"/>
        </w:rPr>
        <w:t>CK20</w:t>
      </w:r>
      <w:r>
        <w:rPr>
          <w:sz w:val="28"/>
          <w:szCs w:val="28"/>
        </w:rPr>
        <w:t xml:space="preserve">. The neoplastic cells are </w:t>
      </w:r>
      <w:r>
        <w:rPr>
          <w:rStyle w:val="Strong"/>
          <w:b w:val="0"/>
          <w:bCs w:val="0"/>
          <w:sz w:val="28"/>
          <w:szCs w:val="28"/>
        </w:rPr>
        <w:t>negative for CEA</w:t>
      </w:r>
      <w:r>
        <w:rPr>
          <w:sz w:val="28"/>
          <w:szCs w:val="28"/>
        </w:rPr>
        <w:t xml:space="preserve">. </w:t>
      </w:r>
      <w:r>
        <w:rPr>
          <w:rStyle w:val="Strong"/>
          <w:b w:val="0"/>
          <w:bCs w:val="0"/>
          <w:sz w:val="28"/>
          <w:szCs w:val="28"/>
        </w:rPr>
        <w:t>Increased expression of p53</w:t>
      </w:r>
      <w:r>
        <w:rPr>
          <w:sz w:val="28"/>
          <w:szCs w:val="28"/>
        </w:rPr>
        <w:t xml:space="preserve"> and a </w:t>
      </w:r>
      <w:r>
        <w:rPr>
          <w:rStyle w:val="Strong"/>
          <w:b w:val="0"/>
          <w:bCs w:val="0"/>
          <w:sz w:val="28"/>
          <w:szCs w:val="28"/>
        </w:rPr>
        <w:t>high proliferative index by Ki-67 (~50%)</w:t>
      </w:r>
      <w:r>
        <w:rPr>
          <w:sz w:val="28"/>
          <w:szCs w:val="28"/>
        </w:rPr>
        <w:t xml:space="preserve"> were reported in hotspot areas. </w:t>
      </w:r>
      <w:r>
        <w:rPr>
          <w:rStyle w:val="Strong"/>
          <w:b w:val="0"/>
          <w:bCs w:val="0"/>
          <w:sz w:val="28"/>
          <w:szCs w:val="28"/>
        </w:rPr>
        <w:t>Positivity for both EMA and AR</w:t>
      </w:r>
      <w:r>
        <w:rPr>
          <w:sz w:val="28"/>
          <w:szCs w:val="28"/>
        </w:rPr>
        <w:t xml:space="preserve"> confirmed that the </w:t>
      </w:r>
      <w:r>
        <w:rPr>
          <w:rStyle w:val="Strong"/>
          <w:b w:val="0"/>
          <w:bCs w:val="0"/>
          <w:sz w:val="28"/>
          <w:szCs w:val="28"/>
        </w:rPr>
        <w:t>vacuolated clear cells were not mucous or glycogen-rich squamous cells</w:t>
      </w:r>
      <w:r>
        <w:rPr>
          <w:sz w:val="28"/>
          <w:szCs w:val="28"/>
        </w:rPr>
        <w:t>.</w:t>
      </w:r>
    </w:p>
    <w:p w:rsidR="008E11A5" w:rsidRDefault="00342678">
      <w:pPr>
        <w:pStyle w:val="NormalWeb"/>
        <w:jc w:val="both"/>
        <w:rPr>
          <w:sz w:val="28"/>
          <w:szCs w:val="28"/>
        </w:rPr>
      </w:pPr>
      <w:r>
        <w:rPr>
          <w:sz w:val="28"/>
          <w:szCs w:val="28"/>
        </w:rPr>
        <w:t xml:space="preserve">Based on these findings, </w:t>
      </w:r>
      <w:r>
        <w:rPr>
          <w:rStyle w:val="Strong"/>
          <w:b w:val="0"/>
          <w:bCs w:val="0"/>
          <w:sz w:val="28"/>
          <w:szCs w:val="28"/>
        </w:rPr>
        <w:t>squamous cell carcinoma (SCC), clear cell melanoma</w:t>
      </w:r>
      <w:r>
        <w:rPr>
          <w:sz w:val="28"/>
          <w:szCs w:val="28"/>
        </w:rPr>
        <w:t xml:space="preserve">, and </w:t>
      </w:r>
      <w:r>
        <w:rPr>
          <w:rStyle w:val="Strong"/>
          <w:b w:val="0"/>
          <w:bCs w:val="0"/>
          <w:sz w:val="28"/>
          <w:szCs w:val="28"/>
        </w:rPr>
        <w:t>basal cell carcinoma (BCC)</w:t>
      </w:r>
      <w:r>
        <w:rPr>
          <w:sz w:val="28"/>
          <w:szCs w:val="28"/>
        </w:rPr>
        <w:t xml:space="preserve"> can be ruled out. Due to the </w:t>
      </w:r>
      <w:r>
        <w:rPr>
          <w:rStyle w:val="Strong"/>
          <w:b w:val="0"/>
          <w:bCs w:val="0"/>
          <w:sz w:val="28"/>
          <w:szCs w:val="28"/>
        </w:rPr>
        <w:t>infiltrative growth pattern, necrosis</w:t>
      </w:r>
      <w:r>
        <w:rPr>
          <w:sz w:val="28"/>
          <w:szCs w:val="28"/>
        </w:rPr>
        <w:t xml:space="preserve">, and </w:t>
      </w:r>
      <w:r>
        <w:rPr>
          <w:rStyle w:val="Strong"/>
          <w:b w:val="0"/>
          <w:bCs w:val="0"/>
          <w:sz w:val="28"/>
          <w:szCs w:val="28"/>
        </w:rPr>
        <w:t>cytological features</w:t>
      </w:r>
      <w:r>
        <w:rPr>
          <w:sz w:val="28"/>
          <w:szCs w:val="28"/>
        </w:rPr>
        <w:t xml:space="preserve">, SC can resemble other </w:t>
      </w:r>
      <w:r>
        <w:rPr>
          <w:rStyle w:val="Strong"/>
          <w:b w:val="0"/>
          <w:bCs w:val="0"/>
          <w:sz w:val="28"/>
          <w:szCs w:val="28"/>
        </w:rPr>
        <w:t>malignant neoplasms</w:t>
      </w:r>
      <w:r>
        <w:rPr>
          <w:sz w:val="28"/>
          <w:szCs w:val="28"/>
        </w:rPr>
        <w:t xml:space="preserve">, but the </w:t>
      </w:r>
      <w:r>
        <w:rPr>
          <w:rStyle w:val="Strong"/>
          <w:b w:val="0"/>
          <w:bCs w:val="0"/>
          <w:sz w:val="28"/>
          <w:szCs w:val="28"/>
        </w:rPr>
        <w:t>histological appearance of SC is often characteristic</w:t>
      </w:r>
      <w:r>
        <w:rPr>
          <w:sz w:val="28"/>
          <w:szCs w:val="28"/>
        </w:rPr>
        <w:t xml:space="preserve">. Differential diagnoses include </w:t>
      </w:r>
      <w:r>
        <w:rPr>
          <w:rStyle w:val="Strong"/>
          <w:b w:val="0"/>
          <w:bCs w:val="0"/>
          <w:sz w:val="28"/>
          <w:szCs w:val="28"/>
        </w:rPr>
        <w:t>BCC with sebaceous differentiation, clear cell variants of BCC and SCC, eccrine carcinoma, balloon cell melanoma</w:t>
      </w:r>
      <w:r>
        <w:rPr>
          <w:sz w:val="28"/>
          <w:szCs w:val="28"/>
        </w:rPr>
        <w:t xml:space="preserve">, and </w:t>
      </w:r>
      <w:r>
        <w:rPr>
          <w:rStyle w:val="Strong"/>
          <w:b w:val="0"/>
          <w:bCs w:val="0"/>
          <w:sz w:val="28"/>
          <w:szCs w:val="28"/>
        </w:rPr>
        <w:t>metastatic clear cell tumors</w:t>
      </w:r>
      <w:r>
        <w:rPr>
          <w:sz w:val="28"/>
          <w:szCs w:val="28"/>
        </w:rPr>
        <w:t>.</w:t>
      </w:r>
    </w:p>
    <w:p w:rsidR="008E11A5" w:rsidRDefault="00342678">
      <w:pPr>
        <w:pStyle w:val="NormalWeb"/>
        <w:jc w:val="both"/>
        <w:rPr>
          <w:sz w:val="28"/>
          <w:szCs w:val="28"/>
        </w:rPr>
      </w:pPr>
      <w:proofErr w:type="spellStart"/>
      <w:r>
        <w:rPr>
          <w:sz w:val="28"/>
          <w:szCs w:val="28"/>
        </w:rPr>
        <w:t>Jawanda</w:t>
      </w:r>
      <w:proofErr w:type="spellEnd"/>
      <w:r>
        <w:rPr>
          <w:sz w:val="28"/>
          <w:szCs w:val="28"/>
        </w:rPr>
        <w:t xml:space="preserve"> et al. highlighted the differential diagnosis of </w:t>
      </w:r>
      <w:r>
        <w:rPr>
          <w:rStyle w:val="Strong"/>
          <w:b w:val="0"/>
          <w:bCs w:val="0"/>
          <w:sz w:val="28"/>
          <w:szCs w:val="28"/>
        </w:rPr>
        <w:t>intraoral SC</w:t>
      </w:r>
      <w:r>
        <w:rPr>
          <w:sz w:val="28"/>
          <w:szCs w:val="28"/>
        </w:rPr>
        <w:t xml:space="preserve">, which includes </w:t>
      </w:r>
      <w:r>
        <w:rPr>
          <w:rStyle w:val="Strong"/>
          <w:b w:val="0"/>
          <w:bCs w:val="0"/>
          <w:sz w:val="28"/>
          <w:szCs w:val="28"/>
        </w:rPr>
        <w:t>clear cell and basaloid SCC with hydropic change</w:t>
      </w:r>
      <w:r>
        <w:rPr>
          <w:sz w:val="28"/>
          <w:szCs w:val="28"/>
        </w:rPr>
        <w:t xml:space="preserve">, </w:t>
      </w:r>
      <w:r>
        <w:rPr>
          <w:rStyle w:val="Strong"/>
          <w:b w:val="0"/>
          <w:bCs w:val="0"/>
          <w:sz w:val="28"/>
          <w:szCs w:val="28"/>
        </w:rPr>
        <w:t>metastatic clear cell renal carcinoma</w:t>
      </w:r>
      <w:r>
        <w:rPr>
          <w:sz w:val="28"/>
          <w:szCs w:val="28"/>
        </w:rPr>
        <w:t xml:space="preserve">, and salivary gland malignancies such as </w:t>
      </w:r>
      <w:r>
        <w:rPr>
          <w:rStyle w:val="Strong"/>
          <w:b w:val="0"/>
          <w:bCs w:val="0"/>
          <w:sz w:val="28"/>
          <w:szCs w:val="28"/>
        </w:rPr>
        <w:t>mucoepidermoid carcinoma</w:t>
      </w:r>
      <w:r>
        <w:rPr>
          <w:sz w:val="28"/>
          <w:szCs w:val="28"/>
        </w:rPr>
        <w:t xml:space="preserve">, </w:t>
      </w:r>
      <w:r>
        <w:rPr>
          <w:rStyle w:val="Strong"/>
          <w:b w:val="0"/>
          <w:bCs w:val="0"/>
          <w:sz w:val="28"/>
          <w:szCs w:val="28"/>
        </w:rPr>
        <w:lastRenderedPageBreak/>
        <w:t>solid-type adenoid cystic carcinoma</w:t>
      </w:r>
      <w:r>
        <w:rPr>
          <w:sz w:val="28"/>
          <w:szCs w:val="28"/>
        </w:rPr>
        <w:t xml:space="preserve">, </w:t>
      </w:r>
      <w:r>
        <w:rPr>
          <w:rStyle w:val="Strong"/>
          <w:b w:val="0"/>
          <w:bCs w:val="0"/>
          <w:sz w:val="28"/>
          <w:szCs w:val="28"/>
        </w:rPr>
        <w:t>basal cell adenocarcinoma</w:t>
      </w:r>
      <w:r>
        <w:rPr>
          <w:sz w:val="28"/>
          <w:szCs w:val="28"/>
        </w:rPr>
        <w:t xml:space="preserve">, and </w:t>
      </w:r>
      <w:r>
        <w:rPr>
          <w:rStyle w:val="Strong"/>
          <w:b w:val="0"/>
          <w:bCs w:val="0"/>
          <w:sz w:val="28"/>
          <w:szCs w:val="28"/>
        </w:rPr>
        <w:t>salivary duct carcinoma</w:t>
      </w:r>
      <w:r>
        <w:rPr>
          <w:sz w:val="28"/>
          <w:szCs w:val="28"/>
        </w:rPr>
        <w:t xml:space="preserve">. Notably, </w:t>
      </w:r>
      <w:r>
        <w:rPr>
          <w:rStyle w:val="Strong"/>
          <w:b w:val="0"/>
          <w:bCs w:val="0"/>
          <w:sz w:val="28"/>
          <w:szCs w:val="28"/>
        </w:rPr>
        <w:t>BCC</w:t>
      </w:r>
      <w:r>
        <w:rPr>
          <w:sz w:val="28"/>
          <w:szCs w:val="28"/>
        </w:rPr>
        <w:t xml:space="preserve"> is characterized by </w:t>
      </w:r>
      <w:r>
        <w:rPr>
          <w:rStyle w:val="Strong"/>
          <w:b w:val="0"/>
          <w:bCs w:val="0"/>
          <w:sz w:val="28"/>
          <w:szCs w:val="28"/>
        </w:rPr>
        <w:t>superficial plate-like proliferation</w:t>
      </w:r>
      <w:r>
        <w:rPr>
          <w:sz w:val="28"/>
          <w:szCs w:val="28"/>
        </w:rPr>
        <w:t xml:space="preserve"> of </w:t>
      </w:r>
      <w:r>
        <w:rPr>
          <w:rStyle w:val="Strong"/>
          <w:b w:val="0"/>
          <w:bCs w:val="0"/>
          <w:sz w:val="28"/>
          <w:szCs w:val="28"/>
        </w:rPr>
        <w:t xml:space="preserve">basaloid and/or </w:t>
      </w:r>
      <w:proofErr w:type="spellStart"/>
      <w:r>
        <w:rPr>
          <w:rStyle w:val="Strong"/>
          <w:b w:val="0"/>
          <w:bCs w:val="0"/>
          <w:sz w:val="28"/>
          <w:szCs w:val="28"/>
        </w:rPr>
        <w:t>squamoid</w:t>
      </w:r>
      <w:proofErr w:type="spellEnd"/>
      <w:r>
        <w:rPr>
          <w:rStyle w:val="Strong"/>
          <w:b w:val="0"/>
          <w:bCs w:val="0"/>
          <w:sz w:val="28"/>
          <w:szCs w:val="28"/>
        </w:rPr>
        <w:t xml:space="preserve"> cells</w:t>
      </w:r>
      <w:r>
        <w:rPr>
          <w:sz w:val="28"/>
          <w:szCs w:val="28"/>
        </w:rPr>
        <w:t xml:space="preserve">, often connecting to the </w:t>
      </w:r>
      <w:r>
        <w:rPr>
          <w:rStyle w:val="Strong"/>
          <w:b w:val="0"/>
          <w:bCs w:val="0"/>
          <w:sz w:val="28"/>
          <w:szCs w:val="28"/>
        </w:rPr>
        <w:t>overlying epidermis</w:t>
      </w:r>
      <w:r>
        <w:rPr>
          <w:sz w:val="28"/>
          <w:szCs w:val="28"/>
        </w:rPr>
        <w:t>.</w:t>
      </w:r>
    </w:p>
    <w:p w:rsidR="008E11A5" w:rsidRDefault="00342678">
      <w:pPr>
        <w:pStyle w:val="NormalWeb"/>
        <w:jc w:val="both"/>
        <w:rPr>
          <w:sz w:val="28"/>
          <w:szCs w:val="28"/>
        </w:rPr>
      </w:pPr>
      <w:r>
        <w:rPr>
          <w:rStyle w:val="Strong"/>
          <w:b w:val="0"/>
          <w:bCs w:val="0"/>
          <w:sz w:val="28"/>
          <w:szCs w:val="28"/>
        </w:rPr>
        <w:t>Mucicarmine and PAS staining</w:t>
      </w:r>
      <w:r>
        <w:rPr>
          <w:sz w:val="28"/>
          <w:szCs w:val="28"/>
        </w:rPr>
        <w:t xml:space="preserve"> help rule out </w:t>
      </w:r>
      <w:r>
        <w:rPr>
          <w:rStyle w:val="Strong"/>
          <w:b w:val="0"/>
          <w:bCs w:val="0"/>
          <w:sz w:val="28"/>
          <w:szCs w:val="28"/>
        </w:rPr>
        <w:t>mucoepidermoid carcinoma</w:t>
      </w:r>
      <w:r>
        <w:rPr>
          <w:sz w:val="28"/>
          <w:szCs w:val="28"/>
        </w:rPr>
        <w:t xml:space="preserve"> and </w:t>
      </w:r>
      <w:r>
        <w:rPr>
          <w:rStyle w:val="Strong"/>
          <w:b w:val="0"/>
          <w:bCs w:val="0"/>
          <w:sz w:val="28"/>
          <w:szCs w:val="28"/>
        </w:rPr>
        <w:t>SCC with hydropic degeneration</w:t>
      </w:r>
      <w:r>
        <w:rPr>
          <w:sz w:val="28"/>
          <w:szCs w:val="28"/>
        </w:rPr>
        <w:t xml:space="preserve">. </w:t>
      </w:r>
      <w:r>
        <w:rPr>
          <w:rStyle w:val="Strong"/>
          <w:b w:val="0"/>
          <w:bCs w:val="0"/>
          <w:sz w:val="28"/>
          <w:szCs w:val="28"/>
        </w:rPr>
        <w:t>Sudan IV</w:t>
      </w:r>
      <w:r>
        <w:rPr>
          <w:sz w:val="28"/>
          <w:szCs w:val="28"/>
        </w:rPr>
        <w:t xml:space="preserve"> and </w:t>
      </w:r>
      <w:r>
        <w:rPr>
          <w:rStyle w:val="Strong"/>
          <w:b w:val="0"/>
          <w:bCs w:val="0"/>
          <w:sz w:val="28"/>
          <w:szCs w:val="28"/>
        </w:rPr>
        <w:t>Oil Red O</w:t>
      </w:r>
      <w:r>
        <w:rPr>
          <w:sz w:val="28"/>
          <w:szCs w:val="28"/>
        </w:rPr>
        <w:t xml:space="preserve"> are useful for diagnosing sebaceous cells. These vacuolated cells are </w:t>
      </w:r>
      <w:r>
        <w:rPr>
          <w:rStyle w:val="Strong"/>
          <w:b w:val="0"/>
          <w:bCs w:val="0"/>
          <w:sz w:val="28"/>
          <w:szCs w:val="28"/>
        </w:rPr>
        <w:t>negative for mucicarmine and PAS</w:t>
      </w:r>
      <w:r>
        <w:rPr>
          <w:sz w:val="28"/>
          <w:szCs w:val="28"/>
        </w:rPr>
        <w:t xml:space="preserve">, with or without </w:t>
      </w:r>
      <w:r>
        <w:rPr>
          <w:rStyle w:val="Strong"/>
          <w:b w:val="0"/>
          <w:bCs w:val="0"/>
          <w:sz w:val="28"/>
          <w:szCs w:val="28"/>
        </w:rPr>
        <w:t>diastase digestion</w:t>
      </w:r>
      <w:r>
        <w:rPr>
          <w:sz w:val="28"/>
          <w:szCs w:val="28"/>
        </w:rPr>
        <w:t xml:space="preserve">, confirming they are </w:t>
      </w:r>
      <w:r>
        <w:rPr>
          <w:rStyle w:val="Strong"/>
          <w:b w:val="0"/>
          <w:bCs w:val="0"/>
          <w:sz w:val="28"/>
          <w:szCs w:val="28"/>
        </w:rPr>
        <w:t>neither mucus cells nor glycogen-rich squamous cells</w:t>
      </w:r>
      <w:r>
        <w:rPr>
          <w:sz w:val="28"/>
          <w:szCs w:val="28"/>
        </w:rPr>
        <w:t>.</w:t>
      </w:r>
    </w:p>
    <w:p w:rsidR="008E11A5" w:rsidRDefault="00342678">
      <w:pPr>
        <w:pStyle w:val="NormalWeb"/>
        <w:jc w:val="both"/>
        <w:rPr>
          <w:sz w:val="28"/>
          <w:szCs w:val="28"/>
        </w:rPr>
      </w:pPr>
      <w:r>
        <w:rPr>
          <w:sz w:val="28"/>
          <w:szCs w:val="28"/>
        </w:rPr>
        <w:t xml:space="preserve">The </w:t>
      </w:r>
      <w:r>
        <w:rPr>
          <w:rStyle w:val="Strong"/>
          <w:b w:val="0"/>
          <w:bCs w:val="0"/>
          <w:sz w:val="28"/>
          <w:szCs w:val="28"/>
        </w:rPr>
        <w:t>pathogenesis of intraoral SC</w:t>
      </w:r>
      <w:r>
        <w:rPr>
          <w:sz w:val="28"/>
          <w:szCs w:val="28"/>
        </w:rPr>
        <w:t xml:space="preserve"> remains </w:t>
      </w:r>
      <w:r>
        <w:rPr>
          <w:rStyle w:val="Strong"/>
          <w:b w:val="0"/>
          <w:bCs w:val="0"/>
          <w:sz w:val="28"/>
          <w:szCs w:val="28"/>
        </w:rPr>
        <w:t>unclear and warrants further investigation</w:t>
      </w:r>
      <w:r>
        <w:rPr>
          <w:sz w:val="28"/>
          <w:szCs w:val="28"/>
        </w:rPr>
        <w:t xml:space="preserve">. Alawi et al. (2005) reported </w:t>
      </w:r>
      <w:r>
        <w:rPr>
          <w:rStyle w:val="Strong"/>
          <w:b w:val="0"/>
          <w:bCs w:val="0"/>
          <w:sz w:val="28"/>
          <w:szCs w:val="28"/>
        </w:rPr>
        <w:t>loss of hMLH-1 or hMSH-2 in 3 of 14 sporadic SC tumors</w:t>
      </w:r>
      <w:r>
        <w:rPr>
          <w:sz w:val="28"/>
          <w:szCs w:val="28"/>
        </w:rPr>
        <w:t xml:space="preserve">, suggesting a possible role of </w:t>
      </w:r>
      <w:r>
        <w:rPr>
          <w:rStyle w:val="Strong"/>
          <w:b w:val="0"/>
          <w:bCs w:val="0"/>
          <w:sz w:val="28"/>
          <w:szCs w:val="28"/>
        </w:rPr>
        <w:t>mismatch-repair gene defects</w:t>
      </w:r>
      <w:r>
        <w:rPr>
          <w:sz w:val="28"/>
          <w:szCs w:val="28"/>
        </w:rPr>
        <w:t>, although results have been inconsistent across studies. Further research is necessary to establish the genetic underpinnings of sporadic SC.</w:t>
      </w:r>
    </w:p>
    <w:p w:rsidR="008E11A5" w:rsidRDefault="00342678">
      <w:pPr>
        <w:pStyle w:val="NormalWeb"/>
        <w:jc w:val="both"/>
        <w:rPr>
          <w:sz w:val="28"/>
          <w:szCs w:val="28"/>
        </w:rPr>
      </w:pPr>
      <w:r>
        <w:rPr>
          <w:sz w:val="28"/>
          <w:szCs w:val="28"/>
        </w:rPr>
        <w:t xml:space="preserve">Only </w:t>
      </w:r>
      <w:r>
        <w:rPr>
          <w:rStyle w:val="Strong"/>
          <w:b w:val="0"/>
          <w:bCs w:val="0"/>
          <w:sz w:val="28"/>
          <w:szCs w:val="28"/>
        </w:rPr>
        <w:t>one case</w:t>
      </w:r>
      <w:r>
        <w:rPr>
          <w:sz w:val="28"/>
          <w:szCs w:val="28"/>
        </w:rPr>
        <w:t xml:space="preserve">, reported by </w:t>
      </w:r>
      <w:r>
        <w:rPr>
          <w:rStyle w:val="Strong"/>
          <w:b w:val="0"/>
          <w:bCs w:val="0"/>
          <w:sz w:val="28"/>
          <w:szCs w:val="28"/>
        </w:rPr>
        <w:t>Rowe et al. (2015)</w:t>
      </w:r>
      <w:r>
        <w:rPr>
          <w:sz w:val="28"/>
          <w:szCs w:val="28"/>
        </w:rPr>
        <w:t xml:space="preserve">, exhibited </w:t>
      </w:r>
      <w:r>
        <w:rPr>
          <w:rStyle w:val="Strong"/>
          <w:b w:val="0"/>
          <w:bCs w:val="0"/>
          <w:sz w:val="28"/>
          <w:szCs w:val="28"/>
        </w:rPr>
        <w:t>distant metastasis</w:t>
      </w:r>
      <w:r>
        <w:rPr>
          <w:sz w:val="28"/>
          <w:szCs w:val="28"/>
        </w:rPr>
        <w:t xml:space="preserve">, with nodules and </w:t>
      </w:r>
      <w:r>
        <w:rPr>
          <w:rStyle w:val="Strong"/>
          <w:b w:val="0"/>
          <w:bCs w:val="0"/>
          <w:sz w:val="28"/>
          <w:szCs w:val="28"/>
        </w:rPr>
        <w:t>hypermetabolic lymph nodes</w:t>
      </w:r>
      <w:r>
        <w:rPr>
          <w:sz w:val="28"/>
          <w:szCs w:val="28"/>
        </w:rPr>
        <w:t xml:space="preserve"> in the </w:t>
      </w:r>
      <w:r>
        <w:rPr>
          <w:rStyle w:val="Strong"/>
          <w:b w:val="0"/>
          <w:bCs w:val="0"/>
          <w:sz w:val="28"/>
          <w:szCs w:val="28"/>
        </w:rPr>
        <w:t>mediastinum, bilateral lungs, upper inner left thigh</w:t>
      </w:r>
      <w:r>
        <w:rPr>
          <w:sz w:val="28"/>
          <w:szCs w:val="28"/>
        </w:rPr>
        <w:t xml:space="preserve">, and </w:t>
      </w:r>
      <w:r>
        <w:rPr>
          <w:rStyle w:val="Strong"/>
          <w:b w:val="0"/>
          <w:bCs w:val="0"/>
          <w:sz w:val="28"/>
          <w:szCs w:val="28"/>
        </w:rPr>
        <w:t>left buttock</w:t>
      </w:r>
      <w:r>
        <w:rPr>
          <w:sz w:val="28"/>
          <w:szCs w:val="28"/>
        </w:rPr>
        <w:t xml:space="preserve">. Given the multiple lesions, </w:t>
      </w:r>
      <w:r>
        <w:rPr>
          <w:rStyle w:val="Strong"/>
          <w:b w:val="0"/>
          <w:bCs w:val="0"/>
          <w:sz w:val="28"/>
          <w:szCs w:val="28"/>
        </w:rPr>
        <w:t>IHC testing for PMS-2, MLH-1, MSH-2, and MSH-6</w:t>
      </w:r>
      <w:r>
        <w:rPr>
          <w:sz w:val="28"/>
          <w:szCs w:val="28"/>
        </w:rPr>
        <w:t xml:space="preserve"> was conducted. Nuclear reactivity indicated </w:t>
      </w:r>
      <w:r>
        <w:rPr>
          <w:rStyle w:val="Strong"/>
          <w:b w:val="0"/>
          <w:bCs w:val="0"/>
          <w:sz w:val="28"/>
          <w:szCs w:val="28"/>
        </w:rPr>
        <w:t>no microsatellite instability</w:t>
      </w:r>
      <w:r>
        <w:rPr>
          <w:sz w:val="28"/>
          <w:szCs w:val="28"/>
        </w:rPr>
        <w:t xml:space="preserve">, effectively ruling out </w:t>
      </w:r>
      <w:r>
        <w:rPr>
          <w:rStyle w:val="Strong"/>
          <w:b w:val="0"/>
          <w:bCs w:val="0"/>
          <w:sz w:val="28"/>
          <w:szCs w:val="28"/>
        </w:rPr>
        <w:t>Muir–Torre syndrome</w:t>
      </w:r>
      <w:r>
        <w:rPr>
          <w:sz w:val="28"/>
          <w:szCs w:val="28"/>
        </w:rPr>
        <w:t>.</w:t>
      </w:r>
    </w:p>
    <w:p w:rsidR="008E11A5" w:rsidRDefault="00342678">
      <w:pPr>
        <w:pStyle w:val="Heading3"/>
        <w:jc w:val="both"/>
        <w:rPr>
          <w:sz w:val="28"/>
          <w:szCs w:val="28"/>
        </w:rPr>
      </w:pPr>
      <w:r>
        <w:rPr>
          <w:rStyle w:val="Strong"/>
          <w:b/>
          <w:bCs/>
          <w:sz w:val="28"/>
          <w:szCs w:val="28"/>
        </w:rPr>
        <w:t>Treatment and Prognosis:</w:t>
      </w:r>
    </w:p>
    <w:p w:rsidR="008E11A5" w:rsidRDefault="00342678">
      <w:pPr>
        <w:pStyle w:val="NormalWeb"/>
        <w:jc w:val="both"/>
        <w:rPr>
          <w:sz w:val="28"/>
          <w:szCs w:val="28"/>
        </w:rPr>
      </w:pPr>
      <w:r>
        <w:rPr>
          <w:sz w:val="28"/>
          <w:szCs w:val="28"/>
        </w:rPr>
        <w:t xml:space="preserve">The </w:t>
      </w:r>
      <w:r>
        <w:rPr>
          <w:rStyle w:val="Strong"/>
          <w:b w:val="0"/>
          <w:bCs w:val="0"/>
          <w:sz w:val="28"/>
          <w:szCs w:val="28"/>
        </w:rPr>
        <w:t>treatment of choice</w:t>
      </w:r>
      <w:r>
        <w:rPr>
          <w:sz w:val="28"/>
          <w:szCs w:val="28"/>
        </w:rPr>
        <w:t xml:space="preserve"> for sebaceous carcinoma is </w:t>
      </w:r>
      <w:r>
        <w:rPr>
          <w:rStyle w:val="Strong"/>
          <w:b w:val="0"/>
          <w:bCs w:val="0"/>
          <w:sz w:val="28"/>
          <w:szCs w:val="28"/>
        </w:rPr>
        <w:t>surgical excision with clear margins</w:t>
      </w:r>
      <w:r>
        <w:rPr>
          <w:sz w:val="28"/>
          <w:szCs w:val="28"/>
        </w:rPr>
        <w:t xml:space="preserve">. </w:t>
      </w:r>
      <w:r>
        <w:rPr>
          <w:rStyle w:val="Strong"/>
          <w:b w:val="0"/>
          <w:bCs w:val="0"/>
          <w:sz w:val="28"/>
          <w:szCs w:val="28"/>
        </w:rPr>
        <w:t>Radiotherapy</w:t>
      </w:r>
      <w:r>
        <w:rPr>
          <w:sz w:val="28"/>
          <w:szCs w:val="28"/>
        </w:rPr>
        <w:t xml:space="preserve"> is considered for cases with </w:t>
      </w:r>
      <w:r>
        <w:rPr>
          <w:rStyle w:val="Strong"/>
          <w:b w:val="0"/>
          <w:bCs w:val="0"/>
          <w:sz w:val="28"/>
          <w:szCs w:val="28"/>
        </w:rPr>
        <w:t>metastasis</w:t>
      </w:r>
      <w:r>
        <w:rPr>
          <w:sz w:val="28"/>
          <w:szCs w:val="28"/>
        </w:rPr>
        <w:t xml:space="preserve"> or </w:t>
      </w:r>
      <w:r>
        <w:rPr>
          <w:rStyle w:val="Strong"/>
          <w:b w:val="0"/>
          <w:bCs w:val="0"/>
          <w:sz w:val="28"/>
          <w:szCs w:val="28"/>
        </w:rPr>
        <w:t>high recurrence risk</w:t>
      </w:r>
      <w:r>
        <w:rPr>
          <w:sz w:val="28"/>
          <w:szCs w:val="28"/>
        </w:rPr>
        <w:t xml:space="preserve">. </w:t>
      </w:r>
      <w:r>
        <w:rPr>
          <w:rStyle w:val="Strong"/>
          <w:b w:val="0"/>
          <w:bCs w:val="0"/>
          <w:sz w:val="28"/>
          <w:szCs w:val="28"/>
        </w:rPr>
        <w:t>Multi-agent chemotherapy</w:t>
      </w:r>
      <w:r>
        <w:rPr>
          <w:sz w:val="28"/>
          <w:szCs w:val="28"/>
        </w:rPr>
        <w:t xml:space="preserve"> has also been used in </w:t>
      </w:r>
      <w:r>
        <w:rPr>
          <w:rStyle w:val="Strong"/>
          <w:b w:val="0"/>
          <w:bCs w:val="0"/>
          <w:sz w:val="28"/>
          <w:szCs w:val="28"/>
        </w:rPr>
        <w:t>recurrent cases</w:t>
      </w:r>
      <w:r>
        <w:rPr>
          <w:sz w:val="28"/>
          <w:szCs w:val="28"/>
        </w:rPr>
        <w:t xml:space="preserve">. However, due to its </w:t>
      </w:r>
      <w:r>
        <w:rPr>
          <w:rStyle w:val="Strong"/>
          <w:b w:val="0"/>
          <w:bCs w:val="0"/>
          <w:sz w:val="28"/>
          <w:szCs w:val="28"/>
        </w:rPr>
        <w:t>propensity for local recurrence and metastasis</w:t>
      </w:r>
      <w:r>
        <w:rPr>
          <w:sz w:val="28"/>
          <w:szCs w:val="28"/>
        </w:rPr>
        <w:t xml:space="preserve">, </w:t>
      </w:r>
      <w:r>
        <w:rPr>
          <w:rStyle w:val="Strong"/>
          <w:b w:val="0"/>
          <w:bCs w:val="0"/>
          <w:sz w:val="28"/>
          <w:szCs w:val="28"/>
        </w:rPr>
        <w:t>long-term follow-up</w:t>
      </w:r>
      <w:r>
        <w:rPr>
          <w:sz w:val="28"/>
          <w:szCs w:val="28"/>
        </w:rPr>
        <w:t xml:space="preserve"> is strongly recommended.</w:t>
      </w:r>
    </w:p>
    <w:p w:rsidR="008E11A5" w:rsidRDefault="00342678">
      <w:pPr>
        <w:pStyle w:val="NormalWeb"/>
        <w:jc w:val="both"/>
        <w:rPr>
          <w:b/>
          <w:bCs/>
          <w:sz w:val="28"/>
          <w:szCs w:val="28"/>
        </w:rPr>
      </w:pPr>
      <w:r>
        <w:rPr>
          <w:b/>
          <w:bCs/>
          <w:sz w:val="28"/>
          <w:szCs w:val="28"/>
        </w:rPr>
        <w:t>Conclusion:</w:t>
      </w:r>
      <w:r>
        <w:rPr>
          <w:rFonts w:ascii="SimSun" w:eastAsia="SimSun" w:hAnsi="SimSun" w:cs="SimSun"/>
        </w:rPr>
        <w:br/>
      </w:r>
      <w:r>
        <w:rPr>
          <w:rFonts w:eastAsia="SimSun"/>
          <w:sz w:val="28"/>
          <w:szCs w:val="28"/>
        </w:rPr>
        <w:t>Oral sebaceous carcinoma is an extremely rare and aggressive malignancy, with a significant potential for local recurrence and distant metastasis. Regular follow-up is crucial for early detection of recurrence or spread. Increased awareness among clinicians and pathologists about the occurrence of sebaceous carcinoma in the oral cavity can aid in accurate diagnosis and improve patient outcomes through timely intervention.</w:t>
      </w:r>
    </w:p>
    <w:p w:rsidR="008E11A5" w:rsidRDefault="008E11A5">
      <w:pPr>
        <w:pStyle w:val="NormalWeb"/>
        <w:jc w:val="both"/>
        <w:rPr>
          <w:sz w:val="28"/>
          <w:szCs w:val="28"/>
        </w:rPr>
      </w:pPr>
    </w:p>
    <w:p w:rsidR="008E11A5" w:rsidRPr="00FD5AA7" w:rsidRDefault="00342678">
      <w:pPr>
        <w:jc w:val="both"/>
        <w:rPr>
          <w:rFonts w:ascii="Times New Roman" w:eastAsia="Calibri" w:hAnsi="Times New Roman"/>
          <w:b/>
          <w:kern w:val="2"/>
          <w:sz w:val="28"/>
          <w:szCs w:val="28"/>
          <w:highlight w:val="yellow"/>
        </w:rPr>
      </w:pPr>
      <w:r w:rsidRPr="00FD5AA7">
        <w:rPr>
          <w:rFonts w:ascii="Times New Roman" w:eastAsia="Calibri" w:hAnsi="Times New Roman"/>
          <w:b/>
          <w:kern w:val="2"/>
          <w:sz w:val="28"/>
          <w:szCs w:val="28"/>
          <w:highlight w:val="yellow"/>
        </w:rPr>
        <w:t>Disclaimer (Artificial intelligence)</w:t>
      </w:r>
    </w:p>
    <w:p w:rsidR="008E11A5" w:rsidRDefault="00342678">
      <w:pPr>
        <w:jc w:val="both"/>
        <w:rPr>
          <w:rFonts w:ascii="Times New Roman" w:eastAsia="Calibri" w:hAnsi="Times New Roman"/>
          <w:kern w:val="2"/>
          <w:sz w:val="28"/>
          <w:szCs w:val="28"/>
          <w:highlight w:val="yellow"/>
        </w:rPr>
      </w:pPr>
      <w:r>
        <w:rPr>
          <w:rFonts w:ascii="Times New Roman" w:eastAsia="Calibri" w:hAnsi="Times New Roman"/>
          <w:kern w:val="2"/>
          <w:sz w:val="28"/>
          <w:szCs w:val="28"/>
          <w:highlight w:val="yellow"/>
        </w:rPr>
        <w:lastRenderedPageBreak/>
        <w:t xml:space="preserve">Option 1: </w:t>
      </w:r>
    </w:p>
    <w:p w:rsidR="008E11A5" w:rsidRDefault="00342678">
      <w:pPr>
        <w:jc w:val="both"/>
        <w:rPr>
          <w:rFonts w:ascii="Times New Roman" w:eastAsia="Calibri" w:hAnsi="Times New Roman"/>
          <w:kern w:val="2"/>
          <w:sz w:val="28"/>
          <w:szCs w:val="28"/>
          <w:highlight w:val="yellow"/>
        </w:rPr>
      </w:pPr>
      <w:r>
        <w:rPr>
          <w:rFonts w:ascii="Times New Roman" w:eastAsia="Calibri" w:hAnsi="Times New Roman"/>
          <w:kern w:val="2"/>
          <w:sz w:val="28"/>
          <w:szCs w:val="28"/>
          <w:highlight w:val="yellow"/>
        </w:rPr>
        <w:t>Author(s) hereby declare that NO generative AI technologies such as Large Language Models (</w:t>
      </w:r>
      <w:proofErr w:type="spellStart"/>
      <w:r>
        <w:rPr>
          <w:rFonts w:ascii="Times New Roman" w:eastAsia="Calibri" w:hAnsi="Times New Roman"/>
          <w:kern w:val="2"/>
          <w:sz w:val="28"/>
          <w:szCs w:val="28"/>
          <w:highlight w:val="yellow"/>
        </w:rPr>
        <w:t>ChatGPT</w:t>
      </w:r>
      <w:proofErr w:type="spellEnd"/>
      <w:r>
        <w:rPr>
          <w:rFonts w:ascii="Times New Roman" w:eastAsia="Calibri" w:hAnsi="Times New Roman"/>
          <w:kern w:val="2"/>
          <w:sz w:val="28"/>
          <w:szCs w:val="28"/>
          <w:highlight w:val="yellow"/>
        </w:rPr>
        <w:t xml:space="preserve">, manuscript. </w:t>
      </w:r>
    </w:p>
    <w:bookmarkEnd w:id="1"/>
    <w:bookmarkEnd w:id="2"/>
    <w:bookmarkEnd w:id="3"/>
    <w:bookmarkEnd w:id="4"/>
    <w:bookmarkEnd w:id="5"/>
    <w:p w:rsidR="008E11A5" w:rsidRDefault="008E11A5">
      <w:pPr>
        <w:spacing w:after="100" w:afterAutospacing="1" w:line="276" w:lineRule="auto"/>
        <w:jc w:val="both"/>
        <w:rPr>
          <w:rFonts w:ascii="Times New Roman" w:hAnsi="Times New Roman"/>
          <w:sz w:val="28"/>
          <w:szCs w:val="28"/>
        </w:rPr>
      </w:pPr>
    </w:p>
    <w:p w:rsidR="008E11A5" w:rsidRDefault="00342678">
      <w:pPr>
        <w:spacing w:after="720" w:line="276" w:lineRule="auto"/>
        <w:jc w:val="both"/>
        <w:rPr>
          <w:rFonts w:ascii="Times New Roman" w:hAnsi="Times New Roman"/>
          <w:b/>
          <w:bCs/>
          <w:sz w:val="28"/>
          <w:szCs w:val="28"/>
        </w:rPr>
      </w:pPr>
      <w:r>
        <w:rPr>
          <w:rFonts w:ascii="Times New Roman" w:hAnsi="Times New Roman"/>
          <w:b/>
          <w:bCs/>
          <w:sz w:val="28"/>
          <w:szCs w:val="28"/>
        </w:rPr>
        <w:t>REFERENCE</w:t>
      </w:r>
    </w:p>
    <w:p w:rsidR="008E11A5" w:rsidRDefault="00342678">
      <w:pPr>
        <w:pStyle w:val="ListParagraph"/>
        <w:numPr>
          <w:ilvl w:val="0"/>
          <w:numId w:val="8"/>
        </w:numPr>
        <w:spacing w:before="120" w:line="276" w:lineRule="auto"/>
        <w:jc w:val="both"/>
        <w:rPr>
          <w:rFonts w:ascii="Times New Roman" w:hAnsi="Times New Roman" w:cs="Times New Roman"/>
          <w:b/>
          <w:sz w:val="28"/>
          <w:szCs w:val="28"/>
          <w:highlight w:val="yellow"/>
        </w:rPr>
      </w:pPr>
      <w:proofErr w:type="spellStart"/>
      <w:r>
        <w:rPr>
          <w:rFonts w:ascii="Times New Roman" w:eastAsia="SimSun" w:hAnsi="Times New Roman" w:cs="Times New Roman"/>
          <w:color w:val="222222"/>
          <w:sz w:val="28"/>
          <w:szCs w:val="28"/>
          <w:shd w:val="clear" w:color="auto" w:fill="FFFFFF"/>
        </w:rPr>
        <w:t>C</w:t>
      </w:r>
      <w:r>
        <w:rPr>
          <w:rFonts w:ascii="Times New Roman" w:eastAsia="SimSun" w:hAnsi="Times New Roman" w:cs="Times New Roman"/>
          <w:color w:val="222222"/>
          <w:sz w:val="28"/>
          <w:szCs w:val="28"/>
          <w:highlight w:val="yellow"/>
          <w:shd w:val="clear" w:color="auto" w:fill="FFFFFF"/>
        </w:rPr>
        <w:t>icinelli</w:t>
      </w:r>
      <w:proofErr w:type="spellEnd"/>
      <w:r>
        <w:rPr>
          <w:rFonts w:ascii="Times New Roman" w:eastAsia="SimSun" w:hAnsi="Times New Roman" w:cs="Times New Roman"/>
          <w:color w:val="222222"/>
          <w:sz w:val="28"/>
          <w:szCs w:val="28"/>
          <w:highlight w:val="yellow"/>
          <w:shd w:val="clear" w:color="auto" w:fill="FFFFFF"/>
        </w:rPr>
        <w:t xml:space="preserve"> MV, </w:t>
      </w:r>
      <w:proofErr w:type="spellStart"/>
      <w:r>
        <w:rPr>
          <w:rFonts w:ascii="Times New Roman" w:eastAsia="SimSun" w:hAnsi="Times New Roman" w:cs="Times New Roman"/>
          <w:color w:val="222222"/>
          <w:sz w:val="28"/>
          <w:szCs w:val="28"/>
          <w:highlight w:val="yellow"/>
          <w:shd w:val="clear" w:color="auto" w:fill="FFFFFF"/>
        </w:rPr>
        <w:t>Kaliki</w:t>
      </w:r>
      <w:proofErr w:type="spellEnd"/>
      <w:r>
        <w:rPr>
          <w:rFonts w:ascii="Times New Roman" w:eastAsia="SimSun" w:hAnsi="Times New Roman" w:cs="Times New Roman"/>
          <w:color w:val="222222"/>
          <w:sz w:val="28"/>
          <w:szCs w:val="28"/>
          <w:highlight w:val="yellow"/>
          <w:shd w:val="clear" w:color="auto" w:fill="FFFFFF"/>
        </w:rPr>
        <w:t xml:space="preserve"> S. Ocular sebaceous gland carcinoma: an update of the literature. International ophthalmology. 2019 May 15;39(5):1187-97.</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12121"/>
          <w:sz w:val="28"/>
          <w:szCs w:val="28"/>
          <w:shd w:val="clear" w:color="auto" w:fill="FFFFFF"/>
        </w:rPr>
        <w:t>Knackstedt</w:t>
      </w:r>
      <w:proofErr w:type="spellEnd"/>
      <w:r>
        <w:rPr>
          <w:rFonts w:ascii="Times New Roman" w:hAnsi="Times New Roman" w:cs="Times New Roman"/>
          <w:color w:val="212121"/>
          <w:sz w:val="28"/>
          <w:szCs w:val="28"/>
          <w:shd w:val="clear" w:color="auto" w:fill="FFFFFF"/>
        </w:rPr>
        <w:t xml:space="preserve"> T, </w:t>
      </w:r>
      <w:proofErr w:type="spellStart"/>
      <w:r>
        <w:rPr>
          <w:rFonts w:ascii="Times New Roman" w:hAnsi="Times New Roman" w:cs="Times New Roman"/>
          <w:color w:val="212121"/>
          <w:sz w:val="28"/>
          <w:szCs w:val="28"/>
          <w:shd w:val="clear" w:color="auto" w:fill="FFFFFF"/>
        </w:rPr>
        <w:t>Samie</w:t>
      </w:r>
      <w:proofErr w:type="spellEnd"/>
      <w:r>
        <w:rPr>
          <w:rFonts w:ascii="Times New Roman" w:hAnsi="Times New Roman" w:cs="Times New Roman"/>
          <w:color w:val="212121"/>
          <w:sz w:val="28"/>
          <w:szCs w:val="28"/>
          <w:shd w:val="clear" w:color="auto" w:fill="FFFFFF"/>
        </w:rPr>
        <w:t xml:space="preserve"> FH. Sebaceous Carcinoma: A Review of the Scientific Literature. </w:t>
      </w:r>
      <w:proofErr w:type="spellStart"/>
      <w:r>
        <w:rPr>
          <w:rFonts w:ascii="Times New Roman" w:hAnsi="Times New Roman" w:cs="Times New Roman"/>
          <w:color w:val="212121"/>
          <w:sz w:val="28"/>
          <w:szCs w:val="28"/>
          <w:shd w:val="clear" w:color="auto" w:fill="FFFFFF"/>
        </w:rPr>
        <w:t>Curr</w:t>
      </w:r>
      <w:proofErr w:type="spellEnd"/>
      <w:r>
        <w:rPr>
          <w:rFonts w:ascii="Times New Roman" w:hAnsi="Times New Roman" w:cs="Times New Roman"/>
          <w:color w:val="212121"/>
          <w:sz w:val="28"/>
          <w:szCs w:val="28"/>
          <w:shd w:val="clear" w:color="auto" w:fill="FFFFFF"/>
        </w:rPr>
        <w:t xml:space="preserve"> Treat Options Oncol. 2017 Aug;18(8):47. </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 xml:space="preserve">Wang H, Yao J, Solomon M, </w:t>
      </w:r>
      <w:proofErr w:type="spellStart"/>
      <w:r>
        <w:rPr>
          <w:rFonts w:ascii="Times New Roman" w:hAnsi="Times New Roman" w:cs="Times New Roman"/>
          <w:color w:val="222222"/>
          <w:sz w:val="28"/>
          <w:szCs w:val="28"/>
          <w:shd w:val="clear" w:color="auto" w:fill="FFFFFF"/>
        </w:rPr>
        <w:t>Axiotis</w:t>
      </w:r>
      <w:proofErr w:type="spellEnd"/>
      <w:r>
        <w:rPr>
          <w:rFonts w:ascii="Times New Roman" w:hAnsi="Times New Roman" w:cs="Times New Roman"/>
          <w:color w:val="222222"/>
          <w:sz w:val="28"/>
          <w:szCs w:val="28"/>
          <w:shd w:val="clear" w:color="auto" w:fill="FFFFFF"/>
        </w:rPr>
        <w:t xml:space="preserve"> CA. Sebaceous carcinoma of the oral cavity: a case report and review of the literature. Oral Surgery, Oral Medicine, Oral Pathology, Oral Radiology, and Endodontology. 2010 Aug 1;110(2</w:t>
      </w:r>
      <w:proofErr w:type="gramStart"/>
      <w:r>
        <w:rPr>
          <w:rFonts w:ascii="Times New Roman" w:hAnsi="Times New Roman" w:cs="Times New Roman"/>
          <w:color w:val="222222"/>
          <w:sz w:val="28"/>
          <w:szCs w:val="28"/>
          <w:shd w:val="clear" w:color="auto" w:fill="FFFFFF"/>
        </w:rPr>
        <w:t>):e</w:t>
      </w:r>
      <w:proofErr w:type="gramEnd"/>
      <w:r>
        <w:rPr>
          <w:rFonts w:ascii="Times New Roman" w:hAnsi="Times New Roman" w:cs="Times New Roman"/>
          <w:color w:val="222222"/>
          <w:sz w:val="28"/>
          <w:szCs w:val="28"/>
          <w:shd w:val="clear" w:color="auto" w:fill="FFFFFF"/>
        </w:rPr>
        <w:t>37-40.</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Buitrago W, Joseph AK. Sebaceous carcinoma: the great masquerader: emerging concepts in diagnosis and treatment. Dermatologic therapy. 2008 Nov;21(6):459-66.</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 xml:space="preserve">Takada Y, Kawamoto K, Baba S, Takada T, Inoue T, </w:t>
      </w:r>
      <w:proofErr w:type="spellStart"/>
      <w:r>
        <w:rPr>
          <w:rFonts w:ascii="Times New Roman" w:hAnsi="Times New Roman" w:cs="Times New Roman"/>
          <w:color w:val="222222"/>
          <w:sz w:val="28"/>
          <w:szCs w:val="28"/>
          <w:shd w:val="clear" w:color="auto" w:fill="FFFFFF"/>
        </w:rPr>
        <w:t>Tomoda</w:t>
      </w:r>
      <w:proofErr w:type="spellEnd"/>
      <w:r>
        <w:rPr>
          <w:rFonts w:ascii="Times New Roman" w:hAnsi="Times New Roman" w:cs="Times New Roman"/>
          <w:color w:val="222222"/>
          <w:sz w:val="28"/>
          <w:szCs w:val="28"/>
          <w:shd w:val="clear" w:color="auto" w:fill="FFFFFF"/>
        </w:rPr>
        <w:t xml:space="preserve"> K. Sebaceous carcinoma of the parotid gland: a case report. Case Reports in Oncology. 2015 Apr 1;8(1):106-12.</w:t>
      </w:r>
    </w:p>
    <w:p w:rsidR="008E11A5" w:rsidRDefault="00342678">
      <w:pPr>
        <w:pStyle w:val="ListParagraph"/>
        <w:numPr>
          <w:ilvl w:val="0"/>
          <w:numId w:val="8"/>
        </w:numPr>
        <w:spacing w:before="120" w:line="276" w:lineRule="auto"/>
        <w:jc w:val="both"/>
        <w:rPr>
          <w:rFonts w:ascii="Times New Roman" w:hAnsi="Times New Roman" w:cs="Times New Roman"/>
          <w:b/>
          <w:sz w:val="28"/>
          <w:szCs w:val="28"/>
          <w:highlight w:val="yellow"/>
        </w:rPr>
      </w:pPr>
      <w:r>
        <w:rPr>
          <w:rFonts w:ascii="Times New Roman" w:eastAsia="SimSun" w:hAnsi="Times New Roman" w:cs="Times New Roman"/>
          <w:color w:val="222222"/>
          <w:sz w:val="28"/>
          <w:szCs w:val="28"/>
          <w:highlight w:val="yellow"/>
          <w:shd w:val="clear" w:color="auto" w:fill="FFFFFF"/>
        </w:rPr>
        <w:t>Dasgupta T, Wilson LD, Yu JB. A retrospective review of 1349 cases of sebaceous carcinoma. Cancer. 2009 Jan 1;115(1):158-65.</w:t>
      </w:r>
    </w:p>
    <w:p w:rsidR="008E11A5" w:rsidRDefault="00342678">
      <w:pPr>
        <w:pStyle w:val="ListParagraph"/>
        <w:numPr>
          <w:ilvl w:val="0"/>
          <w:numId w:val="8"/>
        </w:numPr>
        <w:spacing w:before="120" w:line="276" w:lineRule="auto"/>
        <w:jc w:val="both"/>
        <w:rPr>
          <w:rFonts w:ascii="Times New Roman" w:hAnsi="Times New Roman" w:cs="Times New Roman"/>
          <w:b/>
          <w:sz w:val="28"/>
          <w:szCs w:val="28"/>
          <w:highlight w:val="yellow"/>
        </w:rPr>
      </w:pPr>
      <w:proofErr w:type="spellStart"/>
      <w:r>
        <w:rPr>
          <w:rFonts w:ascii="Times New Roman" w:eastAsia="SimSun" w:hAnsi="Times New Roman" w:cs="Times New Roman"/>
          <w:color w:val="222222"/>
          <w:sz w:val="28"/>
          <w:szCs w:val="28"/>
          <w:highlight w:val="yellow"/>
          <w:shd w:val="clear" w:color="auto" w:fill="FFFFFF"/>
        </w:rPr>
        <w:t>Odingo</w:t>
      </w:r>
      <w:proofErr w:type="spellEnd"/>
      <w:r>
        <w:rPr>
          <w:rFonts w:ascii="Times New Roman" w:eastAsia="SimSun" w:hAnsi="Times New Roman" w:cs="Times New Roman"/>
          <w:color w:val="222222"/>
          <w:sz w:val="28"/>
          <w:szCs w:val="28"/>
          <w:highlight w:val="yellow"/>
          <w:shd w:val="clear" w:color="auto" w:fill="FFFFFF"/>
        </w:rPr>
        <w:t xml:space="preserve"> N. A RARE PRESENTATION OF FORDYCE GRANULES: A CASE REPORT AND REVIEW OF THE LITERATURE. Oral Surgery, Oral Medicine, Oral Pathology and Oral Radiology. 2024 Aug 1;138(2</w:t>
      </w:r>
      <w:proofErr w:type="gramStart"/>
      <w:r>
        <w:rPr>
          <w:rFonts w:ascii="Times New Roman" w:eastAsia="SimSun" w:hAnsi="Times New Roman" w:cs="Times New Roman"/>
          <w:color w:val="222222"/>
          <w:sz w:val="28"/>
          <w:szCs w:val="28"/>
          <w:highlight w:val="yellow"/>
          <w:shd w:val="clear" w:color="auto" w:fill="FFFFFF"/>
        </w:rPr>
        <w:t>):e</w:t>
      </w:r>
      <w:proofErr w:type="gramEnd"/>
      <w:r>
        <w:rPr>
          <w:rFonts w:ascii="Times New Roman" w:eastAsia="SimSun" w:hAnsi="Times New Roman" w:cs="Times New Roman"/>
          <w:color w:val="222222"/>
          <w:sz w:val="28"/>
          <w:szCs w:val="28"/>
          <w:highlight w:val="yellow"/>
          <w:shd w:val="clear" w:color="auto" w:fill="FFFFFF"/>
        </w:rPr>
        <w:t>64.</w:t>
      </w:r>
    </w:p>
    <w:p w:rsidR="008E11A5" w:rsidRDefault="00342678">
      <w:pPr>
        <w:pStyle w:val="ListParagraph"/>
        <w:numPr>
          <w:ilvl w:val="0"/>
          <w:numId w:val="8"/>
        </w:numPr>
        <w:spacing w:before="120" w:line="276" w:lineRule="auto"/>
        <w:jc w:val="both"/>
        <w:rPr>
          <w:rFonts w:ascii="Times New Roman" w:hAnsi="Times New Roman" w:cs="Times New Roman"/>
          <w:b/>
          <w:sz w:val="28"/>
          <w:szCs w:val="28"/>
          <w:highlight w:val="yellow"/>
        </w:rPr>
      </w:pPr>
      <w:proofErr w:type="spellStart"/>
      <w:r>
        <w:rPr>
          <w:rFonts w:ascii="Times New Roman" w:eastAsia="SimSun" w:hAnsi="Times New Roman" w:cs="Times New Roman"/>
          <w:color w:val="222222"/>
          <w:sz w:val="28"/>
          <w:szCs w:val="28"/>
          <w:highlight w:val="yellow"/>
          <w:shd w:val="clear" w:color="auto" w:fill="FFFFFF"/>
        </w:rPr>
        <w:t>Alamri</w:t>
      </w:r>
      <w:proofErr w:type="spellEnd"/>
      <w:r>
        <w:rPr>
          <w:rFonts w:ascii="Times New Roman" w:eastAsia="SimSun" w:hAnsi="Times New Roman" w:cs="Times New Roman"/>
          <w:color w:val="222222"/>
          <w:sz w:val="28"/>
          <w:szCs w:val="28"/>
          <w:highlight w:val="yellow"/>
          <w:shd w:val="clear" w:color="auto" w:fill="FFFFFF"/>
        </w:rPr>
        <w:t xml:space="preserve"> N, </w:t>
      </w:r>
      <w:proofErr w:type="spellStart"/>
      <w:r>
        <w:rPr>
          <w:rFonts w:ascii="Times New Roman" w:eastAsia="SimSun" w:hAnsi="Times New Roman" w:cs="Times New Roman"/>
          <w:color w:val="222222"/>
          <w:sz w:val="28"/>
          <w:szCs w:val="28"/>
          <w:highlight w:val="yellow"/>
          <w:shd w:val="clear" w:color="auto" w:fill="FFFFFF"/>
        </w:rPr>
        <w:t>Alotaiby</w:t>
      </w:r>
      <w:proofErr w:type="spellEnd"/>
      <w:r>
        <w:rPr>
          <w:rFonts w:ascii="Times New Roman" w:eastAsia="SimSun" w:hAnsi="Times New Roman" w:cs="Times New Roman"/>
          <w:color w:val="222222"/>
          <w:sz w:val="28"/>
          <w:szCs w:val="28"/>
          <w:highlight w:val="yellow"/>
          <w:shd w:val="clear" w:color="auto" w:fill="FFFFFF"/>
        </w:rPr>
        <w:t xml:space="preserve"> F. Association of Fordyce Granules with Skin Types–A Cross-Sectional Study. Journal of Pharmacy and </w:t>
      </w:r>
      <w:proofErr w:type="spellStart"/>
      <w:r>
        <w:rPr>
          <w:rFonts w:ascii="Times New Roman" w:eastAsia="SimSun" w:hAnsi="Times New Roman" w:cs="Times New Roman"/>
          <w:color w:val="222222"/>
          <w:sz w:val="28"/>
          <w:szCs w:val="28"/>
          <w:highlight w:val="yellow"/>
          <w:shd w:val="clear" w:color="auto" w:fill="FFFFFF"/>
        </w:rPr>
        <w:t>Bioallied</w:t>
      </w:r>
      <w:proofErr w:type="spellEnd"/>
      <w:r>
        <w:rPr>
          <w:rFonts w:ascii="Times New Roman" w:eastAsia="SimSun" w:hAnsi="Times New Roman" w:cs="Times New Roman"/>
          <w:color w:val="222222"/>
          <w:sz w:val="28"/>
          <w:szCs w:val="28"/>
          <w:highlight w:val="yellow"/>
          <w:shd w:val="clear" w:color="auto" w:fill="FFFFFF"/>
        </w:rPr>
        <w:t xml:space="preserve"> Sciences. 2024 Apr 1;16(Suppl 2</w:t>
      </w:r>
      <w:proofErr w:type="gramStart"/>
      <w:r>
        <w:rPr>
          <w:rFonts w:ascii="Times New Roman" w:eastAsia="SimSun" w:hAnsi="Times New Roman" w:cs="Times New Roman"/>
          <w:color w:val="222222"/>
          <w:sz w:val="28"/>
          <w:szCs w:val="28"/>
          <w:highlight w:val="yellow"/>
          <w:shd w:val="clear" w:color="auto" w:fill="FFFFFF"/>
        </w:rPr>
        <w:t>):S</w:t>
      </w:r>
      <w:proofErr w:type="gramEnd"/>
      <w:r>
        <w:rPr>
          <w:rFonts w:ascii="Times New Roman" w:eastAsia="SimSun" w:hAnsi="Times New Roman" w:cs="Times New Roman"/>
          <w:color w:val="222222"/>
          <w:sz w:val="28"/>
          <w:szCs w:val="28"/>
          <w:highlight w:val="yellow"/>
          <w:shd w:val="clear" w:color="auto" w:fill="FFFFFF"/>
        </w:rPr>
        <w:t>1633-6.</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22222"/>
          <w:sz w:val="28"/>
          <w:szCs w:val="28"/>
          <w:shd w:val="clear" w:color="auto" w:fill="FFFFFF"/>
        </w:rPr>
        <w:t>Katib</w:t>
      </w:r>
      <w:proofErr w:type="spellEnd"/>
      <w:r>
        <w:rPr>
          <w:rFonts w:ascii="Times New Roman" w:hAnsi="Times New Roman" w:cs="Times New Roman"/>
          <w:color w:val="222222"/>
          <w:sz w:val="28"/>
          <w:szCs w:val="28"/>
          <w:shd w:val="clear" w:color="auto" w:fill="FFFFFF"/>
        </w:rPr>
        <w:t xml:space="preserve"> Y. Sebaceous carcinoma of the intraoral origin: a literature review. </w:t>
      </w:r>
      <w:proofErr w:type="spellStart"/>
      <w:r>
        <w:rPr>
          <w:rFonts w:ascii="Times New Roman" w:hAnsi="Times New Roman" w:cs="Times New Roman"/>
          <w:color w:val="222222"/>
          <w:sz w:val="28"/>
          <w:szCs w:val="28"/>
          <w:shd w:val="clear" w:color="auto" w:fill="FFFFFF"/>
        </w:rPr>
        <w:t>Oncologie</w:t>
      </w:r>
      <w:proofErr w:type="spellEnd"/>
      <w:r>
        <w:rPr>
          <w:rFonts w:ascii="Times New Roman" w:hAnsi="Times New Roman" w:cs="Times New Roman"/>
          <w:color w:val="222222"/>
          <w:sz w:val="28"/>
          <w:szCs w:val="28"/>
          <w:shd w:val="clear" w:color="auto" w:fill="FFFFFF"/>
        </w:rPr>
        <w:t>. 2025 Jan 30(0).</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22222"/>
          <w:sz w:val="28"/>
          <w:szCs w:val="28"/>
          <w:shd w:val="clear" w:color="auto" w:fill="FFFFFF"/>
        </w:rPr>
        <w:t>Katib</w:t>
      </w:r>
      <w:proofErr w:type="spellEnd"/>
      <w:r>
        <w:rPr>
          <w:rFonts w:ascii="Times New Roman" w:hAnsi="Times New Roman" w:cs="Times New Roman"/>
          <w:color w:val="222222"/>
          <w:sz w:val="28"/>
          <w:szCs w:val="28"/>
          <w:shd w:val="clear" w:color="auto" w:fill="FFFFFF"/>
        </w:rPr>
        <w:t xml:space="preserve"> Y, </w:t>
      </w:r>
      <w:proofErr w:type="spellStart"/>
      <w:r>
        <w:rPr>
          <w:rFonts w:ascii="Times New Roman" w:hAnsi="Times New Roman" w:cs="Times New Roman"/>
          <w:color w:val="222222"/>
          <w:sz w:val="28"/>
          <w:szCs w:val="28"/>
          <w:shd w:val="clear" w:color="auto" w:fill="FFFFFF"/>
        </w:rPr>
        <w:t>Essatari</w:t>
      </w:r>
      <w:proofErr w:type="spellEnd"/>
      <w:r>
        <w:rPr>
          <w:rFonts w:ascii="Times New Roman" w:hAnsi="Times New Roman" w:cs="Times New Roman"/>
          <w:color w:val="222222"/>
          <w:sz w:val="28"/>
          <w:szCs w:val="28"/>
          <w:shd w:val="clear" w:color="auto" w:fill="FFFFFF"/>
        </w:rPr>
        <w:t xml:space="preserve"> M. Case report: A rare case of oral sebaceous carcinoma in the upper lip. Pathology and Oncology Research. 2024 Nov </w:t>
      </w:r>
      <w:proofErr w:type="gramStart"/>
      <w:r>
        <w:rPr>
          <w:rFonts w:ascii="Times New Roman" w:hAnsi="Times New Roman" w:cs="Times New Roman"/>
          <w:color w:val="222222"/>
          <w:sz w:val="28"/>
          <w:szCs w:val="28"/>
          <w:shd w:val="clear" w:color="auto" w:fill="FFFFFF"/>
        </w:rPr>
        <w:t>8;30:1611968</w:t>
      </w:r>
      <w:proofErr w:type="gramEnd"/>
      <w:r>
        <w:rPr>
          <w:rFonts w:ascii="Times New Roman" w:hAnsi="Times New Roman" w:cs="Times New Roman"/>
          <w:color w:val="222222"/>
          <w:sz w:val="28"/>
          <w:szCs w:val="28"/>
          <w:shd w:val="clear" w:color="auto" w:fill="FFFFFF"/>
        </w:rPr>
        <w:t>.</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22222"/>
          <w:sz w:val="28"/>
          <w:szCs w:val="28"/>
          <w:shd w:val="clear" w:color="auto" w:fill="FFFFFF"/>
        </w:rPr>
        <w:lastRenderedPageBreak/>
        <w:t>Ambrosino</w:t>
      </w:r>
      <w:proofErr w:type="spellEnd"/>
      <w:r>
        <w:rPr>
          <w:rFonts w:ascii="Times New Roman" w:hAnsi="Times New Roman" w:cs="Times New Roman"/>
          <w:color w:val="222222"/>
          <w:sz w:val="28"/>
          <w:szCs w:val="28"/>
          <w:shd w:val="clear" w:color="auto" w:fill="FFFFFF"/>
        </w:rPr>
        <w:t xml:space="preserve"> M, </w:t>
      </w:r>
      <w:proofErr w:type="spellStart"/>
      <w:r>
        <w:rPr>
          <w:rFonts w:ascii="Times New Roman" w:hAnsi="Times New Roman" w:cs="Times New Roman"/>
          <w:color w:val="222222"/>
          <w:sz w:val="28"/>
          <w:szCs w:val="28"/>
          <w:shd w:val="clear" w:color="auto" w:fill="FFFFFF"/>
        </w:rPr>
        <w:t>Muzio</w:t>
      </w:r>
      <w:proofErr w:type="spellEnd"/>
      <w:r>
        <w:rPr>
          <w:rFonts w:ascii="Times New Roman" w:hAnsi="Times New Roman" w:cs="Times New Roman"/>
          <w:color w:val="222222"/>
          <w:sz w:val="28"/>
          <w:szCs w:val="28"/>
          <w:shd w:val="clear" w:color="auto" w:fill="FFFFFF"/>
        </w:rPr>
        <w:t xml:space="preserve"> LL. Sebaceous Carcinoma of The Lip: Report of a Case and Literature Review.</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555555"/>
          <w:sz w:val="28"/>
          <w:szCs w:val="28"/>
          <w:shd w:val="clear" w:color="auto" w:fill="FFFFFF"/>
        </w:rPr>
        <w:t xml:space="preserve">Soares CD, </w:t>
      </w:r>
      <w:proofErr w:type="spellStart"/>
      <w:r>
        <w:rPr>
          <w:rFonts w:ascii="Times New Roman" w:hAnsi="Times New Roman" w:cs="Times New Roman"/>
          <w:color w:val="555555"/>
          <w:sz w:val="28"/>
          <w:szCs w:val="28"/>
          <w:shd w:val="clear" w:color="auto" w:fill="FFFFFF"/>
        </w:rPr>
        <w:t>Morais</w:t>
      </w:r>
      <w:proofErr w:type="spellEnd"/>
      <w:r>
        <w:rPr>
          <w:rFonts w:ascii="Times New Roman" w:hAnsi="Times New Roman" w:cs="Times New Roman"/>
          <w:color w:val="555555"/>
          <w:sz w:val="28"/>
          <w:szCs w:val="28"/>
          <w:shd w:val="clear" w:color="auto" w:fill="FFFFFF"/>
        </w:rPr>
        <w:t xml:space="preserve"> TML, Carlos R, et al. Sebaceous adenocarcinomas of the major salivary glands: a clinicopathological analysis of 10 cases. </w:t>
      </w:r>
      <w:r>
        <w:rPr>
          <w:rStyle w:val="Emphasis"/>
          <w:rFonts w:ascii="Times New Roman" w:hAnsi="Times New Roman" w:cs="Times New Roman"/>
          <w:color w:val="555555"/>
          <w:sz w:val="28"/>
          <w:szCs w:val="28"/>
          <w:shd w:val="clear" w:color="auto" w:fill="FFFFFF"/>
        </w:rPr>
        <w:t>Histopathology</w:t>
      </w:r>
      <w:r>
        <w:rPr>
          <w:rFonts w:ascii="Times New Roman" w:hAnsi="Times New Roman" w:cs="Times New Roman"/>
          <w:color w:val="555555"/>
          <w:sz w:val="28"/>
          <w:szCs w:val="28"/>
          <w:shd w:val="clear" w:color="auto" w:fill="FFFFFF"/>
        </w:rPr>
        <w:t>. 2018;73(4):585–592.</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82828"/>
          <w:sz w:val="28"/>
          <w:szCs w:val="28"/>
          <w:shd w:val="clear" w:color="auto" w:fill="F7F7F7"/>
        </w:rPr>
        <w:t xml:space="preserve">Everett, JN, Raymond, VM, </w:t>
      </w:r>
      <w:proofErr w:type="spellStart"/>
      <w:r>
        <w:rPr>
          <w:rFonts w:ascii="Times New Roman" w:hAnsi="Times New Roman" w:cs="Times New Roman"/>
          <w:color w:val="282828"/>
          <w:sz w:val="28"/>
          <w:szCs w:val="28"/>
          <w:shd w:val="clear" w:color="auto" w:fill="F7F7F7"/>
        </w:rPr>
        <w:t>Dandapani</w:t>
      </w:r>
      <w:proofErr w:type="spellEnd"/>
      <w:r>
        <w:rPr>
          <w:rFonts w:ascii="Times New Roman" w:hAnsi="Times New Roman" w:cs="Times New Roman"/>
          <w:color w:val="282828"/>
          <w:sz w:val="28"/>
          <w:szCs w:val="28"/>
          <w:shd w:val="clear" w:color="auto" w:fill="F7F7F7"/>
        </w:rPr>
        <w:t>, M, Marvin, M, Kohlmann, W, Chittenden, A, et al. Screening for germline mismatch repair mutations following diagnosis of sebaceous neoplasm. </w:t>
      </w:r>
      <w:r>
        <w:rPr>
          <w:rStyle w:val="Emphasis"/>
          <w:rFonts w:ascii="Times New Roman" w:hAnsi="Times New Roman" w:cs="Times New Roman"/>
          <w:color w:val="282828"/>
          <w:sz w:val="28"/>
          <w:szCs w:val="28"/>
          <w:shd w:val="clear" w:color="auto" w:fill="F7F7F7"/>
        </w:rPr>
        <w:t>JAMA Dermatol</w:t>
      </w:r>
      <w:r>
        <w:rPr>
          <w:rFonts w:ascii="Times New Roman" w:hAnsi="Times New Roman" w:cs="Times New Roman"/>
          <w:color w:val="282828"/>
          <w:sz w:val="28"/>
          <w:szCs w:val="28"/>
          <w:shd w:val="clear" w:color="auto" w:fill="F7F7F7"/>
        </w:rPr>
        <w:t> (2014) 150(12):1315–21</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82828"/>
          <w:sz w:val="28"/>
          <w:szCs w:val="28"/>
          <w:shd w:val="clear" w:color="auto" w:fill="F7F7F7"/>
        </w:rPr>
        <w:t>Dasgupta, T, Wilson, LD, and Yu, JB. A retrospective review of 1349 cases of sebaceous carcinoma. </w:t>
      </w:r>
      <w:r>
        <w:rPr>
          <w:rStyle w:val="Emphasis"/>
          <w:rFonts w:ascii="Times New Roman" w:hAnsi="Times New Roman" w:cs="Times New Roman"/>
          <w:color w:val="282828"/>
          <w:sz w:val="28"/>
          <w:szCs w:val="28"/>
          <w:shd w:val="clear" w:color="auto" w:fill="F7F7F7"/>
        </w:rPr>
        <w:t>Cancer</w:t>
      </w:r>
      <w:r>
        <w:rPr>
          <w:rFonts w:ascii="Times New Roman" w:hAnsi="Times New Roman" w:cs="Times New Roman"/>
          <w:color w:val="282828"/>
          <w:sz w:val="28"/>
          <w:szCs w:val="28"/>
          <w:shd w:val="clear" w:color="auto" w:fill="F7F7F7"/>
        </w:rPr>
        <w:t> (2009) 115:158–65. </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82828"/>
          <w:sz w:val="28"/>
          <w:szCs w:val="28"/>
          <w:shd w:val="clear" w:color="auto" w:fill="F7F7F7"/>
        </w:rPr>
        <w:t>Bassetto</w:t>
      </w:r>
      <w:proofErr w:type="spellEnd"/>
      <w:r>
        <w:rPr>
          <w:rFonts w:ascii="Times New Roman" w:hAnsi="Times New Roman" w:cs="Times New Roman"/>
          <w:color w:val="282828"/>
          <w:sz w:val="28"/>
          <w:szCs w:val="28"/>
          <w:shd w:val="clear" w:color="auto" w:fill="F7F7F7"/>
        </w:rPr>
        <w:t xml:space="preserve">, F, </w:t>
      </w:r>
      <w:proofErr w:type="spellStart"/>
      <w:r>
        <w:rPr>
          <w:rFonts w:ascii="Times New Roman" w:hAnsi="Times New Roman" w:cs="Times New Roman"/>
          <w:color w:val="282828"/>
          <w:sz w:val="28"/>
          <w:szCs w:val="28"/>
          <w:shd w:val="clear" w:color="auto" w:fill="F7F7F7"/>
        </w:rPr>
        <w:t>Baraziol</w:t>
      </w:r>
      <w:proofErr w:type="spellEnd"/>
      <w:r>
        <w:rPr>
          <w:rFonts w:ascii="Times New Roman" w:hAnsi="Times New Roman" w:cs="Times New Roman"/>
          <w:color w:val="282828"/>
          <w:sz w:val="28"/>
          <w:szCs w:val="28"/>
          <w:shd w:val="clear" w:color="auto" w:fill="F7F7F7"/>
        </w:rPr>
        <w:t xml:space="preserve">, R, </w:t>
      </w:r>
      <w:proofErr w:type="spellStart"/>
      <w:r>
        <w:rPr>
          <w:rFonts w:ascii="Times New Roman" w:hAnsi="Times New Roman" w:cs="Times New Roman"/>
          <w:color w:val="282828"/>
          <w:sz w:val="28"/>
          <w:szCs w:val="28"/>
          <w:shd w:val="clear" w:color="auto" w:fill="F7F7F7"/>
        </w:rPr>
        <w:t>Sottosanti</w:t>
      </w:r>
      <w:proofErr w:type="spellEnd"/>
      <w:r>
        <w:rPr>
          <w:rFonts w:ascii="Times New Roman" w:hAnsi="Times New Roman" w:cs="Times New Roman"/>
          <w:color w:val="282828"/>
          <w:sz w:val="28"/>
          <w:szCs w:val="28"/>
          <w:shd w:val="clear" w:color="auto" w:fill="F7F7F7"/>
        </w:rPr>
        <w:t xml:space="preserve">, MV, Scarpa, C, and </w:t>
      </w:r>
      <w:proofErr w:type="spellStart"/>
      <w:r>
        <w:rPr>
          <w:rFonts w:ascii="Times New Roman" w:hAnsi="Times New Roman" w:cs="Times New Roman"/>
          <w:color w:val="282828"/>
          <w:sz w:val="28"/>
          <w:szCs w:val="28"/>
          <w:shd w:val="clear" w:color="auto" w:fill="F7F7F7"/>
        </w:rPr>
        <w:t>Montesco</w:t>
      </w:r>
      <w:proofErr w:type="spellEnd"/>
      <w:r>
        <w:rPr>
          <w:rFonts w:ascii="Times New Roman" w:hAnsi="Times New Roman" w:cs="Times New Roman"/>
          <w:color w:val="282828"/>
          <w:sz w:val="28"/>
          <w:szCs w:val="28"/>
          <w:shd w:val="clear" w:color="auto" w:fill="F7F7F7"/>
        </w:rPr>
        <w:t>, M. Biological behavior of the sebaceous carcinoma of the head. </w:t>
      </w:r>
      <w:r>
        <w:rPr>
          <w:rStyle w:val="Emphasis"/>
          <w:rFonts w:ascii="Times New Roman" w:hAnsi="Times New Roman" w:cs="Times New Roman"/>
          <w:color w:val="282828"/>
          <w:sz w:val="28"/>
          <w:szCs w:val="28"/>
          <w:shd w:val="clear" w:color="auto" w:fill="F7F7F7"/>
        </w:rPr>
        <w:t>Dermatol Surg</w:t>
      </w:r>
      <w:r>
        <w:rPr>
          <w:rFonts w:ascii="Times New Roman" w:hAnsi="Times New Roman" w:cs="Times New Roman"/>
          <w:color w:val="282828"/>
          <w:sz w:val="28"/>
          <w:szCs w:val="28"/>
          <w:shd w:val="clear" w:color="auto" w:fill="F7F7F7"/>
        </w:rPr>
        <w:t> (2004) 30(3):472–6.</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sz w:val="28"/>
          <w:szCs w:val="28"/>
        </w:rPr>
        <w:t>Misago</w:t>
      </w:r>
      <w:proofErr w:type="spellEnd"/>
      <w:r>
        <w:rPr>
          <w:rFonts w:ascii="Times New Roman" w:hAnsi="Times New Roman" w:cs="Times New Roman"/>
          <w:sz w:val="28"/>
          <w:szCs w:val="28"/>
        </w:rPr>
        <w:t xml:space="preserve"> N, </w:t>
      </w:r>
      <w:proofErr w:type="spellStart"/>
      <w:r>
        <w:rPr>
          <w:rFonts w:ascii="Times New Roman" w:hAnsi="Times New Roman" w:cs="Times New Roman"/>
          <w:sz w:val="28"/>
          <w:szCs w:val="28"/>
        </w:rPr>
        <w:t>Mihara</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Ansai</w:t>
      </w:r>
      <w:proofErr w:type="spellEnd"/>
      <w:r>
        <w:rPr>
          <w:rFonts w:ascii="Times New Roman" w:hAnsi="Times New Roman" w:cs="Times New Roman"/>
          <w:sz w:val="28"/>
          <w:szCs w:val="28"/>
        </w:rPr>
        <w:t xml:space="preserve"> S, </w:t>
      </w:r>
      <w:proofErr w:type="spellStart"/>
      <w:r>
        <w:rPr>
          <w:rFonts w:ascii="Times New Roman" w:hAnsi="Times New Roman" w:cs="Times New Roman"/>
          <w:sz w:val="28"/>
          <w:szCs w:val="28"/>
        </w:rPr>
        <w:t>Narisawa</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Sebaceoma</w:t>
      </w:r>
      <w:proofErr w:type="spellEnd"/>
      <w:r>
        <w:rPr>
          <w:rFonts w:ascii="Times New Roman" w:hAnsi="Times New Roman" w:cs="Times New Roman"/>
          <w:sz w:val="28"/>
          <w:szCs w:val="28"/>
        </w:rPr>
        <w:t xml:space="preserve"> and related neoplasms with sebaceous differentiation: a clinicopathologic study of 30 cases. Am J </w:t>
      </w:r>
      <w:proofErr w:type="spellStart"/>
      <w:r>
        <w:rPr>
          <w:rFonts w:ascii="Times New Roman" w:hAnsi="Times New Roman" w:cs="Times New Roman"/>
          <w:sz w:val="28"/>
          <w:szCs w:val="28"/>
        </w:rPr>
        <w:t>Dermatopathol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2002;24:294</w:t>
      </w:r>
      <w:proofErr w:type="gramEnd"/>
      <w:r>
        <w:rPr>
          <w:rFonts w:ascii="Times New Roman" w:hAnsi="Times New Roman" w:cs="Times New Roman"/>
          <w:sz w:val="28"/>
          <w:szCs w:val="28"/>
        </w:rPr>
        <w:t>–304</w:t>
      </w:r>
    </w:p>
    <w:p w:rsidR="008E11A5" w:rsidRDefault="00342678">
      <w:pPr>
        <w:pStyle w:val="ListParagraph"/>
        <w:numPr>
          <w:ilvl w:val="0"/>
          <w:numId w:val="8"/>
        </w:numPr>
        <w:spacing w:before="120" w:line="276" w:lineRule="auto"/>
        <w:jc w:val="both"/>
        <w:rPr>
          <w:rFonts w:ascii="Times New Roman" w:hAnsi="Times New Roman" w:cs="Times New Roman"/>
          <w:b/>
          <w:sz w:val="28"/>
          <w:szCs w:val="28"/>
          <w:highlight w:val="yellow"/>
        </w:rPr>
      </w:pPr>
      <w:r>
        <w:rPr>
          <w:rFonts w:ascii="Times New Roman" w:eastAsia="SimSun" w:hAnsi="Times New Roman" w:cs="Times New Roman"/>
          <w:color w:val="222222"/>
          <w:sz w:val="28"/>
          <w:szCs w:val="28"/>
          <w:highlight w:val="yellow"/>
          <w:shd w:val="clear" w:color="auto" w:fill="FFFFFF"/>
        </w:rPr>
        <w:t>Prieto-Granada C, Rodriguez-</w:t>
      </w:r>
      <w:proofErr w:type="spellStart"/>
      <w:r>
        <w:rPr>
          <w:rFonts w:ascii="Times New Roman" w:eastAsia="SimSun" w:hAnsi="Times New Roman" w:cs="Times New Roman"/>
          <w:color w:val="222222"/>
          <w:sz w:val="28"/>
          <w:szCs w:val="28"/>
          <w:highlight w:val="yellow"/>
          <w:shd w:val="clear" w:color="auto" w:fill="FFFFFF"/>
        </w:rPr>
        <w:t>Waitkus</w:t>
      </w:r>
      <w:proofErr w:type="spellEnd"/>
      <w:r>
        <w:rPr>
          <w:rFonts w:ascii="Times New Roman" w:eastAsia="SimSun" w:hAnsi="Times New Roman" w:cs="Times New Roman"/>
          <w:color w:val="222222"/>
          <w:sz w:val="28"/>
          <w:szCs w:val="28"/>
          <w:highlight w:val="yellow"/>
          <w:shd w:val="clear" w:color="auto" w:fill="FFFFFF"/>
        </w:rPr>
        <w:t xml:space="preserve"> P. Sebaceous carcinoma of the eyelid. Cancer Control. 2016 Apr;23(2):126-32.</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hAnsi="Times New Roman" w:cs="Times New Roman"/>
          <w:color w:val="282828"/>
          <w:sz w:val="28"/>
          <w:szCs w:val="28"/>
          <w:shd w:val="clear" w:color="auto" w:fill="F7F7F7"/>
        </w:rPr>
        <w:t>Duman</w:t>
      </w:r>
      <w:proofErr w:type="spellEnd"/>
      <w:r>
        <w:rPr>
          <w:rFonts w:ascii="Times New Roman" w:hAnsi="Times New Roman" w:cs="Times New Roman"/>
          <w:color w:val="282828"/>
          <w:sz w:val="28"/>
          <w:szCs w:val="28"/>
          <w:shd w:val="clear" w:color="auto" w:fill="F7F7F7"/>
        </w:rPr>
        <w:t xml:space="preserve">, DG, Ceyhan, BB, </w:t>
      </w:r>
      <w:proofErr w:type="spellStart"/>
      <w:r>
        <w:rPr>
          <w:rFonts w:ascii="Times New Roman" w:hAnsi="Times New Roman" w:cs="Times New Roman"/>
          <w:color w:val="282828"/>
          <w:sz w:val="28"/>
          <w:szCs w:val="28"/>
          <w:shd w:val="clear" w:color="auto" w:fill="F7F7F7"/>
        </w:rPr>
        <w:t>Celikel</w:t>
      </w:r>
      <w:proofErr w:type="spellEnd"/>
      <w:r>
        <w:rPr>
          <w:rFonts w:ascii="Times New Roman" w:hAnsi="Times New Roman" w:cs="Times New Roman"/>
          <w:color w:val="282828"/>
          <w:sz w:val="28"/>
          <w:szCs w:val="28"/>
          <w:shd w:val="clear" w:color="auto" w:fill="F7F7F7"/>
        </w:rPr>
        <w:t xml:space="preserve">, T, and </w:t>
      </w:r>
      <w:proofErr w:type="spellStart"/>
      <w:r>
        <w:rPr>
          <w:rFonts w:ascii="Times New Roman" w:hAnsi="Times New Roman" w:cs="Times New Roman"/>
          <w:color w:val="282828"/>
          <w:sz w:val="28"/>
          <w:szCs w:val="28"/>
          <w:shd w:val="clear" w:color="auto" w:fill="F7F7F7"/>
        </w:rPr>
        <w:t>Ahiskali</w:t>
      </w:r>
      <w:proofErr w:type="spellEnd"/>
      <w:r>
        <w:rPr>
          <w:rFonts w:ascii="Times New Roman" w:hAnsi="Times New Roman" w:cs="Times New Roman"/>
          <w:color w:val="282828"/>
          <w:sz w:val="28"/>
          <w:szCs w:val="28"/>
          <w:shd w:val="clear" w:color="auto" w:fill="F7F7F7"/>
        </w:rPr>
        <w:t xml:space="preserve">, R. </w:t>
      </w:r>
      <w:proofErr w:type="spellStart"/>
      <w:r>
        <w:rPr>
          <w:rFonts w:ascii="Times New Roman" w:hAnsi="Times New Roman" w:cs="Times New Roman"/>
          <w:color w:val="282828"/>
          <w:sz w:val="28"/>
          <w:szCs w:val="28"/>
          <w:shd w:val="clear" w:color="auto" w:fill="F7F7F7"/>
        </w:rPr>
        <w:t>Extraorbital</w:t>
      </w:r>
      <w:proofErr w:type="spellEnd"/>
      <w:r>
        <w:rPr>
          <w:rFonts w:ascii="Times New Roman" w:hAnsi="Times New Roman" w:cs="Times New Roman"/>
          <w:color w:val="282828"/>
          <w:sz w:val="28"/>
          <w:szCs w:val="28"/>
          <w:shd w:val="clear" w:color="auto" w:fill="F7F7F7"/>
        </w:rPr>
        <w:t xml:space="preserve"> sebaceous carcinoma with rapidly developing visceral metastases. </w:t>
      </w:r>
      <w:r>
        <w:rPr>
          <w:rStyle w:val="Emphasis"/>
          <w:rFonts w:ascii="Times New Roman" w:hAnsi="Times New Roman" w:cs="Times New Roman"/>
          <w:color w:val="282828"/>
          <w:sz w:val="28"/>
          <w:szCs w:val="28"/>
          <w:shd w:val="clear" w:color="auto" w:fill="F7F7F7"/>
        </w:rPr>
        <w:t>Dermatol Surg</w:t>
      </w:r>
      <w:r>
        <w:rPr>
          <w:rFonts w:ascii="Times New Roman" w:hAnsi="Times New Roman" w:cs="Times New Roman"/>
          <w:color w:val="282828"/>
          <w:sz w:val="28"/>
          <w:szCs w:val="28"/>
          <w:shd w:val="clear" w:color="auto" w:fill="F7F7F7"/>
        </w:rPr>
        <w:t> (2003) 29(9):987–9.</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sz w:val="28"/>
          <w:szCs w:val="28"/>
        </w:rPr>
        <w:t xml:space="preserve">Rulon DB, </w:t>
      </w:r>
      <w:proofErr w:type="spellStart"/>
      <w:r>
        <w:rPr>
          <w:rFonts w:ascii="Times New Roman" w:hAnsi="Times New Roman" w:cs="Times New Roman"/>
          <w:sz w:val="28"/>
          <w:szCs w:val="28"/>
        </w:rPr>
        <w:t>Helwig</w:t>
      </w:r>
      <w:proofErr w:type="spellEnd"/>
      <w:r>
        <w:rPr>
          <w:rFonts w:ascii="Times New Roman" w:hAnsi="Times New Roman" w:cs="Times New Roman"/>
          <w:sz w:val="28"/>
          <w:szCs w:val="28"/>
        </w:rPr>
        <w:t xml:space="preserve"> EB. Cutaneous sebaceous neoplasms. Cancer </w:t>
      </w:r>
      <w:proofErr w:type="gramStart"/>
      <w:r>
        <w:rPr>
          <w:rFonts w:ascii="Times New Roman" w:hAnsi="Times New Roman" w:cs="Times New Roman"/>
          <w:sz w:val="28"/>
          <w:szCs w:val="28"/>
        </w:rPr>
        <w:t>1974;33:82</w:t>
      </w:r>
      <w:proofErr w:type="gramEnd"/>
      <w:r>
        <w:rPr>
          <w:rFonts w:ascii="Times New Roman" w:hAnsi="Times New Roman" w:cs="Times New Roman"/>
          <w:sz w:val="28"/>
          <w:szCs w:val="28"/>
        </w:rPr>
        <w:t>–102</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Huang YH, Chang TH, Chou TW, Liu MT, Pi CP, Huang CC, Hung LC, Lin JB. Adjuvant radiotherapy for sebaceous carcinoma of the eyelid after orbital exenteration. Therapeutic Radiology and Oncology. 2019 Jun 12;3.</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eastAsia="SimSun" w:hAnsi="Times New Roman" w:cs="Times New Roman"/>
          <w:color w:val="222222"/>
          <w:sz w:val="28"/>
          <w:szCs w:val="28"/>
          <w:shd w:val="clear" w:color="auto" w:fill="FFFFFF"/>
        </w:rPr>
        <w:t>Mulay</w:t>
      </w:r>
      <w:proofErr w:type="spellEnd"/>
      <w:r>
        <w:rPr>
          <w:rFonts w:ascii="Times New Roman" w:eastAsia="SimSun" w:hAnsi="Times New Roman" w:cs="Times New Roman"/>
          <w:color w:val="222222"/>
          <w:sz w:val="28"/>
          <w:szCs w:val="28"/>
          <w:shd w:val="clear" w:color="auto" w:fill="FFFFFF"/>
        </w:rPr>
        <w:t xml:space="preserve"> K, Aggarwal E, White VA. Periocular sebaceous gland carcinoma: a comprehensive review. Saudi Journal of Ophthalmology. 2013 Jul 1;27(3):159-65.</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proofErr w:type="spellStart"/>
      <w:r>
        <w:rPr>
          <w:rFonts w:ascii="Times New Roman" w:eastAsia="Times New Roman" w:hAnsi="Times New Roman" w:cs="Times New Roman"/>
          <w:color w:val="000000"/>
          <w:kern w:val="0"/>
          <w:sz w:val="28"/>
          <w:szCs w:val="28"/>
          <w14:ligatures w14:val="none"/>
        </w:rPr>
        <w:t>Rütten</w:t>
      </w:r>
      <w:proofErr w:type="spellEnd"/>
      <w:r>
        <w:rPr>
          <w:rFonts w:ascii="Times New Roman" w:eastAsia="Times New Roman" w:hAnsi="Times New Roman" w:cs="Times New Roman"/>
          <w:color w:val="000000"/>
          <w:kern w:val="0"/>
          <w:sz w:val="28"/>
          <w:szCs w:val="28"/>
          <w14:ligatures w14:val="none"/>
        </w:rPr>
        <w:t xml:space="preserve"> A, Wick MR, </w:t>
      </w:r>
      <w:proofErr w:type="spellStart"/>
      <w:r>
        <w:rPr>
          <w:rFonts w:ascii="Times New Roman" w:eastAsia="Times New Roman" w:hAnsi="Times New Roman" w:cs="Times New Roman"/>
          <w:color w:val="000000"/>
          <w:kern w:val="0"/>
          <w:sz w:val="28"/>
          <w:szCs w:val="28"/>
          <w14:ligatures w14:val="none"/>
        </w:rPr>
        <w:t>Sangüeza</w:t>
      </w:r>
      <w:proofErr w:type="spellEnd"/>
      <w:r>
        <w:rPr>
          <w:rFonts w:ascii="Times New Roman" w:eastAsia="Times New Roman" w:hAnsi="Times New Roman" w:cs="Times New Roman"/>
          <w:color w:val="000000"/>
          <w:kern w:val="0"/>
          <w:sz w:val="28"/>
          <w:szCs w:val="28"/>
          <w14:ligatures w14:val="none"/>
        </w:rPr>
        <w:t xml:space="preserve"> OP, Wallace C (2006) Appendageal </w:t>
      </w:r>
      <w:proofErr w:type="spellStart"/>
      <w:r>
        <w:rPr>
          <w:rFonts w:ascii="Times New Roman" w:eastAsia="Times New Roman" w:hAnsi="Times New Roman" w:cs="Times New Roman"/>
          <w:color w:val="000000"/>
          <w:kern w:val="0"/>
          <w:sz w:val="28"/>
          <w:szCs w:val="28"/>
          <w14:ligatures w14:val="none"/>
        </w:rPr>
        <w:t>tumours</w:t>
      </w:r>
      <w:proofErr w:type="spellEnd"/>
      <w:r>
        <w:rPr>
          <w:rFonts w:ascii="Times New Roman" w:eastAsia="Times New Roman" w:hAnsi="Times New Roman" w:cs="Times New Roman"/>
          <w:color w:val="000000"/>
          <w:kern w:val="0"/>
          <w:sz w:val="28"/>
          <w:szCs w:val="28"/>
          <w14:ligatures w14:val="none"/>
        </w:rPr>
        <w:t xml:space="preserve">. In: </w:t>
      </w:r>
      <w:proofErr w:type="spellStart"/>
      <w:r>
        <w:rPr>
          <w:rFonts w:ascii="Times New Roman" w:eastAsia="Times New Roman" w:hAnsi="Times New Roman" w:cs="Times New Roman"/>
          <w:color w:val="000000"/>
          <w:kern w:val="0"/>
          <w:sz w:val="28"/>
          <w:szCs w:val="28"/>
          <w14:ligatures w14:val="none"/>
        </w:rPr>
        <w:t>LeBoit</w:t>
      </w:r>
      <w:proofErr w:type="spellEnd"/>
      <w:r>
        <w:rPr>
          <w:rFonts w:ascii="Times New Roman" w:eastAsia="Times New Roman" w:hAnsi="Times New Roman" w:cs="Times New Roman"/>
          <w:color w:val="000000"/>
          <w:kern w:val="0"/>
          <w:sz w:val="28"/>
          <w:szCs w:val="28"/>
          <w14:ligatures w14:val="none"/>
        </w:rPr>
        <w:t xml:space="preserve"> PE, Burg G, </w:t>
      </w:r>
      <w:proofErr w:type="spellStart"/>
      <w:r>
        <w:rPr>
          <w:rFonts w:ascii="Times New Roman" w:eastAsia="Times New Roman" w:hAnsi="Times New Roman" w:cs="Times New Roman"/>
          <w:color w:val="000000"/>
          <w:kern w:val="0"/>
          <w:sz w:val="28"/>
          <w:szCs w:val="28"/>
          <w14:ligatures w14:val="none"/>
        </w:rPr>
        <w:t>Weedom</w:t>
      </w:r>
      <w:proofErr w:type="spellEnd"/>
      <w:r>
        <w:rPr>
          <w:rFonts w:ascii="Times New Roman" w:eastAsia="Times New Roman" w:hAnsi="Times New Roman" w:cs="Times New Roman"/>
          <w:color w:val="000000"/>
          <w:kern w:val="0"/>
          <w:sz w:val="28"/>
          <w:szCs w:val="28"/>
          <w14:ligatures w14:val="none"/>
        </w:rPr>
        <w:t xml:space="preserve"> D, </w:t>
      </w:r>
      <w:proofErr w:type="spellStart"/>
      <w:r>
        <w:rPr>
          <w:rFonts w:ascii="Times New Roman" w:eastAsia="Times New Roman" w:hAnsi="Times New Roman" w:cs="Times New Roman"/>
          <w:color w:val="000000"/>
          <w:kern w:val="0"/>
          <w:sz w:val="28"/>
          <w:szCs w:val="28"/>
          <w14:ligatures w14:val="none"/>
        </w:rPr>
        <w:t>Sarasain</w:t>
      </w:r>
      <w:proofErr w:type="spellEnd"/>
      <w:r>
        <w:rPr>
          <w:rFonts w:ascii="Times New Roman" w:eastAsia="Times New Roman" w:hAnsi="Times New Roman" w:cs="Times New Roman"/>
          <w:color w:val="000000"/>
          <w:kern w:val="0"/>
          <w:sz w:val="28"/>
          <w:szCs w:val="28"/>
          <w14:ligatures w14:val="none"/>
        </w:rPr>
        <w:t xml:space="preserve"> A (eds) World Health Organization </w:t>
      </w:r>
      <w:proofErr w:type="spellStart"/>
      <w:r>
        <w:rPr>
          <w:rFonts w:ascii="Times New Roman" w:eastAsia="Times New Roman" w:hAnsi="Times New Roman" w:cs="Times New Roman"/>
          <w:color w:val="000000"/>
          <w:kern w:val="0"/>
          <w:sz w:val="28"/>
          <w:szCs w:val="28"/>
          <w14:ligatures w14:val="none"/>
        </w:rPr>
        <w:t>classiWcation</w:t>
      </w:r>
      <w:proofErr w:type="spellEnd"/>
      <w:r>
        <w:rPr>
          <w:rFonts w:ascii="Times New Roman" w:eastAsia="Times New Roman" w:hAnsi="Times New Roman" w:cs="Times New Roman"/>
          <w:color w:val="000000"/>
          <w:kern w:val="0"/>
          <w:sz w:val="28"/>
          <w:szCs w:val="28"/>
          <w14:ligatures w14:val="none"/>
        </w:rPr>
        <w:t xml:space="preserve"> of </w:t>
      </w:r>
      <w:proofErr w:type="spellStart"/>
      <w:r>
        <w:rPr>
          <w:rFonts w:ascii="Times New Roman" w:eastAsia="Times New Roman" w:hAnsi="Times New Roman" w:cs="Times New Roman"/>
          <w:color w:val="000000"/>
          <w:kern w:val="0"/>
          <w:sz w:val="28"/>
          <w:szCs w:val="28"/>
          <w14:ligatures w14:val="none"/>
        </w:rPr>
        <w:t>tumours</w:t>
      </w:r>
      <w:proofErr w:type="spellEnd"/>
      <w:r>
        <w:rPr>
          <w:rFonts w:ascii="Times New Roman" w:eastAsia="Times New Roman" w:hAnsi="Times New Roman" w:cs="Times New Roman"/>
          <w:color w:val="000000"/>
          <w:kern w:val="0"/>
          <w:sz w:val="28"/>
          <w:szCs w:val="28"/>
          <w14:ligatures w14:val="none"/>
        </w:rPr>
        <w:t xml:space="preserve">. Pathology and genetics of skin </w:t>
      </w:r>
      <w:proofErr w:type="spellStart"/>
      <w:r>
        <w:rPr>
          <w:rFonts w:ascii="Times New Roman" w:eastAsia="Times New Roman" w:hAnsi="Times New Roman" w:cs="Times New Roman"/>
          <w:color w:val="000000"/>
          <w:kern w:val="0"/>
          <w:sz w:val="28"/>
          <w:szCs w:val="28"/>
          <w14:ligatures w14:val="none"/>
        </w:rPr>
        <w:t>tumours</w:t>
      </w:r>
      <w:proofErr w:type="spellEnd"/>
      <w:r>
        <w:rPr>
          <w:rFonts w:ascii="Times New Roman" w:eastAsia="Times New Roman" w:hAnsi="Times New Roman" w:cs="Times New Roman"/>
          <w:color w:val="000000"/>
          <w:kern w:val="0"/>
          <w:sz w:val="28"/>
          <w:szCs w:val="28"/>
          <w14:ligatures w14:val="none"/>
        </w:rPr>
        <w:t>. IARC Press, Lyon, pp 160–161</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eastAsia="Times New Roman" w:hAnsi="Times New Roman" w:cs="Times New Roman"/>
          <w:color w:val="000000"/>
          <w:kern w:val="0"/>
          <w:sz w:val="28"/>
          <w:szCs w:val="28"/>
          <w14:ligatures w14:val="none"/>
        </w:rPr>
        <w:lastRenderedPageBreak/>
        <w:t xml:space="preserve">Wick MR, </w:t>
      </w:r>
      <w:proofErr w:type="spellStart"/>
      <w:r>
        <w:rPr>
          <w:rFonts w:ascii="Times New Roman" w:eastAsia="Times New Roman" w:hAnsi="Times New Roman" w:cs="Times New Roman"/>
          <w:color w:val="000000"/>
          <w:kern w:val="0"/>
          <w:sz w:val="28"/>
          <w:szCs w:val="28"/>
          <w14:ligatures w14:val="none"/>
        </w:rPr>
        <w:t>Goellner</w:t>
      </w:r>
      <w:proofErr w:type="spellEnd"/>
      <w:r>
        <w:rPr>
          <w:rFonts w:ascii="Times New Roman" w:eastAsia="Times New Roman" w:hAnsi="Times New Roman" w:cs="Times New Roman"/>
          <w:color w:val="000000"/>
          <w:kern w:val="0"/>
          <w:sz w:val="28"/>
          <w:szCs w:val="28"/>
          <w14:ligatures w14:val="none"/>
        </w:rPr>
        <w:t xml:space="preserve"> JR, Wolfe JT 3rd, </w:t>
      </w:r>
      <w:proofErr w:type="spellStart"/>
      <w:r>
        <w:rPr>
          <w:rFonts w:ascii="Times New Roman" w:eastAsia="Times New Roman" w:hAnsi="Times New Roman" w:cs="Times New Roman"/>
          <w:color w:val="000000"/>
          <w:kern w:val="0"/>
          <w:sz w:val="28"/>
          <w:szCs w:val="28"/>
          <w14:ligatures w14:val="none"/>
        </w:rPr>
        <w:t>Su</w:t>
      </w:r>
      <w:proofErr w:type="spellEnd"/>
      <w:r>
        <w:rPr>
          <w:rFonts w:ascii="Times New Roman" w:eastAsia="Times New Roman" w:hAnsi="Times New Roman" w:cs="Times New Roman"/>
          <w:color w:val="000000"/>
          <w:kern w:val="0"/>
          <w:sz w:val="28"/>
          <w:szCs w:val="28"/>
          <w14:ligatures w14:val="none"/>
        </w:rPr>
        <w:t xml:space="preserve"> WP (1985) Adnexal carcinomas of the skin. II. Extraocular sebaceous carcinomas. </w:t>
      </w:r>
    </w:p>
    <w:p w:rsidR="008E11A5" w:rsidRDefault="00342678">
      <w:pPr>
        <w:pStyle w:val="ListParagraph"/>
        <w:spacing w:before="12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Cancer 56:1163–1172</w:t>
      </w:r>
    </w:p>
    <w:p w:rsidR="008E11A5" w:rsidRDefault="00342678">
      <w:pPr>
        <w:pStyle w:val="ListParagraph"/>
        <w:numPr>
          <w:ilvl w:val="0"/>
          <w:numId w:val="8"/>
        </w:numPr>
        <w:spacing w:before="120" w:line="276" w:lineRule="auto"/>
        <w:jc w:val="both"/>
        <w:rPr>
          <w:rFonts w:ascii="Times New Roman" w:eastAsia="Times New Roman" w:hAnsi="Times New Roman" w:cs="Times New Roman"/>
          <w:color w:val="000000"/>
          <w:kern w:val="0"/>
          <w:sz w:val="28"/>
          <w:szCs w:val="28"/>
          <w14:ligatures w14:val="none"/>
        </w:rPr>
      </w:pPr>
      <w:proofErr w:type="spellStart"/>
      <w:r>
        <w:rPr>
          <w:rFonts w:ascii="Times New Roman" w:eastAsia="Times New Roman" w:hAnsi="Times New Roman" w:cs="Times New Roman"/>
          <w:color w:val="000000"/>
          <w:kern w:val="0"/>
          <w:sz w:val="28"/>
          <w:szCs w:val="28"/>
          <w14:ligatures w14:val="none"/>
        </w:rPr>
        <w:t>mHandschel</w:t>
      </w:r>
      <w:proofErr w:type="spellEnd"/>
      <w:r>
        <w:rPr>
          <w:rFonts w:ascii="Times New Roman" w:eastAsia="Times New Roman" w:hAnsi="Times New Roman" w:cs="Times New Roman"/>
          <w:color w:val="000000"/>
          <w:kern w:val="0"/>
          <w:sz w:val="28"/>
          <w:szCs w:val="28"/>
          <w14:ligatures w14:val="none"/>
        </w:rPr>
        <w:t xml:space="preserve"> J, Herbst H, Brand B, Meyer U, </w:t>
      </w:r>
      <w:proofErr w:type="spellStart"/>
      <w:r>
        <w:rPr>
          <w:rFonts w:ascii="Times New Roman" w:eastAsia="Times New Roman" w:hAnsi="Times New Roman" w:cs="Times New Roman"/>
          <w:color w:val="000000"/>
          <w:kern w:val="0"/>
          <w:sz w:val="28"/>
          <w:szCs w:val="28"/>
          <w14:ligatures w14:val="none"/>
        </w:rPr>
        <w:t>Pifko</w:t>
      </w:r>
      <w:proofErr w:type="spellEnd"/>
      <w:r>
        <w:rPr>
          <w:rFonts w:ascii="Times New Roman" w:eastAsia="Times New Roman" w:hAnsi="Times New Roman" w:cs="Times New Roman"/>
          <w:color w:val="000000"/>
          <w:kern w:val="0"/>
          <w:sz w:val="28"/>
          <w:szCs w:val="28"/>
          <w14:ligatures w14:val="none"/>
        </w:rPr>
        <w:t xml:space="preserve"> J. Intraoral sebaceous carcinoma. Br J Oral </w:t>
      </w:r>
      <w:proofErr w:type="spellStart"/>
      <w:r>
        <w:rPr>
          <w:rFonts w:ascii="Times New Roman" w:eastAsia="Times New Roman" w:hAnsi="Times New Roman" w:cs="Times New Roman"/>
          <w:color w:val="000000"/>
          <w:kern w:val="0"/>
          <w:sz w:val="28"/>
          <w:szCs w:val="28"/>
          <w14:ligatures w14:val="none"/>
        </w:rPr>
        <w:t>Maxillofac</w:t>
      </w:r>
      <w:proofErr w:type="spellEnd"/>
      <w:r>
        <w:rPr>
          <w:rFonts w:ascii="Times New Roman" w:eastAsia="Times New Roman" w:hAnsi="Times New Roman" w:cs="Times New Roman"/>
          <w:color w:val="000000"/>
          <w:kern w:val="0"/>
          <w:sz w:val="28"/>
          <w:szCs w:val="28"/>
          <w14:ligatures w14:val="none"/>
        </w:rPr>
        <w:t xml:space="preserve"> Surg. 2003;41(2):84–7</w:t>
      </w:r>
    </w:p>
    <w:p w:rsidR="008E11A5" w:rsidRDefault="00342678">
      <w:pPr>
        <w:pStyle w:val="ListParagraph"/>
        <w:numPr>
          <w:ilvl w:val="0"/>
          <w:numId w:val="8"/>
        </w:numPr>
        <w:spacing w:before="120" w:line="276" w:lineRule="auto"/>
        <w:jc w:val="both"/>
        <w:rPr>
          <w:rFonts w:ascii="Times New Roman" w:eastAsia="Times New Roman" w:hAnsi="Times New Roman" w:cs="Times New Roman"/>
          <w:color w:val="000000"/>
          <w:kern w:val="0"/>
          <w:sz w:val="28"/>
          <w:szCs w:val="28"/>
          <w14:ligatures w14:val="none"/>
        </w:rPr>
      </w:pPr>
      <w:r>
        <w:rPr>
          <w:rFonts w:ascii="Times New Roman" w:hAnsi="Times New Roman" w:cs="Times New Roman"/>
          <w:color w:val="222222"/>
          <w:sz w:val="28"/>
          <w:szCs w:val="28"/>
          <w:shd w:val="clear" w:color="auto" w:fill="FFFFFF"/>
        </w:rPr>
        <w:t>Alawi F, Siddiqui A. Sebaceous carcinoma of the oral mucosa: case report and review of the literature. Oral Surgery, Oral Medicine, Oral Pathology, Oral Radiology, and Endodontology. 2005 Jan 1;99(1):79-84.</w:t>
      </w:r>
    </w:p>
    <w:p w:rsidR="008E11A5" w:rsidRDefault="00342678">
      <w:pPr>
        <w:pStyle w:val="ListParagraph"/>
        <w:numPr>
          <w:ilvl w:val="0"/>
          <w:numId w:val="8"/>
        </w:numPr>
        <w:spacing w:before="120" w:line="276"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Neville BW, </w:t>
      </w:r>
      <w:proofErr w:type="spellStart"/>
      <w:r>
        <w:rPr>
          <w:rFonts w:ascii="Times New Roman" w:eastAsia="Times New Roman" w:hAnsi="Times New Roman" w:cs="Times New Roman"/>
          <w:color w:val="000000"/>
          <w:kern w:val="0"/>
          <w:sz w:val="28"/>
          <w:szCs w:val="28"/>
          <w14:ligatures w14:val="none"/>
        </w:rPr>
        <w:t>Damm</w:t>
      </w:r>
      <w:proofErr w:type="spellEnd"/>
      <w:r>
        <w:rPr>
          <w:rFonts w:ascii="Times New Roman" w:eastAsia="Times New Roman" w:hAnsi="Times New Roman" w:cs="Times New Roman"/>
          <w:color w:val="000000"/>
          <w:kern w:val="0"/>
          <w:sz w:val="28"/>
          <w:szCs w:val="28"/>
          <w14:ligatures w14:val="none"/>
        </w:rPr>
        <w:t xml:space="preserve"> DD, Allen CM, </w:t>
      </w:r>
      <w:proofErr w:type="spellStart"/>
      <w:r>
        <w:rPr>
          <w:rFonts w:ascii="Times New Roman" w:eastAsia="Times New Roman" w:hAnsi="Times New Roman" w:cs="Times New Roman"/>
          <w:color w:val="000000"/>
          <w:kern w:val="0"/>
          <w:sz w:val="28"/>
          <w:szCs w:val="28"/>
          <w14:ligatures w14:val="none"/>
        </w:rPr>
        <w:t>Bouquot</w:t>
      </w:r>
      <w:proofErr w:type="spellEnd"/>
      <w:r>
        <w:rPr>
          <w:rFonts w:ascii="Times New Roman" w:eastAsia="Times New Roman" w:hAnsi="Times New Roman" w:cs="Times New Roman"/>
          <w:color w:val="000000"/>
          <w:kern w:val="0"/>
          <w:sz w:val="28"/>
          <w:szCs w:val="28"/>
          <w14:ligatures w14:val="none"/>
        </w:rPr>
        <w:t xml:space="preserve"> JE. Oral and maxillofacial pathology. 2nd ed. Philadelphia: Saunders; 2002. p. 6-7.</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color w:val="231F20"/>
          <w:kern w:val="0"/>
          <w:sz w:val="28"/>
          <w:szCs w:val="28"/>
          <w14:ligatures w14:val="none"/>
        </w:rPr>
        <w:t xml:space="preserve">Daley TD. Intraoral sebaceous hyperplasia. Diagnostic criteria. Oral Surg Oral Med Oral </w:t>
      </w:r>
      <w:proofErr w:type="spellStart"/>
      <w:r>
        <w:rPr>
          <w:rFonts w:ascii="Times New Roman" w:eastAsia="Times New Roman" w:hAnsi="Times New Roman" w:cs="Times New Roman"/>
          <w:color w:val="231F20"/>
          <w:kern w:val="0"/>
          <w:sz w:val="28"/>
          <w:szCs w:val="28"/>
          <w14:ligatures w14:val="none"/>
        </w:rPr>
        <w:t>Pathol</w:t>
      </w:r>
      <w:proofErr w:type="spellEnd"/>
      <w:r>
        <w:rPr>
          <w:rFonts w:ascii="Times New Roman" w:eastAsia="Times New Roman" w:hAnsi="Times New Roman" w:cs="Times New Roman"/>
          <w:color w:val="231F20"/>
          <w:kern w:val="0"/>
          <w:sz w:val="28"/>
          <w:szCs w:val="28"/>
          <w14:ligatures w14:val="none"/>
        </w:rPr>
        <w:t xml:space="preserve"> Oral </w:t>
      </w:r>
      <w:proofErr w:type="spellStart"/>
      <w:r>
        <w:rPr>
          <w:rFonts w:ascii="Times New Roman" w:eastAsia="Times New Roman" w:hAnsi="Times New Roman" w:cs="Times New Roman"/>
          <w:color w:val="231F20"/>
          <w:kern w:val="0"/>
          <w:sz w:val="28"/>
          <w:szCs w:val="28"/>
          <w14:ligatures w14:val="none"/>
        </w:rPr>
        <w:t>Radiol</w:t>
      </w:r>
      <w:proofErr w:type="spellEnd"/>
      <w:r>
        <w:rPr>
          <w:rFonts w:ascii="Times New Roman" w:eastAsia="Times New Roman" w:hAnsi="Times New Roman" w:cs="Times New Roman"/>
          <w:color w:val="231F20"/>
          <w:kern w:val="0"/>
          <w:sz w:val="28"/>
          <w:szCs w:val="28"/>
          <w14:ligatures w14:val="none"/>
        </w:rPr>
        <w:t xml:space="preserve"> </w:t>
      </w:r>
      <w:proofErr w:type="spellStart"/>
      <w:r>
        <w:rPr>
          <w:rFonts w:ascii="Times New Roman" w:eastAsia="Times New Roman" w:hAnsi="Times New Roman" w:cs="Times New Roman"/>
          <w:color w:val="231F20"/>
          <w:kern w:val="0"/>
          <w:sz w:val="28"/>
          <w:szCs w:val="28"/>
          <w14:ligatures w14:val="none"/>
        </w:rPr>
        <w:t>Endod</w:t>
      </w:r>
      <w:proofErr w:type="spellEnd"/>
      <w:r>
        <w:rPr>
          <w:rFonts w:ascii="Times New Roman" w:eastAsia="Times New Roman" w:hAnsi="Times New Roman" w:cs="Times New Roman"/>
          <w:color w:val="231F20"/>
          <w:kern w:val="0"/>
          <w:sz w:val="28"/>
          <w:szCs w:val="28"/>
          <w14:ligatures w14:val="none"/>
        </w:rPr>
        <w:t xml:space="preserve"> 1992; 74:343-7.</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Wetzel S, Pacelli P, Reich R, Freedman P. Sebaceous carcinoma of the maxillary gingival: First reported case involving the gingiva. Oral Surgery, Oral Medicine, Oral Pathology and Oral Radiology. 2015 Jul 1;120(1</w:t>
      </w:r>
      <w:proofErr w:type="gramStart"/>
      <w:r>
        <w:rPr>
          <w:rFonts w:ascii="Times New Roman" w:hAnsi="Times New Roman" w:cs="Times New Roman"/>
          <w:color w:val="222222"/>
          <w:sz w:val="28"/>
          <w:szCs w:val="28"/>
          <w:shd w:val="clear" w:color="auto" w:fill="FFFFFF"/>
        </w:rPr>
        <w:t>):e</w:t>
      </w:r>
      <w:proofErr w:type="gramEnd"/>
      <w:r>
        <w:rPr>
          <w:rFonts w:ascii="Times New Roman" w:hAnsi="Times New Roman" w:cs="Times New Roman"/>
          <w:color w:val="222222"/>
          <w:sz w:val="28"/>
          <w:szCs w:val="28"/>
          <w:shd w:val="clear" w:color="auto" w:fill="FFFFFF"/>
        </w:rPr>
        <w:t>1-3.</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proofErr w:type="spellStart"/>
      <w:r>
        <w:rPr>
          <w:rFonts w:ascii="Times New Roman" w:hAnsi="Times New Roman" w:cs="Times New Roman"/>
          <w:color w:val="222222"/>
          <w:sz w:val="28"/>
          <w:szCs w:val="28"/>
          <w:shd w:val="clear" w:color="auto" w:fill="FFFFFF"/>
        </w:rPr>
        <w:t>Jawanda</w:t>
      </w:r>
      <w:proofErr w:type="spellEnd"/>
      <w:r>
        <w:rPr>
          <w:rFonts w:ascii="Times New Roman" w:hAnsi="Times New Roman" w:cs="Times New Roman"/>
          <w:color w:val="222222"/>
          <w:sz w:val="28"/>
          <w:szCs w:val="28"/>
          <w:shd w:val="clear" w:color="auto" w:fill="FFFFFF"/>
        </w:rPr>
        <w:t xml:space="preserve"> MK, Subramanyam RV, Grewal H, </w:t>
      </w:r>
      <w:proofErr w:type="spellStart"/>
      <w:r>
        <w:rPr>
          <w:rFonts w:ascii="Times New Roman" w:hAnsi="Times New Roman" w:cs="Times New Roman"/>
          <w:color w:val="222222"/>
          <w:sz w:val="28"/>
          <w:szCs w:val="28"/>
          <w:shd w:val="clear" w:color="auto" w:fill="FFFFFF"/>
        </w:rPr>
        <w:t>Anandani</w:t>
      </w:r>
      <w:proofErr w:type="spellEnd"/>
      <w:r>
        <w:rPr>
          <w:rFonts w:ascii="Times New Roman" w:hAnsi="Times New Roman" w:cs="Times New Roman"/>
          <w:color w:val="222222"/>
          <w:sz w:val="28"/>
          <w:szCs w:val="28"/>
          <w:shd w:val="clear" w:color="auto" w:fill="FFFFFF"/>
        </w:rPr>
        <w:t xml:space="preserve"> C, Narula R. Intraoral sebaceous carcinoma: case report of a rare tumor emphasizing the histopathological differential diagnosis. Case Reports in Dentistry. 2018;2018(1):3054931.</w:t>
      </w:r>
    </w:p>
    <w:p w:rsidR="008E11A5" w:rsidRDefault="00342678">
      <w:pPr>
        <w:pStyle w:val="ListParagraph"/>
        <w:numPr>
          <w:ilvl w:val="0"/>
          <w:numId w:val="8"/>
        </w:numPr>
        <w:spacing w:before="120" w:line="276" w:lineRule="auto"/>
        <w:jc w:val="both"/>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 xml:space="preserve">Di </w:t>
      </w:r>
      <w:proofErr w:type="spellStart"/>
      <w:r>
        <w:rPr>
          <w:rFonts w:ascii="Times New Roman" w:hAnsi="Times New Roman" w:cs="Times New Roman"/>
          <w:color w:val="222222"/>
          <w:sz w:val="28"/>
          <w:szCs w:val="28"/>
          <w:shd w:val="clear" w:color="auto" w:fill="FFFFFF"/>
        </w:rPr>
        <w:t>Cosola</w:t>
      </w:r>
      <w:proofErr w:type="spellEnd"/>
      <w:r>
        <w:rPr>
          <w:rFonts w:ascii="Times New Roman" w:hAnsi="Times New Roman" w:cs="Times New Roman"/>
          <w:color w:val="222222"/>
          <w:sz w:val="28"/>
          <w:szCs w:val="28"/>
          <w:shd w:val="clear" w:color="auto" w:fill="FFFFFF"/>
        </w:rPr>
        <w:t xml:space="preserve"> M, </w:t>
      </w:r>
      <w:proofErr w:type="spellStart"/>
      <w:r>
        <w:rPr>
          <w:rFonts w:ascii="Times New Roman" w:hAnsi="Times New Roman" w:cs="Times New Roman"/>
          <w:color w:val="222222"/>
          <w:sz w:val="28"/>
          <w:szCs w:val="28"/>
          <w:shd w:val="clear" w:color="auto" w:fill="FFFFFF"/>
        </w:rPr>
        <w:t>Spirito</w:t>
      </w:r>
      <w:proofErr w:type="spellEnd"/>
      <w:r>
        <w:rPr>
          <w:rFonts w:ascii="Times New Roman" w:hAnsi="Times New Roman" w:cs="Times New Roman"/>
          <w:color w:val="222222"/>
          <w:sz w:val="28"/>
          <w:szCs w:val="28"/>
          <w:shd w:val="clear" w:color="auto" w:fill="FFFFFF"/>
        </w:rPr>
        <w:t xml:space="preserve"> F, </w:t>
      </w:r>
      <w:proofErr w:type="spellStart"/>
      <w:r>
        <w:rPr>
          <w:rFonts w:ascii="Times New Roman" w:hAnsi="Times New Roman" w:cs="Times New Roman"/>
          <w:color w:val="222222"/>
          <w:sz w:val="28"/>
          <w:szCs w:val="28"/>
          <w:shd w:val="clear" w:color="auto" w:fill="FFFFFF"/>
        </w:rPr>
        <w:t>Ambrosino</w:t>
      </w:r>
      <w:proofErr w:type="spellEnd"/>
      <w:r>
        <w:rPr>
          <w:rFonts w:ascii="Times New Roman" w:hAnsi="Times New Roman" w:cs="Times New Roman"/>
          <w:color w:val="222222"/>
          <w:sz w:val="28"/>
          <w:szCs w:val="28"/>
          <w:shd w:val="clear" w:color="auto" w:fill="FFFFFF"/>
        </w:rPr>
        <w:t xml:space="preserve"> M, </w:t>
      </w:r>
      <w:proofErr w:type="spellStart"/>
      <w:r>
        <w:rPr>
          <w:rFonts w:ascii="Times New Roman" w:hAnsi="Times New Roman" w:cs="Times New Roman"/>
          <w:color w:val="222222"/>
          <w:sz w:val="28"/>
          <w:szCs w:val="28"/>
          <w:shd w:val="clear" w:color="auto" w:fill="FFFFFF"/>
        </w:rPr>
        <w:t>Somma</w:t>
      </w:r>
      <w:proofErr w:type="spellEnd"/>
      <w:r>
        <w:rPr>
          <w:rFonts w:ascii="Times New Roman" w:hAnsi="Times New Roman" w:cs="Times New Roman"/>
          <w:color w:val="222222"/>
          <w:sz w:val="28"/>
          <w:szCs w:val="28"/>
          <w:shd w:val="clear" w:color="auto" w:fill="FFFFFF"/>
        </w:rPr>
        <w:t xml:space="preserve"> P, </w:t>
      </w:r>
      <w:proofErr w:type="spellStart"/>
      <w:r>
        <w:rPr>
          <w:rFonts w:ascii="Times New Roman" w:hAnsi="Times New Roman" w:cs="Times New Roman"/>
          <w:color w:val="222222"/>
          <w:sz w:val="28"/>
          <w:szCs w:val="28"/>
          <w:shd w:val="clear" w:color="auto" w:fill="FFFFFF"/>
        </w:rPr>
        <w:t>Santarelli</w:t>
      </w:r>
      <w:proofErr w:type="spellEnd"/>
      <w:r>
        <w:rPr>
          <w:rFonts w:ascii="Times New Roman" w:hAnsi="Times New Roman" w:cs="Times New Roman"/>
          <w:color w:val="222222"/>
          <w:sz w:val="28"/>
          <w:szCs w:val="28"/>
          <w:shd w:val="clear" w:color="auto" w:fill="FFFFFF"/>
        </w:rPr>
        <w:t xml:space="preserve"> A, </w:t>
      </w:r>
      <w:proofErr w:type="spellStart"/>
      <w:r>
        <w:rPr>
          <w:rFonts w:ascii="Times New Roman" w:hAnsi="Times New Roman" w:cs="Times New Roman"/>
          <w:color w:val="222222"/>
          <w:sz w:val="28"/>
          <w:szCs w:val="28"/>
          <w:shd w:val="clear" w:color="auto" w:fill="FFFFFF"/>
        </w:rPr>
        <w:t>Staibano</w:t>
      </w:r>
      <w:proofErr w:type="spellEnd"/>
      <w:r>
        <w:rPr>
          <w:rFonts w:ascii="Times New Roman" w:hAnsi="Times New Roman" w:cs="Times New Roman"/>
          <w:color w:val="222222"/>
          <w:sz w:val="28"/>
          <w:szCs w:val="28"/>
          <w:shd w:val="clear" w:color="auto" w:fill="FFFFFF"/>
        </w:rPr>
        <w:t xml:space="preserve"> S, Lo </w:t>
      </w:r>
      <w:proofErr w:type="spellStart"/>
      <w:r>
        <w:rPr>
          <w:rFonts w:ascii="Times New Roman" w:hAnsi="Times New Roman" w:cs="Times New Roman"/>
          <w:color w:val="222222"/>
          <w:sz w:val="28"/>
          <w:szCs w:val="28"/>
          <w:shd w:val="clear" w:color="auto" w:fill="FFFFFF"/>
        </w:rPr>
        <w:t>Muzio</w:t>
      </w:r>
      <w:proofErr w:type="spellEnd"/>
      <w:r>
        <w:rPr>
          <w:rFonts w:ascii="Times New Roman" w:hAnsi="Times New Roman" w:cs="Times New Roman"/>
          <w:color w:val="222222"/>
          <w:sz w:val="28"/>
          <w:szCs w:val="28"/>
          <w:shd w:val="clear" w:color="auto" w:fill="FFFFFF"/>
        </w:rPr>
        <w:t xml:space="preserve"> L. Sebaceous carcinoma of the lip: a case report and review of the literature. Journal of Medical Case Reports. 2022 Jun 18;16(1):241.</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hAnsi="Times New Roman" w:cs="Times New Roman"/>
          <w:color w:val="222222"/>
          <w:sz w:val="28"/>
          <w:szCs w:val="28"/>
          <w:shd w:val="clear" w:color="auto" w:fill="FFFFFF"/>
        </w:rPr>
        <w:t xml:space="preserve">Oshiro H, Iwai T, </w:t>
      </w:r>
      <w:proofErr w:type="spellStart"/>
      <w:r>
        <w:rPr>
          <w:rFonts w:ascii="Times New Roman" w:hAnsi="Times New Roman" w:cs="Times New Roman"/>
          <w:color w:val="222222"/>
          <w:sz w:val="28"/>
          <w:szCs w:val="28"/>
          <w:shd w:val="clear" w:color="auto" w:fill="FFFFFF"/>
        </w:rPr>
        <w:t>Hirota</w:t>
      </w:r>
      <w:proofErr w:type="spellEnd"/>
      <w:r>
        <w:rPr>
          <w:rFonts w:ascii="Times New Roman" w:hAnsi="Times New Roman" w:cs="Times New Roman"/>
          <w:color w:val="222222"/>
          <w:sz w:val="28"/>
          <w:szCs w:val="28"/>
          <w:shd w:val="clear" w:color="auto" w:fill="FFFFFF"/>
        </w:rPr>
        <w:t xml:space="preserve"> M, </w:t>
      </w:r>
      <w:proofErr w:type="spellStart"/>
      <w:r>
        <w:rPr>
          <w:rFonts w:ascii="Times New Roman" w:hAnsi="Times New Roman" w:cs="Times New Roman"/>
          <w:color w:val="222222"/>
          <w:sz w:val="28"/>
          <w:szCs w:val="28"/>
          <w:shd w:val="clear" w:color="auto" w:fill="FFFFFF"/>
        </w:rPr>
        <w:t>Mitsudo</w:t>
      </w:r>
      <w:proofErr w:type="spellEnd"/>
      <w:r>
        <w:rPr>
          <w:rFonts w:ascii="Times New Roman" w:hAnsi="Times New Roman" w:cs="Times New Roman"/>
          <w:color w:val="222222"/>
          <w:sz w:val="28"/>
          <w:szCs w:val="28"/>
          <w:shd w:val="clear" w:color="auto" w:fill="FFFFFF"/>
        </w:rPr>
        <w:t xml:space="preserve"> K, </w:t>
      </w:r>
      <w:proofErr w:type="spellStart"/>
      <w:r>
        <w:rPr>
          <w:rFonts w:ascii="Times New Roman" w:hAnsi="Times New Roman" w:cs="Times New Roman"/>
          <w:color w:val="222222"/>
          <w:sz w:val="28"/>
          <w:szCs w:val="28"/>
          <w:shd w:val="clear" w:color="auto" w:fill="FFFFFF"/>
        </w:rPr>
        <w:t>Tohnai</w:t>
      </w:r>
      <w:proofErr w:type="spellEnd"/>
      <w:r>
        <w:rPr>
          <w:rFonts w:ascii="Times New Roman" w:hAnsi="Times New Roman" w:cs="Times New Roman"/>
          <w:color w:val="222222"/>
          <w:sz w:val="28"/>
          <w:szCs w:val="28"/>
          <w:shd w:val="clear" w:color="auto" w:fill="FFFFFF"/>
        </w:rPr>
        <w:t xml:space="preserve"> I, </w:t>
      </w:r>
      <w:proofErr w:type="spellStart"/>
      <w:r>
        <w:rPr>
          <w:rFonts w:ascii="Times New Roman" w:hAnsi="Times New Roman" w:cs="Times New Roman"/>
          <w:color w:val="222222"/>
          <w:sz w:val="28"/>
          <w:szCs w:val="28"/>
          <w:shd w:val="clear" w:color="auto" w:fill="FFFFFF"/>
        </w:rPr>
        <w:t>Minamimoto</w:t>
      </w:r>
      <w:proofErr w:type="spellEnd"/>
      <w:r>
        <w:rPr>
          <w:rFonts w:ascii="Times New Roman" w:hAnsi="Times New Roman" w:cs="Times New Roman"/>
          <w:color w:val="222222"/>
          <w:sz w:val="28"/>
          <w:szCs w:val="28"/>
          <w:shd w:val="clear" w:color="auto" w:fill="FFFFFF"/>
        </w:rPr>
        <w:t xml:space="preserve"> R, </w:t>
      </w:r>
      <w:proofErr w:type="spellStart"/>
      <w:r>
        <w:rPr>
          <w:rFonts w:ascii="Times New Roman" w:hAnsi="Times New Roman" w:cs="Times New Roman"/>
          <w:color w:val="222222"/>
          <w:sz w:val="28"/>
          <w:szCs w:val="28"/>
          <w:shd w:val="clear" w:color="auto" w:fill="FFFFFF"/>
        </w:rPr>
        <w:t>Omura-Minamisawa</w:t>
      </w:r>
      <w:proofErr w:type="spellEnd"/>
      <w:r>
        <w:rPr>
          <w:rFonts w:ascii="Times New Roman" w:hAnsi="Times New Roman" w:cs="Times New Roman"/>
          <w:color w:val="222222"/>
          <w:sz w:val="28"/>
          <w:szCs w:val="28"/>
          <w:shd w:val="clear" w:color="auto" w:fill="FFFFFF"/>
        </w:rPr>
        <w:t xml:space="preserve"> M, Nagashima Y, Yamanaka S, Fukui T, Kanazawa M. Primary sebaceous carcinoma of the tongue. Medical molecular morphology. 2010 </w:t>
      </w:r>
      <w:proofErr w:type="gramStart"/>
      <w:r>
        <w:rPr>
          <w:rFonts w:ascii="Times New Roman" w:hAnsi="Times New Roman" w:cs="Times New Roman"/>
          <w:color w:val="222222"/>
          <w:sz w:val="28"/>
          <w:szCs w:val="28"/>
          <w:shd w:val="clear" w:color="auto" w:fill="FFFFFF"/>
        </w:rPr>
        <w:t>Dec;43:246</w:t>
      </w:r>
      <w:proofErr w:type="gramEnd"/>
      <w:r>
        <w:rPr>
          <w:rFonts w:ascii="Times New Roman" w:hAnsi="Times New Roman" w:cs="Times New Roman"/>
          <w:color w:val="222222"/>
          <w:sz w:val="28"/>
          <w:szCs w:val="28"/>
          <w:shd w:val="clear" w:color="auto" w:fill="FFFFFF"/>
        </w:rPr>
        <w:t>-52.</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hAnsi="Times New Roman" w:cs="Times New Roman"/>
          <w:color w:val="222222"/>
          <w:sz w:val="28"/>
          <w:szCs w:val="28"/>
          <w:shd w:val="clear" w:color="auto" w:fill="FFFFFF"/>
        </w:rPr>
        <w:t xml:space="preserve">Rowe ME, </w:t>
      </w:r>
      <w:proofErr w:type="spellStart"/>
      <w:r>
        <w:rPr>
          <w:rFonts w:ascii="Times New Roman" w:hAnsi="Times New Roman" w:cs="Times New Roman"/>
          <w:color w:val="222222"/>
          <w:sz w:val="28"/>
          <w:szCs w:val="28"/>
          <w:shd w:val="clear" w:color="auto" w:fill="FFFFFF"/>
        </w:rPr>
        <w:t>Khorsandi</w:t>
      </w:r>
      <w:proofErr w:type="spellEnd"/>
      <w:r>
        <w:rPr>
          <w:rFonts w:ascii="Times New Roman" w:hAnsi="Times New Roman" w:cs="Times New Roman"/>
          <w:color w:val="222222"/>
          <w:sz w:val="28"/>
          <w:szCs w:val="28"/>
          <w:shd w:val="clear" w:color="auto" w:fill="FFFFFF"/>
        </w:rPr>
        <w:t xml:space="preserve"> AS, </w:t>
      </w:r>
      <w:proofErr w:type="spellStart"/>
      <w:r>
        <w:rPr>
          <w:rFonts w:ascii="Times New Roman" w:hAnsi="Times New Roman" w:cs="Times New Roman"/>
          <w:color w:val="222222"/>
          <w:sz w:val="28"/>
          <w:szCs w:val="28"/>
          <w:shd w:val="clear" w:color="auto" w:fill="FFFFFF"/>
        </w:rPr>
        <w:t>Urken</w:t>
      </w:r>
      <w:proofErr w:type="spellEnd"/>
      <w:r>
        <w:rPr>
          <w:rFonts w:ascii="Times New Roman" w:hAnsi="Times New Roman" w:cs="Times New Roman"/>
          <w:color w:val="222222"/>
          <w:sz w:val="28"/>
          <w:szCs w:val="28"/>
          <w:shd w:val="clear" w:color="auto" w:fill="FFFFFF"/>
        </w:rPr>
        <w:t xml:space="preserve"> GR, </w:t>
      </w:r>
      <w:proofErr w:type="spellStart"/>
      <w:r>
        <w:rPr>
          <w:rFonts w:ascii="Times New Roman" w:hAnsi="Times New Roman" w:cs="Times New Roman"/>
          <w:color w:val="222222"/>
          <w:sz w:val="28"/>
          <w:szCs w:val="28"/>
          <w:shd w:val="clear" w:color="auto" w:fill="FFFFFF"/>
        </w:rPr>
        <w:t>Wenig</w:t>
      </w:r>
      <w:proofErr w:type="spellEnd"/>
      <w:r>
        <w:rPr>
          <w:rFonts w:ascii="Times New Roman" w:hAnsi="Times New Roman" w:cs="Times New Roman"/>
          <w:color w:val="222222"/>
          <w:sz w:val="28"/>
          <w:szCs w:val="28"/>
          <w:shd w:val="clear" w:color="auto" w:fill="FFFFFF"/>
        </w:rPr>
        <w:t xml:space="preserve"> BM. Intraoral sebaceous carcinoma metastatic to the lung and subcutis: case report and discussion of the literature. Head &amp; Neck. 2016 Jan;38(1</w:t>
      </w:r>
      <w:proofErr w:type="gramStart"/>
      <w:r>
        <w:rPr>
          <w:rFonts w:ascii="Times New Roman" w:hAnsi="Times New Roman" w:cs="Times New Roman"/>
          <w:color w:val="222222"/>
          <w:sz w:val="28"/>
          <w:szCs w:val="28"/>
          <w:shd w:val="clear" w:color="auto" w:fill="FFFFFF"/>
        </w:rPr>
        <w:t>):E</w:t>
      </w:r>
      <w:proofErr w:type="gramEnd"/>
      <w:r>
        <w:rPr>
          <w:rFonts w:ascii="Times New Roman" w:hAnsi="Times New Roman" w:cs="Times New Roman"/>
          <w:color w:val="222222"/>
          <w:sz w:val="28"/>
          <w:szCs w:val="28"/>
          <w:shd w:val="clear" w:color="auto" w:fill="FFFFFF"/>
        </w:rPr>
        <w:t>20-4.</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hAnsi="Times New Roman" w:cs="Times New Roman"/>
          <w:color w:val="222222"/>
          <w:sz w:val="28"/>
          <w:szCs w:val="28"/>
          <w:shd w:val="clear" w:color="auto" w:fill="FFFFFF"/>
        </w:rPr>
        <w:t xml:space="preserve">Gomes CC, </w:t>
      </w:r>
      <w:proofErr w:type="spellStart"/>
      <w:r>
        <w:rPr>
          <w:rFonts w:ascii="Times New Roman" w:hAnsi="Times New Roman" w:cs="Times New Roman"/>
          <w:color w:val="222222"/>
          <w:sz w:val="28"/>
          <w:szCs w:val="28"/>
          <w:shd w:val="clear" w:color="auto" w:fill="FFFFFF"/>
        </w:rPr>
        <w:t>Lacerda</w:t>
      </w:r>
      <w:proofErr w:type="spellEnd"/>
      <w:r>
        <w:rPr>
          <w:rFonts w:ascii="Times New Roman" w:hAnsi="Times New Roman" w:cs="Times New Roman"/>
          <w:color w:val="222222"/>
          <w:sz w:val="28"/>
          <w:szCs w:val="28"/>
          <w:shd w:val="clear" w:color="auto" w:fill="FFFFFF"/>
        </w:rPr>
        <w:t xml:space="preserve"> JC, </w:t>
      </w:r>
      <w:proofErr w:type="spellStart"/>
      <w:r>
        <w:rPr>
          <w:rFonts w:ascii="Times New Roman" w:hAnsi="Times New Roman" w:cs="Times New Roman"/>
          <w:color w:val="222222"/>
          <w:sz w:val="28"/>
          <w:szCs w:val="28"/>
          <w:shd w:val="clear" w:color="auto" w:fill="FFFFFF"/>
        </w:rPr>
        <w:t>Pimenta</w:t>
      </w:r>
      <w:proofErr w:type="spellEnd"/>
      <w:r>
        <w:rPr>
          <w:rFonts w:ascii="Times New Roman" w:hAnsi="Times New Roman" w:cs="Times New Roman"/>
          <w:color w:val="222222"/>
          <w:sz w:val="28"/>
          <w:szCs w:val="28"/>
          <w:shd w:val="clear" w:color="auto" w:fill="FFFFFF"/>
        </w:rPr>
        <w:t xml:space="preserve"> FJ, do </w:t>
      </w:r>
      <w:proofErr w:type="spellStart"/>
      <w:r>
        <w:rPr>
          <w:rFonts w:ascii="Times New Roman" w:hAnsi="Times New Roman" w:cs="Times New Roman"/>
          <w:color w:val="222222"/>
          <w:sz w:val="28"/>
          <w:szCs w:val="28"/>
          <w:shd w:val="clear" w:color="auto" w:fill="FFFFFF"/>
        </w:rPr>
        <w:t>Carmo</w:t>
      </w:r>
      <w:proofErr w:type="spellEnd"/>
      <w:r>
        <w:rPr>
          <w:rFonts w:ascii="Times New Roman" w:hAnsi="Times New Roman" w:cs="Times New Roman"/>
          <w:color w:val="222222"/>
          <w:sz w:val="28"/>
          <w:szCs w:val="28"/>
          <w:shd w:val="clear" w:color="auto" w:fill="FFFFFF"/>
        </w:rPr>
        <w:t xml:space="preserve"> MA, Gomez RS. Intraoral sebaceous carcinoma. European archives of </w:t>
      </w:r>
      <w:proofErr w:type="spellStart"/>
      <w:r>
        <w:rPr>
          <w:rFonts w:ascii="Times New Roman" w:hAnsi="Times New Roman" w:cs="Times New Roman"/>
          <w:color w:val="222222"/>
          <w:sz w:val="28"/>
          <w:szCs w:val="28"/>
          <w:shd w:val="clear" w:color="auto" w:fill="FFFFFF"/>
        </w:rPr>
        <w:t>oto</w:t>
      </w:r>
      <w:proofErr w:type="spellEnd"/>
      <w:r>
        <w:rPr>
          <w:rFonts w:ascii="Times New Roman" w:hAnsi="Times New Roman" w:cs="Times New Roman"/>
          <w:color w:val="222222"/>
          <w:sz w:val="28"/>
          <w:szCs w:val="28"/>
          <w:shd w:val="clear" w:color="auto" w:fill="FFFFFF"/>
        </w:rPr>
        <w:t xml:space="preserve">-rhino-laryngology. 2007 </w:t>
      </w:r>
      <w:proofErr w:type="gramStart"/>
      <w:r>
        <w:rPr>
          <w:rFonts w:ascii="Times New Roman" w:hAnsi="Times New Roman" w:cs="Times New Roman"/>
          <w:color w:val="222222"/>
          <w:sz w:val="28"/>
          <w:szCs w:val="28"/>
          <w:shd w:val="clear" w:color="auto" w:fill="FFFFFF"/>
        </w:rPr>
        <w:t>Jul;264:829</w:t>
      </w:r>
      <w:proofErr w:type="gramEnd"/>
      <w:r>
        <w:rPr>
          <w:rFonts w:ascii="Times New Roman" w:hAnsi="Times New Roman" w:cs="Times New Roman"/>
          <w:color w:val="222222"/>
          <w:sz w:val="28"/>
          <w:szCs w:val="28"/>
          <w:shd w:val="clear" w:color="auto" w:fill="FFFFFF"/>
        </w:rPr>
        <w:t>-32.</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hAnsi="Times New Roman" w:cs="Times New Roman"/>
          <w:color w:val="222222"/>
          <w:sz w:val="28"/>
          <w:szCs w:val="28"/>
          <w:shd w:val="clear" w:color="auto" w:fill="FFFFFF"/>
        </w:rPr>
        <w:t xml:space="preserve">Greenall CJ, </w:t>
      </w:r>
      <w:proofErr w:type="spellStart"/>
      <w:r>
        <w:rPr>
          <w:rFonts w:ascii="Times New Roman" w:hAnsi="Times New Roman" w:cs="Times New Roman"/>
          <w:color w:val="222222"/>
          <w:sz w:val="28"/>
          <w:szCs w:val="28"/>
          <w:shd w:val="clear" w:color="auto" w:fill="FFFFFF"/>
        </w:rPr>
        <w:t>Drage</w:t>
      </w:r>
      <w:proofErr w:type="spellEnd"/>
      <w:r>
        <w:rPr>
          <w:rFonts w:ascii="Times New Roman" w:hAnsi="Times New Roman" w:cs="Times New Roman"/>
          <w:color w:val="222222"/>
          <w:sz w:val="28"/>
          <w:szCs w:val="28"/>
          <w:shd w:val="clear" w:color="auto" w:fill="FFFFFF"/>
        </w:rPr>
        <w:t xml:space="preserve"> NA. Sebaceous carcinoma of the lip: Comparing normal lip and cheek anatomy with the imaging features of a rare cutaneous malignancy. Ultrasound. 2015 May;23(2):126-9.</w:t>
      </w:r>
    </w:p>
    <w:p w:rsidR="008E11A5" w:rsidRDefault="00342678">
      <w:pPr>
        <w:pStyle w:val="ListParagraph"/>
        <w:numPr>
          <w:ilvl w:val="0"/>
          <w:numId w:val="8"/>
        </w:numPr>
        <w:spacing w:after="0" w:line="276" w:lineRule="auto"/>
        <w:jc w:val="both"/>
        <w:rPr>
          <w:rFonts w:ascii="Times New Roman" w:eastAsia="Times New Roman" w:hAnsi="Times New Roman" w:cs="Times New Roman"/>
          <w:kern w:val="0"/>
          <w:sz w:val="28"/>
          <w:szCs w:val="28"/>
          <w14:ligatures w14:val="none"/>
        </w:rPr>
      </w:pPr>
      <w:r>
        <w:rPr>
          <w:rFonts w:ascii="Times New Roman" w:hAnsi="Times New Roman" w:cs="Times New Roman"/>
          <w:color w:val="222222"/>
          <w:sz w:val="28"/>
          <w:szCs w:val="28"/>
          <w:shd w:val="clear" w:color="auto" w:fill="FFFFFF"/>
        </w:rPr>
        <w:lastRenderedPageBreak/>
        <w:t>Lu Q, Fu XY, Huang Y. Sebaceous carcinoma of the right palate: case report and literature review. Gland Surgery. 2021 May;10(5):1819.</w:t>
      </w:r>
    </w:p>
    <w:p w:rsidR="008E11A5" w:rsidRDefault="008E11A5">
      <w:pPr>
        <w:pStyle w:val="ListParagraph"/>
        <w:autoSpaceDE w:val="0"/>
        <w:autoSpaceDN w:val="0"/>
        <w:adjustRightInd w:val="0"/>
        <w:spacing w:after="0" w:line="276" w:lineRule="auto"/>
        <w:jc w:val="both"/>
        <w:rPr>
          <w:rFonts w:ascii="Times New Roman" w:hAnsi="Times New Roman" w:cs="Times New Roman"/>
          <w:color w:val="231F20"/>
          <w:kern w:val="0"/>
          <w:sz w:val="28"/>
          <w:szCs w:val="28"/>
        </w:rPr>
      </w:pPr>
    </w:p>
    <w:p w:rsidR="008E11A5" w:rsidRDefault="008E11A5">
      <w:pPr>
        <w:pStyle w:val="ListParagraph"/>
        <w:autoSpaceDE w:val="0"/>
        <w:autoSpaceDN w:val="0"/>
        <w:adjustRightInd w:val="0"/>
        <w:spacing w:after="0" w:line="276" w:lineRule="auto"/>
        <w:jc w:val="both"/>
        <w:rPr>
          <w:rFonts w:ascii="Times New Roman" w:hAnsi="Times New Roman" w:cs="Times New Roman"/>
          <w:color w:val="231F20"/>
          <w:kern w:val="0"/>
          <w:sz w:val="28"/>
          <w:szCs w:val="28"/>
        </w:rPr>
      </w:pPr>
    </w:p>
    <w:p w:rsidR="008E11A5" w:rsidRDefault="008E11A5">
      <w:pPr>
        <w:pStyle w:val="ListParagraph"/>
        <w:autoSpaceDE w:val="0"/>
        <w:autoSpaceDN w:val="0"/>
        <w:adjustRightInd w:val="0"/>
        <w:spacing w:after="0" w:line="276" w:lineRule="auto"/>
        <w:jc w:val="both"/>
        <w:rPr>
          <w:rFonts w:ascii="Times New Roman" w:hAnsi="Times New Roman" w:cs="Times New Roman"/>
          <w:color w:val="231F20"/>
          <w:kern w:val="0"/>
          <w:sz w:val="28"/>
          <w:szCs w:val="28"/>
        </w:rPr>
      </w:pPr>
    </w:p>
    <w:p w:rsidR="008E11A5" w:rsidRDefault="008E11A5">
      <w:pPr>
        <w:pStyle w:val="Default"/>
        <w:spacing w:line="276" w:lineRule="auto"/>
        <w:jc w:val="both"/>
        <w:rPr>
          <w:sz w:val="28"/>
          <w:szCs w:val="28"/>
        </w:rPr>
      </w:pPr>
    </w:p>
    <w:p w:rsidR="008E11A5" w:rsidRDefault="008E11A5">
      <w:pPr>
        <w:pStyle w:val="Default"/>
        <w:spacing w:line="276" w:lineRule="auto"/>
        <w:jc w:val="both"/>
        <w:rPr>
          <w:sz w:val="28"/>
          <w:szCs w:val="28"/>
        </w:rPr>
      </w:pPr>
    </w:p>
    <w:p w:rsidR="008E11A5" w:rsidRDefault="008E11A5">
      <w:pPr>
        <w:spacing w:line="276" w:lineRule="auto"/>
        <w:jc w:val="both"/>
        <w:rPr>
          <w:rFonts w:ascii="Times New Roman" w:hAnsi="Times New Roman"/>
          <w:color w:val="000000"/>
          <w:sz w:val="28"/>
          <w:szCs w:val="28"/>
        </w:rPr>
      </w:pPr>
    </w:p>
    <w:p w:rsidR="008E11A5" w:rsidRDefault="008E11A5">
      <w:pPr>
        <w:autoSpaceDE w:val="0"/>
        <w:autoSpaceDN w:val="0"/>
        <w:adjustRightInd w:val="0"/>
        <w:spacing w:after="0" w:line="276" w:lineRule="auto"/>
        <w:jc w:val="both"/>
        <w:rPr>
          <w:rFonts w:ascii="Times New Roman" w:hAnsi="Times New Roman"/>
          <w:color w:val="000000"/>
          <w:sz w:val="28"/>
          <w:szCs w:val="28"/>
        </w:rPr>
      </w:pPr>
    </w:p>
    <w:sectPr w:rsidR="008E11A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0C3" w:rsidRDefault="005020C3">
      <w:pPr>
        <w:spacing w:line="240" w:lineRule="auto"/>
      </w:pPr>
      <w:r>
        <w:separator/>
      </w:r>
    </w:p>
  </w:endnote>
  <w:endnote w:type="continuationSeparator" w:id="0">
    <w:p w:rsidR="005020C3" w:rsidRDefault="00502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ptima LT Std">
    <w:altName w:val="Segoe Print"/>
    <w:charset w:val="00"/>
    <w:family w:val="swiss"/>
    <w:pitch w:val="default"/>
    <w:sig w:usb0="00000000" w:usb1="00000000" w:usb2="00000000" w:usb3="00000000" w:csb0="00000001" w:csb1="00000000"/>
  </w:font>
  <w:font w:name="Minion Pro">
    <w:altName w:val="Segoe Print"/>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8E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8E1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8E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0C3" w:rsidRDefault="005020C3">
      <w:pPr>
        <w:spacing w:before="0" w:after="0"/>
      </w:pPr>
      <w:r>
        <w:separator/>
      </w:r>
    </w:p>
  </w:footnote>
  <w:footnote w:type="continuationSeparator" w:id="0">
    <w:p w:rsidR="005020C3" w:rsidRDefault="005020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5020C3">
    <w:pPr>
      <w:pStyle w:val="Header"/>
    </w:pPr>
    <w:r>
      <w:pict w14:anchorId="6B9F8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4"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5020C3">
    <w:pPr>
      <w:pStyle w:val="Header"/>
    </w:pPr>
    <w:r>
      <w:pict w14:anchorId="35C3A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5"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1A5" w:rsidRDefault="005020C3">
    <w:pPr>
      <w:pStyle w:val="Header"/>
    </w:pPr>
    <w:r>
      <w:pict w14:anchorId="71F1B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85953"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79AE"/>
    <w:multiLevelType w:val="multilevel"/>
    <w:tmpl w:val="060479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AC6A97"/>
    <w:multiLevelType w:val="multilevel"/>
    <w:tmpl w:val="08AC6A9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89C44FB"/>
    <w:multiLevelType w:val="multilevel"/>
    <w:tmpl w:val="189C44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8CB69CB"/>
    <w:multiLevelType w:val="multilevel"/>
    <w:tmpl w:val="18CB69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F8A1D8D"/>
    <w:multiLevelType w:val="multilevel"/>
    <w:tmpl w:val="1F8A1D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3D73A66"/>
    <w:multiLevelType w:val="multilevel"/>
    <w:tmpl w:val="23D73A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FF66109"/>
    <w:multiLevelType w:val="multilevel"/>
    <w:tmpl w:val="4FF66109"/>
    <w:lvl w:ilvl="0">
      <w:start w:val="1"/>
      <w:numFmt w:val="decimal"/>
      <w:lvlText w:val="%1."/>
      <w:lvlJc w:val="left"/>
      <w:pPr>
        <w:ind w:left="720" w:hanging="360"/>
      </w:pPr>
      <w:rPr>
        <w:rFonts w:ascii="Arial" w:hAnsi="Arial" w:cs="Arial" w:hint="default"/>
        <w:b w:val="0"/>
        <w:color w:val="222222"/>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E45198"/>
    <w:multiLevelType w:val="multilevel"/>
    <w:tmpl w:val="68E451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1NDc1MDAzMLcwsjBV0lEKTi0uzszPAykwrAUAk2aRYywAAAA="/>
  </w:docVars>
  <w:rsids>
    <w:rsidRoot w:val="00C02E72"/>
    <w:rsid w:val="00022DAD"/>
    <w:rsid w:val="000321B3"/>
    <w:rsid w:val="00037682"/>
    <w:rsid w:val="00040C8D"/>
    <w:rsid w:val="000654BA"/>
    <w:rsid w:val="0006599C"/>
    <w:rsid w:val="00077D91"/>
    <w:rsid w:val="0008144A"/>
    <w:rsid w:val="00081648"/>
    <w:rsid w:val="000A1783"/>
    <w:rsid w:val="000A5B46"/>
    <w:rsid w:val="000C0D88"/>
    <w:rsid w:val="000D64C1"/>
    <w:rsid w:val="000E4830"/>
    <w:rsid w:val="000E7BEE"/>
    <w:rsid w:val="000F6044"/>
    <w:rsid w:val="00113BDD"/>
    <w:rsid w:val="00126552"/>
    <w:rsid w:val="0012752B"/>
    <w:rsid w:val="0013168F"/>
    <w:rsid w:val="00135153"/>
    <w:rsid w:val="001409B1"/>
    <w:rsid w:val="0014274A"/>
    <w:rsid w:val="00143730"/>
    <w:rsid w:val="001451D0"/>
    <w:rsid w:val="001519A9"/>
    <w:rsid w:val="00156008"/>
    <w:rsid w:val="00156A65"/>
    <w:rsid w:val="00164D19"/>
    <w:rsid w:val="001664E1"/>
    <w:rsid w:val="0017025B"/>
    <w:rsid w:val="001754B4"/>
    <w:rsid w:val="001845A8"/>
    <w:rsid w:val="00193DFF"/>
    <w:rsid w:val="001A276C"/>
    <w:rsid w:val="001A3F0C"/>
    <w:rsid w:val="001C14DA"/>
    <w:rsid w:val="001C2C11"/>
    <w:rsid w:val="001D7EAB"/>
    <w:rsid w:val="001E1868"/>
    <w:rsid w:val="001E531B"/>
    <w:rsid w:val="001F5824"/>
    <w:rsid w:val="001F5EF9"/>
    <w:rsid w:val="002253C5"/>
    <w:rsid w:val="00227386"/>
    <w:rsid w:val="00227C80"/>
    <w:rsid w:val="00227EA1"/>
    <w:rsid w:val="002374B4"/>
    <w:rsid w:val="002442F3"/>
    <w:rsid w:val="00272BEC"/>
    <w:rsid w:val="0027587F"/>
    <w:rsid w:val="00277A10"/>
    <w:rsid w:val="002846AB"/>
    <w:rsid w:val="00293647"/>
    <w:rsid w:val="002B3AAD"/>
    <w:rsid w:val="002B7A57"/>
    <w:rsid w:val="002E0782"/>
    <w:rsid w:val="002E11EA"/>
    <w:rsid w:val="00305483"/>
    <w:rsid w:val="0031362E"/>
    <w:rsid w:val="00316C8D"/>
    <w:rsid w:val="00325279"/>
    <w:rsid w:val="00340324"/>
    <w:rsid w:val="00342678"/>
    <w:rsid w:val="00343E9C"/>
    <w:rsid w:val="00354917"/>
    <w:rsid w:val="00364A13"/>
    <w:rsid w:val="00366E82"/>
    <w:rsid w:val="003728F4"/>
    <w:rsid w:val="00374E66"/>
    <w:rsid w:val="003771B3"/>
    <w:rsid w:val="003809E2"/>
    <w:rsid w:val="00391CC4"/>
    <w:rsid w:val="00392EDC"/>
    <w:rsid w:val="003955F8"/>
    <w:rsid w:val="003A4514"/>
    <w:rsid w:val="003B7CE4"/>
    <w:rsid w:val="003C7C9E"/>
    <w:rsid w:val="003D25CC"/>
    <w:rsid w:val="003E2E09"/>
    <w:rsid w:val="00402430"/>
    <w:rsid w:val="00404668"/>
    <w:rsid w:val="00415BF4"/>
    <w:rsid w:val="004209AB"/>
    <w:rsid w:val="00421A24"/>
    <w:rsid w:val="004243AE"/>
    <w:rsid w:val="004266B4"/>
    <w:rsid w:val="00430297"/>
    <w:rsid w:val="00430A93"/>
    <w:rsid w:val="00432D04"/>
    <w:rsid w:val="00443834"/>
    <w:rsid w:val="004847CD"/>
    <w:rsid w:val="00494960"/>
    <w:rsid w:val="004958F2"/>
    <w:rsid w:val="004A31F5"/>
    <w:rsid w:val="004A7325"/>
    <w:rsid w:val="004B5F32"/>
    <w:rsid w:val="004D42A0"/>
    <w:rsid w:val="004E5EA0"/>
    <w:rsid w:val="004F101B"/>
    <w:rsid w:val="005020C3"/>
    <w:rsid w:val="005218D0"/>
    <w:rsid w:val="00524E25"/>
    <w:rsid w:val="00527F43"/>
    <w:rsid w:val="005325ED"/>
    <w:rsid w:val="0053775A"/>
    <w:rsid w:val="00546DC2"/>
    <w:rsid w:val="00550BEA"/>
    <w:rsid w:val="00555250"/>
    <w:rsid w:val="00560032"/>
    <w:rsid w:val="005603C5"/>
    <w:rsid w:val="0056575A"/>
    <w:rsid w:val="00566713"/>
    <w:rsid w:val="00571AB2"/>
    <w:rsid w:val="00586842"/>
    <w:rsid w:val="005A7B61"/>
    <w:rsid w:val="005B0DA2"/>
    <w:rsid w:val="005C06D0"/>
    <w:rsid w:val="005C54EF"/>
    <w:rsid w:val="005D337B"/>
    <w:rsid w:val="005D7DEF"/>
    <w:rsid w:val="005F19EF"/>
    <w:rsid w:val="005F1E61"/>
    <w:rsid w:val="00603841"/>
    <w:rsid w:val="00605D97"/>
    <w:rsid w:val="00610BAA"/>
    <w:rsid w:val="00611205"/>
    <w:rsid w:val="00614D14"/>
    <w:rsid w:val="00624C27"/>
    <w:rsid w:val="00626375"/>
    <w:rsid w:val="00626C93"/>
    <w:rsid w:val="006527BC"/>
    <w:rsid w:val="00666455"/>
    <w:rsid w:val="00671CDA"/>
    <w:rsid w:val="00673C24"/>
    <w:rsid w:val="00673FDE"/>
    <w:rsid w:val="00676123"/>
    <w:rsid w:val="00697141"/>
    <w:rsid w:val="006A31EE"/>
    <w:rsid w:val="006A6793"/>
    <w:rsid w:val="006B3F9A"/>
    <w:rsid w:val="006B6BA2"/>
    <w:rsid w:val="006C7101"/>
    <w:rsid w:val="006D3DFD"/>
    <w:rsid w:val="006D3E48"/>
    <w:rsid w:val="006D7C6B"/>
    <w:rsid w:val="006E1BC2"/>
    <w:rsid w:val="006E34F7"/>
    <w:rsid w:val="006E45C5"/>
    <w:rsid w:val="00724D60"/>
    <w:rsid w:val="00727A4A"/>
    <w:rsid w:val="00737A2F"/>
    <w:rsid w:val="00763B82"/>
    <w:rsid w:val="00766FE2"/>
    <w:rsid w:val="00770226"/>
    <w:rsid w:val="007B3B14"/>
    <w:rsid w:val="007B43BC"/>
    <w:rsid w:val="007B56A9"/>
    <w:rsid w:val="007C7131"/>
    <w:rsid w:val="007D3354"/>
    <w:rsid w:val="007D6977"/>
    <w:rsid w:val="007E3EB9"/>
    <w:rsid w:val="007F263D"/>
    <w:rsid w:val="007F39A1"/>
    <w:rsid w:val="00802C33"/>
    <w:rsid w:val="008032B7"/>
    <w:rsid w:val="008051AE"/>
    <w:rsid w:val="00807C87"/>
    <w:rsid w:val="00817970"/>
    <w:rsid w:val="00831A5F"/>
    <w:rsid w:val="008334F8"/>
    <w:rsid w:val="00834BF1"/>
    <w:rsid w:val="0085705B"/>
    <w:rsid w:val="0085731B"/>
    <w:rsid w:val="008611B3"/>
    <w:rsid w:val="00864586"/>
    <w:rsid w:val="00873E04"/>
    <w:rsid w:val="008744F3"/>
    <w:rsid w:val="00880E35"/>
    <w:rsid w:val="00882B4C"/>
    <w:rsid w:val="00884933"/>
    <w:rsid w:val="008971C8"/>
    <w:rsid w:val="00897985"/>
    <w:rsid w:val="008A54F3"/>
    <w:rsid w:val="008B114C"/>
    <w:rsid w:val="008C630C"/>
    <w:rsid w:val="008C77D5"/>
    <w:rsid w:val="008D495D"/>
    <w:rsid w:val="008E11A5"/>
    <w:rsid w:val="008F37CB"/>
    <w:rsid w:val="008F597C"/>
    <w:rsid w:val="00902F74"/>
    <w:rsid w:val="00907822"/>
    <w:rsid w:val="00915D6D"/>
    <w:rsid w:val="00917A45"/>
    <w:rsid w:val="00927583"/>
    <w:rsid w:val="00941E4B"/>
    <w:rsid w:val="00944932"/>
    <w:rsid w:val="0094603C"/>
    <w:rsid w:val="00950E37"/>
    <w:rsid w:val="00966E2E"/>
    <w:rsid w:val="00971BB2"/>
    <w:rsid w:val="00972708"/>
    <w:rsid w:val="00990CCE"/>
    <w:rsid w:val="00996FF7"/>
    <w:rsid w:val="009A092E"/>
    <w:rsid w:val="009A2089"/>
    <w:rsid w:val="009A5FFD"/>
    <w:rsid w:val="009A6781"/>
    <w:rsid w:val="009B7593"/>
    <w:rsid w:val="009C39A0"/>
    <w:rsid w:val="009D098C"/>
    <w:rsid w:val="009F44D8"/>
    <w:rsid w:val="00A04EBC"/>
    <w:rsid w:val="00A059BF"/>
    <w:rsid w:val="00A16E4F"/>
    <w:rsid w:val="00A217DA"/>
    <w:rsid w:val="00A31DCC"/>
    <w:rsid w:val="00A32C99"/>
    <w:rsid w:val="00A35DDB"/>
    <w:rsid w:val="00A54B71"/>
    <w:rsid w:val="00A637C2"/>
    <w:rsid w:val="00A642E0"/>
    <w:rsid w:val="00A67F46"/>
    <w:rsid w:val="00A7206E"/>
    <w:rsid w:val="00A72F2D"/>
    <w:rsid w:val="00A87441"/>
    <w:rsid w:val="00A87827"/>
    <w:rsid w:val="00AA6062"/>
    <w:rsid w:val="00AA6D01"/>
    <w:rsid w:val="00AC253D"/>
    <w:rsid w:val="00AC55D8"/>
    <w:rsid w:val="00AC62C1"/>
    <w:rsid w:val="00AD4B76"/>
    <w:rsid w:val="00AF3837"/>
    <w:rsid w:val="00AF5C82"/>
    <w:rsid w:val="00AF7317"/>
    <w:rsid w:val="00B000A8"/>
    <w:rsid w:val="00B0317D"/>
    <w:rsid w:val="00B15492"/>
    <w:rsid w:val="00B22AF0"/>
    <w:rsid w:val="00B2423C"/>
    <w:rsid w:val="00B40B94"/>
    <w:rsid w:val="00B432C2"/>
    <w:rsid w:val="00B452C1"/>
    <w:rsid w:val="00B55F68"/>
    <w:rsid w:val="00B63632"/>
    <w:rsid w:val="00B655C4"/>
    <w:rsid w:val="00B74CD2"/>
    <w:rsid w:val="00B757FD"/>
    <w:rsid w:val="00B827DE"/>
    <w:rsid w:val="00B84A62"/>
    <w:rsid w:val="00B93FBC"/>
    <w:rsid w:val="00BA26E9"/>
    <w:rsid w:val="00BA3C74"/>
    <w:rsid w:val="00BA7163"/>
    <w:rsid w:val="00BB016E"/>
    <w:rsid w:val="00BB0A74"/>
    <w:rsid w:val="00BB1DB2"/>
    <w:rsid w:val="00BB2BB9"/>
    <w:rsid w:val="00BB6BB3"/>
    <w:rsid w:val="00BC75F3"/>
    <w:rsid w:val="00BD0248"/>
    <w:rsid w:val="00BE5542"/>
    <w:rsid w:val="00BF03A2"/>
    <w:rsid w:val="00BF19E6"/>
    <w:rsid w:val="00BF45CC"/>
    <w:rsid w:val="00C007FD"/>
    <w:rsid w:val="00C02E72"/>
    <w:rsid w:val="00C03797"/>
    <w:rsid w:val="00C16AFB"/>
    <w:rsid w:val="00C345AD"/>
    <w:rsid w:val="00C37779"/>
    <w:rsid w:val="00C413D4"/>
    <w:rsid w:val="00C60DFA"/>
    <w:rsid w:val="00C62C23"/>
    <w:rsid w:val="00C62E5D"/>
    <w:rsid w:val="00C636F7"/>
    <w:rsid w:val="00C70241"/>
    <w:rsid w:val="00C717EA"/>
    <w:rsid w:val="00C8119D"/>
    <w:rsid w:val="00C8232C"/>
    <w:rsid w:val="00C87A6F"/>
    <w:rsid w:val="00CA0044"/>
    <w:rsid w:val="00CA4F50"/>
    <w:rsid w:val="00CB4DCC"/>
    <w:rsid w:val="00CD0DF7"/>
    <w:rsid w:val="00CD7D8A"/>
    <w:rsid w:val="00CE2E0D"/>
    <w:rsid w:val="00CE2EB3"/>
    <w:rsid w:val="00CE5C0A"/>
    <w:rsid w:val="00CF2DF7"/>
    <w:rsid w:val="00D00832"/>
    <w:rsid w:val="00D03DE3"/>
    <w:rsid w:val="00D05AE5"/>
    <w:rsid w:val="00D063C6"/>
    <w:rsid w:val="00D16647"/>
    <w:rsid w:val="00D16781"/>
    <w:rsid w:val="00D25B42"/>
    <w:rsid w:val="00D31BD1"/>
    <w:rsid w:val="00D354AB"/>
    <w:rsid w:val="00D35A56"/>
    <w:rsid w:val="00D40D6E"/>
    <w:rsid w:val="00D46841"/>
    <w:rsid w:val="00D51843"/>
    <w:rsid w:val="00D5495E"/>
    <w:rsid w:val="00D564A0"/>
    <w:rsid w:val="00D605D0"/>
    <w:rsid w:val="00D670AF"/>
    <w:rsid w:val="00D85F1A"/>
    <w:rsid w:val="00D86101"/>
    <w:rsid w:val="00D864E3"/>
    <w:rsid w:val="00D96ABD"/>
    <w:rsid w:val="00DA1B8F"/>
    <w:rsid w:val="00DB427D"/>
    <w:rsid w:val="00DC317A"/>
    <w:rsid w:val="00DD3A7B"/>
    <w:rsid w:val="00DE6DCF"/>
    <w:rsid w:val="00DF3545"/>
    <w:rsid w:val="00E0143B"/>
    <w:rsid w:val="00E07A9E"/>
    <w:rsid w:val="00E10475"/>
    <w:rsid w:val="00E2551E"/>
    <w:rsid w:val="00E31738"/>
    <w:rsid w:val="00E32A60"/>
    <w:rsid w:val="00E33CFD"/>
    <w:rsid w:val="00E406C8"/>
    <w:rsid w:val="00E44A1E"/>
    <w:rsid w:val="00E772E2"/>
    <w:rsid w:val="00E82231"/>
    <w:rsid w:val="00E826F7"/>
    <w:rsid w:val="00EA07BB"/>
    <w:rsid w:val="00EA4476"/>
    <w:rsid w:val="00EA7421"/>
    <w:rsid w:val="00EB008F"/>
    <w:rsid w:val="00EB1281"/>
    <w:rsid w:val="00ED213D"/>
    <w:rsid w:val="00EE2B5B"/>
    <w:rsid w:val="00EF26F6"/>
    <w:rsid w:val="00EF31A8"/>
    <w:rsid w:val="00EF73D7"/>
    <w:rsid w:val="00F02350"/>
    <w:rsid w:val="00F0309A"/>
    <w:rsid w:val="00F042C9"/>
    <w:rsid w:val="00F075A9"/>
    <w:rsid w:val="00F17DB2"/>
    <w:rsid w:val="00F20565"/>
    <w:rsid w:val="00F32377"/>
    <w:rsid w:val="00F35264"/>
    <w:rsid w:val="00F401CC"/>
    <w:rsid w:val="00F530C2"/>
    <w:rsid w:val="00F55E7E"/>
    <w:rsid w:val="00F60CB9"/>
    <w:rsid w:val="00F772D9"/>
    <w:rsid w:val="00F84624"/>
    <w:rsid w:val="00F9211A"/>
    <w:rsid w:val="00F92389"/>
    <w:rsid w:val="00F944EB"/>
    <w:rsid w:val="00FA2CF7"/>
    <w:rsid w:val="00FD5AA7"/>
    <w:rsid w:val="00FD7D38"/>
    <w:rsid w:val="00FE1C8D"/>
    <w:rsid w:val="00FE2D69"/>
    <w:rsid w:val="00FE58B0"/>
    <w:rsid w:val="00FF31A2"/>
    <w:rsid w:val="00FF78F7"/>
    <w:rsid w:val="01C51DC3"/>
    <w:rsid w:val="217D159F"/>
    <w:rsid w:val="21E763A4"/>
    <w:rsid w:val="27416AF7"/>
    <w:rsid w:val="292C7468"/>
    <w:rsid w:val="29F14F53"/>
    <w:rsid w:val="31601B79"/>
    <w:rsid w:val="3C140BCA"/>
    <w:rsid w:val="4AD71E31"/>
    <w:rsid w:val="4D0C70DD"/>
    <w:rsid w:val="59DA0F27"/>
    <w:rsid w:val="71944AA9"/>
    <w:rsid w:val="725F3F11"/>
    <w:rsid w:val="77CB3FE0"/>
    <w:rsid w:val="7F64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7E651EF0"/>
  <w15:docId w15:val="{E349F476-8C21-4A8F-AEAB-610CAE89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60" w:line="256" w:lineRule="auto"/>
    </w:pPr>
    <w:rPr>
      <w:rFonts w:ascii="Calibri" w:eastAsia="Times New Roman" w:hAnsi="Calibri"/>
      <w:sz w:val="22"/>
      <w:szCs w:val="22"/>
    </w:rPr>
  </w:style>
  <w:style w:type="paragraph" w:styleId="Heading2">
    <w:name w:val="heading 2"/>
    <w:basedOn w:val="Normal"/>
    <w:next w:val="Normal"/>
    <w:link w:val="Heading2Char"/>
    <w:uiPriority w:val="99"/>
    <w:unhideWhenUsed/>
    <w:qFormat/>
    <w:pPr>
      <w:keepNext/>
      <w:keepLines/>
      <w:spacing w:before="40" w:beforeAutospacing="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qFormat/>
    <w:pPr>
      <w:spacing w:after="100" w:afterAutospacing="1" w:line="240" w:lineRule="auto"/>
      <w:outlineLvl w:val="2"/>
    </w:pPr>
    <w:rPr>
      <w:rFonts w:ascii="Times New Roman" w:hAnsi="Times New Roman"/>
      <w:b/>
      <w:bCs/>
      <w:sz w:val="27"/>
      <w:szCs w:val="27"/>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widowControl w:val="0"/>
      <w:autoSpaceDE w:val="0"/>
      <w:autoSpaceDN w:val="0"/>
      <w:spacing w:after="0" w:line="240" w:lineRule="auto"/>
    </w:pPr>
    <w:rPr>
      <w:rFonts w:ascii="Times New Roman" w:hAnsi="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rPr>
      <w:rFonts w:cs="Arial"/>
    </w:rPr>
  </w:style>
  <w:style w:type="paragraph" w:styleId="Header">
    <w:name w:val="header"/>
    <w:basedOn w:val="Normal"/>
    <w:link w:val="HeaderChar"/>
    <w:uiPriority w:val="99"/>
    <w:unhideWhenUsed/>
    <w:pPr>
      <w:tabs>
        <w:tab w:val="center" w:pos="4513"/>
        <w:tab w:val="right" w:pos="9026"/>
      </w:tabs>
      <w:spacing w:after="0" w:line="240" w:lineRule="auto"/>
    </w:pPr>
    <w:rPr>
      <w:rFonts w:cs="Arial"/>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pPr>
      <w:spacing w:after="100" w:afterAutospacing="1" w:line="240" w:lineRule="auto"/>
    </w:pPr>
    <w:rPr>
      <w:rFonts w:ascii="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semiHidden/>
    <w:unhideWhenUsed/>
    <w:rPr>
      <w:bCs/>
      <w:lang w:val="en-IN"/>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kern w:val="0"/>
      <w:sz w:val="27"/>
      <w:szCs w:val="27"/>
    </w:rPr>
  </w:style>
  <w:style w:type="character" w:customStyle="1" w:styleId="value">
    <w:name w:val="value"/>
    <w:basedOn w:val="DefaultParagraphFont"/>
  </w:style>
  <w:style w:type="paragraph" w:customStyle="1" w:styleId="Default">
    <w:name w:val="Default"/>
    <w:qFormat/>
    <w:pPr>
      <w:autoSpaceDE w:val="0"/>
      <w:autoSpaceDN w:val="0"/>
      <w:adjustRightInd w:val="0"/>
    </w:pPr>
    <w:rPr>
      <w:rFonts w:eastAsiaTheme="minorHAnsi"/>
      <w:color w:val="000000"/>
      <w:sz w:val="24"/>
      <w:szCs w:val="24"/>
      <w14:ligatures w14:val="standardContextual"/>
    </w:rPr>
  </w:style>
  <w:style w:type="paragraph" w:styleId="ListParagraph">
    <w:name w:val="List Paragraph"/>
    <w:basedOn w:val="Normal"/>
    <w:uiPriority w:val="99"/>
    <w:qFormat/>
    <w:pPr>
      <w:spacing w:before="0" w:beforeAutospacing="0" w:line="259" w:lineRule="auto"/>
      <w:ind w:left="720"/>
      <w:contextualSpacing/>
    </w:pPr>
    <w:rPr>
      <w:rFonts w:asciiTheme="minorHAnsi" w:eastAsiaTheme="minorHAnsi" w:hAnsiTheme="minorHAnsi" w:cstheme="minorBidi"/>
      <w:kern w:val="2"/>
      <w14:ligatures w14:val="standardContextual"/>
    </w:rPr>
  </w:style>
  <w:style w:type="character" w:customStyle="1" w:styleId="u-clr-grey8">
    <w:name w:val="u-clr-grey8"/>
    <w:basedOn w:val="DefaultParagraphFont"/>
  </w:style>
  <w:style w:type="character" w:customStyle="1" w:styleId="Heading2Char">
    <w:name w:val="Heading 2 Char"/>
    <w:basedOn w:val="DefaultParagraphFont"/>
    <w:link w:val="Heading2"/>
    <w:uiPriority w:val="99"/>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style>
  <w:style w:type="character" w:customStyle="1" w:styleId="author">
    <w:name w:val="author"/>
    <w:basedOn w:val="DefaultParagraphFont"/>
    <w:qFormat/>
  </w:style>
  <w:style w:type="character" w:customStyle="1" w:styleId="A1">
    <w:name w:val="A1"/>
    <w:uiPriority w:val="99"/>
    <w:rPr>
      <w:rFonts w:cs="Optima LT Std"/>
      <w:b/>
      <w:bCs/>
      <w:color w:val="0569CD"/>
      <w:sz w:val="32"/>
      <w:szCs w:val="32"/>
    </w:rPr>
  </w:style>
  <w:style w:type="character" w:customStyle="1" w:styleId="A2">
    <w:name w:val="A2"/>
    <w:uiPriority w:val="99"/>
    <w:rPr>
      <w:rFonts w:cs="Optima LT Std"/>
      <w:b/>
      <w:bCs/>
      <w:color w:val="000000"/>
      <w:sz w:val="18"/>
      <w:szCs w:val="18"/>
    </w:rPr>
  </w:style>
  <w:style w:type="character" w:customStyle="1" w:styleId="A3">
    <w:name w:val="A3"/>
    <w:uiPriority w:val="99"/>
    <w:rPr>
      <w:rFonts w:cs="Optima LT Std"/>
      <w:b/>
      <w:bCs/>
      <w:color w:val="000000"/>
      <w:sz w:val="10"/>
      <w:szCs w:val="10"/>
    </w:rPr>
  </w:style>
  <w:style w:type="character" w:customStyle="1" w:styleId="A4">
    <w:name w:val="A4"/>
    <w:uiPriority w:val="99"/>
    <w:rPr>
      <w:rFonts w:cs="Optima LT Std"/>
      <w:color w:val="000000"/>
      <w:sz w:val="17"/>
      <w:szCs w:val="17"/>
    </w:rPr>
  </w:style>
  <w:style w:type="character" w:customStyle="1" w:styleId="A6">
    <w:name w:val="A6"/>
    <w:uiPriority w:val="99"/>
    <w:qFormat/>
    <w:rPr>
      <w:rFonts w:cs="Minion Pro"/>
      <w:color w:val="000000"/>
      <w:sz w:val="20"/>
      <w:szCs w:val="20"/>
    </w:rPr>
  </w:style>
  <w:style w:type="character" w:customStyle="1" w:styleId="text">
    <w:name w:val="text"/>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sonormal0">
    <w:name w:val="msonormal"/>
    <w:basedOn w:val="Normal"/>
    <w:qFormat/>
    <w:pPr>
      <w:spacing w:after="100" w:afterAutospacing="1" w:line="240" w:lineRule="auto"/>
    </w:pPr>
    <w:rPr>
      <w:rFonts w:ascii="Times New Roman" w:hAnsi="Times New Roman"/>
      <w:sz w:val="24"/>
      <w:szCs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qFormat/>
    <w:pPr>
      <w:widowControl w:val="0"/>
      <w:autoSpaceDE w:val="0"/>
      <w:autoSpaceDN w:val="0"/>
      <w:spacing w:after="0" w:line="240" w:lineRule="auto"/>
      <w:ind w:left="97"/>
    </w:pPr>
    <w:rPr>
      <w:rFonts w:ascii="Times New Roman" w:hAnsi="Times New Roman"/>
    </w:rPr>
  </w:style>
  <w:style w:type="character" w:customStyle="1" w:styleId="HeaderChar">
    <w:name w:val="Header Char"/>
    <w:basedOn w:val="DefaultParagraphFont"/>
    <w:link w:val="Header"/>
    <w:uiPriority w:val="99"/>
    <w:qFormat/>
    <w:rPr>
      <w:rFonts w:ascii="Calibri" w:eastAsia="Times New Roman" w:hAnsi="Calibri" w:cs="Arial"/>
      <w:kern w:val="0"/>
      <w14:ligatures w14:val="none"/>
    </w:rPr>
  </w:style>
  <w:style w:type="character" w:customStyle="1" w:styleId="FooterChar">
    <w:name w:val="Footer Char"/>
    <w:basedOn w:val="DefaultParagraphFont"/>
    <w:link w:val="Footer"/>
    <w:uiPriority w:val="99"/>
    <w:qFormat/>
    <w:rPr>
      <w:rFonts w:ascii="Calibri" w:eastAsia="Times New Roman" w:hAnsi="Calibri" w:cs="Arial"/>
      <w:kern w:val="0"/>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84D77-1ECB-4A21-B282-8FA53A3A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6707</Words>
  <Characters>38235</Characters>
  <Application>Microsoft Office Word</Application>
  <DocSecurity>0</DocSecurity>
  <Lines>318</Lines>
  <Paragraphs>89</Paragraphs>
  <ScaleCrop>false</ScaleCrop>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SDI 1183</cp:lastModifiedBy>
  <cp:revision>112</cp:revision>
  <cp:lastPrinted>2025-04-22T05:57:00Z</cp:lastPrinted>
  <dcterms:created xsi:type="dcterms:W3CDTF">2023-05-22T18:39:00Z</dcterms:created>
  <dcterms:modified xsi:type="dcterms:W3CDTF">2025-07-21T11:19:00Z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CA1C1503180D42E1894181E01EA48A0A_13</vt:lpwstr>
  </property>
  <property fmtid="{D5CDD505-2E9C-101B-9397-08002B2CF9AE}" pid="4" name="GrammarlyDocumentId">
    <vt:lpwstr>cbad801f-862e-4139-9377-076547b44baa</vt:lpwstr>
  </property>
</Properties>
</file>