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5DFB" w14:textId="0F67D489" w:rsidR="00F54AB7" w:rsidRPr="00F54AB7" w:rsidRDefault="00A84C77" w:rsidP="004E48AB">
      <w:pPr>
        <w:jc w:val="both"/>
        <w:rPr>
          <w:rFonts w:ascii="Times New Roman" w:hAnsi="Times New Roman" w:cs="Times New Roman"/>
          <w:b/>
          <w:u w:val="single"/>
        </w:rPr>
      </w:pPr>
      <w:r>
        <w:rPr>
          <w:rFonts w:ascii="Times New Roman" w:hAnsi="Times New Roman" w:cs="Times New Roman"/>
          <w:b/>
          <w:u w:val="single"/>
        </w:rPr>
        <w:t xml:space="preserve">Short </w:t>
      </w:r>
      <w:r w:rsidR="00F54AB7" w:rsidRPr="00F54AB7">
        <w:rPr>
          <w:rFonts w:ascii="Times New Roman" w:hAnsi="Times New Roman" w:cs="Times New Roman"/>
          <w:b/>
          <w:u w:val="single"/>
        </w:rPr>
        <w:t>Research Article</w:t>
      </w:r>
    </w:p>
    <w:p w14:paraId="0D63C393" w14:textId="420C3512" w:rsidR="00C002B5" w:rsidRPr="00872FB1" w:rsidRDefault="004E48AB" w:rsidP="004E48AB">
      <w:pPr>
        <w:jc w:val="both"/>
        <w:rPr>
          <w:rFonts w:ascii="Times New Roman" w:hAnsi="Times New Roman" w:cs="Times New Roman"/>
          <w:b/>
        </w:rPr>
      </w:pPr>
      <w:r w:rsidRPr="006A3303">
        <w:rPr>
          <w:rFonts w:ascii="Times New Roman" w:hAnsi="Times New Roman" w:cs="Times New Roman"/>
          <w:b/>
        </w:rPr>
        <w:t xml:space="preserve">Improving Soil Fertility and Tomato Yield Using Organic Matter and Vermicompost in the Agroecosystem of </w:t>
      </w:r>
      <w:proofErr w:type="spellStart"/>
      <w:r w:rsidRPr="006A3303">
        <w:rPr>
          <w:rFonts w:ascii="Times New Roman" w:hAnsi="Times New Roman" w:cs="Times New Roman"/>
          <w:b/>
        </w:rPr>
        <w:t>Netrokona</w:t>
      </w:r>
      <w:proofErr w:type="spellEnd"/>
      <w:r w:rsidRPr="006A3303">
        <w:rPr>
          <w:rFonts w:ascii="Times New Roman" w:hAnsi="Times New Roman" w:cs="Times New Roman"/>
          <w:b/>
        </w:rPr>
        <w:t>, Bangladesh</w:t>
      </w:r>
    </w:p>
    <w:p w14:paraId="481A5ABC" w14:textId="3617B823" w:rsidR="00C002B5" w:rsidRDefault="00C002B5" w:rsidP="004E48AB">
      <w:pPr>
        <w:jc w:val="both"/>
        <w:rPr>
          <w:rFonts w:ascii="Times New Roman" w:hAnsi="Times New Roman" w:cs="Times New Roman"/>
        </w:rPr>
      </w:pPr>
    </w:p>
    <w:p w14:paraId="46FFE863" w14:textId="77777777" w:rsidR="00C002B5" w:rsidRDefault="00C002B5" w:rsidP="004E48AB">
      <w:pPr>
        <w:jc w:val="both"/>
        <w:rPr>
          <w:rFonts w:ascii="Times New Roman" w:hAnsi="Times New Roman" w:cs="Times New Roman"/>
        </w:rPr>
      </w:pPr>
    </w:p>
    <w:p w14:paraId="7F60B962" w14:textId="77777777" w:rsidR="004E48AB" w:rsidRPr="006A3303" w:rsidRDefault="004E48AB" w:rsidP="004E48AB">
      <w:pPr>
        <w:jc w:val="both"/>
        <w:rPr>
          <w:rFonts w:ascii="Times New Roman" w:eastAsia="Times New Roman" w:hAnsi="Times New Roman" w:cs="Times New Roman"/>
          <w:b/>
          <w:bCs/>
        </w:rPr>
      </w:pPr>
      <w:r w:rsidRPr="006A3303">
        <w:rPr>
          <w:rFonts w:ascii="Times New Roman" w:eastAsia="Times New Roman" w:hAnsi="Times New Roman" w:cs="Times New Roman"/>
          <w:b/>
          <w:bCs/>
        </w:rPr>
        <w:t>Abstract</w:t>
      </w:r>
    </w:p>
    <w:p w14:paraId="7FDD6D8F" w14:textId="0383ECB6" w:rsidR="00EB1CF0" w:rsidRDefault="00EB1CF0" w:rsidP="008D3FE3">
      <w:pPr>
        <w:spacing w:before="100" w:beforeAutospacing="1" w:after="100" w:afterAutospacing="1" w:line="240" w:lineRule="auto"/>
        <w:jc w:val="both"/>
        <w:outlineLvl w:val="2"/>
      </w:pPr>
      <w:r>
        <w:t>Excessive reliance on chemical fertilizers in modern agriculture has led to soil degradation and reduced sustainability. This study assessed the effects of organic matter (OM) and vermicompost (VC) on soil fertility and the growth performance of tomato (</w:t>
      </w:r>
      <w:r>
        <w:rPr>
          <w:rStyle w:val="Emphasis"/>
        </w:rPr>
        <w:t xml:space="preserve">Solanum </w:t>
      </w:r>
      <w:proofErr w:type="spellStart"/>
      <w:r>
        <w:rPr>
          <w:rStyle w:val="Emphasis"/>
        </w:rPr>
        <w:t>lycopersicum</w:t>
      </w:r>
      <w:proofErr w:type="spellEnd"/>
      <w:r>
        <w:t xml:space="preserve">) under </w:t>
      </w:r>
      <w:r w:rsidRPr="00EB1CF0">
        <w:rPr>
          <w:rStyle w:val="Strong"/>
          <w:b w:val="0"/>
        </w:rPr>
        <w:t xml:space="preserve">field conditions in </w:t>
      </w:r>
      <w:proofErr w:type="spellStart"/>
      <w:r w:rsidRPr="00EB1CF0">
        <w:rPr>
          <w:rStyle w:val="Strong"/>
          <w:b w:val="0"/>
        </w:rPr>
        <w:t>Netrokona’s</w:t>
      </w:r>
      <w:proofErr w:type="spellEnd"/>
      <w:r w:rsidRPr="00EB1CF0">
        <w:rPr>
          <w:rStyle w:val="Strong"/>
          <w:b w:val="0"/>
        </w:rPr>
        <w:t xml:space="preserve"> low-organic matter soils</w:t>
      </w:r>
      <w:r w:rsidRPr="00EB1CF0">
        <w:rPr>
          <w:b/>
        </w:rPr>
        <w:t>.</w:t>
      </w:r>
      <w:r>
        <w:t xml:space="preserve"> The experiment was structured using a randomized block design comprising four treatment groups: Control (T₀), organic matter (T₁), vermicompost (T₂), and a combined organic amendment (T₃, consisting of 2.5 t/ha OM + 1.25 t/ha VC). </w:t>
      </w:r>
      <w:r w:rsidR="00AC0FB3" w:rsidRPr="00AC0FB3">
        <w:t>The T₃ treatment improved tomato yield per plant by 66% and soil organic matter content by 93% compared to the control.</w:t>
      </w:r>
      <w:r w:rsidR="00AC0FB3">
        <w:t xml:space="preserve"> </w:t>
      </w:r>
      <w:r>
        <w:t xml:space="preserve">The combined application (T₃) significantly enhanced plant height, fruit number, fruit weight, and yield compared to other treatments. </w:t>
      </w:r>
      <w:r w:rsidRPr="00EB1CF0">
        <w:rPr>
          <w:rStyle w:val="Strong"/>
          <w:b w:val="0"/>
        </w:rPr>
        <w:t>Tomato yield increased by 66% and soil organic matter content rose by 93% under T₃ relative to the control</w:t>
      </w:r>
      <w:r w:rsidRPr="00EB1CF0">
        <w:rPr>
          <w:b/>
        </w:rPr>
        <w:t>.</w:t>
      </w:r>
      <w:r>
        <w:t xml:space="preserve"> Soil analyses revealed that T₂ and T₃ improved organic matter content, total nitrogen, available phosphorus, sulfur, and micronutrients (Zn and B), with T₃ showing the most pronounced effects. </w:t>
      </w:r>
      <w:r w:rsidR="00AC0FB3" w:rsidRPr="00AC0FB3">
        <w:t xml:space="preserve">Specifically, T₃ raised total nitrogen to 0.19%, available phosphorus to 22.8 ppm, potassium to 144 ppm, and micronutrients like Zn and B to 1.04 ppm and 0.38 ppm, </w:t>
      </w:r>
      <w:proofErr w:type="spellStart"/>
      <w:proofErr w:type="gramStart"/>
      <w:r w:rsidR="00AC0FB3" w:rsidRPr="00AC0FB3">
        <w:t>respectively.</w:t>
      </w:r>
      <w:r>
        <w:t>Soil</w:t>
      </w:r>
      <w:proofErr w:type="spellEnd"/>
      <w:proofErr w:type="gramEnd"/>
      <w:r>
        <w:t xml:space="preserve"> pH remained within the optimal range across all treatments, indicating the buffering capacity of the organic amendments. The results demonstrate that integrating compost and vermicompost synergistically improves soil nutrient status and crop productivity. </w:t>
      </w:r>
      <w:r w:rsidR="00B716CB" w:rsidRPr="00B716CB">
        <w:t>These findings highlight the potential of OM + VC application as a sustainable nutrient management strategy. This is especially important for low-input, organic matter-deficient subtropical soils</w:t>
      </w:r>
      <w:r>
        <w:t>.</w:t>
      </w:r>
    </w:p>
    <w:p w14:paraId="7F60B965" w14:textId="20CD525D" w:rsidR="005B2FEA" w:rsidRPr="008D3FE3" w:rsidRDefault="004E48AB" w:rsidP="008D3FE3">
      <w:pPr>
        <w:spacing w:before="100" w:beforeAutospacing="1" w:after="100" w:afterAutospacing="1" w:line="240" w:lineRule="auto"/>
        <w:jc w:val="both"/>
        <w:outlineLvl w:val="2"/>
        <w:rPr>
          <w:rFonts w:ascii="Times New Roman" w:eastAsia="Times New Roman" w:hAnsi="Times New Roman" w:cs="Times New Roman"/>
          <w:b/>
          <w:bCs/>
        </w:rPr>
      </w:pPr>
      <w:proofErr w:type="gramStart"/>
      <w:r w:rsidRPr="006A3303">
        <w:rPr>
          <w:rFonts w:ascii="Times New Roman" w:eastAsia="Times New Roman" w:hAnsi="Times New Roman" w:cs="Times New Roman"/>
          <w:b/>
          <w:bCs/>
        </w:rPr>
        <w:t>Keywords</w:t>
      </w:r>
      <w:r w:rsidR="005B2FEA">
        <w:rPr>
          <w:rFonts w:ascii="Times New Roman" w:eastAsia="Times New Roman" w:hAnsi="Times New Roman" w:cs="Times New Roman"/>
          <w:b/>
          <w:bCs/>
        </w:rPr>
        <w:t xml:space="preserve"> :</w:t>
      </w:r>
      <w:proofErr w:type="gramEnd"/>
      <w:r w:rsidR="005B2FEA">
        <w:rPr>
          <w:rFonts w:ascii="Times New Roman" w:eastAsia="Times New Roman" w:hAnsi="Times New Roman" w:cs="Times New Roman"/>
          <w:b/>
          <w:bCs/>
        </w:rPr>
        <w:t xml:space="preserve"> </w:t>
      </w:r>
      <w:r w:rsidRPr="006A3303">
        <w:rPr>
          <w:rFonts w:ascii="Times New Roman" w:hAnsi="Times New Roman" w:cs="Times New Roman"/>
        </w:rPr>
        <w:t>Tomato (</w:t>
      </w:r>
      <w:r w:rsidRPr="006A3303">
        <w:rPr>
          <w:rFonts w:ascii="Times New Roman" w:hAnsi="Times New Roman" w:cs="Times New Roman"/>
          <w:i/>
        </w:rPr>
        <w:t xml:space="preserve">Solanum </w:t>
      </w:r>
      <w:proofErr w:type="spellStart"/>
      <w:r w:rsidRPr="006A3303">
        <w:rPr>
          <w:rFonts w:ascii="Times New Roman" w:hAnsi="Times New Roman" w:cs="Times New Roman"/>
          <w:i/>
        </w:rPr>
        <w:t>lycopersicum</w:t>
      </w:r>
      <w:proofErr w:type="spellEnd"/>
      <w:r w:rsidRPr="006A3303">
        <w:rPr>
          <w:rFonts w:ascii="Times New Roman" w:hAnsi="Times New Roman" w:cs="Times New Roman"/>
        </w:rPr>
        <w:t xml:space="preserve">); Organic matter; Vermicompost; Soil fertility; Sustainable agriculture; BIRTAN </w:t>
      </w:r>
      <w:proofErr w:type="spellStart"/>
      <w:r w:rsidRPr="006A3303">
        <w:rPr>
          <w:rFonts w:ascii="Times New Roman" w:hAnsi="Times New Roman" w:cs="Times New Roman"/>
        </w:rPr>
        <w:t>Netrokona</w:t>
      </w:r>
      <w:proofErr w:type="spellEnd"/>
      <w:r w:rsidRPr="006A3303">
        <w:rPr>
          <w:rFonts w:ascii="Times New Roman" w:hAnsi="Times New Roman" w:cs="Times New Roman"/>
        </w:rPr>
        <w:t>; Soil health; Organic amendments</w:t>
      </w:r>
    </w:p>
    <w:p w14:paraId="7F60B966" w14:textId="77777777" w:rsidR="004E48AB" w:rsidRPr="006A3303" w:rsidRDefault="004E48AB" w:rsidP="004E48AB">
      <w:pPr>
        <w:spacing w:before="100" w:beforeAutospacing="1" w:after="100" w:afterAutospacing="1" w:line="240" w:lineRule="auto"/>
        <w:jc w:val="both"/>
        <w:outlineLvl w:val="1"/>
        <w:rPr>
          <w:rFonts w:ascii="Times New Roman" w:eastAsia="Times New Roman" w:hAnsi="Times New Roman" w:cs="Times New Roman"/>
          <w:b/>
          <w:bCs/>
          <w:kern w:val="36"/>
        </w:rPr>
      </w:pPr>
      <w:r w:rsidRPr="006A3303">
        <w:rPr>
          <w:rFonts w:ascii="Times New Roman" w:eastAsia="Times New Roman" w:hAnsi="Times New Roman" w:cs="Times New Roman"/>
          <w:b/>
          <w:bCs/>
          <w:kern w:val="36"/>
        </w:rPr>
        <w:t>1. Introduction</w:t>
      </w:r>
    </w:p>
    <w:p w14:paraId="2EF94F9C" w14:textId="77777777" w:rsidR="00EB1CF0" w:rsidRDefault="00EB1CF0" w:rsidP="00EB1CF0">
      <w:pPr>
        <w:pStyle w:val="NormalWeb"/>
        <w:jc w:val="both"/>
      </w:pPr>
      <w:r>
        <w:t>Soil degradation due to intensive chemical fertilizer use is a growing concern for sustainable agriculture, particularly in developing countries (FAO, 2017; Lal, 2016). Although synthetic inputs have historically boosted crop yields, prolonged use has been linked to reduced soil organic matter, declining microbial diversity, and environmental pollution (Gao et al., 2023; Xu et al., 2020). These challenges have prompted increased global interest in biologically based and sustainable nutrient management strategies.</w:t>
      </w:r>
    </w:p>
    <w:p w14:paraId="2D6FD888" w14:textId="77777777" w:rsidR="00EB1CF0" w:rsidRDefault="00EB1CF0" w:rsidP="00EB1CF0">
      <w:pPr>
        <w:pStyle w:val="NormalWeb"/>
        <w:jc w:val="both"/>
      </w:pPr>
      <w:r>
        <w:t>Among organic alternatives, compost and vermicompost have demonstrated the ability to enhance soil structure, improve nutrient retention, and support beneficial microbial populations (Edwards et al., 2010; Lazcano, 2011). Vermicomposting, in particular, accelerates organic matter decomposition and improves nutrient bioavailability through earthworm-mediated processes (Sinha et al., 2009; Gómez-</w:t>
      </w:r>
      <w:proofErr w:type="spellStart"/>
      <w:r>
        <w:t>Brandón</w:t>
      </w:r>
      <w:proofErr w:type="spellEnd"/>
      <w:r>
        <w:t xml:space="preserve">, 2013). Empirical studies have shown that </w:t>
      </w:r>
      <w:r>
        <w:lastRenderedPageBreak/>
        <w:t>vermicompost application can increase crop yield, improve fruit quality, and strengthen resilience to both biotic and abiotic stressors (Gopal et al., 2009; Yang et al., 2015).</w:t>
      </w:r>
    </w:p>
    <w:p w14:paraId="36D2B079" w14:textId="77777777" w:rsidR="00EB1CF0" w:rsidRDefault="00EB1CF0" w:rsidP="00EB1CF0">
      <w:pPr>
        <w:pStyle w:val="NormalWeb"/>
        <w:jc w:val="both"/>
      </w:pPr>
      <w:r>
        <w:t>Tomato (</w:t>
      </w:r>
      <w:r>
        <w:rPr>
          <w:rStyle w:val="Emphasis"/>
        </w:rPr>
        <w:t xml:space="preserve">Solanum </w:t>
      </w:r>
      <w:proofErr w:type="spellStart"/>
      <w:r>
        <w:rPr>
          <w:rStyle w:val="Emphasis"/>
        </w:rPr>
        <w:t>lycopersicum</w:t>
      </w:r>
      <w:proofErr w:type="spellEnd"/>
      <w:r>
        <w:t>), a high-value and nutrient-demanding crop, responds sensitively to soil fertility improvements. Prior research confirms that compost and vermicompost improve tomato productivity and suppress soil-borne diseases (Jadhav et al., 2024; Manzoor et al., 2024). Notably, the combined use of compost and vermicompost has yielded synergistic effects, enhancing crop performance and nutrient cycling beyond individual applications (</w:t>
      </w:r>
      <w:proofErr w:type="spellStart"/>
      <w:r>
        <w:t>Arancon</w:t>
      </w:r>
      <w:proofErr w:type="spellEnd"/>
      <w:r>
        <w:t xml:space="preserve"> et al., 2006; Vambe et al., 2023).</w:t>
      </w:r>
    </w:p>
    <w:p w14:paraId="4BC8EE58" w14:textId="77777777" w:rsidR="00EB1CF0" w:rsidRDefault="00EB1CF0" w:rsidP="00EB1CF0">
      <w:pPr>
        <w:pStyle w:val="NormalWeb"/>
        <w:jc w:val="both"/>
      </w:pPr>
      <w:r>
        <w:t xml:space="preserve">Moreover, the study by </w:t>
      </w:r>
      <w:proofErr w:type="spellStart"/>
      <w:r w:rsidRPr="00EB1CF0">
        <w:rPr>
          <w:rStyle w:val="Strong"/>
          <w:b w:val="0"/>
        </w:rPr>
        <w:t>Mojeremane</w:t>
      </w:r>
      <w:proofErr w:type="spellEnd"/>
      <w:r w:rsidRPr="00EB1CF0">
        <w:rPr>
          <w:rStyle w:val="Strong"/>
          <w:b w:val="0"/>
        </w:rPr>
        <w:t xml:space="preserve"> et al. (2016)</w:t>
      </w:r>
      <w:r>
        <w:t xml:space="preserve"> in Botswana provides compelling evidence that tomato yield attributes such as fruit number and weight respond significantly to organic fertilizer amendments. Similarly, </w:t>
      </w:r>
      <w:proofErr w:type="spellStart"/>
      <w:r w:rsidRPr="00EB1CF0">
        <w:rPr>
          <w:rStyle w:val="Strong"/>
          <w:b w:val="0"/>
        </w:rPr>
        <w:t>Sutejo</w:t>
      </w:r>
      <w:proofErr w:type="spellEnd"/>
      <w:r w:rsidRPr="00EB1CF0">
        <w:rPr>
          <w:rStyle w:val="Strong"/>
          <w:b w:val="0"/>
        </w:rPr>
        <w:t xml:space="preserve"> et al. (2024)</w:t>
      </w:r>
      <w:r>
        <w:t xml:space="preserve"> demonstrated enhanced growth and yield in tomato (</w:t>
      </w:r>
      <w:proofErr w:type="spellStart"/>
      <w:r>
        <w:t>Gustavi</w:t>
      </w:r>
      <w:proofErr w:type="spellEnd"/>
      <w:r>
        <w:t xml:space="preserve"> variety) when cow manure vermicompost was applied in combination with NASA liquid organic fertilizer in Indonesia. These studies reinforce the notion that tailored organic amendments can promote sustainable tomato cultivation across </w:t>
      </w:r>
      <w:proofErr w:type="spellStart"/>
      <w:r>
        <w:t>agro</w:t>
      </w:r>
      <w:proofErr w:type="spellEnd"/>
      <w:r>
        <w:t>-ecological zones.</w:t>
      </w:r>
    </w:p>
    <w:p w14:paraId="766C7E62" w14:textId="10B3F9F5" w:rsidR="00EB1CF0" w:rsidRDefault="00EB1CF0" w:rsidP="00EB1CF0">
      <w:pPr>
        <w:pStyle w:val="NormalWeb"/>
        <w:jc w:val="both"/>
      </w:pPr>
      <w:r>
        <w:t xml:space="preserve">In Bangladesh, and particularly in </w:t>
      </w:r>
      <w:proofErr w:type="spellStart"/>
      <w:r>
        <w:t>Netrokona</w:t>
      </w:r>
      <w:proofErr w:type="spellEnd"/>
      <w:r>
        <w:t xml:space="preserve">, soils are typically deficient in organic matter and vulnerable to nutrient exhaustion due to conventional high-input practices (Hassan et al., 2012). </w:t>
      </w:r>
      <w:r w:rsidR="00B716CB" w:rsidRPr="00B716CB">
        <w:t xml:space="preserve">Despite the documented benefits of organic inputs, empirical field-based evidence under these specific </w:t>
      </w:r>
      <w:proofErr w:type="spellStart"/>
      <w:r w:rsidR="00B716CB" w:rsidRPr="00B716CB">
        <w:t>agro</w:t>
      </w:r>
      <w:proofErr w:type="spellEnd"/>
      <w:r w:rsidR="00B716CB" w:rsidRPr="00B716CB">
        <w:t>-ecological conditions remains limited</w:t>
      </w:r>
      <w:r>
        <w:t>.</w:t>
      </w:r>
    </w:p>
    <w:p w14:paraId="3B395C54" w14:textId="77777777" w:rsidR="00EB1CF0" w:rsidRDefault="00EB1CF0" w:rsidP="00EB1CF0">
      <w:pPr>
        <w:pStyle w:val="NormalWeb"/>
        <w:jc w:val="both"/>
      </w:pPr>
      <w:r>
        <w:t>Therefore, this study hypothesizes that the integrated application of compost and vermicompost will significantly enhance both soil nutrient status and tomato yield compared to individual applications.</w:t>
      </w:r>
    </w:p>
    <w:p w14:paraId="7F60B96C" w14:textId="3C814854" w:rsidR="004E48AB" w:rsidRPr="006A3303" w:rsidRDefault="004E48AB" w:rsidP="004E48AB">
      <w:pPr>
        <w:spacing w:before="100" w:beforeAutospacing="1" w:after="100" w:afterAutospacing="1" w:line="240" w:lineRule="auto"/>
        <w:jc w:val="both"/>
        <w:outlineLvl w:val="1"/>
        <w:rPr>
          <w:rFonts w:ascii="Times New Roman" w:eastAsia="Times New Roman" w:hAnsi="Times New Roman" w:cs="Times New Roman"/>
          <w:b/>
          <w:bCs/>
          <w:kern w:val="36"/>
        </w:rPr>
      </w:pPr>
      <w:r w:rsidRPr="006A3303">
        <w:rPr>
          <w:rFonts w:ascii="Times New Roman" w:eastAsia="Times New Roman" w:hAnsi="Times New Roman" w:cs="Times New Roman"/>
          <w:b/>
          <w:bCs/>
          <w:kern w:val="36"/>
        </w:rPr>
        <w:t xml:space="preserve">2. </w:t>
      </w:r>
      <w:r w:rsidR="00EB2733" w:rsidRPr="00EB2733">
        <w:rPr>
          <w:rFonts w:ascii="Times New Roman" w:eastAsia="Times New Roman" w:hAnsi="Times New Roman" w:cs="Times New Roman"/>
          <w:b/>
          <w:bCs/>
          <w:kern w:val="36"/>
        </w:rPr>
        <w:t>Objectives</w:t>
      </w:r>
    </w:p>
    <w:p w14:paraId="10E48BD0" w14:textId="56A50B96" w:rsidR="00EB1CF0" w:rsidRDefault="00EB1CF0" w:rsidP="00EB1CF0">
      <w:pPr>
        <w:pStyle w:val="NormalWeb"/>
        <w:numPr>
          <w:ilvl w:val="0"/>
          <w:numId w:val="10"/>
        </w:numPr>
      </w:pPr>
      <w:r>
        <w:t>To determine how compost, vermicompost, and their combined application influence the chemical fertility of soil under field conditions.</w:t>
      </w:r>
    </w:p>
    <w:p w14:paraId="2AD46755" w14:textId="49AE80F5" w:rsidR="00EB1CF0" w:rsidRDefault="00B716CB" w:rsidP="00B716CB">
      <w:pPr>
        <w:pStyle w:val="NormalWeb"/>
        <w:numPr>
          <w:ilvl w:val="0"/>
          <w:numId w:val="10"/>
        </w:numPr>
      </w:pPr>
      <w:r w:rsidRPr="00B716CB">
        <w:t>To examine the impact of these organic treatments on growth performance, yield attributes, and harvest index of tomato plants</w:t>
      </w:r>
      <w:r w:rsidR="00EB1CF0">
        <w:t>.</w:t>
      </w:r>
    </w:p>
    <w:p w14:paraId="318CE745" w14:textId="325BC528" w:rsidR="00EB1CF0" w:rsidRDefault="00EB1CF0" w:rsidP="00EB1CF0">
      <w:pPr>
        <w:pStyle w:val="NormalWeb"/>
        <w:numPr>
          <w:ilvl w:val="0"/>
          <w:numId w:val="10"/>
        </w:numPr>
      </w:pPr>
      <w:r>
        <w:t>To identify a sustainable organic management strategy for smallholder farmers in organic matter-deficient soils.</w:t>
      </w:r>
    </w:p>
    <w:p w14:paraId="7F60B970" w14:textId="7E41585B" w:rsidR="004E48AB" w:rsidRPr="006A3303" w:rsidRDefault="00EB2733" w:rsidP="004E48AB">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xml:space="preserve">3. Methodology </w:t>
      </w:r>
    </w:p>
    <w:p w14:paraId="7F60B971" w14:textId="56A0E3A1" w:rsidR="004E48AB" w:rsidRPr="006A3303" w:rsidRDefault="00EB2733" w:rsidP="004E48AB">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3.1. Experimental Location</w:t>
      </w:r>
    </w:p>
    <w:p w14:paraId="7F60B972" w14:textId="239BA80F" w:rsidR="004E48AB" w:rsidRPr="006A3303" w:rsidRDefault="00EB1CF0" w:rsidP="004E48AB">
      <w:pPr>
        <w:spacing w:before="100" w:beforeAutospacing="1" w:after="100" w:afterAutospacing="1" w:line="240" w:lineRule="auto"/>
        <w:jc w:val="both"/>
        <w:outlineLvl w:val="2"/>
        <w:rPr>
          <w:rFonts w:ascii="Times New Roman" w:eastAsia="Times New Roman" w:hAnsi="Times New Roman" w:cs="Times New Roman"/>
          <w:bCs/>
        </w:rPr>
      </w:pPr>
      <w:r>
        <w:t xml:space="preserve">The experiment was conducted during the Rabi season (October 2024 to February 2025) at the BIRTAN research field, </w:t>
      </w:r>
      <w:proofErr w:type="spellStart"/>
      <w:r>
        <w:t>Netrokona</w:t>
      </w:r>
      <w:proofErr w:type="spellEnd"/>
      <w:r>
        <w:t>, Bangladesh. The site features silty loam soil, low organic matter content, and a humid subtropical climate</w:t>
      </w:r>
      <w:r w:rsidR="004E48AB" w:rsidRPr="006A3303">
        <w:rPr>
          <w:rFonts w:ascii="Times New Roman" w:eastAsia="Times New Roman" w:hAnsi="Times New Roman" w:cs="Times New Roman"/>
          <w:bCs/>
        </w:rPr>
        <w:t xml:space="preserve">. </w:t>
      </w:r>
    </w:p>
    <w:p w14:paraId="7F60B973" w14:textId="77777777" w:rsidR="004E48AB" w:rsidRPr="006A3303" w:rsidRDefault="004E48AB" w:rsidP="004E48AB">
      <w:pPr>
        <w:spacing w:before="100" w:beforeAutospacing="1" w:after="100" w:afterAutospacing="1" w:line="240" w:lineRule="auto"/>
        <w:jc w:val="both"/>
        <w:outlineLvl w:val="2"/>
        <w:rPr>
          <w:rFonts w:ascii="Times New Roman" w:eastAsia="Times New Roman" w:hAnsi="Times New Roman" w:cs="Times New Roman"/>
          <w:b/>
          <w:bCs/>
        </w:rPr>
      </w:pPr>
      <w:r w:rsidRPr="006A3303">
        <w:rPr>
          <w:rFonts w:ascii="Times New Roman" w:eastAsia="Times New Roman" w:hAnsi="Times New Roman" w:cs="Times New Roman"/>
          <w:b/>
          <w:bCs/>
        </w:rPr>
        <w:t>3.2. Planting Material</w:t>
      </w:r>
    </w:p>
    <w:p w14:paraId="7F60B974" w14:textId="107A03EA" w:rsidR="004E48AB" w:rsidRPr="006A3303" w:rsidRDefault="00B716CB" w:rsidP="004E48AB">
      <w:pPr>
        <w:spacing w:before="100" w:beforeAutospacing="1" w:after="100" w:afterAutospacing="1" w:line="240" w:lineRule="auto"/>
        <w:jc w:val="both"/>
        <w:outlineLvl w:val="2"/>
        <w:rPr>
          <w:rFonts w:ascii="Times New Roman" w:eastAsia="Times New Roman" w:hAnsi="Times New Roman" w:cs="Times New Roman"/>
          <w:bCs/>
        </w:rPr>
      </w:pPr>
      <w:r w:rsidRPr="00B716CB">
        <w:rPr>
          <w:rFonts w:ascii="Times New Roman" w:eastAsia="Times New Roman" w:hAnsi="Times New Roman" w:cs="Times New Roman"/>
          <w:bCs/>
        </w:rPr>
        <w:t xml:space="preserve">A locally adapted tomato (Solanum </w:t>
      </w:r>
      <w:proofErr w:type="spellStart"/>
      <w:r w:rsidRPr="00B716CB">
        <w:rPr>
          <w:rFonts w:ascii="Times New Roman" w:eastAsia="Times New Roman" w:hAnsi="Times New Roman" w:cs="Times New Roman"/>
          <w:bCs/>
        </w:rPr>
        <w:t>lycopersicum</w:t>
      </w:r>
      <w:proofErr w:type="spellEnd"/>
      <w:r w:rsidRPr="00B716CB">
        <w:rPr>
          <w:rFonts w:ascii="Times New Roman" w:eastAsia="Times New Roman" w:hAnsi="Times New Roman" w:cs="Times New Roman"/>
          <w:bCs/>
        </w:rPr>
        <w:t xml:space="preserve">) variety was sourced from the </w:t>
      </w:r>
      <w:proofErr w:type="spellStart"/>
      <w:r w:rsidRPr="00B716CB">
        <w:rPr>
          <w:rFonts w:ascii="Times New Roman" w:eastAsia="Times New Roman" w:hAnsi="Times New Roman" w:cs="Times New Roman"/>
          <w:bCs/>
        </w:rPr>
        <w:t>Netrokona</w:t>
      </w:r>
      <w:proofErr w:type="spellEnd"/>
      <w:r w:rsidRPr="00B716CB">
        <w:rPr>
          <w:rFonts w:ascii="Times New Roman" w:eastAsia="Times New Roman" w:hAnsi="Times New Roman" w:cs="Times New Roman"/>
          <w:bCs/>
        </w:rPr>
        <w:t xml:space="preserve"> regional market to ensure agroecological suitability</w:t>
      </w:r>
      <w:r w:rsidR="004E48AB" w:rsidRPr="006A3303">
        <w:rPr>
          <w:rFonts w:ascii="Times New Roman" w:eastAsia="Times New Roman" w:hAnsi="Times New Roman" w:cs="Times New Roman"/>
          <w:bCs/>
        </w:rPr>
        <w:t>.</w:t>
      </w:r>
    </w:p>
    <w:p w14:paraId="7F60B975" w14:textId="77777777" w:rsidR="004E48AB" w:rsidRPr="006A3303" w:rsidRDefault="004E48AB" w:rsidP="004E48AB">
      <w:pPr>
        <w:spacing w:before="100" w:beforeAutospacing="1" w:after="100" w:afterAutospacing="1" w:line="240" w:lineRule="auto"/>
        <w:jc w:val="both"/>
        <w:outlineLvl w:val="2"/>
        <w:rPr>
          <w:rFonts w:ascii="Times New Roman" w:eastAsia="Times New Roman" w:hAnsi="Times New Roman" w:cs="Times New Roman"/>
          <w:b/>
          <w:bCs/>
        </w:rPr>
      </w:pPr>
      <w:r w:rsidRPr="006A3303">
        <w:rPr>
          <w:rFonts w:ascii="Times New Roman" w:eastAsia="Times New Roman" w:hAnsi="Times New Roman" w:cs="Times New Roman"/>
          <w:b/>
          <w:bCs/>
        </w:rPr>
        <w:lastRenderedPageBreak/>
        <w:t>3.3. Experimental Treatments</w:t>
      </w:r>
    </w:p>
    <w:p w14:paraId="7F60B976" w14:textId="17513B1A" w:rsidR="004E48AB" w:rsidRDefault="006B27D4" w:rsidP="004E48AB">
      <w:pPr>
        <w:spacing w:before="100" w:beforeAutospacing="1" w:after="100" w:afterAutospacing="1" w:line="240" w:lineRule="auto"/>
        <w:jc w:val="both"/>
        <w:outlineLvl w:val="2"/>
        <w:rPr>
          <w:rFonts w:ascii="Times New Roman" w:eastAsia="Times New Roman" w:hAnsi="Times New Roman" w:cs="Times New Roman"/>
        </w:rPr>
      </w:pPr>
      <w:r>
        <w:rPr>
          <w:rFonts w:ascii="Times New Roman" w:eastAsia="Times New Roman" w:hAnsi="Times New Roman" w:cs="Times New Roman"/>
        </w:rPr>
        <w:t xml:space="preserve">Table 1. </w:t>
      </w:r>
      <w:r w:rsidR="00B716CB" w:rsidRPr="00B716CB">
        <w:rPr>
          <w:rFonts w:ascii="Times New Roman" w:eastAsia="Times New Roman" w:hAnsi="Times New Roman" w:cs="Times New Roman"/>
        </w:rPr>
        <w:t xml:space="preserve">The experimental </w:t>
      </w:r>
      <w:r w:rsidR="00B716CB">
        <w:rPr>
          <w:rFonts w:ascii="Times New Roman" w:eastAsia="Times New Roman" w:hAnsi="Times New Roman" w:cs="Times New Roman"/>
        </w:rPr>
        <w:t>design included four treatments</w:t>
      </w:r>
    </w:p>
    <w:tbl>
      <w:tblPr>
        <w:tblStyle w:val="TableGrid"/>
        <w:tblW w:w="0" w:type="auto"/>
        <w:tblLook w:val="04A0" w:firstRow="1" w:lastRow="0" w:firstColumn="1" w:lastColumn="0" w:noHBand="0" w:noVBand="1"/>
      </w:tblPr>
      <w:tblGrid>
        <w:gridCol w:w="3192"/>
        <w:gridCol w:w="3192"/>
        <w:gridCol w:w="3192"/>
      </w:tblGrid>
      <w:tr w:rsidR="003B1219" w14:paraId="44FD396C" w14:textId="77777777" w:rsidTr="003B1219">
        <w:tc>
          <w:tcPr>
            <w:tcW w:w="3192" w:type="dxa"/>
          </w:tcPr>
          <w:p w14:paraId="3EC749D1" w14:textId="4CA4289E" w:rsidR="003B1219" w:rsidRDefault="0005536D"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 xml:space="preserve">SI </w:t>
            </w:r>
            <w:r w:rsidR="003B1219">
              <w:rPr>
                <w:rFonts w:ascii="Times New Roman" w:eastAsia="Times New Roman" w:hAnsi="Times New Roman" w:cs="Times New Roman"/>
              </w:rPr>
              <w:t>No</w:t>
            </w:r>
          </w:p>
        </w:tc>
        <w:tc>
          <w:tcPr>
            <w:tcW w:w="3192" w:type="dxa"/>
          </w:tcPr>
          <w:p w14:paraId="7E67BCC0" w14:textId="4DF7261B"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Treatments</w:t>
            </w:r>
          </w:p>
        </w:tc>
        <w:tc>
          <w:tcPr>
            <w:tcW w:w="3192" w:type="dxa"/>
          </w:tcPr>
          <w:p w14:paraId="6CC10C2E" w14:textId="750B778A"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Amount</w:t>
            </w:r>
          </w:p>
        </w:tc>
      </w:tr>
      <w:tr w:rsidR="003B1219" w14:paraId="46ECA30A" w14:textId="77777777" w:rsidTr="003B1219">
        <w:tc>
          <w:tcPr>
            <w:tcW w:w="3192" w:type="dxa"/>
          </w:tcPr>
          <w:p w14:paraId="4190AFB0"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66B0C967" w14:textId="07B172DA" w:rsidR="003B1219" w:rsidRPr="003B1219" w:rsidRDefault="003B1219" w:rsidP="003B1219">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0</w:t>
            </w:r>
            <w:r>
              <w:rPr>
                <w:rFonts w:ascii="Times New Roman" w:eastAsia="Times New Roman" w:hAnsi="Times New Roman" w:cs="Times New Roman"/>
                <w:vertAlign w:val="subscript"/>
              </w:rPr>
              <w:t xml:space="preserve"> </w:t>
            </w:r>
            <w:r>
              <w:rPr>
                <w:rFonts w:ascii="Times New Roman" w:eastAsia="Times New Roman" w:hAnsi="Times New Roman" w:cs="Times New Roman"/>
              </w:rPr>
              <w:t>(Control)</w:t>
            </w:r>
          </w:p>
        </w:tc>
        <w:tc>
          <w:tcPr>
            <w:tcW w:w="3192" w:type="dxa"/>
          </w:tcPr>
          <w:p w14:paraId="272B65C9" w14:textId="41FED58A" w:rsidR="003B1219" w:rsidRDefault="003B1219" w:rsidP="004E48AB">
            <w:pPr>
              <w:spacing w:before="100" w:beforeAutospacing="1" w:after="100" w:afterAutospacing="1"/>
              <w:jc w:val="both"/>
              <w:outlineLvl w:val="2"/>
              <w:rPr>
                <w:rFonts w:ascii="Times New Roman" w:eastAsia="Times New Roman" w:hAnsi="Times New Roman" w:cs="Times New Roman"/>
              </w:rPr>
            </w:pPr>
            <w:r w:rsidRPr="003B1219">
              <w:rPr>
                <w:rFonts w:ascii="Times New Roman" w:eastAsia="Times New Roman" w:hAnsi="Times New Roman" w:cs="Times New Roman"/>
              </w:rPr>
              <w:t>(No organic amendment</w:t>
            </w:r>
            <w:r>
              <w:rPr>
                <w:rFonts w:ascii="Times New Roman" w:eastAsia="Times New Roman" w:hAnsi="Times New Roman" w:cs="Times New Roman"/>
              </w:rPr>
              <w:t>)</w:t>
            </w:r>
          </w:p>
        </w:tc>
      </w:tr>
      <w:tr w:rsidR="003B1219" w14:paraId="2E3BB079" w14:textId="77777777" w:rsidTr="003B1219">
        <w:tc>
          <w:tcPr>
            <w:tcW w:w="3192" w:type="dxa"/>
          </w:tcPr>
          <w:p w14:paraId="7F379A5C"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1329B290" w14:textId="42BAB213" w:rsidR="003B1219" w:rsidRPr="003B1219" w:rsidRDefault="003B1219" w:rsidP="003B1219">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sidR="00B716CB">
              <w:rPr>
                <w:rFonts w:ascii="Times New Roman" w:eastAsia="Times New Roman" w:hAnsi="Times New Roman" w:cs="Times New Roman"/>
              </w:rPr>
              <w:t>(Organic Matter</w:t>
            </w:r>
            <w:r>
              <w:rPr>
                <w:rFonts w:ascii="Times New Roman" w:eastAsia="Times New Roman" w:hAnsi="Times New Roman" w:cs="Times New Roman"/>
              </w:rPr>
              <w:t>)</w:t>
            </w:r>
          </w:p>
        </w:tc>
        <w:tc>
          <w:tcPr>
            <w:tcW w:w="3192" w:type="dxa"/>
          </w:tcPr>
          <w:p w14:paraId="41B3EA98" w14:textId="12E51311"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 xml:space="preserve"> 5t /ha</w:t>
            </w:r>
          </w:p>
        </w:tc>
      </w:tr>
      <w:tr w:rsidR="003B1219" w14:paraId="51760DFE" w14:textId="77777777" w:rsidTr="003B1219">
        <w:tc>
          <w:tcPr>
            <w:tcW w:w="3192" w:type="dxa"/>
          </w:tcPr>
          <w:p w14:paraId="42EDD0F9"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3876B115" w14:textId="1ADD619E" w:rsidR="003B1219" w:rsidRP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2</w:t>
            </w:r>
            <w:r>
              <w:rPr>
                <w:rFonts w:ascii="Times New Roman" w:eastAsia="Times New Roman" w:hAnsi="Times New Roman" w:cs="Times New Roman"/>
                <w:vertAlign w:val="subscript"/>
              </w:rPr>
              <w:t xml:space="preserve"> </w:t>
            </w:r>
            <w:r w:rsidR="00B716CB">
              <w:rPr>
                <w:rFonts w:ascii="Times New Roman" w:eastAsia="Times New Roman" w:hAnsi="Times New Roman" w:cs="Times New Roman"/>
              </w:rPr>
              <w:t>(</w:t>
            </w:r>
            <w:r>
              <w:rPr>
                <w:rFonts w:ascii="Times New Roman" w:eastAsia="Times New Roman" w:hAnsi="Times New Roman" w:cs="Times New Roman"/>
              </w:rPr>
              <w:t>Vermicompost)</w:t>
            </w:r>
          </w:p>
        </w:tc>
        <w:tc>
          <w:tcPr>
            <w:tcW w:w="3192" w:type="dxa"/>
          </w:tcPr>
          <w:p w14:paraId="3C743730" w14:textId="75E39F78"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2.5 t/ha</w:t>
            </w:r>
          </w:p>
        </w:tc>
      </w:tr>
      <w:tr w:rsidR="003B1219" w:rsidRPr="00A84C77" w14:paraId="5D4CA6AB" w14:textId="77777777" w:rsidTr="003B1219">
        <w:tc>
          <w:tcPr>
            <w:tcW w:w="3192" w:type="dxa"/>
          </w:tcPr>
          <w:p w14:paraId="3903B625"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5E6F805B" w14:textId="522BFA2A" w:rsidR="003B1219" w:rsidRP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3</w:t>
            </w:r>
            <w:r>
              <w:rPr>
                <w:rFonts w:ascii="Times New Roman" w:eastAsia="Times New Roman" w:hAnsi="Times New Roman" w:cs="Times New Roman"/>
                <w:vertAlign w:val="subscript"/>
              </w:rPr>
              <w:t xml:space="preserve"> </w:t>
            </w:r>
            <w:r w:rsidR="00B716CB">
              <w:rPr>
                <w:rFonts w:ascii="Times New Roman" w:eastAsia="Times New Roman" w:hAnsi="Times New Roman" w:cs="Times New Roman"/>
              </w:rPr>
              <w:t>(</w:t>
            </w:r>
            <w:r>
              <w:rPr>
                <w:rFonts w:ascii="Times New Roman" w:eastAsia="Times New Roman" w:hAnsi="Times New Roman" w:cs="Times New Roman"/>
              </w:rPr>
              <w:t xml:space="preserve">Combined) </w:t>
            </w:r>
          </w:p>
        </w:tc>
        <w:tc>
          <w:tcPr>
            <w:tcW w:w="3192" w:type="dxa"/>
          </w:tcPr>
          <w:p w14:paraId="769C17DE" w14:textId="4F28B643" w:rsidR="003B1219" w:rsidRPr="002247C6" w:rsidRDefault="00943F79" w:rsidP="004E48AB">
            <w:pPr>
              <w:spacing w:before="100" w:beforeAutospacing="1" w:after="100" w:afterAutospacing="1"/>
              <w:jc w:val="both"/>
              <w:outlineLvl w:val="2"/>
              <w:rPr>
                <w:rFonts w:ascii="Times New Roman" w:eastAsia="Times New Roman" w:hAnsi="Times New Roman" w:cs="Times New Roman"/>
                <w:lang w:val="nl-BE"/>
              </w:rPr>
            </w:pPr>
            <w:r w:rsidRPr="002247C6">
              <w:rPr>
                <w:rFonts w:ascii="Times New Roman" w:eastAsia="Times New Roman" w:hAnsi="Times New Roman" w:cs="Times New Roman"/>
                <w:lang w:val="nl-BE"/>
              </w:rPr>
              <w:t>Om 2.5 t/ha + Vermicompost</w:t>
            </w:r>
            <w:r w:rsidR="003B1219" w:rsidRPr="002247C6">
              <w:rPr>
                <w:rFonts w:ascii="Times New Roman" w:eastAsia="Times New Roman" w:hAnsi="Times New Roman" w:cs="Times New Roman"/>
                <w:lang w:val="nl-BE"/>
              </w:rPr>
              <w:t>1.25 t/ha</w:t>
            </w:r>
          </w:p>
        </w:tc>
      </w:tr>
    </w:tbl>
    <w:p w14:paraId="7F60B97B" w14:textId="2BF62E90" w:rsidR="004E48AB" w:rsidRPr="00943F79" w:rsidRDefault="00943F79" w:rsidP="00943F79">
      <w:pPr>
        <w:spacing w:before="100" w:beforeAutospacing="1" w:after="100" w:afterAutospacing="1" w:line="240" w:lineRule="auto"/>
        <w:jc w:val="both"/>
        <w:outlineLvl w:val="2"/>
        <w:rPr>
          <w:rFonts w:ascii="Times New Roman" w:eastAsia="Times New Roman" w:hAnsi="Times New Roman" w:cs="Times New Roman"/>
          <w:b/>
          <w:bCs/>
        </w:rPr>
      </w:pPr>
      <w:r w:rsidRPr="00943F79">
        <w:rPr>
          <w:rFonts w:ascii="Times New Roman" w:hAnsi="Times New Roman" w:cs="Times New Roman"/>
        </w:rPr>
        <w:t>All organic treatments were incorporated into the soil 14 days before transplanting the tomato seedlings.</w:t>
      </w:r>
    </w:p>
    <w:p w14:paraId="7F60B97C" w14:textId="77777777" w:rsidR="004E48AB" w:rsidRPr="006A3303" w:rsidRDefault="004E48AB" w:rsidP="004E48AB">
      <w:pPr>
        <w:spacing w:before="100" w:beforeAutospacing="1" w:after="100" w:afterAutospacing="1" w:line="240" w:lineRule="auto"/>
        <w:outlineLvl w:val="3"/>
        <w:rPr>
          <w:rFonts w:ascii="Times New Roman" w:eastAsia="Times New Roman" w:hAnsi="Times New Roman" w:cs="Times New Roman"/>
          <w:b/>
          <w:bCs/>
        </w:rPr>
      </w:pPr>
      <w:r w:rsidRPr="006A3303">
        <w:rPr>
          <w:rFonts w:ascii="Times New Roman" w:eastAsia="Times New Roman" w:hAnsi="Times New Roman" w:cs="Times New Roman"/>
          <w:b/>
          <w:bCs/>
        </w:rPr>
        <w:t>3.4. Experimental Design</w:t>
      </w:r>
    </w:p>
    <w:p w14:paraId="460C3E05" w14:textId="56E2046C" w:rsidR="00943F79" w:rsidRPr="00943F79" w:rsidRDefault="00943F79" w:rsidP="00943F79">
      <w:pPr>
        <w:spacing w:before="100" w:beforeAutospacing="1" w:after="100" w:afterAutospacing="1" w:line="240" w:lineRule="auto"/>
        <w:rPr>
          <w:rFonts w:ascii="Times New Roman" w:eastAsia="Times New Roman" w:hAnsi="Times New Roman" w:cs="Times New Roman"/>
          <w:bCs/>
        </w:rPr>
      </w:pPr>
      <w:r w:rsidRPr="00943F79">
        <w:rPr>
          <w:rFonts w:ascii="Times New Roman" w:eastAsia="Times New Roman" w:hAnsi="Times New Roman" w:cs="Times New Roman"/>
          <w:bCs/>
        </w:rPr>
        <w:t>The study followed a Randomized Complete Block Design (RCBD), comprising three replications for each of the four treatments, resulting in 12 experimental plots. Each plot measured 2 meters by 2 meters (4 m²), with 50 cm spacing maintained both between rows and individual plants. A buffer zone of 0.5 meters was provided between plots to minimize the risk of nutrient interference.</w:t>
      </w:r>
    </w:p>
    <w:p w14:paraId="569CD994" w14:textId="77777777" w:rsidR="00943F79" w:rsidRDefault="00943F79" w:rsidP="00943F79">
      <w:pPr>
        <w:spacing w:before="100" w:beforeAutospacing="1" w:after="100" w:afterAutospacing="1" w:line="240" w:lineRule="auto"/>
        <w:rPr>
          <w:rFonts w:ascii="Times New Roman" w:eastAsia="Times New Roman" w:hAnsi="Times New Roman" w:cs="Times New Roman"/>
          <w:bCs/>
        </w:rPr>
      </w:pPr>
      <w:r w:rsidRPr="00943F79">
        <w:rPr>
          <w:rFonts w:ascii="Times New Roman" w:eastAsia="Times New Roman" w:hAnsi="Times New Roman" w:cs="Times New Roman"/>
          <w:bCs/>
        </w:rPr>
        <w:t>Uniform agronomic practices—including irrigation, staking, weed management, and pest control—were consistently applied across all plots to ensure experimental reliability.</w:t>
      </w:r>
    </w:p>
    <w:p w14:paraId="7F60B97F" w14:textId="37D08C23" w:rsidR="004E48AB" w:rsidRPr="006A3303" w:rsidRDefault="004E48AB" w:rsidP="00943F79">
      <w:pPr>
        <w:spacing w:before="100" w:beforeAutospacing="1" w:after="100" w:afterAutospacing="1" w:line="240" w:lineRule="auto"/>
        <w:rPr>
          <w:rFonts w:ascii="Times New Roman" w:eastAsia="Times New Roman" w:hAnsi="Times New Roman" w:cs="Times New Roman"/>
          <w:b/>
          <w:bCs/>
        </w:rPr>
      </w:pPr>
      <w:r w:rsidRPr="006A3303">
        <w:rPr>
          <w:rFonts w:ascii="Times New Roman" w:eastAsia="Times New Roman" w:hAnsi="Times New Roman" w:cs="Times New Roman"/>
          <w:b/>
          <w:bCs/>
        </w:rPr>
        <w:t>3.5. Data Collection</w:t>
      </w:r>
    </w:p>
    <w:p w14:paraId="7F60B980" w14:textId="77777777" w:rsidR="004E48AB" w:rsidRPr="006A3303" w:rsidRDefault="004E48AB" w:rsidP="004E48AB">
      <w:pPr>
        <w:spacing w:before="100" w:beforeAutospacing="1" w:after="100" w:afterAutospacing="1" w:line="240" w:lineRule="auto"/>
        <w:outlineLvl w:val="4"/>
        <w:rPr>
          <w:rFonts w:ascii="Times New Roman" w:eastAsia="Times New Roman" w:hAnsi="Times New Roman" w:cs="Times New Roman"/>
          <w:b/>
          <w:bCs/>
        </w:rPr>
      </w:pPr>
      <w:r w:rsidRPr="006A3303">
        <w:rPr>
          <w:rFonts w:ascii="Times New Roman" w:eastAsia="Times New Roman" w:hAnsi="Times New Roman" w:cs="Times New Roman"/>
          <w:b/>
          <w:bCs/>
        </w:rPr>
        <w:t>3.5.1. Plant Growth and Yield Parameters</w:t>
      </w:r>
    </w:p>
    <w:p w14:paraId="7F60B981" w14:textId="77777777" w:rsidR="004E48AB" w:rsidRPr="006A3303" w:rsidRDefault="004E48AB" w:rsidP="004E48AB">
      <w:p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The following growth and yield attributes were measured from five randomly selected plants per plot:</w:t>
      </w:r>
    </w:p>
    <w:p w14:paraId="7F60B982"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Plant height (cm)</w:t>
      </w:r>
    </w:p>
    <w:p w14:paraId="7F60B983"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Number of fruits per plant</w:t>
      </w:r>
    </w:p>
    <w:p w14:paraId="7F60B984"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Average fruit weight (g)</w:t>
      </w:r>
    </w:p>
    <w:p w14:paraId="7F60B985"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Yield per plant (kg)</w:t>
      </w:r>
    </w:p>
    <w:p w14:paraId="7F60B986"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Harvest index (%)</w:t>
      </w:r>
    </w:p>
    <w:p w14:paraId="7F60B987" w14:textId="77777777" w:rsidR="004E48AB" w:rsidRPr="006A3303" w:rsidRDefault="004E48AB" w:rsidP="004E48AB">
      <w:pPr>
        <w:spacing w:before="100" w:beforeAutospacing="1" w:after="100" w:afterAutospacing="1" w:line="240" w:lineRule="auto"/>
        <w:rPr>
          <w:rFonts w:ascii="Times New Roman" w:eastAsia="Times New Roman" w:hAnsi="Times New Roman" w:cs="Times New Roman"/>
          <w:b/>
        </w:rPr>
      </w:pPr>
      <w:r w:rsidRPr="006A3303">
        <w:rPr>
          <w:rFonts w:ascii="Times New Roman" w:eastAsia="Times New Roman" w:hAnsi="Times New Roman" w:cs="Times New Roman"/>
          <w:b/>
        </w:rPr>
        <w:t>3.5.2. Soil Chemical Analysis</w:t>
      </w:r>
    </w:p>
    <w:p w14:paraId="7F60B988" w14:textId="40339E67" w:rsidR="004E48AB" w:rsidRDefault="00D316AC" w:rsidP="004E48AB">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Table 2. </w:t>
      </w:r>
      <w:r w:rsidR="00B716CB" w:rsidRPr="00B716CB">
        <w:rPr>
          <w:rFonts w:ascii="Times New Roman" w:hAnsi="Times New Roman" w:cs="Times New Roman"/>
        </w:rPr>
        <w:t>Soil samples were collected before planting and after harvest from the 0–15 cm depth and analyzed using the methods outlined</w:t>
      </w:r>
    </w:p>
    <w:tbl>
      <w:tblPr>
        <w:tblStyle w:val="TableGrid"/>
        <w:tblW w:w="0" w:type="auto"/>
        <w:tblLook w:val="04A0" w:firstRow="1" w:lastRow="0" w:firstColumn="1" w:lastColumn="0" w:noHBand="0" w:noVBand="1"/>
      </w:tblPr>
      <w:tblGrid>
        <w:gridCol w:w="1188"/>
        <w:gridCol w:w="2520"/>
        <w:gridCol w:w="5868"/>
      </w:tblGrid>
      <w:tr w:rsidR="0005536D" w14:paraId="21E410CD" w14:textId="77777777" w:rsidTr="0005536D">
        <w:tc>
          <w:tcPr>
            <w:tcW w:w="1188" w:type="dxa"/>
          </w:tcPr>
          <w:p w14:paraId="0569D0B5" w14:textId="63C7F9D9"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SI No</w:t>
            </w:r>
          </w:p>
        </w:tc>
        <w:tc>
          <w:tcPr>
            <w:tcW w:w="2520" w:type="dxa"/>
          </w:tcPr>
          <w:p w14:paraId="47786E78" w14:textId="656981F6"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Sample Name </w:t>
            </w:r>
          </w:p>
        </w:tc>
        <w:tc>
          <w:tcPr>
            <w:tcW w:w="5868" w:type="dxa"/>
          </w:tcPr>
          <w:p w14:paraId="7232CCB4" w14:textId="629B0ACC"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Method </w:t>
            </w:r>
          </w:p>
        </w:tc>
      </w:tr>
      <w:tr w:rsidR="0005536D" w14:paraId="2A509061" w14:textId="77777777" w:rsidTr="0005536D">
        <w:tc>
          <w:tcPr>
            <w:tcW w:w="1188" w:type="dxa"/>
          </w:tcPr>
          <w:p w14:paraId="4565423E"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58AB2016" w14:textId="397FAD6C"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Organic Matter %</w:t>
            </w:r>
          </w:p>
        </w:tc>
        <w:tc>
          <w:tcPr>
            <w:tcW w:w="5868" w:type="dxa"/>
          </w:tcPr>
          <w:p w14:paraId="37FAC47C" w14:textId="064D6F2E" w:rsidR="0005536D" w:rsidRDefault="0005536D" w:rsidP="004E48AB">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Waljkley</w:t>
            </w:r>
            <w:proofErr w:type="spellEnd"/>
            <w:r>
              <w:rPr>
                <w:rFonts w:ascii="Times New Roman" w:eastAsia="Times New Roman" w:hAnsi="Times New Roman" w:cs="Times New Roman"/>
              </w:rPr>
              <w:t>-Black method</w:t>
            </w:r>
          </w:p>
        </w:tc>
      </w:tr>
      <w:tr w:rsidR="0005536D" w14:paraId="4E68929F" w14:textId="77777777" w:rsidTr="0005536D">
        <w:tc>
          <w:tcPr>
            <w:tcW w:w="1188" w:type="dxa"/>
          </w:tcPr>
          <w:p w14:paraId="6FBFB014"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27D2DD1D" w14:textId="3D79D521"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Total Nitrogen %</w:t>
            </w:r>
          </w:p>
        </w:tc>
        <w:tc>
          <w:tcPr>
            <w:tcW w:w="5868" w:type="dxa"/>
          </w:tcPr>
          <w:p w14:paraId="5F796019" w14:textId="68082F73" w:rsidR="0005536D" w:rsidRDefault="0005536D" w:rsidP="004E48AB">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Kjeldhal</w:t>
            </w:r>
            <w:proofErr w:type="spellEnd"/>
            <w:r>
              <w:rPr>
                <w:rFonts w:ascii="Times New Roman" w:eastAsia="Times New Roman" w:hAnsi="Times New Roman" w:cs="Times New Roman"/>
              </w:rPr>
              <w:t xml:space="preserve"> method</w:t>
            </w:r>
          </w:p>
        </w:tc>
      </w:tr>
      <w:tr w:rsidR="0005536D" w14:paraId="41468AEF" w14:textId="77777777" w:rsidTr="0005536D">
        <w:tc>
          <w:tcPr>
            <w:tcW w:w="1188" w:type="dxa"/>
          </w:tcPr>
          <w:p w14:paraId="1CCDBB0D"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1B8D9AAC" w14:textId="74E871EF"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Available Phosphorus</w:t>
            </w:r>
          </w:p>
        </w:tc>
        <w:tc>
          <w:tcPr>
            <w:tcW w:w="5868" w:type="dxa"/>
          </w:tcPr>
          <w:p w14:paraId="22736DC3" w14:textId="372C37C1"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Olsen method</w:t>
            </w:r>
          </w:p>
        </w:tc>
      </w:tr>
      <w:tr w:rsidR="0005536D" w14:paraId="2649D581" w14:textId="77777777" w:rsidTr="0005536D">
        <w:tc>
          <w:tcPr>
            <w:tcW w:w="1188" w:type="dxa"/>
          </w:tcPr>
          <w:p w14:paraId="4A4CDC66"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01B00C46" w14:textId="0EDF2FAC"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Exchangeable K, Ca, Mg</w:t>
            </w:r>
          </w:p>
        </w:tc>
        <w:tc>
          <w:tcPr>
            <w:tcW w:w="5868" w:type="dxa"/>
          </w:tcPr>
          <w:p w14:paraId="59D39D63" w14:textId="32EDABB4"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Ammonium acetate extraction, measure via AAS</w:t>
            </w:r>
          </w:p>
        </w:tc>
      </w:tr>
      <w:tr w:rsidR="0005536D" w14:paraId="3BC85553" w14:textId="77777777" w:rsidTr="0005536D">
        <w:tc>
          <w:tcPr>
            <w:tcW w:w="1188" w:type="dxa"/>
          </w:tcPr>
          <w:p w14:paraId="79908DFA"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39A3A10A" w14:textId="349D3A10"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Sulfur</w:t>
            </w:r>
          </w:p>
        </w:tc>
        <w:tc>
          <w:tcPr>
            <w:tcW w:w="5868" w:type="dxa"/>
          </w:tcPr>
          <w:p w14:paraId="5565C1CA" w14:textId="42EB5D79" w:rsidR="0005536D" w:rsidRDefault="0005536D" w:rsidP="004E48AB">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Turbimetric</w:t>
            </w:r>
            <w:proofErr w:type="spellEnd"/>
            <w:r>
              <w:rPr>
                <w:rFonts w:ascii="Times New Roman" w:eastAsia="Times New Roman" w:hAnsi="Times New Roman" w:cs="Times New Roman"/>
              </w:rPr>
              <w:t xml:space="preserve"> method</w:t>
            </w:r>
          </w:p>
        </w:tc>
      </w:tr>
      <w:tr w:rsidR="0005536D" w14:paraId="27223CEC" w14:textId="77777777" w:rsidTr="0005536D">
        <w:tc>
          <w:tcPr>
            <w:tcW w:w="1188" w:type="dxa"/>
          </w:tcPr>
          <w:p w14:paraId="0F7E1D0F"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742D7BFF" w14:textId="55F2EDB7"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Soil Ph</w:t>
            </w:r>
          </w:p>
        </w:tc>
        <w:tc>
          <w:tcPr>
            <w:tcW w:w="5868" w:type="dxa"/>
          </w:tcPr>
          <w:p w14:paraId="0FFAE4A5" w14:textId="2E289177" w:rsidR="0005536D" w:rsidRDefault="0005536D" w:rsidP="004E48AB">
            <w:pPr>
              <w:spacing w:before="100" w:beforeAutospacing="1" w:after="100" w:afterAutospacing="1"/>
              <w:rPr>
                <w:rFonts w:ascii="Times New Roman" w:eastAsia="Times New Roman" w:hAnsi="Times New Roman" w:cs="Times New Roman"/>
              </w:rPr>
            </w:pPr>
            <w:r w:rsidRPr="0005536D">
              <w:rPr>
                <w:rFonts w:ascii="Times New Roman" w:eastAsia="Times New Roman" w:hAnsi="Times New Roman" w:cs="Times New Roman"/>
              </w:rPr>
              <w:t>Measured in a 1:2.5 soil-water suspension</w:t>
            </w:r>
          </w:p>
        </w:tc>
      </w:tr>
      <w:tr w:rsidR="0005536D" w14:paraId="38CB49EA" w14:textId="77777777" w:rsidTr="0005536D">
        <w:tc>
          <w:tcPr>
            <w:tcW w:w="1188" w:type="dxa"/>
          </w:tcPr>
          <w:p w14:paraId="6787FF4D"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675A1772" w14:textId="129B5DA5"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ZINC, Boron</w:t>
            </w:r>
          </w:p>
        </w:tc>
        <w:tc>
          <w:tcPr>
            <w:tcW w:w="5868" w:type="dxa"/>
          </w:tcPr>
          <w:p w14:paraId="06424E87" w14:textId="688311DC" w:rsidR="0005536D" w:rsidRDefault="0005536D" w:rsidP="004E48AB">
            <w:pPr>
              <w:spacing w:before="100" w:beforeAutospacing="1" w:after="100" w:afterAutospacing="1"/>
              <w:rPr>
                <w:rFonts w:ascii="Times New Roman" w:eastAsia="Times New Roman" w:hAnsi="Times New Roman" w:cs="Times New Roman"/>
              </w:rPr>
            </w:pPr>
            <w:r w:rsidRPr="0005536D">
              <w:rPr>
                <w:rFonts w:ascii="Times New Roman" w:eastAsia="Times New Roman" w:hAnsi="Times New Roman" w:cs="Times New Roman"/>
              </w:rPr>
              <w:t>DTPA extraction, measured by AAS</w:t>
            </w:r>
          </w:p>
        </w:tc>
      </w:tr>
    </w:tbl>
    <w:p w14:paraId="1843BAAF" w14:textId="77777777" w:rsidR="0005536D" w:rsidRPr="006A3303" w:rsidRDefault="0005536D" w:rsidP="004E48AB">
      <w:pPr>
        <w:spacing w:before="100" w:beforeAutospacing="1" w:after="100" w:afterAutospacing="1" w:line="240" w:lineRule="auto"/>
        <w:rPr>
          <w:rFonts w:ascii="Times New Roman" w:eastAsia="Times New Roman" w:hAnsi="Times New Roman" w:cs="Times New Roman"/>
        </w:rPr>
      </w:pPr>
    </w:p>
    <w:p w14:paraId="0B245A26" w14:textId="1DDC6C56" w:rsidR="0005536D" w:rsidRPr="0005536D" w:rsidRDefault="0005536D" w:rsidP="0005536D">
      <w:pPr>
        <w:spacing w:before="100" w:beforeAutospacing="1" w:after="100" w:afterAutospacing="1" w:line="240" w:lineRule="auto"/>
        <w:outlineLvl w:val="3"/>
        <w:rPr>
          <w:rFonts w:ascii="Times New Roman" w:eastAsia="Times New Roman" w:hAnsi="Times New Roman" w:cs="Times New Roman"/>
          <w:b/>
          <w:bCs/>
        </w:rPr>
      </w:pPr>
      <w:r w:rsidRPr="0005536D">
        <w:rPr>
          <w:rFonts w:ascii="Times New Roman" w:eastAsia="Times New Roman" w:hAnsi="Times New Roman" w:cs="Times New Roman"/>
          <w:b/>
          <w:bCs/>
        </w:rPr>
        <w:t>3.6</w:t>
      </w:r>
      <w:r w:rsidR="000244F1" w:rsidRPr="0005536D">
        <w:rPr>
          <w:rFonts w:ascii="Times New Roman" w:eastAsia="Times New Roman" w:hAnsi="Times New Roman" w:cs="Times New Roman"/>
          <w:b/>
          <w:bCs/>
        </w:rPr>
        <w:t>. Statistical</w:t>
      </w:r>
      <w:r w:rsidRPr="0005536D">
        <w:rPr>
          <w:rFonts w:ascii="Times New Roman" w:eastAsia="Times New Roman" w:hAnsi="Times New Roman" w:cs="Times New Roman"/>
          <w:b/>
          <w:bCs/>
        </w:rPr>
        <w:t xml:space="preserve"> Analysis</w:t>
      </w:r>
    </w:p>
    <w:p w14:paraId="5B3CE2BC" w14:textId="045226F6" w:rsidR="0005536D" w:rsidRPr="0005536D" w:rsidRDefault="00B716CB" w:rsidP="0005536D">
      <w:pPr>
        <w:spacing w:before="100" w:beforeAutospacing="1" w:after="100" w:afterAutospacing="1" w:line="240" w:lineRule="auto"/>
        <w:outlineLvl w:val="3"/>
        <w:rPr>
          <w:rFonts w:ascii="Times New Roman" w:eastAsia="Times New Roman" w:hAnsi="Times New Roman" w:cs="Times New Roman"/>
          <w:bCs/>
        </w:rPr>
      </w:pPr>
      <w:r w:rsidRPr="00B716CB">
        <w:rPr>
          <w:rFonts w:ascii="Times New Roman" w:eastAsia="Times New Roman" w:hAnsi="Times New Roman" w:cs="Times New Roman"/>
          <w:bCs/>
        </w:rPr>
        <w:t>The collected data were subjected to analysis of variance (ANOVA), appropriate for a randomized complete block design, using R software version 4.3.0 with the '</w:t>
      </w:r>
      <w:proofErr w:type="spellStart"/>
      <w:r w:rsidRPr="00B716CB">
        <w:rPr>
          <w:rFonts w:ascii="Times New Roman" w:eastAsia="Times New Roman" w:hAnsi="Times New Roman" w:cs="Times New Roman"/>
          <w:bCs/>
        </w:rPr>
        <w:t>agricolae</w:t>
      </w:r>
      <w:proofErr w:type="spellEnd"/>
      <w:r w:rsidRPr="00B716CB">
        <w:rPr>
          <w:rFonts w:ascii="Times New Roman" w:eastAsia="Times New Roman" w:hAnsi="Times New Roman" w:cs="Times New Roman"/>
          <w:bCs/>
        </w:rPr>
        <w:t>' package</w:t>
      </w:r>
      <w:r w:rsidR="0005536D" w:rsidRPr="0005536D">
        <w:rPr>
          <w:rFonts w:ascii="Times New Roman" w:eastAsia="Times New Roman" w:hAnsi="Times New Roman" w:cs="Times New Roman"/>
          <w:bCs/>
        </w:rPr>
        <w:t>. Mean differences among treatments were evaluated using the Least Significant Difference (LSD) test at a 5% significance level. The Coefficient of Variation (CV) was calculated to assess the consistency and precision of the experiment. All statistical analyses were performed using the R statistical software environment.</w:t>
      </w:r>
    </w:p>
    <w:p w14:paraId="7F60B992" w14:textId="77777777" w:rsidR="004E48AB" w:rsidRPr="006A3303" w:rsidRDefault="004E48AB" w:rsidP="004E48AB">
      <w:pPr>
        <w:jc w:val="both"/>
        <w:rPr>
          <w:rFonts w:ascii="Times New Roman" w:hAnsi="Times New Roman" w:cs="Times New Roman"/>
          <w:b/>
        </w:rPr>
      </w:pPr>
      <w:r w:rsidRPr="006A3303">
        <w:rPr>
          <w:rFonts w:ascii="Times New Roman" w:hAnsi="Times New Roman" w:cs="Times New Roman"/>
          <w:b/>
        </w:rPr>
        <w:t xml:space="preserve">4. Results </w:t>
      </w:r>
    </w:p>
    <w:p w14:paraId="7F60B993"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4E48AB">
        <w:rPr>
          <w:rFonts w:ascii="Times New Roman" w:eastAsia="Times New Roman" w:hAnsi="Times New Roman" w:cs="Times New Roman"/>
          <w:b/>
          <w:bCs/>
        </w:rPr>
        <w:t>4.1. Effects of Organic Amendments on Soil Nutrient Status</w:t>
      </w:r>
    </w:p>
    <w:p w14:paraId="7F60B994" w14:textId="4EAF9C06" w:rsidR="004E48AB" w:rsidRPr="004E48AB" w:rsidRDefault="000244F1" w:rsidP="004E48AB">
      <w:pPr>
        <w:spacing w:before="100" w:beforeAutospacing="1" w:after="100" w:afterAutospacing="1" w:line="240" w:lineRule="auto"/>
        <w:jc w:val="both"/>
        <w:rPr>
          <w:rFonts w:ascii="Times New Roman" w:eastAsia="Times New Roman" w:hAnsi="Times New Roman" w:cs="Times New Roman"/>
          <w:sz w:val="24"/>
          <w:szCs w:val="24"/>
        </w:rPr>
      </w:pPr>
      <w:r w:rsidRPr="000244F1">
        <w:rPr>
          <w:rFonts w:ascii="Times New Roman" w:eastAsia="Times New Roman" w:hAnsi="Times New Roman" w:cs="Times New Roman"/>
          <w:sz w:val="24"/>
          <w:szCs w:val="24"/>
        </w:rPr>
        <w:t>The application of organic matter and vermicompost significantly improved soil chemical properties compared to the control, as presented in Table 3 and Figures 1a and 1b</w:t>
      </w:r>
      <w:r w:rsidR="004E48AB" w:rsidRPr="004E48AB">
        <w:rPr>
          <w:rFonts w:ascii="Times New Roman" w:eastAsia="Times New Roman" w:hAnsi="Times New Roman" w:cs="Times New Roman"/>
          <w:sz w:val="24"/>
          <w:szCs w:val="24"/>
        </w:rPr>
        <w:t xml:space="preserve">. The combined treatment (T₃) consistently recorded the highest levels of organic matter (%OM), total nitrogen (N), available phosphorus (P), sulfur (S), and micronutrients (Zn and B). Potassium (K) concentrations were also significantly elevated under T₃ and T₂, likely due to the mineralization of exchangeable K from organic sources. </w:t>
      </w:r>
      <w:r w:rsidRPr="000244F1">
        <w:rPr>
          <w:rFonts w:ascii="Times New Roman" w:eastAsia="Times New Roman" w:hAnsi="Times New Roman" w:cs="Times New Roman"/>
          <w:sz w:val="24"/>
          <w:szCs w:val="24"/>
        </w:rPr>
        <w:t>Although calcium (Ca) and magnesium (Mg) were monitored, their values are not reported in Table 3. Slight increases under T₂ and T₃ suggest vermicompost may contribute to improved base saturation and cation exchange</w:t>
      </w:r>
      <w:r w:rsidR="004E48AB" w:rsidRPr="004E48AB">
        <w:rPr>
          <w:rFonts w:ascii="Times New Roman" w:eastAsia="Times New Roman" w:hAnsi="Times New Roman" w:cs="Times New Roman"/>
          <w:sz w:val="24"/>
          <w:szCs w:val="24"/>
        </w:rPr>
        <w:t>. Soil pH remained within a moderately favorable range (6.0–6.5) across all treatments, with slight increases in T₂ and T₃. The significantly higher Zn and B levels in T₃ further indicate the role of organic amendments in enhancing micronutrient bioavailability.</w:t>
      </w:r>
    </w:p>
    <w:p w14:paraId="7F60B995" w14:textId="77777777" w:rsidR="004E48AB" w:rsidRPr="006A3303" w:rsidRDefault="004E48AB" w:rsidP="004E48AB">
      <w:p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noProof/>
        </w:rPr>
        <w:lastRenderedPageBreak/>
        <w:drawing>
          <wp:inline distT="0" distB="0" distL="0" distR="0" wp14:anchorId="7F60BA45" wp14:editId="7F60BA46">
            <wp:extent cx="4079875" cy="2447925"/>
            <wp:effectExtent l="0" t="0" r="0" b="9525"/>
            <wp:docPr id="11" name="Picture 11" descr="C:\Users\Khalid\Downloads\Figure_1a_Soil_Nutrients_Par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id\Downloads\Figure_1a_Soil_Nutrients_Part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4239" cy="2450543"/>
                    </a:xfrm>
                    <a:prstGeom prst="rect">
                      <a:avLst/>
                    </a:prstGeom>
                    <a:noFill/>
                    <a:ln>
                      <a:noFill/>
                    </a:ln>
                  </pic:spPr>
                </pic:pic>
              </a:graphicData>
            </a:graphic>
          </wp:inline>
        </w:drawing>
      </w:r>
    </w:p>
    <w:p w14:paraId="7F60B996" w14:textId="77777777" w:rsidR="004E48AB" w:rsidRPr="005B2FEA" w:rsidRDefault="004E48AB" w:rsidP="004E48AB">
      <w:pPr>
        <w:pStyle w:val="NormalWeb"/>
        <w:rPr>
          <w:rStyle w:val="Strong"/>
          <w:rFonts w:eastAsiaTheme="minorHAnsi"/>
          <w:b w:val="0"/>
          <w:sz w:val="22"/>
          <w:szCs w:val="22"/>
        </w:rPr>
      </w:pPr>
      <w:r w:rsidRPr="006F5DF5">
        <w:rPr>
          <w:rStyle w:val="Strong"/>
          <w:rFonts w:eastAsiaTheme="minorHAnsi"/>
          <w:sz w:val="22"/>
          <w:szCs w:val="22"/>
        </w:rPr>
        <w:t xml:space="preserve">Figure 1a. </w:t>
      </w:r>
      <w:r w:rsidRPr="005B2FEA">
        <w:rPr>
          <w:rStyle w:val="Strong"/>
          <w:rFonts w:eastAsiaTheme="minorHAnsi"/>
          <w:b w:val="0"/>
          <w:sz w:val="22"/>
          <w:szCs w:val="22"/>
        </w:rPr>
        <w:t>Effects of organic treatments on soil macronutrients: organic matter (%), nitrogen (%), phosphorus (ppm), and potassium (ppm).</w:t>
      </w:r>
    </w:p>
    <w:p w14:paraId="7F60B998" w14:textId="4F94CD86" w:rsidR="004E48AB" w:rsidRPr="006A3303" w:rsidRDefault="0005536D" w:rsidP="004E48AB">
      <w:pPr>
        <w:pStyle w:val="NormalWeb"/>
        <w:rPr>
          <w:sz w:val="22"/>
          <w:szCs w:val="22"/>
        </w:rPr>
      </w:pPr>
      <w:r w:rsidRPr="0005536D">
        <w:rPr>
          <w:rStyle w:val="Strong"/>
          <w:rFonts w:eastAsiaTheme="minorHAnsi"/>
          <w:b w:val="0"/>
          <w:sz w:val="22"/>
          <w:szCs w:val="22"/>
        </w:rPr>
        <w:t>Bars indicate mean values with standard deviation (± SD). Means labeled with different letters are significantly different at the 5% probability level (p &lt; 0.05).</w:t>
      </w:r>
      <w:r w:rsidR="004E48AB" w:rsidRPr="006F5DF5">
        <w:rPr>
          <w:rStyle w:val="Strong"/>
          <w:rFonts w:eastAsiaTheme="minorHAnsi"/>
          <w:sz w:val="22"/>
          <w:szCs w:val="22"/>
        </w:rPr>
        <w:t xml:space="preserve"> </w:t>
      </w:r>
      <w:r w:rsidR="004E48AB" w:rsidRPr="006A3303">
        <w:rPr>
          <w:noProof/>
          <w:sz w:val="22"/>
          <w:szCs w:val="22"/>
        </w:rPr>
        <w:drawing>
          <wp:inline distT="0" distB="0" distL="0" distR="0" wp14:anchorId="7F60BA47" wp14:editId="7F60BA48">
            <wp:extent cx="5880100" cy="3528060"/>
            <wp:effectExtent l="0" t="0" r="6350" b="0"/>
            <wp:docPr id="7" name="Picture 7" descr="C:\Users\Khalid\Downloads\Figure_1b_Soil_Nutrients_P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halid\Downloads\Figure_1b_Soil_Nutrients_Pa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5349" cy="3531209"/>
                    </a:xfrm>
                    <a:prstGeom prst="rect">
                      <a:avLst/>
                    </a:prstGeom>
                    <a:noFill/>
                    <a:ln>
                      <a:noFill/>
                    </a:ln>
                  </pic:spPr>
                </pic:pic>
              </a:graphicData>
            </a:graphic>
          </wp:inline>
        </w:drawing>
      </w:r>
    </w:p>
    <w:p w14:paraId="7F60B999" w14:textId="77777777" w:rsidR="004E48AB" w:rsidRPr="006F5DF5" w:rsidRDefault="004E48AB" w:rsidP="004E48AB">
      <w:pPr>
        <w:spacing w:before="100" w:beforeAutospacing="1" w:after="100" w:afterAutospacing="1" w:line="240" w:lineRule="auto"/>
        <w:rPr>
          <w:rStyle w:val="Strong"/>
          <w:rFonts w:ascii="Times New Roman" w:eastAsia="Times New Roman" w:hAnsi="Times New Roman" w:cs="Times New Roman"/>
          <w:b w:val="0"/>
        </w:rPr>
      </w:pPr>
      <w:r w:rsidRPr="006F5DF5">
        <w:rPr>
          <w:rStyle w:val="Strong"/>
          <w:rFonts w:ascii="Times New Roman" w:eastAsia="Times New Roman" w:hAnsi="Times New Roman" w:cs="Times New Roman"/>
        </w:rPr>
        <w:t xml:space="preserve">Figure 1b. </w:t>
      </w:r>
      <w:r w:rsidRPr="005B2FEA">
        <w:rPr>
          <w:rStyle w:val="Strong"/>
          <w:rFonts w:ascii="Times New Roman" w:eastAsia="Times New Roman" w:hAnsi="Times New Roman" w:cs="Times New Roman"/>
          <w:b w:val="0"/>
        </w:rPr>
        <w:t>Effects of organic treatments on sulfur and micronutrient concentrations: sulfur (ppm), zinc (ppm), and boron (ppm).</w:t>
      </w:r>
    </w:p>
    <w:p w14:paraId="5A87F224" w14:textId="77777777" w:rsidR="0005536D" w:rsidRDefault="0005536D" w:rsidP="004E48AB">
      <w:pPr>
        <w:jc w:val="both"/>
        <w:rPr>
          <w:rStyle w:val="Strong"/>
          <w:rFonts w:ascii="Times New Roman" w:eastAsia="Times New Roman" w:hAnsi="Times New Roman" w:cs="Times New Roman"/>
          <w:b w:val="0"/>
        </w:rPr>
      </w:pPr>
      <w:r w:rsidRPr="0005536D">
        <w:rPr>
          <w:rStyle w:val="Strong"/>
          <w:rFonts w:ascii="Times New Roman" w:eastAsia="Times New Roman" w:hAnsi="Times New Roman" w:cs="Times New Roman"/>
          <w:b w:val="0"/>
        </w:rPr>
        <w:t>Bars indicate mean values with standard deviation (± SD). Means labeled with different letters are significantly different at the 5% probability level (p &lt; 0.05).</w:t>
      </w:r>
    </w:p>
    <w:p w14:paraId="7F60B99B" w14:textId="369884BC" w:rsidR="004E48AB" w:rsidRDefault="004E48AB" w:rsidP="004E48AB">
      <w:pPr>
        <w:jc w:val="both"/>
        <w:rPr>
          <w:rFonts w:ascii="Times New Roman" w:hAnsi="Times New Roman" w:cs="Times New Roman"/>
          <w:b/>
        </w:rPr>
      </w:pPr>
      <w:r w:rsidRPr="006F5DF5">
        <w:rPr>
          <w:rFonts w:ascii="Times New Roman" w:hAnsi="Times New Roman" w:cs="Times New Roman"/>
          <w:b/>
        </w:rPr>
        <w:lastRenderedPageBreak/>
        <w:t xml:space="preserve">Table </w:t>
      </w:r>
      <w:r w:rsidR="00D40C63">
        <w:rPr>
          <w:rFonts w:ascii="Times New Roman" w:hAnsi="Times New Roman" w:cs="Times New Roman"/>
          <w:b/>
        </w:rPr>
        <w:t>3</w:t>
      </w:r>
      <w:r w:rsidRPr="006F5DF5">
        <w:rPr>
          <w:rFonts w:ascii="Times New Roman" w:hAnsi="Times New Roman" w:cs="Times New Roman"/>
          <w:b/>
        </w:rPr>
        <w:t>. Soil chemical properties as affected by organic matter and vermicompost treatments.</w:t>
      </w:r>
    </w:p>
    <w:p w14:paraId="7F60B99C" w14:textId="6E89331C" w:rsidR="004E48AB" w:rsidRPr="006F5DF5" w:rsidRDefault="0005536D" w:rsidP="004E48AB">
      <w:pPr>
        <w:jc w:val="both"/>
        <w:rPr>
          <w:rFonts w:ascii="Times New Roman" w:hAnsi="Times New Roman" w:cs="Times New Roman"/>
        </w:rPr>
      </w:pPr>
      <w:r w:rsidRPr="0005536D">
        <w:rPr>
          <w:rFonts w:ascii="Times New Roman" w:hAnsi="Times New Roman" w:cs="Times New Roman"/>
        </w:rPr>
        <w:t>Data are presented as means ± standard deviation (n = 3). Values within a row followed by different letters are significantly different at the 5% level according to the LSD test.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E48AB" w:rsidRPr="006A3303" w14:paraId="7F60B9A3" w14:textId="77777777" w:rsidTr="00C87492">
        <w:tc>
          <w:tcPr>
            <w:tcW w:w="1596" w:type="dxa"/>
            <w:vAlign w:val="center"/>
          </w:tcPr>
          <w:p w14:paraId="7F60B99D"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Parameter</w:t>
            </w:r>
          </w:p>
        </w:tc>
        <w:tc>
          <w:tcPr>
            <w:tcW w:w="1596" w:type="dxa"/>
            <w:vAlign w:val="center"/>
          </w:tcPr>
          <w:p w14:paraId="7F60B99E"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T₀ (Control)</w:t>
            </w:r>
          </w:p>
        </w:tc>
        <w:tc>
          <w:tcPr>
            <w:tcW w:w="1596" w:type="dxa"/>
            <w:vAlign w:val="center"/>
          </w:tcPr>
          <w:p w14:paraId="7F60B99F"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T₁ (OM)</w:t>
            </w:r>
          </w:p>
        </w:tc>
        <w:tc>
          <w:tcPr>
            <w:tcW w:w="1596" w:type="dxa"/>
            <w:vAlign w:val="center"/>
          </w:tcPr>
          <w:p w14:paraId="7F60B9A0"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T₂ (VC)</w:t>
            </w:r>
          </w:p>
        </w:tc>
        <w:tc>
          <w:tcPr>
            <w:tcW w:w="1596" w:type="dxa"/>
            <w:vAlign w:val="center"/>
          </w:tcPr>
          <w:p w14:paraId="7F60B9A1"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T₃ (OM + VC)</w:t>
            </w:r>
          </w:p>
        </w:tc>
        <w:tc>
          <w:tcPr>
            <w:tcW w:w="1596" w:type="dxa"/>
            <w:vAlign w:val="center"/>
          </w:tcPr>
          <w:p w14:paraId="7F60B9A2"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LSD (0.05)</w:t>
            </w:r>
          </w:p>
        </w:tc>
      </w:tr>
      <w:tr w:rsidR="004E48AB" w:rsidRPr="006A3303" w14:paraId="7F60B9AA" w14:textId="77777777" w:rsidTr="00C87492">
        <w:tc>
          <w:tcPr>
            <w:tcW w:w="1596" w:type="dxa"/>
            <w:vAlign w:val="center"/>
          </w:tcPr>
          <w:p w14:paraId="7F60B9A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Organic Matter (%)</w:t>
            </w:r>
          </w:p>
        </w:tc>
        <w:tc>
          <w:tcPr>
            <w:tcW w:w="1596" w:type="dxa"/>
            <w:vAlign w:val="center"/>
          </w:tcPr>
          <w:p w14:paraId="7F60B9A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1.21 ± 0.05</w:t>
            </w:r>
          </w:p>
        </w:tc>
        <w:tc>
          <w:tcPr>
            <w:tcW w:w="1596" w:type="dxa"/>
            <w:vAlign w:val="center"/>
          </w:tcPr>
          <w:p w14:paraId="7F60B9A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1.68 ± 0.07</w:t>
            </w:r>
          </w:p>
        </w:tc>
        <w:tc>
          <w:tcPr>
            <w:tcW w:w="1596" w:type="dxa"/>
            <w:vAlign w:val="center"/>
          </w:tcPr>
          <w:p w14:paraId="7F60B9A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2.03 ± 0.09</w:t>
            </w:r>
          </w:p>
        </w:tc>
        <w:tc>
          <w:tcPr>
            <w:tcW w:w="1596" w:type="dxa"/>
            <w:vAlign w:val="center"/>
          </w:tcPr>
          <w:p w14:paraId="7F60B9A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2.34 ± 0.10</w:t>
            </w:r>
          </w:p>
        </w:tc>
        <w:tc>
          <w:tcPr>
            <w:tcW w:w="1596" w:type="dxa"/>
            <w:vAlign w:val="center"/>
          </w:tcPr>
          <w:p w14:paraId="7F60B9A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0.19</w:t>
            </w:r>
          </w:p>
        </w:tc>
      </w:tr>
      <w:tr w:rsidR="004E48AB" w:rsidRPr="006A3303" w14:paraId="7F60B9B1" w14:textId="77777777" w:rsidTr="00C87492">
        <w:tc>
          <w:tcPr>
            <w:tcW w:w="1596" w:type="dxa"/>
            <w:vAlign w:val="center"/>
          </w:tcPr>
          <w:p w14:paraId="7F60B9A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Total N (%)</w:t>
            </w:r>
          </w:p>
        </w:tc>
        <w:tc>
          <w:tcPr>
            <w:tcW w:w="1596" w:type="dxa"/>
            <w:vAlign w:val="center"/>
          </w:tcPr>
          <w:p w14:paraId="7F60B9A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0.09 ± 0.01</w:t>
            </w:r>
          </w:p>
        </w:tc>
        <w:tc>
          <w:tcPr>
            <w:tcW w:w="1596" w:type="dxa"/>
            <w:vAlign w:val="center"/>
          </w:tcPr>
          <w:p w14:paraId="7F60B9A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0.13 ± 0.01</w:t>
            </w:r>
          </w:p>
        </w:tc>
        <w:tc>
          <w:tcPr>
            <w:tcW w:w="1596" w:type="dxa"/>
            <w:vAlign w:val="center"/>
          </w:tcPr>
          <w:p w14:paraId="7F60B9A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0.16 ± 0.01</w:t>
            </w:r>
          </w:p>
        </w:tc>
        <w:tc>
          <w:tcPr>
            <w:tcW w:w="1596" w:type="dxa"/>
            <w:vAlign w:val="center"/>
          </w:tcPr>
          <w:p w14:paraId="7F60B9A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0.19 ± 0.01</w:t>
            </w:r>
          </w:p>
        </w:tc>
        <w:tc>
          <w:tcPr>
            <w:tcW w:w="1596" w:type="dxa"/>
            <w:vAlign w:val="center"/>
          </w:tcPr>
          <w:p w14:paraId="7F60B9B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0.02</w:t>
            </w:r>
          </w:p>
        </w:tc>
      </w:tr>
      <w:tr w:rsidR="004E48AB" w:rsidRPr="006A3303" w14:paraId="7F60B9B8" w14:textId="77777777" w:rsidTr="00C87492">
        <w:tc>
          <w:tcPr>
            <w:tcW w:w="1596" w:type="dxa"/>
            <w:vAlign w:val="center"/>
          </w:tcPr>
          <w:p w14:paraId="7F60B9B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Available P (ppm)</w:t>
            </w:r>
          </w:p>
        </w:tc>
        <w:tc>
          <w:tcPr>
            <w:tcW w:w="1596" w:type="dxa"/>
            <w:vAlign w:val="center"/>
          </w:tcPr>
          <w:p w14:paraId="7F60B9B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13.7 ± 1.2</w:t>
            </w:r>
          </w:p>
        </w:tc>
        <w:tc>
          <w:tcPr>
            <w:tcW w:w="1596" w:type="dxa"/>
            <w:vAlign w:val="center"/>
          </w:tcPr>
          <w:p w14:paraId="7F60B9B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16.5 ± 1.0</w:t>
            </w:r>
          </w:p>
        </w:tc>
        <w:tc>
          <w:tcPr>
            <w:tcW w:w="1596" w:type="dxa"/>
            <w:vAlign w:val="center"/>
          </w:tcPr>
          <w:p w14:paraId="7F60B9B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19.6 ± 1.5</w:t>
            </w:r>
          </w:p>
        </w:tc>
        <w:tc>
          <w:tcPr>
            <w:tcW w:w="1596" w:type="dxa"/>
            <w:vAlign w:val="center"/>
          </w:tcPr>
          <w:p w14:paraId="7F60B9B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22.8 ± 1.6</w:t>
            </w:r>
          </w:p>
        </w:tc>
        <w:tc>
          <w:tcPr>
            <w:tcW w:w="1596" w:type="dxa"/>
            <w:vAlign w:val="center"/>
          </w:tcPr>
          <w:p w14:paraId="7F60B9B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2.1</w:t>
            </w:r>
          </w:p>
        </w:tc>
      </w:tr>
      <w:tr w:rsidR="004E48AB" w:rsidRPr="006A3303" w14:paraId="7F60B9BF" w14:textId="77777777" w:rsidTr="00C87492">
        <w:tc>
          <w:tcPr>
            <w:tcW w:w="1596" w:type="dxa"/>
            <w:vAlign w:val="center"/>
          </w:tcPr>
          <w:p w14:paraId="7F60B9B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Exchangeable K (ppm)</w:t>
            </w:r>
          </w:p>
        </w:tc>
        <w:tc>
          <w:tcPr>
            <w:tcW w:w="1596" w:type="dxa"/>
            <w:vAlign w:val="center"/>
          </w:tcPr>
          <w:p w14:paraId="7F60B9B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89 ± 5</w:t>
            </w:r>
          </w:p>
        </w:tc>
        <w:tc>
          <w:tcPr>
            <w:tcW w:w="1596" w:type="dxa"/>
            <w:vAlign w:val="center"/>
          </w:tcPr>
          <w:p w14:paraId="7F60B9B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104 ± 6</w:t>
            </w:r>
          </w:p>
        </w:tc>
        <w:tc>
          <w:tcPr>
            <w:tcW w:w="1596" w:type="dxa"/>
            <w:vAlign w:val="center"/>
          </w:tcPr>
          <w:p w14:paraId="7F60B9B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128 ± 7</w:t>
            </w:r>
          </w:p>
        </w:tc>
        <w:tc>
          <w:tcPr>
            <w:tcW w:w="1596" w:type="dxa"/>
            <w:vAlign w:val="center"/>
          </w:tcPr>
          <w:p w14:paraId="7F60B9B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144 ± 8</w:t>
            </w:r>
          </w:p>
        </w:tc>
        <w:tc>
          <w:tcPr>
            <w:tcW w:w="1596" w:type="dxa"/>
            <w:vAlign w:val="center"/>
          </w:tcPr>
          <w:p w14:paraId="7F60B9B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10</w:t>
            </w:r>
          </w:p>
        </w:tc>
      </w:tr>
      <w:tr w:rsidR="004E48AB" w:rsidRPr="006A3303" w14:paraId="7F60B9C6" w14:textId="77777777" w:rsidTr="00C87492">
        <w:tc>
          <w:tcPr>
            <w:tcW w:w="1596" w:type="dxa"/>
            <w:vAlign w:val="center"/>
          </w:tcPr>
          <w:p w14:paraId="7F60B9C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S (ppm)</w:t>
            </w:r>
          </w:p>
        </w:tc>
        <w:tc>
          <w:tcPr>
            <w:tcW w:w="1596" w:type="dxa"/>
            <w:vAlign w:val="center"/>
          </w:tcPr>
          <w:p w14:paraId="7F60B9C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6.4 ± 0.8</w:t>
            </w:r>
          </w:p>
        </w:tc>
        <w:tc>
          <w:tcPr>
            <w:tcW w:w="1596" w:type="dxa"/>
            <w:vAlign w:val="center"/>
          </w:tcPr>
          <w:p w14:paraId="7F60B9C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8.3 ± 0.9</w:t>
            </w:r>
          </w:p>
        </w:tc>
        <w:tc>
          <w:tcPr>
            <w:tcW w:w="1596" w:type="dxa"/>
            <w:vAlign w:val="center"/>
          </w:tcPr>
          <w:p w14:paraId="7F60B9C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11.2 ± 0.9</w:t>
            </w:r>
          </w:p>
        </w:tc>
        <w:tc>
          <w:tcPr>
            <w:tcW w:w="1596" w:type="dxa"/>
            <w:vAlign w:val="center"/>
          </w:tcPr>
          <w:p w14:paraId="7F60B9C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12.7 ± 1.0</w:t>
            </w:r>
          </w:p>
        </w:tc>
        <w:tc>
          <w:tcPr>
            <w:tcW w:w="1596" w:type="dxa"/>
            <w:vAlign w:val="center"/>
          </w:tcPr>
          <w:p w14:paraId="7F60B9C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1.5</w:t>
            </w:r>
          </w:p>
        </w:tc>
      </w:tr>
      <w:tr w:rsidR="004E48AB" w:rsidRPr="006A3303" w14:paraId="7F60B9CD" w14:textId="77777777" w:rsidTr="00C87492">
        <w:tc>
          <w:tcPr>
            <w:tcW w:w="1596" w:type="dxa"/>
            <w:vAlign w:val="center"/>
          </w:tcPr>
          <w:p w14:paraId="7F60B9C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pH</w:t>
            </w:r>
          </w:p>
        </w:tc>
        <w:tc>
          <w:tcPr>
            <w:tcW w:w="1596" w:type="dxa"/>
            <w:vAlign w:val="center"/>
          </w:tcPr>
          <w:p w14:paraId="7F60B9C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6.0 ± 0.1</w:t>
            </w:r>
          </w:p>
        </w:tc>
        <w:tc>
          <w:tcPr>
            <w:tcW w:w="1596" w:type="dxa"/>
            <w:vAlign w:val="center"/>
          </w:tcPr>
          <w:p w14:paraId="7F60B9C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6.1 ± 0.1</w:t>
            </w:r>
          </w:p>
        </w:tc>
        <w:tc>
          <w:tcPr>
            <w:tcW w:w="1596" w:type="dxa"/>
            <w:vAlign w:val="center"/>
          </w:tcPr>
          <w:p w14:paraId="7F60B9C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6.4 ± 0.1</w:t>
            </w:r>
          </w:p>
        </w:tc>
        <w:tc>
          <w:tcPr>
            <w:tcW w:w="1596" w:type="dxa"/>
            <w:vAlign w:val="center"/>
          </w:tcPr>
          <w:p w14:paraId="7F60B9C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6.5 ± 0.1</w:t>
            </w:r>
          </w:p>
        </w:tc>
        <w:tc>
          <w:tcPr>
            <w:tcW w:w="1596" w:type="dxa"/>
            <w:vAlign w:val="center"/>
          </w:tcPr>
          <w:p w14:paraId="7F60B9C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0.2</w:t>
            </w:r>
          </w:p>
        </w:tc>
      </w:tr>
      <w:tr w:rsidR="004E48AB" w:rsidRPr="006A3303" w14:paraId="7F60B9D4" w14:textId="77777777" w:rsidTr="00C87492">
        <w:tc>
          <w:tcPr>
            <w:tcW w:w="1596" w:type="dxa"/>
            <w:vAlign w:val="center"/>
          </w:tcPr>
          <w:p w14:paraId="7F60B9C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Zn (ppm)</w:t>
            </w:r>
          </w:p>
        </w:tc>
        <w:tc>
          <w:tcPr>
            <w:tcW w:w="1596" w:type="dxa"/>
            <w:vAlign w:val="center"/>
          </w:tcPr>
          <w:p w14:paraId="7F60B9C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0.57 ± 0.05</w:t>
            </w:r>
          </w:p>
        </w:tc>
        <w:tc>
          <w:tcPr>
            <w:tcW w:w="1596" w:type="dxa"/>
            <w:vAlign w:val="center"/>
          </w:tcPr>
          <w:p w14:paraId="7F60B9D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0.72 ± 0.06</w:t>
            </w:r>
          </w:p>
        </w:tc>
        <w:tc>
          <w:tcPr>
            <w:tcW w:w="1596" w:type="dxa"/>
            <w:vAlign w:val="center"/>
          </w:tcPr>
          <w:p w14:paraId="7F60B9D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0.89 ± 0.07</w:t>
            </w:r>
          </w:p>
        </w:tc>
        <w:tc>
          <w:tcPr>
            <w:tcW w:w="1596" w:type="dxa"/>
            <w:vAlign w:val="center"/>
          </w:tcPr>
          <w:p w14:paraId="7F60B9D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1.04 ± 0.08</w:t>
            </w:r>
          </w:p>
        </w:tc>
        <w:tc>
          <w:tcPr>
            <w:tcW w:w="1596" w:type="dxa"/>
            <w:vAlign w:val="center"/>
          </w:tcPr>
          <w:p w14:paraId="7F60B9D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w:t>
            </w:r>
          </w:p>
        </w:tc>
      </w:tr>
      <w:tr w:rsidR="004E48AB" w:rsidRPr="006A3303" w14:paraId="7F60B9DB" w14:textId="77777777" w:rsidTr="00C87492">
        <w:tc>
          <w:tcPr>
            <w:tcW w:w="1596" w:type="dxa"/>
            <w:vAlign w:val="center"/>
          </w:tcPr>
          <w:p w14:paraId="7F60B9D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B (ppm)</w:t>
            </w:r>
          </w:p>
        </w:tc>
        <w:tc>
          <w:tcPr>
            <w:tcW w:w="1596" w:type="dxa"/>
            <w:vAlign w:val="center"/>
          </w:tcPr>
          <w:p w14:paraId="7F60B9D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0.19 ± 0.02</w:t>
            </w:r>
          </w:p>
        </w:tc>
        <w:tc>
          <w:tcPr>
            <w:tcW w:w="1596" w:type="dxa"/>
            <w:vAlign w:val="center"/>
          </w:tcPr>
          <w:p w14:paraId="7F60B9D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0.25 ± 0.02</w:t>
            </w:r>
          </w:p>
        </w:tc>
        <w:tc>
          <w:tcPr>
            <w:tcW w:w="1596" w:type="dxa"/>
            <w:vAlign w:val="center"/>
          </w:tcPr>
          <w:p w14:paraId="7F60B9D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0.32 ± 0.02</w:t>
            </w:r>
          </w:p>
        </w:tc>
        <w:tc>
          <w:tcPr>
            <w:tcW w:w="1596" w:type="dxa"/>
            <w:vAlign w:val="center"/>
          </w:tcPr>
          <w:p w14:paraId="7F60B9D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0.38 ± 0.02</w:t>
            </w:r>
          </w:p>
        </w:tc>
        <w:tc>
          <w:tcPr>
            <w:tcW w:w="1596" w:type="dxa"/>
            <w:vAlign w:val="center"/>
          </w:tcPr>
          <w:p w14:paraId="7F60B9D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0.04</w:t>
            </w:r>
          </w:p>
        </w:tc>
      </w:tr>
    </w:tbl>
    <w:p w14:paraId="7F60B9DC" w14:textId="77777777" w:rsidR="004E48AB" w:rsidRPr="006A3303" w:rsidRDefault="004E48AB" w:rsidP="004E48AB">
      <w:pPr>
        <w:jc w:val="both"/>
        <w:rPr>
          <w:rFonts w:ascii="Times New Roman" w:hAnsi="Times New Roman" w:cs="Times New Roman"/>
        </w:rPr>
      </w:pPr>
    </w:p>
    <w:p w14:paraId="7F60B9DD"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4E48AB">
        <w:rPr>
          <w:rFonts w:ascii="Times New Roman" w:eastAsia="Times New Roman" w:hAnsi="Times New Roman" w:cs="Times New Roman"/>
          <w:b/>
          <w:bCs/>
        </w:rPr>
        <w:t>4.2. Effects on Tomato Growth and Yield</w:t>
      </w:r>
    </w:p>
    <w:p w14:paraId="7F60B9DE" w14:textId="69DFE2E3"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Tomato growth and yield components responded significantly to organic treatments</w:t>
      </w:r>
      <w:r w:rsidR="000E29C6">
        <w:rPr>
          <w:rFonts w:ascii="Times New Roman" w:eastAsia="Times New Roman" w:hAnsi="Times New Roman" w:cs="Times New Roman"/>
          <w:sz w:val="24"/>
          <w:szCs w:val="24"/>
        </w:rPr>
        <w:t>,</w:t>
      </w:r>
      <w:r w:rsidRPr="004E48AB">
        <w:rPr>
          <w:rFonts w:ascii="Times New Roman" w:eastAsia="Times New Roman" w:hAnsi="Times New Roman" w:cs="Times New Roman"/>
          <w:sz w:val="24"/>
          <w:szCs w:val="24"/>
        </w:rPr>
        <w:t xml:space="preserve"> </w:t>
      </w:r>
      <w:r w:rsidR="000E29C6">
        <w:rPr>
          <w:rFonts w:ascii="Times New Roman" w:eastAsia="Times New Roman" w:hAnsi="Times New Roman" w:cs="Times New Roman"/>
          <w:sz w:val="24"/>
          <w:szCs w:val="24"/>
        </w:rPr>
        <w:t>as shown in Table 4.</w:t>
      </w:r>
      <w:r w:rsidRPr="004E48AB">
        <w:rPr>
          <w:rFonts w:ascii="Times New Roman" w:eastAsia="Times New Roman" w:hAnsi="Times New Roman" w:cs="Times New Roman"/>
          <w:sz w:val="24"/>
          <w:szCs w:val="24"/>
        </w:rPr>
        <w:t xml:space="preserve"> The combined application (T₃) resulted in the tallest plants (49.6 cm), highest fruit number per plant (16), and greatest average fruit weight (219 g), while the control (T₀) recorded the lowest values. Vermicompost alone (T₂) significantly outperformed organic matter alone (T₁), but their combination (T₃) yielded the most pronounced improvements.</w:t>
      </w:r>
    </w:p>
    <w:p w14:paraId="7F60B9DF" w14:textId="77777777" w:rsidR="004E48AB" w:rsidRPr="006A3303" w:rsidRDefault="004E48AB" w:rsidP="004E48AB">
      <w:pPr>
        <w:pStyle w:val="NormalWeb"/>
        <w:jc w:val="both"/>
        <w:rPr>
          <w:sz w:val="22"/>
          <w:szCs w:val="22"/>
        </w:rPr>
      </w:pPr>
      <w:r w:rsidRPr="006A3303">
        <w:rPr>
          <w:noProof/>
          <w:sz w:val="22"/>
          <w:szCs w:val="22"/>
        </w:rPr>
        <w:drawing>
          <wp:inline distT="0" distB="0" distL="0" distR="0" wp14:anchorId="7F60BA49" wp14:editId="7F60BA4A">
            <wp:extent cx="5191125" cy="3114675"/>
            <wp:effectExtent l="0" t="0" r="0" b="9525"/>
            <wp:docPr id="19" name="Picture 19" descr="C:\Users\Khalid\Downloads\Figure_2_Tomato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alid\Downloads\Figure_2_Tomato_Growt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2021" cy="3121213"/>
                    </a:xfrm>
                    <a:prstGeom prst="rect">
                      <a:avLst/>
                    </a:prstGeom>
                    <a:noFill/>
                    <a:ln>
                      <a:noFill/>
                    </a:ln>
                  </pic:spPr>
                </pic:pic>
              </a:graphicData>
            </a:graphic>
          </wp:inline>
        </w:drawing>
      </w:r>
    </w:p>
    <w:p w14:paraId="7F60B9E0" w14:textId="77777777" w:rsidR="004E48AB" w:rsidRPr="00A61CA0" w:rsidRDefault="004E48AB" w:rsidP="004E48AB">
      <w:pPr>
        <w:spacing w:before="100" w:beforeAutospacing="1" w:after="100" w:afterAutospacing="1" w:line="240" w:lineRule="auto"/>
        <w:rPr>
          <w:rStyle w:val="Strong"/>
          <w:rFonts w:ascii="Times New Roman" w:hAnsi="Times New Roman" w:cs="Times New Roman"/>
          <w:b w:val="0"/>
        </w:rPr>
      </w:pPr>
      <w:r w:rsidRPr="006A3303">
        <w:rPr>
          <w:rStyle w:val="Strong"/>
          <w:rFonts w:ascii="Times New Roman" w:hAnsi="Times New Roman" w:cs="Times New Roman"/>
        </w:rPr>
        <w:t xml:space="preserve">Figure </w:t>
      </w:r>
      <w:proofErr w:type="gramStart"/>
      <w:r w:rsidRPr="006A3303">
        <w:rPr>
          <w:rStyle w:val="Strong"/>
          <w:rFonts w:ascii="Times New Roman" w:hAnsi="Times New Roman" w:cs="Times New Roman"/>
        </w:rPr>
        <w:t>2</w:t>
      </w:r>
      <w:r>
        <w:t>.</w:t>
      </w:r>
      <w:r w:rsidRPr="00A61CA0">
        <w:rPr>
          <w:rStyle w:val="Strong"/>
          <w:rFonts w:ascii="Times New Roman" w:hAnsi="Times New Roman" w:cs="Times New Roman"/>
          <w:b w:val="0"/>
        </w:rPr>
        <w:t>Plant</w:t>
      </w:r>
      <w:proofErr w:type="gramEnd"/>
      <w:r w:rsidRPr="00A61CA0">
        <w:rPr>
          <w:rStyle w:val="Strong"/>
          <w:rFonts w:ascii="Times New Roman" w:hAnsi="Times New Roman" w:cs="Times New Roman"/>
          <w:b w:val="0"/>
        </w:rPr>
        <w:t xml:space="preserve"> height, fruit number per plant, and fruit weight of tomato under different organic treatments.</w:t>
      </w:r>
    </w:p>
    <w:p w14:paraId="7F60B9E1" w14:textId="77777777" w:rsidR="004E48AB" w:rsidRPr="00A61CA0" w:rsidRDefault="004E48AB" w:rsidP="004E48AB">
      <w:pPr>
        <w:spacing w:before="100" w:beforeAutospacing="1" w:after="100" w:afterAutospacing="1" w:line="240" w:lineRule="auto"/>
        <w:rPr>
          <w:rStyle w:val="Strong"/>
          <w:rFonts w:ascii="Times New Roman" w:hAnsi="Times New Roman" w:cs="Times New Roman"/>
          <w:b w:val="0"/>
        </w:rPr>
      </w:pPr>
      <w:r w:rsidRPr="00A61CA0">
        <w:rPr>
          <w:rStyle w:val="Strong"/>
          <w:rFonts w:ascii="Times New Roman" w:hAnsi="Times New Roman" w:cs="Times New Roman"/>
          <w:b w:val="0"/>
        </w:rPr>
        <w:lastRenderedPageBreak/>
        <w:t xml:space="preserve">Error bars show standard deviation. Letters indicate significant differences at p &lt; 0.05. </w:t>
      </w:r>
    </w:p>
    <w:p w14:paraId="7F60B9E2" w14:textId="4B4F2A5A" w:rsidR="004E48AB" w:rsidRDefault="004E48AB" w:rsidP="004E48AB">
      <w:pPr>
        <w:spacing w:before="100" w:beforeAutospacing="1" w:after="100" w:afterAutospacing="1" w:line="240" w:lineRule="auto"/>
        <w:rPr>
          <w:rFonts w:ascii="Times New Roman" w:hAnsi="Times New Roman" w:cs="Times New Roman"/>
          <w:b/>
        </w:rPr>
      </w:pPr>
      <w:r w:rsidRPr="006F5DF5">
        <w:rPr>
          <w:rFonts w:ascii="Times New Roman" w:hAnsi="Times New Roman" w:cs="Times New Roman"/>
          <w:b/>
        </w:rPr>
        <w:t xml:space="preserve">Table </w:t>
      </w:r>
      <w:r w:rsidR="00D40C63">
        <w:rPr>
          <w:rFonts w:ascii="Times New Roman" w:hAnsi="Times New Roman" w:cs="Times New Roman"/>
          <w:b/>
        </w:rPr>
        <w:t>4</w:t>
      </w:r>
      <w:r w:rsidRPr="006F5DF5">
        <w:rPr>
          <w:rFonts w:ascii="Times New Roman" w:hAnsi="Times New Roman" w:cs="Times New Roman"/>
          <w:b/>
        </w:rPr>
        <w:t>. Effects of organic treatments on tomato growth and yield parameters.</w:t>
      </w:r>
    </w:p>
    <w:p w14:paraId="7F60B9E3" w14:textId="06376D3C" w:rsidR="004E48AB" w:rsidRPr="006F5DF5" w:rsidRDefault="0005536D" w:rsidP="004E48AB">
      <w:pPr>
        <w:spacing w:before="100" w:beforeAutospacing="1" w:after="100" w:afterAutospacing="1" w:line="240" w:lineRule="auto"/>
        <w:rPr>
          <w:rFonts w:ascii="Times New Roman" w:hAnsi="Times New Roman" w:cs="Times New Roman"/>
        </w:rPr>
      </w:pPr>
      <w:r w:rsidRPr="0005536D">
        <w:rPr>
          <w:rFonts w:ascii="Times New Roman" w:hAnsi="Times New Roman" w:cs="Times New Roman"/>
        </w:rPr>
        <w:t>Data are presented as means ± standard deviation (n = 3). Values within a row followed by different letters are significantly different at the 5% level according to the LSD test.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E48AB" w:rsidRPr="006A3303" w14:paraId="7F60B9EA" w14:textId="77777777" w:rsidTr="00C87492">
        <w:tc>
          <w:tcPr>
            <w:tcW w:w="1596" w:type="dxa"/>
            <w:vAlign w:val="center"/>
          </w:tcPr>
          <w:p w14:paraId="7F60B9E4"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Treatment</w:t>
            </w:r>
          </w:p>
        </w:tc>
        <w:tc>
          <w:tcPr>
            <w:tcW w:w="1596" w:type="dxa"/>
            <w:vAlign w:val="center"/>
          </w:tcPr>
          <w:p w14:paraId="7F60B9E5"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Plant Height (cm)</w:t>
            </w:r>
          </w:p>
        </w:tc>
        <w:tc>
          <w:tcPr>
            <w:tcW w:w="1596" w:type="dxa"/>
            <w:vAlign w:val="center"/>
          </w:tcPr>
          <w:p w14:paraId="7F60B9E6"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No. of Fruits</w:t>
            </w:r>
          </w:p>
        </w:tc>
        <w:tc>
          <w:tcPr>
            <w:tcW w:w="1596" w:type="dxa"/>
            <w:vAlign w:val="center"/>
          </w:tcPr>
          <w:p w14:paraId="7F60B9E7"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Fruit Weight (g)</w:t>
            </w:r>
          </w:p>
        </w:tc>
        <w:tc>
          <w:tcPr>
            <w:tcW w:w="1596" w:type="dxa"/>
            <w:vAlign w:val="center"/>
          </w:tcPr>
          <w:p w14:paraId="7F60B9E8"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Yield per Plant (kg)</w:t>
            </w:r>
          </w:p>
        </w:tc>
        <w:tc>
          <w:tcPr>
            <w:tcW w:w="1596" w:type="dxa"/>
            <w:vAlign w:val="center"/>
          </w:tcPr>
          <w:p w14:paraId="7F60B9E9"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Harvest Index (%)</w:t>
            </w:r>
          </w:p>
        </w:tc>
      </w:tr>
      <w:tr w:rsidR="004E48AB" w:rsidRPr="006A3303" w14:paraId="7F60B9F1" w14:textId="77777777" w:rsidTr="00C87492">
        <w:tc>
          <w:tcPr>
            <w:tcW w:w="1596" w:type="dxa"/>
            <w:vAlign w:val="center"/>
          </w:tcPr>
          <w:p w14:paraId="7F60B9E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T₀ (Control)</w:t>
            </w:r>
          </w:p>
        </w:tc>
        <w:tc>
          <w:tcPr>
            <w:tcW w:w="1596" w:type="dxa"/>
            <w:vAlign w:val="center"/>
          </w:tcPr>
          <w:p w14:paraId="7F60B9E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40.4 ± 1.4 </w:t>
            </w:r>
            <w:r w:rsidRPr="006A3303">
              <w:rPr>
                <w:rFonts w:ascii="Times New Roman" w:eastAsia="Times New Roman" w:hAnsi="Times New Roman" w:cs="Times New Roman"/>
                <w:bCs/>
              </w:rPr>
              <w:t>d</w:t>
            </w:r>
          </w:p>
        </w:tc>
        <w:tc>
          <w:tcPr>
            <w:tcW w:w="1596" w:type="dxa"/>
            <w:vAlign w:val="center"/>
          </w:tcPr>
          <w:p w14:paraId="7F60B9E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10 ± 0.5 </w:t>
            </w:r>
            <w:r w:rsidRPr="006A3303">
              <w:rPr>
                <w:rFonts w:ascii="Times New Roman" w:eastAsia="Times New Roman" w:hAnsi="Times New Roman" w:cs="Times New Roman"/>
                <w:bCs/>
              </w:rPr>
              <w:t>d</w:t>
            </w:r>
          </w:p>
        </w:tc>
        <w:tc>
          <w:tcPr>
            <w:tcW w:w="1596" w:type="dxa"/>
            <w:vAlign w:val="center"/>
          </w:tcPr>
          <w:p w14:paraId="7F60B9E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178 ± 6.8 </w:t>
            </w:r>
            <w:r w:rsidRPr="006A3303">
              <w:rPr>
                <w:rFonts w:ascii="Times New Roman" w:eastAsia="Times New Roman" w:hAnsi="Times New Roman" w:cs="Times New Roman"/>
                <w:bCs/>
              </w:rPr>
              <w:t>d</w:t>
            </w:r>
          </w:p>
        </w:tc>
        <w:tc>
          <w:tcPr>
            <w:tcW w:w="1596" w:type="dxa"/>
            <w:vAlign w:val="center"/>
          </w:tcPr>
          <w:p w14:paraId="7F60B9E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2.14 ± 0.09 </w:t>
            </w:r>
            <w:r w:rsidRPr="006A3303">
              <w:rPr>
                <w:rFonts w:ascii="Times New Roman" w:eastAsia="Times New Roman" w:hAnsi="Times New Roman" w:cs="Times New Roman"/>
                <w:bCs/>
              </w:rPr>
              <w:t>d</w:t>
            </w:r>
          </w:p>
        </w:tc>
        <w:tc>
          <w:tcPr>
            <w:tcW w:w="1596" w:type="dxa"/>
            <w:vAlign w:val="center"/>
          </w:tcPr>
          <w:p w14:paraId="7F60B9F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29.6 ± 1.3 </w:t>
            </w:r>
            <w:r w:rsidRPr="006A3303">
              <w:rPr>
                <w:rFonts w:ascii="Times New Roman" w:eastAsia="Times New Roman" w:hAnsi="Times New Roman" w:cs="Times New Roman"/>
                <w:bCs/>
              </w:rPr>
              <w:t>d</w:t>
            </w:r>
          </w:p>
        </w:tc>
      </w:tr>
      <w:tr w:rsidR="004E48AB" w:rsidRPr="006A3303" w14:paraId="7F60B9F8" w14:textId="77777777" w:rsidTr="00C87492">
        <w:tc>
          <w:tcPr>
            <w:tcW w:w="1596" w:type="dxa"/>
            <w:vAlign w:val="center"/>
          </w:tcPr>
          <w:p w14:paraId="7F60B9F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T₁ (OM)</w:t>
            </w:r>
          </w:p>
        </w:tc>
        <w:tc>
          <w:tcPr>
            <w:tcW w:w="1596" w:type="dxa"/>
            <w:vAlign w:val="center"/>
          </w:tcPr>
          <w:p w14:paraId="7F60B9F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44.6 ± 1.1 </w:t>
            </w:r>
            <w:r w:rsidRPr="006A3303">
              <w:rPr>
                <w:rFonts w:ascii="Times New Roman" w:eastAsia="Times New Roman" w:hAnsi="Times New Roman" w:cs="Times New Roman"/>
                <w:bCs/>
              </w:rPr>
              <w:t>c</w:t>
            </w:r>
          </w:p>
        </w:tc>
        <w:tc>
          <w:tcPr>
            <w:tcW w:w="1596" w:type="dxa"/>
            <w:vAlign w:val="center"/>
          </w:tcPr>
          <w:p w14:paraId="7F60B9F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12 ± 0.6 </w:t>
            </w:r>
            <w:r w:rsidRPr="006A3303">
              <w:rPr>
                <w:rFonts w:ascii="Times New Roman" w:eastAsia="Times New Roman" w:hAnsi="Times New Roman" w:cs="Times New Roman"/>
                <w:bCs/>
              </w:rPr>
              <w:t>c</w:t>
            </w:r>
          </w:p>
        </w:tc>
        <w:tc>
          <w:tcPr>
            <w:tcW w:w="1596" w:type="dxa"/>
            <w:vAlign w:val="center"/>
          </w:tcPr>
          <w:p w14:paraId="7F60B9F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194 ± 5.9 </w:t>
            </w:r>
            <w:r w:rsidRPr="006A3303">
              <w:rPr>
                <w:rFonts w:ascii="Times New Roman" w:eastAsia="Times New Roman" w:hAnsi="Times New Roman" w:cs="Times New Roman"/>
                <w:bCs/>
              </w:rPr>
              <w:t>c</w:t>
            </w:r>
          </w:p>
        </w:tc>
        <w:tc>
          <w:tcPr>
            <w:tcW w:w="1596" w:type="dxa"/>
            <w:vAlign w:val="center"/>
          </w:tcPr>
          <w:p w14:paraId="7F60B9F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2.64 ± 0.10 </w:t>
            </w:r>
            <w:r w:rsidRPr="006A3303">
              <w:rPr>
                <w:rFonts w:ascii="Times New Roman" w:eastAsia="Times New Roman" w:hAnsi="Times New Roman" w:cs="Times New Roman"/>
                <w:bCs/>
              </w:rPr>
              <w:t>c</w:t>
            </w:r>
          </w:p>
        </w:tc>
        <w:tc>
          <w:tcPr>
            <w:tcW w:w="1596" w:type="dxa"/>
            <w:vAlign w:val="center"/>
          </w:tcPr>
          <w:p w14:paraId="7F60B9F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32.8 ± 1.4 </w:t>
            </w:r>
            <w:r w:rsidRPr="006A3303">
              <w:rPr>
                <w:rFonts w:ascii="Times New Roman" w:eastAsia="Times New Roman" w:hAnsi="Times New Roman" w:cs="Times New Roman"/>
                <w:bCs/>
              </w:rPr>
              <w:t>c</w:t>
            </w:r>
          </w:p>
        </w:tc>
      </w:tr>
      <w:tr w:rsidR="004E48AB" w:rsidRPr="006A3303" w14:paraId="7F60B9FF" w14:textId="77777777" w:rsidTr="00C87492">
        <w:tc>
          <w:tcPr>
            <w:tcW w:w="1596" w:type="dxa"/>
            <w:vAlign w:val="center"/>
          </w:tcPr>
          <w:p w14:paraId="7F60B9F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T₂ (VC)</w:t>
            </w:r>
          </w:p>
        </w:tc>
        <w:tc>
          <w:tcPr>
            <w:tcW w:w="1596" w:type="dxa"/>
            <w:vAlign w:val="center"/>
          </w:tcPr>
          <w:p w14:paraId="7F60B9F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46.6 ± 1.0 </w:t>
            </w:r>
            <w:r w:rsidRPr="006A3303">
              <w:rPr>
                <w:rFonts w:ascii="Times New Roman" w:eastAsia="Times New Roman" w:hAnsi="Times New Roman" w:cs="Times New Roman"/>
                <w:bCs/>
              </w:rPr>
              <w:t>b</w:t>
            </w:r>
          </w:p>
        </w:tc>
        <w:tc>
          <w:tcPr>
            <w:tcW w:w="1596" w:type="dxa"/>
            <w:vAlign w:val="center"/>
          </w:tcPr>
          <w:p w14:paraId="7F60B9F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14 ± 0.7 </w:t>
            </w:r>
            <w:r w:rsidRPr="006A3303">
              <w:rPr>
                <w:rFonts w:ascii="Times New Roman" w:eastAsia="Times New Roman" w:hAnsi="Times New Roman" w:cs="Times New Roman"/>
                <w:bCs/>
              </w:rPr>
              <w:t>b</w:t>
            </w:r>
          </w:p>
        </w:tc>
        <w:tc>
          <w:tcPr>
            <w:tcW w:w="1596" w:type="dxa"/>
            <w:vAlign w:val="center"/>
          </w:tcPr>
          <w:p w14:paraId="7F60B9F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208 ± 5.9 </w:t>
            </w:r>
            <w:r w:rsidRPr="006A3303">
              <w:rPr>
                <w:rFonts w:ascii="Times New Roman" w:eastAsia="Times New Roman" w:hAnsi="Times New Roman" w:cs="Times New Roman"/>
                <w:bCs/>
              </w:rPr>
              <w:t>b</w:t>
            </w:r>
          </w:p>
        </w:tc>
        <w:tc>
          <w:tcPr>
            <w:tcW w:w="1596" w:type="dxa"/>
            <w:vAlign w:val="center"/>
          </w:tcPr>
          <w:p w14:paraId="7F60B9F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3.08 ± 0.13 </w:t>
            </w:r>
            <w:r w:rsidRPr="006A3303">
              <w:rPr>
                <w:rFonts w:ascii="Times New Roman" w:eastAsia="Times New Roman" w:hAnsi="Times New Roman" w:cs="Times New Roman"/>
                <w:bCs/>
              </w:rPr>
              <w:t>b</w:t>
            </w:r>
          </w:p>
        </w:tc>
        <w:tc>
          <w:tcPr>
            <w:tcW w:w="1596" w:type="dxa"/>
            <w:vAlign w:val="center"/>
          </w:tcPr>
          <w:p w14:paraId="7F60B9F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37.0 ± 1.6 </w:t>
            </w:r>
            <w:r w:rsidRPr="006A3303">
              <w:rPr>
                <w:rFonts w:ascii="Times New Roman" w:eastAsia="Times New Roman" w:hAnsi="Times New Roman" w:cs="Times New Roman"/>
                <w:bCs/>
              </w:rPr>
              <w:t>b</w:t>
            </w:r>
          </w:p>
        </w:tc>
      </w:tr>
      <w:tr w:rsidR="004E48AB" w:rsidRPr="006A3303" w14:paraId="7F60BA06" w14:textId="77777777" w:rsidTr="00C87492">
        <w:tc>
          <w:tcPr>
            <w:tcW w:w="1596" w:type="dxa"/>
            <w:vAlign w:val="center"/>
          </w:tcPr>
          <w:p w14:paraId="7F60BA0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T₃ (OM + VC)</w:t>
            </w:r>
          </w:p>
        </w:tc>
        <w:tc>
          <w:tcPr>
            <w:tcW w:w="1596" w:type="dxa"/>
            <w:vAlign w:val="center"/>
          </w:tcPr>
          <w:p w14:paraId="7F60BA0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49.6 ± 1.2 a</w:t>
            </w:r>
          </w:p>
        </w:tc>
        <w:tc>
          <w:tcPr>
            <w:tcW w:w="1596" w:type="dxa"/>
            <w:vAlign w:val="center"/>
          </w:tcPr>
          <w:p w14:paraId="7F60BA0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16 ± 0.8 a</w:t>
            </w:r>
          </w:p>
        </w:tc>
        <w:tc>
          <w:tcPr>
            <w:tcW w:w="1596" w:type="dxa"/>
            <w:vAlign w:val="center"/>
          </w:tcPr>
          <w:p w14:paraId="7F60BA0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219 ± 7.7 a</w:t>
            </w:r>
          </w:p>
        </w:tc>
        <w:tc>
          <w:tcPr>
            <w:tcW w:w="1596" w:type="dxa"/>
            <w:vAlign w:val="center"/>
          </w:tcPr>
          <w:p w14:paraId="7F60BA0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3.56 ± 0.15 a</w:t>
            </w:r>
          </w:p>
        </w:tc>
        <w:tc>
          <w:tcPr>
            <w:tcW w:w="1596" w:type="dxa"/>
            <w:vAlign w:val="center"/>
          </w:tcPr>
          <w:p w14:paraId="7F60BA0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42.0 ± 1.8 a</w:t>
            </w:r>
          </w:p>
        </w:tc>
      </w:tr>
      <w:tr w:rsidR="004E48AB" w:rsidRPr="006A3303" w14:paraId="7F60BA0D" w14:textId="77777777" w:rsidTr="00C87492">
        <w:tc>
          <w:tcPr>
            <w:tcW w:w="1596" w:type="dxa"/>
            <w:vAlign w:val="center"/>
          </w:tcPr>
          <w:p w14:paraId="7F60BA0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
                <w:bCs/>
              </w:rPr>
              <w:t>CV (%)</w:t>
            </w:r>
          </w:p>
        </w:tc>
        <w:tc>
          <w:tcPr>
            <w:tcW w:w="1596" w:type="dxa"/>
            <w:vAlign w:val="center"/>
          </w:tcPr>
          <w:p w14:paraId="7F60BA0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2.36</w:t>
            </w:r>
          </w:p>
        </w:tc>
        <w:tc>
          <w:tcPr>
            <w:tcW w:w="1596" w:type="dxa"/>
            <w:vAlign w:val="center"/>
          </w:tcPr>
          <w:p w14:paraId="7F60BA0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5.02</w:t>
            </w:r>
          </w:p>
        </w:tc>
        <w:tc>
          <w:tcPr>
            <w:tcW w:w="1596" w:type="dxa"/>
            <w:vAlign w:val="center"/>
          </w:tcPr>
          <w:p w14:paraId="7F60BA0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2.85</w:t>
            </w:r>
          </w:p>
        </w:tc>
        <w:tc>
          <w:tcPr>
            <w:tcW w:w="1596" w:type="dxa"/>
            <w:vAlign w:val="center"/>
          </w:tcPr>
          <w:p w14:paraId="7F60BA0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4.37</w:t>
            </w:r>
          </w:p>
        </w:tc>
        <w:tc>
          <w:tcPr>
            <w:tcW w:w="1596" w:type="dxa"/>
            <w:vAlign w:val="center"/>
          </w:tcPr>
          <w:p w14:paraId="7F60BA0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4.33</w:t>
            </w:r>
          </w:p>
        </w:tc>
      </w:tr>
      <w:tr w:rsidR="004E48AB" w:rsidRPr="006A3303" w14:paraId="7F60BA14" w14:textId="77777777" w:rsidTr="00C87492">
        <w:tc>
          <w:tcPr>
            <w:tcW w:w="1596" w:type="dxa"/>
            <w:vAlign w:val="center"/>
          </w:tcPr>
          <w:p w14:paraId="7F60BA0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
                <w:bCs/>
              </w:rPr>
              <w:t>LSD (0.05)</w:t>
            </w:r>
          </w:p>
        </w:tc>
        <w:tc>
          <w:tcPr>
            <w:tcW w:w="1596" w:type="dxa"/>
            <w:vAlign w:val="center"/>
          </w:tcPr>
          <w:p w14:paraId="7F60BA0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1.44</w:t>
            </w:r>
          </w:p>
        </w:tc>
        <w:tc>
          <w:tcPr>
            <w:tcW w:w="1596" w:type="dxa"/>
            <w:vAlign w:val="center"/>
          </w:tcPr>
          <w:p w14:paraId="7F60BA1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0.88</w:t>
            </w:r>
          </w:p>
        </w:tc>
        <w:tc>
          <w:tcPr>
            <w:tcW w:w="1596" w:type="dxa"/>
            <w:vAlign w:val="center"/>
          </w:tcPr>
          <w:p w14:paraId="7F60BA1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7.69</w:t>
            </w:r>
          </w:p>
        </w:tc>
        <w:tc>
          <w:tcPr>
            <w:tcW w:w="1596" w:type="dxa"/>
            <w:vAlign w:val="center"/>
          </w:tcPr>
          <w:p w14:paraId="7F60BA1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0.17</w:t>
            </w:r>
          </w:p>
        </w:tc>
        <w:tc>
          <w:tcPr>
            <w:tcW w:w="1596" w:type="dxa"/>
            <w:vAlign w:val="center"/>
          </w:tcPr>
          <w:p w14:paraId="7F60BA1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1.68</w:t>
            </w:r>
          </w:p>
        </w:tc>
      </w:tr>
    </w:tbl>
    <w:p w14:paraId="7F60BA15"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4E48AB">
        <w:rPr>
          <w:rFonts w:ascii="Times New Roman" w:eastAsia="Times New Roman" w:hAnsi="Times New Roman" w:cs="Times New Roman"/>
          <w:b/>
          <w:bCs/>
        </w:rPr>
        <w:t>4.3. Yield and Harvest Index</w:t>
      </w:r>
    </w:p>
    <w:p w14:paraId="7F60BA16"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Yield per plant followed the same trend, with the highest value in T₃ (3.56 kg), followed by T₂ (3.08 kg), T₁ (2.64 kg), and T₀ (2.14 kg). The harvest index (HI), which reflects the efficiency of converting total biomass into economic yield, was also highest in T₃ (42%).</w:t>
      </w:r>
    </w:p>
    <w:p w14:paraId="7F60BA17" w14:textId="77777777" w:rsidR="004E48AB" w:rsidRPr="006A3303" w:rsidRDefault="004E48AB" w:rsidP="004E48AB">
      <w:pPr>
        <w:pStyle w:val="NormalWeb"/>
        <w:rPr>
          <w:sz w:val="22"/>
          <w:szCs w:val="22"/>
        </w:rPr>
      </w:pPr>
      <w:r w:rsidRPr="006A3303">
        <w:rPr>
          <w:noProof/>
          <w:sz w:val="22"/>
          <w:szCs w:val="22"/>
        </w:rPr>
        <w:drawing>
          <wp:inline distT="0" distB="0" distL="0" distR="0" wp14:anchorId="7F60BA4B" wp14:editId="7F60BA4C">
            <wp:extent cx="4702175" cy="2821305"/>
            <wp:effectExtent l="0" t="0" r="3175" b="0"/>
            <wp:docPr id="20" name="Picture 20" descr="C:\Users\Khalid\Downloads\Figure_3_Yield_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alid\Downloads\Figure_3_Yield_H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9522" cy="2825713"/>
                    </a:xfrm>
                    <a:prstGeom prst="rect">
                      <a:avLst/>
                    </a:prstGeom>
                    <a:noFill/>
                    <a:ln>
                      <a:noFill/>
                    </a:ln>
                  </pic:spPr>
                </pic:pic>
              </a:graphicData>
            </a:graphic>
          </wp:inline>
        </w:drawing>
      </w:r>
    </w:p>
    <w:p w14:paraId="7F60BA18" w14:textId="77777777" w:rsidR="004E48AB" w:rsidRPr="006A3303" w:rsidRDefault="004E48AB" w:rsidP="004E48AB">
      <w:pPr>
        <w:spacing w:before="100" w:beforeAutospacing="1" w:after="100" w:afterAutospacing="1" w:line="240" w:lineRule="auto"/>
        <w:outlineLvl w:val="3"/>
        <w:rPr>
          <w:rFonts w:ascii="Times New Roman" w:eastAsia="Times New Roman" w:hAnsi="Times New Roman" w:cs="Times New Roman"/>
        </w:rPr>
      </w:pPr>
    </w:p>
    <w:p w14:paraId="7F60BA19" w14:textId="77777777" w:rsidR="004E48AB" w:rsidRPr="006F5DF5" w:rsidRDefault="004E48AB" w:rsidP="004E48AB">
      <w:pPr>
        <w:spacing w:before="100" w:beforeAutospacing="1" w:after="100" w:afterAutospacing="1" w:line="240" w:lineRule="auto"/>
        <w:outlineLvl w:val="2"/>
        <w:rPr>
          <w:rFonts w:ascii="Times New Roman" w:eastAsia="Times New Roman" w:hAnsi="Times New Roman" w:cs="Times New Roman"/>
          <w:bCs/>
        </w:rPr>
      </w:pPr>
      <w:r w:rsidRPr="006A3303">
        <w:rPr>
          <w:rFonts w:ascii="Times New Roman" w:eastAsia="Times New Roman" w:hAnsi="Times New Roman" w:cs="Times New Roman"/>
          <w:b/>
          <w:bCs/>
        </w:rPr>
        <w:t>Figure 3.</w:t>
      </w:r>
      <w:r w:rsidRPr="006F5DF5">
        <w:t xml:space="preserve"> </w:t>
      </w:r>
      <w:r>
        <w:t xml:space="preserve"> </w:t>
      </w:r>
      <w:r w:rsidRPr="006F5DF5">
        <w:rPr>
          <w:rFonts w:ascii="Times New Roman" w:eastAsia="Times New Roman" w:hAnsi="Times New Roman" w:cs="Times New Roman"/>
          <w:bCs/>
        </w:rPr>
        <w:t>Tomato yield per plant (kg) and harvest index (%) under different organic treatments.</w:t>
      </w:r>
    </w:p>
    <w:p w14:paraId="46E8E004" w14:textId="77777777" w:rsidR="0005536D" w:rsidRDefault="0005536D" w:rsidP="004E48AB">
      <w:pPr>
        <w:spacing w:before="100" w:beforeAutospacing="1" w:after="100" w:afterAutospacing="1" w:line="240" w:lineRule="auto"/>
        <w:outlineLvl w:val="2"/>
        <w:rPr>
          <w:rFonts w:ascii="Times New Roman" w:eastAsia="Times New Roman" w:hAnsi="Times New Roman" w:cs="Times New Roman"/>
          <w:bCs/>
        </w:rPr>
      </w:pPr>
      <w:r w:rsidRPr="0005536D">
        <w:rPr>
          <w:rFonts w:ascii="Times New Roman" w:eastAsia="Times New Roman" w:hAnsi="Times New Roman" w:cs="Times New Roman"/>
          <w:bCs/>
        </w:rPr>
        <w:t xml:space="preserve">Bars indicate mean values with standard deviation (± SD). Means labeled with different letters are significantly different at the 5% probability level (p &lt; 0.05). </w:t>
      </w:r>
    </w:p>
    <w:p w14:paraId="7F60BA1B" w14:textId="329CDD77" w:rsidR="004E48AB" w:rsidRPr="006A3303"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6A3303">
        <w:rPr>
          <w:rFonts w:ascii="Times New Roman" w:eastAsia="Times New Roman" w:hAnsi="Times New Roman" w:cs="Times New Roman"/>
          <w:b/>
          <w:bCs/>
        </w:rPr>
        <w:t>4.4. Statistical Validation</w:t>
      </w:r>
    </w:p>
    <w:p w14:paraId="7F60BA1C" w14:textId="0FD9A122" w:rsidR="004E48AB" w:rsidRPr="005115E9" w:rsidRDefault="005115E9" w:rsidP="005B2FEA">
      <w:pPr>
        <w:spacing w:before="100" w:beforeAutospacing="1" w:after="100" w:afterAutospacing="1" w:line="240" w:lineRule="auto"/>
        <w:jc w:val="both"/>
        <w:rPr>
          <w:rStyle w:val="Strong"/>
          <w:rFonts w:ascii="Times New Roman" w:hAnsi="Times New Roman" w:cs="Times New Roman"/>
          <w:b w:val="0"/>
        </w:rPr>
      </w:pPr>
      <w:r w:rsidRPr="005115E9">
        <w:rPr>
          <w:rFonts w:ascii="Times New Roman" w:hAnsi="Times New Roman" w:cs="Times New Roman"/>
        </w:rPr>
        <w:lastRenderedPageBreak/>
        <w:t>All measured parameters differed significantly among treatments (p &lt; 0.05), as confirmed by ANOVA using the LSD test at a 5% significance level</w:t>
      </w:r>
      <w:r w:rsidR="004E48AB" w:rsidRPr="005115E9">
        <w:rPr>
          <w:rFonts w:ascii="Times New Roman" w:hAnsi="Times New Roman" w:cs="Times New Roman"/>
        </w:rPr>
        <w:t xml:space="preserve">). The coefficient of variation (CV) ranged from 2.36% to 5.02% across variables, indicating acceptable experimental precision. Statistical analyses were performed using </w:t>
      </w:r>
      <w:r w:rsidR="004E48AB" w:rsidRPr="005115E9">
        <w:rPr>
          <w:rStyle w:val="Strong"/>
          <w:rFonts w:ascii="Times New Roman" w:hAnsi="Times New Roman" w:cs="Times New Roman"/>
          <w:b w:val="0"/>
        </w:rPr>
        <w:t>R software.</w:t>
      </w:r>
    </w:p>
    <w:p w14:paraId="7F60BA1D" w14:textId="77777777" w:rsidR="004E48AB" w:rsidRDefault="004E48AB" w:rsidP="004E48AB">
      <w:pPr>
        <w:spacing w:before="100" w:beforeAutospacing="1" w:after="100" w:afterAutospacing="1" w:line="240" w:lineRule="auto"/>
        <w:jc w:val="both"/>
        <w:rPr>
          <w:rStyle w:val="Strong"/>
          <w:rFonts w:ascii="Times New Roman" w:hAnsi="Times New Roman" w:cs="Times New Roman"/>
        </w:rPr>
      </w:pPr>
      <w:r>
        <w:rPr>
          <w:rStyle w:val="Strong"/>
          <w:rFonts w:ascii="Times New Roman" w:hAnsi="Times New Roman" w:cs="Times New Roman"/>
        </w:rPr>
        <w:t xml:space="preserve">5 </w:t>
      </w:r>
      <w:r w:rsidRPr="004E48AB">
        <w:rPr>
          <w:rStyle w:val="Strong"/>
          <w:rFonts w:ascii="Times New Roman" w:hAnsi="Times New Roman" w:cs="Times New Roman"/>
        </w:rPr>
        <w:t>Discussion</w:t>
      </w:r>
    </w:p>
    <w:p w14:paraId="5A554EB9" w14:textId="77777777" w:rsidR="00EB1CF0" w:rsidRDefault="00EB1CF0" w:rsidP="007E3B7D">
      <w:pPr>
        <w:pStyle w:val="NormalWeb"/>
        <w:jc w:val="both"/>
      </w:pPr>
      <w:r>
        <w:t>This study confirms the superior performance of integrated organic inputs (OM + VC) over individual applications in improving soil chemical properties and enhancing tomato growth. The T₃ treatment delivered the highest gains in soil organic matter, macro- and micronutrient levels, and crop performance metrics.</w:t>
      </w:r>
    </w:p>
    <w:p w14:paraId="15BA06B8" w14:textId="77777777" w:rsidR="00EB1CF0" w:rsidRDefault="00EB1CF0" w:rsidP="007E3B7D">
      <w:pPr>
        <w:pStyle w:val="NormalWeb"/>
        <w:jc w:val="both"/>
      </w:pPr>
      <w:r>
        <w:t xml:space="preserve">These results are congruent with findings by </w:t>
      </w:r>
      <w:proofErr w:type="spellStart"/>
      <w:r>
        <w:t>Arancon</w:t>
      </w:r>
      <w:proofErr w:type="spellEnd"/>
      <w:r>
        <w:t xml:space="preserve"> et al. </w:t>
      </w:r>
      <w:r w:rsidRPr="002247C6">
        <w:rPr>
          <w:lang w:val="nl-BE"/>
        </w:rPr>
        <w:t xml:space="preserve">(2006), Vasileva et al. (2023), and Bhat et al. </w:t>
      </w:r>
      <w:r>
        <w:t>(2018), who have emphasized the role of vermicompost in enhancing soil fertility and plant growth. The pH-buffering capacity and enhanced micronutrient (Zn, B) availability observed here are also supported by Al-Dahash et al. (2022) and Rehman et al. (2023). Enhanced nutrient solubilization and hormonal activity triggered by microbial stimulation may explain these results (Edwards et al., 2010; Pathma and Sakthivel, 2012).</w:t>
      </w:r>
    </w:p>
    <w:p w14:paraId="1CA08FD2" w14:textId="6E76A470" w:rsidR="00EB1CF0" w:rsidRDefault="00EB1CF0" w:rsidP="007E3B7D">
      <w:pPr>
        <w:pStyle w:val="NormalWeb"/>
        <w:jc w:val="both"/>
      </w:pPr>
      <w:r>
        <w:t>The improved yield and harvest index are particularly notable. Studi</w:t>
      </w:r>
      <w:r w:rsidR="007E3B7D">
        <w:t xml:space="preserve">es by Sharma and Prasad (2009) </w:t>
      </w:r>
      <w:r>
        <w:t xml:space="preserve">and Gutiérrez-Miceli et al. (2007) confirm similar outcomes under vermicompost regimes. Interestingly, </w:t>
      </w:r>
      <w:proofErr w:type="spellStart"/>
      <w:r w:rsidRPr="00EB1CF0">
        <w:rPr>
          <w:rStyle w:val="Strong"/>
          <w:b w:val="0"/>
        </w:rPr>
        <w:t>Mojeremane</w:t>
      </w:r>
      <w:proofErr w:type="spellEnd"/>
      <w:r w:rsidRPr="00EB1CF0">
        <w:rPr>
          <w:rStyle w:val="Strong"/>
          <w:b w:val="0"/>
        </w:rPr>
        <w:t xml:space="preserve"> et al. (2016)</w:t>
      </w:r>
      <w:r>
        <w:t xml:space="preserve"> reported significant improvements in tomato fruit size and weight in Botswana using organic fertilizer alone, a finding aligned with the increased average fruit weight (219 g) seen in T₃ here. Similarly, </w:t>
      </w:r>
      <w:proofErr w:type="spellStart"/>
      <w:r w:rsidRPr="00EB1CF0">
        <w:rPr>
          <w:rStyle w:val="Strong"/>
          <w:b w:val="0"/>
        </w:rPr>
        <w:t>Sutejo</w:t>
      </w:r>
      <w:proofErr w:type="spellEnd"/>
      <w:r w:rsidRPr="00EB1CF0">
        <w:rPr>
          <w:rStyle w:val="Strong"/>
          <w:b w:val="0"/>
        </w:rPr>
        <w:t xml:space="preserve"> et al. (2024)</w:t>
      </w:r>
      <w:r>
        <w:t xml:space="preserve"> demonstrated that combining cow manure vermicompost and liquid biofertilizer produced optimal growth and fruit yield in tomato plants in Indonesian field trials.</w:t>
      </w:r>
    </w:p>
    <w:p w14:paraId="56BA2FFF" w14:textId="0654FC23" w:rsidR="00EB1CF0" w:rsidRDefault="00EB1CF0" w:rsidP="007E3B7D">
      <w:pPr>
        <w:pStyle w:val="NormalWeb"/>
        <w:jc w:val="both"/>
      </w:pPr>
      <w:r>
        <w:t xml:space="preserve">These parallels suggest that integrated organic management, particularly using regionally available inputs, can serve as a scalable model across agroecological zones. While liquid organic fertilizers such as NASA (used by </w:t>
      </w:r>
      <w:proofErr w:type="spellStart"/>
      <w:r>
        <w:t>Sutejo</w:t>
      </w:r>
      <w:proofErr w:type="spellEnd"/>
      <w:r>
        <w:t xml:space="preserve"> et al.</w:t>
      </w:r>
      <w:r w:rsidR="005115E9">
        <w:t>2024</w:t>
      </w:r>
      <w:r>
        <w:t>) were not tested in this study, their synergistic effects with compost-based inputs indicate future research directions.</w:t>
      </w:r>
    </w:p>
    <w:p w14:paraId="7F60BA23"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sz w:val="27"/>
          <w:szCs w:val="27"/>
        </w:rPr>
      </w:pPr>
      <w:r w:rsidRPr="004E48AB">
        <w:rPr>
          <w:rFonts w:ascii="Times New Roman" w:eastAsia="Times New Roman" w:hAnsi="Times New Roman" w:cs="Times New Roman"/>
          <w:b/>
          <w:bCs/>
          <w:sz w:val="27"/>
          <w:szCs w:val="27"/>
        </w:rPr>
        <w:t>6. Conclusion</w:t>
      </w:r>
    </w:p>
    <w:p w14:paraId="47CAD0F7" w14:textId="43267B9A" w:rsidR="00EB1CF0" w:rsidRDefault="00EB1CF0" w:rsidP="00EB1CF0">
      <w:pPr>
        <w:pStyle w:val="NormalWeb"/>
        <w:jc w:val="both"/>
      </w:pPr>
      <w:r>
        <w:t xml:space="preserve">The combined application of compost and vermicompost significantly enhanced soil fertility and tomato productivity under field conditions in </w:t>
      </w:r>
      <w:proofErr w:type="spellStart"/>
      <w:r>
        <w:t>Netrokona</w:t>
      </w:r>
      <w:proofErr w:type="spellEnd"/>
      <w:r>
        <w:t xml:space="preserve">. This treatment improved macro- and micronutrient levels, increased plant height, fruit number, weight, yield, and harvest index. The study provides robust field-based evidence that integrated organic nutrient management is a viable, sustainable solution for improving soil health and productivity in organic matter-depleted soils. </w:t>
      </w:r>
      <w:r w:rsidR="0063262F" w:rsidRPr="00274C79">
        <w:t>The results underscore the value of organic amendments such as compost and vermicompost in sustainably enhancing crop productivity, particularly in resource-limited and organic matter-deficient farming system</w:t>
      </w:r>
      <w:r w:rsidR="0063262F">
        <w:t xml:space="preserve">s. </w:t>
      </w:r>
    </w:p>
    <w:p w14:paraId="7F60BA27" w14:textId="77777777" w:rsidR="004E48AB" w:rsidRPr="006A3303" w:rsidRDefault="004E48AB" w:rsidP="004E48AB">
      <w:pPr>
        <w:spacing w:before="100" w:beforeAutospacing="1" w:after="100" w:afterAutospacing="1" w:line="240" w:lineRule="auto"/>
        <w:jc w:val="both"/>
        <w:rPr>
          <w:rFonts w:ascii="Times New Roman" w:eastAsia="Times New Roman" w:hAnsi="Times New Roman" w:cs="Times New Roman"/>
          <w:b/>
        </w:rPr>
      </w:pPr>
      <w:r w:rsidRPr="006A3303">
        <w:rPr>
          <w:rFonts w:ascii="Times New Roman" w:eastAsia="Times New Roman" w:hAnsi="Times New Roman" w:cs="Times New Roman"/>
          <w:b/>
        </w:rPr>
        <w:t xml:space="preserve">Informed consent </w:t>
      </w:r>
    </w:p>
    <w:p w14:paraId="7F60BA28" w14:textId="0B2F5A56" w:rsidR="004E48AB" w:rsidRPr="006A3303" w:rsidRDefault="004E48AB" w:rsidP="004E48AB">
      <w:pPr>
        <w:spacing w:before="100" w:beforeAutospacing="1" w:after="100" w:afterAutospacing="1" w:line="240" w:lineRule="auto"/>
        <w:jc w:val="both"/>
        <w:rPr>
          <w:rFonts w:ascii="Times New Roman" w:eastAsia="Times New Roman" w:hAnsi="Times New Roman" w:cs="Times New Roman"/>
        </w:rPr>
      </w:pPr>
      <w:r w:rsidRPr="006A3303">
        <w:rPr>
          <w:rFonts w:ascii="Times New Roman" w:eastAsia="Times New Roman" w:hAnsi="Times New Roman" w:cs="Times New Roman"/>
        </w:rPr>
        <w:t>No animal</w:t>
      </w:r>
      <w:r w:rsidR="0063262F">
        <w:rPr>
          <w:rFonts w:ascii="Times New Roman" w:eastAsia="Times New Roman" w:hAnsi="Times New Roman" w:cs="Times New Roman"/>
        </w:rPr>
        <w:t>s</w:t>
      </w:r>
      <w:r w:rsidRPr="006A3303">
        <w:rPr>
          <w:rFonts w:ascii="Times New Roman" w:eastAsia="Times New Roman" w:hAnsi="Times New Roman" w:cs="Times New Roman"/>
        </w:rPr>
        <w:t xml:space="preserve"> were harmed during the study.</w:t>
      </w:r>
    </w:p>
    <w:p w14:paraId="7F60BA2C" w14:textId="77777777" w:rsidR="004E48AB" w:rsidRDefault="004E48AB" w:rsidP="004E48AB">
      <w:pPr>
        <w:spacing w:line="240" w:lineRule="auto"/>
        <w:jc w:val="both"/>
        <w:rPr>
          <w:rFonts w:ascii="Times New Roman" w:eastAsia="Times New Roman" w:hAnsi="Times New Roman" w:cs="Times New Roman"/>
        </w:rPr>
      </w:pPr>
      <w:r w:rsidRPr="006A3303">
        <w:rPr>
          <w:rFonts w:ascii="Times New Roman" w:eastAsia="Times New Roman" w:hAnsi="Times New Roman" w:cs="Times New Roman"/>
          <w:b/>
        </w:rPr>
        <w:lastRenderedPageBreak/>
        <w:t xml:space="preserve">Data Availability: </w:t>
      </w:r>
      <w:r w:rsidRPr="006A3303">
        <w:rPr>
          <w:rFonts w:ascii="Times New Roman" w:eastAsia="Times New Roman" w:hAnsi="Times New Roman" w:cs="Times New Roman"/>
        </w:rPr>
        <w:t>The datasets used in the current study are available from the corresponding author on reasonable request.</w:t>
      </w:r>
    </w:p>
    <w:p w14:paraId="48199C21" w14:textId="77777777" w:rsidR="00E3002D" w:rsidRDefault="00E3002D" w:rsidP="004E48AB">
      <w:pPr>
        <w:spacing w:line="240" w:lineRule="auto"/>
        <w:jc w:val="both"/>
        <w:rPr>
          <w:rFonts w:ascii="Times New Roman" w:eastAsia="Times New Roman" w:hAnsi="Times New Roman" w:cs="Times New Roman"/>
        </w:rPr>
      </w:pPr>
    </w:p>
    <w:p w14:paraId="499F1E84" w14:textId="77777777" w:rsidR="00E3002D" w:rsidRPr="00E3002D" w:rsidRDefault="00E3002D" w:rsidP="00E3002D">
      <w:pPr>
        <w:spacing w:line="240" w:lineRule="auto"/>
        <w:jc w:val="both"/>
        <w:rPr>
          <w:rFonts w:ascii="Times New Roman" w:eastAsia="Times New Roman" w:hAnsi="Times New Roman" w:cs="Times New Roman"/>
        </w:rPr>
      </w:pPr>
      <w:r w:rsidRPr="00EB1CF0">
        <w:rPr>
          <w:rFonts w:ascii="Times New Roman" w:eastAsia="Times New Roman" w:hAnsi="Times New Roman" w:cs="Times New Roman"/>
          <w:b/>
        </w:rPr>
        <w:t>COMPETING INTERESTS DISCLAIMER</w:t>
      </w:r>
      <w:r w:rsidRPr="00E3002D">
        <w:rPr>
          <w:rFonts w:ascii="Times New Roman" w:eastAsia="Times New Roman" w:hAnsi="Times New Roman" w:cs="Times New Roman"/>
        </w:rPr>
        <w:t>:</w:t>
      </w:r>
    </w:p>
    <w:p w14:paraId="6C0BF843" w14:textId="42AFF2FF" w:rsidR="00E3002D" w:rsidRDefault="00E3002D" w:rsidP="00E3002D">
      <w:pPr>
        <w:spacing w:line="240" w:lineRule="auto"/>
        <w:jc w:val="both"/>
        <w:rPr>
          <w:rFonts w:ascii="Times New Roman" w:eastAsia="Times New Roman" w:hAnsi="Times New Roman" w:cs="Times New Roman"/>
        </w:rPr>
      </w:pPr>
      <w:r w:rsidRPr="00E3002D">
        <w:rPr>
          <w:rFonts w:ascii="Times New Roman" w:eastAsia="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730A0ABB" w14:textId="77777777" w:rsidR="00EB1CF0" w:rsidRDefault="00EB1CF0" w:rsidP="00E3002D">
      <w:pPr>
        <w:spacing w:line="240" w:lineRule="auto"/>
        <w:jc w:val="both"/>
        <w:rPr>
          <w:rFonts w:ascii="Times New Roman" w:eastAsia="Times New Roman" w:hAnsi="Times New Roman" w:cs="Times New Roman"/>
        </w:rPr>
      </w:pPr>
    </w:p>
    <w:p w14:paraId="0F765F68" w14:textId="77777777" w:rsidR="00EB1CF0" w:rsidRPr="00EB1CF0" w:rsidRDefault="00EB1CF0" w:rsidP="00EB1CF0">
      <w:pPr>
        <w:spacing w:line="240" w:lineRule="auto"/>
        <w:jc w:val="both"/>
        <w:rPr>
          <w:rFonts w:ascii="Times New Roman" w:eastAsia="Times New Roman" w:hAnsi="Times New Roman" w:cs="Times New Roman"/>
          <w:b/>
        </w:rPr>
      </w:pPr>
      <w:r w:rsidRPr="00EB1CF0">
        <w:rPr>
          <w:rFonts w:ascii="Times New Roman" w:eastAsia="Times New Roman" w:hAnsi="Times New Roman" w:cs="Times New Roman"/>
          <w:b/>
        </w:rPr>
        <w:t>Disclaimer (Artificial intelligence)</w:t>
      </w:r>
    </w:p>
    <w:p w14:paraId="3AC7E47C" w14:textId="0FA2F906" w:rsidR="00CE36D2" w:rsidRPr="00EB1CF0" w:rsidRDefault="00EB1CF0" w:rsidP="00EB1CF0">
      <w:pPr>
        <w:spacing w:line="240" w:lineRule="auto"/>
        <w:jc w:val="both"/>
        <w:rPr>
          <w:rFonts w:ascii="Times New Roman" w:eastAsia="Times New Roman" w:hAnsi="Times New Roman" w:cs="Times New Roman"/>
        </w:rPr>
      </w:pPr>
      <w:r w:rsidRPr="00EB1CF0">
        <w:rPr>
          <w:rFonts w:ascii="Times New Roman" w:eastAsia="Times New Roman" w:hAnsi="Times New Roman" w:cs="Times New Roman"/>
        </w:rPr>
        <w:t xml:space="preserve">Author(s) hereby </w:t>
      </w:r>
      <w:proofErr w:type="gramStart"/>
      <w:r w:rsidRPr="00EB1CF0">
        <w:rPr>
          <w:rFonts w:ascii="Times New Roman" w:eastAsia="Times New Roman" w:hAnsi="Times New Roman" w:cs="Times New Roman"/>
        </w:rPr>
        <w:t>declare</w:t>
      </w:r>
      <w:proofErr w:type="gramEnd"/>
      <w:r w:rsidRPr="00EB1CF0">
        <w:rPr>
          <w:rFonts w:ascii="Times New Roman" w:eastAsia="Times New Roman" w:hAnsi="Times New Roman" w:cs="Times New Roman"/>
        </w:rPr>
        <w:t xml:space="preserve"> that NO generative AI technologies such as Large Language Models (ChatGPT, COPILOT, etc.) and text-to-image generators have been used during the writing or editing of this manuscript.</w:t>
      </w:r>
    </w:p>
    <w:p w14:paraId="73B2CCF9" w14:textId="77777777" w:rsidR="00CE36D2" w:rsidRDefault="00CE36D2" w:rsidP="004E48AB">
      <w:pPr>
        <w:spacing w:line="240" w:lineRule="auto"/>
        <w:jc w:val="both"/>
        <w:rPr>
          <w:rFonts w:ascii="Times New Roman" w:eastAsia="Times New Roman" w:hAnsi="Times New Roman" w:cs="Times New Roman"/>
          <w:b/>
        </w:rPr>
      </w:pPr>
    </w:p>
    <w:p w14:paraId="7FF804F7" w14:textId="77777777" w:rsidR="00CE36D2" w:rsidRDefault="00CE36D2" w:rsidP="004E48AB">
      <w:pPr>
        <w:spacing w:line="240" w:lineRule="auto"/>
        <w:jc w:val="both"/>
        <w:rPr>
          <w:rFonts w:ascii="Times New Roman" w:eastAsia="Times New Roman" w:hAnsi="Times New Roman" w:cs="Times New Roman"/>
          <w:b/>
        </w:rPr>
      </w:pPr>
    </w:p>
    <w:p w14:paraId="766C20F3" w14:textId="77777777" w:rsidR="00CE36D2" w:rsidRDefault="00CE36D2" w:rsidP="004E48AB">
      <w:pPr>
        <w:spacing w:line="240" w:lineRule="auto"/>
        <w:jc w:val="both"/>
        <w:rPr>
          <w:rFonts w:ascii="Times New Roman" w:eastAsia="Times New Roman" w:hAnsi="Times New Roman" w:cs="Times New Roman"/>
          <w:b/>
        </w:rPr>
      </w:pPr>
    </w:p>
    <w:p w14:paraId="7E7997D7" w14:textId="77777777" w:rsidR="00CE36D2" w:rsidRDefault="00CE36D2" w:rsidP="004E48AB">
      <w:pPr>
        <w:spacing w:line="240" w:lineRule="auto"/>
        <w:jc w:val="both"/>
        <w:rPr>
          <w:rFonts w:ascii="Times New Roman" w:eastAsia="Times New Roman" w:hAnsi="Times New Roman" w:cs="Times New Roman"/>
          <w:b/>
        </w:rPr>
      </w:pPr>
    </w:p>
    <w:p w14:paraId="6C38AA7A" w14:textId="77777777" w:rsidR="00CE36D2" w:rsidRDefault="00CE36D2" w:rsidP="004E48AB">
      <w:pPr>
        <w:spacing w:line="240" w:lineRule="auto"/>
        <w:jc w:val="both"/>
        <w:rPr>
          <w:rFonts w:ascii="Times New Roman" w:eastAsia="Times New Roman" w:hAnsi="Times New Roman" w:cs="Times New Roman"/>
          <w:b/>
        </w:rPr>
      </w:pPr>
    </w:p>
    <w:p w14:paraId="395C5FFC" w14:textId="77777777" w:rsidR="00CE36D2" w:rsidRDefault="00CE36D2" w:rsidP="004E48AB">
      <w:pPr>
        <w:spacing w:line="240" w:lineRule="auto"/>
        <w:jc w:val="both"/>
        <w:rPr>
          <w:rFonts w:ascii="Times New Roman" w:eastAsia="Times New Roman" w:hAnsi="Times New Roman" w:cs="Times New Roman"/>
          <w:b/>
        </w:rPr>
      </w:pPr>
    </w:p>
    <w:p w14:paraId="7F60BA2D" w14:textId="54F0EA61" w:rsidR="004E48AB" w:rsidRPr="00437186" w:rsidRDefault="004E48AB" w:rsidP="004E48AB">
      <w:pPr>
        <w:spacing w:line="240" w:lineRule="auto"/>
        <w:jc w:val="both"/>
        <w:rPr>
          <w:rFonts w:ascii="Times New Roman" w:eastAsia="Times New Roman" w:hAnsi="Times New Roman" w:cs="Times New Roman"/>
          <w:b/>
        </w:rPr>
      </w:pPr>
      <w:r w:rsidRPr="00437186">
        <w:rPr>
          <w:rFonts w:ascii="Times New Roman" w:eastAsia="Times New Roman" w:hAnsi="Times New Roman" w:cs="Times New Roman"/>
          <w:b/>
        </w:rPr>
        <w:t>References</w:t>
      </w:r>
    </w:p>
    <w:p w14:paraId="7F60BA2E"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 </w:t>
      </w:r>
      <w:proofErr w:type="spellStart"/>
      <w:r w:rsidRPr="0089604B">
        <w:rPr>
          <w:rFonts w:ascii="Cambria" w:eastAsia="MS Mincho" w:hAnsi="Cambria" w:cs="Times New Roman"/>
        </w:rPr>
        <w:t>Arancon</w:t>
      </w:r>
      <w:proofErr w:type="spellEnd"/>
      <w:r w:rsidRPr="0089604B">
        <w:rPr>
          <w:rFonts w:ascii="Cambria" w:eastAsia="MS Mincho" w:hAnsi="Cambria" w:cs="Times New Roman"/>
        </w:rPr>
        <w:t xml:space="preserve"> NQ, CA Edwards, P Bierman (2006). Influences of </w:t>
      </w:r>
      <w:proofErr w:type="spellStart"/>
      <w:r w:rsidRPr="0089604B">
        <w:rPr>
          <w:rFonts w:ascii="Cambria" w:eastAsia="MS Mincho" w:hAnsi="Cambria" w:cs="Times New Roman"/>
        </w:rPr>
        <w:t>vermicomposts</w:t>
      </w:r>
      <w:proofErr w:type="spellEnd"/>
      <w:r w:rsidRPr="0089604B">
        <w:rPr>
          <w:rFonts w:ascii="Cambria" w:eastAsia="MS Mincho" w:hAnsi="Cambria" w:cs="Times New Roman"/>
        </w:rPr>
        <w:t xml:space="preserve"> on field strawberries: part 2. Effects on soil microbiological and chemical properties. </w:t>
      </w:r>
      <w:proofErr w:type="spellStart"/>
      <w:r w:rsidRPr="0089604B">
        <w:rPr>
          <w:rFonts w:ascii="Cambria" w:eastAsia="MS Mincho" w:hAnsi="Cambria" w:cs="Times New Roman"/>
        </w:rPr>
        <w:t>Bioresour</w:t>
      </w:r>
      <w:proofErr w:type="spellEnd"/>
      <w:r w:rsidRPr="0089604B">
        <w:rPr>
          <w:rFonts w:ascii="Cambria" w:eastAsia="MS Mincho" w:hAnsi="Cambria" w:cs="Times New Roman"/>
        </w:rPr>
        <w:t xml:space="preserve"> Technol 97:831–840</w:t>
      </w:r>
    </w:p>
    <w:p w14:paraId="7F60BA2F"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2. </w:t>
      </w:r>
      <w:proofErr w:type="spellStart"/>
      <w:r w:rsidRPr="0089604B">
        <w:rPr>
          <w:rFonts w:ascii="Cambria" w:eastAsia="MS Mincho" w:hAnsi="Cambria" w:cs="Times New Roman"/>
        </w:rPr>
        <w:t>Aseri</w:t>
      </w:r>
      <w:proofErr w:type="spellEnd"/>
      <w:r w:rsidRPr="0089604B">
        <w:rPr>
          <w:rFonts w:ascii="Cambria" w:eastAsia="MS Mincho" w:hAnsi="Cambria" w:cs="Times New Roman"/>
        </w:rPr>
        <w:t xml:space="preserve"> GK, N Jain, J Panwar, AV Rao, PR Meghwal (2008). Biofertilizers improve plant growth, fruit yield, nutrition, metabolism and rhizosphere enzyme activities of Pomegranate (Punica granatum L.) in Indian Thar Desert. Sci </w:t>
      </w:r>
      <w:proofErr w:type="spellStart"/>
      <w:r w:rsidRPr="0089604B">
        <w:rPr>
          <w:rFonts w:ascii="Cambria" w:eastAsia="MS Mincho" w:hAnsi="Cambria" w:cs="Times New Roman"/>
        </w:rPr>
        <w:t>Hortic</w:t>
      </w:r>
      <w:proofErr w:type="spellEnd"/>
      <w:r w:rsidRPr="0089604B">
        <w:rPr>
          <w:rFonts w:ascii="Cambria" w:eastAsia="MS Mincho" w:hAnsi="Cambria" w:cs="Times New Roman"/>
        </w:rPr>
        <w:t xml:space="preserve"> 117:130–135</w:t>
      </w:r>
    </w:p>
    <w:p w14:paraId="7F60BA30"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3. Bhat SA, S Singh, J Singh, S Kumar, Bhawana, AP </w:t>
      </w:r>
      <w:proofErr w:type="spellStart"/>
      <w:r w:rsidRPr="0089604B">
        <w:rPr>
          <w:rFonts w:ascii="Cambria" w:eastAsia="MS Mincho" w:hAnsi="Cambria" w:cs="Times New Roman"/>
        </w:rPr>
        <w:t>Vig</w:t>
      </w:r>
      <w:proofErr w:type="spellEnd"/>
      <w:r w:rsidRPr="0089604B">
        <w:rPr>
          <w:rFonts w:ascii="Cambria" w:eastAsia="MS Mincho" w:hAnsi="Cambria" w:cs="Times New Roman"/>
        </w:rPr>
        <w:t xml:space="preserve"> (2018). Bioremediation and detoxification of industrial wastes by earthworms: Vermicompost as powerful crop nutrient in sustainable agriculture. </w:t>
      </w:r>
      <w:proofErr w:type="spellStart"/>
      <w:r w:rsidRPr="0089604B">
        <w:rPr>
          <w:rFonts w:ascii="Cambria" w:eastAsia="MS Mincho" w:hAnsi="Cambria" w:cs="Times New Roman"/>
        </w:rPr>
        <w:t>Bioresour</w:t>
      </w:r>
      <w:proofErr w:type="spellEnd"/>
      <w:r w:rsidRPr="0089604B">
        <w:rPr>
          <w:rFonts w:ascii="Cambria" w:eastAsia="MS Mincho" w:hAnsi="Cambria" w:cs="Times New Roman"/>
        </w:rPr>
        <w:t xml:space="preserve"> Technol 252:172–179</w:t>
      </w:r>
    </w:p>
    <w:p w14:paraId="7F60BA31"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4. </w:t>
      </w:r>
      <w:proofErr w:type="spellStart"/>
      <w:r w:rsidRPr="0089604B">
        <w:rPr>
          <w:rFonts w:ascii="Cambria" w:eastAsia="MS Mincho" w:hAnsi="Cambria" w:cs="Times New Roman"/>
        </w:rPr>
        <w:t>Ceritoğlu</w:t>
      </w:r>
      <w:proofErr w:type="spellEnd"/>
      <w:r w:rsidRPr="0089604B">
        <w:rPr>
          <w:rFonts w:ascii="Cambria" w:eastAsia="MS Mincho" w:hAnsi="Cambria" w:cs="Times New Roman"/>
        </w:rPr>
        <w:t xml:space="preserve"> M, S Şahin, M Erman (2018). Effects of Vermicompost on Plant Growth and Soil Structure. Selcuk J Agric Food Sci 32:607–615</w:t>
      </w:r>
    </w:p>
    <w:p w14:paraId="7F60BA32"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5. Edwards CA, NQ </w:t>
      </w:r>
      <w:proofErr w:type="spellStart"/>
      <w:r w:rsidRPr="0089604B">
        <w:rPr>
          <w:rFonts w:ascii="Cambria" w:eastAsia="MS Mincho" w:hAnsi="Cambria" w:cs="Times New Roman"/>
        </w:rPr>
        <w:t>Arancon</w:t>
      </w:r>
      <w:proofErr w:type="spellEnd"/>
      <w:r w:rsidRPr="0089604B">
        <w:rPr>
          <w:rFonts w:ascii="Cambria" w:eastAsia="MS Mincho" w:hAnsi="Cambria" w:cs="Times New Roman"/>
        </w:rPr>
        <w:t>, RL Sherman (2010). Vermiculture Technology: Earthworms, Organic Wastes, and Environmental Management. CRC Press, Boca Raton, Florida, USA</w:t>
      </w:r>
    </w:p>
    <w:p w14:paraId="7F60BA33"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6. FAO (2017). The future of food and agriculture – Trends and challenges. Food and Agriculture Organization of the United Nations, Rome, Italy</w:t>
      </w:r>
    </w:p>
    <w:p w14:paraId="7F60BA34"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lastRenderedPageBreak/>
        <w:t xml:space="preserve">7. Gao RP, Y Duan, J Zhang, YF Ren, JM Liang, YP Jing, PY Zhao (2023). [Effects of Long-term Fertilization on Soil Microbial Diversity and Community Structure in the </w:t>
      </w:r>
      <w:proofErr w:type="spellStart"/>
      <w:r w:rsidRPr="0089604B">
        <w:rPr>
          <w:rFonts w:ascii="Cambria" w:eastAsia="MS Mincho" w:hAnsi="Cambria" w:cs="Times New Roman"/>
        </w:rPr>
        <w:t>Agro</w:t>
      </w:r>
      <w:proofErr w:type="spellEnd"/>
      <w:r w:rsidRPr="0089604B">
        <w:rPr>
          <w:rFonts w:ascii="Cambria" w:eastAsia="MS Mincho" w:hAnsi="Cambria" w:cs="Times New Roman"/>
        </w:rPr>
        <w:t>-pastoral Ecotone]. Huan Jing Ke Xue 44(2):1063–1073 (in Chinese)</w:t>
      </w:r>
    </w:p>
    <w:p w14:paraId="7F60BA35"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8. Gopal M, A Gupta, E Sunil, GV Thomas (2009). Amplification of Plant Beneficial Microbial Communities During Conversion of Coconut Leaf Substrate to Vermicompost by </w:t>
      </w:r>
      <w:proofErr w:type="spellStart"/>
      <w:r w:rsidRPr="0089604B">
        <w:rPr>
          <w:rFonts w:ascii="Cambria" w:eastAsia="MS Mincho" w:hAnsi="Cambria" w:cs="Times New Roman"/>
        </w:rPr>
        <w:t>Eudrilus</w:t>
      </w:r>
      <w:proofErr w:type="spellEnd"/>
      <w:r w:rsidRPr="0089604B">
        <w:rPr>
          <w:rFonts w:ascii="Cambria" w:eastAsia="MS Mincho" w:hAnsi="Cambria" w:cs="Times New Roman"/>
        </w:rPr>
        <w:t xml:space="preserve"> sp. Curr </w:t>
      </w:r>
      <w:proofErr w:type="spellStart"/>
      <w:r w:rsidRPr="0089604B">
        <w:rPr>
          <w:rFonts w:ascii="Cambria" w:eastAsia="MS Mincho" w:hAnsi="Cambria" w:cs="Times New Roman"/>
        </w:rPr>
        <w:t>Microbiol</w:t>
      </w:r>
      <w:proofErr w:type="spellEnd"/>
      <w:r w:rsidRPr="0089604B">
        <w:rPr>
          <w:rFonts w:ascii="Cambria" w:eastAsia="MS Mincho" w:hAnsi="Cambria" w:cs="Times New Roman"/>
        </w:rPr>
        <w:t xml:space="preserve"> 59:15–20</w:t>
      </w:r>
    </w:p>
    <w:p w14:paraId="7F60BA36"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9. Gutiérrez-Miceli FA, J Santiago-</w:t>
      </w:r>
      <w:proofErr w:type="spellStart"/>
      <w:r w:rsidRPr="0089604B">
        <w:rPr>
          <w:rFonts w:ascii="Cambria" w:eastAsia="MS Mincho" w:hAnsi="Cambria" w:cs="Times New Roman"/>
        </w:rPr>
        <w:t>Borraz</w:t>
      </w:r>
      <w:proofErr w:type="spellEnd"/>
      <w:r w:rsidRPr="0089604B">
        <w:rPr>
          <w:rFonts w:ascii="Cambria" w:eastAsia="MS Mincho" w:hAnsi="Cambria" w:cs="Times New Roman"/>
        </w:rPr>
        <w:t xml:space="preserve">, JA Montes Molina, CC </w:t>
      </w:r>
      <w:proofErr w:type="spellStart"/>
      <w:r w:rsidRPr="0089604B">
        <w:rPr>
          <w:rFonts w:ascii="Cambria" w:eastAsia="MS Mincho" w:hAnsi="Cambria" w:cs="Times New Roman"/>
        </w:rPr>
        <w:t>Nafate</w:t>
      </w:r>
      <w:proofErr w:type="spellEnd"/>
      <w:r w:rsidRPr="0089604B">
        <w:rPr>
          <w:rFonts w:ascii="Cambria" w:eastAsia="MS Mincho" w:hAnsi="Cambria" w:cs="Times New Roman"/>
        </w:rPr>
        <w:t xml:space="preserve">, M Abud-Archila, MA Oliva </w:t>
      </w:r>
      <w:proofErr w:type="spellStart"/>
      <w:r w:rsidRPr="0089604B">
        <w:rPr>
          <w:rFonts w:ascii="Cambria" w:eastAsia="MS Mincho" w:hAnsi="Cambria" w:cs="Times New Roman"/>
        </w:rPr>
        <w:t>Llaven</w:t>
      </w:r>
      <w:proofErr w:type="spellEnd"/>
      <w:r w:rsidRPr="0089604B">
        <w:rPr>
          <w:rFonts w:ascii="Cambria" w:eastAsia="MS Mincho" w:hAnsi="Cambria" w:cs="Times New Roman"/>
        </w:rPr>
        <w:t xml:space="preserve">, R Rincón-Rosales, L </w:t>
      </w:r>
      <w:proofErr w:type="spellStart"/>
      <w:r w:rsidRPr="0089604B">
        <w:rPr>
          <w:rFonts w:ascii="Cambria" w:eastAsia="MS Mincho" w:hAnsi="Cambria" w:cs="Times New Roman"/>
        </w:rPr>
        <w:t>Dendooven</w:t>
      </w:r>
      <w:proofErr w:type="spellEnd"/>
      <w:r w:rsidRPr="0089604B">
        <w:rPr>
          <w:rFonts w:ascii="Cambria" w:eastAsia="MS Mincho" w:hAnsi="Cambria" w:cs="Times New Roman"/>
        </w:rPr>
        <w:t xml:space="preserve"> (2007). Vermicompost as a soil supplement to improve growth, yield and fruit quality of tomato (</w:t>
      </w:r>
      <w:proofErr w:type="spellStart"/>
      <w:r w:rsidRPr="0089604B">
        <w:rPr>
          <w:rFonts w:ascii="Cambria" w:eastAsia="MS Mincho" w:hAnsi="Cambria" w:cs="Times New Roman"/>
        </w:rPr>
        <w:t>Lycopersicum</w:t>
      </w:r>
      <w:proofErr w:type="spellEnd"/>
      <w:r w:rsidRPr="0089604B">
        <w:rPr>
          <w:rFonts w:ascii="Cambria" w:eastAsia="MS Mincho" w:hAnsi="Cambria" w:cs="Times New Roman"/>
        </w:rPr>
        <w:t xml:space="preserve"> esculentum). </w:t>
      </w:r>
      <w:proofErr w:type="spellStart"/>
      <w:r w:rsidRPr="0089604B">
        <w:rPr>
          <w:rFonts w:ascii="Cambria" w:eastAsia="MS Mincho" w:hAnsi="Cambria" w:cs="Times New Roman"/>
        </w:rPr>
        <w:t>Bioresour</w:t>
      </w:r>
      <w:proofErr w:type="spellEnd"/>
      <w:r w:rsidRPr="0089604B">
        <w:rPr>
          <w:rFonts w:ascii="Cambria" w:eastAsia="MS Mincho" w:hAnsi="Cambria" w:cs="Times New Roman"/>
        </w:rPr>
        <w:t xml:space="preserve"> Technol 98(15):2781–2786</w:t>
      </w:r>
    </w:p>
    <w:p w14:paraId="7F60BA37"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10. Gómez-</w:t>
      </w:r>
      <w:proofErr w:type="spellStart"/>
      <w:r w:rsidRPr="0089604B">
        <w:rPr>
          <w:rFonts w:ascii="Cambria" w:eastAsia="MS Mincho" w:hAnsi="Cambria" w:cs="Times New Roman"/>
        </w:rPr>
        <w:t>Brandón</w:t>
      </w:r>
      <w:proofErr w:type="spellEnd"/>
      <w:r w:rsidRPr="0089604B">
        <w:rPr>
          <w:rFonts w:ascii="Cambria" w:eastAsia="MS Mincho" w:hAnsi="Cambria" w:cs="Times New Roman"/>
        </w:rPr>
        <w:t xml:space="preserve"> M (2013). The influence of earthworms on nutrient dynamics during the process of vermicomposting. Waste Manag Res 31:10.1177/0734242X13497079</w:t>
      </w:r>
    </w:p>
    <w:p w14:paraId="7F60BA38"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11. Hassan MM, M </w:t>
      </w:r>
      <w:proofErr w:type="spellStart"/>
      <w:r w:rsidRPr="0089604B">
        <w:rPr>
          <w:rFonts w:ascii="Cambria" w:eastAsia="MS Mincho" w:hAnsi="Cambria" w:cs="Times New Roman"/>
        </w:rPr>
        <w:t>Jahiruddin</w:t>
      </w:r>
      <w:proofErr w:type="spellEnd"/>
      <w:r w:rsidRPr="0089604B">
        <w:rPr>
          <w:rFonts w:ascii="Cambria" w:eastAsia="MS Mincho" w:hAnsi="Cambria" w:cs="Times New Roman"/>
        </w:rPr>
        <w:t xml:space="preserve">, MN Noor, MS Sarker, SA Shah, MS Khan, S </w:t>
      </w:r>
      <w:proofErr w:type="spellStart"/>
      <w:r w:rsidRPr="0089604B">
        <w:rPr>
          <w:rFonts w:ascii="Cambria" w:eastAsia="MS Mincho" w:hAnsi="Cambria" w:cs="Times New Roman"/>
        </w:rPr>
        <w:t>Bokhtiar</w:t>
      </w:r>
      <w:proofErr w:type="spellEnd"/>
      <w:r w:rsidRPr="0089604B">
        <w:rPr>
          <w:rFonts w:ascii="Cambria" w:eastAsia="MS Mincho" w:hAnsi="Cambria" w:cs="Times New Roman"/>
        </w:rPr>
        <w:t>, MQ Quddus, MH Hasan, S Razia, MS Satter (2012). Fertilizer Recommendation Guide-2012. Bangladesh Agricultural Research Council, Dhaka, Bangladesh</w:t>
      </w:r>
    </w:p>
    <w:p w14:paraId="7F60BA39"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12. Jadhav A, AB Gosavi, SA Jadhav, AV Patil (2024). Influence of Different Substrates on Nutrient Composition of Vermicompost and </w:t>
      </w:r>
      <w:proofErr w:type="spellStart"/>
      <w:r w:rsidRPr="0089604B">
        <w:rPr>
          <w:rFonts w:ascii="Cambria" w:eastAsia="MS Mincho" w:hAnsi="Cambria" w:cs="Times New Roman"/>
        </w:rPr>
        <w:t>Vermiwash</w:t>
      </w:r>
      <w:proofErr w:type="spellEnd"/>
      <w:r w:rsidRPr="0089604B">
        <w:rPr>
          <w:rFonts w:ascii="Cambria" w:eastAsia="MS Mincho" w:hAnsi="Cambria" w:cs="Times New Roman"/>
        </w:rPr>
        <w:t>. Int J Plant Soil Sci 36:340–352</w:t>
      </w:r>
    </w:p>
    <w:p w14:paraId="7F60BA3A"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13. Lal R (2016). Soil health and carbon management. Food Energy </w:t>
      </w:r>
      <w:proofErr w:type="spellStart"/>
      <w:r w:rsidRPr="0089604B">
        <w:rPr>
          <w:rFonts w:ascii="Cambria" w:eastAsia="MS Mincho" w:hAnsi="Cambria" w:cs="Times New Roman"/>
        </w:rPr>
        <w:t>Secur</w:t>
      </w:r>
      <w:proofErr w:type="spellEnd"/>
      <w:r w:rsidRPr="0089604B">
        <w:rPr>
          <w:rFonts w:ascii="Cambria" w:eastAsia="MS Mincho" w:hAnsi="Cambria" w:cs="Times New Roman"/>
        </w:rPr>
        <w:t xml:space="preserve"> 5:212–222</w:t>
      </w:r>
    </w:p>
    <w:p w14:paraId="7F60BA3B"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14. Lazcano C (2011). The use of vermicompost in sustainable agriculture: impact on plant growth and soil fertility. In: Soil Nutrients and Plant Health, Nova Science Publishers, New York, USA</w:t>
      </w:r>
    </w:p>
    <w:p w14:paraId="7F60BA3C" w14:textId="7AC469C7" w:rsidR="004E48AB" w:rsidRDefault="004E48AB" w:rsidP="001315DD">
      <w:pPr>
        <w:jc w:val="both"/>
        <w:rPr>
          <w:rFonts w:ascii="Cambria" w:eastAsia="MS Mincho" w:hAnsi="Cambria" w:cs="Times New Roman"/>
        </w:rPr>
      </w:pPr>
      <w:r w:rsidRPr="0089604B">
        <w:rPr>
          <w:rFonts w:ascii="Cambria" w:eastAsia="MS Mincho" w:hAnsi="Cambria" w:cs="Times New Roman"/>
        </w:rPr>
        <w:t xml:space="preserve">15. Manzoor A, MS Naveed, RMA Ali, MA Naseer, M UL-Hussan, M Saqib, S Hussain, M Farooq (2024). Vermicompost: A potential organic fertilizer for sustainable vegetable cultivation. Sci </w:t>
      </w:r>
      <w:proofErr w:type="spellStart"/>
      <w:r w:rsidRPr="0089604B">
        <w:rPr>
          <w:rFonts w:ascii="Cambria" w:eastAsia="MS Mincho" w:hAnsi="Cambria" w:cs="Times New Roman"/>
        </w:rPr>
        <w:t>Hortic</w:t>
      </w:r>
      <w:proofErr w:type="spellEnd"/>
      <w:r w:rsidRPr="0089604B">
        <w:rPr>
          <w:rFonts w:ascii="Cambria" w:eastAsia="MS Mincho" w:hAnsi="Cambria" w:cs="Times New Roman"/>
        </w:rPr>
        <w:t xml:space="preserve"> 336:113443</w:t>
      </w:r>
    </w:p>
    <w:p w14:paraId="5C1AE1B1" w14:textId="2ADB7185" w:rsidR="00EB1CF0" w:rsidRPr="0089604B" w:rsidRDefault="00EB1CF0" w:rsidP="001315DD">
      <w:pPr>
        <w:jc w:val="both"/>
        <w:rPr>
          <w:rFonts w:ascii="Cambria" w:eastAsia="MS Mincho" w:hAnsi="Cambria" w:cs="Times New Roman"/>
        </w:rPr>
      </w:pPr>
      <w:r>
        <w:rPr>
          <w:rFonts w:ascii="Cambria" w:eastAsia="MS Mincho" w:hAnsi="Cambria" w:cs="Times New Roman"/>
        </w:rPr>
        <w:t xml:space="preserve">16. </w:t>
      </w:r>
      <w:proofErr w:type="spellStart"/>
      <w:r w:rsidRPr="00EB1CF0">
        <w:rPr>
          <w:rFonts w:ascii="Cambria" w:eastAsia="MS Mincho" w:hAnsi="Cambria" w:cs="Times New Roman"/>
        </w:rPr>
        <w:t>Mojeremane</w:t>
      </w:r>
      <w:proofErr w:type="spellEnd"/>
      <w:r w:rsidRPr="00EB1CF0">
        <w:rPr>
          <w:rFonts w:ascii="Cambria" w:eastAsia="MS Mincho" w:hAnsi="Cambria" w:cs="Times New Roman"/>
        </w:rPr>
        <w:t xml:space="preserve">, W., Moseki, O., </w:t>
      </w:r>
      <w:proofErr w:type="spellStart"/>
      <w:r w:rsidRPr="00EB1CF0">
        <w:rPr>
          <w:rFonts w:ascii="Cambria" w:eastAsia="MS Mincho" w:hAnsi="Cambria" w:cs="Times New Roman"/>
        </w:rPr>
        <w:t>Mathowa</w:t>
      </w:r>
      <w:proofErr w:type="spellEnd"/>
      <w:r w:rsidRPr="00EB1CF0">
        <w:rPr>
          <w:rFonts w:ascii="Cambria" w:eastAsia="MS Mincho" w:hAnsi="Cambria" w:cs="Times New Roman"/>
        </w:rPr>
        <w:t xml:space="preserve">, T., </w:t>
      </w:r>
      <w:proofErr w:type="spellStart"/>
      <w:r w:rsidRPr="00EB1CF0">
        <w:rPr>
          <w:rFonts w:ascii="Cambria" w:eastAsia="MS Mincho" w:hAnsi="Cambria" w:cs="Times New Roman"/>
        </w:rPr>
        <w:t>Legwaila</w:t>
      </w:r>
      <w:proofErr w:type="spellEnd"/>
      <w:r w:rsidRPr="00EB1CF0">
        <w:rPr>
          <w:rFonts w:ascii="Cambria" w:eastAsia="MS Mincho" w:hAnsi="Cambria" w:cs="Times New Roman"/>
        </w:rPr>
        <w:t xml:space="preserve">, G. M., &amp; </w:t>
      </w:r>
      <w:proofErr w:type="spellStart"/>
      <w:r w:rsidRPr="00EB1CF0">
        <w:rPr>
          <w:rFonts w:ascii="Cambria" w:eastAsia="MS Mincho" w:hAnsi="Cambria" w:cs="Times New Roman"/>
        </w:rPr>
        <w:t>Machacha</w:t>
      </w:r>
      <w:proofErr w:type="spellEnd"/>
      <w:r w:rsidRPr="00EB1CF0">
        <w:rPr>
          <w:rFonts w:ascii="Cambria" w:eastAsia="MS Mincho" w:hAnsi="Cambria" w:cs="Times New Roman"/>
        </w:rPr>
        <w:t>, S. (2016). Yield and Yield Attributes of Tomato as Influenced by Organic Fertilizer. Journal of Experimental Agriculture International, 12(1), 1–10. https://</w:t>
      </w:r>
      <w:r>
        <w:rPr>
          <w:rFonts w:ascii="Cambria" w:eastAsia="MS Mincho" w:hAnsi="Cambria" w:cs="Times New Roman"/>
        </w:rPr>
        <w:t>doi.org/10.9734/AJEA/2016/24630</w:t>
      </w:r>
    </w:p>
    <w:p w14:paraId="7F60BA3D" w14:textId="5CFB8C35" w:rsidR="004E48AB" w:rsidRPr="0089604B" w:rsidRDefault="00EB1CF0" w:rsidP="001315DD">
      <w:pPr>
        <w:jc w:val="both"/>
        <w:rPr>
          <w:rFonts w:ascii="Cambria" w:eastAsia="MS Mincho" w:hAnsi="Cambria" w:cs="Times New Roman"/>
        </w:rPr>
      </w:pPr>
      <w:r>
        <w:rPr>
          <w:rFonts w:ascii="Cambria" w:eastAsia="MS Mincho" w:hAnsi="Cambria" w:cs="Times New Roman"/>
        </w:rPr>
        <w:t>17</w:t>
      </w:r>
      <w:r w:rsidR="004E48AB" w:rsidRPr="0089604B">
        <w:rPr>
          <w:rFonts w:ascii="Cambria" w:eastAsia="MS Mincho" w:hAnsi="Cambria" w:cs="Times New Roman"/>
        </w:rPr>
        <w:t xml:space="preserve">. Pathma J, N Sakthivel (2012). Microbial diversity of vermicompost bacteria that exhibit useful agricultural traits and waste management potential. </w:t>
      </w:r>
      <w:proofErr w:type="spellStart"/>
      <w:r w:rsidR="004E48AB" w:rsidRPr="0089604B">
        <w:rPr>
          <w:rFonts w:ascii="Cambria" w:eastAsia="MS Mincho" w:hAnsi="Cambria" w:cs="Times New Roman"/>
        </w:rPr>
        <w:t>Springerplus</w:t>
      </w:r>
      <w:proofErr w:type="spellEnd"/>
      <w:r w:rsidR="004E48AB" w:rsidRPr="0089604B">
        <w:rPr>
          <w:rFonts w:ascii="Cambria" w:eastAsia="MS Mincho" w:hAnsi="Cambria" w:cs="Times New Roman"/>
        </w:rPr>
        <w:t xml:space="preserve"> 1:26</w:t>
      </w:r>
    </w:p>
    <w:p w14:paraId="7F60BA3E" w14:textId="2B12D829" w:rsidR="004E48AB" w:rsidRDefault="00EB1CF0" w:rsidP="001315DD">
      <w:pPr>
        <w:jc w:val="both"/>
        <w:rPr>
          <w:rFonts w:ascii="Cambria" w:eastAsia="MS Mincho" w:hAnsi="Cambria" w:cs="Times New Roman"/>
        </w:rPr>
      </w:pPr>
      <w:r>
        <w:rPr>
          <w:rFonts w:ascii="Cambria" w:eastAsia="MS Mincho" w:hAnsi="Cambria" w:cs="Times New Roman"/>
        </w:rPr>
        <w:t>18</w:t>
      </w:r>
      <w:r w:rsidR="004E48AB" w:rsidRPr="0089604B">
        <w:rPr>
          <w:rFonts w:ascii="Cambria" w:eastAsia="MS Mincho" w:hAnsi="Cambria" w:cs="Times New Roman"/>
        </w:rPr>
        <w:t>. Sinha RK, S Herat, DB Valani, KA Chauhan (2009). Earthworms vermicompost: a powerful crop nutrient over the conventional compost and protective soil conditioner. Am Eurasian J Agric Environ Sci 5:14–22</w:t>
      </w:r>
    </w:p>
    <w:p w14:paraId="14DE2926" w14:textId="648F6A4D" w:rsidR="00EB1CF0" w:rsidRPr="0089604B" w:rsidRDefault="00EB1CF0" w:rsidP="001315DD">
      <w:pPr>
        <w:jc w:val="both"/>
        <w:rPr>
          <w:rFonts w:ascii="Cambria" w:eastAsia="MS Mincho" w:hAnsi="Cambria" w:cs="Times New Roman"/>
        </w:rPr>
      </w:pPr>
      <w:r>
        <w:rPr>
          <w:rFonts w:ascii="Cambria" w:eastAsia="MS Mincho" w:hAnsi="Cambria" w:cs="Times New Roman"/>
        </w:rPr>
        <w:t xml:space="preserve">19. </w:t>
      </w:r>
      <w:proofErr w:type="spellStart"/>
      <w:r w:rsidRPr="00EB1CF0">
        <w:rPr>
          <w:rFonts w:ascii="Cambria" w:eastAsia="MS Mincho" w:hAnsi="Cambria" w:cs="Times New Roman"/>
        </w:rPr>
        <w:t>Sutejo</w:t>
      </w:r>
      <w:proofErr w:type="spellEnd"/>
      <w:r w:rsidRPr="00EB1CF0">
        <w:rPr>
          <w:rFonts w:ascii="Cambria" w:eastAsia="MS Mincho" w:hAnsi="Cambria" w:cs="Times New Roman"/>
        </w:rPr>
        <w:t xml:space="preserve">, Hery, Marisi </w:t>
      </w:r>
      <w:proofErr w:type="spellStart"/>
      <w:r w:rsidRPr="00EB1CF0">
        <w:rPr>
          <w:rFonts w:ascii="Cambria" w:eastAsia="MS Mincho" w:hAnsi="Cambria" w:cs="Times New Roman"/>
        </w:rPr>
        <w:t>Napitupulu</w:t>
      </w:r>
      <w:proofErr w:type="spellEnd"/>
      <w:r w:rsidRPr="00EB1CF0">
        <w:rPr>
          <w:rFonts w:ascii="Cambria" w:eastAsia="MS Mincho" w:hAnsi="Cambria" w:cs="Times New Roman"/>
        </w:rPr>
        <w:t xml:space="preserve">, Desi Mantika, Abdul Rahmi, and Abdul Fatah. (2024). “Growth and Yield of Tomato (Solanum </w:t>
      </w:r>
      <w:proofErr w:type="spellStart"/>
      <w:r w:rsidRPr="00EB1CF0">
        <w:rPr>
          <w:rFonts w:ascii="Cambria" w:eastAsia="MS Mincho" w:hAnsi="Cambria" w:cs="Times New Roman"/>
        </w:rPr>
        <w:t>Lycopersicum</w:t>
      </w:r>
      <w:proofErr w:type="spellEnd"/>
      <w:r w:rsidRPr="00EB1CF0">
        <w:rPr>
          <w:rFonts w:ascii="Cambria" w:eastAsia="MS Mincho" w:hAnsi="Cambria" w:cs="Times New Roman"/>
        </w:rPr>
        <w:t xml:space="preserve"> Mill) </w:t>
      </w:r>
      <w:proofErr w:type="spellStart"/>
      <w:r w:rsidRPr="00EB1CF0">
        <w:rPr>
          <w:rFonts w:ascii="Cambria" w:eastAsia="MS Mincho" w:hAnsi="Cambria" w:cs="Times New Roman"/>
        </w:rPr>
        <w:t>Gustavi</w:t>
      </w:r>
      <w:proofErr w:type="spellEnd"/>
      <w:r w:rsidRPr="00EB1CF0">
        <w:rPr>
          <w:rFonts w:ascii="Cambria" w:eastAsia="MS Mincho" w:hAnsi="Cambria" w:cs="Times New Roman"/>
        </w:rPr>
        <w:t xml:space="preserve"> Variety Applied </w:t>
      </w:r>
      <w:proofErr w:type="gramStart"/>
      <w:r w:rsidRPr="00EB1CF0">
        <w:rPr>
          <w:rFonts w:ascii="Cambria" w:eastAsia="MS Mincho" w:hAnsi="Cambria" w:cs="Times New Roman"/>
        </w:rPr>
        <w:t>With</w:t>
      </w:r>
      <w:proofErr w:type="gramEnd"/>
      <w:r w:rsidRPr="00EB1CF0">
        <w:rPr>
          <w:rFonts w:ascii="Cambria" w:eastAsia="MS Mincho" w:hAnsi="Cambria" w:cs="Times New Roman"/>
        </w:rPr>
        <w:t xml:space="preserve"> Varying Levels of Cow Manure Vermicompost and Nasa Liquid Organic Fertilizer”. Journal of Agriculture and Ecology Research International, 25(3), 205–213. https://doi.</w:t>
      </w:r>
      <w:r>
        <w:rPr>
          <w:rFonts w:ascii="Cambria" w:eastAsia="MS Mincho" w:hAnsi="Cambria" w:cs="Times New Roman"/>
        </w:rPr>
        <w:t>org/10.9734/jaeri/2024/v25i3607</w:t>
      </w:r>
    </w:p>
    <w:p w14:paraId="7F60BA3F" w14:textId="2F97B389" w:rsidR="004E48AB" w:rsidRPr="0089604B" w:rsidRDefault="00EB1CF0" w:rsidP="001315DD">
      <w:pPr>
        <w:jc w:val="both"/>
        <w:rPr>
          <w:rFonts w:ascii="Cambria" w:eastAsia="MS Mincho" w:hAnsi="Cambria" w:cs="Times New Roman"/>
        </w:rPr>
      </w:pPr>
      <w:r>
        <w:rPr>
          <w:rFonts w:ascii="Cambria" w:eastAsia="MS Mincho" w:hAnsi="Cambria" w:cs="Times New Roman"/>
        </w:rPr>
        <w:lastRenderedPageBreak/>
        <w:t>20</w:t>
      </w:r>
      <w:r w:rsidR="004E48AB" w:rsidRPr="0089604B">
        <w:rPr>
          <w:rFonts w:ascii="Cambria" w:eastAsia="MS Mincho" w:hAnsi="Cambria" w:cs="Times New Roman"/>
        </w:rPr>
        <w:t>. USDA (2021). Food Data Central (Nutrient Database). United States Department of Agriculture. Available at: https://fdc.nal.usda.gov/ (Accessed: January 26, 2024)</w:t>
      </w:r>
    </w:p>
    <w:p w14:paraId="7F60BA40" w14:textId="40F9CA23" w:rsidR="004E48AB" w:rsidRPr="0089604B" w:rsidRDefault="00EB1CF0" w:rsidP="001315DD">
      <w:pPr>
        <w:jc w:val="both"/>
        <w:rPr>
          <w:rFonts w:ascii="Cambria" w:eastAsia="MS Mincho" w:hAnsi="Cambria" w:cs="Times New Roman"/>
        </w:rPr>
      </w:pPr>
      <w:r>
        <w:rPr>
          <w:rFonts w:ascii="Cambria" w:eastAsia="MS Mincho" w:hAnsi="Cambria" w:cs="Times New Roman"/>
        </w:rPr>
        <w:t>21</w:t>
      </w:r>
      <w:r w:rsidR="004E48AB" w:rsidRPr="0089604B">
        <w:rPr>
          <w:rFonts w:ascii="Cambria" w:eastAsia="MS Mincho" w:hAnsi="Cambria" w:cs="Times New Roman"/>
        </w:rPr>
        <w:t xml:space="preserve">. Vambe M, RM </w:t>
      </w:r>
      <w:proofErr w:type="spellStart"/>
      <w:r w:rsidR="004E48AB" w:rsidRPr="0089604B">
        <w:rPr>
          <w:rFonts w:ascii="Cambria" w:eastAsia="MS Mincho" w:hAnsi="Cambria" w:cs="Times New Roman"/>
        </w:rPr>
        <w:t>Coopoosamy</w:t>
      </w:r>
      <w:proofErr w:type="spellEnd"/>
      <w:r w:rsidR="004E48AB" w:rsidRPr="0089604B">
        <w:rPr>
          <w:rFonts w:ascii="Cambria" w:eastAsia="MS Mincho" w:hAnsi="Cambria" w:cs="Times New Roman"/>
        </w:rPr>
        <w:t>, G Arthur, K Naidoo (2023). Potential role of vermicompost and its extracts in alleviating climatic impacts on crop production. J Agric Food Res 12:100585</w:t>
      </w:r>
    </w:p>
    <w:p w14:paraId="7F60BA41" w14:textId="3228F8CA" w:rsidR="004E48AB" w:rsidRPr="0089604B" w:rsidRDefault="00EB1CF0" w:rsidP="001315DD">
      <w:pPr>
        <w:jc w:val="both"/>
        <w:rPr>
          <w:rFonts w:ascii="Cambria" w:eastAsia="MS Mincho" w:hAnsi="Cambria" w:cs="Times New Roman"/>
        </w:rPr>
      </w:pPr>
      <w:r>
        <w:rPr>
          <w:rFonts w:ascii="Cambria" w:eastAsia="MS Mincho" w:hAnsi="Cambria" w:cs="Times New Roman"/>
        </w:rPr>
        <w:t>22</w:t>
      </w:r>
      <w:r w:rsidR="004E48AB" w:rsidRPr="0089604B">
        <w:rPr>
          <w:rFonts w:ascii="Cambria" w:eastAsia="MS Mincho" w:hAnsi="Cambria" w:cs="Times New Roman"/>
        </w:rPr>
        <w:t xml:space="preserve">. Wen YC, HY Li, ZA Lin, et al. (2020). Long-term fertilization alters soil properties and fungal community composition in </w:t>
      </w:r>
      <w:proofErr w:type="spellStart"/>
      <w:r w:rsidR="004E48AB" w:rsidRPr="0089604B">
        <w:rPr>
          <w:rFonts w:ascii="Cambria" w:eastAsia="MS Mincho" w:hAnsi="Cambria" w:cs="Times New Roman"/>
        </w:rPr>
        <w:t>fluvo</w:t>
      </w:r>
      <w:proofErr w:type="spellEnd"/>
      <w:r w:rsidR="004E48AB" w:rsidRPr="0089604B">
        <w:rPr>
          <w:rFonts w:ascii="Cambria" w:eastAsia="MS Mincho" w:hAnsi="Cambria" w:cs="Times New Roman"/>
        </w:rPr>
        <w:t>-aquic soil of the North China Plain. Sci Rep 10:7198</w:t>
      </w:r>
    </w:p>
    <w:p w14:paraId="7F60BA42" w14:textId="7D867475" w:rsidR="004E48AB" w:rsidRDefault="00EB1CF0" w:rsidP="001315DD">
      <w:pPr>
        <w:jc w:val="both"/>
        <w:rPr>
          <w:rFonts w:ascii="Cambria" w:eastAsia="MS Mincho" w:hAnsi="Cambria" w:cs="Times New Roman"/>
        </w:rPr>
      </w:pPr>
      <w:r>
        <w:rPr>
          <w:rFonts w:ascii="Cambria" w:eastAsia="MS Mincho" w:hAnsi="Cambria" w:cs="Times New Roman"/>
        </w:rPr>
        <w:t>23</w:t>
      </w:r>
      <w:r w:rsidR="004E48AB" w:rsidRPr="0089604B">
        <w:rPr>
          <w:rFonts w:ascii="Cambria" w:eastAsia="MS Mincho" w:hAnsi="Cambria" w:cs="Times New Roman"/>
        </w:rPr>
        <w:t xml:space="preserve">. Xu Q, W Zhu, Z Tian, Y Wang, H Liu, X Zhang (2020). Long-term chemical-only fertilization induces a diversity decline and deep selection on the soil bacteria. </w:t>
      </w:r>
      <w:proofErr w:type="spellStart"/>
      <w:r w:rsidR="004E48AB" w:rsidRPr="0089604B">
        <w:rPr>
          <w:rFonts w:ascii="Cambria" w:eastAsia="MS Mincho" w:hAnsi="Cambria" w:cs="Times New Roman"/>
        </w:rPr>
        <w:t>mSystems</w:t>
      </w:r>
      <w:proofErr w:type="spellEnd"/>
      <w:r w:rsidR="004E48AB" w:rsidRPr="0089604B">
        <w:rPr>
          <w:rFonts w:ascii="Cambria" w:eastAsia="MS Mincho" w:hAnsi="Cambria" w:cs="Times New Roman"/>
        </w:rPr>
        <w:t xml:space="preserve"> </w:t>
      </w:r>
      <w:proofErr w:type="gramStart"/>
      <w:r w:rsidR="004E48AB" w:rsidRPr="0089604B">
        <w:rPr>
          <w:rFonts w:ascii="Cambria" w:eastAsia="MS Mincho" w:hAnsi="Cambria" w:cs="Times New Roman"/>
        </w:rPr>
        <w:t>5:e</w:t>
      </w:r>
      <w:proofErr w:type="gramEnd"/>
      <w:r w:rsidR="004E48AB" w:rsidRPr="0089604B">
        <w:rPr>
          <w:rFonts w:ascii="Cambria" w:eastAsia="MS Mincho" w:hAnsi="Cambria" w:cs="Times New Roman"/>
        </w:rPr>
        <w:t>00337-20</w:t>
      </w:r>
    </w:p>
    <w:p w14:paraId="69E7B95A" w14:textId="77777777" w:rsidR="00EB1CF0" w:rsidRPr="00EB1CF0" w:rsidRDefault="00EB1CF0" w:rsidP="00EB1CF0">
      <w:pPr>
        <w:jc w:val="both"/>
        <w:rPr>
          <w:rFonts w:ascii="Cambria" w:eastAsia="MS Mincho" w:hAnsi="Cambria" w:cs="Times New Roman"/>
        </w:rPr>
      </w:pPr>
    </w:p>
    <w:p w14:paraId="0F61C471" w14:textId="77777777" w:rsidR="00EB1CF0" w:rsidRPr="0089604B" w:rsidRDefault="00EB1CF0" w:rsidP="001315DD">
      <w:pPr>
        <w:jc w:val="both"/>
        <w:rPr>
          <w:rFonts w:ascii="Cambria" w:eastAsia="MS Mincho" w:hAnsi="Cambria" w:cs="Times New Roman"/>
        </w:rPr>
      </w:pPr>
    </w:p>
    <w:p w14:paraId="7F60BA43" w14:textId="77777777" w:rsidR="004E48AB" w:rsidRPr="00B57E7C" w:rsidRDefault="004E48AB" w:rsidP="001315DD">
      <w:pPr>
        <w:jc w:val="both"/>
        <w:rPr>
          <w:rFonts w:ascii="Times New Roman" w:eastAsia="Times New Roman" w:hAnsi="Times New Roman" w:cs="Times New Roman"/>
          <w:color w:val="545454"/>
        </w:rPr>
      </w:pPr>
    </w:p>
    <w:p w14:paraId="7F60BA44" w14:textId="77777777" w:rsidR="00824B8F" w:rsidRDefault="00824B8F"/>
    <w:sectPr w:rsidR="00824B8F" w:rsidSect="00C002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C7F7" w14:textId="77777777" w:rsidR="00A72B1B" w:rsidRDefault="00A72B1B" w:rsidP="00206AD0">
      <w:pPr>
        <w:spacing w:after="0" w:line="240" w:lineRule="auto"/>
      </w:pPr>
      <w:r>
        <w:separator/>
      </w:r>
    </w:p>
  </w:endnote>
  <w:endnote w:type="continuationSeparator" w:id="0">
    <w:p w14:paraId="5D619B3B" w14:textId="77777777" w:rsidR="00A72B1B" w:rsidRDefault="00A72B1B" w:rsidP="0020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274E" w14:textId="77777777" w:rsidR="00206AD0" w:rsidRDefault="00206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768066"/>
      <w:docPartObj>
        <w:docPartGallery w:val="Page Numbers (Bottom of Page)"/>
        <w:docPartUnique/>
      </w:docPartObj>
    </w:sdtPr>
    <w:sdtEndPr>
      <w:rPr>
        <w:noProof/>
      </w:rPr>
    </w:sdtEndPr>
    <w:sdtContent>
      <w:p w14:paraId="3B5D9FBA" w14:textId="42BFBF90" w:rsidR="00206AD0" w:rsidRDefault="00206AD0">
        <w:pPr>
          <w:pStyle w:val="Footer"/>
          <w:jc w:val="center"/>
        </w:pPr>
        <w:r>
          <w:fldChar w:fldCharType="begin"/>
        </w:r>
        <w:r>
          <w:instrText xml:space="preserve"> PAGE   \* MERGEFORMAT </w:instrText>
        </w:r>
        <w:r>
          <w:fldChar w:fldCharType="separate"/>
        </w:r>
        <w:r w:rsidR="001C34E9">
          <w:rPr>
            <w:noProof/>
          </w:rPr>
          <w:t>2</w:t>
        </w:r>
        <w:r>
          <w:rPr>
            <w:noProof/>
          </w:rPr>
          <w:fldChar w:fldCharType="end"/>
        </w:r>
      </w:p>
    </w:sdtContent>
  </w:sdt>
  <w:p w14:paraId="56CA5E86" w14:textId="77777777" w:rsidR="00206AD0" w:rsidRDefault="0020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1B4A" w14:textId="77777777" w:rsidR="00206AD0" w:rsidRDefault="0020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3E1E" w14:textId="77777777" w:rsidR="00A72B1B" w:rsidRDefault="00A72B1B" w:rsidP="00206AD0">
      <w:pPr>
        <w:spacing w:after="0" w:line="240" w:lineRule="auto"/>
      </w:pPr>
      <w:r>
        <w:separator/>
      </w:r>
    </w:p>
  </w:footnote>
  <w:footnote w:type="continuationSeparator" w:id="0">
    <w:p w14:paraId="78082DD2" w14:textId="77777777" w:rsidR="00A72B1B" w:rsidRDefault="00A72B1B" w:rsidP="00206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A0AF" w14:textId="0C75D5F0" w:rsidR="00206AD0" w:rsidRDefault="00000000">
    <w:pPr>
      <w:pStyle w:val="Header"/>
    </w:pPr>
    <w:r>
      <w:rPr>
        <w:noProof/>
      </w:rPr>
      <w:pict w14:anchorId="28597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8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11A0" w14:textId="7B37F7BE" w:rsidR="00206AD0" w:rsidRDefault="00000000">
    <w:pPr>
      <w:pStyle w:val="Header"/>
    </w:pPr>
    <w:r>
      <w:rPr>
        <w:noProof/>
      </w:rPr>
      <w:pict w14:anchorId="7CD7B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8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BA7A" w14:textId="7BC905C3" w:rsidR="00206AD0" w:rsidRDefault="00000000">
    <w:pPr>
      <w:pStyle w:val="Header"/>
    </w:pPr>
    <w:r>
      <w:rPr>
        <w:noProof/>
      </w:rPr>
      <w:pict w14:anchorId="377E1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8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6310"/>
    <w:multiLevelType w:val="hybridMultilevel"/>
    <w:tmpl w:val="38265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76E9"/>
    <w:multiLevelType w:val="hybridMultilevel"/>
    <w:tmpl w:val="2028F2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A4D79"/>
    <w:multiLevelType w:val="hybridMultilevel"/>
    <w:tmpl w:val="0F5490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17D51"/>
    <w:multiLevelType w:val="multilevel"/>
    <w:tmpl w:val="9B6032D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35F75"/>
    <w:multiLevelType w:val="hybridMultilevel"/>
    <w:tmpl w:val="C05AF3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B2EC8"/>
    <w:multiLevelType w:val="multilevel"/>
    <w:tmpl w:val="CF522DE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5B6E48"/>
    <w:multiLevelType w:val="hybridMultilevel"/>
    <w:tmpl w:val="26D293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8404F"/>
    <w:multiLevelType w:val="hybridMultilevel"/>
    <w:tmpl w:val="9C560B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849C5"/>
    <w:multiLevelType w:val="multilevel"/>
    <w:tmpl w:val="846EFA3E"/>
    <w:lvl w:ilvl="0">
      <w:start w:val="1"/>
      <w:numFmt w:val="upperRoman"/>
      <w:lvlText w:val="%1."/>
      <w:lvlJc w:val="righ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2237C72"/>
    <w:multiLevelType w:val="multilevel"/>
    <w:tmpl w:val="D8CEDAB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301DE"/>
    <w:multiLevelType w:val="multilevel"/>
    <w:tmpl w:val="8EEEEA80"/>
    <w:lvl w:ilvl="0">
      <w:start w:val="1"/>
      <w:numFmt w:val="upperRoman"/>
      <w:lvlText w:val="%1."/>
      <w:lvlJc w:val="right"/>
      <w:pPr>
        <w:ind w:left="720" w:hanging="360"/>
      </w:p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1854143">
    <w:abstractNumId w:val="8"/>
  </w:num>
  <w:num w:numId="2" w16cid:durableId="1263149156">
    <w:abstractNumId w:val="9"/>
  </w:num>
  <w:num w:numId="3" w16cid:durableId="1166743365">
    <w:abstractNumId w:val="6"/>
  </w:num>
  <w:num w:numId="4" w16cid:durableId="274531665">
    <w:abstractNumId w:val="3"/>
  </w:num>
  <w:num w:numId="5" w16cid:durableId="434861619">
    <w:abstractNumId w:val="5"/>
  </w:num>
  <w:num w:numId="6" w16cid:durableId="431751995">
    <w:abstractNumId w:val="0"/>
  </w:num>
  <w:num w:numId="7" w16cid:durableId="1725714860">
    <w:abstractNumId w:val="10"/>
  </w:num>
  <w:num w:numId="8" w16cid:durableId="9911602">
    <w:abstractNumId w:val="1"/>
  </w:num>
  <w:num w:numId="9" w16cid:durableId="54622607">
    <w:abstractNumId w:val="4"/>
  </w:num>
  <w:num w:numId="10" w16cid:durableId="559369609">
    <w:abstractNumId w:val="7"/>
  </w:num>
  <w:num w:numId="11" w16cid:durableId="66270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8AB"/>
    <w:rsid w:val="000166FB"/>
    <w:rsid w:val="00023F93"/>
    <w:rsid w:val="000244F1"/>
    <w:rsid w:val="00033B3A"/>
    <w:rsid w:val="0005536D"/>
    <w:rsid w:val="00087B16"/>
    <w:rsid w:val="000E29C6"/>
    <w:rsid w:val="001315DD"/>
    <w:rsid w:val="00181864"/>
    <w:rsid w:val="001836AA"/>
    <w:rsid w:val="001C34E9"/>
    <w:rsid w:val="00203764"/>
    <w:rsid w:val="00206AD0"/>
    <w:rsid w:val="002247C6"/>
    <w:rsid w:val="002C334A"/>
    <w:rsid w:val="003B1219"/>
    <w:rsid w:val="003B3785"/>
    <w:rsid w:val="004639B1"/>
    <w:rsid w:val="004639E3"/>
    <w:rsid w:val="00484139"/>
    <w:rsid w:val="004B2207"/>
    <w:rsid w:val="004E48AB"/>
    <w:rsid w:val="005115E9"/>
    <w:rsid w:val="00590D44"/>
    <w:rsid w:val="005B2FEA"/>
    <w:rsid w:val="0063262F"/>
    <w:rsid w:val="00666C53"/>
    <w:rsid w:val="006B27D4"/>
    <w:rsid w:val="00707CEC"/>
    <w:rsid w:val="007A6DAB"/>
    <w:rsid w:val="007B227B"/>
    <w:rsid w:val="007E3B7D"/>
    <w:rsid w:val="00824B8F"/>
    <w:rsid w:val="00853006"/>
    <w:rsid w:val="00872FB1"/>
    <w:rsid w:val="008D3FE3"/>
    <w:rsid w:val="00910DFD"/>
    <w:rsid w:val="00943F79"/>
    <w:rsid w:val="009E5719"/>
    <w:rsid w:val="00A502B6"/>
    <w:rsid w:val="00A61CA0"/>
    <w:rsid w:val="00A72B1B"/>
    <w:rsid w:val="00A84C77"/>
    <w:rsid w:val="00AC0FB3"/>
    <w:rsid w:val="00AC2BE7"/>
    <w:rsid w:val="00B43EAA"/>
    <w:rsid w:val="00B716CB"/>
    <w:rsid w:val="00BA478D"/>
    <w:rsid w:val="00C002B5"/>
    <w:rsid w:val="00CE36D2"/>
    <w:rsid w:val="00CF5047"/>
    <w:rsid w:val="00D0455F"/>
    <w:rsid w:val="00D316AC"/>
    <w:rsid w:val="00D40C63"/>
    <w:rsid w:val="00D41F29"/>
    <w:rsid w:val="00DD3C7F"/>
    <w:rsid w:val="00E05515"/>
    <w:rsid w:val="00E3002D"/>
    <w:rsid w:val="00E71321"/>
    <w:rsid w:val="00E90BEA"/>
    <w:rsid w:val="00EB1CF0"/>
    <w:rsid w:val="00EB2733"/>
    <w:rsid w:val="00F54AB7"/>
    <w:rsid w:val="00FE0766"/>
    <w:rsid w:val="00FF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0B954"/>
  <w15:docId w15:val="{8140B69D-2FCC-4FE7-8A45-C304A78C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AB"/>
    <w:pPr>
      <w:ind w:left="720"/>
      <w:contextualSpacing/>
    </w:pPr>
  </w:style>
  <w:style w:type="table" w:styleId="TableGrid">
    <w:name w:val="Table Grid"/>
    <w:basedOn w:val="TableNormal"/>
    <w:uiPriority w:val="59"/>
    <w:rsid w:val="004E4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8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8AB"/>
    <w:rPr>
      <w:b/>
      <w:bCs/>
    </w:rPr>
  </w:style>
  <w:style w:type="paragraph" w:styleId="BalloonText">
    <w:name w:val="Balloon Text"/>
    <w:basedOn w:val="Normal"/>
    <w:link w:val="BalloonTextChar"/>
    <w:uiPriority w:val="99"/>
    <w:semiHidden/>
    <w:unhideWhenUsed/>
    <w:rsid w:val="004E4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AB"/>
    <w:rPr>
      <w:rFonts w:ascii="Tahoma" w:hAnsi="Tahoma" w:cs="Tahoma"/>
      <w:sz w:val="16"/>
      <w:szCs w:val="16"/>
    </w:rPr>
  </w:style>
  <w:style w:type="paragraph" w:styleId="Header">
    <w:name w:val="header"/>
    <w:basedOn w:val="Normal"/>
    <w:link w:val="HeaderChar"/>
    <w:uiPriority w:val="99"/>
    <w:unhideWhenUsed/>
    <w:rsid w:val="00206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AD0"/>
  </w:style>
  <w:style w:type="paragraph" w:styleId="Footer">
    <w:name w:val="footer"/>
    <w:basedOn w:val="Normal"/>
    <w:link w:val="FooterChar"/>
    <w:uiPriority w:val="99"/>
    <w:unhideWhenUsed/>
    <w:rsid w:val="00206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AD0"/>
  </w:style>
  <w:style w:type="character" w:styleId="LineNumber">
    <w:name w:val="line number"/>
    <w:basedOn w:val="DefaultParagraphFont"/>
    <w:uiPriority w:val="99"/>
    <w:semiHidden/>
    <w:unhideWhenUsed/>
    <w:rsid w:val="00BA478D"/>
  </w:style>
  <w:style w:type="character" w:styleId="Hyperlink">
    <w:name w:val="Hyperlink"/>
    <w:basedOn w:val="DefaultParagraphFont"/>
    <w:uiPriority w:val="99"/>
    <w:unhideWhenUsed/>
    <w:rsid w:val="00F54AB7"/>
    <w:rPr>
      <w:color w:val="0000FF" w:themeColor="hyperlink"/>
      <w:u w:val="single"/>
    </w:rPr>
  </w:style>
  <w:style w:type="character" w:customStyle="1" w:styleId="UnresolvedMention1">
    <w:name w:val="Unresolved Mention1"/>
    <w:basedOn w:val="DefaultParagraphFont"/>
    <w:uiPriority w:val="99"/>
    <w:semiHidden/>
    <w:unhideWhenUsed/>
    <w:rsid w:val="00F54AB7"/>
    <w:rPr>
      <w:color w:val="605E5C"/>
      <w:shd w:val="clear" w:color="auto" w:fill="E1DFDD"/>
    </w:rPr>
  </w:style>
  <w:style w:type="character" w:styleId="Emphasis">
    <w:name w:val="Emphasis"/>
    <w:basedOn w:val="DefaultParagraphFont"/>
    <w:uiPriority w:val="20"/>
    <w:qFormat/>
    <w:rsid w:val="00EB1C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57104">
      <w:bodyDiv w:val="1"/>
      <w:marLeft w:val="0"/>
      <w:marRight w:val="0"/>
      <w:marTop w:val="0"/>
      <w:marBottom w:val="0"/>
      <w:divBdr>
        <w:top w:val="none" w:sz="0" w:space="0" w:color="auto"/>
        <w:left w:val="none" w:sz="0" w:space="0" w:color="auto"/>
        <w:bottom w:val="none" w:sz="0" w:space="0" w:color="auto"/>
        <w:right w:val="none" w:sz="0" w:space="0" w:color="auto"/>
      </w:divBdr>
    </w:div>
    <w:div w:id="104010127">
      <w:bodyDiv w:val="1"/>
      <w:marLeft w:val="0"/>
      <w:marRight w:val="0"/>
      <w:marTop w:val="0"/>
      <w:marBottom w:val="0"/>
      <w:divBdr>
        <w:top w:val="none" w:sz="0" w:space="0" w:color="auto"/>
        <w:left w:val="none" w:sz="0" w:space="0" w:color="auto"/>
        <w:bottom w:val="none" w:sz="0" w:space="0" w:color="auto"/>
        <w:right w:val="none" w:sz="0" w:space="0" w:color="auto"/>
      </w:divBdr>
    </w:div>
    <w:div w:id="416247990">
      <w:bodyDiv w:val="1"/>
      <w:marLeft w:val="0"/>
      <w:marRight w:val="0"/>
      <w:marTop w:val="0"/>
      <w:marBottom w:val="0"/>
      <w:divBdr>
        <w:top w:val="none" w:sz="0" w:space="0" w:color="auto"/>
        <w:left w:val="none" w:sz="0" w:space="0" w:color="auto"/>
        <w:bottom w:val="none" w:sz="0" w:space="0" w:color="auto"/>
        <w:right w:val="none" w:sz="0" w:space="0" w:color="auto"/>
      </w:divBdr>
    </w:div>
    <w:div w:id="753623368">
      <w:bodyDiv w:val="1"/>
      <w:marLeft w:val="0"/>
      <w:marRight w:val="0"/>
      <w:marTop w:val="0"/>
      <w:marBottom w:val="0"/>
      <w:divBdr>
        <w:top w:val="none" w:sz="0" w:space="0" w:color="auto"/>
        <w:left w:val="none" w:sz="0" w:space="0" w:color="auto"/>
        <w:bottom w:val="none" w:sz="0" w:space="0" w:color="auto"/>
        <w:right w:val="none" w:sz="0" w:space="0" w:color="auto"/>
      </w:divBdr>
    </w:div>
    <w:div w:id="928081955">
      <w:bodyDiv w:val="1"/>
      <w:marLeft w:val="0"/>
      <w:marRight w:val="0"/>
      <w:marTop w:val="0"/>
      <w:marBottom w:val="0"/>
      <w:divBdr>
        <w:top w:val="none" w:sz="0" w:space="0" w:color="auto"/>
        <w:left w:val="none" w:sz="0" w:space="0" w:color="auto"/>
        <w:bottom w:val="none" w:sz="0" w:space="0" w:color="auto"/>
        <w:right w:val="none" w:sz="0" w:space="0" w:color="auto"/>
      </w:divBdr>
    </w:div>
    <w:div w:id="1011104902">
      <w:bodyDiv w:val="1"/>
      <w:marLeft w:val="0"/>
      <w:marRight w:val="0"/>
      <w:marTop w:val="0"/>
      <w:marBottom w:val="0"/>
      <w:divBdr>
        <w:top w:val="none" w:sz="0" w:space="0" w:color="auto"/>
        <w:left w:val="none" w:sz="0" w:space="0" w:color="auto"/>
        <w:bottom w:val="none" w:sz="0" w:space="0" w:color="auto"/>
        <w:right w:val="none" w:sz="0" w:space="0" w:color="auto"/>
      </w:divBdr>
    </w:div>
    <w:div w:id="1234974063">
      <w:bodyDiv w:val="1"/>
      <w:marLeft w:val="0"/>
      <w:marRight w:val="0"/>
      <w:marTop w:val="0"/>
      <w:marBottom w:val="0"/>
      <w:divBdr>
        <w:top w:val="none" w:sz="0" w:space="0" w:color="auto"/>
        <w:left w:val="none" w:sz="0" w:space="0" w:color="auto"/>
        <w:bottom w:val="none" w:sz="0" w:space="0" w:color="auto"/>
        <w:right w:val="none" w:sz="0" w:space="0" w:color="auto"/>
      </w:divBdr>
    </w:div>
    <w:div w:id="1384598510">
      <w:bodyDiv w:val="1"/>
      <w:marLeft w:val="0"/>
      <w:marRight w:val="0"/>
      <w:marTop w:val="0"/>
      <w:marBottom w:val="0"/>
      <w:divBdr>
        <w:top w:val="none" w:sz="0" w:space="0" w:color="auto"/>
        <w:left w:val="none" w:sz="0" w:space="0" w:color="auto"/>
        <w:bottom w:val="none" w:sz="0" w:space="0" w:color="auto"/>
        <w:right w:val="none" w:sz="0" w:space="0" w:color="auto"/>
      </w:divBdr>
    </w:div>
    <w:div w:id="15779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11</Pages>
  <Words>3069</Words>
  <Characters>17495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Editor-90</cp:lastModifiedBy>
  <cp:revision>46</cp:revision>
  <dcterms:created xsi:type="dcterms:W3CDTF">2025-07-04T16:07:00Z</dcterms:created>
  <dcterms:modified xsi:type="dcterms:W3CDTF">2025-07-18T12:44:00Z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68154621-832f-493f-b8fa-9928a0a21e5f</vt:lpwstr>
  </property>
</Properties>
</file>