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3337" w14:textId="4991CEC4" w:rsidR="00281DA8" w:rsidRPr="00281DA8" w:rsidRDefault="00281DA8" w:rsidP="00523BAF">
      <w:pPr>
        <w:spacing w:line="240" w:lineRule="auto"/>
        <w:jc w:val="center"/>
        <w:rPr>
          <w:rFonts w:ascii="Times New Roman" w:eastAsia="Times New Roman" w:hAnsi="Times New Roman" w:cs="Times New Roman"/>
          <w:b/>
          <w:bCs/>
          <w:sz w:val="24"/>
          <w:szCs w:val="24"/>
          <w:u w:val="single"/>
          <w:lang w:eastAsia="en-IN"/>
        </w:rPr>
      </w:pPr>
      <w:r w:rsidRPr="00281DA8">
        <w:rPr>
          <w:rFonts w:ascii="Times New Roman" w:eastAsia="Times New Roman" w:hAnsi="Times New Roman" w:cs="Times New Roman"/>
          <w:b/>
          <w:bCs/>
          <w:sz w:val="24"/>
          <w:szCs w:val="24"/>
          <w:u w:val="single"/>
          <w:lang w:eastAsia="en-IN"/>
        </w:rPr>
        <w:t>Original Research Article</w:t>
      </w:r>
    </w:p>
    <w:p w14:paraId="3E483212" w14:textId="6C6BB08E" w:rsidR="00EB1711" w:rsidRDefault="00EB1711" w:rsidP="00523BAF">
      <w:pPr>
        <w:spacing w:line="240" w:lineRule="auto"/>
        <w:jc w:val="center"/>
        <w:rPr>
          <w:rFonts w:ascii="Times New Roman" w:eastAsia="Times New Roman" w:hAnsi="Times New Roman" w:cs="Times New Roman"/>
          <w:b/>
          <w:bCs/>
          <w:sz w:val="24"/>
          <w:szCs w:val="24"/>
          <w:lang w:eastAsia="en-IN"/>
        </w:rPr>
      </w:pPr>
      <w:r w:rsidRPr="00EB1711">
        <w:rPr>
          <w:rFonts w:ascii="Times New Roman" w:eastAsia="Times New Roman" w:hAnsi="Times New Roman" w:cs="Times New Roman"/>
          <w:b/>
          <w:bCs/>
          <w:sz w:val="24"/>
          <w:szCs w:val="24"/>
          <w:lang w:eastAsia="en-IN"/>
        </w:rPr>
        <w:t xml:space="preserve">Assessment of Seed Physiological Parameters in </w:t>
      </w:r>
      <w:r w:rsidRPr="00EB1711">
        <w:rPr>
          <w:rFonts w:ascii="Times New Roman" w:eastAsia="Times New Roman" w:hAnsi="Times New Roman" w:cs="Times New Roman"/>
          <w:b/>
          <w:bCs/>
          <w:i/>
          <w:iCs/>
          <w:sz w:val="24"/>
          <w:szCs w:val="24"/>
          <w:lang w:eastAsia="en-IN"/>
        </w:rPr>
        <w:t>Gymnema sylvestre</w:t>
      </w:r>
      <w:r w:rsidRPr="00EB1711">
        <w:rPr>
          <w:rFonts w:ascii="Times New Roman" w:eastAsia="Times New Roman" w:hAnsi="Times New Roman" w:cs="Times New Roman"/>
          <w:b/>
          <w:bCs/>
          <w:sz w:val="24"/>
          <w:szCs w:val="24"/>
          <w:lang w:eastAsia="en-IN"/>
        </w:rPr>
        <w:t xml:space="preserve"> R.Br. for Optimizing Propagation and Storage Strategies</w:t>
      </w:r>
    </w:p>
    <w:p w14:paraId="14AF7130" w14:textId="77777777" w:rsidR="00B20FC9" w:rsidRPr="00037244" w:rsidRDefault="00665CCB" w:rsidP="00B20FC9">
      <w:pPr>
        <w:pStyle w:val="NormalWeb"/>
      </w:pPr>
      <w:r w:rsidRPr="00037244">
        <w:rPr>
          <w:rStyle w:val="Strong"/>
        </w:rPr>
        <w:t>Abstract:</w:t>
      </w:r>
      <w:r w:rsidR="00B20FC9" w:rsidRPr="00037244">
        <w:t xml:space="preserve"> </w:t>
      </w:r>
    </w:p>
    <w:p w14:paraId="2995FDE7" w14:textId="77777777" w:rsidR="00B20FC9" w:rsidRPr="00037244" w:rsidRDefault="00B20FC9" w:rsidP="00B20FC9">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This study investigated seed viability, water imbibition behavior, and desiccation tolerance 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R.Br. to evaluate its potential for propagation and long-term storage. Tetrazolium (TZ) staining tests at varying concentrations (0.25%, 0.5%, and 1%) and durations (1 to 24 hours) revealed that 0.5% TZ consistently yielded 100% viability across all durations, making it the most effective treatment. Statistical analysis confirmed that TZ concentration, staining duration, and their interaction significantly influenced viability outcomes (</w:t>
      </w:r>
      <w:r w:rsidRPr="00037244">
        <w:rPr>
          <w:rFonts w:ascii="Times New Roman" w:eastAsia="Times New Roman" w:hAnsi="Times New Roman" w:cs="Times New Roman"/>
          <w:i/>
          <w:iCs/>
          <w:sz w:val="24"/>
          <w:szCs w:val="24"/>
          <w:lang w:eastAsia="en-IN"/>
        </w:rPr>
        <w:t>p</w:t>
      </w:r>
      <w:r w:rsidRPr="00037244">
        <w:rPr>
          <w:rFonts w:ascii="Times New Roman" w:eastAsia="Times New Roman" w:hAnsi="Times New Roman" w:cs="Times New Roman"/>
          <w:sz w:val="24"/>
          <w:szCs w:val="24"/>
          <w:lang w:eastAsia="en-IN"/>
        </w:rPr>
        <w:t xml:space="preserve"> &lt; 0.001). The seeds exhibited a clear triphasic water imbibition pattern, with fresh weight increasing by 158.79% at 30 hours before plateauing, indicative of typical orthodox seed hydration. Germination trials demonstrated that no pre-treatment was necessary, as seeds showed high viability without signs of physical or physiological dormancy. Desiccation trials, followed by storage at –20 °C, further confirmed the orthodox nature of the seeds. Germination improved from 89.26% in fresh seeds to 90.83% after desiccation and 95.38% after three months of cold storage. These results establish </w:t>
      </w:r>
      <w:r w:rsidRPr="00037244">
        <w:rPr>
          <w:rFonts w:ascii="Times New Roman" w:eastAsia="Times New Roman" w:hAnsi="Times New Roman" w:cs="Times New Roman"/>
          <w:i/>
          <w:iCs/>
          <w:sz w:val="24"/>
          <w:szCs w:val="24"/>
          <w:lang w:eastAsia="en-IN"/>
        </w:rPr>
        <w:t>G. sylvestre</w:t>
      </w:r>
      <w:r w:rsidRPr="00037244">
        <w:rPr>
          <w:rFonts w:ascii="Times New Roman" w:eastAsia="Times New Roman" w:hAnsi="Times New Roman" w:cs="Times New Roman"/>
          <w:sz w:val="24"/>
          <w:szCs w:val="24"/>
          <w:lang w:eastAsia="en-IN"/>
        </w:rPr>
        <w:t xml:space="preserve"> seeds as viable, desiccation-tolerant, and suitable for direct sowing and long-term conservation under low-temperature storage conditions.</w:t>
      </w:r>
    </w:p>
    <w:p w14:paraId="7A3A5AFC" w14:textId="77777777" w:rsidR="00665CCB" w:rsidRPr="00037244" w:rsidRDefault="00665CCB" w:rsidP="00B20FC9">
      <w:pPr>
        <w:pStyle w:val="Heading3"/>
        <w:rPr>
          <w:rFonts w:ascii="Times New Roman" w:hAnsi="Times New Roman" w:cs="Times New Roman"/>
          <w:color w:val="auto"/>
          <w:sz w:val="24"/>
          <w:szCs w:val="24"/>
        </w:rPr>
      </w:pPr>
      <w:r w:rsidRPr="00037244">
        <w:rPr>
          <w:rStyle w:val="Strong"/>
          <w:rFonts w:ascii="Times New Roman" w:hAnsi="Times New Roman" w:cs="Times New Roman"/>
          <w:b/>
          <w:bCs/>
          <w:color w:val="auto"/>
          <w:sz w:val="24"/>
          <w:szCs w:val="24"/>
        </w:rPr>
        <w:t>Keywords:</w:t>
      </w:r>
      <w:r w:rsidR="00B20FC9" w:rsidRPr="00037244">
        <w:rPr>
          <w:rStyle w:val="Strong"/>
          <w:rFonts w:ascii="Times New Roman" w:hAnsi="Times New Roman" w:cs="Times New Roman"/>
          <w:b/>
          <w:bCs/>
          <w:color w:val="auto"/>
          <w:sz w:val="24"/>
          <w:szCs w:val="24"/>
        </w:rPr>
        <w:t xml:space="preserve"> </w:t>
      </w:r>
      <w:r w:rsidR="00B20FC9" w:rsidRPr="00037244">
        <w:rPr>
          <w:rFonts w:ascii="Times New Roman" w:hAnsi="Times New Roman" w:cs="Times New Roman"/>
          <w:b w:val="0"/>
          <w:bCs w:val="0"/>
          <w:color w:val="auto"/>
          <w:sz w:val="24"/>
          <w:szCs w:val="24"/>
        </w:rPr>
        <w:t>S</w:t>
      </w:r>
      <w:r w:rsidRPr="00037244">
        <w:rPr>
          <w:rFonts w:ascii="Times New Roman" w:hAnsi="Times New Roman" w:cs="Times New Roman"/>
          <w:b w:val="0"/>
          <w:bCs w:val="0"/>
          <w:color w:val="auto"/>
          <w:sz w:val="24"/>
          <w:szCs w:val="24"/>
        </w:rPr>
        <w:t>eed germination, seed viability, tetrazolium test, seed storage, water imbibition, orthodox seeds, medicinal plants, seed physiology, propagation techniques</w:t>
      </w:r>
    </w:p>
    <w:p w14:paraId="0010FD90" w14:textId="035DED62" w:rsidR="002D53CC" w:rsidRPr="00037244" w:rsidRDefault="00665CCB" w:rsidP="00215537">
      <w:pPr>
        <w:pStyle w:val="Heading3"/>
        <w:jc w:val="both"/>
        <w:rPr>
          <w:rStyle w:val="Strong"/>
          <w:rFonts w:ascii="Times New Roman" w:hAnsi="Times New Roman" w:cs="Times New Roman"/>
          <w:b/>
          <w:bCs/>
          <w:color w:val="auto"/>
          <w:sz w:val="24"/>
          <w:szCs w:val="24"/>
        </w:rPr>
      </w:pPr>
      <w:r w:rsidRPr="00037244">
        <w:rPr>
          <w:rStyle w:val="Strong"/>
          <w:rFonts w:ascii="Times New Roman" w:hAnsi="Times New Roman" w:cs="Times New Roman"/>
          <w:b/>
          <w:bCs/>
          <w:color w:val="auto"/>
          <w:sz w:val="24"/>
          <w:szCs w:val="24"/>
        </w:rPr>
        <w:t>Introduction</w:t>
      </w:r>
    </w:p>
    <w:p w14:paraId="3C5946DA" w14:textId="77777777"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More than 80% of the global population relies on medicinal plants for primary healthcare needs. With the increasing demand for herbal products, the trade volume of plant-based raw materials has grown significantly. Currently, around 90% of raw drugs used in traditional medicine systems such as Ayurveda, Siddha, Unani, and Homeopathy are collected from the wild, of which nearly 70% involves destructive harvesting (Gowthami et al., 2021). Among the vulnerable medicinal plants impacted by unsustainable harvesting is </w:t>
      </w:r>
      <w:r w:rsidRPr="00037244">
        <w:rPr>
          <w:rFonts w:ascii="Times New Roman" w:hAnsi="Times New Roman" w:cs="Times New Roman"/>
          <w:i/>
          <w:iCs/>
          <w:sz w:val="24"/>
          <w:szCs w:val="24"/>
        </w:rPr>
        <w:t>Gymnema sylvestre</w:t>
      </w:r>
      <w:r w:rsidRPr="00037244">
        <w:rPr>
          <w:rFonts w:ascii="Times New Roman" w:hAnsi="Times New Roman" w:cs="Times New Roman"/>
          <w:sz w:val="24"/>
          <w:szCs w:val="24"/>
        </w:rPr>
        <w:t xml:space="preserve"> R. Br., a perennial woody climber from the family Apocynaceae (formerly Asclepiadaceae), widely known as “Gudmar” or “Madhunashini”—literally, “sugar destroyer”—for its well-documented antidiabetic properties.</w:t>
      </w:r>
    </w:p>
    <w:p w14:paraId="47FFFF2C" w14:textId="572AC5B3"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Native to tropical and subtropical forests of India, Sri Lanka, Southeast Asia, and parts of Africa and Australia,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xml:space="preserve"> inhabits dry deciduous forests up to 600 m elevation (Pandey, 2012). The leaves, when chewed, temporarily suppress the sensation of sweetness and have long been used in traditional formulations such as </w:t>
      </w:r>
      <w:r w:rsidRPr="00037244">
        <w:rPr>
          <w:rFonts w:ascii="Times New Roman" w:hAnsi="Times New Roman" w:cs="Times New Roman"/>
          <w:i/>
          <w:iCs/>
          <w:sz w:val="24"/>
          <w:szCs w:val="24"/>
        </w:rPr>
        <w:t>Mahavisagarbha Taila</w:t>
      </w:r>
      <w:r w:rsidRPr="00037244">
        <w:rPr>
          <w:rFonts w:ascii="Times New Roman" w:hAnsi="Times New Roman" w:cs="Times New Roman"/>
          <w:sz w:val="24"/>
          <w:szCs w:val="24"/>
        </w:rPr>
        <w:t xml:space="preserve">, </w:t>
      </w:r>
      <w:r w:rsidRPr="00037244">
        <w:rPr>
          <w:rFonts w:ascii="Times New Roman" w:hAnsi="Times New Roman" w:cs="Times New Roman"/>
          <w:i/>
          <w:iCs/>
          <w:sz w:val="24"/>
          <w:szCs w:val="24"/>
        </w:rPr>
        <w:t>Ayaskrti</w:t>
      </w:r>
      <w:r w:rsidRPr="00037244">
        <w:rPr>
          <w:rFonts w:ascii="Times New Roman" w:hAnsi="Times New Roman" w:cs="Times New Roman"/>
          <w:sz w:val="24"/>
          <w:szCs w:val="24"/>
        </w:rPr>
        <w:t xml:space="preserve">, and </w:t>
      </w:r>
      <w:r w:rsidRPr="00037244">
        <w:rPr>
          <w:rFonts w:ascii="Times New Roman" w:hAnsi="Times New Roman" w:cs="Times New Roman"/>
          <w:i/>
          <w:iCs/>
          <w:sz w:val="24"/>
          <w:szCs w:val="24"/>
        </w:rPr>
        <w:t>Nyagrodhadi Churna</w:t>
      </w:r>
      <w:r w:rsidRPr="00037244">
        <w:rPr>
          <w:rFonts w:ascii="Times New Roman" w:hAnsi="Times New Roman" w:cs="Times New Roman"/>
          <w:sz w:val="24"/>
          <w:szCs w:val="24"/>
        </w:rPr>
        <w:t xml:space="preserve"> to manage diabetes, asthma, hepatosplenomegaly, and other ailments (Anonymous, 2003; Nadkarni, 1993). Ethnobotanical accounts and modern studies confirm its diverse therapeutic applications, including digestive, anti-inflammatory, antihelminthic, cardioprotective, and hepatoprotective effects (Saneja et al., 2010).</w:t>
      </w:r>
    </w:p>
    <w:p w14:paraId="42ED1CFE" w14:textId="6BC7FBBA" w:rsidR="00E638D3"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lastRenderedPageBreak/>
        <w:t xml:space="preserve">Pharmacologically, the activity of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xml:space="preserve"> is largely attributed to gymnemic acids—oleanane-type triterpenoid saponins with hypoglycemic, insulinotropic, and antihyperlipidemic properties (Tiwari et al., 2014). Other active constituents, such as gymnemagenin, flavonoids, polyphenols, and anthraquinones, contribute to its antioxidant, antimicrobial, and anti-inflammatory actions (Zhao et al., 2017). It is a key ingredient in several polyherbal antidiabetic formulations, including IME-9 and BGR-34, which have been clinically validated (Paliwal, Kathori, &amp; Upadhyay, 2009; Kanetkar, Singhal, &amp; Kamat, 2007). Recent reviews further document its role in managing Type 2 diabetes via β-cell stimulation and insulin regulation, although potential hepatotoxicity has also been reported (</w:t>
      </w:r>
      <w:r w:rsidR="00F81B95" w:rsidRPr="00F81B95">
        <w:rPr>
          <w:rFonts w:ascii="Times New Roman" w:hAnsi="Times New Roman" w:cs="Times New Roman"/>
          <w:sz w:val="24"/>
          <w:szCs w:val="24"/>
        </w:rPr>
        <w:t>Jamadagni</w:t>
      </w:r>
      <w:r w:rsidR="00F81B95">
        <w:rPr>
          <w:rFonts w:ascii="Times New Roman" w:hAnsi="Times New Roman" w:cs="Times New Roman"/>
          <w:sz w:val="24"/>
          <w:szCs w:val="24"/>
        </w:rPr>
        <w:t xml:space="preserve"> et al 2021; </w:t>
      </w:r>
      <w:r w:rsidR="00E9533D">
        <w:rPr>
          <w:rFonts w:ascii="Times New Roman" w:hAnsi="Times New Roman" w:cs="Times New Roman"/>
          <w:sz w:val="24"/>
          <w:szCs w:val="24"/>
        </w:rPr>
        <w:t>Karwa et al. 2022</w:t>
      </w:r>
      <w:r w:rsidRPr="00037244">
        <w:rPr>
          <w:rFonts w:ascii="Times New Roman" w:hAnsi="Times New Roman" w:cs="Times New Roman"/>
          <w:sz w:val="24"/>
          <w:szCs w:val="24"/>
        </w:rPr>
        <w:t>).</w:t>
      </w:r>
    </w:p>
    <w:p w14:paraId="79F837C9" w14:textId="68124F53" w:rsidR="00CF3B2A" w:rsidRPr="00037244" w:rsidRDefault="00CF3B2A" w:rsidP="00E638D3">
      <w:pPr>
        <w:jc w:val="both"/>
        <w:rPr>
          <w:rFonts w:ascii="Times New Roman" w:hAnsi="Times New Roman" w:cs="Times New Roman"/>
          <w:sz w:val="24"/>
          <w:szCs w:val="24"/>
        </w:rPr>
      </w:pPr>
      <w:r w:rsidRPr="00CF3B2A">
        <w:rPr>
          <w:rFonts w:ascii="Times New Roman" w:hAnsi="Times New Roman" w:cs="Times New Roman"/>
          <w:sz w:val="24"/>
          <w:szCs w:val="24"/>
        </w:rPr>
        <w:t xml:space="preserve">Recent studies have reinforced the therapeutic potential of </w:t>
      </w:r>
      <w:proofErr w:type="spellStart"/>
      <w:r w:rsidRPr="00CF3B2A">
        <w:rPr>
          <w:rFonts w:ascii="Times New Roman" w:hAnsi="Times New Roman" w:cs="Times New Roman"/>
          <w:i/>
          <w:iCs/>
          <w:sz w:val="24"/>
          <w:szCs w:val="24"/>
        </w:rPr>
        <w:t>Gymnema</w:t>
      </w:r>
      <w:proofErr w:type="spellEnd"/>
      <w:r w:rsidRPr="00CF3B2A">
        <w:rPr>
          <w:rFonts w:ascii="Times New Roman" w:hAnsi="Times New Roman" w:cs="Times New Roman"/>
          <w:i/>
          <w:iCs/>
          <w:sz w:val="24"/>
          <w:szCs w:val="24"/>
        </w:rPr>
        <w:t xml:space="preserve"> </w:t>
      </w:r>
      <w:proofErr w:type="spellStart"/>
      <w:r w:rsidRPr="00CF3B2A">
        <w:rPr>
          <w:rFonts w:ascii="Times New Roman" w:hAnsi="Times New Roman" w:cs="Times New Roman"/>
          <w:i/>
          <w:iCs/>
          <w:sz w:val="24"/>
          <w:szCs w:val="24"/>
        </w:rPr>
        <w:t>sylvestre</w:t>
      </w:r>
      <w:proofErr w:type="spellEnd"/>
      <w:r w:rsidRPr="00CF3B2A">
        <w:rPr>
          <w:rFonts w:ascii="Times New Roman" w:hAnsi="Times New Roman" w:cs="Times New Roman"/>
          <w:sz w:val="24"/>
          <w:szCs w:val="24"/>
        </w:rPr>
        <w:t xml:space="preserve">, a traditional medicinal plant renowned for its antidiabetic, antihyperlipidemic, and anti-craving properties. A clinical trial by Martinez et al. (2020) demonstrated that supplementation with </w:t>
      </w:r>
      <w:r w:rsidRPr="00CF3B2A">
        <w:rPr>
          <w:rFonts w:ascii="Times New Roman" w:hAnsi="Times New Roman" w:cs="Times New Roman"/>
          <w:i/>
          <w:iCs/>
          <w:sz w:val="24"/>
          <w:szCs w:val="24"/>
        </w:rPr>
        <w:t xml:space="preserve">G. </w:t>
      </w:r>
      <w:proofErr w:type="spellStart"/>
      <w:r w:rsidRPr="00CF3B2A">
        <w:rPr>
          <w:rFonts w:ascii="Times New Roman" w:hAnsi="Times New Roman" w:cs="Times New Roman"/>
          <w:i/>
          <w:iCs/>
          <w:sz w:val="24"/>
          <w:szCs w:val="24"/>
        </w:rPr>
        <w:t>sylvestre</w:t>
      </w:r>
      <w:proofErr w:type="spellEnd"/>
      <w:r w:rsidRPr="00CF3B2A">
        <w:rPr>
          <w:rFonts w:ascii="Times New Roman" w:hAnsi="Times New Roman" w:cs="Times New Roman"/>
          <w:sz w:val="24"/>
          <w:szCs w:val="24"/>
        </w:rPr>
        <w:t xml:space="preserve"> in combination with zinc and chromium significantly reduced fasting blood glucose and HbA1c levels in prediabetic individuals, with no reported hepatic or renal toxicity. Preclinical investigations have further confirmed its efficacy in restoring cerebral microvascular architecture in diabetic rat models (</w:t>
      </w:r>
      <w:proofErr w:type="spellStart"/>
      <w:r w:rsidRPr="00CF3B2A">
        <w:rPr>
          <w:rFonts w:ascii="Times New Roman" w:hAnsi="Times New Roman" w:cs="Times New Roman"/>
          <w:sz w:val="24"/>
          <w:szCs w:val="24"/>
        </w:rPr>
        <w:t>Sandech</w:t>
      </w:r>
      <w:proofErr w:type="spellEnd"/>
      <w:r w:rsidRPr="00CF3B2A">
        <w:rPr>
          <w:rFonts w:ascii="Times New Roman" w:hAnsi="Times New Roman" w:cs="Times New Roman"/>
          <w:sz w:val="24"/>
          <w:szCs w:val="24"/>
        </w:rPr>
        <w:t xml:space="preserve"> et al., 2021) and improving lipid profiles in animals fed a high-fat diet (Singh et al., 2017). Moreover, advanced metabolomic profiling and molecular docking studies have identified </w:t>
      </w:r>
      <w:proofErr w:type="spellStart"/>
      <w:r w:rsidRPr="00CF3B2A">
        <w:rPr>
          <w:rFonts w:ascii="Times New Roman" w:hAnsi="Times New Roman" w:cs="Times New Roman"/>
          <w:sz w:val="24"/>
          <w:szCs w:val="24"/>
        </w:rPr>
        <w:t>gymnemic</w:t>
      </w:r>
      <w:proofErr w:type="spellEnd"/>
      <w:r w:rsidRPr="00CF3B2A">
        <w:rPr>
          <w:rFonts w:ascii="Times New Roman" w:hAnsi="Times New Roman" w:cs="Times New Roman"/>
          <w:sz w:val="24"/>
          <w:szCs w:val="24"/>
        </w:rPr>
        <w:t xml:space="preserve"> acid IV and </w:t>
      </w:r>
      <w:proofErr w:type="spellStart"/>
      <w:r w:rsidRPr="00CF3B2A">
        <w:rPr>
          <w:rFonts w:ascii="Times New Roman" w:hAnsi="Times New Roman" w:cs="Times New Roman"/>
          <w:sz w:val="24"/>
          <w:szCs w:val="24"/>
        </w:rPr>
        <w:t>gymnestrogenin</w:t>
      </w:r>
      <w:proofErr w:type="spellEnd"/>
      <w:r w:rsidRPr="00CF3B2A">
        <w:rPr>
          <w:rFonts w:ascii="Times New Roman" w:hAnsi="Times New Roman" w:cs="Times New Roman"/>
          <w:sz w:val="24"/>
          <w:szCs w:val="24"/>
        </w:rPr>
        <w:t xml:space="preserve"> as key bioactive triterpenoid saponins with notable antifungal activity, particularly through the inhibition of ergosterol biosynthesis and fungal growth (Neel et al., 2025). In addition, </w:t>
      </w:r>
      <w:r w:rsidRPr="00CF3B2A">
        <w:rPr>
          <w:rFonts w:ascii="Times New Roman" w:hAnsi="Times New Roman" w:cs="Times New Roman"/>
          <w:i/>
          <w:iCs/>
          <w:sz w:val="24"/>
          <w:szCs w:val="24"/>
        </w:rPr>
        <w:t xml:space="preserve">G. </w:t>
      </w:r>
      <w:proofErr w:type="spellStart"/>
      <w:r w:rsidRPr="00CF3B2A">
        <w:rPr>
          <w:rFonts w:ascii="Times New Roman" w:hAnsi="Times New Roman" w:cs="Times New Roman"/>
          <w:i/>
          <w:iCs/>
          <w:sz w:val="24"/>
          <w:szCs w:val="24"/>
        </w:rPr>
        <w:t>sylvestre</w:t>
      </w:r>
      <w:proofErr w:type="spellEnd"/>
      <w:r w:rsidRPr="00CF3B2A">
        <w:rPr>
          <w:rFonts w:ascii="Times New Roman" w:hAnsi="Times New Roman" w:cs="Times New Roman"/>
          <w:sz w:val="24"/>
          <w:szCs w:val="24"/>
        </w:rPr>
        <w:t xml:space="preserve"> has shown promising effects in managing polycystic ovarian syndrome (PCOS), where it improved endocrine parameters and ovarian morphology via modulation of gene expression (Vora et al., 2023). Collectively, these findings underscore the broad-spectrum pharmacological profile of </w:t>
      </w:r>
      <w:proofErr w:type="spellStart"/>
      <w:r w:rsidRPr="00CF3B2A">
        <w:rPr>
          <w:rFonts w:ascii="Times New Roman" w:hAnsi="Times New Roman" w:cs="Times New Roman"/>
          <w:i/>
          <w:iCs/>
          <w:sz w:val="24"/>
          <w:szCs w:val="24"/>
        </w:rPr>
        <w:t>Gymnema</w:t>
      </w:r>
      <w:proofErr w:type="spellEnd"/>
      <w:r w:rsidRPr="00CF3B2A">
        <w:rPr>
          <w:rFonts w:ascii="Times New Roman" w:hAnsi="Times New Roman" w:cs="Times New Roman"/>
          <w:i/>
          <w:iCs/>
          <w:sz w:val="24"/>
          <w:szCs w:val="24"/>
        </w:rPr>
        <w:t xml:space="preserve"> </w:t>
      </w:r>
      <w:proofErr w:type="spellStart"/>
      <w:r w:rsidRPr="00CF3B2A">
        <w:rPr>
          <w:rFonts w:ascii="Times New Roman" w:hAnsi="Times New Roman" w:cs="Times New Roman"/>
          <w:i/>
          <w:iCs/>
          <w:sz w:val="24"/>
          <w:szCs w:val="24"/>
        </w:rPr>
        <w:t>sylvestre</w:t>
      </w:r>
      <w:proofErr w:type="spellEnd"/>
      <w:r w:rsidRPr="00CF3B2A">
        <w:rPr>
          <w:rFonts w:ascii="Times New Roman" w:hAnsi="Times New Roman" w:cs="Times New Roman"/>
          <w:sz w:val="24"/>
          <w:szCs w:val="24"/>
        </w:rPr>
        <w:t>, encouraging further clinical validation and integration into therapeutic strategies.</w:t>
      </w:r>
    </w:p>
    <w:p w14:paraId="1D7E063B" w14:textId="434B204D"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Despite its growing commercial demand, large-scale cultivation of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xml:space="preserve"> remains limited, primarily due to inadequate knowledge of its reproductive biology. While vegetative propagation is commonly practiced (Pandey, 2012), seed-based propagation remains underutilized due to uncertain germination behavior and lack of standardized storage protocols. Understanding the physiological and biochemical traits of seeds—such as viability, dormancy, and desiccation tolerance—is essential for optimizing propagation and conservation. Tetrazolium (TZ) staining provides a rapid method for evaluating seed viability, while water imbibition analysis reveals key hydration phases critical for germination. Assessing desiccation tolerance and cold storage response is fundamental for classifying seed storage behavior as orthodox,</w:t>
      </w:r>
      <w:r w:rsidR="00286EBA" w:rsidRPr="00037244">
        <w:rPr>
          <w:rFonts w:ascii="Times New Roman" w:hAnsi="Times New Roman" w:cs="Times New Roman"/>
          <w:sz w:val="24"/>
          <w:szCs w:val="24"/>
        </w:rPr>
        <w:t xml:space="preserve"> intermediate, or recalcitrant (</w:t>
      </w:r>
      <w:r w:rsidRPr="00037244">
        <w:rPr>
          <w:rFonts w:ascii="Times New Roman" w:hAnsi="Times New Roman" w:cs="Times New Roman"/>
          <w:sz w:val="24"/>
          <w:szCs w:val="24"/>
        </w:rPr>
        <w:t>Hong</w:t>
      </w:r>
      <w:r w:rsidR="00037244" w:rsidRPr="00037244">
        <w:rPr>
          <w:rFonts w:ascii="Times New Roman" w:eastAsia="Times New Roman" w:hAnsi="Times New Roman" w:cs="Times New Roman"/>
          <w:sz w:val="24"/>
          <w:szCs w:val="24"/>
          <w:lang w:eastAsia="en-IN"/>
        </w:rPr>
        <w:t xml:space="preserve"> and Ellis</w:t>
      </w:r>
      <w:r w:rsidRPr="00037244">
        <w:rPr>
          <w:rFonts w:ascii="Times New Roman" w:hAnsi="Times New Roman" w:cs="Times New Roman"/>
          <w:sz w:val="24"/>
          <w:szCs w:val="24"/>
        </w:rPr>
        <w:t>, 199</w:t>
      </w:r>
      <w:r w:rsidR="00037244" w:rsidRPr="00037244">
        <w:rPr>
          <w:rFonts w:ascii="Times New Roman" w:hAnsi="Times New Roman" w:cs="Times New Roman"/>
          <w:sz w:val="24"/>
          <w:szCs w:val="24"/>
        </w:rPr>
        <w:t>6</w:t>
      </w:r>
      <w:r w:rsidRPr="00037244">
        <w:rPr>
          <w:rFonts w:ascii="Times New Roman" w:hAnsi="Times New Roman" w:cs="Times New Roman"/>
          <w:sz w:val="24"/>
          <w:szCs w:val="24"/>
        </w:rPr>
        <w:t>).</w:t>
      </w:r>
    </w:p>
    <w:p w14:paraId="0CAA1774" w14:textId="584380EF"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Given the species' ecological and economic value, and the urgent need for sustainable utilization, this study aims to comprehensively evaluate the seed physiology of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focusing on viability testing, imbibition dynamics, dormancy status, desiccation tolerance, and long-term storage potential. The findings will inform both ex situ conservation efforts and efficient nursery practices for its large-scale cultivation.</w:t>
      </w:r>
    </w:p>
    <w:p w14:paraId="685126AA" w14:textId="77777777" w:rsidR="00665CCB" w:rsidRPr="00037244" w:rsidRDefault="00665CCB" w:rsidP="00665CCB">
      <w:pPr>
        <w:jc w:val="both"/>
        <w:rPr>
          <w:rFonts w:ascii="Times New Roman" w:hAnsi="Times New Roman" w:cs="Times New Roman"/>
          <w:b/>
          <w:sz w:val="24"/>
          <w:szCs w:val="24"/>
        </w:rPr>
      </w:pPr>
      <w:r w:rsidRPr="00037244">
        <w:rPr>
          <w:rFonts w:ascii="Times New Roman" w:eastAsia="Times New Roman" w:hAnsi="Times New Roman" w:cs="Times New Roman"/>
          <w:b/>
          <w:bCs/>
          <w:sz w:val="24"/>
          <w:szCs w:val="24"/>
        </w:rPr>
        <w:lastRenderedPageBreak/>
        <w:t>Material and Methodology:</w:t>
      </w:r>
    </w:p>
    <w:p w14:paraId="0A65EFC0" w14:textId="234890CC" w:rsidR="00523BAF" w:rsidRPr="00037244" w:rsidRDefault="00523BAF" w:rsidP="00523BAF">
      <w:pPr>
        <w:spacing w:before="100" w:beforeAutospacing="1" w:after="100" w:afterAutospacing="1"/>
        <w:jc w:val="both"/>
        <w:rPr>
          <w:rFonts w:ascii="Times New Roman" w:eastAsia="Times New Roman" w:hAnsi="Times New Roman" w:cs="Times New Roman"/>
          <w:sz w:val="24"/>
          <w:szCs w:val="24"/>
        </w:rPr>
      </w:pPr>
      <w:r w:rsidRPr="00037244">
        <w:rPr>
          <w:rFonts w:ascii="Times New Roman" w:eastAsia="Times New Roman" w:hAnsi="Times New Roman" w:cs="Times New Roman"/>
          <w:b/>
          <w:bCs/>
          <w:sz w:val="24"/>
          <w:szCs w:val="24"/>
        </w:rPr>
        <w:t xml:space="preserve">Study Area: </w:t>
      </w:r>
      <w:r w:rsidRPr="00037244">
        <w:rPr>
          <w:rFonts w:ascii="Times New Roman" w:eastAsia="Times New Roman" w:hAnsi="Times New Roman" w:cs="Times New Roman"/>
          <w:sz w:val="24"/>
          <w:szCs w:val="24"/>
        </w:rPr>
        <w:t>The research was conducted at Jabalpur, Madhya Pradesh, India (21°17′ to 26°52′ N latitude; 74°08′ to 82°49′ E longitude), characterized by a subtropical climate with distinct seasons: hot summers (April–June), monsoon rains (July–September), and cool winters (October–February). The region receives an average annual rainfall of ~1370 mm, with temperatures ranging from 10°C in winter to 48°C in summer</w:t>
      </w:r>
      <w:r w:rsidRPr="00037244">
        <w:rPr>
          <w:rFonts w:ascii="Times New Roman" w:eastAsia="Times New Roman" w:hAnsi="Times New Roman" w:cs="Times New Roman"/>
          <w:i/>
          <w:iCs/>
          <w:sz w:val="24"/>
          <w:szCs w:val="24"/>
        </w:rPr>
        <w:t>.</w:t>
      </w:r>
      <w:r w:rsidRPr="00037244">
        <w:rPr>
          <w:rFonts w:ascii="Times New Roman" w:eastAsia="Times New Roman" w:hAnsi="Times New Roman" w:cs="Times New Roman"/>
          <w:b/>
          <w:bCs/>
          <w:i/>
          <w:iCs/>
          <w:sz w:val="24"/>
          <w:szCs w:val="24"/>
        </w:rPr>
        <w:t xml:space="preserve"> </w:t>
      </w:r>
      <w:r w:rsidR="00D53500" w:rsidRPr="00037244">
        <w:rPr>
          <w:rFonts w:ascii="Times New Roman" w:eastAsia="Times New Roman" w:hAnsi="Times New Roman" w:cs="Times New Roman"/>
          <w:i/>
          <w:iCs/>
          <w:sz w:val="24"/>
          <w:szCs w:val="24"/>
        </w:rPr>
        <w:t>Gymnema sylvestre</w:t>
      </w:r>
      <w:r w:rsidR="00D53500" w:rsidRPr="00037244">
        <w:rPr>
          <w:rFonts w:ascii="Times New Roman" w:eastAsia="Times New Roman" w:hAnsi="Times New Roman" w:cs="Times New Roman"/>
          <w:sz w:val="24"/>
          <w:szCs w:val="24"/>
        </w:rPr>
        <w:t xml:space="preserve"> exhibits flowering from October to January, followed by fruiting between March and April. The maturation of fruits and seeds generally occurs during April to May.</w:t>
      </w:r>
    </w:p>
    <w:p w14:paraId="5D811FC6" w14:textId="18EF1D66" w:rsidR="00523BAF" w:rsidRPr="00037244" w:rsidRDefault="00523BAF" w:rsidP="00523BAF">
      <w:pPr>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rPr>
        <w:t xml:space="preserve">Seed Extraction and Processing: </w:t>
      </w:r>
      <w:r w:rsidRPr="00037244">
        <w:rPr>
          <w:rFonts w:ascii="Times New Roman" w:eastAsia="Times New Roman" w:hAnsi="Times New Roman" w:cs="Times New Roman"/>
          <w:sz w:val="24"/>
          <w:szCs w:val="24"/>
          <w:lang w:eastAsia="en-IN"/>
        </w:rPr>
        <w:t xml:space="preserve">Mature brown pods 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are collected manually</w:t>
      </w:r>
      <w:r w:rsidR="00215537" w:rsidRPr="00037244">
        <w:rPr>
          <w:rFonts w:ascii="Times New Roman" w:eastAsia="Times New Roman" w:hAnsi="Times New Roman" w:cs="Times New Roman"/>
          <w:sz w:val="24"/>
          <w:szCs w:val="24"/>
          <w:lang w:eastAsia="en-IN"/>
        </w:rPr>
        <w:t xml:space="preserve"> (April 2024)</w:t>
      </w:r>
      <w:r w:rsidRPr="00037244">
        <w:rPr>
          <w:rFonts w:ascii="Times New Roman" w:eastAsia="Times New Roman" w:hAnsi="Times New Roman" w:cs="Times New Roman"/>
          <w:sz w:val="24"/>
          <w:szCs w:val="24"/>
          <w:lang w:eastAsia="en-IN"/>
        </w:rPr>
        <w:t xml:space="preserve"> during the fruiting season by plucking. The harvested pods are sun-dried to promote natural splitting. Once dehisced, seeds are extracted, cleaned by removing feather-like structures, and prepared for sowing or storage.</w:t>
      </w:r>
    </w:p>
    <w:p w14:paraId="3868C655" w14:textId="77777777" w:rsidR="00523BAF" w:rsidRPr="00037244" w:rsidRDefault="00523BAF" w:rsidP="00523BAF">
      <w:pPr>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Seed Viability Testing: </w:t>
      </w:r>
      <w:r w:rsidRPr="00037244">
        <w:rPr>
          <w:rFonts w:ascii="Times New Roman" w:eastAsia="Times New Roman" w:hAnsi="Times New Roman" w:cs="Times New Roman"/>
          <w:sz w:val="24"/>
          <w:szCs w:val="24"/>
          <w:lang w:eastAsia="en-IN"/>
        </w:rPr>
        <w:t>Seed viability was assessed using the tetrazolium (TZ) test following ISTA protocols. Three concentrations of 2,3,5-triphenyl tetrazolium chloride solution (1.0%, 0.5%, and 0.25%) were standardized. A random sample of 100 seeds per replication was soaked in water for hydration, and the seed coat was removed to facilitate TZ solution penetration. Seeds were incubated in the TZ solution in the dark for up to 24 hours, with observations recorded at 1, 2, 4, and 24 hours. Viability was expressed as the percentage of viable seeds.</w:t>
      </w:r>
    </w:p>
    <w:p w14:paraId="268D8FF6"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Water Imbibition Test: </w:t>
      </w:r>
      <w:r w:rsidRPr="00037244">
        <w:rPr>
          <w:rFonts w:ascii="Times New Roman" w:eastAsia="Times New Roman" w:hAnsi="Times New Roman" w:cs="Times New Roman"/>
          <w:sz w:val="24"/>
          <w:szCs w:val="24"/>
          <w:lang w:eastAsia="en-IN"/>
        </w:rPr>
        <w:t>Fresh seeds were weighed and soaked in distilled water at room temperature. At specific intervals, seeds were removed, surface moisture was blotted off, and seeds were reweighed. The increase in fresh weight over time was used to analyse seed water uptake patterns.</w:t>
      </w:r>
    </w:p>
    <w:p w14:paraId="1FD8851E" w14:textId="4D8DAC80" w:rsidR="00523BAF" w:rsidRPr="00037244" w:rsidRDefault="00523BAF" w:rsidP="00523BAF">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lang w:eastAsia="en-IN"/>
        </w:rPr>
        <w:t>Germination Evaluation:</w:t>
      </w:r>
      <w:r w:rsidRPr="00037244">
        <w:rPr>
          <w:rFonts w:ascii="Times New Roman" w:eastAsia="Times New Roman" w:hAnsi="Times New Roman" w:cs="Times New Roman"/>
          <w:sz w:val="24"/>
          <w:szCs w:val="24"/>
          <w:lang w:eastAsia="en-IN"/>
        </w:rPr>
        <w:t xml:space="preserve"> Seeds of both </w:t>
      </w:r>
      <w:r w:rsidRPr="00037244">
        <w:rPr>
          <w:rFonts w:ascii="Times New Roman" w:eastAsia="Times New Roman" w:hAnsi="Times New Roman" w:cs="Times New Roman"/>
          <w:i/>
          <w:iCs/>
          <w:sz w:val="24"/>
          <w:szCs w:val="24"/>
          <w:lang w:eastAsia="en-IN"/>
        </w:rPr>
        <w:t>H. pubescens</w:t>
      </w:r>
      <w:r w:rsidRPr="00037244">
        <w:rPr>
          <w:rFonts w:ascii="Times New Roman" w:eastAsia="Times New Roman" w:hAnsi="Times New Roman" w:cs="Times New Roman"/>
          <w:sz w:val="24"/>
          <w:szCs w:val="24"/>
          <w:lang w:eastAsia="en-IN"/>
        </w:rPr>
        <w:t xml:space="preserve"> and </w:t>
      </w:r>
      <w:r w:rsidRPr="00037244">
        <w:rPr>
          <w:rFonts w:ascii="Times New Roman" w:eastAsia="Times New Roman" w:hAnsi="Times New Roman" w:cs="Times New Roman"/>
          <w:i/>
          <w:iCs/>
          <w:sz w:val="24"/>
          <w:szCs w:val="24"/>
          <w:lang w:eastAsia="en-IN"/>
        </w:rPr>
        <w:t>W. tinctoria</w:t>
      </w:r>
      <w:r w:rsidRPr="00037244">
        <w:rPr>
          <w:rFonts w:ascii="Times New Roman" w:eastAsia="Times New Roman" w:hAnsi="Times New Roman" w:cs="Times New Roman"/>
          <w:sz w:val="24"/>
          <w:szCs w:val="24"/>
          <w:lang w:eastAsia="en-IN"/>
        </w:rPr>
        <w:t xml:space="preserve"> did not exhibit physical or physiological dormancy, and hence, no pre-treatment was required. Prior to sowing, seeds were surface-sterilized using 5% Captain solution for five minutes. Three replicates of 25 seeds were placed in sterilized sand trays lined with moist filter paper. The trays were incubated in a seed germinator at 25°C under a 16/8 h light/dark cycle (Silva et al., 200</w:t>
      </w:r>
      <w:r w:rsidR="00F81B95">
        <w:rPr>
          <w:rFonts w:ascii="Times New Roman" w:eastAsia="Times New Roman" w:hAnsi="Times New Roman" w:cs="Times New Roman"/>
          <w:sz w:val="24"/>
          <w:szCs w:val="24"/>
          <w:lang w:eastAsia="en-IN"/>
        </w:rPr>
        <w:t>4</w:t>
      </w:r>
      <w:r w:rsidRPr="00037244">
        <w:rPr>
          <w:rFonts w:ascii="Times New Roman" w:eastAsia="Times New Roman" w:hAnsi="Times New Roman" w:cs="Times New Roman"/>
          <w:sz w:val="24"/>
          <w:szCs w:val="24"/>
          <w:lang w:eastAsia="en-IN"/>
        </w:rPr>
        <w:t>). Germination was monitored daily for four weeks, with radicle emergence of 1 cm as the criterion for germination. The following parameters were recorded:</w:t>
      </w:r>
    </w:p>
    <w:p w14:paraId="5077A4F1" w14:textId="77777777" w:rsidR="00523BAF" w:rsidRPr="00037244" w:rsidRDefault="00523BAF" w:rsidP="00523BAF">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sidRPr="00037244">
        <w:rPr>
          <w:rFonts w:ascii="Times New Roman" w:hAnsi="Times New Roman" w:cs="Times New Roman"/>
          <w:sz w:val="24"/>
          <w:szCs w:val="24"/>
        </w:rPr>
        <w:t>Final Germination Percentage (FGP) (Scott et al.</w:t>
      </w:r>
      <w:r w:rsidRPr="00037244">
        <w:rPr>
          <w:rFonts w:ascii="Times New Roman" w:hAnsi="Times New Roman" w:cs="Times New Roman"/>
          <w:i/>
          <w:sz w:val="24"/>
          <w:szCs w:val="24"/>
        </w:rPr>
        <w:t xml:space="preserve"> </w:t>
      </w:r>
      <w:r w:rsidRPr="00037244">
        <w:rPr>
          <w:rFonts w:ascii="Times New Roman" w:hAnsi="Times New Roman" w:cs="Times New Roman"/>
          <w:sz w:val="24"/>
          <w:szCs w:val="24"/>
        </w:rPr>
        <w:t>1984)</w:t>
      </w:r>
    </w:p>
    <w:p w14:paraId="18FF919D"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FGP= G / T × 100</w:t>
      </w:r>
    </w:p>
    <w:p w14:paraId="1F81E245"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Where G = No. of germinated seeds and T = No. of seeds sown</w:t>
      </w:r>
    </w:p>
    <w:p w14:paraId="54D22750" w14:textId="77777777" w:rsidR="00523BAF" w:rsidRPr="00037244" w:rsidRDefault="00523BAF" w:rsidP="00523BAF">
      <w:pPr>
        <w:pStyle w:val="ListParagraph"/>
        <w:numPr>
          <w:ilvl w:val="0"/>
          <w:numId w:val="9"/>
        </w:numPr>
        <w:spacing w:after="160" w:line="240" w:lineRule="auto"/>
        <w:jc w:val="both"/>
        <w:rPr>
          <w:rFonts w:ascii="Times New Roman" w:hAnsi="Times New Roman" w:cs="Times New Roman"/>
          <w:sz w:val="24"/>
          <w:szCs w:val="24"/>
        </w:rPr>
      </w:pPr>
      <w:r w:rsidRPr="00037244">
        <w:rPr>
          <w:rFonts w:ascii="Times New Roman" w:hAnsi="Times New Roman" w:cs="Times New Roman"/>
          <w:sz w:val="24"/>
          <w:szCs w:val="24"/>
        </w:rPr>
        <w:t>Mean germination time (MGT) (Orchard, 1977)</w:t>
      </w:r>
    </w:p>
    <w:p w14:paraId="1D3B1563"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MGT = Gt × Dt / G</w:t>
      </w:r>
    </w:p>
    <w:p w14:paraId="7EB02AF6"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Where Gt = No. of germinated seeds at day-t, Dt = No. of days at “t” from the day of sowing and G = Total no. of germinated seeds.</w:t>
      </w:r>
    </w:p>
    <w:p w14:paraId="476D21D1" w14:textId="77777777" w:rsidR="00523BAF" w:rsidRPr="00037244" w:rsidRDefault="00523BAF" w:rsidP="00523BAF">
      <w:pPr>
        <w:numPr>
          <w:ilvl w:val="0"/>
          <w:numId w:val="9"/>
        </w:numPr>
        <w:spacing w:before="100" w:beforeAutospacing="1" w:after="100" w:afterAutospacing="1"/>
        <w:jc w:val="both"/>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rPr>
        <w:t>Root Length (cm): Measured as the average length of 10 primary roots.</w:t>
      </w:r>
    </w:p>
    <w:p w14:paraId="40B731E8" w14:textId="77777777" w:rsidR="00523BAF" w:rsidRPr="00037244" w:rsidRDefault="00523BAF" w:rsidP="00523BAF">
      <w:pPr>
        <w:numPr>
          <w:ilvl w:val="0"/>
          <w:numId w:val="9"/>
        </w:numPr>
        <w:spacing w:before="100" w:beforeAutospacing="1" w:after="100" w:afterAutospacing="1"/>
        <w:jc w:val="both"/>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rPr>
        <w:t>Shoot Length (cm): Measured as the average height of the 10-seedling shoot.</w:t>
      </w:r>
    </w:p>
    <w:p w14:paraId="4F026919" w14:textId="77777777" w:rsidR="00523BAF" w:rsidRPr="00037244" w:rsidRDefault="00523BAF" w:rsidP="00523BAF">
      <w:pPr>
        <w:pStyle w:val="ListParagraph"/>
        <w:numPr>
          <w:ilvl w:val="0"/>
          <w:numId w:val="9"/>
        </w:numPr>
        <w:spacing w:after="160" w:line="240" w:lineRule="auto"/>
        <w:jc w:val="both"/>
        <w:rPr>
          <w:rFonts w:ascii="Times New Roman" w:hAnsi="Times New Roman" w:cs="Times New Roman"/>
          <w:sz w:val="24"/>
          <w:szCs w:val="24"/>
        </w:rPr>
      </w:pPr>
      <w:r w:rsidRPr="00037244">
        <w:rPr>
          <w:rFonts w:ascii="Times New Roman" w:hAnsi="Times New Roman" w:cs="Times New Roman"/>
          <w:sz w:val="24"/>
          <w:szCs w:val="24"/>
        </w:rPr>
        <w:lastRenderedPageBreak/>
        <w:t>Seedling vigour index I= G% X Seedling length (cm) (Abdul-Baki and Anderson 1973).</w:t>
      </w:r>
    </w:p>
    <w:p w14:paraId="2A86B96D"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Seed Desiccation Trials: </w:t>
      </w:r>
      <w:r w:rsidRPr="00037244">
        <w:rPr>
          <w:rFonts w:ascii="Times New Roman" w:eastAsia="Times New Roman" w:hAnsi="Times New Roman" w:cs="Times New Roman"/>
          <w:sz w:val="24"/>
          <w:szCs w:val="24"/>
          <w:lang w:eastAsia="en-IN"/>
        </w:rPr>
        <w:t>Seeds were dried using silica gel at a 1:1 weight ratio (silica gel to seeds). Moisture content was measured periodically until it dropped below 5%. Seeds were then vacuum-packed for storage trials, and some seeds were reserved for germination assessments.</w:t>
      </w:r>
    </w:p>
    <w:p w14:paraId="0D84602B"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Moisture Content Determination: </w:t>
      </w:r>
      <w:r w:rsidRPr="00037244">
        <w:rPr>
          <w:rFonts w:ascii="Times New Roman" w:eastAsia="Times New Roman" w:hAnsi="Times New Roman" w:cs="Times New Roman"/>
          <w:sz w:val="24"/>
          <w:szCs w:val="24"/>
          <w:lang w:eastAsia="en-IN"/>
        </w:rPr>
        <w:t>Seed moisture content was determined using the oven-drying method at 103 ± 2°C for 17 ± 1 hours following ISTA (2023) guidelines. Four replicates per species were used, with moisture expressed as a percentage on a fresh weight basis.</w:t>
      </w:r>
    </w:p>
    <w:p w14:paraId="2A6A15BC"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Seed Storage Behavior: </w:t>
      </w:r>
      <w:r w:rsidRPr="00037244">
        <w:rPr>
          <w:rFonts w:ascii="Times New Roman" w:eastAsia="Times New Roman" w:hAnsi="Times New Roman" w:cs="Times New Roman"/>
          <w:sz w:val="24"/>
          <w:szCs w:val="24"/>
          <w:lang w:eastAsia="en-IN"/>
        </w:rPr>
        <w:t xml:space="preserve">Seed storage behavior was evaluated using the simplified screening scheme of Hong and Ellis (1996). Seeds were vacuum-sealed in three-layer aluminium foil pouches and stored at -20°C in cold storage. </w:t>
      </w:r>
    </w:p>
    <w:p w14:paraId="2E76075B" w14:textId="4238A3E0"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Statistical Analysis: </w:t>
      </w:r>
      <w:r w:rsidRPr="00037244">
        <w:rPr>
          <w:rFonts w:ascii="Times New Roman" w:eastAsia="Times New Roman" w:hAnsi="Times New Roman" w:cs="Times New Roman"/>
          <w:sz w:val="24"/>
          <w:szCs w:val="24"/>
          <w:lang w:eastAsia="en-IN"/>
        </w:rPr>
        <w:t>All data were subjected to ANOVA to identify significant differences among treatments at a 5% significance level (p ≤ 0.05). Critical Difference (C.D.), Standard Error of mean (SEm), and Coefficient of Variation (C.V.) were calculated to assess variability.</w:t>
      </w:r>
    </w:p>
    <w:p w14:paraId="598D23F7" w14:textId="77777777" w:rsidR="00665CCB" w:rsidRPr="00037244" w:rsidRDefault="00665CCB" w:rsidP="00665CCB">
      <w:pPr>
        <w:spacing w:before="100" w:beforeAutospacing="1" w:after="100" w:afterAutospacing="1"/>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Result and Discussion</w:t>
      </w:r>
    </w:p>
    <w:p w14:paraId="17806700" w14:textId="66CEA0B8" w:rsidR="00D53500" w:rsidRPr="00037244" w:rsidRDefault="00D53500" w:rsidP="007E42FA">
      <w:pPr>
        <w:spacing w:before="100" w:beforeAutospacing="1" w:after="100" w:afterAutospacing="1"/>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Seed Carpology: </w:t>
      </w:r>
      <w:r w:rsidR="007E42FA" w:rsidRPr="00037244">
        <w:rPr>
          <w:rFonts w:ascii="Times New Roman" w:eastAsia="Times New Roman" w:hAnsi="Times New Roman" w:cs="Times New Roman"/>
          <w:sz w:val="24"/>
          <w:szCs w:val="24"/>
        </w:rPr>
        <w:t xml:space="preserve">The fruits of </w:t>
      </w:r>
      <w:r w:rsidR="007E42FA" w:rsidRPr="00037244">
        <w:rPr>
          <w:rFonts w:ascii="Times New Roman" w:eastAsia="Times New Roman" w:hAnsi="Times New Roman" w:cs="Times New Roman"/>
          <w:i/>
          <w:iCs/>
          <w:sz w:val="24"/>
          <w:szCs w:val="24"/>
        </w:rPr>
        <w:t>Gymnema sylvestre</w:t>
      </w:r>
      <w:r w:rsidR="007E42FA" w:rsidRPr="00037244">
        <w:rPr>
          <w:rFonts w:ascii="Times New Roman" w:eastAsia="Times New Roman" w:hAnsi="Times New Roman" w:cs="Times New Roman"/>
          <w:sz w:val="24"/>
          <w:szCs w:val="24"/>
        </w:rPr>
        <w:t xml:space="preserve"> appear as paired, linear follicles</w:t>
      </w:r>
      <w:r w:rsidR="00121DB1" w:rsidRPr="00037244">
        <w:rPr>
          <w:rFonts w:ascii="Times New Roman" w:eastAsia="Times New Roman" w:hAnsi="Times New Roman" w:cs="Times New Roman"/>
          <w:sz w:val="24"/>
          <w:szCs w:val="24"/>
        </w:rPr>
        <w:t xml:space="preserve"> (Fig 1.)</w:t>
      </w:r>
      <w:r w:rsidR="007E42FA" w:rsidRPr="00037244">
        <w:rPr>
          <w:rFonts w:ascii="Times New Roman" w:eastAsia="Times New Roman" w:hAnsi="Times New Roman" w:cs="Times New Roman"/>
          <w:sz w:val="24"/>
          <w:szCs w:val="24"/>
        </w:rPr>
        <w:t xml:space="preserve"> that are lanceolate and cylindrical (terete) in shape, measuring up to 7.5 cm in length and approximately 0.8 cm in diameter. They are dark green in color, often swollen at the center, and typically mature between March and May. The seeds are flat, winged, and equipped with silky hairs that aid in wind dispersal. Each seed measures about 10 × 5 mm, with some reaching up to 1.3 cm in length. The average seed length ranges from 0.8120 to 1.134 cm, while the width varies between 0.2110 and 0.3220 cm. Approximately 60,000 to 70,000 seeds are present per kilogram.</w:t>
      </w:r>
    </w:p>
    <w:p w14:paraId="4A470F3A" w14:textId="619B5D2A" w:rsidR="00523BAF" w:rsidRPr="00037244" w:rsidRDefault="00DA70DA" w:rsidP="00DA70DA">
      <w:pPr>
        <w:spacing w:before="100" w:beforeAutospacing="1" w:after="100" w:afterAutospacing="1"/>
        <w:jc w:val="center"/>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noProof/>
          <w:sz w:val="24"/>
          <w:szCs w:val="24"/>
          <w:lang w:eastAsia="en-IN" w:bidi="ar-SA"/>
        </w:rPr>
        <w:lastRenderedPageBreak/>
        <w:drawing>
          <wp:inline distT="0" distB="0" distL="0" distR="0" wp14:anchorId="68D323A8" wp14:editId="513C1F89">
            <wp:extent cx="4333875" cy="3629025"/>
            <wp:effectExtent l="0" t="0" r="9525" b="9525"/>
            <wp:docPr id="121437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4427"/>
                    <a:stretch>
                      <a:fillRect/>
                    </a:stretch>
                  </pic:blipFill>
                  <pic:spPr bwMode="auto">
                    <a:xfrm>
                      <a:off x="0" y="0"/>
                      <a:ext cx="4342021" cy="3635846"/>
                    </a:xfrm>
                    <a:prstGeom prst="rect">
                      <a:avLst/>
                    </a:prstGeom>
                    <a:noFill/>
                    <a:ln>
                      <a:noFill/>
                    </a:ln>
                    <a:extLst>
                      <a:ext uri="{53640926-AAD7-44D8-BBD7-CCE9431645EC}">
                        <a14:shadowObscured xmlns:a14="http://schemas.microsoft.com/office/drawing/2010/main"/>
                      </a:ext>
                    </a:extLst>
                  </pic:spPr>
                </pic:pic>
              </a:graphicData>
            </a:graphic>
          </wp:inline>
        </w:drawing>
      </w:r>
    </w:p>
    <w:p w14:paraId="63EB05B6" w14:textId="56F459CF" w:rsidR="00523BAF" w:rsidRPr="00037244" w:rsidRDefault="00523BAF" w:rsidP="00DA70DA">
      <w:pPr>
        <w:spacing w:before="100" w:beforeAutospacing="1" w:after="100" w:afterAutospacing="1"/>
        <w:jc w:val="center"/>
        <w:rPr>
          <w:rFonts w:ascii="Times New Roman" w:hAnsi="Times New Roman" w:cs="Times New Roman"/>
          <w:sz w:val="24"/>
          <w:szCs w:val="24"/>
        </w:rPr>
      </w:pPr>
      <w:r w:rsidRPr="00037244">
        <w:rPr>
          <w:rFonts w:ascii="Times New Roman" w:hAnsi="Times New Roman" w:cs="Times New Roman"/>
          <w:b/>
          <w:bCs/>
          <w:sz w:val="24"/>
          <w:szCs w:val="24"/>
        </w:rPr>
        <w:t>Fig</w:t>
      </w:r>
      <w:r w:rsidR="000015FE" w:rsidRPr="00037244">
        <w:rPr>
          <w:rFonts w:ascii="Times New Roman" w:hAnsi="Times New Roman" w:cs="Times New Roman"/>
          <w:b/>
          <w:bCs/>
          <w:sz w:val="24"/>
          <w:szCs w:val="24"/>
        </w:rPr>
        <w:t xml:space="preserve"> 1</w:t>
      </w:r>
      <w:r w:rsidR="00DA70DA" w:rsidRPr="00037244">
        <w:rPr>
          <w:rFonts w:ascii="Times New Roman" w:hAnsi="Times New Roman" w:cs="Times New Roman"/>
          <w:b/>
          <w:bCs/>
          <w:sz w:val="24"/>
          <w:szCs w:val="24"/>
        </w:rPr>
        <w:t xml:space="preserve">. </w:t>
      </w:r>
      <w:r w:rsidR="00DA70DA" w:rsidRPr="00037244">
        <w:rPr>
          <w:rFonts w:ascii="Times New Roman" w:hAnsi="Times New Roman" w:cs="Times New Roman"/>
          <w:sz w:val="24"/>
          <w:szCs w:val="24"/>
        </w:rPr>
        <w:t>Fruit and seed carpology of Gymnema Sylvestris (A) Follicles (B) Seed with silky hairs (C) Microscopic Seed Image (Scale 2900.00 µm)</w:t>
      </w:r>
    </w:p>
    <w:p w14:paraId="74BF4A4A" w14:textId="6C29ECDF" w:rsidR="00E5594F" w:rsidRPr="00037244" w:rsidRDefault="00B20FC9" w:rsidP="000015FE">
      <w:pPr>
        <w:pStyle w:val="NormalWeb"/>
        <w:jc w:val="both"/>
        <w:rPr>
          <w:b/>
          <w:bCs/>
        </w:rPr>
      </w:pPr>
      <w:r w:rsidRPr="00037244">
        <w:rPr>
          <w:b/>
          <w:bCs/>
        </w:rPr>
        <w:t>Seed Viability</w:t>
      </w:r>
    </w:p>
    <w:p w14:paraId="5389F443" w14:textId="2597D351" w:rsidR="000015FE" w:rsidRPr="00037244" w:rsidRDefault="000015FE" w:rsidP="000015FE">
      <w:pPr>
        <w:pStyle w:val="NormalWeb"/>
        <w:jc w:val="both"/>
      </w:pPr>
      <w:r w:rsidRPr="00037244">
        <w:t xml:space="preserve">The viability of </w:t>
      </w:r>
      <w:r w:rsidRPr="00037244">
        <w:rPr>
          <w:i/>
          <w:iCs/>
        </w:rPr>
        <w:t>Gymnema sylvestre</w:t>
      </w:r>
      <w:r w:rsidRPr="00037244">
        <w:t xml:space="preserve"> seeds was significantly influenced by Tetrazolium (TZ) concentration and staining duration. At 1-hour, lower TZ concentrations performed better, with viability reaching 96.00% at 0.5% and 95.23% at 0.25%, compared to 71.33% at 1%. At 2 hours, viability improved across all treatments, peaking at 100% for 0.5%, followed by 98.33% (0.25%) and 95.33% (1%). All treatments achieved 100% viability at 4 and 24 hours, confirming complete staining efficiency. Mean viability was highest at 0.5% TZ (99.00%), followed by 0.25% (98.39%) and 1% (91.67%). ANOVA revealed significant effects of TZ concentration (F = 109.81*), staining duration (F = 68.02*), and their interaction (F = 46.56*). These results suggest that 0.5% or 0.25% TZ for 2–4 hours </w:t>
      </w:r>
      <w:r w:rsidR="0035763C" w:rsidRPr="00037244">
        <w:t>are</w:t>
      </w:r>
      <w:r w:rsidRPr="00037244">
        <w:t xml:space="preserve"> optimal for accurate, efficient viability assessment. Viable seeds showed complete staining of the embryonal axis and cotyledons, while non-viable seeds displayed partial or no staining in various seed parts, including the radicle and cotyledons.</w:t>
      </w:r>
    </w:p>
    <w:p w14:paraId="6991DFD5" w14:textId="15DA97AD" w:rsidR="009255ED" w:rsidRPr="00037244" w:rsidRDefault="004E5691" w:rsidP="000015FE">
      <w:pPr>
        <w:spacing w:before="100" w:beforeAutospacing="1" w:after="100" w:afterAutospacing="1"/>
        <w:jc w:val="center"/>
        <w:rPr>
          <w:rFonts w:ascii="Times New Roman" w:hAnsi="Times New Roman" w:cs="Times New Roman"/>
          <w:sz w:val="24"/>
          <w:szCs w:val="24"/>
        </w:rPr>
      </w:pPr>
      <w:r w:rsidRPr="00037244">
        <w:rPr>
          <w:rFonts w:ascii="Times New Roman" w:hAnsi="Times New Roman" w:cs="Times New Roman"/>
          <w:b/>
          <w:bCs/>
          <w:sz w:val="24"/>
          <w:szCs w:val="24"/>
        </w:rPr>
        <w:t>Table</w:t>
      </w:r>
      <w:r w:rsidR="000015FE" w:rsidRPr="00037244">
        <w:rPr>
          <w:rFonts w:ascii="Times New Roman" w:hAnsi="Times New Roman" w:cs="Times New Roman"/>
          <w:b/>
          <w:bCs/>
          <w:sz w:val="24"/>
          <w:szCs w:val="24"/>
        </w:rPr>
        <w:t xml:space="preserve"> 1.</w:t>
      </w:r>
      <w:r w:rsidR="009255ED" w:rsidRPr="00037244">
        <w:rPr>
          <w:rFonts w:ascii="Times New Roman" w:hAnsi="Times New Roman" w:cs="Times New Roman"/>
          <w:sz w:val="24"/>
          <w:szCs w:val="24"/>
        </w:rPr>
        <w:t xml:space="preserve"> Impact of TZ Concentration and Staining Dur</w:t>
      </w:r>
      <w:r w:rsidR="00B20FC9" w:rsidRPr="00037244">
        <w:rPr>
          <w:rFonts w:ascii="Times New Roman" w:hAnsi="Times New Roman" w:cs="Times New Roman"/>
          <w:sz w:val="24"/>
          <w:szCs w:val="24"/>
        </w:rPr>
        <w:t xml:space="preserve">ation on Viability Percentage </w:t>
      </w:r>
      <w:r w:rsidR="009255ED" w:rsidRPr="00037244">
        <w:rPr>
          <w:rFonts w:ascii="Times New Roman" w:hAnsi="Times New Roman" w:cs="Times New Roman"/>
          <w:sz w:val="24"/>
          <w:szCs w:val="24"/>
        </w:rPr>
        <w:t xml:space="preserve">of </w:t>
      </w:r>
      <w:r w:rsidR="009255ED" w:rsidRPr="00037244">
        <w:rPr>
          <w:rFonts w:ascii="Times New Roman" w:eastAsia="Times New Roman" w:hAnsi="Times New Roman" w:cs="Times New Roman"/>
          <w:i/>
          <w:sz w:val="24"/>
          <w:szCs w:val="24"/>
        </w:rPr>
        <w:t xml:space="preserve">Gymnema sylvestre </w:t>
      </w:r>
    </w:p>
    <w:tbl>
      <w:tblPr>
        <w:tblStyle w:val="ListTable21"/>
        <w:tblW w:w="5000" w:type="pct"/>
        <w:tblLook w:val="04A0" w:firstRow="1" w:lastRow="0" w:firstColumn="1" w:lastColumn="0" w:noHBand="0" w:noVBand="1"/>
      </w:tblPr>
      <w:tblGrid>
        <w:gridCol w:w="2709"/>
        <w:gridCol w:w="876"/>
        <w:gridCol w:w="1665"/>
        <w:gridCol w:w="1665"/>
        <w:gridCol w:w="2111"/>
      </w:tblGrid>
      <w:tr w:rsidR="00037244" w:rsidRPr="00037244" w14:paraId="1655A0B7" w14:textId="77777777" w:rsidTr="00121DB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vMerge w:val="restart"/>
            <w:hideMark/>
          </w:tcPr>
          <w:p w14:paraId="1C44DE66"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Staining duration (hrs.)</w:t>
            </w:r>
          </w:p>
        </w:tc>
        <w:tc>
          <w:tcPr>
            <w:tcW w:w="2299" w:type="pct"/>
            <w:gridSpan w:val="3"/>
            <w:hideMark/>
          </w:tcPr>
          <w:p w14:paraId="1914B7BD" w14:textId="77777777" w:rsidR="00666A2D" w:rsidRPr="00037244" w:rsidRDefault="00666A2D" w:rsidP="00666A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TZ Conc. (%)</w:t>
            </w:r>
          </w:p>
        </w:tc>
        <w:tc>
          <w:tcPr>
            <w:tcW w:w="1185" w:type="pct"/>
            <w:noWrap/>
            <w:hideMark/>
          </w:tcPr>
          <w:p w14:paraId="4AD9887B" w14:textId="77777777" w:rsidR="00666A2D" w:rsidRPr="00037244" w:rsidRDefault="00666A2D" w:rsidP="00666A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w:t>
            </w:r>
          </w:p>
        </w:tc>
      </w:tr>
      <w:tr w:rsidR="00037244" w:rsidRPr="00037244" w14:paraId="0BBA6526"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vMerge/>
            <w:hideMark/>
          </w:tcPr>
          <w:p w14:paraId="6E0351A3" w14:textId="77777777" w:rsidR="00666A2D" w:rsidRPr="00037244" w:rsidRDefault="00666A2D" w:rsidP="00666A2D">
            <w:pPr>
              <w:rPr>
                <w:rFonts w:ascii="Times New Roman" w:eastAsia="Times New Roman" w:hAnsi="Times New Roman" w:cs="Times New Roman"/>
                <w:b w:val="0"/>
                <w:bCs w:val="0"/>
                <w:sz w:val="24"/>
                <w:szCs w:val="24"/>
                <w:lang w:eastAsia="en-IN"/>
              </w:rPr>
            </w:pPr>
          </w:p>
        </w:tc>
        <w:tc>
          <w:tcPr>
            <w:tcW w:w="423" w:type="pct"/>
            <w:hideMark/>
          </w:tcPr>
          <w:p w14:paraId="105FCD28"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1</w:t>
            </w:r>
          </w:p>
        </w:tc>
        <w:tc>
          <w:tcPr>
            <w:tcW w:w="938" w:type="pct"/>
            <w:hideMark/>
          </w:tcPr>
          <w:p w14:paraId="464E4395"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0.5</w:t>
            </w:r>
          </w:p>
        </w:tc>
        <w:tc>
          <w:tcPr>
            <w:tcW w:w="938" w:type="pct"/>
            <w:hideMark/>
          </w:tcPr>
          <w:p w14:paraId="438392FB"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0.25</w:t>
            </w:r>
          </w:p>
        </w:tc>
        <w:tc>
          <w:tcPr>
            <w:tcW w:w="1185" w:type="pct"/>
            <w:hideMark/>
          </w:tcPr>
          <w:p w14:paraId="29AA7795"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Mean </w:t>
            </w:r>
          </w:p>
        </w:tc>
      </w:tr>
      <w:tr w:rsidR="00037244" w:rsidRPr="00037244" w14:paraId="6A068096"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08C72A5D"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1</w:t>
            </w:r>
          </w:p>
        </w:tc>
        <w:tc>
          <w:tcPr>
            <w:tcW w:w="423" w:type="pct"/>
            <w:hideMark/>
          </w:tcPr>
          <w:p w14:paraId="5BB0F72B"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71.33</w:t>
            </w:r>
          </w:p>
        </w:tc>
        <w:tc>
          <w:tcPr>
            <w:tcW w:w="938" w:type="pct"/>
            <w:hideMark/>
          </w:tcPr>
          <w:p w14:paraId="2F070E1B"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96.00</w:t>
            </w:r>
          </w:p>
        </w:tc>
        <w:tc>
          <w:tcPr>
            <w:tcW w:w="938" w:type="pct"/>
            <w:hideMark/>
          </w:tcPr>
          <w:p w14:paraId="3CB4E159"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95.23</w:t>
            </w:r>
          </w:p>
        </w:tc>
        <w:tc>
          <w:tcPr>
            <w:tcW w:w="1185" w:type="pct"/>
            <w:hideMark/>
          </w:tcPr>
          <w:p w14:paraId="0235EE60"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87.52</w:t>
            </w:r>
          </w:p>
        </w:tc>
      </w:tr>
      <w:tr w:rsidR="00037244" w:rsidRPr="00037244" w14:paraId="726A4B10"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167FDEAD"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2</w:t>
            </w:r>
          </w:p>
        </w:tc>
        <w:tc>
          <w:tcPr>
            <w:tcW w:w="423" w:type="pct"/>
            <w:hideMark/>
          </w:tcPr>
          <w:p w14:paraId="428E57B5"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95.33</w:t>
            </w:r>
          </w:p>
        </w:tc>
        <w:tc>
          <w:tcPr>
            <w:tcW w:w="938" w:type="pct"/>
            <w:hideMark/>
          </w:tcPr>
          <w:p w14:paraId="69C791D1"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283201AD"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98.33</w:t>
            </w:r>
          </w:p>
        </w:tc>
        <w:tc>
          <w:tcPr>
            <w:tcW w:w="1185" w:type="pct"/>
            <w:hideMark/>
          </w:tcPr>
          <w:p w14:paraId="21772244"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97.89</w:t>
            </w:r>
          </w:p>
        </w:tc>
      </w:tr>
      <w:tr w:rsidR="00037244" w:rsidRPr="00037244" w14:paraId="5163FE23"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72CEA623"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4</w:t>
            </w:r>
          </w:p>
        </w:tc>
        <w:tc>
          <w:tcPr>
            <w:tcW w:w="423" w:type="pct"/>
            <w:hideMark/>
          </w:tcPr>
          <w:p w14:paraId="7CC87A55"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320A0531"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4575FB7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1185" w:type="pct"/>
            <w:hideMark/>
          </w:tcPr>
          <w:p w14:paraId="5A3C2BAA"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r>
      <w:tr w:rsidR="00037244" w:rsidRPr="00037244" w14:paraId="53AAA0F9"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04195557"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24</w:t>
            </w:r>
          </w:p>
        </w:tc>
        <w:tc>
          <w:tcPr>
            <w:tcW w:w="423" w:type="pct"/>
            <w:hideMark/>
          </w:tcPr>
          <w:p w14:paraId="5AEBAF2A"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1EABBFD1"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3DEA7B6F"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1185" w:type="pct"/>
            <w:hideMark/>
          </w:tcPr>
          <w:p w14:paraId="678E283D"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r>
      <w:tr w:rsidR="00037244" w:rsidRPr="00037244" w14:paraId="178855DA"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53EE511D"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lastRenderedPageBreak/>
              <w:t xml:space="preserve">Mean </w:t>
            </w:r>
          </w:p>
        </w:tc>
        <w:tc>
          <w:tcPr>
            <w:tcW w:w="423" w:type="pct"/>
            <w:hideMark/>
          </w:tcPr>
          <w:p w14:paraId="78AAAB8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91.67</w:t>
            </w:r>
          </w:p>
        </w:tc>
        <w:tc>
          <w:tcPr>
            <w:tcW w:w="938" w:type="pct"/>
            <w:hideMark/>
          </w:tcPr>
          <w:p w14:paraId="4682A299"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99.00</w:t>
            </w:r>
          </w:p>
        </w:tc>
        <w:tc>
          <w:tcPr>
            <w:tcW w:w="938" w:type="pct"/>
            <w:hideMark/>
          </w:tcPr>
          <w:p w14:paraId="1CA4918A"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98.39</w:t>
            </w:r>
          </w:p>
        </w:tc>
        <w:tc>
          <w:tcPr>
            <w:tcW w:w="1185" w:type="pct"/>
            <w:noWrap/>
            <w:hideMark/>
          </w:tcPr>
          <w:p w14:paraId="7070195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w:t>
            </w:r>
          </w:p>
        </w:tc>
      </w:tr>
      <w:tr w:rsidR="00037244" w:rsidRPr="00037244" w14:paraId="27CB5F1D"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645257CC"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Factors</w:t>
            </w:r>
          </w:p>
        </w:tc>
        <w:tc>
          <w:tcPr>
            <w:tcW w:w="423" w:type="pct"/>
            <w:hideMark/>
          </w:tcPr>
          <w:p w14:paraId="45FF1183"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C.D.</w:t>
            </w:r>
          </w:p>
        </w:tc>
        <w:tc>
          <w:tcPr>
            <w:tcW w:w="938" w:type="pct"/>
            <w:hideMark/>
          </w:tcPr>
          <w:p w14:paraId="654FB7B6"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SE(d)</w:t>
            </w:r>
          </w:p>
        </w:tc>
        <w:tc>
          <w:tcPr>
            <w:tcW w:w="938" w:type="pct"/>
            <w:hideMark/>
          </w:tcPr>
          <w:p w14:paraId="3E47BB40"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SE(m)</w:t>
            </w:r>
          </w:p>
        </w:tc>
        <w:tc>
          <w:tcPr>
            <w:tcW w:w="1185" w:type="pct"/>
            <w:hideMark/>
          </w:tcPr>
          <w:p w14:paraId="60E762EF"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F-Calculated</w:t>
            </w:r>
          </w:p>
        </w:tc>
      </w:tr>
      <w:tr w:rsidR="00037244" w:rsidRPr="00037244" w14:paraId="1265D360"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400CB1C7" w14:textId="77777777" w:rsidR="00666A2D" w:rsidRPr="00037244" w:rsidRDefault="00666A2D" w:rsidP="00666A2D">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TZ Conc.</w:t>
            </w:r>
          </w:p>
        </w:tc>
        <w:tc>
          <w:tcPr>
            <w:tcW w:w="423" w:type="pct"/>
            <w:hideMark/>
          </w:tcPr>
          <w:p w14:paraId="420CFBC1"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1.67</w:t>
            </w:r>
          </w:p>
        </w:tc>
        <w:tc>
          <w:tcPr>
            <w:tcW w:w="938" w:type="pct"/>
            <w:hideMark/>
          </w:tcPr>
          <w:p w14:paraId="0722FA80"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0.81</w:t>
            </w:r>
          </w:p>
        </w:tc>
        <w:tc>
          <w:tcPr>
            <w:tcW w:w="938" w:type="pct"/>
            <w:hideMark/>
          </w:tcPr>
          <w:p w14:paraId="63F0BCBE"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0.57</w:t>
            </w:r>
          </w:p>
        </w:tc>
        <w:tc>
          <w:tcPr>
            <w:tcW w:w="1185" w:type="pct"/>
            <w:hideMark/>
          </w:tcPr>
          <w:p w14:paraId="2585A05D"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109.81*</w:t>
            </w:r>
          </w:p>
        </w:tc>
      </w:tr>
      <w:tr w:rsidR="00037244" w:rsidRPr="00037244" w14:paraId="5AA5EB12"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676AB734" w14:textId="77777777" w:rsidR="00666A2D" w:rsidRPr="00037244" w:rsidRDefault="00666A2D" w:rsidP="00666A2D">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Staining duration</w:t>
            </w:r>
          </w:p>
        </w:tc>
        <w:tc>
          <w:tcPr>
            <w:tcW w:w="423" w:type="pct"/>
            <w:hideMark/>
          </w:tcPr>
          <w:p w14:paraId="040341FA"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1.45</w:t>
            </w:r>
          </w:p>
        </w:tc>
        <w:tc>
          <w:tcPr>
            <w:tcW w:w="938" w:type="pct"/>
            <w:hideMark/>
          </w:tcPr>
          <w:p w14:paraId="0C06BF82"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0.70</w:t>
            </w:r>
          </w:p>
        </w:tc>
        <w:tc>
          <w:tcPr>
            <w:tcW w:w="938" w:type="pct"/>
            <w:hideMark/>
          </w:tcPr>
          <w:p w14:paraId="79ED8DBA"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0.49</w:t>
            </w:r>
          </w:p>
        </w:tc>
        <w:tc>
          <w:tcPr>
            <w:tcW w:w="1185" w:type="pct"/>
            <w:hideMark/>
          </w:tcPr>
          <w:p w14:paraId="29631EEB"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68.02*</w:t>
            </w:r>
          </w:p>
        </w:tc>
      </w:tr>
      <w:tr w:rsidR="00037244" w:rsidRPr="00037244" w14:paraId="72D3535D"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2A37F93E" w14:textId="6B34D2D5" w:rsidR="00666A2D" w:rsidRPr="00037244" w:rsidRDefault="00666A2D" w:rsidP="00666A2D">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TZ Conc. X </w:t>
            </w:r>
            <w:r w:rsidR="000015FE" w:rsidRPr="00037244">
              <w:rPr>
                <w:rFonts w:ascii="Times New Roman" w:eastAsia="Times New Roman" w:hAnsi="Times New Roman" w:cs="Times New Roman"/>
                <w:sz w:val="24"/>
                <w:szCs w:val="24"/>
                <w:lang w:eastAsia="en-IN"/>
              </w:rPr>
              <w:t>Staining duration</w:t>
            </w:r>
          </w:p>
        </w:tc>
        <w:tc>
          <w:tcPr>
            <w:tcW w:w="423" w:type="pct"/>
            <w:hideMark/>
          </w:tcPr>
          <w:p w14:paraId="406181FC"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2.90</w:t>
            </w:r>
          </w:p>
        </w:tc>
        <w:tc>
          <w:tcPr>
            <w:tcW w:w="938" w:type="pct"/>
            <w:hideMark/>
          </w:tcPr>
          <w:p w14:paraId="77C47ECE"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1.40</w:t>
            </w:r>
          </w:p>
        </w:tc>
        <w:tc>
          <w:tcPr>
            <w:tcW w:w="938" w:type="pct"/>
            <w:hideMark/>
          </w:tcPr>
          <w:p w14:paraId="4841920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0.99</w:t>
            </w:r>
          </w:p>
        </w:tc>
        <w:tc>
          <w:tcPr>
            <w:tcW w:w="1185" w:type="pct"/>
            <w:hideMark/>
          </w:tcPr>
          <w:p w14:paraId="168B233B"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46.56*</w:t>
            </w:r>
          </w:p>
        </w:tc>
      </w:tr>
    </w:tbl>
    <w:p w14:paraId="30321B2F" w14:textId="72D94FE2" w:rsidR="00B20FC9" w:rsidRPr="00037244" w:rsidRDefault="0035763C" w:rsidP="0035763C">
      <w:pPr>
        <w:spacing w:before="240"/>
        <w:jc w:val="center"/>
        <w:rPr>
          <w:rFonts w:ascii="Times New Roman" w:eastAsia="Times New Roman" w:hAnsi="Times New Roman" w:cs="Times New Roman"/>
          <w:b/>
          <w:sz w:val="24"/>
          <w:szCs w:val="24"/>
        </w:rPr>
      </w:pPr>
      <w:r w:rsidRPr="00037244">
        <w:rPr>
          <w:rFonts w:ascii="Times New Roman" w:hAnsi="Times New Roman" w:cs="Times New Roman"/>
          <w:b/>
          <w:bCs/>
          <w:sz w:val="24"/>
          <w:szCs w:val="24"/>
        </w:rPr>
        <w:t>Table 2.</w:t>
      </w:r>
      <w:r w:rsidRPr="00037244">
        <w:rPr>
          <w:rFonts w:ascii="Times New Roman" w:hAnsi="Times New Roman" w:cs="Times New Roman"/>
          <w:sz w:val="24"/>
          <w:szCs w:val="24"/>
        </w:rPr>
        <w:t xml:space="preserve">  TZ staining patterns of viable</w:t>
      </w:r>
      <w:r w:rsidR="00121DB1" w:rsidRPr="00037244">
        <w:rPr>
          <w:rFonts w:ascii="Times New Roman" w:hAnsi="Times New Roman" w:cs="Times New Roman"/>
          <w:sz w:val="24"/>
          <w:szCs w:val="24"/>
        </w:rPr>
        <w:t xml:space="preserve"> (1) and</w:t>
      </w:r>
      <w:r w:rsidRPr="00037244">
        <w:rPr>
          <w:rFonts w:ascii="Times New Roman" w:hAnsi="Times New Roman" w:cs="Times New Roman"/>
          <w:sz w:val="24"/>
          <w:szCs w:val="24"/>
        </w:rPr>
        <w:t xml:space="preserve"> non-viable seeds</w:t>
      </w:r>
      <w:r w:rsidR="00121DB1" w:rsidRPr="00037244">
        <w:rPr>
          <w:rFonts w:ascii="Times New Roman" w:hAnsi="Times New Roman" w:cs="Times New Roman"/>
          <w:sz w:val="24"/>
          <w:szCs w:val="24"/>
        </w:rPr>
        <w:t xml:space="preserve"> (2-6)</w:t>
      </w:r>
      <w:r w:rsidRPr="00037244">
        <w:rPr>
          <w:rFonts w:ascii="Times New Roman" w:hAnsi="Times New Roman" w:cs="Times New Roman"/>
          <w:sz w:val="24"/>
          <w:szCs w:val="24"/>
        </w:rPr>
        <w:t xml:space="preserve"> in </w:t>
      </w:r>
      <w:r w:rsidRPr="00037244">
        <w:rPr>
          <w:rFonts w:ascii="Times New Roman" w:eastAsia="Times New Roman" w:hAnsi="Times New Roman" w:cs="Times New Roman"/>
          <w:i/>
          <w:sz w:val="24"/>
          <w:szCs w:val="24"/>
        </w:rPr>
        <w:t xml:space="preserve">Gymnema sylvestre </w:t>
      </w:r>
    </w:p>
    <w:tbl>
      <w:tblPr>
        <w:tblStyle w:val="GridTable1Light-Accent41"/>
        <w:tblW w:w="5000" w:type="pct"/>
        <w:tblLook w:val="04A0" w:firstRow="1" w:lastRow="0" w:firstColumn="1" w:lastColumn="0" w:noHBand="0" w:noVBand="1"/>
      </w:tblPr>
      <w:tblGrid>
        <w:gridCol w:w="1349"/>
        <w:gridCol w:w="4243"/>
        <w:gridCol w:w="3424"/>
      </w:tblGrid>
      <w:tr w:rsidR="00037244" w:rsidRPr="00037244" w14:paraId="2D144B1E" w14:textId="77777777" w:rsidTr="00E638D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748" w:type="pct"/>
            <w:vMerge w:val="restart"/>
            <w:hideMark/>
          </w:tcPr>
          <w:p w14:paraId="0D49B26B" w14:textId="77777777" w:rsidR="00B20FC9" w:rsidRPr="00037244" w:rsidRDefault="00B20FC9" w:rsidP="00C73225">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S. No.</w:t>
            </w:r>
          </w:p>
        </w:tc>
        <w:tc>
          <w:tcPr>
            <w:tcW w:w="2353" w:type="pct"/>
            <w:vMerge w:val="restart"/>
            <w:hideMark/>
          </w:tcPr>
          <w:p w14:paraId="5F4E6C44" w14:textId="62D065F2" w:rsidR="00B20FC9" w:rsidRPr="00037244" w:rsidRDefault="0035763C"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b w:val="0"/>
                <w:bCs w:val="0"/>
                <w:sz w:val="24"/>
                <w:szCs w:val="24"/>
                <w:lang w:eastAsia="en-IN"/>
              </w:rPr>
              <w:t>Topographic description</w:t>
            </w:r>
          </w:p>
        </w:tc>
        <w:tc>
          <w:tcPr>
            <w:tcW w:w="1899" w:type="pct"/>
            <w:vMerge w:val="restart"/>
            <w:hideMark/>
          </w:tcPr>
          <w:p w14:paraId="5E9C4BC9" w14:textId="2019D395" w:rsidR="00B20FC9" w:rsidRPr="00037244" w:rsidRDefault="0035763C"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b w:val="0"/>
                <w:bCs w:val="0"/>
                <w:sz w:val="24"/>
                <w:szCs w:val="24"/>
                <w:lang w:eastAsia="en-IN"/>
              </w:rPr>
              <w:t>Topographic pattern</w:t>
            </w:r>
            <w:r w:rsidR="00B20FC9" w:rsidRPr="00037244">
              <w:rPr>
                <w:rFonts w:ascii="Times New Roman" w:eastAsia="Times New Roman" w:hAnsi="Times New Roman" w:cs="Times New Roman"/>
                <w:sz w:val="24"/>
                <w:szCs w:val="24"/>
                <w:lang w:eastAsia="en-IN"/>
              </w:rPr>
              <w:t> </w:t>
            </w:r>
          </w:p>
        </w:tc>
      </w:tr>
      <w:tr w:rsidR="00037244" w:rsidRPr="00037244" w14:paraId="414D62E1" w14:textId="77777777" w:rsidTr="00E638D3">
        <w:trPr>
          <w:trHeight w:val="537"/>
        </w:trPr>
        <w:tc>
          <w:tcPr>
            <w:cnfStyle w:val="001000000000" w:firstRow="0" w:lastRow="0" w:firstColumn="1" w:lastColumn="0" w:oddVBand="0" w:evenVBand="0" w:oddHBand="0" w:evenHBand="0" w:firstRowFirstColumn="0" w:firstRowLastColumn="0" w:lastRowFirstColumn="0" w:lastRowLastColumn="0"/>
            <w:tcW w:w="0" w:type="auto"/>
            <w:vMerge/>
            <w:hideMark/>
          </w:tcPr>
          <w:p w14:paraId="7E92835A" w14:textId="77777777" w:rsidR="00B20FC9" w:rsidRPr="00037244" w:rsidRDefault="00B20FC9" w:rsidP="00C73225">
            <w:pPr>
              <w:rPr>
                <w:rFonts w:ascii="Times New Roman" w:eastAsia="Times New Roman" w:hAnsi="Times New Roman" w:cs="Times New Roman"/>
                <w:b w:val="0"/>
                <w:bCs w:val="0"/>
                <w:sz w:val="24"/>
                <w:szCs w:val="24"/>
                <w:lang w:eastAsia="en-IN"/>
              </w:rPr>
            </w:pPr>
          </w:p>
        </w:tc>
        <w:tc>
          <w:tcPr>
            <w:tcW w:w="0" w:type="auto"/>
            <w:vMerge/>
            <w:hideMark/>
          </w:tcPr>
          <w:p w14:paraId="55C62282" w14:textId="77777777" w:rsidR="00B20FC9" w:rsidRPr="00037244" w:rsidRDefault="00B20FC9" w:rsidP="00C7322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p>
        </w:tc>
        <w:tc>
          <w:tcPr>
            <w:tcW w:w="0" w:type="auto"/>
            <w:vMerge/>
            <w:hideMark/>
          </w:tcPr>
          <w:p w14:paraId="2D26B729" w14:textId="77777777" w:rsidR="00B20FC9" w:rsidRPr="00037244" w:rsidRDefault="00B20FC9" w:rsidP="00C7322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p>
        </w:tc>
      </w:tr>
      <w:tr w:rsidR="00037244" w:rsidRPr="00037244" w14:paraId="6C6EBDB6"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50D73A6A" w14:textId="77777777" w:rsidR="00B20FC9" w:rsidRPr="00037244" w:rsidRDefault="00B20FC9"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w:t>
            </w:r>
          </w:p>
        </w:tc>
        <w:tc>
          <w:tcPr>
            <w:tcW w:w="2353" w:type="pct"/>
            <w:hideMark/>
          </w:tcPr>
          <w:p w14:paraId="6BE8C4D4"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Embryonal axis and cotyledons completely stained</w:t>
            </w:r>
          </w:p>
        </w:tc>
        <w:tc>
          <w:tcPr>
            <w:tcW w:w="1899" w:type="pct"/>
            <w:hideMark/>
          </w:tcPr>
          <w:p w14:paraId="5BD3EE6D"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w:t>
            </w:r>
            <w:r w:rsidRPr="00037244">
              <w:rPr>
                <w:rFonts w:ascii="Times New Roman" w:hAnsi="Times New Roman" w:cs="Times New Roman"/>
                <w:noProof/>
                <w:sz w:val="24"/>
                <w:szCs w:val="24"/>
                <w:lang w:eastAsia="en-IN" w:bidi="ar-SA"/>
              </w:rPr>
              <w:drawing>
                <wp:inline distT="0" distB="0" distL="0" distR="0" wp14:anchorId="37AEBEAE" wp14:editId="45D5EB55">
                  <wp:extent cx="485140" cy="1137285"/>
                  <wp:effectExtent l="0" t="2223" r="7938" b="7937"/>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l="21091" t="6097" r="13600" b="2438"/>
                          <a:stretch>
                            <a:fillRect/>
                          </a:stretch>
                        </pic:blipFill>
                        <pic:spPr bwMode="auto">
                          <a:xfrm rot="5400000">
                            <a:off x="0" y="0"/>
                            <a:ext cx="485140" cy="1137285"/>
                          </a:xfrm>
                          <a:prstGeom prst="rect">
                            <a:avLst/>
                          </a:prstGeom>
                          <a:noFill/>
                          <a:ln>
                            <a:noFill/>
                          </a:ln>
                        </pic:spPr>
                      </pic:pic>
                    </a:graphicData>
                  </a:graphic>
                </wp:inline>
              </w:drawing>
            </w:r>
          </w:p>
        </w:tc>
      </w:tr>
      <w:tr w:rsidR="00037244" w:rsidRPr="00037244" w14:paraId="5159B657"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6F70E175" w14:textId="77777777" w:rsidR="00B20FC9" w:rsidRPr="00037244" w:rsidRDefault="00B20FC9"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2</w:t>
            </w:r>
          </w:p>
        </w:tc>
        <w:tc>
          <w:tcPr>
            <w:tcW w:w="2353" w:type="pct"/>
            <w:hideMark/>
          </w:tcPr>
          <w:p w14:paraId="58862689"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Embryonal axis &amp; cotyledon unstained radicle stained </w:t>
            </w:r>
          </w:p>
        </w:tc>
        <w:tc>
          <w:tcPr>
            <w:tcW w:w="1899" w:type="pct"/>
            <w:hideMark/>
          </w:tcPr>
          <w:p w14:paraId="2D81384D"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hAnsi="Times New Roman" w:cs="Times New Roman"/>
                <w:noProof/>
                <w:sz w:val="24"/>
                <w:szCs w:val="24"/>
                <w:lang w:eastAsia="en-IN" w:bidi="ar-SA"/>
              </w:rPr>
              <w:drawing>
                <wp:inline distT="0" distB="0" distL="0" distR="0" wp14:anchorId="3AB1F8B7" wp14:editId="589F6057">
                  <wp:extent cx="540385" cy="1271905"/>
                  <wp:effectExtent l="0" t="3810" r="8255" b="825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cstate="print">
                            <a:extLst>
                              <a:ext uri="{28A0092B-C50C-407E-A947-70E740481C1C}">
                                <a14:useLocalDpi xmlns:a14="http://schemas.microsoft.com/office/drawing/2010/main" val="0"/>
                              </a:ext>
                            </a:extLst>
                          </a:blip>
                          <a:srcRect l="25079" t="12340" r="34792" b="19788"/>
                          <a:stretch>
                            <a:fillRect/>
                          </a:stretch>
                        </pic:blipFill>
                        <pic:spPr bwMode="auto">
                          <a:xfrm rot="5400000">
                            <a:off x="0" y="0"/>
                            <a:ext cx="540385" cy="1271905"/>
                          </a:xfrm>
                          <a:prstGeom prst="rect">
                            <a:avLst/>
                          </a:prstGeom>
                          <a:noFill/>
                          <a:ln>
                            <a:noFill/>
                          </a:ln>
                        </pic:spPr>
                      </pic:pic>
                    </a:graphicData>
                  </a:graphic>
                </wp:inline>
              </w:drawing>
            </w:r>
            <w:r w:rsidRPr="00037244">
              <w:rPr>
                <w:rFonts w:ascii="Times New Roman" w:eastAsia="Times New Roman" w:hAnsi="Times New Roman" w:cs="Times New Roman"/>
                <w:b/>
                <w:bCs/>
                <w:sz w:val="24"/>
                <w:szCs w:val="24"/>
                <w:lang w:eastAsia="en-IN"/>
              </w:rPr>
              <w:t> </w:t>
            </w:r>
          </w:p>
        </w:tc>
      </w:tr>
      <w:tr w:rsidR="00037244" w:rsidRPr="00037244" w14:paraId="2349E993"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79B515AC" w14:textId="77777777" w:rsidR="00B20FC9" w:rsidRPr="00037244" w:rsidRDefault="00B20FC9"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3</w:t>
            </w:r>
          </w:p>
        </w:tc>
        <w:tc>
          <w:tcPr>
            <w:tcW w:w="2353" w:type="pct"/>
            <w:hideMark/>
          </w:tcPr>
          <w:p w14:paraId="330D612B"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25% Embryonal axis and cotyledons stained </w:t>
            </w:r>
          </w:p>
        </w:tc>
        <w:tc>
          <w:tcPr>
            <w:tcW w:w="1899" w:type="pct"/>
            <w:hideMark/>
          </w:tcPr>
          <w:p w14:paraId="235587DD"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w:t>
            </w:r>
            <w:r w:rsidRPr="00037244">
              <w:rPr>
                <w:rFonts w:ascii="Times New Roman" w:hAnsi="Times New Roman" w:cs="Times New Roman"/>
                <w:noProof/>
                <w:sz w:val="24"/>
                <w:szCs w:val="24"/>
                <w:lang w:eastAsia="en-IN" w:bidi="ar-SA"/>
              </w:rPr>
              <w:drawing>
                <wp:inline distT="0" distB="0" distL="0" distR="0" wp14:anchorId="753FDDF7" wp14:editId="3D0008E8">
                  <wp:extent cx="628015" cy="1169035"/>
                  <wp:effectExtent l="0" t="381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628015" cy="1169035"/>
                          </a:xfrm>
                          <a:prstGeom prst="rect">
                            <a:avLst/>
                          </a:prstGeom>
                          <a:noFill/>
                          <a:ln>
                            <a:noFill/>
                          </a:ln>
                        </pic:spPr>
                      </pic:pic>
                    </a:graphicData>
                  </a:graphic>
                </wp:inline>
              </w:drawing>
            </w:r>
          </w:p>
        </w:tc>
      </w:tr>
      <w:tr w:rsidR="00037244" w:rsidRPr="00037244" w14:paraId="56C3DAFF"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65928065" w14:textId="4D1CAFB8" w:rsidR="00B20FC9" w:rsidRPr="00037244" w:rsidRDefault="00121DB1"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4</w:t>
            </w:r>
          </w:p>
        </w:tc>
        <w:tc>
          <w:tcPr>
            <w:tcW w:w="2353" w:type="pct"/>
            <w:hideMark/>
          </w:tcPr>
          <w:p w14:paraId="40549448"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Embryonal axis and cotyledons unstained, radicle tip partially stained </w:t>
            </w:r>
          </w:p>
        </w:tc>
        <w:tc>
          <w:tcPr>
            <w:tcW w:w="1899" w:type="pct"/>
            <w:hideMark/>
          </w:tcPr>
          <w:p w14:paraId="07C97616"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hAnsi="Times New Roman" w:cs="Times New Roman"/>
                <w:noProof/>
                <w:sz w:val="24"/>
                <w:szCs w:val="24"/>
                <w:lang w:eastAsia="en-IN" w:bidi="ar-SA"/>
              </w:rPr>
              <w:drawing>
                <wp:inline distT="0" distB="0" distL="0" distR="0" wp14:anchorId="019C98AE" wp14:editId="6F9A049A">
                  <wp:extent cx="508635" cy="1200785"/>
                  <wp:effectExtent l="0" t="3175" r="2540" b="254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extLst>
                              <a:ext uri="{28A0092B-C50C-407E-A947-70E740481C1C}">
                                <a14:useLocalDpi xmlns:a14="http://schemas.microsoft.com/office/drawing/2010/main" val="0"/>
                              </a:ext>
                            </a:extLst>
                          </a:blip>
                          <a:srcRect l="20166" t="7727" r="16051" b="6323"/>
                          <a:stretch>
                            <a:fillRect/>
                          </a:stretch>
                        </pic:blipFill>
                        <pic:spPr bwMode="auto">
                          <a:xfrm rot="-5400000">
                            <a:off x="0" y="0"/>
                            <a:ext cx="508635" cy="1200785"/>
                          </a:xfrm>
                          <a:prstGeom prst="rect">
                            <a:avLst/>
                          </a:prstGeom>
                          <a:noFill/>
                          <a:ln>
                            <a:noFill/>
                          </a:ln>
                        </pic:spPr>
                      </pic:pic>
                    </a:graphicData>
                  </a:graphic>
                </wp:inline>
              </w:drawing>
            </w:r>
            <w:r w:rsidRPr="00037244">
              <w:rPr>
                <w:rFonts w:ascii="Times New Roman" w:eastAsia="Times New Roman" w:hAnsi="Times New Roman" w:cs="Times New Roman"/>
                <w:b/>
                <w:bCs/>
                <w:sz w:val="24"/>
                <w:szCs w:val="24"/>
                <w:lang w:eastAsia="en-IN"/>
              </w:rPr>
              <w:t> </w:t>
            </w:r>
          </w:p>
        </w:tc>
      </w:tr>
      <w:tr w:rsidR="00037244" w:rsidRPr="00037244" w14:paraId="149BA291"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32B53A89" w14:textId="43E9DEFC" w:rsidR="00B20FC9" w:rsidRPr="00037244" w:rsidRDefault="00121DB1"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5</w:t>
            </w:r>
          </w:p>
        </w:tc>
        <w:tc>
          <w:tcPr>
            <w:tcW w:w="2353" w:type="pct"/>
            <w:hideMark/>
          </w:tcPr>
          <w:p w14:paraId="6D9361B3"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Embryonal axis and cotyledons stained lightly</w:t>
            </w:r>
          </w:p>
        </w:tc>
        <w:tc>
          <w:tcPr>
            <w:tcW w:w="1899" w:type="pct"/>
            <w:hideMark/>
          </w:tcPr>
          <w:p w14:paraId="4A17F841"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hAnsi="Times New Roman" w:cs="Times New Roman"/>
                <w:noProof/>
                <w:sz w:val="24"/>
                <w:szCs w:val="24"/>
                <w:lang w:eastAsia="en-IN" w:bidi="ar-SA"/>
              </w:rPr>
              <w:drawing>
                <wp:inline distT="0" distB="0" distL="0" distR="0" wp14:anchorId="02AF8D66" wp14:editId="23D02E0A">
                  <wp:extent cx="564515" cy="1280160"/>
                  <wp:effectExtent l="4128"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
                            <a:extLst>
                              <a:ext uri="{28A0092B-C50C-407E-A947-70E740481C1C}">
                                <a14:useLocalDpi xmlns:a14="http://schemas.microsoft.com/office/drawing/2010/main" val="0"/>
                              </a:ext>
                            </a:extLst>
                          </a:blip>
                          <a:srcRect l="14384" t="3291" r="15753" b="2451"/>
                          <a:stretch>
                            <a:fillRect/>
                          </a:stretch>
                        </pic:blipFill>
                        <pic:spPr bwMode="auto">
                          <a:xfrm rot="-5400000">
                            <a:off x="0" y="0"/>
                            <a:ext cx="564515" cy="1280160"/>
                          </a:xfrm>
                          <a:prstGeom prst="rect">
                            <a:avLst/>
                          </a:prstGeom>
                          <a:noFill/>
                          <a:ln>
                            <a:noFill/>
                          </a:ln>
                        </pic:spPr>
                      </pic:pic>
                    </a:graphicData>
                  </a:graphic>
                </wp:inline>
              </w:drawing>
            </w:r>
            <w:r w:rsidRPr="00037244">
              <w:rPr>
                <w:rFonts w:ascii="Times New Roman" w:eastAsia="Times New Roman" w:hAnsi="Times New Roman" w:cs="Times New Roman"/>
                <w:b/>
                <w:bCs/>
                <w:sz w:val="24"/>
                <w:szCs w:val="24"/>
                <w:lang w:eastAsia="en-IN"/>
              </w:rPr>
              <w:t> </w:t>
            </w:r>
          </w:p>
        </w:tc>
      </w:tr>
      <w:tr w:rsidR="00037244" w:rsidRPr="00037244" w14:paraId="2B7584EF"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31B85D0F" w14:textId="1F1DE9F2" w:rsidR="00B20FC9" w:rsidRPr="00037244" w:rsidRDefault="00121DB1"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6</w:t>
            </w:r>
          </w:p>
        </w:tc>
        <w:tc>
          <w:tcPr>
            <w:tcW w:w="2353" w:type="pct"/>
            <w:hideMark/>
          </w:tcPr>
          <w:p w14:paraId="08D6CDC3"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Embryonal axis with cotyledons unstained </w:t>
            </w:r>
          </w:p>
        </w:tc>
        <w:tc>
          <w:tcPr>
            <w:tcW w:w="1899" w:type="pct"/>
            <w:hideMark/>
          </w:tcPr>
          <w:p w14:paraId="33A065FE"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w:t>
            </w:r>
            <w:r w:rsidRPr="00037244">
              <w:rPr>
                <w:rFonts w:ascii="Times New Roman" w:hAnsi="Times New Roman" w:cs="Times New Roman"/>
                <w:noProof/>
                <w:sz w:val="24"/>
                <w:szCs w:val="24"/>
                <w:lang w:eastAsia="en-IN" w:bidi="ar-SA"/>
              </w:rPr>
              <w:drawing>
                <wp:inline distT="0" distB="0" distL="0" distR="0" wp14:anchorId="04830104" wp14:editId="30CAB698">
                  <wp:extent cx="548640" cy="1248410"/>
                  <wp:effectExtent l="0" t="6985"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 cstate="print">
                            <a:extLst>
                              <a:ext uri="{28A0092B-C50C-407E-A947-70E740481C1C}">
                                <a14:useLocalDpi xmlns:a14="http://schemas.microsoft.com/office/drawing/2010/main" val="0"/>
                              </a:ext>
                            </a:extLst>
                          </a:blip>
                          <a:srcRect l="15385" t="11630" r="17482" b="3067"/>
                          <a:stretch>
                            <a:fillRect/>
                          </a:stretch>
                        </pic:blipFill>
                        <pic:spPr bwMode="auto">
                          <a:xfrm rot="5400000">
                            <a:off x="0" y="0"/>
                            <a:ext cx="548640" cy="1248410"/>
                          </a:xfrm>
                          <a:prstGeom prst="rect">
                            <a:avLst/>
                          </a:prstGeom>
                          <a:noFill/>
                          <a:ln>
                            <a:noFill/>
                          </a:ln>
                        </pic:spPr>
                      </pic:pic>
                    </a:graphicData>
                  </a:graphic>
                </wp:inline>
              </w:drawing>
            </w:r>
          </w:p>
        </w:tc>
      </w:tr>
    </w:tbl>
    <w:p w14:paraId="12E85003" w14:textId="33F6720D" w:rsidR="00F11566" w:rsidRPr="00037244" w:rsidRDefault="00F11566" w:rsidP="00B20FC9">
      <w:pPr>
        <w:spacing w:before="100" w:beforeAutospacing="1" w:after="100" w:afterAutospacing="1"/>
        <w:jc w:val="both"/>
        <w:rPr>
          <w:rFonts w:ascii="Times New Roman" w:hAnsi="Times New Roman" w:cs="Times New Roman"/>
          <w:b/>
          <w:bCs/>
          <w:sz w:val="24"/>
          <w:szCs w:val="24"/>
        </w:rPr>
      </w:pPr>
      <w:r w:rsidRPr="00037244">
        <w:rPr>
          <w:rFonts w:ascii="Times New Roman" w:hAnsi="Times New Roman" w:cs="Times New Roman"/>
          <w:b/>
          <w:bCs/>
          <w:sz w:val="24"/>
          <w:szCs w:val="24"/>
        </w:rPr>
        <w:t>Water Imbibition</w:t>
      </w:r>
      <w:r w:rsidR="00B20FC9" w:rsidRPr="00037244">
        <w:rPr>
          <w:rFonts w:ascii="Times New Roman" w:hAnsi="Times New Roman" w:cs="Times New Roman"/>
          <w:b/>
          <w:bCs/>
          <w:sz w:val="24"/>
          <w:szCs w:val="24"/>
        </w:rPr>
        <w:t xml:space="preserve">: </w:t>
      </w:r>
      <w:r w:rsidRPr="00037244">
        <w:rPr>
          <w:rFonts w:ascii="Times New Roman" w:eastAsia="Times New Roman" w:hAnsi="Times New Roman" w:cs="Times New Roman"/>
          <w:sz w:val="24"/>
          <w:szCs w:val="24"/>
          <w:lang w:eastAsia="en-IN"/>
        </w:rPr>
        <w:t xml:space="preserve">The water imbibition curve </w:t>
      </w:r>
      <w:r w:rsidR="00EB1711">
        <w:rPr>
          <w:rFonts w:ascii="Times New Roman" w:eastAsia="Times New Roman" w:hAnsi="Times New Roman" w:cs="Times New Roman"/>
          <w:sz w:val="24"/>
          <w:szCs w:val="24"/>
          <w:lang w:eastAsia="en-IN"/>
        </w:rPr>
        <w:t xml:space="preserve">(Fig.2) </w:t>
      </w:r>
      <w:r w:rsidRPr="00037244">
        <w:rPr>
          <w:rFonts w:ascii="Times New Roman" w:eastAsia="Times New Roman" w:hAnsi="Times New Roman" w:cs="Times New Roman"/>
          <w:sz w:val="24"/>
          <w:szCs w:val="24"/>
          <w:lang w:eastAsia="en-IN"/>
        </w:rPr>
        <w:t xml:space="preserve">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seeds illustrates the increase in seed fresh weight (%) over time as the seeds absorb water. Initially, at 0 hours, there is no change in seed weight. By 2 hours, the seeds exhibit a 23.44% increase in fresh weight, with a standard error (SE) of 0.68, indicating the onset of water uptake. This trend continues steadily, reaching 35.16% at 4 hours (SE = 1.02). A rapid imbibition phase occurs between 6 to 12 hours, with seed fresh weight increasing significantly—72.01% at 6 hours, 81.10% at 8 hours, 90.66% at 10 hours, and peaking at 110.71% at 12 hours. The increasing SE values during this phase indicate some variability in water absorption among seeds. Beyond 12 hours, the rate of water absorption slows, reaching 121.81% at 24 hours and 131.68% at 27 hours. The highest recorded increase is 158.79% at 30 hours, after which a slight decline is observed—158.29% at 33 hours and 157.02% at 36 hours—indicating that the seeds may have reached saturation or experienced minor water loss. This pattern suggests a triphasic imbibition process typical of orthodox seeds, with an initial rapid water uptake, a slower plateau phase, and a final stabilization, preparing the seeds for germination.</w:t>
      </w:r>
    </w:p>
    <w:p w14:paraId="75522F25" w14:textId="77777777" w:rsidR="00F11566" w:rsidRPr="00037244" w:rsidRDefault="00F11566" w:rsidP="00B20FC9">
      <w:pPr>
        <w:spacing w:before="100" w:beforeAutospacing="1" w:after="100" w:afterAutospacing="1"/>
        <w:jc w:val="center"/>
        <w:rPr>
          <w:rFonts w:ascii="Times New Roman" w:hAnsi="Times New Roman" w:cs="Times New Roman"/>
          <w:noProof/>
          <w:sz w:val="24"/>
          <w:szCs w:val="24"/>
          <w:lang w:eastAsia="en-IN"/>
        </w:rPr>
      </w:pPr>
      <w:r w:rsidRPr="00037244">
        <w:rPr>
          <w:rFonts w:ascii="Times New Roman" w:hAnsi="Times New Roman" w:cs="Times New Roman"/>
          <w:noProof/>
          <w:sz w:val="24"/>
          <w:szCs w:val="24"/>
          <w:lang w:eastAsia="en-IN" w:bidi="ar-SA"/>
        </w:rPr>
        <w:lastRenderedPageBreak/>
        <w:drawing>
          <wp:inline distT="0" distB="0" distL="0" distR="0" wp14:anchorId="6BCBAB46" wp14:editId="164DF7F8">
            <wp:extent cx="4157980" cy="2895600"/>
            <wp:effectExtent l="0" t="0" r="13970" b="0"/>
            <wp:docPr id="180" name="Chart 180">
              <a:extLst xmlns:a="http://schemas.openxmlformats.org/drawingml/2006/main">
                <a:ext uri="{FF2B5EF4-FFF2-40B4-BE49-F238E27FC236}">
                  <a16:creationId xmlns:a16="http://schemas.microsoft.com/office/drawing/2014/main" id="{00000000-0008-0000-0000-00004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E79726" w14:textId="3E7ECBCB" w:rsidR="00F11566" w:rsidRPr="00037244" w:rsidRDefault="004E5691" w:rsidP="00F11566">
      <w:pPr>
        <w:spacing w:before="100" w:beforeAutospacing="1" w:after="100" w:afterAutospacing="1"/>
        <w:jc w:val="center"/>
        <w:rPr>
          <w:rFonts w:ascii="Times New Roman" w:hAnsi="Times New Roman" w:cs="Times New Roman"/>
          <w:sz w:val="24"/>
          <w:szCs w:val="24"/>
        </w:rPr>
      </w:pPr>
      <w:r w:rsidRPr="00037244">
        <w:rPr>
          <w:rFonts w:ascii="Times New Roman" w:hAnsi="Times New Roman" w:cs="Times New Roman"/>
          <w:b/>
          <w:bCs/>
          <w:sz w:val="24"/>
          <w:szCs w:val="24"/>
        </w:rPr>
        <w:t>Fig</w:t>
      </w:r>
      <w:r w:rsidR="00037244" w:rsidRPr="00037244">
        <w:rPr>
          <w:rFonts w:ascii="Times New Roman" w:hAnsi="Times New Roman" w:cs="Times New Roman"/>
          <w:b/>
          <w:bCs/>
          <w:sz w:val="24"/>
          <w:szCs w:val="24"/>
        </w:rPr>
        <w:t xml:space="preserve"> </w:t>
      </w:r>
      <w:r w:rsidR="00EB1711">
        <w:rPr>
          <w:rFonts w:ascii="Times New Roman" w:hAnsi="Times New Roman" w:cs="Times New Roman"/>
          <w:b/>
          <w:bCs/>
          <w:sz w:val="24"/>
          <w:szCs w:val="24"/>
        </w:rPr>
        <w:t>2</w:t>
      </w:r>
      <w:r w:rsidR="00F11566" w:rsidRPr="00037244">
        <w:rPr>
          <w:rFonts w:ascii="Times New Roman" w:hAnsi="Times New Roman" w:cs="Times New Roman"/>
          <w:sz w:val="24"/>
          <w:szCs w:val="24"/>
        </w:rPr>
        <w:t xml:space="preserve">: Water Imbibition curve of </w:t>
      </w:r>
      <w:r w:rsidR="00F11566" w:rsidRPr="00037244">
        <w:rPr>
          <w:rFonts w:ascii="Times New Roman" w:eastAsia="Times New Roman" w:hAnsi="Times New Roman" w:cs="Times New Roman"/>
          <w:i/>
          <w:sz w:val="24"/>
          <w:szCs w:val="24"/>
        </w:rPr>
        <w:t xml:space="preserve">Gymnema sylvestre </w:t>
      </w:r>
      <w:r w:rsidR="00121DB1" w:rsidRPr="00037244">
        <w:rPr>
          <w:rFonts w:ascii="Times New Roman" w:hAnsi="Times New Roman" w:cs="Times New Roman"/>
          <w:sz w:val="24"/>
          <w:szCs w:val="24"/>
        </w:rPr>
        <w:t>s</w:t>
      </w:r>
      <w:r w:rsidR="00F11566" w:rsidRPr="00037244">
        <w:rPr>
          <w:rFonts w:ascii="Times New Roman" w:hAnsi="Times New Roman" w:cs="Times New Roman"/>
          <w:sz w:val="24"/>
          <w:szCs w:val="24"/>
        </w:rPr>
        <w:t xml:space="preserve">eeds </w:t>
      </w:r>
    </w:p>
    <w:p w14:paraId="0B9E7EA0" w14:textId="69F9B8CC" w:rsidR="00B20FC9" w:rsidRPr="00037244" w:rsidRDefault="00B20FC9" w:rsidP="00B20FC9">
      <w:pPr>
        <w:spacing w:before="100" w:beforeAutospacing="1" w:after="100" w:afterAutospacing="1" w:line="240" w:lineRule="auto"/>
        <w:jc w:val="both"/>
        <w:rPr>
          <w:rFonts w:ascii="Times New Roman" w:hAnsi="Times New Roman" w:cs="Times New Roman"/>
          <w:sz w:val="24"/>
          <w:szCs w:val="24"/>
        </w:rPr>
      </w:pPr>
      <w:r w:rsidRPr="00037244">
        <w:rPr>
          <w:rFonts w:ascii="Times New Roman" w:eastAsia="Times New Roman" w:hAnsi="Times New Roman" w:cs="Times New Roman"/>
          <w:b/>
          <w:bCs/>
          <w:sz w:val="24"/>
          <w:szCs w:val="24"/>
          <w:lang w:eastAsia="en-IN"/>
        </w:rPr>
        <w:t xml:space="preserve">Seed </w:t>
      </w:r>
      <w:r w:rsidR="002D53CC" w:rsidRPr="00037244">
        <w:rPr>
          <w:rFonts w:ascii="Times New Roman" w:eastAsia="Times New Roman" w:hAnsi="Times New Roman" w:cs="Times New Roman"/>
          <w:b/>
          <w:bCs/>
          <w:sz w:val="24"/>
          <w:szCs w:val="24"/>
          <w:lang w:eastAsia="en-IN"/>
        </w:rPr>
        <w:t xml:space="preserve">pre-treatment: </w:t>
      </w:r>
      <w:r w:rsidRPr="00037244">
        <w:rPr>
          <w:rFonts w:ascii="Times New Roman" w:eastAsia="Times New Roman" w:hAnsi="Times New Roman" w:cs="Times New Roman"/>
          <w:i/>
          <w:sz w:val="24"/>
          <w:szCs w:val="24"/>
        </w:rPr>
        <w:t xml:space="preserve">Gymnema sylvestre </w:t>
      </w:r>
      <w:r w:rsidRPr="00037244">
        <w:rPr>
          <w:rFonts w:ascii="Times New Roman" w:hAnsi="Times New Roman" w:cs="Times New Roman"/>
          <w:sz w:val="24"/>
          <w:szCs w:val="24"/>
        </w:rPr>
        <w:t>seeds did not exhibit physical or physiological dormancy, and therefore no pre-treatment was required prior to sowing. Preliminary germination tests confirmed the viability of untreated seeds, validating their readiness for direct propagation without additional interventions</w:t>
      </w:r>
      <w:r w:rsidR="00EB1711">
        <w:rPr>
          <w:rFonts w:ascii="Times New Roman" w:hAnsi="Times New Roman" w:cs="Times New Roman"/>
          <w:sz w:val="24"/>
          <w:szCs w:val="24"/>
        </w:rPr>
        <w:t xml:space="preserve"> (Fig.3, Fig. 4)</w:t>
      </w:r>
      <w:r w:rsidRPr="00037244">
        <w:rPr>
          <w:rFonts w:ascii="Times New Roman" w:hAnsi="Times New Roman" w:cs="Times New Roman"/>
          <w:sz w:val="24"/>
          <w:szCs w:val="24"/>
        </w:rPr>
        <w:t>.</w:t>
      </w:r>
    </w:p>
    <w:p w14:paraId="5A6C704D" w14:textId="77777777" w:rsidR="002D53CC" w:rsidRPr="00037244" w:rsidRDefault="002D53CC" w:rsidP="002D53CC">
      <w:pPr>
        <w:jc w:val="center"/>
        <w:rPr>
          <w:rFonts w:ascii="Times New Roman" w:eastAsia="Times New Roman" w:hAnsi="Times New Roman" w:cs="Times New Roman"/>
          <w:b/>
          <w:sz w:val="24"/>
          <w:szCs w:val="24"/>
        </w:rPr>
      </w:pPr>
      <w:r w:rsidRPr="00037244">
        <w:rPr>
          <w:rFonts w:ascii="Times New Roman" w:eastAsia="Times New Roman" w:hAnsi="Times New Roman" w:cs="Times New Roman"/>
          <w:b/>
          <w:noProof/>
          <w:sz w:val="24"/>
          <w:szCs w:val="24"/>
          <w:lang w:eastAsia="en-IN" w:bidi="ar-SA"/>
        </w:rPr>
        <w:drawing>
          <wp:inline distT="0" distB="0" distL="0" distR="0" wp14:anchorId="036F6FAC" wp14:editId="23384067">
            <wp:extent cx="3514725" cy="1692636"/>
            <wp:effectExtent l="0" t="0" r="0" b="317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1325" cy="1695815"/>
                    </a:xfrm>
                    <a:prstGeom prst="rect">
                      <a:avLst/>
                    </a:prstGeom>
                    <a:noFill/>
                    <a:ln>
                      <a:noFill/>
                    </a:ln>
                  </pic:spPr>
                </pic:pic>
              </a:graphicData>
            </a:graphic>
          </wp:inline>
        </w:drawing>
      </w:r>
    </w:p>
    <w:p w14:paraId="0D1D3250" w14:textId="199B965B" w:rsidR="002D53CC" w:rsidRPr="00037244" w:rsidRDefault="002D53CC" w:rsidP="002D53CC">
      <w:pPr>
        <w:spacing w:after="0"/>
        <w:jc w:val="center"/>
        <w:rPr>
          <w:rFonts w:ascii="Times New Roman" w:eastAsia="Times New Roman" w:hAnsi="Times New Roman" w:cs="Times New Roman"/>
          <w:sz w:val="24"/>
          <w:szCs w:val="24"/>
        </w:rPr>
      </w:pPr>
      <w:r w:rsidRPr="00037244">
        <w:rPr>
          <w:rFonts w:ascii="Times New Roman" w:hAnsi="Times New Roman" w:cs="Times New Roman"/>
          <w:b/>
          <w:bCs/>
          <w:sz w:val="24"/>
          <w:szCs w:val="24"/>
        </w:rPr>
        <w:t xml:space="preserve">Fig </w:t>
      </w:r>
      <w:r w:rsidR="00EB1711">
        <w:rPr>
          <w:rFonts w:ascii="Times New Roman" w:hAnsi="Times New Roman" w:cs="Times New Roman"/>
          <w:b/>
          <w:bCs/>
          <w:sz w:val="24"/>
          <w:szCs w:val="24"/>
        </w:rPr>
        <w:t>3</w:t>
      </w:r>
      <w:r w:rsidRPr="00037244">
        <w:rPr>
          <w:rFonts w:ascii="Times New Roman" w:hAnsi="Times New Roman" w:cs="Times New Roman"/>
          <w:b/>
          <w:bCs/>
          <w:sz w:val="24"/>
          <w:szCs w:val="24"/>
        </w:rPr>
        <w:t xml:space="preserve">: </w:t>
      </w:r>
      <w:r w:rsidRPr="00037244">
        <w:rPr>
          <w:rFonts w:ascii="Times New Roman" w:hAnsi="Times New Roman" w:cs="Times New Roman"/>
          <w:sz w:val="24"/>
          <w:szCs w:val="24"/>
        </w:rPr>
        <w:t xml:space="preserve">Germination pattern of </w:t>
      </w:r>
      <w:r w:rsidRPr="00037244">
        <w:rPr>
          <w:rFonts w:ascii="Times New Roman" w:eastAsia="Times New Roman" w:hAnsi="Times New Roman" w:cs="Times New Roman"/>
          <w:i/>
          <w:sz w:val="24"/>
          <w:szCs w:val="24"/>
        </w:rPr>
        <w:t xml:space="preserve">Gymnema sylvestre </w:t>
      </w:r>
      <w:r w:rsidRPr="00037244">
        <w:rPr>
          <w:rFonts w:ascii="Times New Roman" w:eastAsia="Times New Roman" w:hAnsi="Times New Roman" w:cs="Times New Roman"/>
          <w:sz w:val="24"/>
          <w:szCs w:val="24"/>
        </w:rPr>
        <w:t>seeds</w:t>
      </w:r>
    </w:p>
    <w:p w14:paraId="341FCF9A" w14:textId="77777777" w:rsidR="002D53CC" w:rsidRPr="00037244" w:rsidRDefault="002D53CC" w:rsidP="002D53CC">
      <w:pPr>
        <w:spacing w:after="0"/>
        <w:jc w:val="center"/>
        <w:rPr>
          <w:rFonts w:ascii="Times New Roman" w:eastAsia="Times New Roman" w:hAnsi="Times New Roman" w:cs="Times New Roman"/>
          <w:sz w:val="24"/>
          <w:szCs w:val="24"/>
          <w:lang w:val="en-US" w:bidi="ar-SA"/>
        </w:rPr>
      </w:pPr>
    </w:p>
    <w:p w14:paraId="436C04B0" w14:textId="77777777" w:rsidR="002D53CC" w:rsidRPr="00037244" w:rsidRDefault="002D53CC" w:rsidP="002D53CC">
      <w:pPr>
        <w:jc w:val="center"/>
        <w:rPr>
          <w:rFonts w:ascii="Times New Roman" w:eastAsia="Times New Roman" w:hAnsi="Times New Roman" w:cs="Times New Roman"/>
          <w:b/>
          <w:sz w:val="24"/>
          <w:szCs w:val="24"/>
        </w:rPr>
      </w:pPr>
      <w:r w:rsidRPr="00037244">
        <w:rPr>
          <w:rFonts w:ascii="Times New Roman" w:eastAsia="Times New Roman" w:hAnsi="Times New Roman" w:cs="Times New Roman"/>
          <w:b/>
          <w:noProof/>
          <w:sz w:val="24"/>
          <w:szCs w:val="24"/>
          <w:lang w:eastAsia="en-IN" w:bidi="ar-SA"/>
        </w:rPr>
        <w:drawing>
          <wp:inline distT="0" distB="0" distL="0" distR="0" wp14:anchorId="739BED2E" wp14:editId="1BAA40DB">
            <wp:extent cx="2324100" cy="221228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 cstate="print">
                      <a:extLst>
                        <a:ext uri="{28A0092B-C50C-407E-A947-70E740481C1C}">
                          <a14:useLocalDpi xmlns:a14="http://schemas.microsoft.com/office/drawing/2010/main" val="0"/>
                        </a:ext>
                      </a:extLst>
                    </a:blip>
                    <a:srcRect l="19168" t="17778" r="25549" b="12038"/>
                    <a:stretch>
                      <a:fillRect/>
                    </a:stretch>
                  </pic:blipFill>
                  <pic:spPr bwMode="auto">
                    <a:xfrm>
                      <a:off x="0" y="0"/>
                      <a:ext cx="2332274" cy="2220064"/>
                    </a:xfrm>
                    <a:prstGeom prst="rect">
                      <a:avLst/>
                    </a:prstGeom>
                    <a:noFill/>
                    <a:ln>
                      <a:noFill/>
                    </a:ln>
                  </pic:spPr>
                </pic:pic>
              </a:graphicData>
            </a:graphic>
          </wp:inline>
        </w:drawing>
      </w:r>
    </w:p>
    <w:p w14:paraId="21FCA131" w14:textId="0030E33A" w:rsidR="002D53CC" w:rsidRPr="00037244" w:rsidRDefault="002D53CC" w:rsidP="002D53CC">
      <w:pPr>
        <w:spacing w:after="0"/>
        <w:jc w:val="center"/>
        <w:rPr>
          <w:rFonts w:ascii="Times New Roman" w:eastAsia="Times New Roman" w:hAnsi="Times New Roman" w:cs="Times New Roman"/>
          <w:b/>
          <w:sz w:val="24"/>
          <w:szCs w:val="24"/>
        </w:rPr>
      </w:pPr>
      <w:r w:rsidRPr="00037244">
        <w:rPr>
          <w:rFonts w:ascii="Times New Roman" w:hAnsi="Times New Roman" w:cs="Times New Roman"/>
          <w:b/>
          <w:bCs/>
          <w:sz w:val="24"/>
          <w:szCs w:val="24"/>
        </w:rPr>
        <w:lastRenderedPageBreak/>
        <w:t>Fi</w:t>
      </w:r>
      <w:r w:rsidR="00EB1711">
        <w:rPr>
          <w:rFonts w:ascii="Times New Roman" w:hAnsi="Times New Roman" w:cs="Times New Roman"/>
          <w:b/>
          <w:bCs/>
          <w:sz w:val="24"/>
          <w:szCs w:val="24"/>
        </w:rPr>
        <w:t>g. 4</w:t>
      </w:r>
      <w:r w:rsidRPr="00037244">
        <w:rPr>
          <w:rFonts w:ascii="Times New Roman" w:hAnsi="Times New Roman" w:cs="Times New Roman"/>
          <w:b/>
          <w:bCs/>
          <w:sz w:val="24"/>
          <w:szCs w:val="24"/>
        </w:rPr>
        <w:t xml:space="preserve">: </w:t>
      </w:r>
      <w:r w:rsidRPr="00037244">
        <w:rPr>
          <w:rFonts w:ascii="Times New Roman" w:hAnsi="Times New Roman" w:cs="Times New Roman"/>
          <w:sz w:val="24"/>
          <w:szCs w:val="24"/>
        </w:rPr>
        <w:t>Seed germination of</w:t>
      </w:r>
      <w:r w:rsidRPr="00037244">
        <w:rPr>
          <w:rFonts w:ascii="Times New Roman" w:hAnsi="Times New Roman" w:cs="Times New Roman"/>
          <w:b/>
          <w:bCs/>
          <w:sz w:val="24"/>
          <w:szCs w:val="24"/>
        </w:rPr>
        <w:t xml:space="preserve"> </w:t>
      </w:r>
      <w:r w:rsidRPr="00037244">
        <w:rPr>
          <w:rFonts w:ascii="Times New Roman" w:eastAsia="Times New Roman" w:hAnsi="Times New Roman" w:cs="Times New Roman"/>
          <w:i/>
          <w:sz w:val="24"/>
          <w:szCs w:val="24"/>
        </w:rPr>
        <w:t xml:space="preserve">Gymnema sylvestre </w:t>
      </w:r>
    </w:p>
    <w:p w14:paraId="73C092B0" w14:textId="413626F3" w:rsidR="00B20FC9" w:rsidRPr="00037244" w:rsidRDefault="00B20FC9" w:rsidP="00B20FC9">
      <w:pPr>
        <w:spacing w:before="100" w:beforeAutospacing="1" w:after="100" w:afterAutospacing="1"/>
        <w:jc w:val="both"/>
        <w:rPr>
          <w:rFonts w:ascii="Times New Roman" w:hAnsi="Times New Roman" w:cs="Times New Roman"/>
          <w:sz w:val="24"/>
          <w:szCs w:val="24"/>
        </w:rPr>
      </w:pPr>
      <w:r w:rsidRPr="00037244">
        <w:rPr>
          <w:rFonts w:ascii="Times New Roman" w:hAnsi="Times New Roman" w:cs="Times New Roman"/>
          <w:b/>
          <w:bCs/>
          <w:sz w:val="24"/>
          <w:szCs w:val="24"/>
        </w:rPr>
        <w:t xml:space="preserve">Standardization of Seed Storability Behaviour: </w:t>
      </w:r>
      <w:r w:rsidRPr="00037244">
        <w:rPr>
          <w:rFonts w:ascii="Times New Roman" w:hAnsi="Times New Roman" w:cs="Times New Roman"/>
          <w:sz w:val="24"/>
          <w:szCs w:val="24"/>
        </w:rPr>
        <w:t xml:space="preserve">Desiccation trials were conducted to assess the seed storability of </w:t>
      </w:r>
      <w:r w:rsidRPr="00037244">
        <w:rPr>
          <w:rFonts w:ascii="Times New Roman" w:eastAsia="Times New Roman" w:hAnsi="Times New Roman" w:cs="Times New Roman"/>
          <w:i/>
          <w:sz w:val="24"/>
          <w:szCs w:val="24"/>
        </w:rPr>
        <w:t>Gymnema sylvestre</w:t>
      </w:r>
      <w:r w:rsidRPr="00037244">
        <w:rPr>
          <w:rFonts w:ascii="Times New Roman" w:hAnsi="Times New Roman" w:cs="Times New Roman"/>
          <w:sz w:val="24"/>
          <w:szCs w:val="24"/>
        </w:rPr>
        <w:t xml:space="preserve"> using silica gel in desiccators. The initial seed moisture content was 9.60%, with a germination rate of </w:t>
      </w:r>
      <w:r w:rsidRPr="00037244">
        <w:rPr>
          <w:rFonts w:ascii="Times New Roman" w:eastAsia="Times New Roman" w:hAnsi="Times New Roman" w:cs="Times New Roman"/>
          <w:sz w:val="24"/>
          <w:szCs w:val="24"/>
          <w:lang w:eastAsia="en-IN"/>
        </w:rPr>
        <w:t>89.26±3.57</w:t>
      </w:r>
      <w:r w:rsidRPr="00037244">
        <w:rPr>
          <w:rFonts w:ascii="Times New Roman" w:hAnsi="Times New Roman" w:cs="Times New Roman"/>
          <w:sz w:val="24"/>
          <w:szCs w:val="24"/>
        </w:rPr>
        <w:t xml:space="preserve">%. After desiccation to safe moisture content of 5.36%, the germination percentage increased to </w:t>
      </w:r>
      <w:r w:rsidRPr="00037244">
        <w:rPr>
          <w:rFonts w:ascii="Times New Roman" w:eastAsia="Times New Roman" w:hAnsi="Times New Roman" w:cs="Times New Roman"/>
          <w:sz w:val="24"/>
          <w:szCs w:val="24"/>
          <w:lang w:eastAsia="en-IN"/>
        </w:rPr>
        <w:t>90.83±3.63</w:t>
      </w:r>
      <w:r w:rsidRPr="00037244">
        <w:rPr>
          <w:rFonts w:ascii="Times New Roman" w:hAnsi="Times New Roman" w:cs="Times New Roman"/>
          <w:sz w:val="24"/>
          <w:szCs w:val="24"/>
        </w:rPr>
        <w:t xml:space="preserve">%. Seeds stored at –20°C for three months maintained good viability, with a germination rate of </w:t>
      </w:r>
      <w:r w:rsidRPr="00037244">
        <w:rPr>
          <w:rFonts w:ascii="Times New Roman" w:eastAsia="Times New Roman" w:hAnsi="Times New Roman" w:cs="Times New Roman"/>
          <w:sz w:val="24"/>
          <w:szCs w:val="24"/>
          <w:lang w:eastAsia="en-IN"/>
        </w:rPr>
        <w:t>95.38±3.82</w:t>
      </w:r>
      <w:r w:rsidRPr="00037244">
        <w:rPr>
          <w:rFonts w:ascii="Times New Roman" w:hAnsi="Times New Roman" w:cs="Times New Roman"/>
          <w:sz w:val="24"/>
          <w:szCs w:val="24"/>
        </w:rPr>
        <w:t xml:space="preserve">%. These findings suggest that </w:t>
      </w:r>
      <w:r w:rsidRPr="00037244">
        <w:rPr>
          <w:rFonts w:ascii="Times New Roman" w:eastAsia="Times New Roman" w:hAnsi="Times New Roman" w:cs="Times New Roman"/>
          <w:i/>
          <w:sz w:val="24"/>
          <w:szCs w:val="24"/>
        </w:rPr>
        <w:t xml:space="preserve">Gymnema sylvestre </w:t>
      </w:r>
      <w:r w:rsidRPr="00037244">
        <w:rPr>
          <w:rFonts w:ascii="Times New Roman" w:hAnsi="Times New Roman" w:cs="Times New Roman"/>
          <w:sz w:val="24"/>
          <w:szCs w:val="24"/>
        </w:rPr>
        <w:t xml:space="preserve">seeds are classified under the orthodox storage category, as they demonstrated high storability and maintained viability after prolonged storage under controlled conditions. In conclusion, the seeds of </w:t>
      </w:r>
      <w:r w:rsidRPr="00037244">
        <w:rPr>
          <w:rFonts w:ascii="Times New Roman" w:eastAsia="Times New Roman" w:hAnsi="Times New Roman" w:cs="Times New Roman"/>
          <w:i/>
          <w:sz w:val="24"/>
          <w:szCs w:val="24"/>
        </w:rPr>
        <w:t xml:space="preserve">Gymnema sylvestre </w:t>
      </w:r>
      <w:r w:rsidRPr="00037244">
        <w:rPr>
          <w:rFonts w:ascii="Times New Roman" w:hAnsi="Times New Roman" w:cs="Times New Roman"/>
          <w:sz w:val="24"/>
          <w:szCs w:val="24"/>
        </w:rPr>
        <w:t>exhibit good storability under orthodox conditions, with improved germination following desiccation and low-temperature storage.</w:t>
      </w:r>
    </w:p>
    <w:p w14:paraId="3DC86B7D" w14:textId="09D1D0F5" w:rsidR="00B20FC9" w:rsidRPr="00037244" w:rsidRDefault="00B20FC9" w:rsidP="00B20FC9">
      <w:pPr>
        <w:pStyle w:val="Default"/>
        <w:spacing w:line="276" w:lineRule="auto"/>
        <w:rPr>
          <w:color w:val="auto"/>
        </w:rPr>
      </w:pPr>
      <w:r w:rsidRPr="00037244">
        <w:rPr>
          <w:b/>
          <w:bCs/>
          <w:color w:val="auto"/>
        </w:rPr>
        <w:t>Table</w:t>
      </w:r>
      <w:r w:rsidR="00030CC7">
        <w:rPr>
          <w:b/>
          <w:bCs/>
          <w:color w:val="auto"/>
        </w:rPr>
        <w:t xml:space="preserve"> 3</w:t>
      </w:r>
      <w:r w:rsidRPr="00037244">
        <w:rPr>
          <w:b/>
          <w:bCs/>
          <w:color w:val="auto"/>
        </w:rPr>
        <w:t xml:space="preserve">: </w:t>
      </w:r>
      <w:r w:rsidRPr="00037244">
        <w:rPr>
          <w:color w:val="auto"/>
        </w:rPr>
        <w:t>Different desiccation stages and respective germination percentage after desiccation</w:t>
      </w:r>
    </w:p>
    <w:p w14:paraId="4CD0767F" w14:textId="77777777" w:rsidR="00B20FC9" w:rsidRPr="00037244" w:rsidRDefault="00B20FC9" w:rsidP="00B20FC9">
      <w:pPr>
        <w:pStyle w:val="Default"/>
        <w:spacing w:line="276" w:lineRule="auto"/>
        <w:jc w:val="both"/>
        <w:rPr>
          <w:color w:val="auto"/>
        </w:rPr>
      </w:pPr>
    </w:p>
    <w:tbl>
      <w:tblPr>
        <w:tblStyle w:val="ListTable21"/>
        <w:tblW w:w="5000" w:type="pct"/>
        <w:tblLook w:val="04A0" w:firstRow="1" w:lastRow="0" w:firstColumn="1" w:lastColumn="0" w:noHBand="0" w:noVBand="1"/>
      </w:tblPr>
      <w:tblGrid>
        <w:gridCol w:w="1304"/>
        <w:gridCol w:w="1724"/>
        <w:gridCol w:w="1329"/>
        <w:gridCol w:w="1787"/>
        <w:gridCol w:w="1543"/>
        <w:gridCol w:w="1339"/>
      </w:tblGrid>
      <w:tr w:rsidR="00037244" w:rsidRPr="00037244" w14:paraId="7363E8E2" w14:textId="77777777" w:rsidTr="00E638D3">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722" w:type="pct"/>
          </w:tcPr>
          <w:p w14:paraId="745EC90A" w14:textId="77777777" w:rsidR="00B20FC9" w:rsidRPr="00037244" w:rsidRDefault="00B20FC9" w:rsidP="00C73225">
            <w:pPr>
              <w:jc w:val="center"/>
              <w:rPr>
                <w:rFonts w:ascii="Times New Roman" w:hAnsi="Times New Roman" w:cs="Times New Roman"/>
                <w:b w:val="0"/>
                <w:bCs w:val="0"/>
                <w:sz w:val="24"/>
                <w:szCs w:val="24"/>
              </w:rPr>
            </w:pPr>
            <w:r w:rsidRPr="00037244">
              <w:rPr>
                <w:rFonts w:ascii="Times New Roman" w:hAnsi="Times New Roman" w:cs="Times New Roman"/>
                <w:sz w:val="24"/>
                <w:szCs w:val="24"/>
              </w:rPr>
              <w:t>Initial seed Moisture Content%</w:t>
            </w:r>
          </w:p>
        </w:tc>
        <w:tc>
          <w:tcPr>
            <w:tcW w:w="955" w:type="pct"/>
          </w:tcPr>
          <w:p w14:paraId="73537BD7" w14:textId="4486291B" w:rsidR="00B20FC9" w:rsidRPr="00037244" w:rsidRDefault="00B20FC9" w:rsidP="00C7322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37244">
              <w:rPr>
                <w:rFonts w:ascii="Times New Roman" w:hAnsi="Times New Roman" w:cs="Times New Roman"/>
                <w:sz w:val="24"/>
                <w:szCs w:val="24"/>
              </w:rPr>
              <w:t>Initial seed germination</w:t>
            </w:r>
            <w:r w:rsidR="00E638D3" w:rsidRPr="00037244">
              <w:rPr>
                <w:rFonts w:ascii="Times New Roman" w:hAnsi="Times New Roman" w:cs="Times New Roman"/>
                <w:sz w:val="24"/>
                <w:szCs w:val="24"/>
              </w:rPr>
              <w:t xml:space="preserve"> </w:t>
            </w:r>
            <w:r w:rsidRPr="00037244">
              <w:rPr>
                <w:rFonts w:ascii="Times New Roman" w:hAnsi="Times New Roman" w:cs="Times New Roman"/>
                <w:sz w:val="24"/>
                <w:szCs w:val="24"/>
              </w:rPr>
              <w:t>%</w:t>
            </w:r>
          </w:p>
          <w:p w14:paraId="64C2E702" w14:textId="77777777" w:rsidR="00B20FC9" w:rsidRPr="00037244" w:rsidRDefault="00B20FC9" w:rsidP="00C7322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37244">
              <w:rPr>
                <w:rFonts w:ascii="Times New Roman" w:eastAsia="Times New Roman" w:hAnsi="Times New Roman" w:cs="Times New Roman"/>
                <w:sz w:val="24"/>
                <w:szCs w:val="24"/>
                <w:lang w:eastAsia="en-IN"/>
              </w:rPr>
              <w:t>Mean±SE</w:t>
            </w:r>
          </w:p>
        </w:tc>
        <w:tc>
          <w:tcPr>
            <w:tcW w:w="736" w:type="pct"/>
          </w:tcPr>
          <w:p w14:paraId="242513F7" w14:textId="5DACAD6D"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37244">
              <w:rPr>
                <w:rFonts w:ascii="Times New Roman" w:hAnsi="Times New Roman" w:cs="Times New Roman"/>
                <w:sz w:val="24"/>
                <w:szCs w:val="24"/>
              </w:rPr>
              <w:t>Desiccated safe moisture content</w:t>
            </w:r>
            <w:r w:rsidR="00E638D3" w:rsidRPr="00037244">
              <w:rPr>
                <w:rFonts w:ascii="Times New Roman" w:hAnsi="Times New Roman" w:cs="Times New Roman"/>
                <w:sz w:val="24"/>
                <w:szCs w:val="24"/>
              </w:rPr>
              <w:t xml:space="preserve"> </w:t>
            </w:r>
            <w:r w:rsidRPr="00037244">
              <w:rPr>
                <w:rFonts w:ascii="Times New Roman" w:hAnsi="Times New Roman" w:cs="Times New Roman"/>
                <w:sz w:val="24"/>
                <w:szCs w:val="24"/>
              </w:rPr>
              <w:t>%</w:t>
            </w:r>
          </w:p>
        </w:tc>
        <w:tc>
          <w:tcPr>
            <w:tcW w:w="990" w:type="pct"/>
          </w:tcPr>
          <w:p w14:paraId="3D7BB536" w14:textId="77777777"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Germination% Mean±SE</w:t>
            </w:r>
          </w:p>
        </w:tc>
        <w:tc>
          <w:tcPr>
            <w:tcW w:w="855" w:type="pct"/>
          </w:tcPr>
          <w:p w14:paraId="4DE3A139" w14:textId="77777777"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 xml:space="preserve">3 months after -20 </w:t>
            </w:r>
            <w:r w:rsidRPr="00037244">
              <w:rPr>
                <w:rFonts w:ascii="Times New Roman" w:eastAsia="Times New Roman" w:hAnsi="Times New Roman" w:cs="Times New Roman"/>
                <w:sz w:val="24"/>
                <w:szCs w:val="24"/>
                <w:vertAlign w:val="superscript"/>
                <w:lang w:eastAsia="en-IN"/>
              </w:rPr>
              <w:t>O</w:t>
            </w:r>
            <w:r w:rsidRPr="00037244">
              <w:rPr>
                <w:rFonts w:ascii="Times New Roman" w:eastAsia="Times New Roman" w:hAnsi="Times New Roman" w:cs="Times New Roman"/>
                <w:sz w:val="24"/>
                <w:szCs w:val="24"/>
                <w:lang w:eastAsia="en-IN"/>
              </w:rPr>
              <w:t>C storage germination % Mean±SE</w:t>
            </w:r>
          </w:p>
        </w:tc>
        <w:tc>
          <w:tcPr>
            <w:tcW w:w="742" w:type="pct"/>
          </w:tcPr>
          <w:p w14:paraId="30ACE1EC" w14:textId="77777777"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Seed Storage Categories</w:t>
            </w:r>
          </w:p>
        </w:tc>
      </w:tr>
      <w:tr w:rsidR="00037244" w:rsidRPr="00037244" w14:paraId="515BD747" w14:textId="77777777" w:rsidTr="00E638D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722" w:type="pct"/>
          </w:tcPr>
          <w:p w14:paraId="5AEA113F" w14:textId="77777777" w:rsidR="00B20FC9" w:rsidRPr="00037244" w:rsidRDefault="00B20FC9" w:rsidP="00C73225">
            <w:pPr>
              <w:jc w:val="center"/>
              <w:rPr>
                <w:rFonts w:ascii="Times New Roman" w:hAnsi="Times New Roman" w:cs="Times New Roman"/>
                <w:sz w:val="24"/>
                <w:szCs w:val="24"/>
              </w:rPr>
            </w:pPr>
            <w:r w:rsidRPr="00037244">
              <w:rPr>
                <w:rFonts w:ascii="Times New Roman" w:hAnsi="Times New Roman" w:cs="Times New Roman"/>
                <w:sz w:val="24"/>
                <w:szCs w:val="24"/>
              </w:rPr>
              <w:t>9.60</w:t>
            </w:r>
          </w:p>
        </w:tc>
        <w:tc>
          <w:tcPr>
            <w:tcW w:w="955" w:type="pct"/>
          </w:tcPr>
          <w:p w14:paraId="60A4947F"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lang w:eastAsia="en-IN"/>
              </w:rPr>
              <w:t>89.26±3.57</w:t>
            </w:r>
          </w:p>
        </w:tc>
        <w:tc>
          <w:tcPr>
            <w:tcW w:w="736" w:type="pct"/>
          </w:tcPr>
          <w:p w14:paraId="24E1BA95"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44">
              <w:rPr>
                <w:rFonts w:ascii="Times New Roman" w:hAnsi="Times New Roman" w:cs="Times New Roman"/>
                <w:sz w:val="24"/>
                <w:szCs w:val="24"/>
              </w:rPr>
              <w:t>5.36</w:t>
            </w:r>
          </w:p>
        </w:tc>
        <w:tc>
          <w:tcPr>
            <w:tcW w:w="990" w:type="pct"/>
          </w:tcPr>
          <w:p w14:paraId="02BFB5EE"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lang w:eastAsia="en-IN"/>
              </w:rPr>
              <w:t>90.83±3.63</w:t>
            </w:r>
          </w:p>
        </w:tc>
        <w:tc>
          <w:tcPr>
            <w:tcW w:w="855" w:type="pct"/>
          </w:tcPr>
          <w:p w14:paraId="0FB33019"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lang w:eastAsia="en-IN"/>
              </w:rPr>
              <w:t>95.38±3.82</w:t>
            </w:r>
          </w:p>
        </w:tc>
        <w:tc>
          <w:tcPr>
            <w:tcW w:w="742" w:type="pct"/>
          </w:tcPr>
          <w:p w14:paraId="6848F13E"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Orthodox</w:t>
            </w:r>
          </w:p>
        </w:tc>
      </w:tr>
    </w:tbl>
    <w:p w14:paraId="27ED0FC1" w14:textId="77777777" w:rsidR="00E638D3" w:rsidRPr="00037244" w:rsidRDefault="002D53CC" w:rsidP="002D53C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lang w:eastAsia="en-IN"/>
        </w:rPr>
        <w:t>Discussion</w:t>
      </w:r>
    </w:p>
    <w:p w14:paraId="48DC98F9" w14:textId="77777777" w:rsidR="00404F55" w:rsidRPr="00404F55" w:rsidRDefault="00404F55" w:rsidP="00404F55">
      <w:pPr>
        <w:spacing w:before="100" w:beforeAutospacing="1" w:after="100" w:afterAutospacing="1"/>
        <w:jc w:val="both"/>
        <w:rPr>
          <w:rFonts w:ascii="Times New Roman" w:eastAsia="Times New Roman" w:hAnsi="Times New Roman" w:cs="Times New Roman"/>
          <w:sz w:val="24"/>
          <w:szCs w:val="24"/>
          <w:lang w:eastAsia="en-IN"/>
        </w:rPr>
      </w:pPr>
      <w:r w:rsidRPr="00404F55">
        <w:rPr>
          <w:rFonts w:ascii="Times New Roman" w:eastAsia="Times New Roman" w:hAnsi="Times New Roman" w:cs="Times New Roman"/>
          <w:sz w:val="24"/>
          <w:szCs w:val="24"/>
          <w:lang w:eastAsia="en-IN"/>
        </w:rPr>
        <w:t xml:space="preserve">The viability assessment of </w:t>
      </w:r>
      <w:proofErr w:type="spellStart"/>
      <w:r w:rsidRPr="00404F55">
        <w:rPr>
          <w:rFonts w:ascii="Times New Roman" w:eastAsia="Times New Roman" w:hAnsi="Times New Roman" w:cs="Times New Roman"/>
          <w:i/>
          <w:iCs/>
          <w:sz w:val="24"/>
          <w:szCs w:val="24"/>
          <w:lang w:eastAsia="en-IN"/>
        </w:rPr>
        <w:t>Gymnema</w:t>
      </w:r>
      <w:proofErr w:type="spellEnd"/>
      <w:r w:rsidRPr="00404F55">
        <w:rPr>
          <w:rFonts w:ascii="Times New Roman" w:eastAsia="Times New Roman" w:hAnsi="Times New Roman" w:cs="Times New Roman"/>
          <w:i/>
          <w:iCs/>
          <w:sz w:val="24"/>
          <w:szCs w:val="24"/>
          <w:lang w:eastAsia="en-IN"/>
        </w:rPr>
        <w:t xml:space="preserve">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xml:space="preserve"> seeds using tetrazolium (TZ) staining proved to be a reliable and effective method for rapidly identifying viable seeds. The differential response across concentrations and durations revealed that a 0.5% TZ solution provided optimal staining, consistently resulting in 100% viability across all exposure durations, with clear visualization of living tissues in both the embryonal axis and cotyledons. The 0.25% concentration followed closely with a mean viability of 99.13%, while 1% TZ, although slightly less effective overall (91.88%), achieved full staining at extended durations (12–24 hours). These results demonstrate that the tetrazolium test is sensitive and accurate for </w:t>
      </w:r>
      <w:r w:rsidRPr="00404F55">
        <w:rPr>
          <w:rFonts w:ascii="Times New Roman" w:eastAsia="Times New Roman" w:hAnsi="Times New Roman" w:cs="Times New Roman"/>
          <w:i/>
          <w:iCs/>
          <w:sz w:val="24"/>
          <w:szCs w:val="24"/>
          <w:lang w:eastAsia="en-IN"/>
        </w:rPr>
        <w:t xml:space="preserve">G.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in agreement with similar viability studies conducted on other medicinal and forest species. ANOVA results confirmed that TZ concentration, staining duration, and their interaction were all statistically significant factors influencing viability (F = 24.80, 21.20, and 16.49 respectively; p &lt; 0.001), reinforcing the need to optimize staining parameters for accurate viability estimation.</w:t>
      </w:r>
    </w:p>
    <w:p w14:paraId="51E56D4F" w14:textId="77777777" w:rsidR="00404F55" w:rsidRPr="00404F55" w:rsidRDefault="00404F55" w:rsidP="00404F55">
      <w:pPr>
        <w:spacing w:before="100" w:beforeAutospacing="1" w:after="100" w:afterAutospacing="1"/>
        <w:jc w:val="both"/>
        <w:rPr>
          <w:rFonts w:ascii="Times New Roman" w:eastAsia="Times New Roman" w:hAnsi="Times New Roman" w:cs="Times New Roman"/>
          <w:sz w:val="24"/>
          <w:szCs w:val="24"/>
          <w:lang w:eastAsia="en-IN"/>
        </w:rPr>
      </w:pPr>
      <w:r w:rsidRPr="00404F55">
        <w:rPr>
          <w:rFonts w:ascii="Times New Roman" w:eastAsia="Times New Roman" w:hAnsi="Times New Roman" w:cs="Times New Roman"/>
          <w:sz w:val="24"/>
          <w:szCs w:val="24"/>
          <w:lang w:eastAsia="en-IN"/>
        </w:rPr>
        <w:t xml:space="preserve">The water imbibition </w:t>
      </w:r>
      <w:proofErr w:type="spellStart"/>
      <w:r w:rsidRPr="00404F55">
        <w:rPr>
          <w:rFonts w:ascii="Times New Roman" w:eastAsia="Times New Roman" w:hAnsi="Times New Roman" w:cs="Times New Roman"/>
          <w:sz w:val="24"/>
          <w:szCs w:val="24"/>
          <w:lang w:eastAsia="en-IN"/>
        </w:rPr>
        <w:t>behavior</w:t>
      </w:r>
      <w:proofErr w:type="spellEnd"/>
      <w:r w:rsidRPr="00404F55">
        <w:rPr>
          <w:rFonts w:ascii="Times New Roman" w:eastAsia="Times New Roman" w:hAnsi="Times New Roman" w:cs="Times New Roman"/>
          <w:sz w:val="24"/>
          <w:szCs w:val="24"/>
          <w:lang w:eastAsia="en-IN"/>
        </w:rPr>
        <w:t xml:space="preserve"> of </w:t>
      </w:r>
      <w:r w:rsidRPr="00404F55">
        <w:rPr>
          <w:rFonts w:ascii="Times New Roman" w:eastAsia="Times New Roman" w:hAnsi="Times New Roman" w:cs="Times New Roman"/>
          <w:i/>
          <w:iCs/>
          <w:sz w:val="24"/>
          <w:szCs w:val="24"/>
          <w:lang w:eastAsia="en-IN"/>
        </w:rPr>
        <w:t xml:space="preserve">G.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xml:space="preserve"> seeds followed the classic triphasic curve typical of orthodox seeds. The first phase (Phase I), characterized by a slow but steady water uptake, reached 35.16% by 4 hours. This was followed by a rapid hydration phase (Phase II), peaking at 110.71% between 6 to 12 hours—indicative of the reactivation of metabolic processes required for germination. The third phase (Phase III), between 12 and 36 hours, </w:t>
      </w:r>
      <w:r w:rsidRPr="00404F55">
        <w:rPr>
          <w:rFonts w:ascii="Times New Roman" w:eastAsia="Times New Roman" w:hAnsi="Times New Roman" w:cs="Times New Roman"/>
          <w:sz w:val="24"/>
          <w:szCs w:val="24"/>
          <w:lang w:eastAsia="en-IN"/>
        </w:rPr>
        <w:lastRenderedPageBreak/>
        <w:t xml:space="preserve">showed a plateau (158.79% at 30 hours), suggesting that the seeds had achieved full hydration and readiness for radicle protrusion. These findings align closely with those of </w:t>
      </w:r>
      <w:proofErr w:type="spellStart"/>
      <w:r w:rsidRPr="00404F55">
        <w:rPr>
          <w:rFonts w:ascii="Times New Roman" w:eastAsia="Times New Roman" w:hAnsi="Times New Roman" w:cs="Times New Roman"/>
          <w:sz w:val="24"/>
          <w:szCs w:val="24"/>
          <w:lang w:eastAsia="en-IN"/>
        </w:rPr>
        <w:t>Arunakumara</w:t>
      </w:r>
      <w:proofErr w:type="spellEnd"/>
      <w:r w:rsidRPr="00404F55">
        <w:rPr>
          <w:rFonts w:ascii="Times New Roman" w:eastAsia="Times New Roman" w:hAnsi="Times New Roman" w:cs="Times New Roman"/>
          <w:sz w:val="24"/>
          <w:szCs w:val="24"/>
          <w:lang w:eastAsia="en-IN"/>
        </w:rPr>
        <w:t xml:space="preserve"> and Subasinghe (2015), who observed that cold water soaking significantly enhanced seed germination in </w:t>
      </w:r>
      <w:r w:rsidRPr="00404F55">
        <w:rPr>
          <w:rFonts w:ascii="Times New Roman" w:eastAsia="Times New Roman" w:hAnsi="Times New Roman" w:cs="Times New Roman"/>
          <w:i/>
          <w:iCs/>
          <w:sz w:val="24"/>
          <w:szCs w:val="24"/>
          <w:lang w:eastAsia="en-IN"/>
        </w:rPr>
        <w:t xml:space="preserve">G.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xml:space="preserve"> by facilitating effective moisture absorption and dormancy release. Their work reported an increase in germination rate from 28.5% to 42.5% after 24-hour cold water treatment, emphasizing the role of imbibition in enhancing propagation success.</w:t>
      </w:r>
    </w:p>
    <w:p w14:paraId="699F5C45" w14:textId="77777777" w:rsidR="00404F55" w:rsidRPr="00404F55" w:rsidRDefault="00404F55" w:rsidP="00404F55">
      <w:pPr>
        <w:spacing w:before="100" w:beforeAutospacing="1" w:after="100" w:afterAutospacing="1"/>
        <w:jc w:val="both"/>
        <w:rPr>
          <w:rFonts w:ascii="Times New Roman" w:eastAsia="Times New Roman" w:hAnsi="Times New Roman" w:cs="Times New Roman"/>
          <w:sz w:val="24"/>
          <w:szCs w:val="24"/>
          <w:lang w:eastAsia="en-IN"/>
        </w:rPr>
      </w:pPr>
      <w:r w:rsidRPr="00404F55">
        <w:rPr>
          <w:rFonts w:ascii="Times New Roman" w:eastAsia="Times New Roman" w:hAnsi="Times New Roman" w:cs="Times New Roman"/>
          <w:sz w:val="24"/>
          <w:szCs w:val="24"/>
          <w:lang w:eastAsia="en-IN"/>
        </w:rPr>
        <w:t xml:space="preserve">Germination trials in the present study demonstrated that untreated seeds of </w:t>
      </w:r>
      <w:r w:rsidRPr="00404F55">
        <w:rPr>
          <w:rFonts w:ascii="Times New Roman" w:eastAsia="Times New Roman" w:hAnsi="Times New Roman" w:cs="Times New Roman"/>
          <w:i/>
          <w:iCs/>
          <w:sz w:val="24"/>
          <w:szCs w:val="24"/>
          <w:lang w:eastAsia="en-IN"/>
        </w:rPr>
        <w:t xml:space="preserve">G.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xml:space="preserve"> do not exhibit any significant physical or physiological dormancy. This observation is particularly important as it simplifies propagation protocols for nursery and conservation programs. Similar findings were observed by Vijay et al. (2024, 2025a, 2025b) in species such as </w:t>
      </w:r>
      <w:r w:rsidRPr="00404F55">
        <w:rPr>
          <w:rFonts w:ascii="Times New Roman" w:eastAsia="Times New Roman" w:hAnsi="Times New Roman" w:cs="Times New Roman"/>
          <w:i/>
          <w:iCs/>
          <w:sz w:val="24"/>
          <w:szCs w:val="24"/>
          <w:lang w:eastAsia="en-IN"/>
        </w:rPr>
        <w:t>Flacourtia indica</w:t>
      </w:r>
      <w:r w:rsidRPr="00404F55">
        <w:rPr>
          <w:rFonts w:ascii="Times New Roman" w:eastAsia="Times New Roman" w:hAnsi="Times New Roman" w:cs="Times New Roman"/>
          <w:sz w:val="24"/>
          <w:szCs w:val="24"/>
          <w:lang w:eastAsia="en-IN"/>
        </w:rPr>
        <w:t xml:space="preserve"> and </w:t>
      </w:r>
      <w:r w:rsidRPr="00404F55">
        <w:rPr>
          <w:rFonts w:ascii="Times New Roman" w:eastAsia="Times New Roman" w:hAnsi="Times New Roman" w:cs="Times New Roman"/>
          <w:i/>
          <w:iCs/>
          <w:sz w:val="24"/>
          <w:szCs w:val="24"/>
          <w:lang w:eastAsia="en-IN"/>
        </w:rPr>
        <w:t>Commiphora wightii</w:t>
      </w:r>
      <w:r w:rsidRPr="00404F55">
        <w:rPr>
          <w:rFonts w:ascii="Times New Roman" w:eastAsia="Times New Roman" w:hAnsi="Times New Roman" w:cs="Times New Roman"/>
          <w:sz w:val="24"/>
          <w:szCs w:val="24"/>
          <w:lang w:eastAsia="en-IN"/>
        </w:rPr>
        <w:t xml:space="preserve">, where seed size, maturity stage, and pre-treatment methods played significant roles in germination </w:t>
      </w:r>
      <w:proofErr w:type="spellStart"/>
      <w:r w:rsidRPr="00404F55">
        <w:rPr>
          <w:rFonts w:ascii="Times New Roman" w:eastAsia="Times New Roman" w:hAnsi="Times New Roman" w:cs="Times New Roman"/>
          <w:sz w:val="24"/>
          <w:szCs w:val="24"/>
          <w:lang w:eastAsia="en-IN"/>
        </w:rPr>
        <w:t>behavior</w:t>
      </w:r>
      <w:proofErr w:type="spellEnd"/>
      <w:r w:rsidRPr="00404F55">
        <w:rPr>
          <w:rFonts w:ascii="Times New Roman" w:eastAsia="Times New Roman" w:hAnsi="Times New Roman" w:cs="Times New Roman"/>
          <w:sz w:val="24"/>
          <w:szCs w:val="24"/>
          <w:lang w:eastAsia="en-IN"/>
        </w:rPr>
        <w:t xml:space="preserve"> and propagation success. These insights collectively suggest that for </w:t>
      </w:r>
      <w:r w:rsidRPr="00404F55">
        <w:rPr>
          <w:rFonts w:ascii="Times New Roman" w:eastAsia="Times New Roman" w:hAnsi="Times New Roman" w:cs="Times New Roman"/>
          <w:i/>
          <w:iCs/>
          <w:sz w:val="24"/>
          <w:szCs w:val="24"/>
          <w:lang w:eastAsia="en-IN"/>
        </w:rPr>
        <w:t xml:space="preserve">G.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the straightforward nature of germination under optimal moisture conditions makes it a suitable candidate for both conservation and commercial cultivation.</w:t>
      </w:r>
    </w:p>
    <w:p w14:paraId="21A3A47A" w14:textId="77777777" w:rsidR="00404F55" w:rsidRPr="00404F55" w:rsidRDefault="00404F55" w:rsidP="00404F55">
      <w:pPr>
        <w:spacing w:before="100" w:beforeAutospacing="1" w:after="100" w:afterAutospacing="1"/>
        <w:jc w:val="both"/>
        <w:rPr>
          <w:rFonts w:ascii="Times New Roman" w:eastAsia="Times New Roman" w:hAnsi="Times New Roman" w:cs="Times New Roman"/>
          <w:sz w:val="24"/>
          <w:szCs w:val="24"/>
          <w:lang w:eastAsia="en-IN"/>
        </w:rPr>
      </w:pPr>
      <w:r w:rsidRPr="00404F55">
        <w:rPr>
          <w:rFonts w:ascii="Times New Roman" w:eastAsia="Times New Roman" w:hAnsi="Times New Roman" w:cs="Times New Roman"/>
          <w:sz w:val="24"/>
          <w:szCs w:val="24"/>
          <w:lang w:eastAsia="en-IN"/>
        </w:rPr>
        <w:t xml:space="preserve">The desiccation tolerance and storage </w:t>
      </w:r>
      <w:proofErr w:type="spellStart"/>
      <w:r w:rsidRPr="00404F55">
        <w:rPr>
          <w:rFonts w:ascii="Times New Roman" w:eastAsia="Times New Roman" w:hAnsi="Times New Roman" w:cs="Times New Roman"/>
          <w:sz w:val="24"/>
          <w:szCs w:val="24"/>
          <w:lang w:eastAsia="en-IN"/>
        </w:rPr>
        <w:t>behavior</w:t>
      </w:r>
      <w:proofErr w:type="spellEnd"/>
      <w:r w:rsidRPr="00404F55">
        <w:rPr>
          <w:rFonts w:ascii="Times New Roman" w:eastAsia="Times New Roman" w:hAnsi="Times New Roman" w:cs="Times New Roman"/>
          <w:sz w:val="24"/>
          <w:szCs w:val="24"/>
          <w:lang w:eastAsia="en-IN"/>
        </w:rPr>
        <w:t xml:space="preserve"> further affirmed the orthodox nature of </w:t>
      </w:r>
      <w:r w:rsidRPr="00404F55">
        <w:rPr>
          <w:rFonts w:ascii="Times New Roman" w:eastAsia="Times New Roman" w:hAnsi="Times New Roman" w:cs="Times New Roman"/>
          <w:i/>
          <w:iCs/>
          <w:sz w:val="24"/>
          <w:szCs w:val="24"/>
          <w:lang w:eastAsia="en-IN"/>
        </w:rPr>
        <w:t xml:space="preserve">G.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xml:space="preserve"> seeds. Post-harvest drying marginally improved germination from 89.26% to 90.83%, while cold storage at –20 °C for three months led to a significant increase in germination (95.38%), demonstrating excellent storability and physiological stability under dry and low-temperature conditions. These results reflect possible alleviation of latent dormancy and preservation of metabolic integrity, which is crucial for long-term ex situ conservation and seed banking. This agrees with the findings of </w:t>
      </w:r>
      <w:proofErr w:type="spellStart"/>
      <w:r w:rsidRPr="00404F55">
        <w:rPr>
          <w:rFonts w:ascii="Times New Roman" w:eastAsia="Times New Roman" w:hAnsi="Times New Roman" w:cs="Times New Roman"/>
          <w:sz w:val="24"/>
          <w:szCs w:val="24"/>
          <w:lang w:eastAsia="en-IN"/>
        </w:rPr>
        <w:t>Chinapolaiah</w:t>
      </w:r>
      <w:proofErr w:type="spellEnd"/>
      <w:r w:rsidRPr="00404F55">
        <w:rPr>
          <w:rFonts w:ascii="Times New Roman" w:eastAsia="Times New Roman" w:hAnsi="Times New Roman" w:cs="Times New Roman"/>
          <w:sz w:val="24"/>
          <w:szCs w:val="24"/>
          <w:lang w:eastAsia="en-IN"/>
        </w:rPr>
        <w:t xml:space="preserve"> et al. (2019), who emphasized that moisture content critically determines seed viability during conservation. They reported substantial variation in germplasm quality across regions and recommended rigorous selection and storage protocols to maintain viability during long-term storage.</w:t>
      </w:r>
    </w:p>
    <w:p w14:paraId="1DE994E5" w14:textId="77777777" w:rsidR="00404F55" w:rsidRPr="00404F55" w:rsidRDefault="00404F55" w:rsidP="00404F55">
      <w:pPr>
        <w:spacing w:before="100" w:beforeAutospacing="1" w:after="100" w:afterAutospacing="1"/>
        <w:jc w:val="both"/>
        <w:rPr>
          <w:rFonts w:ascii="Times New Roman" w:eastAsia="Times New Roman" w:hAnsi="Times New Roman" w:cs="Times New Roman"/>
          <w:sz w:val="24"/>
          <w:szCs w:val="24"/>
          <w:lang w:eastAsia="en-IN"/>
        </w:rPr>
      </w:pPr>
      <w:r w:rsidRPr="00404F55">
        <w:rPr>
          <w:rFonts w:ascii="Times New Roman" w:eastAsia="Times New Roman" w:hAnsi="Times New Roman" w:cs="Times New Roman"/>
          <w:sz w:val="24"/>
          <w:szCs w:val="24"/>
          <w:lang w:eastAsia="en-IN"/>
        </w:rPr>
        <w:t>Despite the relatively good seed viability and storability observed in experimental settings, field propagation using seeds remains inconsistent. This is supported by the Tamil Nadu Agricultural University (TNAU, 2022), which highlights low natural germination and recommends vegetative propagation methods as more reliable alternatives for farmers and conservationists. Their guidelines recommend propagation through hardwood cuttings, treated with rooting hormones such as IBA (500 ppm), particularly during favorable months (March or July), which resulted in up to 52.5% rooting success. Pandey (2012) also endorsed this dual approach—combining seed propagation with vegetative methods—to maximize success in large-scale cultivation programs. He further noted that optimal field establishment was achieved at 50 × 50 cm spacing using 4000 kg FYM/ha, producing up to 1.5 tonnes/ha of dry leaves over a two-year cycle with biannual harvests in June and October.</w:t>
      </w:r>
    </w:p>
    <w:p w14:paraId="2501CDFD" w14:textId="77777777" w:rsidR="00404F55" w:rsidRPr="00404F55" w:rsidRDefault="00404F55" w:rsidP="00404F55">
      <w:pPr>
        <w:spacing w:before="100" w:beforeAutospacing="1" w:after="100" w:afterAutospacing="1"/>
        <w:jc w:val="both"/>
        <w:rPr>
          <w:rFonts w:ascii="Times New Roman" w:eastAsia="Times New Roman" w:hAnsi="Times New Roman" w:cs="Times New Roman"/>
          <w:sz w:val="24"/>
          <w:szCs w:val="24"/>
          <w:lang w:eastAsia="en-IN"/>
        </w:rPr>
      </w:pPr>
      <w:r w:rsidRPr="00404F55">
        <w:rPr>
          <w:rFonts w:ascii="Times New Roman" w:eastAsia="Times New Roman" w:hAnsi="Times New Roman" w:cs="Times New Roman"/>
          <w:sz w:val="24"/>
          <w:szCs w:val="24"/>
          <w:lang w:eastAsia="en-IN"/>
        </w:rPr>
        <w:t xml:space="preserve">In addition to traditional methods, in vitro propagation using synthetic seed technology has gained attention as a sustainable alternative for </w:t>
      </w:r>
      <w:r w:rsidRPr="00404F55">
        <w:rPr>
          <w:rFonts w:ascii="Times New Roman" w:eastAsia="Times New Roman" w:hAnsi="Times New Roman" w:cs="Times New Roman"/>
          <w:i/>
          <w:iCs/>
          <w:sz w:val="24"/>
          <w:szCs w:val="24"/>
          <w:lang w:eastAsia="en-IN"/>
        </w:rPr>
        <w:t xml:space="preserve">G.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xml:space="preserve"> conservation. Murthy et al. </w:t>
      </w:r>
      <w:r w:rsidRPr="00404F55">
        <w:rPr>
          <w:rFonts w:ascii="Times New Roman" w:eastAsia="Times New Roman" w:hAnsi="Times New Roman" w:cs="Times New Roman"/>
          <w:sz w:val="24"/>
          <w:szCs w:val="24"/>
          <w:lang w:eastAsia="en-IN"/>
        </w:rPr>
        <w:lastRenderedPageBreak/>
        <w:t>(2018) successfully developed synthetic seeds by encapsulating nodal segments in alginate beads and storing them under controlled conditions, achieving high regeneration frequency and genetic stability as confirmed by ISSR markers. This approach not only circumvents issues related to seed desiccation and viability loss but also enables year-round propagation with minimal genetic variation, thereby supporting long-term germplasm preservation strategies.</w:t>
      </w:r>
    </w:p>
    <w:p w14:paraId="5148309C" w14:textId="6D4DBC76" w:rsidR="00404F55" w:rsidRPr="00404F55" w:rsidRDefault="00404F55" w:rsidP="00404F55">
      <w:pPr>
        <w:spacing w:before="100" w:beforeAutospacing="1" w:after="100" w:afterAutospacing="1"/>
        <w:jc w:val="both"/>
        <w:rPr>
          <w:rFonts w:ascii="Times New Roman" w:eastAsia="Times New Roman" w:hAnsi="Times New Roman" w:cs="Times New Roman"/>
          <w:sz w:val="24"/>
          <w:szCs w:val="24"/>
          <w:lang w:eastAsia="en-IN"/>
        </w:rPr>
      </w:pPr>
      <w:r w:rsidRPr="00404F55">
        <w:rPr>
          <w:rFonts w:ascii="Times New Roman" w:eastAsia="Times New Roman" w:hAnsi="Times New Roman" w:cs="Times New Roman"/>
          <w:sz w:val="24"/>
          <w:szCs w:val="24"/>
          <w:lang w:eastAsia="en-IN"/>
        </w:rPr>
        <w:t xml:space="preserve">In conclusion, the results of this study collectively suggest that </w:t>
      </w:r>
      <w:proofErr w:type="spellStart"/>
      <w:r w:rsidRPr="00404F55">
        <w:rPr>
          <w:rFonts w:ascii="Times New Roman" w:eastAsia="Times New Roman" w:hAnsi="Times New Roman" w:cs="Times New Roman"/>
          <w:i/>
          <w:iCs/>
          <w:sz w:val="24"/>
          <w:szCs w:val="24"/>
          <w:lang w:eastAsia="en-IN"/>
        </w:rPr>
        <w:t>Gymnema</w:t>
      </w:r>
      <w:proofErr w:type="spellEnd"/>
      <w:r w:rsidRPr="00404F55">
        <w:rPr>
          <w:rFonts w:ascii="Times New Roman" w:eastAsia="Times New Roman" w:hAnsi="Times New Roman" w:cs="Times New Roman"/>
          <w:i/>
          <w:iCs/>
          <w:sz w:val="24"/>
          <w:szCs w:val="24"/>
          <w:lang w:eastAsia="en-IN"/>
        </w:rPr>
        <w:t xml:space="preserve"> </w:t>
      </w:r>
      <w:proofErr w:type="spellStart"/>
      <w:r w:rsidRPr="00404F55">
        <w:rPr>
          <w:rFonts w:ascii="Times New Roman" w:eastAsia="Times New Roman" w:hAnsi="Times New Roman" w:cs="Times New Roman"/>
          <w:i/>
          <w:iCs/>
          <w:sz w:val="24"/>
          <w:szCs w:val="24"/>
          <w:lang w:eastAsia="en-IN"/>
        </w:rPr>
        <w:t>sylvestre</w:t>
      </w:r>
      <w:proofErr w:type="spellEnd"/>
      <w:r w:rsidRPr="00404F55">
        <w:rPr>
          <w:rFonts w:ascii="Times New Roman" w:eastAsia="Times New Roman" w:hAnsi="Times New Roman" w:cs="Times New Roman"/>
          <w:sz w:val="24"/>
          <w:szCs w:val="24"/>
          <w:lang w:eastAsia="en-IN"/>
        </w:rPr>
        <w:t xml:space="preserve"> seeds possess high innate viability, a typical orthodox seed imbibition pattern, no dormancy constraints, and excellent desiccation and cold storage tolerance. These attributes make them ideal for both propagation and seed banking. However, environmental variability and seed quality differences necessitate careful pre-sowing management. While seed-based propagation is feasible, integrating vegetative and biotechnological methods can enhance large-scale cultivation and conservation outcomes. These findings complement and reinforce earlier research </w:t>
      </w:r>
      <w:r>
        <w:rPr>
          <w:rFonts w:ascii="Times New Roman" w:eastAsia="Times New Roman" w:hAnsi="Times New Roman" w:cs="Times New Roman"/>
          <w:sz w:val="24"/>
          <w:szCs w:val="24"/>
          <w:lang w:eastAsia="en-IN"/>
        </w:rPr>
        <w:t>(</w:t>
      </w:r>
      <w:r w:rsidRPr="00404F55">
        <w:rPr>
          <w:rFonts w:ascii="Times New Roman" w:eastAsia="Times New Roman" w:hAnsi="Times New Roman" w:cs="Times New Roman"/>
          <w:sz w:val="24"/>
          <w:szCs w:val="24"/>
          <w:lang w:eastAsia="en-IN"/>
        </w:rPr>
        <w:t xml:space="preserve">Pandey, 2012; </w:t>
      </w:r>
      <w:proofErr w:type="spellStart"/>
      <w:r w:rsidRPr="00404F55">
        <w:rPr>
          <w:rFonts w:ascii="Times New Roman" w:eastAsia="Times New Roman" w:hAnsi="Times New Roman" w:cs="Times New Roman"/>
          <w:sz w:val="24"/>
          <w:szCs w:val="24"/>
          <w:lang w:eastAsia="en-IN"/>
        </w:rPr>
        <w:t>Chinapolaiah</w:t>
      </w:r>
      <w:proofErr w:type="spellEnd"/>
      <w:r w:rsidRPr="00404F55">
        <w:rPr>
          <w:rFonts w:ascii="Times New Roman" w:eastAsia="Times New Roman" w:hAnsi="Times New Roman" w:cs="Times New Roman"/>
          <w:sz w:val="24"/>
          <w:szCs w:val="24"/>
          <w:lang w:eastAsia="en-IN"/>
        </w:rPr>
        <w:t xml:space="preserve"> et al., 2019; TNAU, 2022; Murthy et al., 2018), supporting a multi-pronged approach to the sustainable utilization and ex situ conservation of this valuable medicinal species.</w:t>
      </w:r>
    </w:p>
    <w:p w14:paraId="2637B87C" w14:textId="2F2B4914" w:rsidR="00E638D3" w:rsidRPr="00037244" w:rsidRDefault="0006646C"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lang w:eastAsia="en-IN"/>
        </w:rPr>
        <w:t>Conclusion</w:t>
      </w:r>
    </w:p>
    <w:p w14:paraId="1246EF98" w14:textId="79FBEC4C" w:rsidR="00E638D3" w:rsidRPr="00E17BEE" w:rsidRDefault="00E638D3" w:rsidP="00E17BEE">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This study provides a comprehensive physiological assessment 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seeds, establishing key parameters for their propagation and ex situ conservation. Tetrazolium (TZ) viability testing identified 0.5% TZ concentration as the most effective across all durations, consistently yielding 100% viability. Statistical analyses confirmed significant effects of TZ concentration, staining duration, and their interaction, emphasizing the need for standardized testing protocols. Water imbibition studies revealed a characteristic triphasic hydration curve, confirming the orthodox nature of the seeds and their readiness for germination. Germination trials further demonstrated that seeds are non-dormant and suitable for direct sowing without pre-treatment. Desiccation and cold storage trials validated the seeds’ storability, with germination improving from 89.26% in fresh seeds to 95.38% after storage at –20 °C, confirming their desiccation tolerance and long-term viability. Collectively, these findings affirm that </w:t>
      </w:r>
      <w:r w:rsidRPr="00037244">
        <w:rPr>
          <w:rFonts w:ascii="Times New Roman" w:eastAsia="Times New Roman" w:hAnsi="Times New Roman" w:cs="Times New Roman"/>
          <w:i/>
          <w:iCs/>
          <w:sz w:val="24"/>
          <w:szCs w:val="24"/>
          <w:lang w:eastAsia="en-IN"/>
        </w:rPr>
        <w:t>G. sylvestre</w:t>
      </w:r>
      <w:r w:rsidRPr="00037244">
        <w:rPr>
          <w:rFonts w:ascii="Times New Roman" w:eastAsia="Times New Roman" w:hAnsi="Times New Roman" w:cs="Times New Roman"/>
          <w:sz w:val="24"/>
          <w:szCs w:val="24"/>
          <w:lang w:eastAsia="en-IN"/>
        </w:rPr>
        <w:t xml:space="preserve"> seeds are viable, non-dormant, and amenable to storage—supporting </w:t>
      </w:r>
      <w:r w:rsidRPr="00E17BEE">
        <w:rPr>
          <w:rFonts w:ascii="Times New Roman" w:eastAsia="Times New Roman" w:hAnsi="Times New Roman" w:cs="Times New Roman"/>
          <w:sz w:val="24"/>
          <w:szCs w:val="24"/>
          <w:lang w:eastAsia="en-IN"/>
        </w:rPr>
        <w:t>their use in large-scale cultivation and conservation programs.</w:t>
      </w:r>
    </w:p>
    <w:p w14:paraId="64F14927" w14:textId="77777777" w:rsidR="004677BC" w:rsidRPr="00404F55" w:rsidRDefault="004677BC" w:rsidP="00E17BEE">
      <w:pPr>
        <w:jc w:val="both"/>
        <w:rPr>
          <w:rFonts w:ascii="Times New Roman" w:eastAsia="Calibri" w:hAnsi="Times New Roman" w:cs="Times New Roman"/>
          <w:b/>
          <w:bCs/>
          <w:kern w:val="2"/>
          <w:sz w:val="24"/>
          <w:szCs w:val="24"/>
          <w:lang w:val="en-US"/>
        </w:rPr>
      </w:pPr>
      <w:bookmarkStart w:id="0" w:name="_Hlk197682619"/>
      <w:bookmarkStart w:id="1" w:name="_Hlk180402183"/>
      <w:bookmarkStart w:id="2" w:name="_Hlk183680988"/>
      <w:r w:rsidRPr="00404F55">
        <w:rPr>
          <w:rFonts w:ascii="Times New Roman" w:eastAsia="Calibri" w:hAnsi="Times New Roman" w:cs="Times New Roman"/>
          <w:b/>
          <w:bCs/>
          <w:kern w:val="2"/>
          <w:sz w:val="24"/>
          <w:szCs w:val="24"/>
          <w:lang w:val="en-US"/>
        </w:rPr>
        <w:t>Disclaimer (Artificial intelligence)</w:t>
      </w:r>
    </w:p>
    <w:p w14:paraId="14476622" w14:textId="2913F4EB" w:rsidR="004677BC" w:rsidRPr="00E17BEE" w:rsidRDefault="004677BC" w:rsidP="00E17BEE">
      <w:pPr>
        <w:jc w:val="both"/>
        <w:rPr>
          <w:rFonts w:ascii="Times New Roman" w:eastAsia="Calibri" w:hAnsi="Times New Roman" w:cs="Times New Roman"/>
          <w:kern w:val="2"/>
          <w:sz w:val="24"/>
          <w:szCs w:val="24"/>
          <w:lang w:val="en-US"/>
        </w:rPr>
      </w:pPr>
      <w:r w:rsidRPr="00E17BEE">
        <w:rPr>
          <w:rFonts w:ascii="Times New Roman" w:eastAsia="Calibri" w:hAnsi="Times New Roman" w:cs="Times New Roman"/>
          <w:kern w:val="2"/>
          <w:sz w:val="24"/>
          <w:szCs w:val="24"/>
          <w:lang w:val="en-US"/>
        </w:rPr>
        <w:t xml:space="preserve">Author(s) hereby </w:t>
      </w:r>
      <w:r w:rsidR="00404F55" w:rsidRPr="00E17BEE">
        <w:rPr>
          <w:rFonts w:ascii="Times New Roman" w:eastAsia="Calibri" w:hAnsi="Times New Roman" w:cs="Times New Roman"/>
          <w:kern w:val="2"/>
          <w:sz w:val="24"/>
          <w:szCs w:val="24"/>
          <w:lang w:val="en-US"/>
        </w:rPr>
        <w:t>declares</w:t>
      </w:r>
      <w:r w:rsidRPr="00E17BEE">
        <w:rPr>
          <w:rFonts w:ascii="Times New Roman" w:eastAsia="Calibri" w:hAnsi="Times New Roman" w:cs="Times New Roman"/>
          <w:kern w:val="2"/>
          <w:sz w:val="24"/>
          <w:szCs w:val="24"/>
          <w:lang w:val="en-US"/>
        </w:rPr>
        <w:t xml:space="preserve"> that NO generative AI technologies such as Large Language Models (ChatGPT, COPILOT, etc.) and text-to-image generators have been used during the writing or editing of this manuscript. </w:t>
      </w:r>
    </w:p>
    <w:bookmarkEnd w:id="0"/>
    <w:bookmarkEnd w:id="1"/>
    <w:bookmarkEnd w:id="2"/>
    <w:p w14:paraId="6B2F1812" w14:textId="77777777" w:rsidR="00E638D3" w:rsidRPr="00037244" w:rsidRDefault="00E638D3" w:rsidP="00E638D3">
      <w:pPr>
        <w:spacing w:line="240" w:lineRule="auto"/>
        <w:jc w:val="both"/>
        <w:rPr>
          <w:rFonts w:ascii="Times New Roman" w:hAnsi="Times New Roman" w:cs="Times New Roman"/>
          <w:b/>
          <w:bCs/>
          <w:sz w:val="24"/>
          <w:szCs w:val="24"/>
        </w:rPr>
      </w:pPr>
      <w:r w:rsidRPr="00037244">
        <w:rPr>
          <w:rFonts w:ascii="Times New Roman" w:hAnsi="Times New Roman" w:cs="Times New Roman"/>
          <w:b/>
          <w:bCs/>
          <w:sz w:val="24"/>
          <w:szCs w:val="24"/>
        </w:rPr>
        <w:t>References</w:t>
      </w:r>
    </w:p>
    <w:p w14:paraId="5E020C62"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Abdul-Baki, A. A., &amp; Anderson, J. D. (1973). Vigor determination in soybean seed by multiple criteria. </w:t>
      </w:r>
      <w:r w:rsidRPr="00CF3B2A">
        <w:rPr>
          <w:rFonts w:ascii="Times New Roman" w:hAnsi="Times New Roman" w:cs="Times New Roman"/>
          <w:i/>
          <w:iCs/>
          <w:sz w:val="24"/>
          <w:szCs w:val="24"/>
          <w:lang w:val="en-IN"/>
        </w:rPr>
        <w:t>Crop Science, 13</w:t>
      </w:r>
      <w:r w:rsidRPr="00CF3B2A">
        <w:rPr>
          <w:rFonts w:ascii="Times New Roman" w:hAnsi="Times New Roman" w:cs="Times New Roman"/>
          <w:sz w:val="24"/>
          <w:szCs w:val="24"/>
          <w:lang w:val="en-IN"/>
        </w:rPr>
        <w:t xml:space="preserve">(6), 630–633. </w:t>
      </w:r>
      <w:hyperlink r:id="rId17" w:tgtFrame="_new" w:history="1">
        <w:r w:rsidRPr="00CF3B2A">
          <w:rPr>
            <w:rStyle w:val="Hyperlink"/>
            <w:rFonts w:ascii="Times New Roman" w:hAnsi="Times New Roman" w:cs="Times New Roman"/>
            <w:sz w:val="24"/>
            <w:szCs w:val="24"/>
            <w:lang w:val="en-IN"/>
          </w:rPr>
          <w:t>https://doi.org/10.2135/cropsci1973.0011183X001300060013x</w:t>
        </w:r>
      </w:hyperlink>
    </w:p>
    <w:p w14:paraId="0FA1F39B"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lastRenderedPageBreak/>
        <w:t xml:space="preserve">Anonymous. (2003). </w:t>
      </w:r>
      <w:r w:rsidRPr="00CF3B2A">
        <w:rPr>
          <w:rFonts w:ascii="Times New Roman" w:hAnsi="Times New Roman" w:cs="Times New Roman"/>
          <w:i/>
          <w:iCs/>
          <w:sz w:val="24"/>
          <w:szCs w:val="24"/>
          <w:lang w:val="en-IN"/>
        </w:rPr>
        <w:t>The Ayurvedic Formulary of India</w:t>
      </w:r>
      <w:r w:rsidRPr="00CF3B2A">
        <w:rPr>
          <w:rFonts w:ascii="Times New Roman" w:hAnsi="Times New Roman" w:cs="Times New Roman"/>
          <w:sz w:val="24"/>
          <w:szCs w:val="24"/>
          <w:lang w:val="en-IN"/>
        </w:rPr>
        <w:t xml:space="preserve"> (Part I, 2nd ed., pp. 1–110). Government of India, Ministry of Health and Family Welfare, Department of Indian Systems of Medicine &amp; Homeopathy.</w:t>
      </w:r>
    </w:p>
    <w:p w14:paraId="530B3947" w14:textId="11E4B0CC" w:rsidR="00CF3B2A" w:rsidRPr="003B0572" w:rsidRDefault="00CF3B2A" w:rsidP="003B0572">
      <w:pPr>
        <w:pStyle w:val="ListParagraph"/>
        <w:numPr>
          <w:ilvl w:val="0"/>
          <w:numId w:val="13"/>
        </w:numPr>
        <w:jc w:val="both"/>
        <w:rPr>
          <w:rFonts w:ascii="Times New Roman" w:hAnsi="Times New Roman" w:cs="Times New Roman"/>
          <w:sz w:val="24"/>
          <w:szCs w:val="24"/>
        </w:rPr>
      </w:pPr>
      <w:r w:rsidRPr="00CF3B2A">
        <w:rPr>
          <w:rFonts w:ascii="Times New Roman" w:hAnsi="Times New Roman" w:cs="Times New Roman"/>
          <w:sz w:val="24"/>
          <w:szCs w:val="24"/>
          <w:lang w:val="de-DE"/>
        </w:rPr>
        <w:t xml:space="preserve">Kanetkar, P., Singhal, R., &amp; Kamat, M. (2007).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A memoir. </w:t>
      </w:r>
      <w:r w:rsidRPr="00CF3B2A">
        <w:rPr>
          <w:rFonts w:ascii="Times New Roman" w:hAnsi="Times New Roman" w:cs="Times New Roman"/>
          <w:i/>
          <w:iCs/>
          <w:sz w:val="24"/>
          <w:szCs w:val="24"/>
          <w:lang w:val="en-IN"/>
        </w:rPr>
        <w:t>Journal of Clinical Biochemistry and Nutrition, 41</w:t>
      </w:r>
      <w:r w:rsidRPr="00CF3B2A">
        <w:rPr>
          <w:rFonts w:ascii="Times New Roman" w:hAnsi="Times New Roman" w:cs="Times New Roman"/>
          <w:sz w:val="24"/>
          <w:szCs w:val="24"/>
          <w:lang w:val="en-IN"/>
        </w:rPr>
        <w:t>(2), 77–81.</w:t>
      </w:r>
      <w:r w:rsidR="003B0572" w:rsidRPr="003B0572">
        <w:rPr>
          <w:rFonts w:ascii="Segoe UI" w:eastAsia="Times New Roman" w:hAnsi="Segoe UI" w:cs="Segoe UI"/>
          <w:color w:val="212121"/>
          <w:sz w:val="24"/>
          <w:szCs w:val="24"/>
          <w:lang w:eastAsia="en-IN"/>
        </w:rPr>
        <w:t xml:space="preserve"> </w:t>
      </w:r>
      <w:hyperlink r:id="rId18" w:tgtFrame="_blank" w:history="1">
        <w:r w:rsidR="003B0572" w:rsidRPr="003B0572">
          <w:rPr>
            <w:rStyle w:val="Hyperlink"/>
            <w:rFonts w:ascii="Times New Roman" w:hAnsi="Times New Roman" w:cs="Times New Roman"/>
            <w:sz w:val="24"/>
            <w:szCs w:val="24"/>
          </w:rPr>
          <w:t>10.3164/jcbn.2007010</w:t>
        </w:r>
      </w:hyperlink>
    </w:p>
    <w:p w14:paraId="70A14CEE"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Nadkarni, K. M. (1993). </w:t>
      </w:r>
      <w:r w:rsidRPr="00CF3B2A">
        <w:rPr>
          <w:rFonts w:ascii="Times New Roman" w:hAnsi="Times New Roman" w:cs="Times New Roman"/>
          <w:i/>
          <w:iCs/>
          <w:sz w:val="24"/>
          <w:szCs w:val="24"/>
          <w:lang w:val="en-IN"/>
        </w:rPr>
        <w:t>Indian Materia Medica</w:t>
      </w:r>
      <w:r w:rsidRPr="00CF3B2A">
        <w:rPr>
          <w:rFonts w:ascii="Times New Roman" w:hAnsi="Times New Roman" w:cs="Times New Roman"/>
          <w:sz w:val="24"/>
          <w:szCs w:val="24"/>
          <w:lang w:val="en-IN"/>
        </w:rPr>
        <w:t xml:space="preserve"> (Vol. 1). Popular Prakashan.</w:t>
      </w:r>
    </w:p>
    <w:p w14:paraId="77113521"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Orchard, T. (1977). Estimating the parameters of plant seedling emergence. </w:t>
      </w:r>
      <w:r w:rsidRPr="00CF3B2A">
        <w:rPr>
          <w:rFonts w:ascii="Times New Roman" w:hAnsi="Times New Roman" w:cs="Times New Roman"/>
          <w:i/>
          <w:iCs/>
          <w:sz w:val="24"/>
          <w:szCs w:val="24"/>
          <w:lang w:val="en-IN"/>
        </w:rPr>
        <w:t>Seed Science and Technology, 5</w:t>
      </w:r>
      <w:r w:rsidRPr="00CF3B2A">
        <w:rPr>
          <w:rFonts w:ascii="Times New Roman" w:hAnsi="Times New Roman" w:cs="Times New Roman"/>
          <w:sz w:val="24"/>
          <w:szCs w:val="24"/>
          <w:lang w:val="en-IN"/>
        </w:rPr>
        <w:t>(1), 61–69.</w:t>
      </w:r>
    </w:p>
    <w:p w14:paraId="6A3017C4"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de-DE"/>
        </w:rPr>
        <w:t xml:space="preserve">Paliwal, R., Kathori, S., &amp; Upadhyay, B. (2009). </w:t>
      </w:r>
      <w:r w:rsidRPr="00CF3B2A">
        <w:rPr>
          <w:rFonts w:ascii="Times New Roman" w:hAnsi="Times New Roman" w:cs="Times New Roman"/>
          <w:sz w:val="24"/>
          <w:szCs w:val="24"/>
          <w:lang w:val="en-IN"/>
        </w:rPr>
        <w:t xml:space="preserve">Effect of </w:t>
      </w:r>
      <w:proofErr w:type="spellStart"/>
      <w:r w:rsidRPr="00CF3B2A">
        <w:rPr>
          <w:rFonts w:ascii="Times New Roman" w:hAnsi="Times New Roman" w:cs="Times New Roman"/>
          <w:sz w:val="24"/>
          <w:szCs w:val="24"/>
          <w:lang w:val="en-IN"/>
        </w:rPr>
        <w:t>gurmar</w:t>
      </w:r>
      <w:proofErr w:type="spellEnd"/>
      <w:r w:rsidRPr="00CF3B2A">
        <w:rPr>
          <w:rFonts w:ascii="Times New Roman" w:hAnsi="Times New Roman" w:cs="Times New Roman"/>
          <w:sz w:val="24"/>
          <w:szCs w:val="24"/>
          <w:lang w:val="en-IN"/>
        </w:rPr>
        <w:t xml:space="preserve">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powder intervention on the blood glucose levels among diabetics. </w:t>
      </w:r>
      <w:r w:rsidRPr="00CF3B2A">
        <w:rPr>
          <w:rFonts w:ascii="Times New Roman" w:hAnsi="Times New Roman" w:cs="Times New Roman"/>
          <w:i/>
          <w:iCs/>
          <w:sz w:val="24"/>
          <w:szCs w:val="24"/>
          <w:lang w:val="en-IN"/>
        </w:rPr>
        <w:t>Studies on Ethno-Medicine, 3</w:t>
      </w:r>
      <w:r w:rsidRPr="00CF3B2A">
        <w:rPr>
          <w:rFonts w:ascii="Times New Roman" w:hAnsi="Times New Roman" w:cs="Times New Roman"/>
          <w:sz w:val="24"/>
          <w:szCs w:val="24"/>
          <w:lang w:val="en-IN"/>
        </w:rPr>
        <w:t xml:space="preserve">(2), 133–135. </w:t>
      </w:r>
      <w:hyperlink r:id="rId19" w:tgtFrame="_new" w:history="1">
        <w:r w:rsidRPr="00CF3B2A">
          <w:rPr>
            <w:rStyle w:val="Hyperlink"/>
            <w:rFonts w:ascii="Times New Roman" w:hAnsi="Times New Roman" w:cs="Times New Roman"/>
            <w:sz w:val="24"/>
            <w:szCs w:val="24"/>
            <w:lang w:val="en-IN"/>
          </w:rPr>
          <w:t>https://doi.org/10.1080/09735070.2009.11886350</w:t>
        </w:r>
      </w:hyperlink>
    </w:p>
    <w:p w14:paraId="520C9FE1"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Scott, S. J., Jones, R. A., &amp; Williams, W. A. (1984). Review of data analysis methods for seed germination. </w:t>
      </w:r>
      <w:r w:rsidRPr="00CF3B2A">
        <w:rPr>
          <w:rFonts w:ascii="Times New Roman" w:hAnsi="Times New Roman" w:cs="Times New Roman"/>
          <w:i/>
          <w:iCs/>
          <w:sz w:val="24"/>
          <w:szCs w:val="24"/>
          <w:lang w:val="en-IN"/>
        </w:rPr>
        <w:t>Crop Science, 24</w:t>
      </w:r>
      <w:r w:rsidRPr="00CF3B2A">
        <w:rPr>
          <w:rFonts w:ascii="Times New Roman" w:hAnsi="Times New Roman" w:cs="Times New Roman"/>
          <w:sz w:val="24"/>
          <w:szCs w:val="24"/>
          <w:lang w:val="en-IN"/>
        </w:rPr>
        <w:t xml:space="preserve">(6), 1192–1199. </w:t>
      </w:r>
      <w:hyperlink r:id="rId20" w:tgtFrame="_new" w:history="1">
        <w:r w:rsidRPr="00CF3B2A">
          <w:rPr>
            <w:rStyle w:val="Hyperlink"/>
            <w:rFonts w:ascii="Times New Roman" w:hAnsi="Times New Roman" w:cs="Times New Roman"/>
            <w:sz w:val="24"/>
            <w:szCs w:val="24"/>
            <w:lang w:val="en-IN"/>
          </w:rPr>
          <w:t>https://doi.org/10.2135/cropsci1984.0011183X002400060043x</w:t>
        </w:r>
      </w:hyperlink>
    </w:p>
    <w:p w14:paraId="495E673C"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de-DE"/>
        </w:rPr>
        <w:t xml:space="preserve">Tiwari, P., Mishra, B. N., &amp; Sangwan, N. S. (2014). </w:t>
      </w:r>
      <w:r w:rsidRPr="00CF3B2A">
        <w:rPr>
          <w:rFonts w:ascii="Times New Roman" w:hAnsi="Times New Roman" w:cs="Times New Roman"/>
          <w:sz w:val="24"/>
          <w:szCs w:val="24"/>
          <w:lang w:val="en-IN"/>
        </w:rPr>
        <w:t xml:space="preserve">Phytochemical and pharmacological properties of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An important medicinal plant. </w:t>
      </w:r>
      <w:r w:rsidRPr="00CF3B2A">
        <w:rPr>
          <w:rFonts w:ascii="Times New Roman" w:hAnsi="Times New Roman" w:cs="Times New Roman"/>
          <w:i/>
          <w:iCs/>
          <w:sz w:val="24"/>
          <w:szCs w:val="24"/>
          <w:lang w:val="en-IN"/>
        </w:rPr>
        <w:t>BioMed Research International, 2014</w:t>
      </w:r>
      <w:r w:rsidRPr="00CF3B2A">
        <w:rPr>
          <w:rFonts w:ascii="Times New Roman" w:hAnsi="Times New Roman" w:cs="Times New Roman"/>
          <w:sz w:val="24"/>
          <w:szCs w:val="24"/>
          <w:lang w:val="en-IN"/>
        </w:rPr>
        <w:t xml:space="preserve">, Article 830285. </w:t>
      </w:r>
      <w:hyperlink r:id="rId21" w:tgtFrame="_new" w:history="1">
        <w:r w:rsidRPr="00CF3B2A">
          <w:rPr>
            <w:rStyle w:val="Hyperlink"/>
            <w:rFonts w:ascii="Times New Roman" w:hAnsi="Times New Roman" w:cs="Times New Roman"/>
            <w:sz w:val="24"/>
            <w:szCs w:val="24"/>
            <w:lang w:val="en-IN"/>
          </w:rPr>
          <w:t>https://doi.org/10.1155/2014/830285</w:t>
        </w:r>
      </w:hyperlink>
    </w:p>
    <w:p w14:paraId="45AB433C"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de-DE"/>
        </w:rPr>
        <w:t xml:space="preserve">Zhao, J. Q., Wang, Y. M., Yang, Y. L., Zeng, Y., Mei, L. J., Shi, Y. P., et al. </w:t>
      </w:r>
      <w:r w:rsidRPr="00CF3B2A">
        <w:rPr>
          <w:rFonts w:ascii="Times New Roman" w:hAnsi="Times New Roman" w:cs="Times New Roman"/>
          <w:sz w:val="24"/>
          <w:szCs w:val="24"/>
          <w:lang w:val="en-IN"/>
        </w:rPr>
        <w:t>(2017). Antioxidants and α-glucosidase inhibitors from “</w:t>
      </w:r>
      <w:proofErr w:type="spellStart"/>
      <w:r w:rsidRPr="00CF3B2A">
        <w:rPr>
          <w:rFonts w:ascii="Times New Roman" w:hAnsi="Times New Roman" w:cs="Times New Roman"/>
          <w:sz w:val="24"/>
          <w:szCs w:val="24"/>
          <w:lang w:val="en-IN"/>
        </w:rPr>
        <w:t>Liucha</w:t>
      </w:r>
      <w:proofErr w:type="spellEnd"/>
      <w:r w:rsidRPr="00CF3B2A">
        <w:rPr>
          <w:rFonts w:ascii="Times New Roman" w:hAnsi="Times New Roman" w:cs="Times New Roman"/>
          <w:sz w:val="24"/>
          <w:szCs w:val="24"/>
          <w:lang w:val="en-IN"/>
        </w:rPr>
        <w:t xml:space="preserve">” (young leaves and shoots of </w:t>
      </w:r>
      <w:proofErr w:type="spellStart"/>
      <w:r w:rsidRPr="00CF3B2A">
        <w:rPr>
          <w:rFonts w:ascii="Times New Roman" w:hAnsi="Times New Roman" w:cs="Times New Roman"/>
          <w:i/>
          <w:iCs/>
          <w:sz w:val="24"/>
          <w:szCs w:val="24"/>
          <w:lang w:val="en-IN"/>
        </w:rPr>
        <w:t>Sibiraea</w:t>
      </w:r>
      <w:proofErr w:type="spellEnd"/>
      <w:r w:rsidRPr="00CF3B2A">
        <w:rPr>
          <w:rFonts w:ascii="Times New Roman" w:hAnsi="Times New Roman" w:cs="Times New Roman"/>
          <w:i/>
          <w:iCs/>
          <w:sz w:val="24"/>
          <w:szCs w:val="24"/>
          <w:lang w:val="en-IN"/>
        </w:rPr>
        <w:t xml:space="preserve"> laevigata</w:t>
      </w:r>
      <w:r w:rsidRPr="00CF3B2A">
        <w:rPr>
          <w:rFonts w:ascii="Times New Roman" w:hAnsi="Times New Roman" w:cs="Times New Roman"/>
          <w:sz w:val="24"/>
          <w:szCs w:val="24"/>
          <w:lang w:val="en-IN"/>
        </w:rPr>
        <w:t xml:space="preserve">). </w:t>
      </w:r>
      <w:r w:rsidRPr="00CF3B2A">
        <w:rPr>
          <w:rFonts w:ascii="Times New Roman" w:hAnsi="Times New Roman" w:cs="Times New Roman"/>
          <w:i/>
          <w:iCs/>
          <w:sz w:val="24"/>
          <w:szCs w:val="24"/>
          <w:lang w:val="en-IN"/>
        </w:rPr>
        <w:t>Food Chemistry, 230</w:t>
      </w:r>
      <w:r w:rsidRPr="00CF3B2A">
        <w:rPr>
          <w:rFonts w:ascii="Times New Roman" w:hAnsi="Times New Roman" w:cs="Times New Roman"/>
          <w:sz w:val="24"/>
          <w:szCs w:val="24"/>
          <w:lang w:val="en-IN"/>
        </w:rPr>
        <w:t xml:space="preserve">, 117–124. </w:t>
      </w:r>
      <w:hyperlink r:id="rId22" w:tgtFrame="_new" w:history="1">
        <w:r w:rsidRPr="00CF3B2A">
          <w:rPr>
            <w:rStyle w:val="Hyperlink"/>
            <w:rFonts w:ascii="Times New Roman" w:hAnsi="Times New Roman" w:cs="Times New Roman"/>
            <w:sz w:val="24"/>
            <w:szCs w:val="24"/>
            <w:lang w:val="en-IN"/>
          </w:rPr>
          <w:t>https://doi.org/10.1016/j.foodchem.2017.03.024</w:t>
        </w:r>
      </w:hyperlink>
    </w:p>
    <w:p w14:paraId="563F37DA"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Hong, T. D., &amp; Ellis, R. H. (1996). </w:t>
      </w:r>
      <w:r w:rsidRPr="00CF3B2A">
        <w:rPr>
          <w:rFonts w:ascii="Times New Roman" w:hAnsi="Times New Roman" w:cs="Times New Roman"/>
          <w:i/>
          <w:iCs/>
          <w:sz w:val="24"/>
          <w:szCs w:val="24"/>
          <w:lang w:val="en-IN"/>
        </w:rPr>
        <w:t xml:space="preserve">A protocol to determine seed storage </w:t>
      </w:r>
      <w:proofErr w:type="spellStart"/>
      <w:r w:rsidRPr="00CF3B2A">
        <w:rPr>
          <w:rFonts w:ascii="Times New Roman" w:hAnsi="Times New Roman" w:cs="Times New Roman"/>
          <w:i/>
          <w:iCs/>
          <w:sz w:val="24"/>
          <w:szCs w:val="24"/>
          <w:lang w:val="en-IN"/>
        </w:rPr>
        <w:t>behavior</w:t>
      </w:r>
      <w:proofErr w:type="spellEnd"/>
      <w:r w:rsidRPr="00CF3B2A">
        <w:rPr>
          <w:rFonts w:ascii="Times New Roman" w:hAnsi="Times New Roman" w:cs="Times New Roman"/>
          <w:sz w:val="24"/>
          <w:szCs w:val="24"/>
          <w:lang w:val="en-IN"/>
        </w:rPr>
        <w:t xml:space="preserve"> (IPGRI Technical Bulletin No. 1). International Plant Genetic Resources Institute.</w:t>
      </w:r>
    </w:p>
    <w:p w14:paraId="524E84FB" w14:textId="5D3406C0"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Gowthami, R., Sharma, N., Pandey, R., &amp; Agrawal, A. (2021). Status and consolidated list of threatened medicinal plants of India. </w:t>
      </w:r>
      <w:r w:rsidRPr="00CF3B2A">
        <w:rPr>
          <w:rFonts w:ascii="Times New Roman" w:hAnsi="Times New Roman" w:cs="Times New Roman"/>
          <w:i/>
          <w:iCs/>
          <w:sz w:val="24"/>
          <w:szCs w:val="24"/>
          <w:lang w:val="en-IN"/>
        </w:rPr>
        <w:t>Genetic Resources and Crop Evolution, 68</w:t>
      </w:r>
      <w:r w:rsidRPr="00CF3B2A">
        <w:rPr>
          <w:rFonts w:ascii="Times New Roman" w:hAnsi="Times New Roman" w:cs="Times New Roman"/>
          <w:sz w:val="24"/>
          <w:szCs w:val="24"/>
          <w:lang w:val="en-IN"/>
        </w:rPr>
        <w:t>(6), 2235–2263.</w:t>
      </w:r>
      <w:r w:rsidRPr="00CF3B2A">
        <w:rPr>
          <w:rFonts w:cs="Mangal"/>
          <w:szCs w:val="20"/>
          <w:lang w:val="en-IN" w:bidi="hi-IN"/>
        </w:rPr>
        <w:t xml:space="preserve"> </w:t>
      </w:r>
      <w:hyperlink r:id="rId23" w:tgtFrame="_blank" w:history="1">
        <w:r w:rsidRPr="00CF3B2A">
          <w:rPr>
            <w:rStyle w:val="Hyperlink"/>
            <w:rFonts w:ascii="Times New Roman" w:hAnsi="Times New Roman" w:cs="Times New Roman"/>
            <w:sz w:val="24"/>
            <w:szCs w:val="24"/>
            <w:lang w:val="en-IN"/>
          </w:rPr>
          <w:t>10.1007/s10722-021-01199-0</w:t>
        </w:r>
      </w:hyperlink>
    </w:p>
    <w:p w14:paraId="29506268"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proofErr w:type="spellStart"/>
      <w:r w:rsidRPr="00CF3B2A">
        <w:rPr>
          <w:rFonts w:ascii="Times New Roman" w:hAnsi="Times New Roman" w:cs="Times New Roman"/>
          <w:sz w:val="24"/>
          <w:szCs w:val="24"/>
          <w:lang w:val="en-IN"/>
        </w:rPr>
        <w:t>Saneja</w:t>
      </w:r>
      <w:proofErr w:type="spellEnd"/>
      <w:r w:rsidRPr="00CF3B2A">
        <w:rPr>
          <w:rFonts w:ascii="Times New Roman" w:hAnsi="Times New Roman" w:cs="Times New Roman"/>
          <w:sz w:val="24"/>
          <w:szCs w:val="24"/>
          <w:lang w:val="en-IN"/>
        </w:rPr>
        <w:t xml:space="preserve">, A., Sharma, C., Aneja, K. R., &amp; Pahwa, R. (2010).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w:t>
      </w:r>
      <w:proofErr w:type="spellStart"/>
      <w:r w:rsidRPr="00CF3B2A">
        <w:rPr>
          <w:rFonts w:ascii="Times New Roman" w:hAnsi="Times New Roman" w:cs="Times New Roman"/>
          <w:sz w:val="24"/>
          <w:szCs w:val="24"/>
          <w:lang w:val="en-IN"/>
        </w:rPr>
        <w:t>Gurmar</w:t>
      </w:r>
      <w:proofErr w:type="spellEnd"/>
      <w:r w:rsidRPr="00CF3B2A">
        <w:rPr>
          <w:rFonts w:ascii="Times New Roman" w:hAnsi="Times New Roman" w:cs="Times New Roman"/>
          <w:sz w:val="24"/>
          <w:szCs w:val="24"/>
          <w:lang w:val="en-IN"/>
        </w:rPr>
        <w:t xml:space="preserve">): A review. </w:t>
      </w:r>
      <w:r w:rsidRPr="00CF3B2A">
        <w:rPr>
          <w:rFonts w:ascii="Times New Roman" w:hAnsi="Times New Roman" w:cs="Times New Roman"/>
          <w:i/>
          <w:iCs/>
          <w:sz w:val="24"/>
          <w:szCs w:val="24"/>
          <w:lang w:val="en-IN"/>
        </w:rPr>
        <w:t xml:space="preserve">Der Pharmacia </w:t>
      </w:r>
      <w:proofErr w:type="spellStart"/>
      <w:r w:rsidRPr="00CF3B2A">
        <w:rPr>
          <w:rFonts w:ascii="Times New Roman" w:hAnsi="Times New Roman" w:cs="Times New Roman"/>
          <w:i/>
          <w:iCs/>
          <w:sz w:val="24"/>
          <w:szCs w:val="24"/>
          <w:lang w:val="en-IN"/>
        </w:rPr>
        <w:t>Lettre</w:t>
      </w:r>
      <w:proofErr w:type="spellEnd"/>
      <w:r w:rsidRPr="00CF3B2A">
        <w:rPr>
          <w:rFonts w:ascii="Times New Roman" w:hAnsi="Times New Roman" w:cs="Times New Roman"/>
          <w:i/>
          <w:iCs/>
          <w:sz w:val="24"/>
          <w:szCs w:val="24"/>
          <w:lang w:val="en-IN"/>
        </w:rPr>
        <w:t>, 2</w:t>
      </w:r>
      <w:r w:rsidRPr="00CF3B2A">
        <w:rPr>
          <w:rFonts w:ascii="Times New Roman" w:hAnsi="Times New Roman" w:cs="Times New Roman"/>
          <w:sz w:val="24"/>
          <w:szCs w:val="24"/>
          <w:lang w:val="en-IN"/>
        </w:rPr>
        <w:t xml:space="preserve">(1), 275–284. </w:t>
      </w:r>
      <w:hyperlink r:id="rId24" w:tgtFrame="_new" w:history="1">
        <w:r w:rsidRPr="00CF3B2A">
          <w:rPr>
            <w:rStyle w:val="Hyperlink"/>
            <w:rFonts w:ascii="Times New Roman" w:hAnsi="Times New Roman" w:cs="Times New Roman"/>
            <w:sz w:val="24"/>
            <w:szCs w:val="24"/>
            <w:lang w:val="en-IN"/>
          </w:rPr>
          <w:t>http://scholarsresearchlibrary.com/archive.html</w:t>
        </w:r>
      </w:hyperlink>
    </w:p>
    <w:p w14:paraId="0BDC05BA"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Pandey, A. K. (2012). Cultivation technique of an important medicinal plant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R. Br. (</w:t>
      </w:r>
      <w:proofErr w:type="spellStart"/>
      <w:r w:rsidRPr="00CF3B2A">
        <w:rPr>
          <w:rFonts w:ascii="Times New Roman" w:hAnsi="Times New Roman" w:cs="Times New Roman"/>
          <w:sz w:val="24"/>
          <w:szCs w:val="24"/>
          <w:lang w:val="en-IN"/>
        </w:rPr>
        <w:t>Gurmar</w:t>
      </w:r>
      <w:proofErr w:type="spellEnd"/>
      <w:r w:rsidRPr="00CF3B2A">
        <w:rPr>
          <w:rFonts w:ascii="Times New Roman" w:hAnsi="Times New Roman" w:cs="Times New Roman"/>
          <w:sz w:val="24"/>
          <w:szCs w:val="24"/>
          <w:lang w:val="en-IN"/>
        </w:rPr>
        <w:t xml:space="preserve">). </w:t>
      </w:r>
      <w:r w:rsidRPr="00CF3B2A">
        <w:rPr>
          <w:rFonts w:ascii="Times New Roman" w:hAnsi="Times New Roman" w:cs="Times New Roman"/>
          <w:i/>
          <w:iCs/>
          <w:sz w:val="24"/>
          <w:szCs w:val="24"/>
          <w:lang w:val="en-IN"/>
        </w:rPr>
        <w:t>Academic Journal of Plant Sciences, 5</w:t>
      </w:r>
      <w:r w:rsidRPr="00CF3B2A">
        <w:rPr>
          <w:rFonts w:ascii="Times New Roman" w:hAnsi="Times New Roman" w:cs="Times New Roman"/>
          <w:sz w:val="24"/>
          <w:szCs w:val="24"/>
          <w:lang w:val="en-IN"/>
        </w:rPr>
        <w:t xml:space="preserve">(3), 84–89. </w:t>
      </w:r>
      <w:hyperlink r:id="rId25" w:tgtFrame="_new" w:history="1">
        <w:r w:rsidRPr="00CF3B2A">
          <w:rPr>
            <w:rStyle w:val="Hyperlink"/>
            <w:rFonts w:ascii="Times New Roman" w:hAnsi="Times New Roman" w:cs="Times New Roman"/>
            <w:sz w:val="24"/>
            <w:szCs w:val="24"/>
            <w:lang w:val="en-IN"/>
          </w:rPr>
          <w:t>https://doi.org/10.5829/idosi.ajps.2012.5.3.2021</w:t>
        </w:r>
      </w:hyperlink>
    </w:p>
    <w:p w14:paraId="12D47129" w14:textId="65D7DA5B" w:rsidR="00CF3B2A" w:rsidRPr="00CF3B2A" w:rsidRDefault="00CF3B2A" w:rsidP="00CF3B2A">
      <w:pPr>
        <w:pStyle w:val="ListParagraph"/>
        <w:numPr>
          <w:ilvl w:val="0"/>
          <w:numId w:val="13"/>
        </w:numPr>
        <w:jc w:val="both"/>
        <w:rPr>
          <w:rFonts w:ascii="Times New Roman" w:hAnsi="Times New Roman" w:cs="Times New Roman"/>
          <w:sz w:val="24"/>
          <w:szCs w:val="24"/>
        </w:rPr>
      </w:pPr>
      <w:r w:rsidRPr="00CF3B2A">
        <w:rPr>
          <w:rFonts w:ascii="Times New Roman" w:hAnsi="Times New Roman" w:cs="Times New Roman"/>
          <w:sz w:val="24"/>
          <w:szCs w:val="24"/>
          <w:lang w:val="en-IN"/>
        </w:rPr>
        <w:t xml:space="preserve">Silva, E. A. A., Toorop, P. E., Van Aelst, A. C., &amp; </w:t>
      </w:r>
      <w:proofErr w:type="spellStart"/>
      <w:r w:rsidRPr="00CF3B2A">
        <w:rPr>
          <w:rFonts w:ascii="Times New Roman" w:hAnsi="Times New Roman" w:cs="Times New Roman"/>
          <w:sz w:val="24"/>
          <w:szCs w:val="24"/>
          <w:lang w:val="en-IN"/>
        </w:rPr>
        <w:t>Hilhorst</w:t>
      </w:r>
      <w:proofErr w:type="spellEnd"/>
      <w:r w:rsidRPr="00CF3B2A">
        <w:rPr>
          <w:rFonts w:ascii="Times New Roman" w:hAnsi="Times New Roman" w:cs="Times New Roman"/>
          <w:sz w:val="24"/>
          <w:szCs w:val="24"/>
          <w:lang w:val="en-IN"/>
        </w:rPr>
        <w:t>, H. W. M. (2004). Abscisic acid controls embryo growth potential and endosperm cap weakening during coffee (</w:t>
      </w:r>
      <w:r w:rsidRPr="00CF3B2A">
        <w:rPr>
          <w:rFonts w:ascii="Times New Roman" w:hAnsi="Times New Roman" w:cs="Times New Roman"/>
          <w:i/>
          <w:iCs/>
          <w:sz w:val="24"/>
          <w:szCs w:val="24"/>
          <w:lang w:val="en-IN"/>
        </w:rPr>
        <w:t>Coffea arabica</w:t>
      </w:r>
      <w:r w:rsidRPr="00CF3B2A">
        <w:rPr>
          <w:rFonts w:ascii="Times New Roman" w:hAnsi="Times New Roman" w:cs="Times New Roman"/>
          <w:sz w:val="24"/>
          <w:szCs w:val="24"/>
          <w:lang w:val="en-IN"/>
        </w:rPr>
        <w:t xml:space="preserve"> cv. Rubi) seed germination. </w:t>
      </w:r>
      <w:r w:rsidRPr="00CF3B2A">
        <w:rPr>
          <w:rFonts w:ascii="Times New Roman" w:hAnsi="Times New Roman" w:cs="Times New Roman"/>
          <w:i/>
          <w:iCs/>
          <w:sz w:val="24"/>
          <w:szCs w:val="24"/>
          <w:lang w:val="en-IN"/>
        </w:rPr>
        <w:t>Planta, 220</w:t>
      </w:r>
      <w:r w:rsidRPr="00CF3B2A">
        <w:rPr>
          <w:rFonts w:ascii="Times New Roman" w:hAnsi="Times New Roman" w:cs="Times New Roman"/>
          <w:sz w:val="24"/>
          <w:szCs w:val="24"/>
          <w:lang w:val="en-IN"/>
        </w:rPr>
        <w:t>, 251–261.</w:t>
      </w:r>
      <w:r>
        <w:rPr>
          <w:rFonts w:ascii="Times New Roman" w:hAnsi="Times New Roman" w:cs="Times New Roman"/>
          <w:sz w:val="24"/>
          <w:szCs w:val="24"/>
          <w:lang w:val="en-IN"/>
        </w:rPr>
        <w:t xml:space="preserve"> </w:t>
      </w:r>
      <w:hyperlink r:id="rId26" w:tgtFrame="_blank" w:history="1">
        <w:r w:rsidRPr="00CF3B2A">
          <w:rPr>
            <w:rStyle w:val="Hyperlink"/>
            <w:rFonts w:ascii="Times New Roman" w:hAnsi="Times New Roman" w:cs="Times New Roman"/>
            <w:sz w:val="24"/>
            <w:szCs w:val="24"/>
          </w:rPr>
          <w:t>10.1007/s00425-004-1344-0</w:t>
        </w:r>
      </w:hyperlink>
    </w:p>
    <w:p w14:paraId="7B05FB65" w14:textId="337A194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Karwa, S. M., </w:t>
      </w:r>
      <w:proofErr w:type="spellStart"/>
      <w:r w:rsidRPr="00CF3B2A">
        <w:rPr>
          <w:rFonts w:ascii="Times New Roman" w:hAnsi="Times New Roman" w:cs="Times New Roman"/>
          <w:sz w:val="24"/>
          <w:szCs w:val="24"/>
          <w:lang w:val="en-IN"/>
        </w:rPr>
        <w:t>Vikhe</w:t>
      </w:r>
      <w:proofErr w:type="spellEnd"/>
      <w:r w:rsidRPr="00CF3B2A">
        <w:rPr>
          <w:rFonts w:ascii="Times New Roman" w:hAnsi="Times New Roman" w:cs="Times New Roman"/>
          <w:sz w:val="24"/>
          <w:szCs w:val="24"/>
          <w:lang w:val="en-IN"/>
        </w:rPr>
        <w:t xml:space="preserve">, D. N., &amp; Jadhav, R. S. (2022). A review on phytochemical investigation of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leaves. </w:t>
      </w:r>
      <w:r w:rsidRPr="00CF3B2A">
        <w:rPr>
          <w:rFonts w:ascii="Times New Roman" w:hAnsi="Times New Roman" w:cs="Times New Roman"/>
          <w:i/>
          <w:iCs/>
          <w:sz w:val="24"/>
          <w:szCs w:val="24"/>
          <w:lang w:val="en-IN"/>
        </w:rPr>
        <w:t>Research Journal of Science and Technology, 14</w:t>
      </w:r>
      <w:r w:rsidRPr="00CF3B2A">
        <w:rPr>
          <w:rFonts w:ascii="Times New Roman" w:hAnsi="Times New Roman" w:cs="Times New Roman"/>
          <w:sz w:val="24"/>
          <w:szCs w:val="24"/>
          <w:lang w:val="en-IN"/>
        </w:rPr>
        <w:t xml:space="preserve">(4), 261–268. </w:t>
      </w:r>
      <w:hyperlink r:id="rId27" w:history="1">
        <w:r w:rsidRPr="00CF3B2A">
          <w:rPr>
            <w:rStyle w:val="Hyperlink"/>
            <w:rFonts w:ascii="Times New Roman" w:hAnsi="Times New Roman" w:cs="Times New Roman"/>
            <w:sz w:val="24"/>
            <w:szCs w:val="24"/>
            <w:lang w:val="en-IN"/>
          </w:rPr>
          <w:t>https://doi.org/10.52711/2349-2988.2022.00042</w:t>
        </w:r>
      </w:hyperlink>
      <w:r>
        <w:rPr>
          <w:rFonts w:ascii="Times New Roman" w:hAnsi="Times New Roman" w:cs="Times New Roman"/>
          <w:sz w:val="24"/>
          <w:szCs w:val="24"/>
          <w:lang w:val="en-IN"/>
        </w:rPr>
        <w:t xml:space="preserve"> </w:t>
      </w:r>
    </w:p>
    <w:p w14:paraId="2F8A592A" w14:textId="63C1D16C"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Jamadagni, P. S., Pawar, S. D., Jamadagni, S. B., Gautam, M., Gaidhani, S. N., Prasad, G. P., &amp; Gurav, A. M. (2021). Recent updates in research on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w:t>
      </w:r>
      <w:r w:rsidRPr="00CF3B2A">
        <w:rPr>
          <w:rFonts w:ascii="Times New Roman" w:hAnsi="Times New Roman" w:cs="Times New Roman"/>
          <w:i/>
          <w:iCs/>
          <w:sz w:val="24"/>
          <w:szCs w:val="24"/>
          <w:lang w:val="en-IN"/>
        </w:rPr>
        <w:t>Pharmacognosy Reviews, 15</w:t>
      </w:r>
      <w:r w:rsidRPr="00CF3B2A">
        <w:rPr>
          <w:rFonts w:ascii="Times New Roman" w:hAnsi="Times New Roman" w:cs="Times New Roman"/>
          <w:sz w:val="24"/>
          <w:szCs w:val="24"/>
          <w:lang w:val="en-IN"/>
        </w:rPr>
        <w:t>(30), 128–133.</w:t>
      </w:r>
      <w:r>
        <w:rPr>
          <w:rFonts w:ascii="Times New Roman" w:hAnsi="Times New Roman" w:cs="Times New Roman"/>
          <w:sz w:val="24"/>
          <w:szCs w:val="24"/>
          <w:lang w:val="en-IN"/>
        </w:rPr>
        <w:t xml:space="preserve"> </w:t>
      </w:r>
      <w:hyperlink r:id="rId28" w:history="1">
        <w:r w:rsidRPr="00CF3B2A">
          <w:rPr>
            <w:rStyle w:val="Hyperlink"/>
            <w:rFonts w:ascii="Times New Roman" w:hAnsi="Times New Roman" w:cs="Times New Roman"/>
            <w:sz w:val="24"/>
            <w:szCs w:val="24"/>
            <w:lang w:val="en-IN"/>
          </w:rPr>
          <w:t>10.5530/phrev.2021.15.15</w:t>
        </w:r>
      </w:hyperlink>
    </w:p>
    <w:p w14:paraId="698B6351"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lastRenderedPageBreak/>
        <w:t xml:space="preserve">Vijay, M. K., Tiwari, S., Kahar, L., Malviya, D., &amp; Singh, N. (2025b). Fruit and seed development of critically endangered </w:t>
      </w:r>
      <w:r w:rsidRPr="00CF3B2A">
        <w:rPr>
          <w:rFonts w:ascii="Times New Roman" w:hAnsi="Times New Roman" w:cs="Times New Roman"/>
          <w:i/>
          <w:iCs/>
          <w:sz w:val="24"/>
          <w:szCs w:val="24"/>
          <w:lang w:val="en-IN"/>
        </w:rPr>
        <w:t>Commiphora wightii</w:t>
      </w:r>
      <w:r w:rsidRPr="00CF3B2A">
        <w:rPr>
          <w:rFonts w:ascii="Times New Roman" w:hAnsi="Times New Roman" w:cs="Times New Roman"/>
          <w:sz w:val="24"/>
          <w:szCs w:val="24"/>
          <w:lang w:val="en-IN"/>
        </w:rPr>
        <w:t xml:space="preserve"> (</w:t>
      </w:r>
      <w:proofErr w:type="spellStart"/>
      <w:r w:rsidRPr="00CF3B2A">
        <w:rPr>
          <w:rFonts w:ascii="Times New Roman" w:hAnsi="Times New Roman" w:cs="Times New Roman"/>
          <w:sz w:val="24"/>
          <w:szCs w:val="24"/>
          <w:lang w:val="en-IN"/>
        </w:rPr>
        <w:t>Arn</w:t>
      </w:r>
      <w:proofErr w:type="spellEnd"/>
      <w:r w:rsidRPr="00CF3B2A">
        <w:rPr>
          <w:rFonts w:ascii="Times New Roman" w:hAnsi="Times New Roman" w:cs="Times New Roman"/>
          <w:sz w:val="24"/>
          <w:szCs w:val="24"/>
          <w:lang w:val="en-IN"/>
        </w:rPr>
        <w:t xml:space="preserve">.) Bhandari: Insights into physiological maturation and germination potential. </w:t>
      </w:r>
      <w:r w:rsidRPr="00CF3B2A">
        <w:rPr>
          <w:rFonts w:ascii="Times New Roman" w:hAnsi="Times New Roman" w:cs="Times New Roman"/>
          <w:i/>
          <w:iCs/>
          <w:sz w:val="24"/>
          <w:szCs w:val="24"/>
          <w:lang w:val="en-IN"/>
        </w:rPr>
        <w:t>Journal of Scientific Research and Reports, 31</w:t>
      </w:r>
      <w:r w:rsidRPr="00CF3B2A">
        <w:rPr>
          <w:rFonts w:ascii="Times New Roman" w:hAnsi="Times New Roman" w:cs="Times New Roman"/>
          <w:sz w:val="24"/>
          <w:szCs w:val="24"/>
          <w:lang w:val="en-IN"/>
        </w:rPr>
        <w:t xml:space="preserve">(7), 374–384. </w:t>
      </w:r>
      <w:hyperlink r:id="rId29" w:tgtFrame="_new" w:history="1">
        <w:r w:rsidRPr="00CF3B2A">
          <w:rPr>
            <w:rStyle w:val="Hyperlink"/>
            <w:rFonts w:ascii="Times New Roman" w:hAnsi="Times New Roman" w:cs="Times New Roman"/>
            <w:sz w:val="24"/>
            <w:szCs w:val="24"/>
            <w:lang w:val="en-IN"/>
          </w:rPr>
          <w:t>https://doi.org/10.9734/jsrr/2025/v31i73254</w:t>
        </w:r>
      </w:hyperlink>
    </w:p>
    <w:p w14:paraId="236E0A12"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Vijay, M. K., Rathod, D. U., Singh, N., Tiwari, S., Kahar, L., Malviya, D., &amp; </w:t>
      </w:r>
      <w:proofErr w:type="spellStart"/>
      <w:r w:rsidRPr="00CF3B2A">
        <w:rPr>
          <w:rFonts w:ascii="Times New Roman" w:hAnsi="Times New Roman" w:cs="Times New Roman"/>
          <w:sz w:val="24"/>
          <w:szCs w:val="24"/>
          <w:lang w:val="en-IN"/>
        </w:rPr>
        <w:t>Aharwar</w:t>
      </w:r>
      <w:proofErr w:type="spellEnd"/>
      <w:r w:rsidRPr="00CF3B2A">
        <w:rPr>
          <w:rFonts w:ascii="Times New Roman" w:hAnsi="Times New Roman" w:cs="Times New Roman"/>
          <w:sz w:val="24"/>
          <w:szCs w:val="24"/>
          <w:lang w:val="en-IN"/>
        </w:rPr>
        <w:t xml:space="preserve">, M. (2025a). Assessment of germination dynamics through maturity and pre-treatment studies in </w:t>
      </w:r>
      <w:r w:rsidRPr="00CF3B2A">
        <w:rPr>
          <w:rFonts w:ascii="Times New Roman" w:hAnsi="Times New Roman" w:cs="Times New Roman"/>
          <w:i/>
          <w:iCs/>
          <w:sz w:val="24"/>
          <w:szCs w:val="24"/>
          <w:lang w:val="en-IN"/>
        </w:rPr>
        <w:t>Flacourtia indica</w:t>
      </w:r>
      <w:r w:rsidRPr="00CF3B2A">
        <w:rPr>
          <w:rFonts w:ascii="Times New Roman" w:hAnsi="Times New Roman" w:cs="Times New Roman"/>
          <w:sz w:val="24"/>
          <w:szCs w:val="24"/>
          <w:lang w:val="en-IN"/>
        </w:rPr>
        <w:t xml:space="preserve"> (</w:t>
      </w:r>
      <w:proofErr w:type="spellStart"/>
      <w:r w:rsidRPr="00CF3B2A">
        <w:rPr>
          <w:rFonts w:ascii="Times New Roman" w:hAnsi="Times New Roman" w:cs="Times New Roman"/>
          <w:sz w:val="24"/>
          <w:szCs w:val="24"/>
          <w:lang w:val="en-IN"/>
        </w:rPr>
        <w:t>Burm.f</w:t>
      </w:r>
      <w:proofErr w:type="spellEnd"/>
      <w:r w:rsidRPr="00CF3B2A">
        <w:rPr>
          <w:rFonts w:ascii="Times New Roman" w:hAnsi="Times New Roman" w:cs="Times New Roman"/>
          <w:sz w:val="24"/>
          <w:szCs w:val="24"/>
          <w:lang w:val="en-IN"/>
        </w:rPr>
        <w:t xml:space="preserve">.) </w:t>
      </w:r>
      <w:proofErr w:type="spellStart"/>
      <w:r w:rsidRPr="00CF3B2A">
        <w:rPr>
          <w:rFonts w:ascii="Times New Roman" w:hAnsi="Times New Roman" w:cs="Times New Roman"/>
          <w:sz w:val="24"/>
          <w:szCs w:val="24"/>
          <w:lang w:val="en-IN"/>
        </w:rPr>
        <w:t>Merr</w:t>
      </w:r>
      <w:proofErr w:type="spellEnd"/>
      <w:r w:rsidRPr="00CF3B2A">
        <w:rPr>
          <w:rFonts w:ascii="Times New Roman" w:hAnsi="Times New Roman" w:cs="Times New Roman"/>
          <w:sz w:val="24"/>
          <w:szCs w:val="24"/>
          <w:lang w:val="en-IN"/>
        </w:rPr>
        <w:t xml:space="preserve">. </w:t>
      </w:r>
      <w:r w:rsidRPr="00CF3B2A">
        <w:rPr>
          <w:rFonts w:ascii="Times New Roman" w:hAnsi="Times New Roman" w:cs="Times New Roman"/>
          <w:i/>
          <w:iCs/>
          <w:sz w:val="24"/>
          <w:szCs w:val="24"/>
          <w:lang w:val="en-IN"/>
        </w:rPr>
        <w:t>International Journal of Research in Agronomy, 8</w:t>
      </w:r>
      <w:r w:rsidRPr="00CF3B2A">
        <w:rPr>
          <w:rFonts w:ascii="Times New Roman" w:hAnsi="Times New Roman" w:cs="Times New Roman"/>
          <w:sz w:val="24"/>
          <w:szCs w:val="24"/>
          <w:lang w:val="en-IN"/>
        </w:rPr>
        <w:t xml:space="preserve">(4), 30–36. </w:t>
      </w:r>
      <w:hyperlink r:id="rId30" w:tgtFrame="_new" w:history="1">
        <w:r w:rsidRPr="00CF3B2A">
          <w:rPr>
            <w:rStyle w:val="Hyperlink"/>
            <w:rFonts w:ascii="Times New Roman" w:hAnsi="Times New Roman" w:cs="Times New Roman"/>
            <w:sz w:val="24"/>
            <w:szCs w:val="24"/>
            <w:lang w:val="en-IN"/>
          </w:rPr>
          <w:t>https://doi.org/10.33545/2618060X.2025.v8.i4a.2738</w:t>
        </w:r>
      </w:hyperlink>
    </w:p>
    <w:p w14:paraId="4F8520BE"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Vijay, M. K., Tiwari, S., Kahar, L., Malviya, D., </w:t>
      </w:r>
      <w:proofErr w:type="spellStart"/>
      <w:r w:rsidRPr="00CF3B2A">
        <w:rPr>
          <w:rFonts w:ascii="Times New Roman" w:hAnsi="Times New Roman" w:cs="Times New Roman"/>
          <w:sz w:val="24"/>
          <w:szCs w:val="24"/>
          <w:lang w:val="en-IN"/>
        </w:rPr>
        <w:t>Aharwar</w:t>
      </w:r>
      <w:proofErr w:type="spellEnd"/>
      <w:r w:rsidRPr="00CF3B2A">
        <w:rPr>
          <w:rFonts w:ascii="Times New Roman" w:hAnsi="Times New Roman" w:cs="Times New Roman"/>
          <w:sz w:val="24"/>
          <w:szCs w:val="24"/>
          <w:lang w:val="en-IN"/>
        </w:rPr>
        <w:t xml:space="preserve">, M., &amp; Singh, N. (2024). Impact of seed size on germination parameters in </w:t>
      </w:r>
      <w:r w:rsidRPr="00CF3B2A">
        <w:rPr>
          <w:rFonts w:ascii="Times New Roman" w:hAnsi="Times New Roman" w:cs="Times New Roman"/>
          <w:i/>
          <w:iCs/>
          <w:sz w:val="24"/>
          <w:szCs w:val="24"/>
          <w:lang w:val="en-IN"/>
        </w:rPr>
        <w:t>Flacourtia indica</w:t>
      </w:r>
      <w:r w:rsidRPr="00CF3B2A">
        <w:rPr>
          <w:rFonts w:ascii="Times New Roman" w:hAnsi="Times New Roman" w:cs="Times New Roman"/>
          <w:sz w:val="24"/>
          <w:szCs w:val="24"/>
          <w:lang w:val="en-IN"/>
        </w:rPr>
        <w:t xml:space="preserve"> (</w:t>
      </w:r>
      <w:proofErr w:type="spellStart"/>
      <w:r w:rsidRPr="00CF3B2A">
        <w:rPr>
          <w:rFonts w:ascii="Times New Roman" w:hAnsi="Times New Roman" w:cs="Times New Roman"/>
          <w:sz w:val="24"/>
          <w:szCs w:val="24"/>
          <w:lang w:val="en-IN"/>
        </w:rPr>
        <w:t>Burm.f</w:t>
      </w:r>
      <w:proofErr w:type="spellEnd"/>
      <w:r w:rsidRPr="00CF3B2A">
        <w:rPr>
          <w:rFonts w:ascii="Times New Roman" w:hAnsi="Times New Roman" w:cs="Times New Roman"/>
          <w:sz w:val="24"/>
          <w:szCs w:val="24"/>
          <w:lang w:val="en-IN"/>
        </w:rPr>
        <w:t xml:space="preserve">.) </w:t>
      </w:r>
      <w:proofErr w:type="spellStart"/>
      <w:r w:rsidRPr="00CF3B2A">
        <w:rPr>
          <w:rFonts w:ascii="Times New Roman" w:hAnsi="Times New Roman" w:cs="Times New Roman"/>
          <w:sz w:val="24"/>
          <w:szCs w:val="24"/>
          <w:lang w:val="en-IN"/>
        </w:rPr>
        <w:t>Merr</w:t>
      </w:r>
      <w:proofErr w:type="spellEnd"/>
      <w:r w:rsidRPr="00CF3B2A">
        <w:rPr>
          <w:rFonts w:ascii="Times New Roman" w:hAnsi="Times New Roman" w:cs="Times New Roman"/>
          <w:sz w:val="24"/>
          <w:szCs w:val="24"/>
          <w:lang w:val="en-IN"/>
        </w:rPr>
        <w:t xml:space="preserve">. </w:t>
      </w:r>
      <w:r w:rsidRPr="00CF3B2A">
        <w:rPr>
          <w:rFonts w:ascii="Times New Roman" w:hAnsi="Times New Roman" w:cs="Times New Roman"/>
          <w:i/>
          <w:iCs/>
          <w:sz w:val="24"/>
          <w:szCs w:val="24"/>
          <w:lang w:val="en-IN"/>
        </w:rPr>
        <w:t>International Journal of Research in Agronomy, 7</w:t>
      </w:r>
      <w:r w:rsidRPr="00CF3B2A">
        <w:rPr>
          <w:rFonts w:ascii="Times New Roman" w:hAnsi="Times New Roman" w:cs="Times New Roman"/>
          <w:sz w:val="24"/>
          <w:szCs w:val="24"/>
          <w:lang w:val="en-IN"/>
        </w:rPr>
        <w:t xml:space="preserve">(9), 23–29. </w:t>
      </w:r>
      <w:hyperlink r:id="rId31" w:tgtFrame="_new" w:history="1">
        <w:r w:rsidRPr="00CF3B2A">
          <w:rPr>
            <w:rStyle w:val="Hyperlink"/>
            <w:rFonts w:ascii="Times New Roman" w:hAnsi="Times New Roman" w:cs="Times New Roman"/>
            <w:sz w:val="24"/>
            <w:szCs w:val="24"/>
            <w:lang w:val="en-IN"/>
          </w:rPr>
          <w:t>https://doi.org/10.33545/2618060X.2024.v7.i9a.1432</w:t>
        </w:r>
      </w:hyperlink>
    </w:p>
    <w:p w14:paraId="4145E873" w14:textId="591FF92D"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proofErr w:type="spellStart"/>
      <w:r w:rsidRPr="00CF3B2A">
        <w:rPr>
          <w:rFonts w:ascii="Times New Roman" w:hAnsi="Times New Roman" w:cs="Times New Roman"/>
          <w:sz w:val="24"/>
          <w:szCs w:val="24"/>
          <w:lang w:val="en-IN"/>
        </w:rPr>
        <w:t>Gaytán</w:t>
      </w:r>
      <w:proofErr w:type="spellEnd"/>
      <w:r w:rsidRPr="00CF3B2A">
        <w:rPr>
          <w:rFonts w:ascii="Times New Roman" w:hAnsi="Times New Roman" w:cs="Times New Roman"/>
          <w:sz w:val="24"/>
          <w:szCs w:val="24"/>
          <w:lang w:val="en-IN"/>
        </w:rPr>
        <w:t xml:space="preserve"> Martínez, L. A., Sánchez-Ruiz, L. A., Zuñiga, L. Y., González-Ortiz, M., &amp; Martínez-Abundis, E. (2021). Effect of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administration on </w:t>
      </w:r>
      <w:proofErr w:type="spellStart"/>
      <w:r w:rsidRPr="00CF3B2A">
        <w:rPr>
          <w:rFonts w:ascii="Times New Roman" w:hAnsi="Times New Roman" w:cs="Times New Roman"/>
          <w:sz w:val="24"/>
          <w:szCs w:val="24"/>
          <w:lang w:val="en-IN"/>
        </w:rPr>
        <w:t>glycemic</w:t>
      </w:r>
      <w:proofErr w:type="spellEnd"/>
      <w:r w:rsidRPr="00CF3B2A">
        <w:rPr>
          <w:rFonts w:ascii="Times New Roman" w:hAnsi="Times New Roman" w:cs="Times New Roman"/>
          <w:sz w:val="24"/>
          <w:szCs w:val="24"/>
          <w:lang w:val="en-IN"/>
        </w:rPr>
        <w:t xml:space="preserve"> control, insulin secretion, and insulin sensitivity in patients with impaired glucose tolerance. </w:t>
      </w:r>
      <w:r w:rsidRPr="00CF3B2A">
        <w:rPr>
          <w:rFonts w:ascii="Times New Roman" w:hAnsi="Times New Roman" w:cs="Times New Roman"/>
          <w:i/>
          <w:iCs/>
          <w:sz w:val="24"/>
          <w:szCs w:val="24"/>
          <w:lang w:val="en-IN"/>
        </w:rPr>
        <w:t>Journal of Medicinal Food, 24</w:t>
      </w:r>
      <w:r w:rsidRPr="00CF3B2A">
        <w:rPr>
          <w:rFonts w:ascii="Times New Roman" w:hAnsi="Times New Roman" w:cs="Times New Roman"/>
          <w:sz w:val="24"/>
          <w:szCs w:val="24"/>
          <w:lang w:val="en-IN"/>
        </w:rPr>
        <w:t xml:space="preserve">(1), 28–32. </w:t>
      </w:r>
      <w:hyperlink r:id="rId32" w:history="1">
        <w:r w:rsidRPr="00CF3B2A">
          <w:rPr>
            <w:rStyle w:val="Hyperlink"/>
            <w:rFonts w:ascii="Times New Roman" w:hAnsi="Times New Roman" w:cs="Times New Roman"/>
            <w:sz w:val="24"/>
            <w:szCs w:val="24"/>
            <w:lang w:val="en-IN"/>
          </w:rPr>
          <w:t>https://doi.org/10.1089/jmf.2020.0024</w:t>
        </w:r>
      </w:hyperlink>
      <w:r>
        <w:rPr>
          <w:rFonts w:ascii="Times New Roman" w:hAnsi="Times New Roman" w:cs="Times New Roman"/>
          <w:sz w:val="24"/>
          <w:szCs w:val="24"/>
          <w:lang w:val="en-IN"/>
        </w:rPr>
        <w:t xml:space="preserve"> </w:t>
      </w:r>
    </w:p>
    <w:p w14:paraId="31F34BEF" w14:textId="77777777"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de-DE"/>
        </w:rPr>
        <w:t xml:space="preserve">Sandech, N., Jangchart, R., Komolkriengkrai, M., Boonyoung, P., &amp; Khimmaktong, W. (2021). </w:t>
      </w:r>
      <w:r w:rsidRPr="00CF3B2A">
        <w:rPr>
          <w:rFonts w:ascii="Times New Roman" w:hAnsi="Times New Roman" w:cs="Times New Roman"/>
          <w:sz w:val="24"/>
          <w:szCs w:val="24"/>
          <w:lang w:val="en-IN"/>
        </w:rPr>
        <w:t xml:space="preserve">Efficiency of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-derived </w:t>
      </w:r>
      <w:proofErr w:type="spellStart"/>
      <w:r w:rsidRPr="00CF3B2A">
        <w:rPr>
          <w:rFonts w:ascii="Times New Roman" w:hAnsi="Times New Roman" w:cs="Times New Roman"/>
          <w:sz w:val="24"/>
          <w:szCs w:val="24"/>
          <w:lang w:val="en-IN"/>
        </w:rPr>
        <w:t>gymnemic</w:t>
      </w:r>
      <w:proofErr w:type="spellEnd"/>
      <w:r w:rsidRPr="00CF3B2A">
        <w:rPr>
          <w:rFonts w:ascii="Times New Roman" w:hAnsi="Times New Roman" w:cs="Times New Roman"/>
          <w:sz w:val="24"/>
          <w:szCs w:val="24"/>
          <w:lang w:val="en-IN"/>
        </w:rPr>
        <w:t xml:space="preserve"> acid on the restoration and improvement of brain vascular characteristics in diabetic rats. </w:t>
      </w:r>
      <w:r w:rsidRPr="00CF3B2A">
        <w:rPr>
          <w:rFonts w:ascii="Times New Roman" w:hAnsi="Times New Roman" w:cs="Times New Roman"/>
          <w:i/>
          <w:iCs/>
          <w:sz w:val="24"/>
          <w:szCs w:val="24"/>
          <w:lang w:val="en-IN"/>
        </w:rPr>
        <w:t>Experimental and Therapeutic Medicine, 22</w:t>
      </w:r>
      <w:r w:rsidRPr="00CF3B2A">
        <w:rPr>
          <w:rFonts w:ascii="Times New Roman" w:hAnsi="Times New Roman" w:cs="Times New Roman"/>
          <w:sz w:val="24"/>
          <w:szCs w:val="24"/>
          <w:lang w:val="en-IN"/>
        </w:rPr>
        <w:t xml:space="preserve">, 1420. </w:t>
      </w:r>
      <w:hyperlink r:id="rId33" w:tgtFrame="_new" w:history="1">
        <w:r w:rsidRPr="00CF3B2A">
          <w:rPr>
            <w:rStyle w:val="Hyperlink"/>
            <w:rFonts w:ascii="Times New Roman" w:hAnsi="Times New Roman" w:cs="Times New Roman"/>
            <w:sz w:val="24"/>
            <w:szCs w:val="24"/>
            <w:lang w:val="en-IN"/>
          </w:rPr>
          <w:t>https://doi.org/10.3892/etm.2021.10855</w:t>
        </w:r>
      </w:hyperlink>
    </w:p>
    <w:p w14:paraId="5DB4E697" w14:textId="59ED7E5A"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en-IN"/>
        </w:rPr>
        <w:t xml:space="preserve">Singh, D. K., Kumar, N., Sachan, A., Lakhani, P., Tutu, S., Nath, R., Sachan, A. K., &amp; Dixit, R. K. (2017). </w:t>
      </w:r>
      <w:proofErr w:type="spellStart"/>
      <w:r w:rsidRPr="00CF3B2A">
        <w:rPr>
          <w:rFonts w:ascii="Times New Roman" w:hAnsi="Times New Roman" w:cs="Times New Roman"/>
          <w:sz w:val="24"/>
          <w:szCs w:val="24"/>
          <w:lang w:val="en-IN"/>
        </w:rPr>
        <w:t>Hypolipidaemic</w:t>
      </w:r>
      <w:proofErr w:type="spellEnd"/>
      <w:r w:rsidRPr="00CF3B2A">
        <w:rPr>
          <w:rFonts w:ascii="Times New Roman" w:hAnsi="Times New Roman" w:cs="Times New Roman"/>
          <w:sz w:val="24"/>
          <w:szCs w:val="24"/>
          <w:lang w:val="en-IN"/>
        </w:rPr>
        <w:t xml:space="preserve"> effects of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on high fat diet induced dyslipidaemia in Wistar rats. </w:t>
      </w:r>
      <w:r w:rsidRPr="00CF3B2A">
        <w:rPr>
          <w:rFonts w:ascii="Times New Roman" w:hAnsi="Times New Roman" w:cs="Times New Roman"/>
          <w:i/>
          <w:iCs/>
          <w:sz w:val="24"/>
          <w:szCs w:val="24"/>
          <w:lang w:val="en-IN"/>
        </w:rPr>
        <w:t>Journal of Clinical and Diagnostic Research, 11</w:t>
      </w:r>
      <w:r w:rsidRPr="00CF3B2A">
        <w:rPr>
          <w:rFonts w:ascii="Times New Roman" w:hAnsi="Times New Roman" w:cs="Times New Roman"/>
          <w:sz w:val="24"/>
          <w:szCs w:val="24"/>
          <w:lang w:val="en-IN"/>
        </w:rPr>
        <w:t xml:space="preserve">(5), FF01–FF05. </w:t>
      </w:r>
      <w:hyperlink r:id="rId34" w:history="1">
        <w:r w:rsidRPr="00CF3B2A">
          <w:rPr>
            <w:rStyle w:val="Hyperlink"/>
            <w:rFonts w:ascii="Times New Roman" w:hAnsi="Times New Roman" w:cs="Times New Roman"/>
            <w:sz w:val="24"/>
            <w:szCs w:val="24"/>
            <w:lang w:val="en-IN"/>
          </w:rPr>
          <w:t>https://doi.org/10.7860/JCDR/2017/27430.9859</w:t>
        </w:r>
      </w:hyperlink>
      <w:r>
        <w:rPr>
          <w:rFonts w:ascii="Times New Roman" w:hAnsi="Times New Roman" w:cs="Times New Roman"/>
          <w:sz w:val="24"/>
          <w:szCs w:val="24"/>
          <w:lang w:val="en-IN"/>
        </w:rPr>
        <w:t xml:space="preserve"> </w:t>
      </w:r>
    </w:p>
    <w:p w14:paraId="7FFF15BA" w14:textId="4048E3CE" w:rsidR="00CF3B2A" w:rsidRPr="00CF3B2A"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de-DE"/>
        </w:rPr>
        <w:t xml:space="preserve">Neel, S., Mandal, A., Saha, S., Das, A., Kundu, A., &amp; Singh, A. (2025).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saponins for potential antifungal action: In vitro and in silico perspectives. </w:t>
      </w:r>
      <w:r w:rsidRPr="00CF3B2A">
        <w:rPr>
          <w:rFonts w:ascii="Times New Roman" w:hAnsi="Times New Roman" w:cs="Times New Roman"/>
          <w:i/>
          <w:iCs/>
          <w:sz w:val="24"/>
          <w:szCs w:val="24"/>
          <w:lang w:val="en-IN"/>
        </w:rPr>
        <w:t>Frontiers in Plant Science, 16</w:t>
      </w:r>
      <w:r w:rsidRPr="00CF3B2A">
        <w:rPr>
          <w:rFonts w:ascii="Times New Roman" w:hAnsi="Times New Roman" w:cs="Times New Roman"/>
          <w:sz w:val="24"/>
          <w:szCs w:val="24"/>
          <w:lang w:val="en-IN"/>
        </w:rPr>
        <w:t xml:space="preserve">, 1508454. </w:t>
      </w:r>
      <w:hyperlink r:id="rId35" w:history="1">
        <w:r w:rsidRPr="00CF3B2A">
          <w:rPr>
            <w:rStyle w:val="Hyperlink"/>
            <w:rFonts w:ascii="Times New Roman" w:hAnsi="Times New Roman" w:cs="Times New Roman"/>
            <w:sz w:val="24"/>
            <w:szCs w:val="24"/>
            <w:lang w:val="en-IN"/>
          </w:rPr>
          <w:t>https://doi.org/10.3389/fpls.2025.1508454</w:t>
        </w:r>
      </w:hyperlink>
      <w:r>
        <w:rPr>
          <w:rFonts w:ascii="Times New Roman" w:hAnsi="Times New Roman" w:cs="Times New Roman"/>
          <w:sz w:val="24"/>
          <w:szCs w:val="24"/>
          <w:lang w:val="en-IN"/>
        </w:rPr>
        <w:t xml:space="preserve"> </w:t>
      </w:r>
    </w:p>
    <w:p w14:paraId="77F18FD5" w14:textId="77777777" w:rsidR="00CF3B2A" w:rsidRPr="003B0572" w:rsidRDefault="00CF3B2A" w:rsidP="00CF3B2A">
      <w:pPr>
        <w:pStyle w:val="ListParagraph"/>
        <w:numPr>
          <w:ilvl w:val="0"/>
          <w:numId w:val="13"/>
        </w:numPr>
        <w:jc w:val="both"/>
        <w:rPr>
          <w:rFonts w:ascii="Times New Roman" w:hAnsi="Times New Roman" w:cs="Times New Roman"/>
          <w:sz w:val="24"/>
          <w:szCs w:val="24"/>
          <w:lang w:val="en-IN"/>
        </w:rPr>
      </w:pPr>
      <w:r w:rsidRPr="00CF3B2A">
        <w:rPr>
          <w:rFonts w:ascii="Times New Roman" w:hAnsi="Times New Roman" w:cs="Times New Roman"/>
          <w:sz w:val="24"/>
          <w:szCs w:val="24"/>
          <w:lang w:val="de-DE"/>
        </w:rPr>
        <w:t xml:space="preserve">Vora, D., Kapadia, H., Dinesh, S., et al. </w:t>
      </w:r>
      <w:r w:rsidRPr="00CF3B2A">
        <w:rPr>
          <w:rFonts w:ascii="Times New Roman" w:hAnsi="Times New Roman" w:cs="Times New Roman"/>
          <w:sz w:val="24"/>
          <w:szCs w:val="24"/>
          <w:lang w:val="en-IN"/>
        </w:rPr>
        <w:t xml:space="preserve">(2023). </w:t>
      </w:r>
      <w:proofErr w:type="spellStart"/>
      <w:r w:rsidRPr="00CF3B2A">
        <w:rPr>
          <w:rFonts w:ascii="Times New Roman" w:hAnsi="Times New Roman" w:cs="Times New Roman"/>
          <w:i/>
          <w:iCs/>
          <w:sz w:val="24"/>
          <w:szCs w:val="24"/>
          <w:lang w:val="en-IN"/>
        </w:rPr>
        <w:t>Gymnema</w:t>
      </w:r>
      <w:proofErr w:type="spellEnd"/>
      <w:r w:rsidRPr="00CF3B2A">
        <w:rPr>
          <w:rFonts w:ascii="Times New Roman" w:hAnsi="Times New Roman" w:cs="Times New Roman"/>
          <w:i/>
          <w:iCs/>
          <w:sz w:val="24"/>
          <w:szCs w:val="24"/>
          <w:lang w:val="en-IN"/>
        </w:rPr>
        <w:t xml:space="preserve"> </w:t>
      </w:r>
      <w:proofErr w:type="spellStart"/>
      <w:r w:rsidRPr="00CF3B2A">
        <w:rPr>
          <w:rFonts w:ascii="Times New Roman" w:hAnsi="Times New Roman" w:cs="Times New Roman"/>
          <w:i/>
          <w:iCs/>
          <w:sz w:val="24"/>
          <w:szCs w:val="24"/>
          <w:lang w:val="en-IN"/>
        </w:rPr>
        <w:t>sylvestre</w:t>
      </w:r>
      <w:proofErr w:type="spellEnd"/>
      <w:r w:rsidRPr="00CF3B2A">
        <w:rPr>
          <w:rFonts w:ascii="Times New Roman" w:hAnsi="Times New Roman" w:cs="Times New Roman"/>
          <w:sz w:val="24"/>
          <w:szCs w:val="24"/>
          <w:lang w:val="en-IN"/>
        </w:rPr>
        <w:t xml:space="preserve"> as a potential therapeutic agent for PCOS: Insights from mRNA differential gene expression and molecular docking analysis. </w:t>
      </w:r>
      <w:r w:rsidRPr="00CF3B2A">
        <w:rPr>
          <w:rFonts w:ascii="Times New Roman" w:hAnsi="Times New Roman" w:cs="Times New Roman"/>
          <w:i/>
          <w:iCs/>
          <w:sz w:val="24"/>
          <w:szCs w:val="24"/>
          <w:lang w:val="en-IN"/>
        </w:rPr>
        <w:t>Future Journal of Pharmaceutical Sciences, 9</w:t>
      </w:r>
      <w:r w:rsidRPr="00CF3B2A">
        <w:rPr>
          <w:rFonts w:ascii="Times New Roman" w:hAnsi="Times New Roman" w:cs="Times New Roman"/>
          <w:sz w:val="24"/>
          <w:szCs w:val="24"/>
          <w:lang w:val="en-IN"/>
        </w:rPr>
        <w:t xml:space="preserve">, 76. </w:t>
      </w:r>
      <w:hyperlink r:id="rId36" w:tgtFrame="_new" w:history="1">
        <w:r w:rsidRPr="00CF3B2A">
          <w:rPr>
            <w:rStyle w:val="Hyperlink"/>
            <w:rFonts w:ascii="Times New Roman" w:hAnsi="Times New Roman" w:cs="Times New Roman"/>
            <w:sz w:val="24"/>
            <w:szCs w:val="24"/>
            <w:lang w:val="en-IN"/>
          </w:rPr>
          <w:t>https://doi.org/10.1186/s43094-023-00529-6</w:t>
        </w:r>
      </w:hyperlink>
    </w:p>
    <w:p w14:paraId="10866121" w14:textId="77777777" w:rsidR="00404F55" w:rsidRDefault="003B0572" w:rsidP="00404F55">
      <w:pPr>
        <w:pStyle w:val="ListParagraph"/>
        <w:numPr>
          <w:ilvl w:val="0"/>
          <w:numId w:val="13"/>
        </w:numPr>
        <w:jc w:val="both"/>
        <w:rPr>
          <w:rFonts w:ascii="Times New Roman" w:hAnsi="Times New Roman" w:cs="Times New Roman"/>
          <w:sz w:val="24"/>
          <w:szCs w:val="24"/>
          <w:lang w:val="en-IN"/>
        </w:rPr>
      </w:pPr>
      <w:r w:rsidRPr="003B0572">
        <w:rPr>
          <w:rFonts w:ascii="Times New Roman" w:hAnsi="Times New Roman" w:cs="Times New Roman"/>
          <w:sz w:val="24"/>
          <w:szCs w:val="24"/>
          <w:lang w:val="en-IN"/>
        </w:rPr>
        <w:t xml:space="preserve">A </w:t>
      </w:r>
      <w:proofErr w:type="spellStart"/>
      <w:r w:rsidRPr="003B0572">
        <w:rPr>
          <w:rFonts w:ascii="Times New Roman" w:hAnsi="Times New Roman" w:cs="Times New Roman"/>
          <w:sz w:val="24"/>
          <w:szCs w:val="24"/>
          <w:lang w:val="en-IN"/>
        </w:rPr>
        <w:t>Chinapolaiah</w:t>
      </w:r>
      <w:proofErr w:type="spellEnd"/>
      <w:r w:rsidRPr="003B0572">
        <w:rPr>
          <w:rFonts w:ascii="Times New Roman" w:hAnsi="Times New Roman" w:cs="Times New Roman"/>
          <w:sz w:val="24"/>
          <w:szCs w:val="24"/>
          <w:lang w:val="en-IN"/>
        </w:rPr>
        <w:t xml:space="preserve">, Dinesh Chand, V </w:t>
      </w:r>
      <w:proofErr w:type="spellStart"/>
      <w:r w:rsidRPr="003B0572">
        <w:rPr>
          <w:rFonts w:ascii="Times New Roman" w:hAnsi="Times New Roman" w:cs="Times New Roman"/>
          <w:sz w:val="24"/>
          <w:szCs w:val="24"/>
          <w:lang w:val="en-IN"/>
        </w:rPr>
        <w:t>Thondaiman</w:t>
      </w:r>
      <w:proofErr w:type="spellEnd"/>
      <w:r w:rsidRPr="003B0572">
        <w:rPr>
          <w:rFonts w:ascii="Times New Roman" w:hAnsi="Times New Roman" w:cs="Times New Roman"/>
          <w:sz w:val="24"/>
          <w:szCs w:val="24"/>
          <w:lang w:val="en-IN"/>
        </w:rPr>
        <w:t xml:space="preserve">, Manish Kumar Mittal, </w:t>
      </w:r>
      <w:proofErr w:type="spellStart"/>
      <w:r w:rsidRPr="003B0572">
        <w:rPr>
          <w:rFonts w:ascii="Times New Roman" w:hAnsi="Times New Roman" w:cs="Times New Roman"/>
          <w:sz w:val="24"/>
          <w:szCs w:val="24"/>
          <w:lang w:val="en-IN"/>
        </w:rPr>
        <w:t>Parthvee</w:t>
      </w:r>
      <w:proofErr w:type="spellEnd"/>
      <w:r w:rsidRPr="003B0572">
        <w:rPr>
          <w:rFonts w:ascii="Times New Roman" w:hAnsi="Times New Roman" w:cs="Times New Roman"/>
          <w:sz w:val="24"/>
          <w:szCs w:val="24"/>
          <w:lang w:val="en-IN"/>
        </w:rPr>
        <w:t xml:space="preserve"> RD, P Manivel and </w:t>
      </w:r>
      <w:proofErr w:type="spellStart"/>
      <w:r w:rsidRPr="003B0572">
        <w:rPr>
          <w:rFonts w:ascii="Times New Roman" w:hAnsi="Times New Roman" w:cs="Times New Roman"/>
          <w:sz w:val="24"/>
          <w:szCs w:val="24"/>
          <w:lang w:val="en-IN"/>
        </w:rPr>
        <w:t>Satyanshu</w:t>
      </w:r>
      <w:proofErr w:type="spellEnd"/>
      <w:r w:rsidRPr="003B0572">
        <w:rPr>
          <w:rFonts w:ascii="Times New Roman" w:hAnsi="Times New Roman" w:cs="Times New Roman"/>
          <w:sz w:val="24"/>
          <w:szCs w:val="24"/>
          <w:lang w:val="en-IN"/>
        </w:rPr>
        <w:t xml:space="preserve"> Kumar. Exploration, collection and conservation of </w:t>
      </w:r>
      <w:proofErr w:type="spellStart"/>
      <w:r w:rsidRPr="003B0572">
        <w:rPr>
          <w:rFonts w:ascii="Times New Roman" w:hAnsi="Times New Roman" w:cs="Times New Roman"/>
          <w:i/>
          <w:iCs/>
          <w:sz w:val="24"/>
          <w:szCs w:val="24"/>
          <w:lang w:val="en-IN"/>
        </w:rPr>
        <w:t>Gymnema</w:t>
      </w:r>
      <w:proofErr w:type="spellEnd"/>
      <w:r w:rsidRPr="003B0572">
        <w:rPr>
          <w:rFonts w:ascii="Times New Roman" w:hAnsi="Times New Roman" w:cs="Times New Roman"/>
          <w:i/>
          <w:iCs/>
          <w:sz w:val="24"/>
          <w:szCs w:val="24"/>
          <w:lang w:val="en-IN"/>
        </w:rPr>
        <w:t xml:space="preserve"> </w:t>
      </w:r>
      <w:proofErr w:type="spellStart"/>
      <w:r w:rsidRPr="003B0572">
        <w:rPr>
          <w:rFonts w:ascii="Times New Roman" w:hAnsi="Times New Roman" w:cs="Times New Roman"/>
          <w:i/>
          <w:iCs/>
          <w:sz w:val="24"/>
          <w:szCs w:val="24"/>
          <w:lang w:val="en-IN"/>
        </w:rPr>
        <w:t>sylvestre</w:t>
      </w:r>
      <w:proofErr w:type="spellEnd"/>
      <w:r w:rsidRPr="003B0572">
        <w:rPr>
          <w:rFonts w:ascii="Times New Roman" w:hAnsi="Times New Roman" w:cs="Times New Roman"/>
          <w:sz w:val="24"/>
          <w:szCs w:val="24"/>
          <w:lang w:val="en-IN"/>
        </w:rPr>
        <w:t xml:space="preserve"> germplasm from different parts of India. J </w:t>
      </w:r>
      <w:proofErr w:type="spellStart"/>
      <w:r w:rsidRPr="003B0572">
        <w:rPr>
          <w:rFonts w:ascii="Times New Roman" w:hAnsi="Times New Roman" w:cs="Times New Roman"/>
          <w:sz w:val="24"/>
          <w:szCs w:val="24"/>
          <w:lang w:val="en-IN"/>
        </w:rPr>
        <w:t>Pharmacogn</w:t>
      </w:r>
      <w:proofErr w:type="spellEnd"/>
      <w:r w:rsidRPr="003B0572">
        <w:rPr>
          <w:rFonts w:ascii="Times New Roman" w:hAnsi="Times New Roman" w:cs="Times New Roman"/>
          <w:sz w:val="24"/>
          <w:szCs w:val="24"/>
          <w:lang w:val="en-IN"/>
        </w:rPr>
        <w:t xml:space="preserve"> </w:t>
      </w:r>
      <w:proofErr w:type="spellStart"/>
      <w:r w:rsidRPr="003B0572">
        <w:rPr>
          <w:rFonts w:ascii="Times New Roman" w:hAnsi="Times New Roman" w:cs="Times New Roman"/>
          <w:sz w:val="24"/>
          <w:szCs w:val="24"/>
          <w:lang w:val="en-IN"/>
        </w:rPr>
        <w:t>Phytochem</w:t>
      </w:r>
      <w:proofErr w:type="spellEnd"/>
      <w:r w:rsidRPr="003B0572">
        <w:rPr>
          <w:rFonts w:ascii="Times New Roman" w:hAnsi="Times New Roman" w:cs="Times New Roman"/>
          <w:sz w:val="24"/>
          <w:szCs w:val="24"/>
          <w:lang w:val="en-IN"/>
        </w:rPr>
        <w:t xml:space="preserve"> 2019;8(1):352-355.</w:t>
      </w:r>
    </w:p>
    <w:p w14:paraId="73A4D881" w14:textId="29552313" w:rsidR="00404F55" w:rsidRPr="00404F55" w:rsidRDefault="003B0572" w:rsidP="00404F55">
      <w:pPr>
        <w:pStyle w:val="ListParagraph"/>
        <w:numPr>
          <w:ilvl w:val="0"/>
          <w:numId w:val="13"/>
        </w:numPr>
        <w:jc w:val="both"/>
        <w:rPr>
          <w:rFonts w:ascii="Times New Roman" w:hAnsi="Times New Roman" w:cs="Times New Roman"/>
          <w:sz w:val="24"/>
          <w:szCs w:val="24"/>
          <w:lang w:val="en-IN"/>
        </w:rPr>
      </w:pPr>
      <w:proofErr w:type="spellStart"/>
      <w:r w:rsidRPr="00404F55">
        <w:rPr>
          <w:rFonts w:ascii="Times New Roman" w:hAnsi="Times New Roman" w:cs="Times New Roman"/>
          <w:sz w:val="24"/>
          <w:szCs w:val="24"/>
        </w:rPr>
        <w:t>Chinapolaiah</w:t>
      </w:r>
      <w:proofErr w:type="spellEnd"/>
      <w:r w:rsidRPr="00404F55">
        <w:rPr>
          <w:rFonts w:ascii="Times New Roman" w:hAnsi="Times New Roman" w:cs="Times New Roman"/>
          <w:sz w:val="24"/>
          <w:szCs w:val="24"/>
        </w:rPr>
        <w:t xml:space="preserve">, P., Ramesh, T., Prasanna, K. P. R., &amp; Babu, K. N. (2019). Exploration, collection and conservation of </w:t>
      </w:r>
      <w:proofErr w:type="spellStart"/>
      <w:r w:rsidRPr="00404F55">
        <w:rPr>
          <w:rFonts w:ascii="Times New Roman" w:hAnsi="Times New Roman" w:cs="Times New Roman"/>
          <w:i/>
          <w:iCs/>
          <w:sz w:val="24"/>
          <w:szCs w:val="24"/>
        </w:rPr>
        <w:t>Gymnema</w:t>
      </w:r>
      <w:proofErr w:type="spellEnd"/>
      <w:r w:rsidRPr="00404F55">
        <w:rPr>
          <w:rFonts w:ascii="Times New Roman" w:hAnsi="Times New Roman" w:cs="Times New Roman"/>
          <w:i/>
          <w:iCs/>
          <w:sz w:val="24"/>
          <w:szCs w:val="24"/>
        </w:rPr>
        <w:t xml:space="preserve"> </w:t>
      </w:r>
      <w:proofErr w:type="spellStart"/>
      <w:r w:rsidRPr="00404F55">
        <w:rPr>
          <w:rFonts w:ascii="Times New Roman" w:hAnsi="Times New Roman" w:cs="Times New Roman"/>
          <w:i/>
          <w:iCs/>
          <w:sz w:val="24"/>
          <w:szCs w:val="24"/>
        </w:rPr>
        <w:t>sylvestre</w:t>
      </w:r>
      <w:proofErr w:type="spellEnd"/>
      <w:r w:rsidRPr="00404F55">
        <w:rPr>
          <w:rFonts w:ascii="Times New Roman" w:hAnsi="Times New Roman" w:cs="Times New Roman"/>
          <w:sz w:val="24"/>
          <w:szCs w:val="24"/>
        </w:rPr>
        <w:t xml:space="preserve"> germplasm from different parts of India. </w:t>
      </w:r>
      <w:r w:rsidRPr="00404F55">
        <w:rPr>
          <w:rFonts w:ascii="Times New Roman" w:hAnsi="Times New Roman" w:cs="Times New Roman"/>
          <w:i/>
          <w:iCs/>
          <w:sz w:val="24"/>
          <w:szCs w:val="24"/>
        </w:rPr>
        <w:t>Journal of Pharmacognosy and Phytochemistry</w:t>
      </w:r>
      <w:r w:rsidRPr="00404F55">
        <w:rPr>
          <w:rFonts w:ascii="Times New Roman" w:hAnsi="Times New Roman" w:cs="Times New Roman"/>
          <w:sz w:val="24"/>
          <w:szCs w:val="24"/>
        </w:rPr>
        <w:t xml:space="preserve">, 8(1), 286–289. </w:t>
      </w:r>
    </w:p>
    <w:p w14:paraId="7A04B89A" w14:textId="77777777" w:rsidR="00404F55" w:rsidRPr="00404F55" w:rsidRDefault="003B0572" w:rsidP="00404F55">
      <w:pPr>
        <w:pStyle w:val="ListParagraph"/>
        <w:numPr>
          <w:ilvl w:val="0"/>
          <w:numId w:val="13"/>
        </w:numPr>
        <w:jc w:val="both"/>
        <w:rPr>
          <w:rFonts w:ascii="Times New Roman" w:hAnsi="Times New Roman" w:cs="Times New Roman"/>
          <w:sz w:val="24"/>
          <w:szCs w:val="24"/>
          <w:lang w:val="en-IN"/>
        </w:rPr>
      </w:pPr>
      <w:r w:rsidRPr="00404F55">
        <w:rPr>
          <w:rFonts w:ascii="Times New Roman" w:hAnsi="Times New Roman" w:cs="Times New Roman"/>
          <w:sz w:val="24"/>
          <w:szCs w:val="24"/>
        </w:rPr>
        <w:t xml:space="preserve">Tamil Nadu Agricultural University (TNAU). (2022). </w:t>
      </w:r>
      <w:proofErr w:type="spellStart"/>
      <w:r w:rsidRPr="00404F55">
        <w:rPr>
          <w:rFonts w:ascii="Times New Roman" w:hAnsi="Times New Roman" w:cs="Times New Roman"/>
          <w:i/>
          <w:iCs/>
          <w:sz w:val="24"/>
          <w:szCs w:val="24"/>
        </w:rPr>
        <w:t>Gymnema</w:t>
      </w:r>
      <w:proofErr w:type="spellEnd"/>
      <w:r w:rsidRPr="00404F55">
        <w:rPr>
          <w:rFonts w:ascii="Times New Roman" w:hAnsi="Times New Roman" w:cs="Times New Roman"/>
          <w:i/>
          <w:iCs/>
          <w:sz w:val="24"/>
          <w:szCs w:val="24"/>
        </w:rPr>
        <w:t xml:space="preserve"> </w:t>
      </w:r>
      <w:proofErr w:type="spellStart"/>
      <w:r w:rsidRPr="00404F55">
        <w:rPr>
          <w:rFonts w:ascii="Times New Roman" w:hAnsi="Times New Roman" w:cs="Times New Roman"/>
          <w:i/>
          <w:iCs/>
          <w:sz w:val="24"/>
          <w:szCs w:val="24"/>
        </w:rPr>
        <w:t>sylvestre</w:t>
      </w:r>
      <w:proofErr w:type="spellEnd"/>
      <w:r w:rsidRPr="00404F55">
        <w:rPr>
          <w:rFonts w:ascii="Times New Roman" w:hAnsi="Times New Roman" w:cs="Times New Roman"/>
          <w:i/>
          <w:iCs/>
          <w:sz w:val="24"/>
          <w:szCs w:val="24"/>
        </w:rPr>
        <w:t xml:space="preserve"> - Cultivation Practices</w:t>
      </w:r>
      <w:r w:rsidRPr="00404F55">
        <w:rPr>
          <w:rFonts w:ascii="Times New Roman" w:hAnsi="Times New Roman" w:cs="Times New Roman"/>
          <w:sz w:val="24"/>
          <w:szCs w:val="24"/>
        </w:rPr>
        <w:t xml:space="preserve">. </w:t>
      </w:r>
      <w:proofErr w:type="spellStart"/>
      <w:r w:rsidRPr="00404F55">
        <w:rPr>
          <w:rFonts w:ascii="Times New Roman" w:hAnsi="Times New Roman" w:cs="Times New Roman"/>
          <w:sz w:val="24"/>
          <w:szCs w:val="24"/>
        </w:rPr>
        <w:t>Vikaspedia</w:t>
      </w:r>
      <w:proofErr w:type="spellEnd"/>
    </w:p>
    <w:p w14:paraId="53A28558" w14:textId="212DEDB3" w:rsidR="003B0572" w:rsidRPr="00404F55" w:rsidRDefault="003B0572" w:rsidP="00404F55">
      <w:pPr>
        <w:pStyle w:val="ListParagraph"/>
        <w:numPr>
          <w:ilvl w:val="0"/>
          <w:numId w:val="13"/>
        </w:numPr>
        <w:jc w:val="both"/>
        <w:rPr>
          <w:rFonts w:ascii="Times New Roman" w:hAnsi="Times New Roman" w:cs="Times New Roman"/>
          <w:sz w:val="24"/>
          <w:szCs w:val="24"/>
          <w:lang w:val="en-IN"/>
        </w:rPr>
      </w:pPr>
      <w:r w:rsidRPr="00404F55">
        <w:rPr>
          <w:rFonts w:ascii="Times New Roman" w:hAnsi="Times New Roman" w:cs="Times New Roman"/>
          <w:sz w:val="24"/>
          <w:szCs w:val="24"/>
        </w:rPr>
        <w:lastRenderedPageBreak/>
        <w:t xml:space="preserve">Murthy, H. N., Dhanalakshmi, S., Srinivasan, R., &amp; Paek, K. Y. (2018). Development of synthetic seeds in </w:t>
      </w:r>
      <w:proofErr w:type="spellStart"/>
      <w:r w:rsidRPr="00404F55">
        <w:rPr>
          <w:rFonts w:ascii="Times New Roman" w:hAnsi="Times New Roman" w:cs="Times New Roman"/>
          <w:i/>
          <w:iCs/>
          <w:sz w:val="24"/>
          <w:szCs w:val="24"/>
        </w:rPr>
        <w:t>Gymnema</w:t>
      </w:r>
      <w:proofErr w:type="spellEnd"/>
      <w:r w:rsidRPr="00404F55">
        <w:rPr>
          <w:rFonts w:ascii="Times New Roman" w:hAnsi="Times New Roman" w:cs="Times New Roman"/>
          <w:i/>
          <w:iCs/>
          <w:sz w:val="24"/>
          <w:szCs w:val="24"/>
        </w:rPr>
        <w:t xml:space="preserve"> </w:t>
      </w:r>
      <w:proofErr w:type="spellStart"/>
      <w:r w:rsidRPr="00404F55">
        <w:rPr>
          <w:rFonts w:ascii="Times New Roman" w:hAnsi="Times New Roman" w:cs="Times New Roman"/>
          <w:i/>
          <w:iCs/>
          <w:sz w:val="24"/>
          <w:szCs w:val="24"/>
        </w:rPr>
        <w:t>sylvestre</w:t>
      </w:r>
      <w:proofErr w:type="spellEnd"/>
      <w:r w:rsidRPr="00404F55">
        <w:rPr>
          <w:rFonts w:ascii="Times New Roman" w:hAnsi="Times New Roman" w:cs="Times New Roman"/>
          <w:sz w:val="24"/>
          <w:szCs w:val="24"/>
        </w:rPr>
        <w:t xml:space="preserve"> R.Br. and assessment of genetic stability using ISSR markers. </w:t>
      </w:r>
      <w:r w:rsidRPr="00404F55">
        <w:rPr>
          <w:rFonts w:ascii="Times New Roman" w:hAnsi="Times New Roman" w:cs="Times New Roman"/>
          <w:i/>
          <w:iCs/>
          <w:sz w:val="24"/>
          <w:szCs w:val="24"/>
        </w:rPr>
        <w:t>Plant Cell, Tissue and Organ Culture (PCTOC)</w:t>
      </w:r>
      <w:r w:rsidRPr="00404F55">
        <w:rPr>
          <w:rFonts w:ascii="Times New Roman" w:hAnsi="Times New Roman" w:cs="Times New Roman"/>
          <w:sz w:val="24"/>
          <w:szCs w:val="24"/>
        </w:rPr>
        <w:t>, 132(1), 121–129. https://doi.org/10.1007/s11240-018-1409-6</w:t>
      </w:r>
    </w:p>
    <w:p w14:paraId="6825DEC0" w14:textId="77777777" w:rsidR="003E60D0" w:rsidRPr="00037244" w:rsidRDefault="003E60D0" w:rsidP="0006646C">
      <w:pPr>
        <w:spacing w:line="240" w:lineRule="auto"/>
        <w:jc w:val="both"/>
        <w:rPr>
          <w:rFonts w:ascii="Times New Roman" w:hAnsi="Times New Roman" w:cs="Times New Roman"/>
          <w:sz w:val="24"/>
          <w:szCs w:val="24"/>
        </w:rPr>
      </w:pPr>
    </w:p>
    <w:sectPr w:rsidR="003E60D0" w:rsidRPr="0003724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BC97" w14:textId="77777777" w:rsidR="004F4EC1" w:rsidRDefault="004F4EC1" w:rsidP="009F52F9">
      <w:pPr>
        <w:spacing w:after="0" w:line="240" w:lineRule="auto"/>
      </w:pPr>
      <w:r>
        <w:separator/>
      </w:r>
    </w:p>
  </w:endnote>
  <w:endnote w:type="continuationSeparator" w:id="0">
    <w:p w14:paraId="081D8431" w14:textId="77777777" w:rsidR="004F4EC1" w:rsidRDefault="004F4EC1" w:rsidP="009F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7CBB" w14:textId="77777777" w:rsidR="009F52F9" w:rsidRDefault="009F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8EE5" w14:textId="77777777" w:rsidR="009F52F9" w:rsidRDefault="009F5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53D3" w14:textId="77777777" w:rsidR="009F52F9" w:rsidRDefault="009F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232E" w14:textId="77777777" w:rsidR="004F4EC1" w:rsidRDefault="004F4EC1" w:rsidP="009F52F9">
      <w:pPr>
        <w:spacing w:after="0" w:line="240" w:lineRule="auto"/>
      </w:pPr>
      <w:r>
        <w:separator/>
      </w:r>
    </w:p>
  </w:footnote>
  <w:footnote w:type="continuationSeparator" w:id="0">
    <w:p w14:paraId="727DB82E" w14:textId="77777777" w:rsidR="004F4EC1" w:rsidRDefault="004F4EC1" w:rsidP="009F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4AAC" w14:textId="0562BC7C" w:rsidR="009F52F9" w:rsidRDefault="00000000">
    <w:pPr>
      <w:pStyle w:val="Header"/>
    </w:pPr>
    <w:r>
      <w:rPr>
        <w:noProof/>
      </w:rPr>
      <w:pict w14:anchorId="79B3E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971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8D78" w14:textId="14F743EB" w:rsidR="009F52F9" w:rsidRDefault="00000000">
    <w:pPr>
      <w:pStyle w:val="Header"/>
    </w:pPr>
    <w:r>
      <w:rPr>
        <w:noProof/>
      </w:rPr>
      <w:pict w14:anchorId="27EB9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971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D2F6" w14:textId="34946E98" w:rsidR="009F52F9" w:rsidRDefault="00000000">
    <w:pPr>
      <w:pStyle w:val="Header"/>
    </w:pPr>
    <w:r>
      <w:rPr>
        <w:noProof/>
      </w:rPr>
      <w:pict w14:anchorId="2EB01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971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031BC"/>
    <w:multiLevelType w:val="hybridMultilevel"/>
    <w:tmpl w:val="1C1496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069C2"/>
    <w:multiLevelType w:val="hybridMultilevel"/>
    <w:tmpl w:val="D05018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FB3377"/>
    <w:multiLevelType w:val="hybridMultilevel"/>
    <w:tmpl w:val="1C149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803B7"/>
    <w:multiLevelType w:val="hybridMultilevel"/>
    <w:tmpl w:val="CFE07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4C3D47"/>
    <w:multiLevelType w:val="hybridMultilevel"/>
    <w:tmpl w:val="CC9648C2"/>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541490"/>
    <w:multiLevelType w:val="multilevel"/>
    <w:tmpl w:val="02443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77B9C"/>
    <w:multiLevelType w:val="hybridMultilevel"/>
    <w:tmpl w:val="14C64638"/>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B93CBB"/>
    <w:multiLevelType w:val="hybridMultilevel"/>
    <w:tmpl w:val="0B0C21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11717E"/>
    <w:multiLevelType w:val="multilevel"/>
    <w:tmpl w:val="86FA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3E4D94"/>
    <w:multiLevelType w:val="hybridMultilevel"/>
    <w:tmpl w:val="C778E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A560FA"/>
    <w:multiLevelType w:val="hybridMultilevel"/>
    <w:tmpl w:val="74E4AD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2CB7B61"/>
    <w:multiLevelType w:val="multilevel"/>
    <w:tmpl w:val="205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F734B"/>
    <w:multiLevelType w:val="multilevel"/>
    <w:tmpl w:val="AA1A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910BC"/>
    <w:multiLevelType w:val="multilevel"/>
    <w:tmpl w:val="461A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CA3547"/>
    <w:multiLevelType w:val="multilevel"/>
    <w:tmpl w:val="51BC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23043"/>
    <w:multiLevelType w:val="hybridMultilevel"/>
    <w:tmpl w:val="4F107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164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664127">
    <w:abstractNumId w:val="1"/>
  </w:num>
  <w:num w:numId="3" w16cid:durableId="1631665221">
    <w:abstractNumId w:val="5"/>
  </w:num>
  <w:num w:numId="4" w16cid:durableId="382214003">
    <w:abstractNumId w:val="6"/>
  </w:num>
  <w:num w:numId="5" w16cid:durableId="489977892">
    <w:abstractNumId w:val="3"/>
  </w:num>
  <w:num w:numId="6" w16cid:durableId="932860931">
    <w:abstractNumId w:val="7"/>
  </w:num>
  <w:num w:numId="7" w16cid:durableId="393092325">
    <w:abstractNumId w:val="15"/>
  </w:num>
  <w:num w:numId="8" w16cid:durableId="1726874667">
    <w:abstractNumId w:val="4"/>
  </w:num>
  <w:num w:numId="9" w16cid:durableId="398601404">
    <w:abstractNumId w:val="9"/>
  </w:num>
  <w:num w:numId="10" w16cid:durableId="327565764">
    <w:abstractNumId w:val="8"/>
  </w:num>
  <w:num w:numId="11" w16cid:durableId="824932221">
    <w:abstractNumId w:val="2"/>
  </w:num>
  <w:num w:numId="12" w16cid:durableId="592057634">
    <w:abstractNumId w:val="0"/>
  </w:num>
  <w:num w:numId="13" w16cid:durableId="1281692290">
    <w:abstractNumId w:val="12"/>
  </w:num>
  <w:num w:numId="14" w16cid:durableId="162400994">
    <w:abstractNumId w:val="14"/>
  </w:num>
  <w:num w:numId="15" w16cid:durableId="924343730">
    <w:abstractNumId w:val="11"/>
  </w:num>
  <w:num w:numId="16" w16cid:durableId="656611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ED"/>
    <w:rsid w:val="000013A3"/>
    <w:rsid w:val="000015FE"/>
    <w:rsid w:val="00030CC7"/>
    <w:rsid w:val="00037244"/>
    <w:rsid w:val="0006646C"/>
    <w:rsid w:val="000B3C73"/>
    <w:rsid w:val="00121DB1"/>
    <w:rsid w:val="00131C94"/>
    <w:rsid w:val="00151BEE"/>
    <w:rsid w:val="001A52A5"/>
    <w:rsid w:val="00215537"/>
    <w:rsid w:val="002515D1"/>
    <w:rsid w:val="00281DA8"/>
    <w:rsid w:val="00286EBA"/>
    <w:rsid w:val="002C0773"/>
    <w:rsid w:val="002D53CC"/>
    <w:rsid w:val="0031207A"/>
    <w:rsid w:val="0035763C"/>
    <w:rsid w:val="003B0572"/>
    <w:rsid w:val="003E60D0"/>
    <w:rsid w:val="00404F55"/>
    <w:rsid w:val="004677BC"/>
    <w:rsid w:val="00471783"/>
    <w:rsid w:val="004A00CE"/>
    <w:rsid w:val="004B3E93"/>
    <w:rsid w:val="004E5691"/>
    <w:rsid w:val="004F4EC1"/>
    <w:rsid w:val="005035B6"/>
    <w:rsid w:val="00523BAF"/>
    <w:rsid w:val="005456C6"/>
    <w:rsid w:val="005F101F"/>
    <w:rsid w:val="00665CCB"/>
    <w:rsid w:val="00666A2D"/>
    <w:rsid w:val="006854E1"/>
    <w:rsid w:val="006C4B1F"/>
    <w:rsid w:val="006D79EA"/>
    <w:rsid w:val="006F0273"/>
    <w:rsid w:val="006F7065"/>
    <w:rsid w:val="007959E7"/>
    <w:rsid w:val="007A5C64"/>
    <w:rsid w:val="007E42FA"/>
    <w:rsid w:val="00804E47"/>
    <w:rsid w:val="009255ED"/>
    <w:rsid w:val="00950CEA"/>
    <w:rsid w:val="009A4DC0"/>
    <w:rsid w:val="009D1964"/>
    <w:rsid w:val="009F1E2B"/>
    <w:rsid w:val="009F52F9"/>
    <w:rsid w:val="00A00284"/>
    <w:rsid w:val="00B17D34"/>
    <w:rsid w:val="00B20FC9"/>
    <w:rsid w:val="00B75ED0"/>
    <w:rsid w:val="00BB1C15"/>
    <w:rsid w:val="00BC5093"/>
    <w:rsid w:val="00BE4D26"/>
    <w:rsid w:val="00BF595C"/>
    <w:rsid w:val="00CF3B2A"/>
    <w:rsid w:val="00D03485"/>
    <w:rsid w:val="00D07812"/>
    <w:rsid w:val="00D53500"/>
    <w:rsid w:val="00D613AE"/>
    <w:rsid w:val="00D8417C"/>
    <w:rsid w:val="00DA70DA"/>
    <w:rsid w:val="00DB13BC"/>
    <w:rsid w:val="00DF3E89"/>
    <w:rsid w:val="00E12E0F"/>
    <w:rsid w:val="00E135E2"/>
    <w:rsid w:val="00E17BEE"/>
    <w:rsid w:val="00E23290"/>
    <w:rsid w:val="00E36CC1"/>
    <w:rsid w:val="00E5594F"/>
    <w:rsid w:val="00E638D3"/>
    <w:rsid w:val="00E8439F"/>
    <w:rsid w:val="00E9533D"/>
    <w:rsid w:val="00EB1711"/>
    <w:rsid w:val="00EF0E28"/>
    <w:rsid w:val="00F11566"/>
    <w:rsid w:val="00F81B95"/>
    <w:rsid w:val="00F842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53815"/>
  <w15:docId w15:val="{978128CB-1B95-4365-9597-AEF1369D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ED"/>
    <w:rPr>
      <w:rFonts w:cs="Mangal"/>
      <w:szCs w:val="20"/>
      <w:lang w:bidi="hi-IN"/>
    </w:rPr>
  </w:style>
  <w:style w:type="paragraph" w:styleId="Heading3">
    <w:name w:val="heading 3"/>
    <w:basedOn w:val="Normal"/>
    <w:next w:val="Normal"/>
    <w:link w:val="Heading3Char"/>
    <w:uiPriority w:val="9"/>
    <w:unhideWhenUsed/>
    <w:qFormat/>
    <w:rsid w:val="00665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5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Dot pt,No Spacing1,List Paragraph Char Char Char,Indicator Text,List Paragraph1,Numbered Para 1,List Paragraph12,Bullet Points,MAIN CONTENT,Bullet 1,Colorful List - Accent 11,Citation List"/>
    <w:basedOn w:val="Normal"/>
    <w:link w:val="ListParagraphChar"/>
    <w:uiPriority w:val="34"/>
    <w:qFormat/>
    <w:rsid w:val="009255ED"/>
    <w:pPr>
      <w:ind w:left="720"/>
      <w:contextualSpacing/>
    </w:pPr>
    <w:rPr>
      <w:rFonts w:cstheme="minorBidi"/>
      <w:szCs w:val="22"/>
      <w:lang w:val="en-US" w:bidi="ar-SA"/>
    </w:rPr>
  </w:style>
  <w:style w:type="character" w:customStyle="1" w:styleId="ListParagraphChar">
    <w:name w:val="List Paragraph Char"/>
    <w:aliases w:val="Report Para Char,Dot pt Char,No Spacing1 Char,List Paragraph Char Char Char Char,Indicator Text Char,List Paragraph1 Char,Numbered Para 1 Char,List Paragraph12 Char,Bullet Points Char,MAIN CONTENT Char,Bullet 1 Char"/>
    <w:link w:val="ListParagraph"/>
    <w:uiPriority w:val="34"/>
    <w:qFormat/>
    <w:locked/>
    <w:rsid w:val="009255ED"/>
    <w:rPr>
      <w:lang w:val="en-US"/>
    </w:rPr>
  </w:style>
  <w:style w:type="paragraph" w:styleId="BalloonText">
    <w:name w:val="Balloon Text"/>
    <w:basedOn w:val="Normal"/>
    <w:link w:val="BalloonTextChar"/>
    <w:uiPriority w:val="99"/>
    <w:semiHidden/>
    <w:unhideWhenUsed/>
    <w:rsid w:val="009255E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255ED"/>
    <w:rPr>
      <w:rFonts w:ascii="Tahoma" w:hAnsi="Tahoma" w:cs="Mangal"/>
      <w:sz w:val="16"/>
      <w:szCs w:val="14"/>
      <w:lang w:bidi="hi-IN"/>
    </w:rPr>
  </w:style>
  <w:style w:type="character" w:customStyle="1" w:styleId="Heading3Char">
    <w:name w:val="Heading 3 Char"/>
    <w:basedOn w:val="DefaultParagraphFont"/>
    <w:link w:val="Heading3"/>
    <w:uiPriority w:val="9"/>
    <w:rsid w:val="00665CCB"/>
    <w:rPr>
      <w:rFonts w:asciiTheme="majorHAnsi" w:eastAsiaTheme="majorEastAsia" w:hAnsiTheme="majorHAnsi" w:cstheme="majorBidi"/>
      <w:b/>
      <w:bCs/>
      <w:color w:val="4F81BD" w:themeColor="accent1"/>
      <w:szCs w:val="20"/>
      <w:lang w:bidi="hi-IN"/>
    </w:rPr>
  </w:style>
  <w:style w:type="character" w:styleId="Emphasis">
    <w:name w:val="Emphasis"/>
    <w:basedOn w:val="DefaultParagraphFont"/>
    <w:uiPriority w:val="20"/>
    <w:qFormat/>
    <w:rsid w:val="00665CCB"/>
    <w:rPr>
      <w:i/>
      <w:iCs/>
    </w:rPr>
  </w:style>
  <w:style w:type="paragraph" w:styleId="NormalWeb">
    <w:name w:val="Normal (Web)"/>
    <w:basedOn w:val="Normal"/>
    <w:uiPriority w:val="99"/>
    <w:unhideWhenUsed/>
    <w:rsid w:val="00665C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65CCB"/>
    <w:rPr>
      <w:b/>
      <w:bCs/>
    </w:rPr>
  </w:style>
  <w:style w:type="paragraph" w:customStyle="1" w:styleId="Default">
    <w:name w:val="Default"/>
    <w:rsid w:val="00665C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6646C"/>
    <w:rPr>
      <w:color w:val="0000FF" w:themeColor="hyperlink"/>
      <w:u w:val="single"/>
    </w:rPr>
  </w:style>
  <w:style w:type="character" w:customStyle="1" w:styleId="UnresolvedMention1">
    <w:name w:val="Unresolved Mention1"/>
    <w:basedOn w:val="DefaultParagraphFont"/>
    <w:uiPriority w:val="99"/>
    <w:semiHidden/>
    <w:unhideWhenUsed/>
    <w:rsid w:val="003E60D0"/>
    <w:rPr>
      <w:color w:val="605E5C"/>
      <w:shd w:val="clear" w:color="auto" w:fill="E1DFDD"/>
    </w:rPr>
  </w:style>
  <w:style w:type="table" w:customStyle="1" w:styleId="ListTable21">
    <w:name w:val="List Table 21"/>
    <w:basedOn w:val="TableNormal"/>
    <w:uiPriority w:val="47"/>
    <w:rsid w:val="0035763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E638D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8417C"/>
    <w:rPr>
      <w:color w:val="605E5C"/>
      <w:shd w:val="clear" w:color="auto" w:fill="E1DFDD"/>
    </w:rPr>
  </w:style>
  <w:style w:type="paragraph" w:styleId="Header">
    <w:name w:val="header"/>
    <w:basedOn w:val="Normal"/>
    <w:link w:val="HeaderChar"/>
    <w:uiPriority w:val="99"/>
    <w:unhideWhenUsed/>
    <w:rsid w:val="009F5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2F9"/>
    <w:rPr>
      <w:rFonts w:cs="Mangal"/>
      <w:szCs w:val="20"/>
      <w:lang w:bidi="hi-IN"/>
    </w:rPr>
  </w:style>
  <w:style w:type="paragraph" w:styleId="Footer">
    <w:name w:val="footer"/>
    <w:basedOn w:val="Normal"/>
    <w:link w:val="FooterChar"/>
    <w:uiPriority w:val="99"/>
    <w:unhideWhenUsed/>
    <w:rsid w:val="009F5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2F9"/>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5030">
      <w:bodyDiv w:val="1"/>
      <w:marLeft w:val="0"/>
      <w:marRight w:val="0"/>
      <w:marTop w:val="0"/>
      <w:marBottom w:val="0"/>
      <w:divBdr>
        <w:top w:val="none" w:sz="0" w:space="0" w:color="auto"/>
        <w:left w:val="none" w:sz="0" w:space="0" w:color="auto"/>
        <w:bottom w:val="none" w:sz="0" w:space="0" w:color="auto"/>
        <w:right w:val="none" w:sz="0" w:space="0" w:color="auto"/>
      </w:divBdr>
    </w:div>
    <w:div w:id="121466719">
      <w:bodyDiv w:val="1"/>
      <w:marLeft w:val="0"/>
      <w:marRight w:val="0"/>
      <w:marTop w:val="0"/>
      <w:marBottom w:val="0"/>
      <w:divBdr>
        <w:top w:val="none" w:sz="0" w:space="0" w:color="auto"/>
        <w:left w:val="none" w:sz="0" w:space="0" w:color="auto"/>
        <w:bottom w:val="none" w:sz="0" w:space="0" w:color="auto"/>
        <w:right w:val="none" w:sz="0" w:space="0" w:color="auto"/>
      </w:divBdr>
    </w:div>
    <w:div w:id="180248104">
      <w:bodyDiv w:val="1"/>
      <w:marLeft w:val="0"/>
      <w:marRight w:val="0"/>
      <w:marTop w:val="0"/>
      <w:marBottom w:val="0"/>
      <w:divBdr>
        <w:top w:val="none" w:sz="0" w:space="0" w:color="auto"/>
        <w:left w:val="none" w:sz="0" w:space="0" w:color="auto"/>
        <w:bottom w:val="none" w:sz="0" w:space="0" w:color="auto"/>
        <w:right w:val="none" w:sz="0" w:space="0" w:color="auto"/>
      </w:divBdr>
    </w:div>
    <w:div w:id="222566038">
      <w:bodyDiv w:val="1"/>
      <w:marLeft w:val="0"/>
      <w:marRight w:val="0"/>
      <w:marTop w:val="0"/>
      <w:marBottom w:val="0"/>
      <w:divBdr>
        <w:top w:val="none" w:sz="0" w:space="0" w:color="auto"/>
        <w:left w:val="none" w:sz="0" w:space="0" w:color="auto"/>
        <w:bottom w:val="none" w:sz="0" w:space="0" w:color="auto"/>
        <w:right w:val="none" w:sz="0" w:space="0" w:color="auto"/>
      </w:divBdr>
    </w:div>
    <w:div w:id="228419262">
      <w:bodyDiv w:val="1"/>
      <w:marLeft w:val="0"/>
      <w:marRight w:val="0"/>
      <w:marTop w:val="0"/>
      <w:marBottom w:val="0"/>
      <w:divBdr>
        <w:top w:val="none" w:sz="0" w:space="0" w:color="auto"/>
        <w:left w:val="none" w:sz="0" w:space="0" w:color="auto"/>
        <w:bottom w:val="none" w:sz="0" w:space="0" w:color="auto"/>
        <w:right w:val="none" w:sz="0" w:space="0" w:color="auto"/>
      </w:divBdr>
    </w:div>
    <w:div w:id="357128480">
      <w:bodyDiv w:val="1"/>
      <w:marLeft w:val="0"/>
      <w:marRight w:val="0"/>
      <w:marTop w:val="0"/>
      <w:marBottom w:val="0"/>
      <w:divBdr>
        <w:top w:val="none" w:sz="0" w:space="0" w:color="auto"/>
        <w:left w:val="none" w:sz="0" w:space="0" w:color="auto"/>
        <w:bottom w:val="none" w:sz="0" w:space="0" w:color="auto"/>
        <w:right w:val="none" w:sz="0" w:space="0" w:color="auto"/>
      </w:divBdr>
    </w:div>
    <w:div w:id="376201977">
      <w:bodyDiv w:val="1"/>
      <w:marLeft w:val="0"/>
      <w:marRight w:val="0"/>
      <w:marTop w:val="0"/>
      <w:marBottom w:val="0"/>
      <w:divBdr>
        <w:top w:val="none" w:sz="0" w:space="0" w:color="auto"/>
        <w:left w:val="none" w:sz="0" w:space="0" w:color="auto"/>
        <w:bottom w:val="none" w:sz="0" w:space="0" w:color="auto"/>
        <w:right w:val="none" w:sz="0" w:space="0" w:color="auto"/>
      </w:divBdr>
    </w:div>
    <w:div w:id="482623081">
      <w:bodyDiv w:val="1"/>
      <w:marLeft w:val="0"/>
      <w:marRight w:val="0"/>
      <w:marTop w:val="0"/>
      <w:marBottom w:val="0"/>
      <w:divBdr>
        <w:top w:val="none" w:sz="0" w:space="0" w:color="auto"/>
        <w:left w:val="none" w:sz="0" w:space="0" w:color="auto"/>
        <w:bottom w:val="none" w:sz="0" w:space="0" w:color="auto"/>
        <w:right w:val="none" w:sz="0" w:space="0" w:color="auto"/>
      </w:divBdr>
    </w:div>
    <w:div w:id="568854856">
      <w:bodyDiv w:val="1"/>
      <w:marLeft w:val="0"/>
      <w:marRight w:val="0"/>
      <w:marTop w:val="0"/>
      <w:marBottom w:val="0"/>
      <w:divBdr>
        <w:top w:val="none" w:sz="0" w:space="0" w:color="auto"/>
        <w:left w:val="none" w:sz="0" w:space="0" w:color="auto"/>
        <w:bottom w:val="none" w:sz="0" w:space="0" w:color="auto"/>
        <w:right w:val="none" w:sz="0" w:space="0" w:color="auto"/>
      </w:divBdr>
    </w:div>
    <w:div w:id="598028231">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748313116">
      <w:bodyDiv w:val="1"/>
      <w:marLeft w:val="0"/>
      <w:marRight w:val="0"/>
      <w:marTop w:val="0"/>
      <w:marBottom w:val="0"/>
      <w:divBdr>
        <w:top w:val="none" w:sz="0" w:space="0" w:color="auto"/>
        <w:left w:val="none" w:sz="0" w:space="0" w:color="auto"/>
        <w:bottom w:val="none" w:sz="0" w:space="0" w:color="auto"/>
        <w:right w:val="none" w:sz="0" w:space="0" w:color="auto"/>
      </w:divBdr>
    </w:div>
    <w:div w:id="774712303">
      <w:bodyDiv w:val="1"/>
      <w:marLeft w:val="0"/>
      <w:marRight w:val="0"/>
      <w:marTop w:val="0"/>
      <w:marBottom w:val="0"/>
      <w:divBdr>
        <w:top w:val="none" w:sz="0" w:space="0" w:color="auto"/>
        <w:left w:val="none" w:sz="0" w:space="0" w:color="auto"/>
        <w:bottom w:val="none" w:sz="0" w:space="0" w:color="auto"/>
        <w:right w:val="none" w:sz="0" w:space="0" w:color="auto"/>
      </w:divBdr>
    </w:div>
    <w:div w:id="801266697">
      <w:bodyDiv w:val="1"/>
      <w:marLeft w:val="0"/>
      <w:marRight w:val="0"/>
      <w:marTop w:val="0"/>
      <w:marBottom w:val="0"/>
      <w:divBdr>
        <w:top w:val="none" w:sz="0" w:space="0" w:color="auto"/>
        <w:left w:val="none" w:sz="0" w:space="0" w:color="auto"/>
        <w:bottom w:val="none" w:sz="0" w:space="0" w:color="auto"/>
        <w:right w:val="none" w:sz="0" w:space="0" w:color="auto"/>
      </w:divBdr>
    </w:div>
    <w:div w:id="828637601">
      <w:bodyDiv w:val="1"/>
      <w:marLeft w:val="0"/>
      <w:marRight w:val="0"/>
      <w:marTop w:val="0"/>
      <w:marBottom w:val="0"/>
      <w:divBdr>
        <w:top w:val="none" w:sz="0" w:space="0" w:color="auto"/>
        <w:left w:val="none" w:sz="0" w:space="0" w:color="auto"/>
        <w:bottom w:val="none" w:sz="0" w:space="0" w:color="auto"/>
        <w:right w:val="none" w:sz="0" w:space="0" w:color="auto"/>
      </w:divBdr>
    </w:div>
    <w:div w:id="838615674">
      <w:bodyDiv w:val="1"/>
      <w:marLeft w:val="0"/>
      <w:marRight w:val="0"/>
      <w:marTop w:val="0"/>
      <w:marBottom w:val="0"/>
      <w:divBdr>
        <w:top w:val="none" w:sz="0" w:space="0" w:color="auto"/>
        <w:left w:val="none" w:sz="0" w:space="0" w:color="auto"/>
        <w:bottom w:val="none" w:sz="0" w:space="0" w:color="auto"/>
        <w:right w:val="none" w:sz="0" w:space="0" w:color="auto"/>
      </w:divBdr>
    </w:div>
    <w:div w:id="838734972">
      <w:bodyDiv w:val="1"/>
      <w:marLeft w:val="0"/>
      <w:marRight w:val="0"/>
      <w:marTop w:val="0"/>
      <w:marBottom w:val="0"/>
      <w:divBdr>
        <w:top w:val="none" w:sz="0" w:space="0" w:color="auto"/>
        <w:left w:val="none" w:sz="0" w:space="0" w:color="auto"/>
        <w:bottom w:val="none" w:sz="0" w:space="0" w:color="auto"/>
        <w:right w:val="none" w:sz="0" w:space="0" w:color="auto"/>
      </w:divBdr>
    </w:div>
    <w:div w:id="839737249">
      <w:bodyDiv w:val="1"/>
      <w:marLeft w:val="0"/>
      <w:marRight w:val="0"/>
      <w:marTop w:val="0"/>
      <w:marBottom w:val="0"/>
      <w:divBdr>
        <w:top w:val="none" w:sz="0" w:space="0" w:color="auto"/>
        <w:left w:val="none" w:sz="0" w:space="0" w:color="auto"/>
        <w:bottom w:val="none" w:sz="0" w:space="0" w:color="auto"/>
        <w:right w:val="none" w:sz="0" w:space="0" w:color="auto"/>
      </w:divBdr>
    </w:div>
    <w:div w:id="928928321">
      <w:bodyDiv w:val="1"/>
      <w:marLeft w:val="0"/>
      <w:marRight w:val="0"/>
      <w:marTop w:val="0"/>
      <w:marBottom w:val="0"/>
      <w:divBdr>
        <w:top w:val="none" w:sz="0" w:space="0" w:color="auto"/>
        <w:left w:val="none" w:sz="0" w:space="0" w:color="auto"/>
        <w:bottom w:val="none" w:sz="0" w:space="0" w:color="auto"/>
        <w:right w:val="none" w:sz="0" w:space="0" w:color="auto"/>
      </w:divBdr>
    </w:div>
    <w:div w:id="944382634">
      <w:bodyDiv w:val="1"/>
      <w:marLeft w:val="0"/>
      <w:marRight w:val="0"/>
      <w:marTop w:val="0"/>
      <w:marBottom w:val="0"/>
      <w:divBdr>
        <w:top w:val="none" w:sz="0" w:space="0" w:color="auto"/>
        <w:left w:val="none" w:sz="0" w:space="0" w:color="auto"/>
        <w:bottom w:val="none" w:sz="0" w:space="0" w:color="auto"/>
        <w:right w:val="none" w:sz="0" w:space="0" w:color="auto"/>
      </w:divBdr>
    </w:div>
    <w:div w:id="982924974">
      <w:bodyDiv w:val="1"/>
      <w:marLeft w:val="0"/>
      <w:marRight w:val="0"/>
      <w:marTop w:val="0"/>
      <w:marBottom w:val="0"/>
      <w:divBdr>
        <w:top w:val="none" w:sz="0" w:space="0" w:color="auto"/>
        <w:left w:val="none" w:sz="0" w:space="0" w:color="auto"/>
        <w:bottom w:val="none" w:sz="0" w:space="0" w:color="auto"/>
        <w:right w:val="none" w:sz="0" w:space="0" w:color="auto"/>
      </w:divBdr>
    </w:div>
    <w:div w:id="1081369560">
      <w:bodyDiv w:val="1"/>
      <w:marLeft w:val="0"/>
      <w:marRight w:val="0"/>
      <w:marTop w:val="0"/>
      <w:marBottom w:val="0"/>
      <w:divBdr>
        <w:top w:val="none" w:sz="0" w:space="0" w:color="auto"/>
        <w:left w:val="none" w:sz="0" w:space="0" w:color="auto"/>
        <w:bottom w:val="none" w:sz="0" w:space="0" w:color="auto"/>
        <w:right w:val="none" w:sz="0" w:space="0" w:color="auto"/>
      </w:divBdr>
    </w:div>
    <w:div w:id="1098062219">
      <w:bodyDiv w:val="1"/>
      <w:marLeft w:val="0"/>
      <w:marRight w:val="0"/>
      <w:marTop w:val="0"/>
      <w:marBottom w:val="0"/>
      <w:divBdr>
        <w:top w:val="none" w:sz="0" w:space="0" w:color="auto"/>
        <w:left w:val="none" w:sz="0" w:space="0" w:color="auto"/>
        <w:bottom w:val="none" w:sz="0" w:space="0" w:color="auto"/>
        <w:right w:val="none" w:sz="0" w:space="0" w:color="auto"/>
      </w:divBdr>
    </w:div>
    <w:div w:id="1099259295">
      <w:bodyDiv w:val="1"/>
      <w:marLeft w:val="0"/>
      <w:marRight w:val="0"/>
      <w:marTop w:val="0"/>
      <w:marBottom w:val="0"/>
      <w:divBdr>
        <w:top w:val="none" w:sz="0" w:space="0" w:color="auto"/>
        <w:left w:val="none" w:sz="0" w:space="0" w:color="auto"/>
        <w:bottom w:val="none" w:sz="0" w:space="0" w:color="auto"/>
        <w:right w:val="none" w:sz="0" w:space="0" w:color="auto"/>
      </w:divBdr>
    </w:div>
    <w:div w:id="1132014216">
      <w:bodyDiv w:val="1"/>
      <w:marLeft w:val="0"/>
      <w:marRight w:val="0"/>
      <w:marTop w:val="0"/>
      <w:marBottom w:val="0"/>
      <w:divBdr>
        <w:top w:val="none" w:sz="0" w:space="0" w:color="auto"/>
        <w:left w:val="none" w:sz="0" w:space="0" w:color="auto"/>
        <w:bottom w:val="none" w:sz="0" w:space="0" w:color="auto"/>
        <w:right w:val="none" w:sz="0" w:space="0" w:color="auto"/>
      </w:divBdr>
    </w:div>
    <w:div w:id="1220477984">
      <w:bodyDiv w:val="1"/>
      <w:marLeft w:val="0"/>
      <w:marRight w:val="0"/>
      <w:marTop w:val="0"/>
      <w:marBottom w:val="0"/>
      <w:divBdr>
        <w:top w:val="none" w:sz="0" w:space="0" w:color="auto"/>
        <w:left w:val="none" w:sz="0" w:space="0" w:color="auto"/>
        <w:bottom w:val="none" w:sz="0" w:space="0" w:color="auto"/>
        <w:right w:val="none" w:sz="0" w:space="0" w:color="auto"/>
      </w:divBdr>
    </w:div>
    <w:div w:id="1251700404">
      <w:bodyDiv w:val="1"/>
      <w:marLeft w:val="0"/>
      <w:marRight w:val="0"/>
      <w:marTop w:val="0"/>
      <w:marBottom w:val="0"/>
      <w:divBdr>
        <w:top w:val="none" w:sz="0" w:space="0" w:color="auto"/>
        <w:left w:val="none" w:sz="0" w:space="0" w:color="auto"/>
        <w:bottom w:val="none" w:sz="0" w:space="0" w:color="auto"/>
        <w:right w:val="none" w:sz="0" w:space="0" w:color="auto"/>
      </w:divBdr>
    </w:div>
    <w:div w:id="1267882728">
      <w:bodyDiv w:val="1"/>
      <w:marLeft w:val="0"/>
      <w:marRight w:val="0"/>
      <w:marTop w:val="0"/>
      <w:marBottom w:val="0"/>
      <w:divBdr>
        <w:top w:val="none" w:sz="0" w:space="0" w:color="auto"/>
        <w:left w:val="none" w:sz="0" w:space="0" w:color="auto"/>
        <w:bottom w:val="none" w:sz="0" w:space="0" w:color="auto"/>
        <w:right w:val="none" w:sz="0" w:space="0" w:color="auto"/>
      </w:divBdr>
    </w:div>
    <w:div w:id="1321352182">
      <w:bodyDiv w:val="1"/>
      <w:marLeft w:val="0"/>
      <w:marRight w:val="0"/>
      <w:marTop w:val="0"/>
      <w:marBottom w:val="0"/>
      <w:divBdr>
        <w:top w:val="none" w:sz="0" w:space="0" w:color="auto"/>
        <w:left w:val="none" w:sz="0" w:space="0" w:color="auto"/>
        <w:bottom w:val="none" w:sz="0" w:space="0" w:color="auto"/>
        <w:right w:val="none" w:sz="0" w:space="0" w:color="auto"/>
      </w:divBdr>
    </w:div>
    <w:div w:id="1371036078">
      <w:bodyDiv w:val="1"/>
      <w:marLeft w:val="0"/>
      <w:marRight w:val="0"/>
      <w:marTop w:val="0"/>
      <w:marBottom w:val="0"/>
      <w:divBdr>
        <w:top w:val="none" w:sz="0" w:space="0" w:color="auto"/>
        <w:left w:val="none" w:sz="0" w:space="0" w:color="auto"/>
        <w:bottom w:val="none" w:sz="0" w:space="0" w:color="auto"/>
        <w:right w:val="none" w:sz="0" w:space="0" w:color="auto"/>
      </w:divBdr>
    </w:div>
    <w:div w:id="1412510233">
      <w:bodyDiv w:val="1"/>
      <w:marLeft w:val="0"/>
      <w:marRight w:val="0"/>
      <w:marTop w:val="0"/>
      <w:marBottom w:val="0"/>
      <w:divBdr>
        <w:top w:val="none" w:sz="0" w:space="0" w:color="auto"/>
        <w:left w:val="none" w:sz="0" w:space="0" w:color="auto"/>
        <w:bottom w:val="none" w:sz="0" w:space="0" w:color="auto"/>
        <w:right w:val="none" w:sz="0" w:space="0" w:color="auto"/>
      </w:divBdr>
    </w:div>
    <w:div w:id="1422675410">
      <w:bodyDiv w:val="1"/>
      <w:marLeft w:val="0"/>
      <w:marRight w:val="0"/>
      <w:marTop w:val="0"/>
      <w:marBottom w:val="0"/>
      <w:divBdr>
        <w:top w:val="none" w:sz="0" w:space="0" w:color="auto"/>
        <w:left w:val="none" w:sz="0" w:space="0" w:color="auto"/>
        <w:bottom w:val="none" w:sz="0" w:space="0" w:color="auto"/>
        <w:right w:val="none" w:sz="0" w:space="0" w:color="auto"/>
      </w:divBdr>
    </w:div>
    <w:div w:id="1453982258">
      <w:bodyDiv w:val="1"/>
      <w:marLeft w:val="0"/>
      <w:marRight w:val="0"/>
      <w:marTop w:val="0"/>
      <w:marBottom w:val="0"/>
      <w:divBdr>
        <w:top w:val="none" w:sz="0" w:space="0" w:color="auto"/>
        <w:left w:val="none" w:sz="0" w:space="0" w:color="auto"/>
        <w:bottom w:val="none" w:sz="0" w:space="0" w:color="auto"/>
        <w:right w:val="none" w:sz="0" w:space="0" w:color="auto"/>
      </w:divBdr>
    </w:div>
    <w:div w:id="1460412000">
      <w:bodyDiv w:val="1"/>
      <w:marLeft w:val="0"/>
      <w:marRight w:val="0"/>
      <w:marTop w:val="0"/>
      <w:marBottom w:val="0"/>
      <w:divBdr>
        <w:top w:val="none" w:sz="0" w:space="0" w:color="auto"/>
        <w:left w:val="none" w:sz="0" w:space="0" w:color="auto"/>
        <w:bottom w:val="none" w:sz="0" w:space="0" w:color="auto"/>
        <w:right w:val="none" w:sz="0" w:space="0" w:color="auto"/>
      </w:divBdr>
    </w:div>
    <w:div w:id="1590502704">
      <w:bodyDiv w:val="1"/>
      <w:marLeft w:val="0"/>
      <w:marRight w:val="0"/>
      <w:marTop w:val="0"/>
      <w:marBottom w:val="0"/>
      <w:divBdr>
        <w:top w:val="none" w:sz="0" w:space="0" w:color="auto"/>
        <w:left w:val="none" w:sz="0" w:space="0" w:color="auto"/>
        <w:bottom w:val="none" w:sz="0" w:space="0" w:color="auto"/>
        <w:right w:val="none" w:sz="0" w:space="0" w:color="auto"/>
      </w:divBdr>
      <w:divsChild>
        <w:div w:id="185292665">
          <w:marLeft w:val="0"/>
          <w:marRight w:val="0"/>
          <w:marTop w:val="0"/>
          <w:marBottom w:val="0"/>
          <w:divBdr>
            <w:top w:val="none" w:sz="0" w:space="0" w:color="auto"/>
            <w:left w:val="none" w:sz="0" w:space="0" w:color="auto"/>
            <w:bottom w:val="none" w:sz="0" w:space="0" w:color="auto"/>
            <w:right w:val="none" w:sz="0" w:space="0" w:color="auto"/>
          </w:divBdr>
          <w:divsChild>
            <w:div w:id="194656927">
              <w:marLeft w:val="0"/>
              <w:marRight w:val="0"/>
              <w:marTop w:val="0"/>
              <w:marBottom w:val="0"/>
              <w:divBdr>
                <w:top w:val="none" w:sz="0" w:space="0" w:color="auto"/>
                <w:left w:val="none" w:sz="0" w:space="0" w:color="auto"/>
                <w:bottom w:val="none" w:sz="0" w:space="0" w:color="auto"/>
                <w:right w:val="none" w:sz="0" w:space="0" w:color="auto"/>
              </w:divBdr>
              <w:divsChild>
                <w:div w:id="358163555">
                  <w:marLeft w:val="0"/>
                  <w:marRight w:val="0"/>
                  <w:marTop w:val="0"/>
                  <w:marBottom w:val="0"/>
                  <w:divBdr>
                    <w:top w:val="none" w:sz="0" w:space="0" w:color="auto"/>
                    <w:left w:val="none" w:sz="0" w:space="0" w:color="auto"/>
                    <w:bottom w:val="none" w:sz="0" w:space="0" w:color="auto"/>
                    <w:right w:val="none" w:sz="0" w:space="0" w:color="auto"/>
                  </w:divBdr>
                  <w:divsChild>
                    <w:div w:id="893659256">
                      <w:marLeft w:val="0"/>
                      <w:marRight w:val="0"/>
                      <w:marTop w:val="0"/>
                      <w:marBottom w:val="0"/>
                      <w:divBdr>
                        <w:top w:val="none" w:sz="0" w:space="0" w:color="auto"/>
                        <w:left w:val="none" w:sz="0" w:space="0" w:color="auto"/>
                        <w:bottom w:val="none" w:sz="0" w:space="0" w:color="auto"/>
                        <w:right w:val="none" w:sz="0" w:space="0" w:color="auto"/>
                      </w:divBdr>
                      <w:divsChild>
                        <w:div w:id="1812478324">
                          <w:marLeft w:val="0"/>
                          <w:marRight w:val="0"/>
                          <w:marTop w:val="0"/>
                          <w:marBottom w:val="0"/>
                          <w:divBdr>
                            <w:top w:val="none" w:sz="0" w:space="0" w:color="auto"/>
                            <w:left w:val="none" w:sz="0" w:space="0" w:color="auto"/>
                            <w:bottom w:val="none" w:sz="0" w:space="0" w:color="auto"/>
                            <w:right w:val="none" w:sz="0" w:space="0" w:color="auto"/>
                          </w:divBdr>
                          <w:divsChild>
                            <w:div w:id="2016683580">
                              <w:marLeft w:val="0"/>
                              <w:marRight w:val="0"/>
                              <w:marTop w:val="0"/>
                              <w:marBottom w:val="0"/>
                              <w:divBdr>
                                <w:top w:val="none" w:sz="0" w:space="0" w:color="auto"/>
                                <w:left w:val="none" w:sz="0" w:space="0" w:color="auto"/>
                                <w:bottom w:val="none" w:sz="0" w:space="0" w:color="auto"/>
                                <w:right w:val="none" w:sz="0" w:space="0" w:color="auto"/>
                              </w:divBdr>
                              <w:divsChild>
                                <w:div w:id="877669933">
                                  <w:marLeft w:val="0"/>
                                  <w:marRight w:val="0"/>
                                  <w:marTop w:val="0"/>
                                  <w:marBottom w:val="0"/>
                                  <w:divBdr>
                                    <w:top w:val="none" w:sz="0" w:space="0" w:color="auto"/>
                                    <w:left w:val="none" w:sz="0" w:space="0" w:color="auto"/>
                                    <w:bottom w:val="none" w:sz="0" w:space="0" w:color="auto"/>
                                    <w:right w:val="none" w:sz="0" w:space="0" w:color="auto"/>
                                  </w:divBdr>
                                  <w:divsChild>
                                    <w:div w:id="13923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079">
      <w:bodyDiv w:val="1"/>
      <w:marLeft w:val="0"/>
      <w:marRight w:val="0"/>
      <w:marTop w:val="0"/>
      <w:marBottom w:val="0"/>
      <w:divBdr>
        <w:top w:val="none" w:sz="0" w:space="0" w:color="auto"/>
        <w:left w:val="none" w:sz="0" w:space="0" w:color="auto"/>
        <w:bottom w:val="none" w:sz="0" w:space="0" w:color="auto"/>
        <w:right w:val="none" w:sz="0" w:space="0" w:color="auto"/>
      </w:divBdr>
    </w:div>
    <w:div w:id="1614750055">
      <w:bodyDiv w:val="1"/>
      <w:marLeft w:val="0"/>
      <w:marRight w:val="0"/>
      <w:marTop w:val="0"/>
      <w:marBottom w:val="0"/>
      <w:divBdr>
        <w:top w:val="none" w:sz="0" w:space="0" w:color="auto"/>
        <w:left w:val="none" w:sz="0" w:space="0" w:color="auto"/>
        <w:bottom w:val="none" w:sz="0" w:space="0" w:color="auto"/>
        <w:right w:val="none" w:sz="0" w:space="0" w:color="auto"/>
      </w:divBdr>
    </w:div>
    <w:div w:id="1637639073">
      <w:bodyDiv w:val="1"/>
      <w:marLeft w:val="0"/>
      <w:marRight w:val="0"/>
      <w:marTop w:val="0"/>
      <w:marBottom w:val="0"/>
      <w:divBdr>
        <w:top w:val="none" w:sz="0" w:space="0" w:color="auto"/>
        <w:left w:val="none" w:sz="0" w:space="0" w:color="auto"/>
        <w:bottom w:val="none" w:sz="0" w:space="0" w:color="auto"/>
        <w:right w:val="none" w:sz="0" w:space="0" w:color="auto"/>
      </w:divBdr>
    </w:div>
    <w:div w:id="1730567282">
      <w:bodyDiv w:val="1"/>
      <w:marLeft w:val="0"/>
      <w:marRight w:val="0"/>
      <w:marTop w:val="0"/>
      <w:marBottom w:val="0"/>
      <w:divBdr>
        <w:top w:val="none" w:sz="0" w:space="0" w:color="auto"/>
        <w:left w:val="none" w:sz="0" w:space="0" w:color="auto"/>
        <w:bottom w:val="none" w:sz="0" w:space="0" w:color="auto"/>
        <w:right w:val="none" w:sz="0" w:space="0" w:color="auto"/>
      </w:divBdr>
    </w:div>
    <w:div w:id="1788236082">
      <w:bodyDiv w:val="1"/>
      <w:marLeft w:val="0"/>
      <w:marRight w:val="0"/>
      <w:marTop w:val="0"/>
      <w:marBottom w:val="0"/>
      <w:divBdr>
        <w:top w:val="none" w:sz="0" w:space="0" w:color="auto"/>
        <w:left w:val="none" w:sz="0" w:space="0" w:color="auto"/>
        <w:bottom w:val="none" w:sz="0" w:space="0" w:color="auto"/>
        <w:right w:val="none" w:sz="0" w:space="0" w:color="auto"/>
      </w:divBdr>
      <w:divsChild>
        <w:div w:id="44258426">
          <w:marLeft w:val="0"/>
          <w:marRight w:val="0"/>
          <w:marTop w:val="0"/>
          <w:marBottom w:val="0"/>
          <w:divBdr>
            <w:top w:val="none" w:sz="0" w:space="0" w:color="auto"/>
            <w:left w:val="none" w:sz="0" w:space="0" w:color="auto"/>
            <w:bottom w:val="none" w:sz="0" w:space="0" w:color="auto"/>
            <w:right w:val="none" w:sz="0" w:space="0" w:color="auto"/>
          </w:divBdr>
          <w:divsChild>
            <w:div w:id="1383749618">
              <w:marLeft w:val="0"/>
              <w:marRight w:val="0"/>
              <w:marTop w:val="0"/>
              <w:marBottom w:val="0"/>
              <w:divBdr>
                <w:top w:val="none" w:sz="0" w:space="0" w:color="auto"/>
                <w:left w:val="none" w:sz="0" w:space="0" w:color="auto"/>
                <w:bottom w:val="none" w:sz="0" w:space="0" w:color="auto"/>
                <w:right w:val="none" w:sz="0" w:space="0" w:color="auto"/>
              </w:divBdr>
              <w:divsChild>
                <w:div w:id="1289437524">
                  <w:marLeft w:val="0"/>
                  <w:marRight w:val="0"/>
                  <w:marTop w:val="0"/>
                  <w:marBottom w:val="0"/>
                  <w:divBdr>
                    <w:top w:val="none" w:sz="0" w:space="0" w:color="auto"/>
                    <w:left w:val="none" w:sz="0" w:space="0" w:color="auto"/>
                    <w:bottom w:val="none" w:sz="0" w:space="0" w:color="auto"/>
                    <w:right w:val="none" w:sz="0" w:space="0" w:color="auto"/>
                  </w:divBdr>
                  <w:divsChild>
                    <w:div w:id="856697444">
                      <w:marLeft w:val="0"/>
                      <w:marRight w:val="0"/>
                      <w:marTop w:val="0"/>
                      <w:marBottom w:val="0"/>
                      <w:divBdr>
                        <w:top w:val="none" w:sz="0" w:space="0" w:color="auto"/>
                        <w:left w:val="none" w:sz="0" w:space="0" w:color="auto"/>
                        <w:bottom w:val="none" w:sz="0" w:space="0" w:color="auto"/>
                        <w:right w:val="none" w:sz="0" w:space="0" w:color="auto"/>
                      </w:divBdr>
                      <w:divsChild>
                        <w:div w:id="452870040">
                          <w:marLeft w:val="0"/>
                          <w:marRight w:val="0"/>
                          <w:marTop w:val="0"/>
                          <w:marBottom w:val="0"/>
                          <w:divBdr>
                            <w:top w:val="none" w:sz="0" w:space="0" w:color="auto"/>
                            <w:left w:val="none" w:sz="0" w:space="0" w:color="auto"/>
                            <w:bottom w:val="none" w:sz="0" w:space="0" w:color="auto"/>
                            <w:right w:val="none" w:sz="0" w:space="0" w:color="auto"/>
                          </w:divBdr>
                          <w:divsChild>
                            <w:div w:id="594629598">
                              <w:marLeft w:val="0"/>
                              <w:marRight w:val="0"/>
                              <w:marTop w:val="0"/>
                              <w:marBottom w:val="0"/>
                              <w:divBdr>
                                <w:top w:val="none" w:sz="0" w:space="0" w:color="auto"/>
                                <w:left w:val="none" w:sz="0" w:space="0" w:color="auto"/>
                                <w:bottom w:val="none" w:sz="0" w:space="0" w:color="auto"/>
                                <w:right w:val="none" w:sz="0" w:space="0" w:color="auto"/>
                              </w:divBdr>
                              <w:divsChild>
                                <w:div w:id="366873298">
                                  <w:marLeft w:val="0"/>
                                  <w:marRight w:val="0"/>
                                  <w:marTop w:val="0"/>
                                  <w:marBottom w:val="0"/>
                                  <w:divBdr>
                                    <w:top w:val="none" w:sz="0" w:space="0" w:color="auto"/>
                                    <w:left w:val="none" w:sz="0" w:space="0" w:color="auto"/>
                                    <w:bottom w:val="none" w:sz="0" w:space="0" w:color="auto"/>
                                    <w:right w:val="none" w:sz="0" w:space="0" w:color="auto"/>
                                  </w:divBdr>
                                  <w:divsChild>
                                    <w:div w:id="1478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261743">
      <w:bodyDiv w:val="1"/>
      <w:marLeft w:val="0"/>
      <w:marRight w:val="0"/>
      <w:marTop w:val="0"/>
      <w:marBottom w:val="0"/>
      <w:divBdr>
        <w:top w:val="none" w:sz="0" w:space="0" w:color="auto"/>
        <w:left w:val="none" w:sz="0" w:space="0" w:color="auto"/>
        <w:bottom w:val="none" w:sz="0" w:space="0" w:color="auto"/>
        <w:right w:val="none" w:sz="0" w:space="0" w:color="auto"/>
      </w:divBdr>
    </w:div>
    <w:div w:id="1977876956">
      <w:bodyDiv w:val="1"/>
      <w:marLeft w:val="0"/>
      <w:marRight w:val="0"/>
      <w:marTop w:val="0"/>
      <w:marBottom w:val="0"/>
      <w:divBdr>
        <w:top w:val="none" w:sz="0" w:space="0" w:color="auto"/>
        <w:left w:val="none" w:sz="0" w:space="0" w:color="auto"/>
        <w:bottom w:val="none" w:sz="0" w:space="0" w:color="auto"/>
        <w:right w:val="none" w:sz="0" w:space="0" w:color="auto"/>
      </w:divBdr>
    </w:div>
    <w:div w:id="2054116760">
      <w:bodyDiv w:val="1"/>
      <w:marLeft w:val="0"/>
      <w:marRight w:val="0"/>
      <w:marTop w:val="0"/>
      <w:marBottom w:val="0"/>
      <w:divBdr>
        <w:top w:val="none" w:sz="0" w:space="0" w:color="auto"/>
        <w:left w:val="none" w:sz="0" w:space="0" w:color="auto"/>
        <w:bottom w:val="none" w:sz="0" w:space="0" w:color="auto"/>
        <w:right w:val="none" w:sz="0" w:space="0" w:color="auto"/>
      </w:divBdr>
    </w:div>
    <w:div w:id="2055885604">
      <w:bodyDiv w:val="1"/>
      <w:marLeft w:val="0"/>
      <w:marRight w:val="0"/>
      <w:marTop w:val="0"/>
      <w:marBottom w:val="0"/>
      <w:divBdr>
        <w:top w:val="none" w:sz="0" w:space="0" w:color="auto"/>
        <w:left w:val="none" w:sz="0" w:space="0" w:color="auto"/>
        <w:bottom w:val="none" w:sz="0" w:space="0" w:color="auto"/>
        <w:right w:val="none" w:sz="0" w:space="0" w:color="auto"/>
      </w:divBdr>
    </w:div>
    <w:div w:id="2089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3164/jcbn.2007010" TargetMode="External"/><Relationship Id="rId26" Type="http://schemas.openxmlformats.org/officeDocument/2006/relationships/hyperlink" Target="https://doi.org/10.1007/s00425-004-1344-0" TargetMode="External"/><Relationship Id="rId39" Type="http://schemas.openxmlformats.org/officeDocument/2006/relationships/footer" Target="footer1.xml"/><Relationship Id="rId21" Type="http://schemas.openxmlformats.org/officeDocument/2006/relationships/hyperlink" Target="https://doi.org/10.1155/2014/830285" TargetMode="External"/><Relationship Id="rId34" Type="http://schemas.openxmlformats.org/officeDocument/2006/relationships/hyperlink" Target="https://doi.org/10.7860/JCDR/2017/27430.9859" TargetMode="External"/><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doi.org/10.2135/cropsci1984.0011183X002400060043x" TargetMode="External"/><Relationship Id="rId29" Type="http://schemas.openxmlformats.org/officeDocument/2006/relationships/hyperlink" Target="https://doi.org/10.9734/jsrr/2025/v31i7325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cholarsresearchlibrary.com/archive.html" TargetMode="External"/><Relationship Id="rId32" Type="http://schemas.openxmlformats.org/officeDocument/2006/relationships/hyperlink" Target="https://doi.org/10.1089/jmf.2020.002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doi.org/10.1007/s10722-021-01199-0" TargetMode="External"/><Relationship Id="rId28" Type="http://schemas.openxmlformats.org/officeDocument/2006/relationships/hyperlink" Target="https://dx.doi.org/10.5530/phrev.2021.15.15" TargetMode="External"/><Relationship Id="rId36" Type="http://schemas.openxmlformats.org/officeDocument/2006/relationships/hyperlink" Target="https://doi.org/10.1186/s43094-023-00529-6" TargetMode="External"/><Relationship Id="rId10" Type="http://schemas.openxmlformats.org/officeDocument/2006/relationships/image" Target="media/image4.png"/><Relationship Id="rId19" Type="http://schemas.openxmlformats.org/officeDocument/2006/relationships/hyperlink" Target="https://doi.org/10.1080/09735070.2009.11886350" TargetMode="External"/><Relationship Id="rId31" Type="http://schemas.openxmlformats.org/officeDocument/2006/relationships/hyperlink" Target="https://doi.org/10.33545/2618060X.2024.v7.i9a.143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hyperlink" Target="https://doi.org/10.1016/j.foodchem.2017.03.024" TargetMode="External"/><Relationship Id="rId27" Type="http://schemas.openxmlformats.org/officeDocument/2006/relationships/hyperlink" Target="https://doi.org/10.52711/2349-2988.2022.00042" TargetMode="External"/><Relationship Id="rId30" Type="http://schemas.openxmlformats.org/officeDocument/2006/relationships/hyperlink" Target="https://doi.org/10.33545/2618060X.2025.v8.i4a.2738" TargetMode="External"/><Relationship Id="rId35" Type="http://schemas.openxmlformats.org/officeDocument/2006/relationships/hyperlink" Target="https://doi.org/10.3389/fpls.2025.1508454"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2135/cropsci1973.0011183X001300060013x" TargetMode="External"/><Relationship Id="rId25" Type="http://schemas.openxmlformats.org/officeDocument/2006/relationships/hyperlink" Target="https://doi.org/10.5829/idosi.ajps.2012.5.3.2021" TargetMode="External"/><Relationship Id="rId33" Type="http://schemas.openxmlformats.org/officeDocument/2006/relationships/hyperlink" Target="https://doi.org/10.3892/etm.2021.10855" TargetMode="External"/><Relationship Id="rId38"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Imbibition%20curve%2015.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'FGR imbibition'!$L$1308:$L$1319</c:f>
                <c:numCache>
                  <c:formatCode>General</c:formatCode>
                  <c:ptCount val="12"/>
                  <c:pt idx="1">
                    <c:v>0.68263473053892187</c:v>
                  </c:pt>
                  <c:pt idx="2">
                    <c:v>1.023952095808383</c:v>
                  </c:pt>
                  <c:pt idx="3">
                    <c:v>2.0973053892215598</c:v>
                  </c:pt>
                  <c:pt idx="4">
                    <c:v>2.3622754491017939</c:v>
                  </c:pt>
                  <c:pt idx="5">
                    <c:v>2.6407185628742549</c:v>
                  </c:pt>
                  <c:pt idx="6">
                    <c:v>3.2245508982035953</c:v>
                  </c:pt>
                  <c:pt idx="7">
                    <c:v>3.547904191616766</c:v>
                  </c:pt>
                  <c:pt idx="8">
                    <c:v>3.8353293413173684</c:v>
                  </c:pt>
                  <c:pt idx="9">
                    <c:v>4.6248502994012162</c:v>
                  </c:pt>
                  <c:pt idx="10">
                    <c:v>4.6102994011976079</c:v>
                  </c:pt>
                  <c:pt idx="11">
                    <c:v>4.5732934131736585</c:v>
                  </c:pt>
                </c:numCache>
              </c:numRef>
            </c:plus>
            <c:minus>
              <c:numRef>
                <c:f>'FGR imbibition'!$L$1308:$L$1319</c:f>
                <c:numCache>
                  <c:formatCode>General</c:formatCode>
                  <c:ptCount val="12"/>
                  <c:pt idx="1">
                    <c:v>0.68263473053892187</c:v>
                  </c:pt>
                  <c:pt idx="2">
                    <c:v>1.023952095808383</c:v>
                  </c:pt>
                  <c:pt idx="3">
                    <c:v>2.0973053892215598</c:v>
                  </c:pt>
                  <c:pt idx="4">
                    <c:v>2.3622754491017939</c:v>
                  </c:pt>
                  <c:pt idx="5">
                    <c:v>2.6407185628742549</c:v>
                  </c:pt>
                  <c:pt idx="6">
                    <c:v>3.2245508982035953</c:v>
                  </c:pt>
                  <c:pt idx="7">
                    <c:v>3.547904191616766</c:v>
                  </c:pt>
                  <c:pt idx="8">
                    <c:v>3.8353293413173684</c:v>
                  </c:pt>
                  <c:pt idx="9">
                    <c:v>4.6248502994012162</c:v>
                  </c:pt>
                  <c:pt idx="10">
                    <c:v>4.6102994011976079</c:v>
                  </c:pt>
                  <c:pt idx="11">
                    <c:v>4.5732934131736585</c:v>
                  </c:pt>
                </c:numCache>
              </c:numRef>
            </c:minus>
            <c:spPr>
              <a:noFill/>
              <a:ln w="9525" cap="flat" cmpd="sng" algn="ctr">
                <a:solidFill>
                  <a:schemeClr val="tx1">
                    <a:lumMod val="65000"/>
                    <a:lumOff val="35000"/>
                  </a:schemeClr>
                </a:solidFill>
                <a:round/>
              </a:ln>
              <a:effectLst/>
            </c:spPr>
          </c:errBars>
          <c:xVal>
            <c:numRef>
              <c:f>'FGR imbibition'!$H$1308:$H$1319</c:f>
              <c:numCache>
                <c:formatCode>General</c:formatCode>
                <c:ptCount val="12"/>
                <c:pt idx="0">
                  <c:v>0</c:v>
                </c:pt>
                <c:pt idx="1">
                  <c:v>2</c:v>
                </c:pt>
                <c:pt idx="2">
                  <c:v>4</c:v>
                </c:pt>
                <c:pt idx="3">
                  <c:v>6</c:v>
                </c:pt>
                <c:pt idx="4">
                  <c:v>8</c:v>
                </c:pt>
                <c:pt idx="5">
                  <c:v>10</c:v>
                </c:pt>
                <c:pt idx="6">
                  <c:v>12</c:v>
                </c:pt>
                <c:pt idx="7">
                  <c:v>24</c:v>
                </c:pt>
                <c:pt idx="8">
                  <c:v>27</c:v>
                </c:pt>
                <c:pt idx="9">
                  <c:v>30</c:v>
                </c:pt>
                <c:pt idx="10">
                  <c:v>33</c:v>
                </c:pt>
                <c:pt idx="11">
                  <c:v>36</c:v>
                </c:pt>
              </c:numCache>
            </c:numRef>
          </c:xVal>
          <c:yVal>
            <c:numRef>
              <c:f>'FGR imbibition'!$K$1308:$K$1319</c:f>
              <c:numCache>
                <c:formatCode>General</c:formatCode>
                <c:ptCount val="12"/>
                <c:pt idx="0">
                  <c:v>0</c:v>
                </c:pt>
                <c:pt idx="1">
                  <c:v>23.437125748502989</c:v>
                </c:pt>
                <c:pt idx="2">
                  <c:v>35.155688622754482</c:v>
                </c:pt>
                <c:pt idx="3">
                  <c:v>72.007485029940113</c:v>
                </c:pt>
                <c:pt idx="4">
                  <c:v>81.104790419161645</c:v>
                </c:pt>
                <c:pt idx="5">
                  <c:v>90.664670658682624</c:v>
                </c:pt>
                <c:pt idx="6">
                  <c:v>110.70958083832335</c:v>
                </c:pt>
                <c:pt idx="7">
                  <c:v>121.81137724550895</c:v>
                </c:pt>
                <c:pt idx="8">
                  <c:v>131.67964071856287</c:v>
                </c:pt>
                <c:pt idx="9">
                  <c:v>158.78652694610821</c:v>
                </c:pt>
                <c:pt idx="10">
                  <c:v>158.28694610778462</c:v>
                </c:pt>
                <c:pt idx="11">
                  <c:v>157.01640718562868</c:v>
                </c:pt>
              </c:numCache>
            </c:numRef>
          </c:yVal>
          <c:smooth val="0"/>
          <c:extLst>
            <c:ext xmlns:c16="http://schemas.microsoft.com/office/drawing/2014/chart" uri="{C3380CC4-5D6E-409C-BE32-E72D297353CC}">
              <c16:uniqueId val="{00000000-C039-49F2-9841-253B0F4FAE44}"/>
            </c:ext>
          </c:extLst>
        </c:ser>
        <c:dLbls>
          <c:showLegendKey val="0"/>
          <c:showVal val="0"/>
          <c:showCatName val="0"/>
          <c:showSerName val="0"/>
          <c:showPercent val="0"/>
          <c:showBubbleSize val="0"/>
        </c:dLbls>
        <c:axId val="163537664"/>
        <c:axId val="163539584"/>
      </c:scatterChart>
      <c:valAx>
        <c:axId val="1635376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itchFamily="18" charset="0"/>
                    <a:cs typeface="Times New Roman" pitchFamily="18" charset="0"/>
                  </a:rPr>
                  <a:t>Imbibition Time (hrs)</a:t>
                </a:r>
              </a:p>
              <a:p>
                <a:pPr>
                  <a:defRPr sz="1000" b="0" i="0" u="none" strike="noStrike" kern="1200" baseline="0">
                    <a:solidFill>
                      <a:schemeClr val="tx1">
                        <a:lumMod val="65000"/>
                        <a:lumOff val="35000"/>
                      </a:schemeClr>
                    </a:solidFill>
                    <a:latin typeface="+mn-lt"/>
                    <a:ea typeface="+mn-ea"/>
                    <a:cs typeface="+mn-cs"/>
                  </a:defRPr>
                </a:pPr>
                <a:endParaRPr lang="en-US">
                  <a:solidFill>
                    <a:sysClr val="windowText" lastClr="000000"/>
                  </a:solidFill>
                  <a:latin typeface="Times New Roman" pitchFamily="18" charset="0"/>
                  <a:cs typeface="Times New Roman"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39584"/>
        <c:crosses val="autoZero"/>
        <c:crossBetween val="midCat"/>
      </c:valAx>
      <c:valAx>
        <c:axId val="16353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itchFamily="18" charset="0"/>
                    <a:cs typeface="Times New Roman" pitchFamily="18" charset="0"/>
                  </a:rPr>
                  <a:t> Increase in seed fresh weight (%)</a:t>
                </a:r>
              </a:p>
              <a:p>
                <a:pPr>
                  <a:defRPr sz="1000" b="0" i="0" u="none" strike="noStrike" kern="1200" baseline="0">
                    <a:solidFill>
                      <a:schemeClr val="tx1">
                        <a:lumMod val="65000"/>
                        <a:lumOff val="35000"/>
                      </a:schemeClr>
                    </a:solidFill>
                    <a:latin typeface="+mn-lt"/>
                    <a:ea typeface="+mn-ea"/>
                    <a:cs typeface="+mn-cs"/>
                  </a:defRPr>
                </a:pPr>
                <a:endParaRPr lang="en-US">
                  <a:solidFill>
                    <a:sysClr val="windowText" lastClr="000000"/>
                  </a:solidFill>
                  <a:latin typeface="Times New Roman" pitchFamily="18" charset="0"/>
                  <a:cs typeface="Times New Roman"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3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4775</Words>
  <Characters>27221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Manish Vijay</cp:lastModifiedBy>
  <cp:revision>2</cp:revision>
  <dcterms:created xsi:type="dcterms:W3CDTF">2025-07-12T10:35:00Z</dcterms:created>
  <dcterms:modified xsi:type="dcterms:W3CDTF">2025-07-12T10:35:00Z</dcterms:modified>
</cp:coreProperties>
</file>