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A1" w:rsidRPr="00371987" w:rsidRDefault="000329A1" w:rsidP="00AD153F">
      <w:pPr>
        <w:jc w:val="center"/>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Effect of different seed priming techniques on growth, flowering and seed attributes in balsam</w:t>
      </w:r>
      <w:r w:rsidR="0090603B" w:rsidRPr="00371987">
        <w:rPr>
          <w:rFonts w:ascii="Times New Roman" w:hAnsi="Times New Roman" w:cs="Times New Roman"/>
          <w:b/>
          <w:color w:val="000000" w:themeColor="text1"/>
          <w:sz w:val="24"/>
        </w:rPr>
        <w:t xml:space="preserve"> (</w:t>
      </w:r>
      <w:r w:rsidR="0090603B" w:rsidRPr="00371987">
        <w:rPr>
          <w:rFonts w:ascii="Times New Roman" w:hAnsi="Times New Roman" w:cs="Times New Roman"/>
          <w:b/>
          <w:i/>
          <w:color w:val="000000" w:themeColor="text1"/>
          <w:sz w:val="24"/>
        </w:rPr>
        <w:t>Impatiensbalsamina</w:t>
      </w:r>
      <w:r w:rsidR="0090603B" w:rsidRPr="00371987">
        <w:rPr>
          <w:rFonts w:ascii="Times New Roman" w:hAnsi="Times New Roman" w:cs="Times New Roman"/>
          <w:b/>
          <w:color w:val="000000" w:themeColor="text1"/>
          <w:sz w:val="24"/>
        </w:rPr>
        <w:t>)</w:t>
      </w:r>
    </w:p>
    <w:p w:rsidR="00D92488" w:rsidRPr="00371987" w:rsidRDefault="00D92488" w:rsidP="00AD153F">
      <w:pPr>
        <w:jc w:val="center"/>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ABSTRACT</w:t>
      </w:r>
    </w:p>
    <w:p w:rsidR="00985456" w:rsidRPr="00371987" w:rsidRDefault="00985456" w:rsidP="00985456">
      <w:pPr>
        <w:jc w:val="both"/>
        <w:rPr>
          <w:rFonts w:ascii="Times New Roman" w:hAnsi="Times New Roman" w:cs="Times New Roman"/>
          <w:color w:val="000000" w:themeColor="text1"/>
          <w:sz w:val="28"/>
          <w:szCs w:val="24"/>
        </w:rPr>
      </w:pPr>
      <w:r w:rsidRPr="00371987">
        <w:rPr>
          <w:rFonts w:ascii="Times New Roman" w:hAnsi="Times New Roman" w:cs="Times New Roman"/>
          <w:color w:val="000000" w:themeColor="text1"/>
          <w:sz w:val="24"/>
        </w:rPr>
        <w:t xml:space="preserve">The </w:t>
      </w:r>
      <w:r>
        <w:rPr>
          <w:rFonts w:ascii="Times New Roman" w:hAnsi="Times New Roman" w:cs="Times New Roman"/>
          <w:color w:val="000000" w:themeColor="text1"/>
          <w:sz w:val="24"/>
        </w:rPr>
        <w:t>present experiment was carried out</w:t>
      </w:r>
      <w:r w:rsidRPr="00371987">
        <w:rPr>
          <w:rFonts w:ascii="Times New Roman" w:hAnsi="Times New Roman" w:cs="Times New Roman"/>
          <w:color w:val="000000" w:themeColor="text1"/>
          <w:sz w:val="24"/>
        </w:rPr>
        <w:t xml:space="preserve"> at the Horticulture Research Farm, Department of Horticulture, Institute of Agricultural Sciences, Banaras Hindu University, Varanasi, Uttar Pradesh, in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balsamina</w:t>
      </w:r>
      <w:r w:rsidRPr="00371987">
        <w:rPr>
          <w:rFonts w:ascii="Times New Roman" w:hAnsi="Times New Roman" w:cs="Times New Roman"/>
          <w:color w:val="000000" w:themeColor="text1"/>
          <w:sz w:val="24"/>
        </w:rPr>
        <w:t xml:space="preserve">) using Factorial Randomized Block Design (RBD) comprising of 5 genotypes and 5 seed priming treatments </w:t>
      </w:r>
      <w:r w:rsidRPr="00371987">
        <w:rPr>
          <w:rFonts w:ascii="Times New Roman" w:hAnsi="Times New Roman" w:cs="Times New Roman"/>
          <w:i/>
          <w:color w:val="000000" w:themeColor="text1"/>
          <w:sz w:val="24"/>
        </w:rPr>
        <w:t>viz</w:t>
      </w:r>
      <w:r w:rsidRPr="00371987">
        <w:rPr>
          <w:rFonts w:ascii="Times New Roman" w:hAnsi="Times New Roman" w:cs="Times New Roman"/>
          <w:color w:val="000000" w:themeColor="text1"/>
          <w:sz w:val="24"/>
        </w:rPr>
        <w:t xml:space="preserve">., control, biopriming with </w:t>
      </w:r>
      <w:r w:rsidRPr="00371987">
        <w:rPr>
          <w:rFonts w:ascii="Times New Roman" w:hAnsi="Times New Roman" w:cs="Times New Roman"/>
          <w:i/>
          <w:color w:val="000000" w:themeColor="text1"/>
          <w:sz w:val="24"/>
        </w:rPr>
        <w:t xml:space="preserve">Trichoderma </w:t>
      </w:r>
      <w:r w:rsidRPr="00371987">
        <w:rPr>
          <w:rFonts w:ascii="Times New Roman" w:hAnsi="Times New Roman" w:cs="Times New Roman"/>
          <w:color w:val="000000" w:themeColor="text1"/>
          <w:sz w:val="24"/>
        </w:rPr>
        <w:t>(1mg/g of seeds)</w:t>
      </w:r>
      <w:r w:rsidRPr="00371987">
        <w:rPr>
          <w:rFonts w:ascii="Times New Roman" w:hAnsi="Times New Roman" w:cs="Times New Roman"/>
          <w:i/>
          <w:color w:val="000000" w:themeColor="text1"/>
          <w:sz w:val="24"/>
        </w:rPr>
        <w:t xml:space="preserve">, </w:t>
      </w:r>
      <w:r w:rsidRPr="00371987">
        <w:rPr>
          <w:rFonts w:ascii="Times New Roman" w:hAnsi="Times New Roman" w:cs="Times New Roman"/>
          <w:color w:val="000000" w:themeColor="text1"/>
          <w:sz w:val="24"/>
        </w:rPr>
        <w:t xml:space="preserve">thiourea (50 ppm), thiourea (50 ppm) + </w:t>
      </w:r>
      <w:r w:rsidRPr="00371987">
        <w:rPr>
          <w:rFonts w:ascii="Times New Roman" w:hAnsi="Times New Roman" w:cs="Times New Roman"/>
          <w:i/>
          <w:color w:val="000000" w:themeColor="text1"/>
          <w:sz w:val="24"/>
        </w:rPr>
        <w:t xml:space="preserve">Trichoderma </w:t>
      </w:r>
      <w:r w:rsidRPr="00371987">
        <w:rPr>
          <w:rFonts w:ascii="Times New Roman" w:hAnsi="Times New Roman" w:cs="Times New Roman"/>
          <w:color w:val="000000" w:themeColor="text1"/>
          <w:sz w:val="24"/>
        </w:rPr>
        <w:t xml:space="preserve">(1mg/g of seeds) and hydropriming with distilled water. The findings concluded that maximum plant height (82.67 cm), maximum plant spread (81.22 cm), highest number of leaves per plant (618.12), earliest flowering (48.74 days), longest flowering duration (64.12 days), flowers per plant (283.41), number of seeds per pod (11.62 seeds), number of pods per plant (302.22) and number of seeds per plant (2977.89) were recorded with the treatment including thiourea (50 ppm) + </w:t>
      </w:r>
      <w:r w:rsidRPr="00371987">
        <w:rPr>
          <w:rFonts w:ascii="Times New Roman" w:hAnsi="Times New Roman" w:cs="Times New Roman"/>
          <w:i/>
          <w:color w:val="000000" w:themeColor="text1"/>
          <w:sz w:val="24"/>
        </w:rPr>
        <w:t xml:space="preserve">Trichoderma </w:t>
      </w:r>
      <w:r w:rsidRPr="00371987">
        <w:rPr>
          <w:rFonts w:ascii="Times New Roman" w:hAnsi="Times New Roman" w:cs="Times New Roman"/>
          <w:color w:val="000000" w:themeColor="text1"/>
          <w:sz w:val="24"/>
        </w:rPr>
        <w:t xml:space="preserve">(1mg/g of seeds). Present study showed that pre-sowing treatment of balsam seeds with thiourea (50 ppm) +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(1mg/g of seeds) for 24 hours significantly improved the vegetative, flowering and seed attributes.</w:t>
      </w:r>
    </w:p>
    <w:p w:rsidR="00985456" w:rsidRPr="00371987" w:rsidRDefault="00985456" w:rsidP="00985456">
      <w:pPr>
        <w:rPr>
          <w:rFonts w:ascii="Times New Roman" w:hAnsi="Times New Roman" w:cs="Times New Roman"/>
          <w:color w:val="000000" w:themeColor="text1"/>
          <w:sz w:val="24"/>
        </w:rPr>
        <w:sectPr w:rsidR="00985456" w:rsidRPr="00371987" w:rsidSect="00E574E5">
          <w:pgSz w:w="12240" w:h="15840"/>
          <w:pgMar w:top="1440" w:right="990" w:bottom="1440" w:left="900" w:header="720" w:footer="720" w:gutter="0"/>
          <w:cols w:space="450"/>
          <w:docGrid w:linePitch="360"/>
        </w:sectPr>
      </w:pPr>
      <w:r w:rsidRPr="00371987">
        <w:rPr>
          <w:rFonts w:ascii="Times New Roman" w:hAnsi="Times New Roman" w:cs="Times New Roman"/>
          <w:b/>
          <w:color w:val="000000" w:themeColor="text1"/>
          <w:sz w:val="24"/>
        </w:rPr>
        <w:t xml:space="preserve"> Keywords: </w:t>
      </w:r>
      <w:r w:rsidRPr="00371987">
        <w:rPr>
          <w:rFonts w:ascii="Times New Roman" w:hAnsi="Times New Roman" w:cs="Times New Roman"/>
          <w:color w:val="000000" w:themeColor="text1"/>
          <w:sz w:val="24"/>
        </w:rPr>
        <w:t xml:space="preserve">Priming, balsam,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thiourea</w:t>
      </w:r>
    </w:p>
    <w:p w:rsidR="00985456" w:rsidRPr="00371987" w:rsidRDefault="00985456" w:rsidP="00985456">
      <w:pPr>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lastRenderedPageBreak/>
        <w:t>Introduction</w:t>
      </w:r>
    </w:p>
    <w:p w:rsidR="00985456" w:rsidRPr="00371987" w:rsidRDefault="00985456" w:rsidP="00985456">
      <w:pPr>
        <w:jc w:val="both"/>
        <w:rPr>
          <w:rFonts w:ascii="Times New Roman" w:eastAsia="Times New Roman" w:hAnsi="Times New Roman" w:cs="Times New Roman"/>
          <w:color w:val="000000" w:themeColor="text1"/>
          <w:sz w:val="24"/>
          <w:szCs w:val="24"/>
        </w:rPr>
      </w:pPr>
      <w:r w:rsidRPr="00371987">
        <w:rPr>
          <w:rFonts w:ascii="Times New Roman" w:hAnsi="Times New Roman" w:cs="Times New Roman"/>
          <w:color w:val="000000" w:themeColor="text1"/>
          <w:sz w:val="24"/>
        </w:rPr>
        <w:tab/>
        <w:t>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balsamina</w:t>
      </w:r>
      <w:r w:rsidRPr="00371987">
        <w:rPr>
          <w:rFonts w:ascii="Times New Roman" w:hAnsi="Times New Roman" w:cs="Times New Roman"/>
          <w:color w:val="000000" w:themeColor="text1"/>
          <w:sz w:val="24"/>
        </w:rPr>
        <w:t xml:space="preserve">) is generally grown as an ornamental plant and </w:t>
      </w:r>
      <w:r w:rsidRPr="00371987">
        <w:rPr>
          <w:rFonts w:ascii="Times New Roman" w:eastAsia="Times New Roman" w:hAnsi="Times New Roman" w:cs="Times New Roman"/>
          <w:color w:val="000000" w:themeColor="text1"/>
          <w:sz w:val="24"/>
          <w:szCs w:val="24"/>
        </w:rPr>
        <w:t xml:space="preserve">the flowers bloom in the upper axils and resemble those of roses or camellias, appearing in a range of colours such as scarlet, red, pink, white, purple and rose (Singh and Sisodia, 2017). Traditionally, most </w:t>
      </w:r>
      <w:r w:rsidRPr="00371987">
        <w:rPr>
          <w:rFonts w:ascii="Times New Roman" w:eastAsia="Times New Roman" w:hAnsi="Times New Roman" w:cs="Times New Roman"/>
          <w:i/>
          <w:color w:val="000000" w:themeColor="text1"/>
          <w:sz w:val="24"/>
          <w:szCs w:val="24"/>
        </w:rPr>
        <w:t xml:space="preserve">Impatiens balsamina </w:t>
      </w:r>
      <w:r w:rsidRPr="00371987">
        <w:rPr>
          <w:rFonts w:ascii="Times New Roman" w:eastAsia="Times New Roman" w:hAnsi="Times New Roman" w:cs="Times New Roman"/>
          <w:color w:val="000000" w:themeColor="text1"/>
          <w:sz w:val="24"/>
          <w:szCs w:val="24"/>
        </w:rPr>
        <w:t>species are native to tropical and subtropical areas (Grey-Wilson, 1980), although some can also be f</w:t>
      </w:r>
      <w:r>
        <w:rPr>
          <w:rFonts w:ascii="Times New Roman" w:eastAsia="Times New Roman" w:hAnsi="Times New Roman" w:cs="Times New Roman"/>
          <w:color w:val="000000" w:themeColor="text1"/>
          <w:sz w:val="24"/>
          <w:szCs w:val="24"/>
        </w:rPr>
        <w:t>ound in the temperate zones of N</w:t>
      </w:r>
      <w:r w:rsidRPr="00371987">
        <w:rPr>
          <w:rFonts w:ascii="Times New Roman" w:eastAsia="Times New Roman" w:hAnsi="Times New Roman" w:cs="Times New Roman"/>
          <w:color w:val="000000" w:themeColor="text1"/>
          <w:sz w:val="24"/>
          <w:szCs w:val="24"/>
        </w:rPr>
        <w:t xml:space="preserve">orthern Asia, North America and Europe (Song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xml:space="preserve">, 2003). It is widespread in countries such as China, India, Korea, Indonesia and other parts of Asia (Qian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xml:space="preserve">, 2023). Balsam is an upright annual herb, usually cultivated as an ornamental flowering plant, native of the Himalayas, India (Yadav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xml:space="preserve">., 2024). </w:t>
      </w:r>
      <w:r>
        <w:rPr>
          <w:rFonts w:ascii="Times New Roman" w:eastAsia="Times New Roman" w:hAnsi="Times New Roman" w:cs="Times New Roman"/>
          <w:color w:val="000000" w:themeColor="text1"/>
          <w:sz w:val="24"/>
          <w:szCs w:val="24"/>
        </w:rPr>
        <w:t>It can withstand heavy rain</w:t>
      </w:r>
      <w:r w:rsidRPr="00371987">
        <w:rPr>
          <w:rFonts w:ascii="Times New Roman" w:eastAsia="Times New Roman" w:hAnsi="Times New Roman" w:cs="Times New Roman"/>
          <w:color w:val="000000" w:themeColor="text1"/>
          <w:sz w:val="24"/>
          <w:szCs w:val="24"/>
        </w:rPr>
        <w:t xml:space="preserve"> and high humidity conditions in atmosphere (Pal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xml:space="preserve">., 2023). </w:t>
      </w:r>
      <w:r>
        <w:rPr>
          <w:rFonts w:ascii="Times New Roman" w:eastAsia="Times New Roman" w:hAnsi="Times New Roman" w:cs="Times New Roman"/>
          <w:color w:val="000000" w:themeColor="text1"/>
          <w:sz w:val="24"/>
          <w:szCs w:val="24"/>
        </w:rPr>
        <w:t>The</w:t>
      </w:r>
      <w:r w:rsidRPr="00371987">
        <w:rPr>
          <w:rFonts w:ascii="Times New Roman" w:eastAsia="Times New Roman" w:hAnsi="Times New Roman" w:cs="Times New Roman"/>
          <w:color w:val="000000" w:themeColor="text1"/>
          <w:sz w:val="24"/>
          <w:szCs w:val="24"/>
        </w:rPr>
        <w:t xml:space="preserve"> oil</w:t>
      </w:r>
      <w:r>
        <w:rPr>
          <w:rFonts w:ascii="Times New Roman" w:eastAsia="Times New Roman" w:hAnsi="Times New Roman" w:cs="Times New Roman"/>
          <w:color w:val="000000" w:themeColor="text1"/>
          <w:sz w:val="24"/>
          <w:szCs w:val="24"/>
        </w:rPr>
        <w:t xml:space="preserve"> of seeds can be utilized for burning</w:t>
      </w:r>
      <w:r w:rsidRPr="00371987">
        <w:rPr>
          <w:rFonts w:ascii="Times New Roman" w:eastAsia="Times New Roman" w:hAnsi="Times New Roman" w:cs="Times New Roman"/>
          <w:color w:val="000000" w:themeColor="text1"/>
          <w:sz w:val="24"/>
          <w:szCs w:val="24"/>
        </w:rPr>
        <w:t xml:space="preserve"> lamps and also in surface coating industry (Singh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xml:space="preserve">., 2018). This annual plant is an excellent choice for garden beds, mixed borders and walkways, while its compact dwarf varieties are ideal for container gardening in patios, balconies and other small spaces (Pal </w:t>
      </w:r>
      <w:r w:rsidRPr="00371987">
        <w:rPr>
          <w:rFonts w:ascii="Times New Roman" w:eastAsia="Times New Roman" w:hAnsi="Times New Roman" w:cs="Times New Roman"/>
          <w:i/>
          <w:color w:val="000000" w:themeColor="text1"/>
          <w:sz w:val="24"/>
          <w:szCs w:val="24"/>
        </w:rPr>
        <w:t>et al</w:t>
      </w:r>
      <w:r w:rsidRPr="00371987">
        <w:rPr>
          <w:rFonts w:ascii="Times New Roman" w:eastAsia="Times New Roman" w:hAnsi="Times New Roman" w:cs="Times New Roman"/>
          <w:color w:val="000000" w:themeColor="text1"/>
          <w:sz w:val="24"/>
          <w:szCs w:val="24"/>
        </w:rPr>
        <w:t>., 2018).</w:t>
      </w:r>
    </w:p>
    <w:p w:rsidR="00985456" w:rsidRPr="00371987" w:rsidRDefault="00985456" w:rsidP="00985456">
      <w:pPr>
        <w:ind w:firstLine="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Seed priming is a water-based method that regulates seed temperature and moisture to trigger early metabolic activity without initiating full germination, enhancing germination rate and seed quality (Sisodia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2018). Priming efficiently creates the</w:t>
      </w:r>
      <w:r>
        <w:rPr>
          <w:rFonts w:ascii="Times New Roman" w:hAnsi="Times New Roman" w:cs="Times New Roman"/>
          <w:color w:val="000000" w:themeColor="text1"/>
          <w:sz w:val="24"/>
        </w:rPr>
        <w:t xml:space="preserve"> </w:t>
      </w:r>
      <w:r w:rsidRPr="00371987">
        <w:rPr>
          <w:rFonts w:ascii="Times New Roman" w:hAnsi="Times New Roman" w:cs="Times New Roman"/>
          <w:color w:val="000000" w:themeColor="text1"/>
          <w:sz w:val="24"/>
        </w:rPr>
        <w:t>germinating stag</w:t>
      </w:r>
      <w:r>
        <w:rPr>
          <w:rFonts w:ascii="Times New Roman" w:hAnsi="Times New Roman" w:cs="Times New Roman"/>
          <w:color w:val="000000" w:themeColor="text1"/>
          <w:sz w:val="24"/>
        </w:rPr>
        <w:t>e</w:t>
      </w:r>
      <w:r w:rsidRPr="00371987">
        <w:rPr>
          <w:rFonts w:ascii="Times New Roman" w:hAnsi="Times New Roman" w:cs="Times New Roman"/>
          <w:color w:val="000000" w:themeColor="text1"/>
          <w:sz w:val="24"/>
        </w:rPr>
        <w:t xml:space="preserve"> without causing radicle emergence, which may leads to improved germination percentage and uniformity (Sung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2008). Seed priming promotes cross-tolerance that assists enhanced germination percentage and seedling establishment under adverse climatic conditions (Chen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2012). Seed priming aims to synchronize emergence for uniform crop establishment, speed up germination and protect seeds from environmental stress during early seedling growth (Sisodia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2018).</w:t>
      </w:r>
    </w:p>
    <w:p w:rsidR="00985456" w:rsidRPr="00371987" w:rsidRDefault="00985456" w:rsidP="00985456">
      <w:pPr>
        <w:ind w:firstLine="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 xml:space="preserve">Seed priming methods are classified based on the compounds used, including hydropriming, hormone priming, osmopriming, chemopriming, solid matrix priming, nutripriming, thermopriming and biopriming (Sher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2019). Biopriming with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boosts production of phytohormones, secondary metabolites and osmoprotectants, which help maintain cell water balance during drought stress without disrupting normal metabolism (Anjum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2014). Plant growth regulators like thiourea have played significant role in ornamental crops in terms of growth and breaking dormancy (Singh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2018). Thiourea helps in breaking seed dormancy and also stimulates seed germination and early growth of seedlings (Padhi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2018). Hydropriming treatment (distilled water) significantly improved the germination capacity of fungus-infected seed</w:t>
      </w:r>
      <w:r>
        <w:rPr>
          <w:rFonts w:ascii="Times New Roman" w:hAnsi="Times New Roman" w:cs="Times New Roman"/>
          <w:color w:val="000000" w:themeColor="text1"/>
          <w:sz w:val="24"/>
        </w:rPr>
        <w:t>s at the first and second count</w:t>
      </w:r>
      <w:r w:rsidRPr="00371987">
        <w:rPr>
          <w:rFonts w:ascii="Times New Roman" w:hAnsi="Times New Roman" w:cs="Times New Roman"/>
          <w:color w:val="000000" w:themeColor="text1"/>
          <w:sz w:val="24"/>
        </w:rPr>
        <w:t xml:space="preserve"> and the proportion of diseased seedlings and dead seeds was seen to have decreased (Vidyashree and Patil, 2021). </w:t>
      </w:r>
      <w:r w:rsidRPr="00D142BC">
        <w:rPr>
          <w:rFonts w:ascii="Times New Roman" w:hAnsi="Times New Roman" w:cs="Times New Roman"/>
          <w:color w:val="000000" w:themeColor="text1"/>
          <w:sz w:val="24"/>
        </w:rPr>
        <w:t>Priming is done in balsam to enhance seed germination, improve seedling vigor, and ensure uniform and faster emergence. It helps break seed dormancy, activates essential me</w:t>
      </w:r>
      <w:r>
        <w:rPr>
          <w:rFonts w:ascii="Times New Roman" w:hAnsi="Times New Roman" w:cs="Times New Roman"/>
          <w:color w:val="000000" w:themeColor="text1"/>
          <w:sz w:val="24"/>
        </w:rPr>
        <w:t>tabolic processes before sowing</w:t>
      </w:r>
      <w:r w:rsidRPr="00D142BC">
        <w:rPr>
          <w:rFonts w:ascii="Times New Roman" w:hAnsi="Times New Roman" w:cs="Times New Roman"/>
          <w:color w:val="000000" w:themeColor="text1"/>
          <w:sz w:val="24"/>
        </w:rPr>
        <w:t xml:space="preserve"> and prepares the seed to grow more efficiently once planted.</w:t>
      </w:r>
      <w:r>
        <w:rPr>
          <w:rFonts w:ascii="Times New Roman" w:hAnsi="Times New Roman" w:cs="Times New Roman"/>
          <w:color w:val="000000" w:themeColor="text1"/>
          <w:sz w:val="24"/>
        </w:rPr>
        <w:t xml:space="preserve"> </w:t>
      </w:r>
      <w:r w:rsidRPr="00371987">
        <w:rPr>
          <w:rFonts w:ascii="Times New Roman" w:hAnsi="Times New Roman" w:cs="Times New Roman"/>
          <w:color w:val="000000" w:themeColor="text1"/>
          <w:sz w:val="24"/>
        </w:rPr>
        <w:t>Since very meager or no work has been done so far on balsam seed priming</w:t>
      </w:r>
      <w:r>
        <w:rPr>
          <w:rFonts w:ascii="Times New Roman" w:hAnsi="Times New Roman" w:cs="Times New Roman"/>
          <w:color w:val="000000" w:themeColor="text1"/>
          <w:sz w:val="24"/>
        </w:rPr>
        <w:t xml:space="preserve"> t</w:t>
      </w:r>
      <w:r w:rsidRPr="00371987">
        <w:rPr>
          <w:rFonts w:ascii="Times New Roman" w:hAnsi="Times New Roman" w:cs="Times New Roman"/>
          <w:color w:val="000000" w:themeColor="text1"/>
          <w:sz w:val="24"/>
        </w:rPr>
        <w:t>herefore</w:t>
      </w:r>
      <w:r>
        <w:rPr>
          <w:rFonts w:ascii="Times New Roman" w:hAnsi="Times New Roman" w:cs="Times New Roman"/>
          <w:color w:val="000000" w:themeColor="text1"/>
          <w:sz w:val="24"/>
        </w:rPr>
        <w:t>, in this study</w:t>
      </w:r>
      <w:r w:rsidRPr="00371987">
        <w:rPr>
          <w:rFonts w:ascii="Times New Roman" w:hAnsi="Times New Roman" w:cs="Times New Roman"/>
          <w:color w:val="000000" w:themeColor="text1"/>
          <w:sz w:val="24"/>
        </w:rPr>
        <w:t xml:space="preserve"> effect of seed priming on growth and development of balsam has been investigated. </w:t>
      </w:r>
    </w:p>
    <w:p w:rsidR="00985456" w:rsidRPr="00371987" w:rsidRDefault="00985456" w:rsidP="00985456">
      <w:pPr>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Materials and Methods</w:t>
      </w:r>
    </w:p>
    <w:p w:rsidR="00985456" w:rsidRPr="00D142BC" w:rsidRDefault="00985456" w:rsidP="00985456">
      <w:pPr>
        <w:pStyle w:val="NormalWeb"/>
        <w:jc w:val="both"/>
      </w:pPr>
      <w:r>
        <w:rPr>
          <w:color w:val="000000" w:themeColor="text1"/>
        </w:rPr>
        <w:t>The present experiment</w:t>
      </w:r>
      <w:r w:rsidRPr="00371987">
        <w:rPr>
          <w:color w:val="000000" w:themeColor="text1"/>
        </w:rPr>
        <w:t xml:space="preserve"> was carried out during rainy season of July 2024-25 at the Horticulture Research Farm, Department of Horticulture, Institute of Agricultural Sciences, Banaras Hindu University, Varanasi, Uttar Pradesh. In this experiment, balsam (</w:t>
      </w:r>
      <w:r w:rsidRPr="00371987">
        <w:rPr>
          <w:i/>
          <w:color w:val="000000" w:themeColor="text1"/>
        </w:rPr>
        <w:t>Impatiens</w:t>
      </w:r>
      <w:r w:rsidRPr="00371987">
        <w:rPr>
          <w:color w:val="000000" w:themeColor="text1"/>
        </w:rPr>
        <w:t xml:space="preserve"> </w:t>
      </w:r>
      <w:r w:rsidRPr="00371987">
        <w:rPr>
          <w:i/>
          <w:color w:val="000000" w:themeColor="text1"/>
        </w:rPr>
        <w:t>balsamina</w:t>
      </w:r>
      <w:r w:rsidRPr="00371987">
        <w:rPr>
          <w:color w:val="000000" w:themeColor="text1"/>
        </w:rPr>
        <w:t>) seeds were primed with different priming agents to study their impact on growth, flowering and seed attributes. Five balsam genotypes were chosen for the experiment (JB-1, JB-2, JB-3, JB-4 and JB-5), that were procured from Department of Horticulture, College of Agriculture, J.N.K.V.V., Jabalpur, Madhya Pradesh. These genotypes were treated with five levels of treatments with five replications. The treatments are T</w:t>
      </w:r>
      <w:r w:rsidRPr="00371987">
        <w:rPr>
          <w:color w:val="000000" w:themeColor="text1"/>
          <w:vertAlign w:val="subscript"/>
        </w:rPr>
        <w:t xml:space="preserve">1 </w:t>
      </w:r>
      <w:r w:rsidRPr="00371987">
        <w:rPr>
          <w:color w:val="000000" w:themeColor="text1"/>
        </w:rPr>
        <w:t>(Control), T</w:t>
      </w:r>
      <w:r w:rsidRPr="00371987">
        <w:rPr>
          <w:color w:val="000000" w:themeColor="text1"/>
          <w:vertAlign w:val="subscript"/>
        </w:rPr>
        <w:t xml:space="preserve">2 </w:t>
      </w:r>
      <w:r w:rsidRPr="00371987">
        <w:rPr>
          <w:color w:val="000000" w:themeColor="text1"/>
        </w:rPr>
        <w:t>(</w:t>
      </w:r>
      <w:r w:rsidRPr="00371987">
        <w:rPr>
          <w:i/>
          <w:color w:val="000000" w:themeColor="text1"/>
        </w:rPr>
        <w:t xml:space="preserve">Trichoderma </w:t>
      </w:r>
      <w:r w:rsidRPr="00371987">
        <w:rPr>
          <w:color w:val="000000" w:themeColor="text1"/>
        </w:rPr>
        <w:t>1mg/g of seeds), T</w:t>
      </w:r>
      <w:r w:rsidRPr="00371987">
        <w:rPr>
          <w:color w:val="000000" w:themeColor="text1"/>
          <w:vertAlign w:val="subscript"/>
        </w:rPr>
        <w:t>3</w:t>
      </w:r>
      <w:r w:rsidRPr="00371987">
        <w:rPr>
          <w:color w:val="000000" w:themeColor="text1"/>
        </w:rPr>
        <w:t xml:space="preserve"> (Thiourea 50 ppm), T</w:t>
      </w:r>
      <w:r w:rsidRPr="00371987">
        <w:rPr>
          <w:color w:val="000000" w:themeColor="text1"/>
          <w:vertAlign w:val="subscript"/>
        </w:rPr>
        <w:t xml:space="preserve">4 </w:t>
      </w:r>
      <w:r w:rsidRPr="00371987">
        <w:rPr>
          <w:color w:val="000000" w:themeColor="text1"/>
        </w:rPr>
        <w:t>(</w:t>
      </w:r>
      <w:r w:rsidRPr="00371987">
        <w:rPr>
          <w:i/>
          <w:color w:val="000000" w:themeColor="text1"/>
        </w:rPr>
        <w:t xml:space="preserve">Trichoderma </w:t>
      </w:r>
      <w:r w:rsidRPr="00371987">
        <w:rPr>
          <w:color w:val="000000" w:themeColor="text1"/>
        </w:rPr>
        <w:t>1mg/g of seeds</w:t>
      </w:r>
      <w:r w:rsidRPr="00371987">
        <w:rPr>
          <w:i/>
          <w:color w:val="000000" w:themeColor="text1"/>
        </w:rPr>
        <w:t xml:space="preserve"> </w:t>
      </w:r>
      <w:r w:rsidRPr="00371987">
        <w:rPr>
          <w:color w:val="000000" w:themeColor="text1"/>
        </w:rPr>
        <w:t>+ Thiourea 50ppm) and T</w:t>
      </w:r>
      <w:r w:rsidRPr="00371987">
        <w:rPr>
          <w:color w:val="000000" w:themeColor="text1"/>
          <w:vertAlign w:val="subscript"/>
        </w:rPr>
        <w:t>5</w:t>
      </w:r>
      <w:r w:rsidRPr="00371987">
        <w:rPr>
          <w:color w:val="000000" w:themeColor="text1"/>
        </w:rPr>
        <w:t xml:space="preserve"> (Hydropriming). After the seeds were </w:t>
      </w:r>
      <w:r>
        <w:rPr>
          <w:color w:val="000000" w:themeColor="text1"/>
        </w:rPr>
        <w:t xml:space="preserve">treated they were </w:t>
      </w:r>
      <w:r w:rsidRPr="00371987">
        <w:rPr>
          <w:color w:val="000000" w:themeColor="text1"/>
        </w:rPr>
        <w:t>sown in the nursery bed with a row to row spaci</w:t>
      </w:r>
      <w:r>
        <w:rPr>
          <w:color w:val="000000" w:themeColor="text1"/>
        </w:rPr>
        <w:t>ng of 15 cm followed by</w:t>
      </w:r>
      <w:r w:rsidRPr="00371987">
        <w:rPr>
          <w:color w:val="000000" w:themeColor="text1"/>
        </w:rPr>
        <w:t xml:space="preserve"> light irrigation. Seedlings were transplanted to earthen pots after 30 days of sowing. Plants were irrigated thrice in a week to keep soil moisture at the field capacity. </w:t>
      </w:r>
      <w:r>
        <w:t xml:space="preserve">The experiment was carried out using a Factorial Randomized Block Design (RBD), incorporating two factors: the first comprising five genotypes and the second consisting of five treatments, as previously described. Each treatment combination was replicated five times. </w:t>
      </w:r>
      <w:r w:rsidRPr="00371987">
        <w:rPr>
          <w:color w:val="000000" w:themeColor="text1"/>
        </w:rPr>
        <w:t>Various parameters such as plant height, plant spread, number of leaves per plant, days to flowering, flowering duration, total flowers per plant, number of seeds per pod, number of pods per plant and number</w:t>
      </w:r>
      <w:r>
        <w:rPr>
          <w:color w:val="000000" w:themeColor="text1"/>
        </w:rPr>
        <w:t xml:space="preserve"> of seeds per plant were observed</w:t>
      </w:r>
      <w:r w:rsidRPr="00371987">
        <w:rPr>
          <w:color w:val="000000" w:themeColor="text1"/>
        </w:rPr>
        <w:t xml:space="preserve"> and analyzed statistically. </w:t>
      </w:r>
      <w:r>
        <w:t>All recorded observations were analyzed using the OP-STAT computer software.</w:t>
      </w:r>
      <w:r w:rsidRPr="00371987">
        <w:rPr>
          <w:color w:val="000000" w:themeColor="text1"/>
        </w:rPr>
        <w:t xml:space="preserve"> The Factorial Randomized Block Design analysis of variance was used to test the effect of different seed priming techniques on balsam genotypes. The mean difference was evaluated by CD at 5% level of significance.</w:t>
      </w:r>
    </w:p>
    <w:p w:rsidR="00985456" w:rsidRPr="00371987" w:rsidRDefault="00985456" w:rsidP="00985456">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Results and Discussion</w:t>
      </w:r>
    </w:p>
    <w:p w:rsidR="00985456" w:rsidRPr="00B947D4" w:rsidRDefault="00985456" w:rsidP="00985456">
      <w:pPr>
        <w:jc w:val="both"/>
        <w:rPr>
          <w:rFonts w:ascii="Times New Roman" w:hAnsi="Times New Roman" w:cs="Times New Roman"/>
          <w:sz w:val="24"/>
        </w:rPr>
      </w:pPr>
      <w:r w:rsidRPr="00B947D4">
        <w:rPr>
          <w:rFonts w:ascii="Times New Roman" w:hAnsi="Times New Roman" w:cs="Times New Roman"/>
          <w:sz w:val="24"/>
        </w:rPr>
        <w:t>Significant differences were observed in various plant growth and development parameters, aiding in the assessment of plant suitability for specific purposes. These results are consistent with previous studies on ornamental plants and highlight the diverse applications of different plant types in horticulture.</w:t>
      </w:r>
    </w:p>
    <w:p w:rsidR="007C1C65" w:rsidRDefault="007C1C65" w:rsidP="00985456">
      <w:pPr>
        <w:jc w:val="both"/>
        <w:rPr>
          <w:rFonts w:ascii="Times New Roman" w:hAnsi="Times New Roman" w:cs="Times New Roman"/>
          <w:b/>
          <w:color w:val="000000" w:themeColor="text1"/>
          <w:sz w:val="24"/>
        </w:rPr>
      </w:pPr>
    </w:p>
    <w:p w:rsidR="00985456" w:rsidRPr="00371987" w:rsidRDefault="00985456" w:rsidP="00985456">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lastRenderedPageBreak/>
        <w:t>Growth parameters</w:t>
      </w:r>
    </w:p>
    <w:p w:rsidR="00985456" w:rsidRPr="00371987" w:rsidRDefault="00985456" w:rsidP="00985456">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Significant variations were observed in the plant growth parameters, including plant height, plant spread and number of leaves. Treatment </w:t>
      </w: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i/>
          <w:color w:val="000000" w:themeColor="text1"/>
          <w:sz w:val="24"/>
          <w:szCs w:val="24"/>
          <w:vertAlign w:val="subscript"/>
        </w:rPr>
        <w:t xml:space="preserve"> </w:t>
      </w:r>
      <w:r w:rsidRPr="00371987">
        <w:rPr>
          <w:rFonts w:ascii="Times New Roman" w:hAnsi="Times New Roman" w:cs="Times New Roman"/>
          <w:color w:val="000000" w:themeColor="text1"/>
          <w:sz w:val="24"/>
          <w:szCs w:val="24"/>
        </w:rPr>
        <w:t xml:space="preserve">(82.67 cm) significantly recorded the highest average plant height comparing to others. The minimum average plant height was observed under control (72.90 cm) (Table 1). Whereas, the maximum average plant spread was observed in treatment </w:t>
      </w:r>
      <w:r w:rsidRPr="00371987">
        <w:rPr>
          <w:rFonts w:ascii="Times New Roman" w:hAnsi="Times New Roman" w:cs="Times New Roman"/>
          <w:color w:val="000000" w:themeColor="text1"/>
          <w:sz w:val="24"/>
        </w:rPr>
        <w:t>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(81.22 cm) which was significantly higher than other treatments (Table 1). The maximum number of leaves were observed in treatment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(618.12 leaves), significantly higher than other treatments (Table 2). </w:t>
      </w:r>
      <w:r w:rsidRPr="00371987">
        <w:rPr>
          <w:rFonts w:ascii="Times New Roman" w:hAnsi="Times New Roman" w:cs="Times New Roman"/>
          <w:color w:val="000000" w:themeColor="text1"/>
          <w:sz w:val="24"/>
          <w:szCs w:val="24"/>
        </w:rPr>
        <w:t xml:space="preserve">This could be related to enhanced photosynthetic activity and nutrient uptake by thiourea and </w:t>
      </w:r>
      <w:r w:rsidRPr="00371987">
        <w:rPr>
          <w:rFonts w:ascii="Times New Roman" w:hAnsi="Times New Roman" w:cs="Times New Roman"/>
          <w:i/>
          <w:color w:val="000000" w:themeColor="text1"/>
          <w:sz w:val="24"/>
          <w:szCs w:val="24"/>
        </w:rPr>
        <w:t>Trichoderma</w:t>
      </w:r>
      <w:r w:rsidR="009E571E">
        <w:rPr>
          <w:rFonts w:ascii="Times New Roman" w:hAnsi="Times New Roman" w:cs="Times New Roman"/>
          <w:color w:val="000000" w:themeColor="text1"/>
          <w:sz w:val="24"/>
          <w:szCs w:val="24"/>
        </w:rPr>
        <w:t xml:space="preserve"> improved tolerance of the plants against the biotic and abiotic stresses.</w:t>
      </w:r>
      <w:r w:rsidRPr="00371987">
        <w:rPr>
          <w:rFonts w:ascii="Times New Roman" w:hAnsi="Times New Roman" w:cs="Times New Roman"/>
          <w:color w:val="000000" w:themeColor="text1"/>
          <w:sz w:val="24"/>
          <w:szCs w:val="24"/>
        </w:rPr>
        <w:t xml:space="preserve"> Similar findings were observed  in </w:t>
      </w:r>
      <w:r w:rsidRPr="00371987">
        <w:rPr>
          <w:rFonts w:ascii="Times New Roman" w:hAnsi="Times New Roman" w:cs="Times New Roman"/>
          <w:i/>
          <w:color w:val="000000" w:themeColor="text1"/>
          <w:sz w:val="24"/>
          <w:szCs w:val="24"/>
        </w:rPr>
        <w:t>Eustoma grandiflorum</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by </w:t>
      </w:r>
      <w:r w:rsidRPr="00371987">
        <w:rPr>
          <w:rFonts w:ascii="Times New Roman" w:hAnsi="Times New Roman" w:cs="Times New Roman"/>
          <w:color w:val="000000" w:themeColor="text1"/>
          <w:sz w:val="24"/>
          <w:szCs w:val="24"/>
        </w:rPr>
        <w:t xml:space="preserve">Maliha </w:t>
      </w:r>
      <w:r w:rsidRPr="00371987">
        <w:rPr>
          <w:rFonts w:ascii="Times New Roman" w:hAnsi="Times New Roman" w:cs="Times New Roman"/>
          <w:i/>
          <w:color w:val="000000" w:themeColor="text1"/>
          <w:sz w:val="24"/>
          <w:szCs w:val="24"/>
        </w:rPr>
        <w:t>et al</w:t>
      </w:r>
      <w:r w:rsidRPr="003719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71987">
        <w:rPr>
          <w:rFonts w:ascii="Times New Roman" w:hAnsi="Times New Roman" w:cs="Times New Roman"/>
          <w:color w:val="000000" w:themeColor="text1"/>
          <w:sz w:val="24"/>
          <w:szCs w:val="24"/>
        </w:rPr>
        <w:t xml:space="preserve">2023), by </w:t>
      </w:r>
      <w:r w:rsidRPr="00371987">
        <w:rPr>
          <w:rFonts w:ascii="Times New Roman" w:hAnsi="Times New Roman" w:cs="Times New Roman"/>
          <w:color w:val="000000" w:themeColor="text1"/>
          <w:sz w:val="24"/>
        </w:rPr>
        <w:t xml:space="preserve">Kaur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(2023) in </w:t>
      </w:r>
      <w:r w:rsidRPr="00371987">
        <w:rPr>
          <w:rFonts w:ascii="Times New Roman" w:hAnsi="Times New Roman" w:cs="Times New Roman"/>
          <w:i/>
          <w:color w:val="000000" w:themeColor="text1"/>
          <w:sz w:val="24"/>
        </w:rPr>
        <w:t>Gladiolus grandiflorus</w:t>
      </w:r>
      <w:r w:rsidRPr="00371987">
        <w:rPr>
          <w:rFonts w:ascii="Times New Roman" w:hAnsi="Times New Roman" w:cs="Times New Roman"/>
          <w:color w:val="000000" w:themeColor="text1"/>
          <w:sz w:val="24"/>
        </w:rPr>
        <w:t xml:space="preserve"> L. and by Thakur and Garg (2024) in </w:t>
      </w:r>
      <w:r w:rsidRPr="00371987">
        <w:rPr>
          <w:rFonts w:ascii="Times New Roman" w:hAnsi="Times New Roman" w:cs="Times New Roman"/>
          <w:i/>
          <w:color w:val="000000" w:themeColor="text1"/>
          <w:sz w:val="24"/>
        </w:rPr>
        <w:t>Viola tricolor</w:t>
      </w:r>
      <w:r w:rsidRPr="00371987">
        <w:rPr>
          <w:rFonts w:ascii="Times New Roman" w:hAnsi="Times New Roman" w:cs="Times New Roman"/>
          <w:color w:val="000000" w:themeColor="text1"/>
          <w:sz w:val="24"/>
        </w:rPr>
        <w:t>.</w:t>
      </w:r>
    </w:p>
    <w:p w:rsidR="00985456" w:rsidRPr="00371987" w:rsidRDefault="00985456" w:rsidP="00985456">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Flowering parameters</w:t>
      </w:r>
    </w:p>
    <w:p w:rsidR="00985456" w:rsidRPr="00371987" w:rsidRDefault="00985456" w:rsidP="00985456">
      <w:pPr>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rPr>
        <w:t xml:space="preserve">Annuals and ornamental herbs enhance garden aesthetics with their vivid colors, varied forms and textures. Their versatility suits borders, beds, containers and hanging baskets. Significant differences were observed in various flowering parameters under different treatments. </w:t>
      </w:r>
      <w:r w:rsidRPr="00371987">
        <w:rPr>
          <w:rFonts w:ascii="Times New Roman" w:hAnsi="Times New Roman" w:cs="Times New Roman"/>
          <w:color w:val="000000" w:themeColor="text1"/>
          <w:sz w:val="24"/>
          <w:szCs w:val="24"/>
        </w:rPr>
        <w:t>Treatment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(48.74 days) resulted in the significantly earliest flowering in comparison to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(48.97 days),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(49.86 days) and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(51.00 days) (Table 3). Treatment</w:t>
      </w:r>
      <w:r w:rsidRPr="00371987">
        <w:rPr>
          <w:rFonts w:ascii="Times New Roman" w:hAnsi="Times New Roman" w:cs="Times New Roman"/>
          <w:b/>
          <w:color w:val="000000" w:themeColor="text1"/>
          <w:sz w:val="24"/>
          <w:szCs w:val="24"/>
        </w:rPr>
        <w:t xml:space="preserve"> </w:t>
      </w: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(64.12 days) showed the significantly longest flowering duration, closely followed by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(63.90 days) and minimum flowering duration was observed in treatment 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(56.42 days) showing that seed priming enhances flowering duration (Fig. 1). Whereas, total flowers per plant were maximum in treatment </w:t>
      </w:r>
      <w:r w:rsidRPr="00371987">
        <w:rPr>
          <w:rFonts w:ascii="Times New Roman" w:hAnsi="Times New Roman" w:cs="Times New Roman"/>
          <w:color w:val="000000" w:themeColor="text1"/>
          <w:sz w:val="24"/>
        </w:rPr>
        <w:t>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(283.41 flowers) which was significantly higher than others (Table 3). This highlights the positive influence of seed priming, particularly the combination of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and Thiourea.</w:t>
      </w:r>
      <w:r w:rsidR="009E571E">
        <w:rPr>
          <w:rFonts w:ascii="Times New Roman" w:hAnsi="Times New Roman" w:cs="Times New Roman"/>
          <w:color w:val="000000" w:themeColor="text1"/>
          <w:sz w:val="24"/>
        </w:rPr>
        <w:t xml:space="preserve"> </w:t>
      </w:r>
      <w:r w:rsidR="009E571E" w:rsidRPr="006165C2">
        <w:rPr>
          <w:rFonts w:ascii="Times New Roman" w:hAnsi="Times New Roman" w:cs="Times New Roman"/>
          <w:color w:val="000000" w:themeColor="text1"/>
          <w:sz w:val="24"/>
          <w:szCs w:val="24"/>
        </w:rPr>
        <w:t>This could be result of increased uptake of essential minerals like potassium (K⁺) and calcium (Ca²⁺) and enhanced auxins synthesis by thiourea that ultimately increase cell division.</w:t>
      </w:r>
      <w:r w:rsidR="009E571E">
        <w:rPr>
          <w:rFonts w:ascii="Times New Roman" w:hAnsi="Times New Roman" w:cs="Times New Roman"/>
          <w:color w:val="000000" w:themeColor="text1"/>
          <w:sz w:val="24"/>
          <w:szCs w:val="24"/>
        </w:rPr>
        <w:t xml:space="preserve"> </w:t>
      </w:r>
      <w:r w:rsidRPr="00371987">
        <w:rPr>
          <w:rFonts w:ascii="Times New Roman" w:hAnsi="Times New Roman" w:cs="Times New Roman"/>
          <w:color w:val="000000" w:themeColor="text1"/>
          <w:sz w:val="24"/>
        </w:rPr>
        <w:t xml:space="preserve"> Similar findings were observed by </w:t>
      </w:r>
      <w:r w:rsidRPr="00371987">
        <w:rPr>
          <w:rFonts w:ascii="Times New Roman" w:hAnsi="Times New Roman" w:cs="Times New Roman"/>
          <w:color w:val="000000" w:themeColor="text1"/>
          <w:sz w:val="24"/>
          <w:szCs w:val="24"/>
        </w:rPr>
        <w:t xml:space="preserve">Pawar </w:t>
      </w:r>
      <w:r w:rsidRPr="00371987">
        <w:rPr>
          <w:rFonts w:ascii="Times New Roman" w:hAnsi="Times New Roman" w:cs="Times New Roman"/>
          <w:i/>
          <w:color w:val="000000" w:themeColor="text1"/>
          <w:sz w:val="24"/>
          <w:szCs w:val="24"/>
        </w:rPr>
        <w:t>et al</w:t>
      </w:r>
      <w:r w:rsidRPr="00371987">
        <w:rPr>
          <w:rFonts w:ascii="Times New Roman" w:hAnsi="Times New Roman" w:cs="Times New Roman"/>
          <w:color w:val="000000" w:themeColor="text1"/>
          <w:sz w:val="24"/>
          <w:szCs w:val="24"/>
        </w:rPr>
        <w:t xml:space="preserve">. (2018) in </w:t>
      </w:r>
      <w:r w:rsidRPr="00371987">
        <w:rPr>
          <w:rFonts w:ascii="Times New Roman" w:hAnsi="Times New Roman" w:cs="Times New Roman"/>
          <w:i/>
          <w:color w:val="000000" w:themeColor="text1"/>
          <w:sz w:val="24"/>
          <w:szCs w:val="24"/>
        </w:rPr>
        <w:t>Gladiolus grandiflorus</w:t>
      </w:r>
      <w:r w:rsidRPr="00371987">
        <w:rPr>
          <w:rFonts w:ascii="Times New Roman" w:hAnsi="Times New Roman" w:cs="Times New Roman"/>
          <w:color w:val="000000" w:themeColor="text1"/>
          <w:sz w:val="24"/>
          <w:szCs w:val="24"/>
        </w:rPr>
        <w:t xml:space="preserve"> L. </w:t>
      </w:r>
    </w:p>
    <w:p w:rsidR="00985456" w:rsidRPr="00371987" w:rsidRDefault="00985456" w:rsidP="00985456">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Seed parameters</w:t>
      </w:r>
    </w:p>
    <w:p w:rsidR="00C16B2B" w:rsidRDefault="00985456" w:rsidP="009E571E">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Significant differences were observed in seed parameters under various treatments given in Table 2 and Table 4. Among the treatments,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significantly produced the highest number of seeds per pod (11.62 seeds) whereas T</w:t>
      </w:r>
      <w:r w:rsidRPr="00371987">
        <w:rPr>
          <w:rFonts w:ascii="Times New Roman" w:hAnsi="Times New Roman" w:cs="Times New Roman"/>
          <w:color w:val="000000" w:themeColor="text1"/>
          <w:sz w:val="24"/>
          <w:vertAlign w:val="subscript"/>
        </w:rPr>
        <w:t>1</w:t>
      </w:r>
      <w:r w:rsidRPr="00371987">
        <w:rPr>
          <w:rFonts w:ascii="Times New Roman" w:hAnsi="Times New Roman" w:cs="Times New Roman"/>
          <w:color w:val="000000" w:themeColor="text1"/>
          <w:sz w:val="24"/>
        </w:rPr>
        <w:t xml:space="preserve"> (8.60 seeds) and T</w:t>
      </w:r>
      <w:r w:rsidRPr="00371987">
        <w:rPr>
          <w:rFonts w:ascii="Times New Roman" w:hAnsi="Times New Roman" w:cs="Times New Roman"/>
          <w:color w:val="000000" w:themeColor="text1"/>
          <w:sz w:val="24"/>
          <w:vertAlign w:val="subscript"/>
        </w:rPr>
        <w:t>5</w:t>
      </w:r>
      <w:r w:rsidRPr="00371987">
        <w:rPr>
          <w:rFonts w:ascii="Times New Roman" w:hAnsi="Times New Roman" w:cs="Times New Roman"/>
          <w:color w:val="000000" w:themeColor="text1"/>
          <w:sz w:val="24"/>
        </w:rPr>
        <w:t xml:space="preserve"> (8.77 seeds) exhibited the minimum seeds per pod. Number of pods per plant was maximum in treatment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(302.22) and treatment T</w:t>
      </w:r>
      <w:r w:rsidRPr="00371987">
        <w:rPr>
          <w:rFonts w:ascii="Times New Roman" w:hAnsi="Times New Roman" w:cs="Times New Roman"/>
          <w:color w:val="000000" w:themeColor="text1"/>
          <w:sz w:val="24"/>
          <w:vertAlign w:val="subscript"/>
        </w:rPr>
        <w:t>1</w:t>
      </w:r>
      <w:r w:rsidRPr="00371987">
        <w:rPr>
          <w:rFonts w:ascii="Times New Roman" w:hAnsi="Times New Roman" w:cs="Times New Roman"/>
          <w:color w:val="000000" w:themeColor="text1"/>
          <w:sz w:val="24"/>
        </w:rPr>
        <w:t xml:space="preserve"> had minimum, 219.34 pods per plant. Treatment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results in the significantly highest number of seeds per plant (2,977.89 seeds/plant). In contrast, T</w:t>
      </w:r>
      <w:r w:rsidRPr="00371987">
        <w:rPr>
          <w:rFonts w:ascii="Times New Roman" w:hAnsi="Times New Roman" w:cs="Times New Roman"/>
          <w:color w:val="000000" w:themeColor="text1"/>
          <w:sz w:val="24"/>
          <w:vertAlign w:val="subscript"/>
        </w:rPr>
        <w:t>1</w:t>
      </w:r>
      <w:r>
        <w:rPr>
          <w:rFonts w:ascii="Times New Roman" w:hAnsi="Times New Roman" w:cs="Times New Roman"/>
          <w:color w:val="000000" w:themeColor="text1"/>
          <w:sz w:val="24"/>
        </w:rPr>
        <w:t xml:space="preserve"> (2007.31 seeds/plant) had</w:t>
      </w:r>
      <w:r w:rsidRPr="00371987">
        <w:rPr>
          <w:rFonts w:ascii="Times New Roman" w:hAnsi="Times New Roman" w:cs="Times New Roman"/>
          <w:color w:val="000000" w:themeColor="text1"/>
          <w:sz w:val="24"/>
        </w:rPr>
        <w:t xml:space="preserve"> the lowest number of seeds per plant.</w:t>
      </w:r>
      <w:r w:rsidR="009E571E">
        <w:rPr>
          <w:rFonts w:ascii="Times New Roman" w:hAnsi="Times New Roman" w:cs="Times New Roman"/>
          <w:color w:val="000000" w:themeColor="text1"/>
          <w:sz w:val="24"/>
        </w:rPr>
        <w:t xml:space="preserve"> </w:t>
      </w:r>
      <w:r w:rsidR="009E571E" w:rsidRPr="006165C2">
        <w:rPr>
          <w:rFonts w:ascii="Times New Roman" w:hAnsi="Times New Roman" w:cs="Times New Roman"/>
          <w:color w:val="000000" w:themeColor="text1"/>
          <w:sz w:val="24"/>
          <w:szCs w:val="24"/>
        </w:rPr>
        <w:t>This might be due to thiourea priming</w:t>
      </w:r>
      <w:r w:rsidR="009E571E">
        <w:rPr>
          <w:rFonts w:ascii="Times New Roman" w:hAnsi="Times New Roman" w:cs="Times New Roman"/>
          <w:color w:val="000000" w:themeColor="text1"/>
          <w:sz w:val="24"/>
          <w:szCs w:val="24"/>
        </w:rPr>
        <w:t xml:space="preserve"> which</w:t>
      </w:r>
      <w:r w:rsidR="009E571E" w:rsidRPr="006165C2">
        <w:rPr>
          <w:rFonts w:ascii="Times New Roman" w:hAnsi="Times New Roman" w:cs="Times New Roman"/>
          <w:color w:val="000000" w:themeColor="text1"/>
          <w:sz w:val="24"/>
          <w:szCs w:val="24"/>
        </w:rPr>
        <w:t xml:space="preserve"> supported plant growth by maintaining better water balance, improving stomatal conductance and serving as a compatible osmolyte, thereby aiding in the production of quality seeds.</w:t>
      </w:r>
      <w:r w:rsidRPr="00371987">
        <w:rPr>
          <w:rFonts w:ascii="Times New Roman" w:hAnsi="Times New Roman" w:cs="Times New Roman"/>
          <w:color w:val="000000" w:themeColor="text1"/>
          <w:sz w:val="24"/>
        </w:rPr>
        <w:t xml:space="preserve"> It may </w:t>
      </w:r>
      <w:r w:rsidR="009E571E">
        <w:rPr>
          <w:rFonts w:ascii="Times New Roman" w:hAnsi="Times New Roman" w:cs="Times New Roman"/>
          <w:color w:val="000000" w:themeColor="text1"/>
          <w:sz w:val="24"/>
        </w:rPr>
        <w:t xml:space="preserve">also </w:t>
      </w:r>
      <w:r w:rsidRPr="00371987">
        <w:rPr>
          <w:rFonts w:ascii="Times New Roman" w:hAnsi="Times New Roman" w:cs="Times New Roman"/>
          <w:color w:val="000000" w:themeColor="text1"/>
          <w:sz w:val="24"/>
        </w:rPr>
        <w:t xml:space="preserve">be due to biotic and abiotic stress tolerance induced in plants by thiourea and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Similar results were also observed by Oyebamiji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(2024), Negi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(2019)</w:t>
      </w:r>
      <w:r>
        <w:rPr>
          <w:rFonts w:ascii="Times New Roman" w:hAnsi="Times New Roman" w:cs="Times New Roman"/>
          <w:color w:val="000000" w:themeColor="text1"/>
          <w:sz w:val="24"/>
        </w:rPr>
        <w:t xml:space="preserve"> </w:t>
      </w:r>
      <w:r w:rsidRPr="00371987">
        <w:rPr>
          <w:rFonts w:ascii="Times New Roman" w:hAnsi="Times New Roman" w:cs="Times New Roman"/>
          <w:color w:val="000000" w:themeColor="text1"/>
          <w:sz w:val="24"/>
        </w:rPr>
        <w:t xml:space="preserve">and Dayma </w:t>
      </w:r>
      <w:r w:rsidRPr="00371987">
        <w:rPr>
          <w:rFonts w:ascii="Times New Roman" w:hAnsi="Times New Roman" w:cs="Times New Roman"/>
          <w:i/>
          <w:color w:val="000000" w:themeColor="text1"/>
          <w:sz w:val="24"/>
        </w:rPr>
        <w:t>et al</w:t>
      </w:r>
      <w:r>
        <w:rPr>
          <w:rFonts w:ascii="Times New Roman" w:hAnsi="Times New Roman" w:cs="Times New Roman"/>
          <w:color w:val="000000" w:themeColor="text1"/>
          <w:sz w:val="24"/>
        </w:rPr>
        <w:t>. (2024)</w:t>
      </w:r>
      <w:r w:rsidRPr="0039026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in f</w:t>
      </w:r>
      <w:r w:rsidRPr="00371987">
        <w:rPr>
          <w:rFonts w:ascii="Times New Roman" w:hAnsi="Times New Roman" w:cs="Times New Roman"/>
          <w:color w:val="000000" w:themeColor="text1"/>
          <w:sz w:val="24"/>
        </w:rPr>
        <w:t>rench bean (</w:t>
      </w:r>
      <w:r w:rsidRPr="00371987">
        <w:rPr>
          <w:rFonts w:ascii="Times New Roman" w:hAnsi="Times New Roman" w:cs="Times New Roman"/>
          <w:i/>
          <w:color w:val="000000" w:themeColor="text1"/>
          <w:sz w:val="24"/>
        </w:rPr>
        <w:t>Phaseolus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vulgaris</w:t>
      </w:r>
      <w:r w:rsidRPr="00371987">
        <w:rPr>
          <w:rFonts w:ascii="Times New Roman" w:hAnsi="Times New Roman" w:cs="Times New Roman"/>
          <w:color w:val="000000" w:themeColor="text1"/>
          <w:sz w:val="24"/>
        </w:rPr>
        <w:t xml:space="preserve"> L.)</w:t>
      </w:r>
      <w:r>
        <w:rPr>
          <w:rFonts w:ascii="Times New Roman" w:hAnsi="Times New Roman" w:cs="Times New Roman"/>
          <w:color w:val="000000" w:themeColor="text1"/>
          <w:sz w:val="24"/>
        </w:rPr>
        <w:t>.</w:t>
      </w:r>
    </w:p>
    <w:p w:rsidR="00985456" w:rsidRDefault="00985456" w:rsidP="00985456">
      <w:pPr>
        <w:rPr>
          <w:rFonts w:ascii="Times New Roman" w:hAnsi="Times New Roman" w:cs="Times New Roman"/>
          <w:color w:val="000000" w:themeColor="text1"/>
          <w:sz w:val="24"/>
        </w:rPr>
      </w:pPr>
    </w:p>
    <w:p w:rsidR="00985456" w:rsidRDefault="00985456" w:rsidP="00985456">
      <w:pPr>
        <w:rPr>
          <w:rFonts w:ascii="Times New Roman" w:hAnsi="Times New Roman" w:cs="Times New Roman"/>
          <w:color w:val="000000" w:themeColor="text1"/>
          <w:sz w:val="24"/>
        </w:rPr>
      </w:pPr>
    </w:p>
    <w:p w:rsidR="00985456" w:rsidRPr="00390269" w:rsidRDefault="00985456" w:rsidP="00985456">
      <w:pPr>
        <w:jc w:val="both"/>
        <w:rPr>
          <w:rFonts w:ascii="Times New Roman" w:hAnsi="Times New Roman" w:cs="Times New Roman"/>
          <w:color w:val="000000" w:themeColor="text1"/>
          <w:sz w:val="24"/>
        </w:rPr>
        <w:sectPr w:rsidR="00985456" w:rsidRPr="00390269" w:rsidSect="00E24EB9">
          <w:type w:val="continuous"/>
          <w:pgSz w:w="12240" w:h="15840"/>
          <w:pgMar w:top="1170" w:right="990" w:bottom="1080" w:left="900" w:header="720" w:footer="720" w:gutter="0"/>
          <w:cols w:space="450"/>
          <w:docGrid w:linePitch="360"/>
        </w:sectPr>
      </w:pPr>
    </w:p>
    <w:tbl>
      <w:tblPr>
        <w:tblStyle w:val="TableGrid"/>
        <w:tblpPr w:leftFromText="180" w:rightFromText="180" w:vertAnchor="page" w:horzAnchor="margin" w:tblpY="1351"/>
        <w:tblW w:w="12859" w:type="dxa"/>
        <w:tblBorders>
          <w:left w:val="none" w:sz="0" w:space="0" w:color="auto"/>
          <w:right w:val="none" w:sz="0" w:space="0" w:color="auto"/>
        </w:tblBorders>
        <w:tblLayout w:type="fixed"/>
        <w:tblLook w:val="04A0"/>
      </w:tblPr>
      <w:tblGrid>
        <w:gridCol w:w="1339"/>
        <w:gridCol w:w="1152"/>
        <w:gridCol w:w="1152"/>
        <w:gridCol w:w="1152"/>
        <w:gridCol w:w="1152"/>
        <w:gridCol w:w="1152"/>
        <w:gridCol w:w="1152"/>
        <w:gridCol w:w="1152"/>
        <w:gridCol w:w="1152"/>
        <w:gridCol w:w="1152"/>
        <w:gridCol w:w="1152"/>
      </w:tblGrid>
      <w:tr w:rsidR="00985456" w:rsidRPr="00371987" w:rsidTr="00985456">
        <w:trPr>
          <w:trHeight w:val="288"/>
        </w:trPr>
        <w:tc>
          <w:tcPr>
            <w:tcW w:w="12859" w:type="dxa"/>
            <w:gridSpan w:val="11"/>
          </w:tcPr>
          <w:p w:rsidR="00985456" w:rsidRPr="00371987" w:rsidRDefault="00985456" w:rsidP="00985456">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Table 1.  Effect of seed priming treatments on growth parameters in balsam</w:t>
            </w:r>
          </w:p>
        </w:tc>
      </w:tr>
      <w:tr w:rsidR="00985456" w:rsidRPr="00371987" w:rsidTr="00985456">
        <w:trPr>
          <w:trHeight w:val="58"/>
        </w:trPr>
        <w:tc>
          <w:tcPr>
            <w:tcW w:w="1339" w:type="dxa"/>
          </w:tcPr>
          <w:p w:rsidR="00985456" w:rsidRPr="00371987" w:rsidRDefault="00985456" w:rsidP="00985456">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Plant Height (cm)</w:t>
            </w: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Plant Spread (cm)</w:t>
            </w:r>
          </w:p>
        </w:tc>
      </w:tr>
      <w:tr w:rsidR="00985456" w:rsidRPr="00371987" w:rsidTr="00985456">
        <w:trPr>
          <w:trHeight w:val="288"/>
        </w:trPr>
        <w:tc>
          <w:tcPr>
            <w:tcW w:w="1339" w:type="dxa"/>
            <w:tcBorders>
              <w:bottom w:val="single" w:sz="4" w:space="0" w:color="000000" w:themeColor="text1"/>
            </w:tcBorders>
          </w:tcPr>
          <w:p w:rsidR="00985456" w:rsidRPr="00371987" w:rsidRDefault="00A947A4" w:rsidP="00985456">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4.8pt;margin-top:0;width:67.8pt;height:41.5pt;z-index:251669504;mso-position-horizontal-relative:text;mso-position-vertical-relative:text" o:connectortype="straight"/>
              </w:pict>
            </w:r>
            <w:r w:rsidR="00985456" w:rsidRPr="00371987">
              <w:rPr>
                <w:rFonts w:ascii="Times New Roman" w:hAnsi="Times New Roman" w:cs="Times New Roman"/>
                <w:b/>
                <w:color w:val="000000" w:themeColor="text1"/>
                <w:sz w:val="24"/>
                <w:szCs w:val="24"/>
              </w:rPr>
              <w:t>Treatment</w:t>
            </w:r>
          </w:p>
          <w:p w:rsidR="00985456" w:rsidRPr="00371987" w:rsidRDefault="00985456" w:rsidP="00985456">
            <w:pPr>
              <w:jc w:val="center"/>
              <w:rPr>
                <w:rFonts w:ascii="Times New Roman" w:hAnsi="Times New Roman" w:cs="Times New Roman"/>
                <w:b/>
                <w:color w:val="000000" w:themeColor="text1"/>
                <w:sz w:val="24"/>
                <w:szCs w:val="24"/>
              </w:rPr>
            </w:pPr>
          </w:p>
          <w:p w:rsidR="00985456" w:rsidRPr="00371987" w:rsidRDefault="00985456" w:rsidP="00985456">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right w:val="single" w:sz="4" w:space="0" w:color="auto"/>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left w:val="single" w:sz="4" w:space="0" w:color="auto"/>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985456" w:rsidRPr="00371987" w:rsidTr="00985456">
        <w:trPr>
          <w:trHeight w:val="288"/>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71.60</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76.71</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74.42</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76.54</w:t>
            </w:r>
          </w:p>
        </w:tc>
        <w:tc>
          <w:tcPr>
            <w:tcW w:w="1152" w:type="dxa"/>
            <w:tcBorders>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77.93</w:t>
            </w:r>
          </w:p>
        </w:tc>
        <w:tc>
          <w:tcPr>
            <w:tcW w:w="1152" w:type="dxa"/>
            <w:tcBorders>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64.09</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76.93</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70.07</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79.25</w:t>
            </w:r>
          </w:p>
        </w:tc>
        <w:tc>
          <w:tcPr>
            <w:tcW w:w="1152" w:type="dxa"/>
            <w:tcBorders>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70.42</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74.20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75.62</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75.00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85.02</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87.90</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71.88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73.05</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84.88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82.21</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74.97</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74.00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75.59</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74.32</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82.51</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82.10</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68.99</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71.60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83.34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78.48</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67.33</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74.60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74.74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77.68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85.20</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86.70</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73.77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74.34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84.67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83.03</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74.87</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69.90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78.08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77.69</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77.70</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78.70</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71.48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79.91</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70.20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83.15</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73.14</w:t>
            </w:r>
          </w:p>
        </w:tc>
      </w:tr>
      <w:tr w:rsidR="00985456" w:rsidRPr="00371987" w:rsidTr="00985456">
        <w:trPr>
          <w:trHeight w:val="288"/>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72.90</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76.15</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75.82</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81.39</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82.67</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70.04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75.17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78.63</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81.22</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72.16</w:t>
            </w:r>
          </w:p>
        </w:tc>
      </w:tr>
      <w:tr w:rsidR="00985456" w:rsidRPr="00371987" w:rsidTr="00985456">
        <w:trPr>
          <w:trHeight w:val="316"/>
        </w:trPr>
        <w:tc>
          <w:tcPr>
            <w:tcW w:w="1339" w:type="dxa"/>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8.20</w:t>
            </w: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2859" w:type="dxa"/>
            <w:gridSpan w:val="11"/>
          </w:tcPr>
          <w:p w:rsidR="00985456" w:rsidRPr="00371987" w:rsidRDefault="00985456" w:rsidP="00985456">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tbl>
      <w:tblPr>
        <w:tblStyle w:val="TableGrid"/>
        <w:tblpPr w:leftFromText="180" w:rightFromText="180" w:vertAnchor="page" w:horzAnchor="margin" w:tblpY="6409"/>
        <w:tblW w:w="12859" w:type="dxa"/>
        <w:tblBorders>
          <w:left w:val="none" w:sz="0" w:space="0" w:color="auto"/>
          <w:right w:val="none" w:sz="0" w:space="0" w:color="auto"/>
        </w:tblBorders>
        <w:tblLayout w:type="fixed"/>
        <w:tblLook w:val="04A0"/>
      </w:tblPr>
      <w:tblGrid>
        <w:gridCol w:w="1339"/>
        <w:gridCol w:w="1152"/>
        <w:gridCol w:w="1152"/>
        <w:gridCol w:w="1152"/>
        <w:gridCol w:w="1152"/>
        <w:gridCol w:w="1152"/>
        <w:gridCol w:w="1152"/>
        <w:gridCol w:w="1152"/>
        <w:gridCol w:w="1152"/>
        <w:gridCol w:w="1152"/>
        <w:gridCol w:w="1152"/>
      </w:tblGrid>
      <w:tr w:rsidR="00985456" w:rsidRPr="00371987" w:rsidTr="00985456">
        <w:trPr>
          <w:trHeight w:val="288"/>
        </w:trPr>
        <w:tc>
          <w:tcPr>
            <w:tcW w:w="12859" w:type="dxa"/>
            <w:gridSpan w:val="11"/>
          </w:tcPr>
          <w:p w:rsidR="00985456" w:rsidRPr="00371987" w:rsidRDefault="00985456" w:rsidP="00985456">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2.  Effect of seed priming treatments on growth and seed parameters in balsam</w:t>
            </w:r>
          </w:p>
        </w:tc>
      </w:tr>
      <w:tr w:rsidR="00985456" w:rsidRPr="00371987" w:rsidTr="00985456">
        <w:trPr>
          <w:trHeight w:val="288"/>
        </w:trPr>
        <w:tc>
          <w:tcPr>
            <w:tcW w:w="1339" w:type="dxa"/>
          </w:tcPr>
          <w:p w:rsidR="00985456" w:rsidRPr="00371987" w:rsidRDefault="00985456" w:rsidP="00985456">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leaves per plant</w:t>
            </w: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pods per plant</w:t>
            </w:r>
          </w:p>
        </w:tc>
      </w:tr>
      <w:tr w:rsidR="00985456" w:rsidRPr="00371987" w:rsidTr="00985456">
        <w:trPr>
          <w:trHeight w:val="288"/>
        </w:trPr>
        <w:tc>
          <w:tcPr>
            <w:tcW w:w="1339" w:type="dxa"/>
            <w:tcBorders>
              <w:bottom w:val="single" w:sz="4" w:space="0" w:color="000000" w:themeColor="text1"/>
            </w:tcBorders>
          </w:tcPr>
          <w:p w:rsidR="00985456" w:rsidRPr="00371987" w:rsidRDefault="00A947A4" w:rsidP="00985456">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5" type="#_x0000_t32" style="position:absolute;left:0;text-align:left;margin-left:-4.8pt;margin-top:0;width:67.8pt;height:41.5pt;z-index:251670528;mso-position-horizontal-relative:text;mso-position-vertical-relative:text" o:connectortype="straight"/>
              </w:pict>
            </w:r>
            <w:r w:rsidR="00985456" w:rsidRPr="00371987">
              <w:rPr>
                <w:rFonts w:ascii="Times New Roman" w:hAnsi="Times New Roman" w:cs="Times New Roman"/>
                <w:b/>
                <w:color w:val="000000" w:themeColor="text1"/>
                <w:sz w:val="24"/>
                <w:szCs w:val="24"/>
              </w:rPr>
              <w:t>Treatment</w:t>
            </w:r>
          </w:p>
          <w:p w:rsidR="00985456" w:rsidRPr="00371987" w:rsidRDefault="00985456" w:rsidP="00985456">
            <w:pPr>
              <w:jc w:val="center"/>
              <w:rPr>
                <w:rFonts w:ascii="Times New Roman" w:hAnsi="Times New Roman" w:cs="Times New Roman"/>
                <w:b/>
                <w:color w:val="000000" w:themeColor="text1"/>
                <w:sz w:val="24"/>
                <w:szCs w:val="24"/>
              </w:rPr>
            </w:pPr>
          </w:p>
          <w:p w:rsidR="00985456" w:rsidRPr="00371987" w:rsidRDefault="00985456" w:rsidP="00985456">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985456" w:rsidRPr="00371987" w:rsidTr="00985456">
        <w:trPr>
          <w:trHeight w:val="288"/>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358.27</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479.24</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610.40</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632.44</w:t>
            </w:r>
          </w:p>
        </w:tc>
        <w:tc>
          <w:tcPr>
            <w:tcW w:w="1152" w:type="dxa"/>
            <w:tcBorders>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464.46</w:t>
            </w:r>
          </w:p>
        </w:tc>
        <w:tc>
          <w:tcPr>
            <w:tcW w:w="1152" w:type="dxa"/>
            <w:tcBorders>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202.75</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224.33</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229.26</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305.67</w:t>
            </w:r>
          </w:p>
        </w:tc>
        <w:tc>
          <w:tcPr>
            <w:tcW w:w="1152" w:type="dxa"/>
            <w:tcBorders>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257.17</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321.48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550.48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589.65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625.36</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531.26</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206.40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289.71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298.32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308.69</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256.12</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426.31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489.88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588.54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608.42</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464.79</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178.58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288.36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241.41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265.01</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290.15</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371.19</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536.63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582.29</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637.73</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526.60</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252.85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295.52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304.92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315.84</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250.70</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369.07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503.57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607.35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586.65</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494.87</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256.13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148.57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278.00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315.88</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252.72</w:t>
            </w:r>
          </w:p>
        </w:tc>
      </w:tr>
      <w:tr w:rsidR="00985456" w:rsidRPr="00371987" w:rsidTr="00985456">
        <w:trPr>
          <w:trHeight w:val="288"/>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369.26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511.96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595.64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618.12</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496.39</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219.34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249.30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270.38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302.22</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261.37</w:t>
            </w:r>
          </w:p>
        </w:tc>
      </w:tr>
      <w:tr w:rsidR="00985456" w:rsidRPr="00371987" w:rsidTr="00985456">
        <w:trPr>
          <w:trHeight w:val="316"/>
        </w:trPr>
        <w:tc>
          <w:tcPr>
            <w:tcW w:w="1339" w:type="dxa"/>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55.77</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26.66</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2859" w:type="dxa"/>
            <w:gridSpan w:val="11"/>
          </w:tcPr>
          <w:p w:rsidR="00985456" w:rsidRPr="00371987" w:rsidRDefault="00985456" w:rsidP="00985456">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pPr>
    </w:p>
    <w:tbl>
      <w:tblPr>
        <w:tblStyle w:val="TableGrid"/>
        <w:tblpPr w:leftFromText="180" w:rightFromText="180" w:vertAnchor="page" w:horzAnchor="margin" w:tblpY="1441"/>
        <w:tblW w:w="12859" w:type="dxa"/>
        <w:tblLayout w:type="fixed"/>
        <w:tblLook w:val="04A0"/>
      </w:tblPr>
      <w:tblGrid>
        <w:gridCol w:w="1339"/>
        <w:gridCol w:w="1152"/>
        <w:gridCol w:w="1152"/>
        <w:gridCol w:w="1152"/>
        <w:gridCol w:w="1152"/>
        <w:gridCol w:w="1152"/>
        <w:gridCol w:w="1152"/>
        <w:gridCol w:w="1152"/>
        <w:gridCol w:w="1152"/>
        <w:gridCol w:w="1152"/>
        <w:gridCol w:w="1152"/>
      </w:tblGrid>
      <w:tr w:rsidR="00985456" w:rsidRPr="00371987" w:rsidTr="00985456">
        <w:trPr>
          <w:trHeight w:val="288"/>
        </w:trPr>
        <w:tc>
          <w:tcPr>
            <w:tcW w:w="12859" w:type="dxa"/>
            <w:gridSpan w:val="11"/>
            <w:tcBorders>
              <w:left w:val="nil"/>
              <w:right w:val="nil"/>
            </w:tcBorders>
          </w:tcPr>
          <w:p w:rsidR="00985456" w:rsidRPr="00371987" w:rsidRDefault="00985456" w:rsidP="00985456">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3.  Effect of seed priming treatments on flowering parameters in balsam</w:t>
            </w:r>
          </w:p>
        </w:tc>
      </w:tr>
      <w:tr w:rsidR="00985456" w:rsidRPr="00371987" w:rsidTr="00985456">
        <w:trPr>
          <w:trHeight w:val="288"/>
        </w:trPr>
        <w:tc>
          <w:tcPr>
            <w:tcW w:w="1339" w:type="dxa"/>
            <w:tcBorders>
              <w:left w:val="nil"/>
            </w:tcBorders>
          </w:tcPr>
          <w:p w:rsidR="00985456" w:rsidRPr="00371987" w:rsidRDefault="00985456" w:rsidP="00985456">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Total flowers per plant</w:t>
            </w:r>
          </w:p>
        </w:tc>
        <w:tc>
          <w:tcPr>
            <w:tcW w:w="5760" w:type="dxa"/>
            <w:gridSpan w:val="5"/>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Days to flowering</w:t>
            </w:r>
          </w:p>
        </w:tc>
      </w:tr>
      <w:tr w:rsidR="00985456" w:rsidRPr="00371987" w:rsidTr="00985456">
        <w:trPr>
          <w:trHeight w:val="288"/>
        </w:trPr>
        <w:tc>
          <w:tcPr>
            <w:tcW w:w="1339" w:type="dxa"/>
            <w:tcBorders>
              <w:left w:val="nil"/>
              <w:bottom w:val="single" w:sz="4" w:space="0" w:color="000000" w:themeColor="text1"/>
            </w:tcBorders>
          </w:tcPr>
          <w:p w:rsidR="00985456" w:rsidRPr="00371987" w:rsidRDefault="00A947A4" w:rsidP="00985456">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6" type="#_x0000_t32" style="position:absolute;left:0;text-align:left;margin-left:-4.8pt;margin-top:0;width:67.8pt;height:41.5pt;z-index:251671552;mso-position-horizontal-relative:text;mso-position-vertical-relative:text" o:connectortype="straight"/>
              </w:pict>
            </w:r>
            <w:r w:rsidR="00985456" w:rsidRPr="00371987">
              <w:rPr>
                <w:rFonts w:ascii="Times New Roman" w:hAnsi="Times New Roman" w:cs="Times New Roman"/>
                <w:b/>
                <w:color w:val="000000" w:themeColor="text1"/>
                <w:sz w:val="24"/>
                <w:szCs w:val="24"/>
              </w:rPr>
              <w:t>Treatment</w:t>
            </w:r>
          </w:p>
          <w:p w:rsidR="00985456" w:rsidRPr="00371987" w:rsidRDefault="00985456" w:rsidP="00985456">
            <w:pPr>
              <w:jc w:val="center"/>
              <w:rPr>
                <w:rFonts w:ascii="Times New Roman" w:hAnsi="Times New Roman" w:cs="Times New Roman"/>
                <w:b/>
                <w:color w:val="000000" w:themeColor="text1"/>
                <w:sz w:val="24"/>
                <w:szCs w:val="24"/>
              </w:rPr>
            </w:pPr>
          </w:p>
          <w:p w:rsidR="00985456" w:rsidRPr="00371987" w:rsidRDefault="00985456" w:rsidP="00985456">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985456" w:rsidRPr="00371987" w:rsidTr="00985456">
        <w:trPr>
          <w:trHeight w:val="288"/>
        </w:trPr>
        <w:tc>
          <w:tcPr>
            <w:tcW w:w="1339" w:type="dxa"/>
            <w:tcBorders>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208.54</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228.73</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267.62</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273.13</w:t>
            </w:r>
          </w:p>
        </w:tc>
        <w:tc>
          <w:tcPr>
            <w:tcW w:w="1152" w:type="dxa"/>
            <w:tcBorders>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212.49</w:t>
            </w:r>
          </w:p>
        </w:tc>
        <w:tc>
          <w:tcPr>
            <w:tcW w:w="1152" w:type="dxa"/>
            <w:tcBorders>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49.32</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53.34</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51.30</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49.67</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48.22</w:t>
            </w:r>
          </w:p>
        </w:tc>
      </w:tr>
      <w:tr w:rsidR="00985456" w:rsidRPr="00371987" w:rsidTr="00985456">
        <w:trPr>
          <w:trHeight w:val="288"/>
        </w:trPr>
        <w:tc>
          <w:tcPr>
            <w:tcW w:w="1339" w:type="dxa"/>
            <w:tcBorders>
              <w:top w:val="nil"/>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234.22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273.89</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289.60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297.35</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264.48</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48.84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52.09</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47.56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49.57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49.14</w:t>
            </w:r>
          </w:p>
        </w:tc>
      </w:tr>
      <w:tr w:rsidR="00985456" w:rsidRPr="00371987" w:rsidTr="00985456">
        <w:trPr>
          <w:trHeight w:val="288"/>
        </w:trPr>
        <w:tc>
          <w:tcPr>
            <w:tcW w:w="1339" w:type="dxa"/>
            <w:tcBorders>
              <w:top w:val="nil"/>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228.36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240.27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265.74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298.77</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220.06</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55.69</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51.94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48.01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48.66</w:t>
            </w:r>
          </w:p>
        </w:tc>
      </w:tr>
      <w:tr w:rsidR="00985456" w:rsidRPr="00371987" w:rsidTr="00985456">
        <w:trPr>
          <w:trHeight w:val="288"/>
        </w:trPr>
        <w:tc>
          <w:tcPr>
            <w:tcW w:w="1339" w:type="dxa"/>
            <w:tcBorders>
              <w:top w:val="nil"/>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260.92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289.43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298.87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302.73</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284.40</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50.08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47.45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50.91</w:t>
            </w:r>
          </w:p>
        </w:tc>
      </w:tr>
      <w:tr w:rsidR="00985456" w:rsidRPr="00371987" w:rsidTr="00985456">
        <w:trPr>
          <w:trHeight w:val="288"/>
        </w:trPr>
        <w:tc>
          <w:tcPr>
            <w:tcW w:w="1339" w:type="dxa"/>
            <w:tcBorders>
              <w:top w:val="nil"/>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239.85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252.18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288.00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245.08</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229.66</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54.22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50.84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50.53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52.38</w:t>
            </w:r>
          </w:p>
        </w:tc>
      </w:tr>
      <w:tr w:rsidR="00985456" w:rsidRPr="00371987" w:rsidTr="00985456">
        <w:trPr>
          <w:trHeight w:val="288"/>
        </w:trPr>
        <w:tc>
          <w:tcPr>
            <w:tcW w:w="1339" w:type="dxa"/>
            <w:tcBorders>
              <w:top w:val="nil"/>
              <w:left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234.38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256.90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281.96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283.41</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242.22</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51.63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51.00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48.97</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48.74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49.86</w:t>
            </w:r>
          </w:p>
        </w:tc>
      </w:tr>
      <w:tr w:rsidR="00985456" w:rsidRPr="00371987" w:rsidTr="00985456">
        <w:trPr>
          <w:trHeight w:val="316"/>
        </w:trPr>
        <w:tc>
          <w:tcPr>
            <w:tcW w:w="1339"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25.76</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1.85</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left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25.76</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1.85</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left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4.14</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2859" w:type="dxa"/>
            <w:gridSpan w:val="11"/>
            <w:tcBorders>
              <w:left w:val="nil"/>
              <w:right w:val="nil"/>
            </w:tcBorders>
          </w:tcPr>
          <w:p w:rsidR="00985456" w:rsidRPr="00371987" w:rsidRDefault="00985456" w:rsidP="00985456">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tbl>
      <w:tblPr>
        <w:tblStyle w:val="TableGrid"/>
        <w:tblpPr w:leftFromText="180" w:rightFromText="180" w:vertAnchor="page" w:horzAnchor="margin" w:tblpY="6673"/>
        <w:tblW w:w="12859" w:type="dxa"/>
        <w:tblBorders>
          <w:left w:val="none" w:sz="0" w:space="0" w:color="auto"/>
          <w:right w:val="none" w:sz="0" w:space="0" w:color="auto"/>
        </w:tblBorders>
        <w:tblLayout w:type="fixed"/>
        <w:tblLook w:val="04A0"/>
      </w:tblPr>
      <w:tblGrid>
        <w:gridCol w:w="1339"/>
        <w:gridCol w:w="1152"/>
        <w:gridCol w:w="1152"/>
        <w:gridCol w:w="1152"/>
        <w:gridCol w:w="1152"/>
        <w:gridCol w:w="1152"/>
        <w:gridCol w:w="1152"/>
        <w:gridCol w:w="1152"/>
        <w:gridCol w:w="1152"/>
        <w:gridCol w:w="1152"/>
        <w:gridCol w:w="1152"/>
      </w:tblGrid>
      <w:tr w:rsidR="00985456" w:rsidRPr="00371987" w:rsidTr="00985456">
        <w:trPr>
          <w:trHeight w:val="288"/>
        </w:trPr>
        <w:tc>
          <w:tcPr>
            <w:tcW w:w="12859" w:type="dxa"/>
            <w:gridSpan w:val="11"/>
          </w:tcPr>
          <w:p w:rsidR="00985456" w:rsidRPr="00371987" w:rsidRDefault="00985456" w:rsidP="00985456">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4.  Effect of seed priming treatments on seed parameters in balsam</w:t>
            </w:r>
          </w:p>
        </w:tc>
      </w:tr>
      <w:tr w:rsidR="00985456" w:rsidRPr="00371987" w:rsidTr="00985456">
        <w:trPr>
          <w:trHeight w:val="288"/>
        </w:trPr>
        <w:tc>
          <w:tcPr>
            <w:tcW w:w="1339" w:type="dxa"/>
          </w:tcPr>
          <w:p w:rsidR="00985456" w:rsidRPr="00371987" w:rsidRDefault="00985456" w:rsidP="00985456">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seeds per pod</w:t>
            </w:r>
          </w:p>
        </w:tc>
        <w:tc>
          <w:tcPr>
            <w:tcW w:w="5760" w:type="dxa"/>
            <w:gridSpan w:val="5"/>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seeds per plant</w:t>
            </w:r>
          </w:p>
        </w:tc>
      </w:tr>
      <w:tr w:rsidR="00985456" w:rsidRPr="00371987" w:rsidTr="00985456">
        <w:trPr>
          <w:trHeight w:val="288"/>
        </w:trPr>
        <w:tc>
          <w:tcPr>
            <w:tcW w:w="1339" w:type="dxa"/>
            <w:tcBorders>
              <w:bottom w:val="single" w:sz="4" w:space="0" w:color="000000" w:themeColor="text1"/>
            </w:tcBorders>
          </w:tcPr>
          <w:p w:rsidR="00985456" w:rsidRPr="00371987" w:rsidRDefault="00A947A4" w:rsidP="00985456">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7" type="#_x0000_t32" style="position:absolute;left:0;text-align:left;margin-left:-4.8pt;margin-top:0;width:67.8pt;height:41.5pt;z-index:251672576;mso-position-horizontal-relative:text;mso-position-vertical-relative:text" o:connectortype="straight"/>
              </w:pict>
            </w:r>
            <w:r w:rsidR="00985456" w:rsidRPr="00371987">
              <w:rPr>
                <w:rFonts w:ascii="Times New Roman" w:hAnsi="Times New Roman" w:cs="Times New Roman"/>
                <w:b/>
                <w:color w:val="000000" w:themeColor="text1"/>
                <w:sz w:val="24"/>
                <w:szCs w:val="24"/>
              </w:rPr>
              <w:t>Treatment</w:t>
            </w:r>
          </w:p>
          <w:p w:rsidR="00985456" w:rsidRPr="00371987" w:rsidRDefault="00985456" w:rsidP="00985456">
            <w:pPr>
              <w:jc w:val="center"/>
              <w:rPr>
                <w:rFonts w:ascii="Times New Roman" w:hAnsi="Times New Roman" w:cs="Times New Roman"/>
                <w:b/>
                <w:color w:val="000000" w:themeColor="text1"/>
                <w:sz w:val="24"/>
                <w:szCs w:val="24"/>
              </w:rPr>
            </w:pPr>
          </w:p>
          <w:p w:rsidR="00985456" w:rsidRPr="00371987" w:rsidRDefault="00985456" w:rsidP="00985456">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985456" w:rsidRPr="00371987" w:rsidTr="00985456">
        <w:trPr>
          <w:trHeight w:val="288"/>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7.78</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9.48</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10.07</w:t>
            </w:r>
          </w:p>
        </w:tc>
        <w:tc>
          <w:tcPr>
            <w:tcW w:w="1152" w:type="dxa"/>
            <w:tcBorders>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11.14</w:t>
            </w:r>
          </w:p>
        </w:tc>
        <w:tc>
          <w:tcPr>
            <w:tcW w:w="1152" w:type="dxa"/>
            <w:tcBorders>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8.26</w:t>
            </w:r>
          </w:p>
        </w:tc>
        <w:tc>
          <w:tcPr>
            <w:tcW w:w="1152" w:type="dxa"/>
            <w:tcBorders>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1,787.23</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2,020.41</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2,181.67</w:t>
            </w:r>
          </w:p>
        </w:tc>
        <w:tc>
          <w:tcPr>
            <w:tcW w:w="1152" w:type="dxa"/>
            <w:tcBorders>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3,257.22</w:t>
            </w:r>
          </w:p>
        </w:tc>
        <w:tc>
          <w:tcPr>
            <w:tcW w:w="1152" w:type="dxa"/>
            <w:tcBorders>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2,236.44</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9.68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8.83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9.83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11.93</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9.53</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2,217.33</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2,339.85</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2,830.54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3,116.95</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2,015.67</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10.60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10.87</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7.99</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2,205.19</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1,901.78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2,079.57</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3,077.31</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2,479.72</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8.64</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9.86</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11.62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12.34</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9.30</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1,867.29</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2,660.73</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2,772.35</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2,653.97</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3,082.44</w:t>
            </w:r>
          </w:p>
        </w:tc>
      </w:tr>
      <w:tr w:rsidR="00985456" w:rsidRPr="00371987" w:rsidTr="00985456">
        <w:trPr>
          <w:trHeight w:val="288"/>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8.42</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9.35</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9.43</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11.82</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8.77</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1,959.53</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2,328.31</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2,684.28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2,784.00</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1,740.66</w:t>
            </w:r>
          </w:p>
        </w:tc>
      </w:tr>
      <w:tr w:rsidR="00985456" w:rsidRPr="00371987" w:rsidTr="00985456">
        <w:trPr>
          <w:trHeight w:val="288"/>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8.60</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9.08</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10.31</w:t>
            </w: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11.62</w:t>
            </w: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8.77</w:t>
            </w: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2,007.31</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2,250.22</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2,509.68</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2,977.89</w:t>
            </w: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2,310.99</w:t>
            </w:r>
          </w:p>
        </w:tc>
      </w:tr>
      <w:tr w:rsidR="00985456" w:rsidRPr="00371987" w:rsidTr="00985456">
        <w:trPr>
          <w:trHeight w:val="316"/>
        </w:trPr>
        <w:tc>
          <w:tcPr>
            <w:tcW w:w="1339" w:type="dxa"/>
            <w:tcBorders>
              <w:bottom w:val="single" w:sz="4" w:space="0" w:color="000000" w:themeColor="text1"/>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0.72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133.84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bottom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0.72</w:t>
            </w:r>
          </w:p>
        </w:tc>
        <w:tc>
          <w:tcPr>
            <w:tcW w:w="1152" w:type="dxa"/>
            <w:tcBorders>
              <w:top w:val="nil"/>
              <w:left w:val="nil"/>
              <w:bottom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133.84</w:t>
            </w: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339" w:type="dxa"/>
            <w:tcBorders>
              <w:top w:val="nil"/>
            </w:tcBorders>
          </w:tcPr>
          <w:p w:rsidR="00985456" w:rsidRPr="00371987" w:rsidRDefault="00985456" w:rsidP="00985456">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rsidR="00985456" w:rsidRPr="00371987" w:rsidRDefault="00985456" w:rsidP="00985456">
            <w:pPr>
              <w:jc w:val="right"/>
              <w:rPr>
                <w:rFonts w:ascii="Times New Roman" w:hAnsi="Times New Roman" w:cs="Times New Roman"/>
                <w:color w:val="000000" w:themeColor="text1"/>
                <w:sz w:val="24"/>
                <w:szCs w:val="24"/>
              </w:rPr>
            </w:pPr>
          </w:p>
        </w:tc>
        <w:tc>
          <w:tcPr>
            <w:tcW w:w="1152" w:type="dxa"/>
            <w:tcBorders>
              <w:top w:val="nil"/>
              <w:left w:val="nil"/>
            </w:tcBorders>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299.29</w:t>
            </w: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c>
          <w:tcPr>
            <w:tcW w:w="1152" w:type="dxa"/>
            <w:tcBorders>
              <w:top w:val="nil"/>
              <w:left w:val="nil"/>
            </w:tcBorders>
            <w:vAlign w:val="center"/>
          </w:tcPr>
          <w:p w:rsidR="00985456" w:rsidRPr="00371987" w:rsidRDefault="00985456" w:rsidP="00985456">
            <w:pPr>
              <w:jc w:val="center"/>
              <w:rPr>
                <w:rFonts w:ascii="Times New Roman" w:hAnsi="Times New Roman" w:cs="Times New Roman"/>
                <w:color w:val="000000" w:themeColor="text1"/>
                <w:sz w:val="24"/>
                <w:szCs w:val="24"/>
              </w:rPr>
            </w:pPr>
          </w:p>
        </w:tc>
      </w:tr>
      <w:tr w:rsidR="00985456" w:rsidRPr="00371987" w:rsidTr="00985456">
        <w:trPr>
          <w:trHeight w:val="350"/>
        </w:trPr>
        <w:tc>
          <w:tcPr>
            <w:tcW w:w="12859" w:type="dxa"/>
            <w:gridSpan w:val="11"/>
          </w:tcPr>
          <w:p w:rsidR="00985456" w:rsidRPr="00371987" w:rsidRDefault="00985456" w:rsidP="00985456">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rsidR="00985456" w:rsidRPr="00371987" w:rsidRDefault="00985456" w:rsidP="00985456">
      <w:pPr>
        <w:jc w:val="both"/>
        <w:rPr>
          <w:rFonts w:ascii="Times New Roman" w:hAnsi="Times New Roman" w:cs="Times New Roman"/>
          <w:b/>
          <w:color w:val="000000" w:themeColor="text1"/>
          <w:sz w:val="28"/>
        </w:rPr>
      </w:pPr>
    </w:p>
    <w:p w:rsidR="00985456" w:rsidRPr="00371987" w:rsidRDefault="00985456" w:rsidP="00985456">
      <w:pPr>
        <w:jc w:val="both"/>
        <w:rPr>
          <w:rFonts w:ascii="Times New Roman" w:hAnsi="Times New Roman" w:cs="Times New Roman"/>
          <w:b/>
          <w:color w:val="000000" w:themeColor="text1"/>
          <w:sz w:val="28"/>
        </w:rPr>
        <w:sectPr w:rsidR="00985456" w:rsidRPr="00371987" w:rsidSect="00C16B2B">
          <w:type w:val="continuous"/>
          <w:pgSz w:w="15840" w:h="12240" w:orient="landscape"/>
          <w:pgMar w:top="907" w:right="1166" w:bottom="180" w:left="1080" w:header="720" w:footer="720" w:gutter="0"/>
          <w:cols w:space="450"/>
          <w:docGrid w:linePitch="360"/>
        </w:sectPr>
      </w:pPr>
    </w:p>
    <w:p w:rsidR="00985456" w:rsidRPr="00371987" w:rsidRDefault="00A947A4" w:rsidP="00985456">
      <w:pPr>
        <w:rPr>
          <w:rFonts w:ascii="Times New Roman" w:hAnsi="Times New Roman" w:cs="Times New Roman"/>
          <w:b/>
          <w:color w:val="000000" w:themeColor="text1"/>
          <w:sz w:val="28"/>
        </w:rPr>
        <w:sectPr w:rsidR="00985456" w:rsidRPr="00371987" w:rsidSect="00E24EB9">
          <w:headerReference w:type="even" r:id="rId8"/>
          <w:headerReference w:type="default" r:id="rId9"/>
          <w:footerReference w:type="even" r:id="rId10"/>
          <w:footerReference w:type="default" r:id="rId11"/>
          <w:headerReference w:type="first" r:id="rId12"/>
          <w:footerReference w:type="first" r:id="rId13"/>
          <w:type w:val="continuous"/>
          <w:pgSz w:w="12240" w:h="15840"/>
          <w:pgMar w:top="1170" w:right="990" w:bottom="1080" w:left="900" w:header="720" w:footer="720" w:gutter="0"/>
          <w:cols w:space="450"/>
          <w:docGrid w:linePitch="360"/>
        </w:sectPr>
      </w:pPr>
      <w:r>
        <w:rPr>
          <w:rFonts w:ascii="Times New Roman" w:hAnsi="Times New Roman" w:cs="Times New Roman"/>
          <w:b/>
          <w:noProof/>
          <w:color w:val="000000" w:themeColor="text1"/>
          <w:sz w:val="28"/>
        </w:rPr>
        <w:lastRenderedPageBreak/>
        <w:pict>
          <v:shapetype id="_x0000_t202" coordsize="21600,21600" o:spt="202" path="m,l,21600r21600,l21600,xe">
            <v:stroke joinstyle="miter"/>
            <v:path gradientshapeok="t" o:connecttype="rect"/>
          </v:shapetype>
          <v:shape id="_x0000_s1058" type="#_x0000_t202" style="position:absolute;margin-left:1.2pt;margin-top:547.5pt;width:435.6pt;height:24pt;z-index:251673600" stroked="f">
            <v:textbox>
              <w:txbxContent>
                <w:p w:rsidR="00985456" w:rsidRPr="00E95CDF" w:rsidRDefault="00985456" w:rsidP="00985456">
                  <w:pPr>
                    <w:rPr>
                      <w:sz w:val="24"/>
                    </w:rPr>
                  </w:pPr>
                  <w:r>
                    <w:rPr>
                      <w:rFonts w:ascii="Times New Roman" w:hAnsi="Times New Roman" w:cs="Times New Roman"/>
                      <w:color w:val="000000" w:themeColor="text1"/>
                    </w:rPr>
                    <w:t xml:space="preserve">Fig. 1 </w:t>
                  </w:r>
                  <w:r w:rsidRPr="007E3A32">
                    <w:rPr>
                      <w:rFonts w:ascii="Times New Roman" w:hAnsi="Times New Roman" w:cs="Times New Roman"/>
                      <w:color w:val="000000" w:themeColor="text1"/>
                    </w:rPr>
                    <w:t xml:space="preserve">Effect of seed priming treatments on </w:t>
                  </w:r>
                  <w:r>
                    <w:rPr>
                      <w:rFonts w:ascii="Times New Roman" w:hAnsi="Times New Roman" w:cs="Times New Roman"/>
                      <w:color w:val="000000" w:themeColor="text1"/>
                    </w:rPr>
                    <w:t>flowering duration in balsam</w:t>
                  </w:r>
                </w:p>
              </w:txbxContent>
            </v:textbox>
          </v:shape>
        </w:pict>
      </w:r>
      <w:r w:rsidR="00985456" w:rsidRPr="00371987">
        <w:rPr>
          <w:rFonts w:ascii="Times New Roman" w:hAnsi="Times New Roman" w:cs="Times New Roman"/>
          <w:b/>
          <w:noProof/>
          <w:color w:val="000000" w:themeColor="text1"/>
          <w:sz w:val="28"/>
        </w:rPr>
        <w:drawing>
          <wp:inline distT="0" distB="0" distL="0" distR="0">
            <wp:extent cx="6852397" cy="6750424"/>
            <wp:effectExtent l="19050" t="0" r="2465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2488" w:rsidRPr="00371987" w:rsidRDefault="00D92488" w:rsidP="00AD153F">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lastRenderedPageBreak/>
        <w:t>Conclusion</w:t>
      </w:r>
    </w:p>
    <w:p w:rsidR="00985456" w:rsidRDefault="00985456" w:rsidP="00985456">
      <w:pPr>
        <w:pStyle w:val="NormalWeb"/>
      </w:pPr>
      <w:r>
        <w:t>The present study demonstrates that seed priming significantly enhances the growth, flowering, and seed yield attributes of balsam (</w:t>
      </w:r>
      <w:r>
        <w:rPr>
          <w:rStyle w:val="Emphasis"/>
        </w:rPr>
        <w:t>Impatiens balsamina</w:t>
      </w:r>
      <w:r>
        <w:t xml:space="preserve">). Among the treatments, the combination of </w:t>
      </w:r>
      <w:r w:rsidRPr="00390269">
        <w:rPr>
          <w:i/>
        </w:rPr>
        <w:t xml:space="preserve">Trichoderma </w:t>
      </w:r>
      <w:r>
        <w:t xml:space="preserve">and thiourea consistently outperformed other treatments across all parameters, including plant height, spread, leaf number, flowering duration and seed yield. These findings highlight the potential of integrated seed priming approaches to improve plant vigour, uniformity and productivity in ornamental crops. </w:t>
      </w:r>
    </w:p>
    <w:p w:rsidR="00B2262A" w:rsidRDefault="00B2262A" w:rsidP="00AD153F">
      <w:pPr>
        <w:jc w:val="both"/>
        <w:rPr>
          <w:rFonts w:ascii="Times New Roman" w:hAnsi="Times New Roman" w:cs="Times New Roman"/>
          <w:color w:val="000000" w:themeColor="text1"/>
          <w:sz w:val="24"/>
        </w:rPr>
      </w:pPr>
    </w:p>
    <w:p w:rsidR="00B2262A" w:rsidRPr="009C5487" w:rsidRDefault="00B2262A" w:rsidP="00B2262A">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B2262A" w:rsidRPr="009C5487" w:rsidRDefault="00B2262A" w:rsidP="00B2262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B2262A" w:rsidRDefault="00B2262A" w:rsidP="00B2262A">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p w:rsidR="007C1C65" w:rsidRDefault="007C1C65" w:rsidP="00B2262A">
      <w:pPr>
        <w:rPr>
          <w:rFonts w:ascii="Calibri" w:eastAsia="Calibri" w:hAnsi="Calibri" w:cs="Times New Roman"/>
          <w:kern w:val="2"/>
        </w:rPr>
      </w:pPr>
    </w:p>
    <w:p w:rsidR="00B2262A" w:rsidRPr="007C1C65" w:rsidRDefault="007C1C65" w:rsidP="00AD153F">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References</w:t>
      </w:r>
      <w:bookmarkStart w:id="4" w:name="_GoBack"/>
      <w:bookmarkEnd w:id="1"/>
      <w:bookmarkEnd w:id="2"/>
      <w:bookmarkEnd w:id="3"/>
      <w:bookmarkEnd w:id="4"/>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Anjum, N.A., Aref, I.M., Duarte, A.C., Pereira, E., Ahmad, I. and Iqbal, M. (2014). Glutathione and proline can coordinately make plants withstand the joint attack of metal (loid) and salinity stresses. </w:t>
      </w:r>
      <w:r w:rsidRPr="00371987">
        <w:rPr>
          <w:rFonts w:ascii="Times New Roman" w:hAnsi="Times New Roman" w:cs="Times New Roman"/>
          <w:i/>
          <w:color w:val="000000" w:themeColor="text1"/>
          <w:sz w:val="24"/>
        </w:rPr>
        <w:t>Frontiers in Plant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5</w:t>
      </w:r>
      <w:r w:rsidRPr="00371987">
        <w:rPr>
          <w:rFonts w:ascii="Times New Roman" w:hAnsi="Times New Roman" w:cs="Times New Roman"/>
          <w:color w:val="000000" w:themeColor="text1"/>
          <w:sz w:val="24"/>
        </w:rPr>
        <w:t>: 662.</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Chen, K., Fessehaie, A. and Arora, R. (2012). Dehydrin metabolism is altered during seed osmopriming and subsequent germination under chilling and desiccation in </w:t>
      </w:r>
      <w:r w:rsidRPr="00371987">
        <w:rPr>
          <w:rFonts w:ascii="Times New Roman" w:hAnsi="Times New Roman" w:cs="Times New Roman"/>
          <w:i/>
          <w:color w:val="000000" w:themeColor="text1"/>
          <w:sz w:val="24"/>
        </w:rPr>
        <w:t>Spinacia oleracea</w:t>
      </w:r>
      <w:r w:rsidRPr="00371987">
        <w:rPr>
          <w:rFonts w:ascii="Times New Roman" w:hAnsi="Times New Roman" w:cs="Times New Roman"/>
          <w:color w:val="000000" w:themeColor="text1"/>
          <w:sz w:val="24"/>
        </w:rPr>
        <w:t xml:space="preserve"> L. cv. Bloomsdale: possible role in stress tolerance. </w:t>
      </w:r>
      <w:r w:rsidRPr="00371987">
        <w:rPr>
          <w:rFonts w:ascii="Times New Roman" w:hAnsi="Times New Roman" w:cs="Times New Roman"/>
          <w:i/>
          <w:color w:val="000000" w:themeColor="text1"/>
          <w:sz w:val="24"/>
        </w:rPr>
        <w:t>Plant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183</w:t>
      </w:r>
      <w:r w:rsidRPr="00371987">
        <w:rPr>
          <w:rFonts w:ascii="Times New Roman" w:hAnsi="Times New Roman" w:cs="Times New Roman"/>
          <w:color w:val="000000" w:themeColor="text1"/>
          <w:sz w:val="24"/>
        </w:rPr>
        <w:t>: 27-36.</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Dayma, M., Sharma, O.P., Dhaker, D.L. and Choudhary, R.S. (2024). Effect of seed priming chemicals on growth and yield of cowpea. </w:t>
      </w:r>
      <w:r w:rsidRPr="00371987">
        <w:rPr>
          <w:rFonts w:ascii="Times New Roman" w:hAnsi="Times New Roman" w:cs="Times New Roman"/>
          <w:i/>
          <w:color w:val="000000" w:themeColor="text1"/>
          <w:sz w:val="24"/>
        </w:rPr>
        <w:t>Annals of Agricultural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45</w:t>
      </w:r>
      <w:r w:rsidRPr="00371987">
        <w:rPr>
          <w:rFonts w:ascii="Times New Roman" w:hAnsi="Times New Roman" w:cs="Times New Roman"/>
          <w:color w:val="000000" w:themeColor="text1"/>
          <w:sz w:val="24"/>
        </w:rPr>
        <w:t>(4), 391-397.</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Grey-Wilson, C. (1980). </w:t>
      </w:r>
      <w:r w:rsidRPr="00371987">
        <w:rPr>
          <w:rFonts w:ascii="Times New Roman" w:hAnsi="Times New Roman" w:cs="Times New Roman"/>
          <w:i/>
          <w:color w:val="000000" w:themeColor="text1"/>
          <w:sz w:val="24"/>
          <w:szCs w:val="24"/>
        </w:rPr>
        <w:t xml:space="preserve">Impatiens </w:t>
      </w:r>
      <w:r w:rsidRPr="00371987">
        <w:rPr>
          <w:rFonts w:ascii="Times New Roman" w:hAnsi="Times New Roman" w:cs="Times New Roman"/>
          <w:color w:val="000000" w:themeColor="text1"/>
          <w:sz w:val="24"/>
          <w:szCs w:val="24"/>
        </w:rPr>
        <w:t>of Africa. CRC Press, Boca Raton, Florida. pp.3.</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 xml:space="preserve">Kaur, K., Jhanji, S. and Kaur, G. (2023). Assessment of priming of cormels with plant growth substances on vegetative growth and cormel-associated traits in gladiolus. </w:t>
      </w:r>
      <w:r w:rsidRPr="00371987">
        <w:rPr>
          <w:rFonts w:ascii="Times New Roman" w:hAnsi="Times New Roman" w:cs="Times New Roman"/>
          <w:i/>
          <w:color w:val="000000" w:themeColor="text1"/>
          <w:sz w:val="24"/>
        </w:rPr>
        <w:t>Annals of Plants and Soil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25</w:t>
      </w:r>
      <w:r w:rsidRPr="00371987">
        <w:rPr>
          <w:rFonts w:ascii="Times New Roman" w:hAnsi="Times New Roman" w:cs="Times New Roman"/>
          <w:color w:val="000000" w:themeColor="text1"/>
          <w:sz w:val="24"/>
        </w:rPr>
        <w:t>(2): 304-309.</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Maliha, M., Husna, M.A., Sultana, M.N., Singh, K. and Uddin, A.F.M.J. (2023). Influence of thiourea concentrations on growth. </w:t>
      </w:r>
      <w:r w:rsidRPr="00371987">
        <w:rPr>
          <w:rFonts w:ascii="Times New Roman" w:hAnsi="Times New Roman" w:cs="Times New Roman"/>
          <w:i/>
          <w:color w:val="000000" w:themeColor="text1"/>
          <w:sz w:val="24"/>
          <w:szCs w:val="24"/>
        </w:rPr>
        <w:t>International Journal of Business, Social and Scientific Research,</w:t>
      </w:r>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11</w:t>
      </w:r>
      <w:r w:rsidRPr="00371987">
        <w:rPr>
          <w:rFonts w:ascii="Times New Roman" w:hAnsi="Times New Roman" w:cs="Times New Roman"/>
          <w:color w:val="000000" w:themeColor="text1"/>
          <w:sz w:val="24"/>
          <w:szCs w:val="24"/>
        </w:rPr>
        <w:t>(1): 01-06.</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Meenu, B., Neeraja, E.D., Rejimon, G.R. and Varghese, A.V. (2015). </w:t>
      </w:r>
      <w:r w:rsidRPr="00371987">
        <w:rPr>
          <w:rFonts w:ascii="Times New Roman" w:hAnsi="Times New Roman" w:cs="Times New Roman"/>
          <w:i/>
          <w:color w:val="000000" w:themeColor="text1"/>
          <w:sz w:val="24"/>
          <w:szCs w:val="24"/>
        </w:rPr>
        <w:t>Impatiens balsamina</w:t>
      </w:r>
      <w:r w:rsidRPr="00371987">
        <w:rPr>
          <w:rFonts w:ascii="Times New Roman" w:hAnsi="Times New Roman" w:cs="Times New Roman"/>
          <w:color w:val="000000" w:themeColor="text1"/>
          <w:sz w:val="24"/>
          <w:szCs w:val="24"/>
        </w:rPr>
        <w:t xml:space="preserve">: an overview. </w:t>
      </w:r>
      <w:r w:rsidRPr="00371987">
        <w:rPr>
          <w:rFonts w:ascii="Times New Roman" w:hAnsi="Times New Roman" w:cs="Times New Roman"/>
          <w:i/>
          <w:color w:val="000000" w:themeColor="text1"/>
          <w:sz w:val="24"/>
          <w:szCs w:val="24"/>
        </w:rPr>
        <w:t xml:space="preserve">Journal of Chemical and Pharmaceutical Research, </w:t>
      </w:r>
      <w:r w:rsidRPr="00371987">
        <w:rPr>
          <w:rFonts w:ascii="Times New Roman" w:hAnsi="Times New Roman" w:cs="Times New Roman"/>
          <w:b/>
          <w:color w:val="000000" w:themeColor="text1"/>
          <w:sz w:val="24"/>
          <w:szCs w:val="24"/>
        </w:rPr>
        <w:t>7</w:t>
      </w:r>
      <w:r w:rsidRPr="00371987">
        <w:rPr>
          <w:rFonts w:ascii="Times New Roman" w:hAnsi="Times New Roman" w:cs="Times New Roman"/>
          <w:color w:val="000000" w:themeColor="text1"/>
          <w:sz w:val="24"/>
          <w:szCs w:val="24"/>
        </w:rPr>
        <w:t>(9): 16-21.</w:t>
      </w:r>
      <w:r w:rsidRPr="00371987">
        <w:rPr>
          <w:rFonts w:ascii="Times New Roman" w:hAnsi="Times New Roman" w:cs="Times New Roman"/>
          <w:i/>
          <w:color w:val="000000" w:themeColor="text1"/>
          <w:sz w:val="24"/>
          <w:szCs w:val="24"/>
        </w:rPr>
        <w:t xml:space="preserve"> </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Negi, S., Bharat, N.K. and Kumar, M. (2021). Effect of seed biopriming with indigenous PGPR, </w:t>
      </w:r>
      <w:r w:rsidRPr="00371987">
        <w:rPr>
          <w:rFonts w:ascii="Times New Roman" w:hAnsi="Times New Roman" w:cs="Times New Roman"/>
          <w:i/>
          <w:color w:val="000000" w:themeColor="text1"/>
          <w:sz w:val="24"/>
        </w:rPr>
        <w:t>Rhizobia</w:t>
      </w:r>
      <w:r w:rsidRPr="00371987">
        <w:rPr>
          <w:rFonts w:ascii="Times New Roman" w:hAnsi="Times New Roman" w:cs="Times New Roman"/>
          <w:color w:val="000000" w:themeColor="text1"/>
          <w:sz w:val="24"/>
        </w:rPr>
        <w:t xml:space="preserve"> and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sp</w:t>
      </w:r>
      <w:r w:rsidRPr="00371987">
        <w:rPr>
          <w:rFonts w:ascii="Times New Roman" w:hAnsi="Times New Roman" w:cs="Times New Roman"/>
          <w:color w:val="000000" w:themeColor="text1"/>
          <w:sz w:val="24"/>
        </w:rPr>
        <w:t>. on growth, seed yield and incidence of diseases in French bean (</w:t>
      </w:r>
      <w:r w:rsidRPr="00371987">
        <w:rPr>
          <w:rFonts w:ascii="Times New Roman" w:hAnsi="Times New Roman" w:cs="Times New Roman"/>
          <w:i/>
          <w:color w:val="000000" w:themeColor="text1"/>
          <w:sz w:val="24"/>
        </w:rPr>
        <w:t>Phaseolus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vulgaris</w:t>
      </w:r>
      <w:r w:rsidRPr="00371987">
        <w:rPr>
          <w:rFonts w:ascii="Times New Roman" w:hAnsi="Times New Roman" w:cs="Times New Roman"/>
          <w:color w:val="000000" w:themeColor="text1"/>
          <w:sz w:val="24"/>
        </w:rPr>
        <w:t xml:space="preserve"> L.). </w:t>
      </w:r>
      <w:r w:rsidRPr="00371987">
        <w:rPr>
          <w:rFonts w:ascii="Times New Roman" w:hAnsi="Times New Roman" w:cs="Times New Roman"/>
          <w:i/>
          <w:color w:val="000000" w:themeColor="text1"/>
          <w:sz w:val="24"/>
        </w:rPr>
        <w:t>Legume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44</w:t>
      </w:r>
      <w:r w:rsidRPr="00371987">
        <w:rPr>
          <w:rFonts w:ascii="Times New Roman" w:hAnsi="Times New Roman" w:cs="Times New Roman"/>
          <w:color w:val="000000" w:themeColor="text1"/>
          <w:sz w:val="24"/>
        </w:rPr>
        <w:t>(5): 593-601.</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Oyebamiji, Y.O., Adigun, B.A., Shamsudin, N.A.A., Ikmal, A.M., Salisu, M.A., Malike, F.A. and Lateef, A.A. (2024). Recent advancements in mitigating abiotic stresses in crops. </w:t>
      </w:r>
      <w:r w:rsidRPr="00371987">
        <w:rPr>
          <w:rFonts w:ascii="Times New Roman" w:hAnsi="Times New Roman" w:cs="Times New Roman"/>
          <w:i/>
          <w:color w:val="000000" w:themeColor="text1"/>
          <w:sz w:val="24"/>
        </w:rPr>
        <w:t>Horticulturae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10</w:t>
      </w:r>
      <w:r w:rsidRPr="00371987">
        <w:rPr>
          <w:rFonts w:ascii="Times New Roman" w:hAnsi="Times New Roman" w:cs="Times New Roman"/>
          <w:color w:val="000000" w:themeColor="text1"/>
          <w:sz w:val="24"/>
        </w:rPr>
        <w:t>(2): 156.</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Padhi, M., Sisodia, A., Pal, S., Kapri, M. and Singh, A.K. (2018). Growing media, GA</w:t>
      </w:r>
      <w:r w:rsidRPr="00371987">
        <w:rPr>
          <w:rFonts w:ascii="Times New Roman" w:hAnsi="Times New Roman" w:cs="Times New Roman"/>
          <w:color w:val="000000" w:themeColor="text1"/>
          <w:sz w:val="24"/>
          <w:vertAlign w:val="subscript"/>
        </w:rPr>
        <w:t>3</w:t>
      </w:r>
      <w:r w:rsidRPr="00371987">
        <w:rPr>
          <w:rFonts w:ascii="Times New Roman" w:hAnsi="Times New Roman" w:cs="Times New Roman"/>
          <w:color w:val="000000" w:themeColor="text1"/>
          <w:sz w:val="24"/>
        </w:rPr>
        <w:t xml:space="preserve"> and thiourea stimulates growth and rooting in gladiolus cormels cv. Tiger Flame. </w:t>
      </w:r>
      <w:r w:rsidRPr="00371987">
        <w:rPr>
          <w:rFonts w:ascii="Times New Roman" w:hAnsi="Times New Roman" w:cs="Times New Roman"/>
          <w:i/>
          <w:color w:val="000000" w:themeColor="text1"/>
          <w:sz w:val="24"/>
        </w:rPr>
        <w:t>Journal of Pharmacognosy and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(3), 1919-1922.</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Pal, S., Singh, A. K. and Sisodia, A. (2023). Effect of physical and chemical mutagens on flowering and seed attributes of balsam (</w:t>
      </w:r>
      <w:r w:rsidRPr="00371987">
        <w:rPr>
          <w:rFonts w:ascii="Times New Roman" w:hAnsi="Times New Roman" w:cs="Times New Roman"/>
          <w:i/>
          <w:color w:val="000000" w:themeColor="text1"/>
          <w:sz w:val="24"/>
        </w:rPr>
        <w:t>Impatiens balsamina</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The Pharma Innovation Journal</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12</w:t>
      </w:r>
      <w:r w:rsidRPr="00371987">
        <w:rPr>
          <w:rFonts w:ascii="Times New Roman" w:hAnsi="Times New Roman" w:cs="Times New Roman"/>
          <w:color w:val="000000" w:themeColor="text1"/>
          <w:sz w:val="24"/>
        </w:rPr>
        <w:t>, 4318-4326.</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Pal, S., Singh, A.K., Sisodia, A., Pal, A.K. and Tiwari, A. (2018). Evaluation of double whorled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balsamina</w:t>
      </w:r>
      <w:r w:rsidRPr="00371987">
        <w:rPr>
          <w:rFonts w:ascii="Times New Roman" w:hAnsi="Times New Roman" w:cs="Times New Roman"/>
          <w:color w:val="000000" w:themeColor="text1"/>
          <w:sz w:val="24"/>
        </w:rPr>
        <w:t xml:space="preserve"> L.) genotypes for growth, flowering and seed attributes. </w:t>
      </w:r>
      <w:r w:rsidRPr="00371987">
        <w:rPr>
          <w:rFonts w:ascii="Times New Roman" w:hAnsi="Times New Roman" w:cs="Times New Roman"/>
          <w:i/>
          <w:color w:val="000000" w:themeColor="text1"/>
          <w:sz w:val="24"/>
        </w:rPr>
        <w:t>Journal of Pharmacognosy and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(2): 2901-2904.</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Pawar, A., Chopde, N. and Nikam, B. (2018). Thiourea and salicylic acid influences growth, yield and quality of gladiolus. </w:t>
      </w:r>
      <w:r w:rsidRPr="00371987">
        <w:rPr>
          <w:rFonts w:ascii="Times New Roman" w:hAnsi="Times New Roman" w:cs="Times New Roman"/>
          <w:i/>
          <w:color w:val="000000" w:themeColor="text1"/>
          <w:sz w:val="24"/>
        </w:rPr>
        <w:t>Journal of Pharmacognosy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(5): 970-972.</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Qian, H., Wang, B., Ma, J., Li, C., Zhang, Q. and Zhao, Y. (2023</w:t>
      </w:r>
      <w:r w:rsidRPr="00371987">
        <w:rPr>
          <w:rFonts w:ascii="Times New Roman" w:hAnsi="Times New Roman" w:cs="Times New Roman"/>
          <w:i/>
          <w:color w:val="000000" w:themeColor="text1"/>
          <w:sz w:val="24"/>
          <w:szCs w:val="24"/>
        </w:rPr>
        <w:t>). Impatiens balsamina</w:t>
      </w:r>
      <w:r w:rsidRPr="00371987">
        <w:rPr>
          <w:rFonts w:ascii="Times New Roman" w:hAnsi="Times New Roman" w:cs="Times New Roman"/>
          <w:color w:val="000000" w:themeColor="text1"/>
          <w:sz w:val="24"/>
          <w:szCs w:val="24"/>
        </w:rPr>
        <w:t xml:space="preserve">: an updated review on ethnobotanical uses, phytochemistry and pharmacological activity. </w:t>
      </w:r>
      <w:r w:rsidRPr="00371987">
        <w:rPr>
          <w:rFonts w:ascii="Times New Roman" w:hAnsi="Times New Roman" w:cs="Times New Roman"/>
          <w:i/>
          <w:color w:val="000000" w:themeColor="text1"/>
          <w:sz w:val="24"/>
          <w:szCs w:val="24"/>
        </w:rPr>
        <w:t>Journal of Ethnopharmacology</w:t>
      </w:r>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303</w:t>
      </w:r>
      <w:r w:rsidRPr="00371987">
        <w:rPr>
          <w:rFonts w:ascii="Times New Roman" w:hAnsi="Times New Roman" w:cs="Times New Roman"/>
          <w:color w:val="000000" w:themeColor="text1"/>
          <w:sz w:val="24"/>
          <w:szCs w:val="24"/>
        </w:rPr>
        <w:t>: 115956</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Sher, A., Sarwar, T., Nawaz, A., Ijaz, M., Sattar, A. and Ahmad, S. (2019). Methods of seed priming. </w:t>
      </w:r>
      <w:r w:rsidRPr="00371987">
        <w:rPr>
          <w:rFonts w:ascii="Times New Roman" w:hAnsi="Times New Roman" w:cs="Times New Roman"/>
          <w:i/>
          <w:color w:val="000000" w:themeColor="text1"/>
          <w:sz w:val="24"/>
        </w:rPr>
        <w:t>In</w:t>
      </w:r>
      <w:r w:rsidRPr="00371987">
        <w:rPr>
          <w:rFonts w:ascii="Times New Roman" w:hAnsi="Times New Roman" w:cs="Times New Roman"/>
          <w:color w:val="000000" w:themeColor="text1"/>
          <w:sz w:val="24"/>
        </w:rPr>
        <w:t>: Priming and Pretreatment of Seeds and Seedlings: Implication in Plant Stress Tolerance and Enhancing Productivity in Crop Plants. M. Hasanuzzaman and V. Fotopoulos (Eds.). Springer, Singapore, pp.1-10.</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Singh, A.K. and Sisodia, A. (2017). Textbook of Floriculture and Landscaping. New India Publishing Agency, New Delhi. pp. 135-141.</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Singh, A.K., Sisodia, A. and Tiwari, A. (2018). Studies of genetic variability, heritability and genetic advance in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balsamina</w:t>
      </w:r>
      <w:r w:rsidRPr="00371987">
        <w:rPr>
          <w:rFonts w:ascii="Times New Roman" w:hAnsi="Times New Roman" w:cs="Times New Roman"/>
          <w:color w:val="000000" w:themeColor="text1"/>
          <w:sz w:val="24"/>
        </w:rPr>
        <w:t xml:space="preserve"> L.) </w:t>
      </w:r>
      <w:r w:rsidRPr="00371987">
        <w:rPr>
          <w:rFonts w:ascii="Times New Roman" w:hAnsi="Times New Roman" w:cs="Times New Roman"/>
          <w:i/>
          <w:color w:val="000000" w:themeColor="text1"/>
          <w:sz w:val="24"/>
        </w:rPr>
        <w:t>Journal of Applied and Natural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10</w:t>
      </w:r>
      <w:r>
        <w:rPr>
          <w:rFonts w:ascii="Times New Roman" w:hAnsi="Times New Roman" w:cs="Times New Roman"/>
          <w:color w:val="000000" w:themeColor="text1"/>
          <w:sz w:val="24"/>
        </w:rPr>
        <w:t>(2):</w:t>
      </w:r>
      <w:r w:rsidRPr="00371987">
        <w:rPr>
          <w:rFonts w:ascii="Times New Roman" w:hAnsi="Times New Roman" w:cs="Times New Roman"/>
          <w:color w:val="000000" w:themeColor="text1"/>
          <w:sz w:val="24"/>
        </w:rPr>
        <w:t xml:space="preserve"> 810-812.</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Singh, A.K., Sisodia, A. Padhi, M., Pal, A.K. and Barman, K. (2018). Effect of various growing media, GA</w:t>
      </w:r>
      <w:r w:rsidRPr="00371987">
        <w:rPr>
          <w:rFonts w:ascii="Times New Roman" w:hAnsi="Times New Roman" w:cs="Times New Roman"/>
          <w:color w:val="000000" w:themeColor="text1"/>
          <w:sz w:val="24"/>
          <w:vertAlign w:val="subscript"/>
        </w:rPr>
        <w:t>3</w:t>
      </w:r>
      <w:r w:rsidRPr="00371987">
        <w:rPr>
          <w:rFonts w:ascii="Times New Roman" w:hAnsi="Times New Roman" w:cs="Times New Roman"/>
          <w:color w:val="000000" w:themeColor="text1"/>
          <w:sz w:val="24"/>
        </w:rPr>
        <w:t xml:space="preserve"> and thiourea on growth and root characters in gladiolus. </w:t>
      </w:r>
      <w:r w:rsidRPr="00371987">
        <w:rPr>
          <w:rFonts w:ascii="Times New Roman" w:hAnsi="Times New Roman" w:cs="Times New Roman"/>
          <w:i/>
          <w:iCs/>
          <w:color w:val="000000" w:themeColor="text1"/>
          <w:sz w:val="24"/>
        </w:rPr>
        <w:t>Journal</w:t>
      </w:r>
      <w:r w:rsidRPr="00371987">
        <w:rPr>
          <w:rFonts w:ascii="Times New Roman" w:hAnsi="Times New Roman" w:cs="Times New Roman"/>
          <w:color w:val="000000" w:themeColor="text1"/>
          <w:sz w:val="24"/>
        </w:rPr>
        <w:t xml:space="preserve"> </w:t>
      </w:r>
      <w:r w:rsidRPr="00371987">
        <w:rPr>
          <w:rFonts w:ascii="Times New Roman" w:hAnsi="Times New Roman" w:cs="Times New Roman"/>
          <w:i/>
          <w:iCs/>
          <w:color w:val="000000" w:themeColor="text1"/>
          <w:sz w:val="24"/>
        </w:rPr>
        <w:t>of Hill Agriculture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bCs/>
          <w:color w:val="000000" w:themeColor="text1"/>
          <w:sz w:val="24"/>
        </w:rPr>
        <w:t>9</w:t>
      </w:r>
      <w:r w:rsidRPr="00371987">
        <w:rPr>
          <w:rFonts w:ascii="Times New Roman" w:hAnsi="Times New Roman" w:cs="Times New Roman"/>
          <w:color w:val="000000" w:themeColor="text1"/>
          <w:sz w:val="24"/>
        </w:rPr>
        <w:t>(4): 408-412.</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Sisodia, A., Padhi, M., Pal, A.K., Barman, K. and Singh, A.K. (2018). Seed priming on germination, growth and flowering in flowers and ornamental trees. </w:t>
      </w:r>
      <w:r w:rsidRPr="00371987">
        <w:rPr>
          <w:rFonts w:ascii="Times New Roman" w:hAnsi="Times New Roman" w:cs="Times New Roman"/>
          <w:i/>
          <w:color w:val="000000" w:themeColor="text1"/>
          <w:sz w:val="24"/>
        </w:rPr>
        <w:t>In</w:t>
      </w:r>
      <w:r w:rsidRPr="00371987">
        <w:rPr>
          <w:rFonts w:ascii="Times New Roman" w:hAnsi="Times New Roman" w:cs="Times New Roman"/>
          <w:color w:val="000000" w:themeColor="text1"/>
          <w:sz w:val="24"/>
        </w:rPr>
        <w:t>: Advances in Seed Priming. A. Rakshit and H.B. Singh (Eds.). Springer, Singapore, pp. 263-288.</w:t>
      </w:r>
    </w:p>
    <w:p w:rsidR="007C1C65" w:rsidRPr="00371987" w:rsidRDefault="007C1C65" w:rsidP="007C1C65">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Song, Y., Yuan, Y.M. and Kupfer, P. (2003). Chromosomal evolution in balsaminaceae, with cytological observations on 45 species from Southeast Asia. </w:t>
      </w:r>
      <w:r w:rsidRPr="00371987">
        <w:rPr>
          <w:rFonts w:ascii="Times New Roman" w:hAnsi="Times New Roman" w:cs="Times New Roman"/>
          <w:i/>
          <w:color w:val="000000" w:themeColor="text1"/>
          <w:sz w:val="24"/>
          <w:szCs w:val="24"/>
        </w:rPr>
        <w:t>Caryologia</w:t>
      </w:r>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56</w:t>
      </w:r>
      <w:r w:rsidRPr="00371987">
        <w:rPr>
          <w:rFonts w:ascii="Times New Roman" w:hAnsi="Times New Roman" w:cs="Times New Roman"/>
          <w:color w:val="000000" w:themeColor="text1"/>
          <w:sz w:val="24"/>
          <w:szCs w:val="24"/>
        </w:rPr>
        <w:t>(4): 463-481.</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Sung, Y., Cantliffe, D.J., Nagata, R.T. and Nascimento, W.M. (2008). Structural changes in lettuce seed during germination at high temperature altered by genotype, seed maturation temperature and seed priming. </w:t>
      </w:r>
      <w:r w:rsidRPr="00371987">
        <w:rPr>
          <w:rFonts w:ascii="Times New Roman" w:hAnsi="Times New Roman" w:cs="Times New Roman"/>
          <w:i/>
          <w:color w:val="000000" w:themeColor="text1"/>
          <w:sz w:val="24"/>
        </w:rPr>
        <w:t>Journal of the American Society for Horticultural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133</w:t>
      </w:r>
      <w:r w:rsidRPr="00371987">
        <w:rPr>
          <w:rFonts w:ascii="Times New Roman" w:hAnsi="Times New Roman" w:cs="Times New Roman"/>
          <w:color w:val="000000" w:themeColor="text1"/>
          <w:sz w:val="24"/>
        </w:rPr>
        <w:t>(2): 300-311.</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Thakur, T. and Garg, A. (2024). Seed priming and media for enhanced seedling growth in pansy (</w:t>
      </w:r>
      <w:r w:rsidRPr="00371987">
        <w:rPr>
          <w:rFonts w:ascii="Times New Roman" w:hAnsi="Times New Roman" w:cs="Times New Roman"/>
          <w:i/>
          <w:color w:val="000000" w:themeColor="text1"/>
          <w:sz w:val="24"/>
        </w:rPr>
        <w:t>Viola tricolor</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Asian Journal of Soil Science and Plant Nutrition</w:t>
      </w:r>
      <w:r w:rsidRPr="00371987">
        <w:rPr>
          <w:rFonts w:ascii="Times New Roman" w:hAnsi="Times New Roman" w:cs="Times New Roman"/>
          <w:color w:val="000000" w:themeColor="text1"/>
          <w:sz w:val="24"/>
        </w:rPr>
        <w:t>, 10(2): 261-268.</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Vidyashree, S. and Patil, S. (2021). Seed packaging and priming in ornamental plants. </w:t>
      </w:r>
      <w:r w:rsidRPr="00371987">
        <w:rPr>
          <w:rFonts w:ascii="Times New Roman" w:hAnsi="Times New Roman" w:cs="Times New Roman"/>
          <w:i/>
          <w:color w:val="000000" w:themeColor="text1"/>
          <w:sz w:val="24"/>
        </w:rPr>
        <w:t>Environment and Ecology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39</w:t>
      </w:r>
      <w:r w:rsidRPr="00371987">
        <w:rPr>
          <w:rFonts w:ascii="Times New Roman" w:hAnsi="Times New Roman" w:cs="Times New Roman"/>
          <w:color w:val="000000" w:themeColor="text1"/>
          <w:sz w:val="24"/>
        </w:rPr>
        <w:t>(4): 769-774.</w:t>
      </w:r>
    </w:p>
    <w:p w:rsidR="007C1C65" w:rsidRPr="00371987" w:rsidRDefault="007C1C65" w:rsidP="007C1C65">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Yadav, S., Sisodia, A., Singh, A.K. and Sisodia, V. (2024). Evaluation of balsam genotype for pot culture and bedding purpose. </w:t>
      </w:r>
      <w:r w:rsidRPr="00371987">
        <w:rPr>
          <w:rFonts w:ascii="Times New Roman" w:hAnsi="Times New Roman" w:cs="Times New Roman"/>
          <w:i/>
          <w:color w:val="000000" w:themeColor="text1"/>
          <w:sz w:val="24"/>
        </w:rPr>
        <w:t>Environment and Ecology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42</w:t>
      </w:r>
      <w:r>
        <w:rPr>
          <w:rFonts w:ascii="Times New Roman" w:hAnsi="Times New Roman" w:cs="Times New Roman"/>
          <w:color w:val="000000" w:themeColor="text1"/>
          <w:sz w:val="24"/>
        </w:rPr>
        <w:t>(4):</w:t>
      </w:r>
      <w:r w:rsidRPr="00371987">
        <w:rPr>
          <w:rFonts w:ascii="Times New Roman" w:hAnsi="Times New Roman" w:cs="Times New Roman"/>
          <w:color w:val="000000" w:themeColor="text1"/>
          <w:sz w:val="24"/>
        </w:rPr>
        <w:t xml:space="preserve"> 1736-1741.</w:t>
      </w:r>
    </w:p>
    <w:p w:rsidR="00371987" w:rsidRPr="00371987" w:rsidRDefault="00371987" w:rsidP="007C1C65">
      <w:pPr>
        <w:jc w:val="both"/>
        <w:rPr>
          <w:rFonts w:ascii="Times New Roman" w:hAnsi="Times New Roman" w:cs="Times New Roman"/>
          <w:color w:val="000000" w:themeColor="text1"/>
          <w:sz w:val="24"/>
        </w:rPr>
      </w:pPr>
    </w:p>
    <w:sectPr w:rsidR="00371987" w:rsidRPr="00371987" w:rsidSect="00C16B2B">
      <w:pgSz w:w="12240" w:h="15840"/>
      <w:pgMar w:top="1170" w:right="990" w:bottom="1080" w:left="900" w:header="720" w:footer="720" w:gutter="0"/>
      <w:cols w:space="4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3D" w:rsidRDefault="00415F3D" w:rsidP="00A8544D">
      <w:pPr>
        <w:spacing w:after="0" w:line="240" w:lineRule="auto"/>
      </w:pPr>
      <w:r>
        <w:separator/>
      </w:r>
    </w:p>
  </w:endnote>
  <w:endnote w:type="continuationSeparator" w:id="1">
    <w:p w:rsidR="00415F3D" w:rsidRDefault="00415F3D" w:rsidP="00A85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985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985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985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3D" w:rsidRDefault="00415F3D" w:rsidP="00A8544D">
      <w:pPr>
        <w:spacing w:after="0" w:line="240" w:lineRule="auto"/>
      </w:pPr>
      <w:r>
        <w:separator/>
      </w:r>
    </w:p>
  </w:footnote>
  <w:footnote w:type="continuationSeparator" w:id="1">
    <w:p w:rsidR="00415F3D" w:rsidRDefault="00415F3D" w:rsidP="00A85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A94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8" o:spid="_x0000_s2050"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A94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9" o:spid="_x0000_s2051"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56" w:rsidRDefault="00A94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7" o:spid="_x0000_s2049"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665"/>
    <w:multiLevelType w:val="hybridMultilevel"/>
    <w:tmpl w:val="CF569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86989"/>
    <w:rsid w:val="000125CD"/>
    <w:rsid w:val="000128B1"/>
    <w:rsid w:val="000329A1"/>
    <w:rsid w:val="0003595D"/>
    <w:rsid w:val="0005321A"/>
    <w:rsid w:val="00053632"/>
    <w:rsid w:val="00072288"/>
    <w:rsid w:val="00086BAC"/>
    <w:rsid w:val="000B5679"/>
    <w:rsid w:val="000B659D"/>
    <w:rsid w:val="000E0E3B"/>
    <w:rsid w:val="000E707C"/>
    <w:rsid w:val="000F7128"/>
    <w:rsid w:val="001037C7"/>
    <w:rsid w:val="001138F5"/>
    <w:rsid w:val="00113AE5"/>
    <w:rsid w:val="00183158"/>
    <w:rsid w:val="00184155"/>
    <w:rsid w:val="001A4D53"/>
    <w:rsid w:val="001C5556"/>
    <w:rsid w:val="002040C7"/>
    <w:rsid w:val="00214C02"/>
    <w:rsid w:val="002263B9"/>
    <w:rsid w:val="00227ADD"/>
    <w:rsid w:val="002D0969"/>
    <w:rsid w:val="003116F3"/>
    <w:rsid w:val="0031640C"/>
    <w:rsid w:val="003555CC"/>
    <w:rsid w:val="003622C2"/>
    <w:rsid w:val="003660B7"/>
    <w:rsid w:val="00371987"/>
    <w:rsid w:val="003B40AA"/>
    <w:rsid w:val="003C2CB0"/>
    <w:rsid w:val="003D225C"/>
    <w:rsid w:val="003F04CF"/>
    <w:rsid w:val="003F5099"/>
    <w:rsid w:val="0040003D"/>
    <w:rsid w:val="00407093"/>
    <w:rsid w:val="00415F3D"/>
    <w:rsid w:val="0043467E"/>
    <w:rsid w:val="00473F6A"/>
    <w:rsid w:val="00491D97"/>
    <w:rsid w:val="004D5CCE"/>
    <w:rsid w:val="004E2A74"/>
    <w:rsid w:val="004F08FB"/>
    <w:rsid w:val="00504F76"/>
    <w:rsid w:val="00522859"/>
    <w:rsid w:val="00534384"/>
    <w:rsid w:val="00541FE9"/>
    <w:rsid w:val="00571EEB"/>
    <w:rsid w:val="005816E7"/>
    <w:rsid w:val="005C19F1"/>
    <w:rsid w:val="005C54CA"/>
    <w:rsid w:val="005F3B1A"/>
    <w:rsid w:val="00604AF9"/>
    <w:rsid w:val="00625B95"/>
    <w:rsid w:val="00630F3F"/>
    <w:rsid w:val="00632911"/>
    <w:rsid w:val="00637FDA"/>
    <w:rsid w:val="006825A8"/>
    <w:rsid w:val="006865CD"/>
    <w:rsid w:val="006B1293"/>
    <w:rsid w:val="006C59BB"/>
    <w:rsid w:val="006E6D90"/>
    <w:rsid w:val="006F2F73"/>
    <w:rsid w:val="006F7761"/>
    <w:rsid w:val="00700B75"/>
    <w:rsid w:val="00726FCA"/>
    <w:rsid w:val="0073002E"/>
    <w:rsid w:val="0073480F"/>
    <w:rsid w:val="007C0B64"/>
    <w:rsid w:val="007C1C65"/>
    <w:rsid w:val="007E3A32"/>
    <w:rsid w:val="007F24CC"/>
    <w:rsid w:val="007F303C"/>
    <w:rsid w:val="007F6A5A"/>
    <w:rsid w:val="00820F12"/>
    <w:rsid w:val="00847105"/>
    <w:rsid w:val="00862774"/>
    <w:rsid w:val="00867628"/>
    <w:rsid w:val="00892BBA"/>
    <w:rsid w:val="008D622B"/>
    <w:rsid w:val="00900C97"/>
    <w:rsid w:val="0090603B"/>
    <w:rsid w:val="00907874"/>
    <w:rsid w:val="009079C1"/>
    <w:rsid w:val="00916853"/>
    <w:rsid w:val="0092673F"/>
    <w:rsid w:val="00985456"/>
    <w:rsid w:val="00987891"/>
    <w:rsid w:val="009B121F"/>
    <w:rsid w:val="009E0D18"/>
    <w:rsid w:val="009E39B8"/>
    <w:rsid w:val="009E571E"/>
    <w:rsid w:val="00A20D71"/>
    <w:rsid w:val="00A2289C"/>
    <w:rsid w:val="00A8544D"/>
    <w:rsid w:val="00A86989"/>
    <w:rsid w:val="00A947A4"/>
    <w:rsid w:val="00A97328"/>
    <w:rsid w:val="00AB0B23"/>
    <w:rsid w:val="00AB20E9"/>
    <w:rsid w:val="00AD153F"/>
    <w:rsid w:val="00AD640A"/>
    <w:rsid w:val="00AD6D19"/>
    <w:rsid w:val="00AE777E"/>
    <w:rsid w:val="00AE7B0A"/>
    <w:rsid w:val="00B2262A"/>
    <w:rsid w:val="00B80FC5"/>
    <w:rsid w:val="00B9786A"/>
    <w:rsid w:val="00BB759A"/>
    <w:rsid w:val="00BC15E0"/>
    <w:rsid w:val="00BD0D31"/>
    <w:rsid w:val="00BD62BC"/>
    <w:rsid w:val="00BF3759"/>
    <w:rsid w:val="00C145FF"/>
    <w:rsid w:val="00C16B2B"/>
    <w:rsid w:val="00C31F57"/>
    <w:rsid w:val="00C41BEE"/>
    <w:rsid w:val="00C5239A"/>
    <w:rsid w:val="00C57D1F"/>
    <w:rsid w:val="00C941E0"/>
    <w:rsid w:val="00CA2230"/>
    <w:rsid w:val="00CA2A24"/>
    <w:rsid w:val="00CC0CC7"/>
    <w:rsid w:val="00D81822"/>
    <w:rsid w:val="00D92488"/>
    <w:rsid w:val="00DA5C46"/>
    <w:rsid w:val="00DF19AC"/>
    <w:rsid w:val="00E0665C"/>
    <w:rsid w:val="00E14727"/>
    <w:rsid w:val="00E24EB9"/>
    <w:rsid w:val="00E574E5"/>
    <w:rsid w:val="00E57F3D"/>
    <w:rsid w:val="00E809FC"/>
    <w:rsid w:val="00E95CDF"/>
    <w:rsid w:val="00E969E2"/>
    <w:rsid w:val="00EA272D"/>
    <w:rsid w:val="00F76CA2"/>
    <w:rsid w:val="00FB2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55"/>
        <o:r id="V:Rule6" type="connector" idref="#_x0000_s1054"/>
        <o:r id="V:Rule7" type="connector" idref="#_x0000_s1057"/>
        <o:r id="V:Rule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989"/>
    <w:pPr>
      <w:ind w:left="720"/>
      <w:contextualSpacing/>
    </w:pPr>
  </w:style>
  <w:style w:type="table" w:styleId="TableGrid">
    <w:name w:val="Table Grid"/>
    <w:basedOn w:val="TableNormal"/>
    <w:uiPriority w:val="59"/>
    <w:rsid w:val="00BF37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FF"/>
    <w:rPr>
      <w:rFonts w:ascii="Tahoma" w:hAnsi="Tahoma" w:cs="Tahoma"/>
      <w:sz w:val="16"/>
      <w:szCs w:val="16"/>
    </w:rPr>
  </w:style>
  <w:style w:type="character" w:styleId="PlaceholderText">
    <w:name w:val="Placeholder Text"/>
    <w:basedOn w:val="DefaultParagraphFont"/>
    <w:uiPriority w:val="99"/>
    <w:semiHidden/>
    <w:rsid w:val="00F76CA2"/>
    <w:rPr>
      <w:color w:val="808080"/>
    </w:rPr>
  </w:style>
  <w:style w:type="character" w:styleId="Hyperlink">
    <w:name w:val="Hyperlink"/>
    <w:basedOn w:val="DefaultParagraphFont"/>
    <w:uiPriority w:val="99"/>
    <w:unhideWhenUsed/>
    <w:rsid w:val="007F303C"/>
    <w:rPr>
      <w:color w:val="0000FF" w:themeColor="hyperlink"/>
      <w:u w:val="single"/>
    </w:rPr>
  </w:style>
  <w:style w:type="character" w:customStyle="1" w:styleId="UnresolvedMention1">
    <w:name w:val="Unresolved Mention1"/>
    <w:basedOn w:val="DefaultParagraphFont"/>
    <w:uiPriority w:val="99"/>
    <w:semiHidden/>
    <w:unhideWhenUsed/>
    <w:rsid w:val="007F303C"/>
    <w:rPr>
      <w:color w:val="605E5C"/>
      <w:shd w:val="clear" w:color="auto" w:fill="E1DFDD"/>
    </w:rPr>
  </w:style>
  <w:style w:type="paragraph" w:styleId="Header">
    <w:name w:val="header"/>
    <w:basedOn w:val="Normal"/>
    <w:link w:val="HeaderChar"/>
    <w:uiPriority w:val="99"/>
    <w:unhideWhenUsed/>
    <w:rsid w:val="00A8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44D"/>
  </w:style>
  <w:style w:type="paragraph" w:styleId="Footer">
    <w:name w:val="footer"/>
    <w:basedOn w:val="Normal"/>
    <w:link w:val="FooterChar"/>
    <w:uiPriority w:val="99"/>
    <w:unhideWhenUsed/>
    <w:rsid w:val="00A8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44D"/>
  </w:style>
  <w:style w:type="paragraph" w:styleId="NormalWeb">
    <w:name w:val="Normal (Web)"/>
    <w:basedOn w:val="Normal"/>
    <w:uiPriority w:val="99"/>
    <w:unhideWhenUsed/>
    <w:rsid w:val="009854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456"/>
    <w:rPr>
      <w:i/>
      <w:iCs/>
    </w:rPr>
  </w:style>
</w:styles>
</file>

<file path=word/webSettings.xml><?xml version="1.0" encoding="utf-8"?>
<w:webSettings xmlns:r="http://schemas.openxmlformats.org/officeDocument/2006/relationships" xmlns:w="http://schemas.openxmlformats.org/wordprocessingml/2006/main">
  <w:divs>
    <w:div w:id="65299855">
      <w:bodyDiv w:val="1"/>
      <w:marLeft w:val="0"/>
      <w:marRight w:val="0"/>
      <w:marTop w:val="0"/>
      <w:marBottom w:val="0"/>
      <w:divBdr>
        <w:top w:val="none" w:sz="0" w:space="0" w:color="auto"/>
        <w:left w:val="none" w:sz="0" w:space="0" w:color="auto"/>
        <w:bottom w:val="none" w:sz="0" w:space="0" w:color="auto"/>
        <w:right w:val="none" w:sz="0" w:space="0" w:color="auto"/>
      </w:divBdr>
    </w:div>
    <w:div w:id="202987049">
      <w:bodyDiv w:val="1"/>
      <w:marLeft w:val="0"/>
      <w:marRight w:val="0"/>
      <w:marTop w:val="0"/>
      <w:marBottom w:val="0"/>
      <w:divBdr>
        <w:top w:val="none" w:sz="0" w:space="0" w:color="auto"/>
        <w:left w:val="none" w:sz="0" w:space="0" w:color="auto"/>
        <w:bottom w:val="none" w:sz="0" w:space="0" w:color="auto"/>
        <w:right w:val="none" w:sz="0" w:space="0" w:color="auto"/>
      </w:divBdr>
    </w:div>
    <w:div w:id="464855890">
      <w:bodyDiv w:val="1"/>
      <w:marLeft w:val="0"/>
      <w:marRight w:val="0"/>
      <w:marTop w:val="0"/>
      <w:marBottom w:val="0"/>
      <w:divBdr>
        <w:top w:val="none" w:sz="0" w:space="0" w:color="auto"/>
        <w:left w:val="none" w:sz="0" w:space="0" w:color="auto"/>
        <w:bottom w:val="none" w:sz="0" w:space="0" w:color="auto"/>
        <w:right w:val="none" w:sz="0" w:space="0" w:color="auto"/>
      </w:divBdr>
    </w:div>
    <w:div w:id="550263596">
      <w:bodyDiv w:val="1"/>
      <w:marLeft w:val="0"/>
      <w:marRight w:val="0"/>
      <w:marTop w:val="0"/>
      <w:marBottom w:val="0"/>
      <w:divBdr>
        <w:top w:val="none" w:sz="0" w:space="0" w:color="auto"/>
        <w:left w:val="none" w:sz="0" w:space="0" w:color="auto"/>
        <w:bottom w:val="none" w:sz="0" w:space="0" w:color="auto"/>
        <w:right w:val="none" w:sz="0" w:space="0" w:color="auto"/>
      </w:divBdr>
    </w:div>
    <w:div w:id="682050809">
      <w:bodyDiv w:val="1"/>
      <w:marLeft w:val="0"/>
      <w:marRight w:val="0"/>
      <w:marTop w:val="0"/>
      <w:marBottom w:val="0"/>
      <w:divBdr>
        <w:top w:val="none" w:sz="0" w:space="0" w:color="auto"/>
        <w:left w:val="none" w:sz="0" w:space="0" w:color="auto"/>
        <w:bottom w:val="none" w:sz="0" w:space="0" w:color="auto"/>
        <w:right w:val="none" w:sz="0" w:space="0" w:color="auto"/>
      </w:divBdr>
    </w:div>
    <w:div w:id="685600872">
      <w:bodyDiv w:val="1"/>
      <w:marLeft w:val="0"/>
      <w:marRight w:val="0"/>
      <w:marTop w:val="0"/>
      <w:marBottom w:val="0"/>
      <w:divBdr>
        <w:top w:val="none" w:sz="0" w:space="0" w:color="auto"/>
        <w:left w:val="none" w:sz="0" w:space="0" w:color="auto"/>
        <w:bottom w:val="none" w:sz="0" w:space="0" w:color="auto"/>
        <w:right w:val="none" w:sz="0" w:space="0" w:color="auto"/>
      </w:divBdr>
    </w:div>
    <w:div w:id="1055817683">
      <w:bodyDiv w:val="1"/>
      <w:marLeft w:val="0"/>
      <w:marRight w:val="0"/>
      <w:marTop w:val="0"/>
      <w:marBottom w:val="0"/>
      <w:divBdr>
        <w:top w:val="none" w:sz="0" w:space="0" w:color="auto"/>
        <w:left w:val="none" w:sz="0" w:space="0" w:color="auto"/>
        <w:bottom w:val="none" w:sz="0" w:space="0" w:color="auto"/>
        <w:right w:val="none" w:sz="0" w:space="0" w:color="auto"/>
      </w:divBdr>
    </w:div>
    <w:div w:id="1180698925">
      <w:bodyDiv w:val="1"/>
      <w:marLeft w:val="0"/>
      <w:marRight w:val="0"/>
      <w:marTop w:val="0"/>
      <w:marBottom w:val="0"/>
      <w:divBdr>
        <w:top w:val="none" w:sz="0" w:space="0" w:color="auto"/>
        <w:left w:val="none" w:sz="0" w:space="0" w:color="auto"/>
        <w:bottom w:val="none" w:sz="0" w:space="0" w:color="auto"/>
        <w:right w:val="none" w:sz="0" w:space="0" w:color="auto"/>
      </w:divBdr>
    </w:div>
    <w:div w:id="1239444678">
      <w:bodyDiv w:val="1"/>
      <w:marLeft w:val="0"/>
      <w:marRight w:val="0"/>
      <w:marTop w:val="0"/>
      <w:marBottom w:val="0"/>
      <w:divBdr>
        <w:top w:val="none" w:sz="0" w:space="0" w:color="auto"/>
        <w:left w:val="none" w:sz="0" w:space="0" w:color="auto"/>
        <w:bottom w:val="none" w:sz="0" w:space="0" w:color="auto"/>
        <w:right w:val="none" w:sz="0" w:space="0" w:color="auto"/>
      </w:divBdr>
    </w:div>
    <w:div w:id="1348823458">
      <w:bodyDiv w:val="1"/>
      <w:marLeft w:val="0"/>
      <w:marRight w:val="0"/>
      <w:marTop w:val="0"/>
      <w:marBottom w:val="0"/>
      <w:divBdr>
        <w:top w:val="none" w:sz="0" w:space="0" w:color="auto"/>
        <w:left w:val="none" w:sz="0" w:space="0" w:color="auto"/>
        <w:bottom w:val="none" w:sz="0" w:space="0" w:color="auto"/>
        <w:right w:val="none" w:sz="0" w:space="0" w:color="auto"/>
      </w:divBdr>
    </w:div>
    <w:div w:id="1654219516">
      <w:bodyDiv w:val="1"/>
      <w:marLeft w:val="0"/>
      <w:marRight w:val="0"/>
      <w:marTop w:val="0"/>
      <w:marBottom w:val="0"/>
      <w:divBdr>
        <w:top w:val="none" w:sz="0" w:space="0" w:color="auto"/>
        <w:left w:val="none" w:sz="0" w:space="0" w:color="auto"/>
        <w:bottom w:val="none" w:sz="0" w:space="0" w:color="auto"/>
        <w:right w:val="none" w:sz="0" w:space="0" w:color="auto"/>
      </w:divBdr>
    </w:div>
    <w:div w:id="1923948128">
      <w:bodyDiv w:val="1"/>
      <w:marLeft w:val="0"/>
      <w:marRight w:val="0"/>
      <w:marTop w:val="0"/>
      <w:marBottom w:val="0"/>
      <w:divBdr>
        <w:top w:val="none" w:sz="0" w:space="0" w:color="auto"/>
        <w:left w:val="none" w:sz="0" w:space="0" w:color="auto"/>
        <w:bottom w:val="none" w:sz="0" w:space="0" w:color="auto"/>
        <w:right w:val="none" w:sz="0" w:space="0" w:color="auto"/>
      </w:divBdr>
    </w:div>
    <w:div w:id="1955092562">
      <w:bodyDiv w:val="1"/>
      <w:marLeft w:val="0"/>
      <w:marRight w:val="0"/>
      <w:marTop w:val="0"/>
      <w:marBottom w:val="0"/>
      <w:divBdr>
        <w:top w:val="none" w:sz="0" w:space="0" w:color="auto"/>
        <w:left w:val="none" w:sz="0" w:space="0" w:color="auto"/>
        <w:bottom w:val="none" w:sz="0" w:space="0" w:color="auto"/>
        <w:right w:val="none" w:sz="0" w:space="0" w:color="auto"/>
      </w:divBdr>
    </w:div>
    <w:div w:id="20259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395559112659754E-2"/>
          <c:y val="3.5900922832407152E-2"/>
          <c:w val="0.8413047771121287"/>
          <c:h val="0.68339151943819298"/>
        </c:manualLayout>
      </c:layout>
      <c:barChart>
        <c:barDir val="col"/>
        <c:grouping val="clustered"/>
        <c:ser>
          <c:idx val="0"/>
          <c:order val="0"/>
          <c:tx>
            <c:strRef>
              <c:f>Sheet1!$B$1</c:f>
              <c:strCache>
                <c:ptCount val="1"/>
                <c:pt idx="0">
                  <c:v>T1</c:v>
                </c:pt>
              </c:strCache>
            </c:strRef>
          </c:tx>
          <c:cat>
            <c:strRef>
              <c:f>Sheet1!$A$2:$A$7</c:f>
              <c:strCache>
                <c:ptCount val="6"/>
                <c:pt idx="0">
                  <c:v>JB-1</c:v>
                </c:pt>
                <c:pt idx="1">
                  <c:v>JB-2</c:v>
                </c:pt>
                <c:pt idx="2">
                  <c:v>JB-3</c:v>
                </c:pt>
                <c:pt idx="3">
                  <c:v>JB-4</c:v>
                </c:pt>
                <c:pt idx="4">
                  <c:v>JB-5</c:v>
                </c:pt>
                <c:pt idx="5">
                  <c:v>Mean</c:v>
                </c:pt>
              </c:strCache>
            </c:strRef>
          </c:cat>
          <c:val>
            <c:numRef>
              <c:f>Sheet1!$B$2:$B$7</c:f>
              <c:numCache>
                <c:formatCode>General</c:formatCode>
                <c:ptCount val="6"/>
                <c:pt idx="0">
                  <c:v>60.54</c:v>
                </c:pt>
                <c:pt idx="1">
                  <c:v>58.1</c:v>
                </c:pt>
                <c:pt idx="2">
                  <c:v>51.83</c:v>
                </c:pt>
                <c:pt idx="3">
                  <c:v>56.32</c:v>
                </c:pt>
                <c:pt idx="4">
                  <c:v>55.33</c:v>
                </c:pt>
                <c:pt idx="5">
                  <c:v>56.42</c:v>
                </c:pt>
              </c:numCache>
            </c:numRef>
          </c:val>
        </c:ser>
        <c:ser>
          <c:idx val="1"/>
          <c:order val="1"/>
          <c:tx>
            <c:strRef>
              <c:f>Sheet1!$C$1</c:f>
              <c:strCache>
                <c:ptCount val="1"/>
                <c:pt idx="0">
                  <c:v>T2</c:v>
                </c:pt>
              </c:strCache>
            </c:strRef>
          </c:tx>
          <c:cat>
            <c:strRef>
              <c:f>Sheet1!$A$2:$A$7</c:f>
              <c:strCache>
                <c:ptCount val="6"/>
                <c:pt idx="0">
                  <c:v>JB-1</c:v>
                </c:pt>
                <c:pt idx="1">
                  <c:v>JB-2</c:v>
                </c:pt>
                <c:pt idx="2">
                  <c:v>JB-3</c:v>
                </c:pt>
                <c:pt idx="3">
                  <c:v>JB-4</c:v>
                </c:pt>
                <c:pt idx="4">
                  <c:v>JB-5</c:v>
                </c:pt>
                <c:pt idx="5">
                  <c:v>Mean</c:v>
                </c:pt>
              </c:strCache>
            </c:strRef>
          </c:cat>
          <c:val>
            <c:numRef>
              <c:f>Sheet1!$C$2:$C$7</c:f>
              <c:numCache>
                <c:formatCode>General</c:formatCode>
                <c:ptCount val="6"/>
                <c:pt idx="0">
                  <c:v>53.83</c:v>
                </c:pt>
                <c:pt idx="1">
                  <c:v>59.55</c:v>
                </c:pt>
                <c:pt idx="2">
                  <c:v>56.57</c:v>
                </c:pt>
                <c:pt idx="3">
                  <c:v>64.92</c:v>
                </c:pt>
                <c:pt idx="4">
                  <c:v>55</c:v>
                </c:pt>
                <c:pt idx="5">
                  <c:v>57.97</c:v>
                </c:pt>
              </c:numCache>
            </c:numRef>
          </c:val>
        </c:ser>
        <c:ser>
          <c:idx val="2"/>
          <c:order val="2"/>
          <c:tx>
            <c:strRef>
              <c:f>Sheet1!$D$1</c:f>
              <c:strCache>
                <c:ptCount val="1"/>
                <c:pt idx="0">
                  <c:v>T3</c:v>
                </c:pt>
              </c:strCache>
            </c:strRef>
          </c:tx>
          <c:cat>
            <c:strRef>
              <c:f>Sheet1!$A$2:$A$7</c:f>
              <c:strCache>
                <c:ptCount val="6"/>
                <c:pt idx="0">
                  <c:v>JB-1</c:v>
                </c:pt>
                <c:pt idx="1">
                  <c:v>JB-2</c:v>
                </c:pt>
                <c:pt idx="2">
                  <c:v>JB-3</c:v>
                </c:pt>
                <c:pt idx="3">
                  <c:v>JB-4</c:v>
                </c:pt>
                <c:pt idx="4">
                  <c:v>JB-5</c:v>
                </c:pt>
                <c:pt idx="5">
                  <c:v>Mean</c:v>
                </c:pt>
              </c:strCache>
            </c:strRef>
          </c:cat>
          <c:val>
            <c:numRef>
              <c:f>Sheet1!$D$2:$D$7</c:f>
              <c:numCache>
                <c:formatCode>General</c:formatCode>
                <c:ptCount val="6"/>
                <c:pt idx="0">
                  <c:v>63.53</c:v>
                </c:pt>
                <c:pt idx="1">
                  <c:v>64.22</c:v>
                </c:pt>
                <c:pt idx="2">
                  <c:v>63.05</c:v>
                </c:pt>
                <c:pt idx="3">
                  <c:v>65.709999999999994</c:v>
                </c:pt>
                <c:pt idx="4">
                  <c:v>63.02</c:v>
                </c:pt>
                <c:pt idx="5">
                  <c:v>63.9</c:v>
                </c:pt>
              </c:numCache>
            </c:numRef>
          </c:val>
        </c:ser>
        <c:ser>
          <c:idx val="3"/>
          <c:order val="3"/>
          <c:tx>
            <c:strRef>
              <c:f>Sheet1!$E$1</c:f>
              <c:strCache>
                <c:ptCount val="1"/>
                <c:pt idx="0">
                  <c:v>T4</c:v>
                </c:pt>
              </c:strCache>
            </c:strRef>
          </c:tx>
          <c:cat>
            <c:strRef>
              <c:f>Sheet1!$A$2:$A$7</c:f>
              <c:strCache>
                <c:ptCount val="6"/>
                <c:pt idx="0">
                  <c:v>JB-1</c:v>
                </c:pt>
                <c:pt idx="1">
                  <c:v>JB-2</c:v>
                </c:pt>
                <c:pt idx="2">
                  <c:v>JB-3</c:v>
                </c:pt>
                <c:pt idx="3">
                  <c:v>JB-4</c:v>
                </c:pt>
                <c:pt idx="4">
                  <c:v>JB-5</c:v>
                </c:pt>
                <c:pt idx="5">
                  <c:v>Mean</c:v>
                </c:pt>
              </c:strCache>
            </c:strRef>
          </c:cat>
          <c:val>
            <c:numRef>
              <c:f>Sheet1!$E$2:$E$7</c:f>
              <c:numCache>
                <c:formatCode>General</c:formatCode>
                <c:ptCount val="6"/>
                <c:pt idx="0">
                  <c:v>60.290000000000013</c:v>
                </c:pt>
                <c:pt idx="1">
                  <c:v>65.55</c:v>
                </c:pt>
                <c:pt idx="2">
                  <c:v>63.7</c:v>
                </c:pt>
                <c:pt idx="3">
                  <c:v>70.83</c:v>
                </c:pt>
                <c:pt idx="4">
                  <c:v>60.25</c:v>
                </c:pt>
                <c:pt idx="5">
                  <c:v>64.11999999999999</c:v>
                </c:pt>
              </c:numCache>
            </c:numRef>
          </c:val>
        </c:ser>
        <c:ser>
          <c:idx val="4"/>
          <c:order val="4"/>
          <c:tx>
            <c:strRef>
              <c:f>Sheet1!$F$1</c:f>
              <c:strCache>
                <c:ptCount val="1"/>
                <c:pt idx="0">
                  <c:v>T5</c:v>
                </c:pt>
              </c:strCache>
            </c:strRef>
          </c:tx>
          <c:cat>
            <c:strRef>
              <c:f>Sheet1!$A$2:$A$7</c:f>
              <c:strCache>
                <c:ptCount val="6"/>
                <c:pt idx="0">
                  <c:v>JB-1</c:v>
                </c:pt>
                <c:pt idx="1">
                  <c:v>JB-2</c:v>
                </c:pt>
                <c:pt idx="2">
                  <c:v>JB-3</c:v>
                </c:pt>
                <c:pt idx="3">
                  <c:v>JB-4</c:v>
                </c:pt>
                <c:pt idx="4">
                  <c:v>JB-5</c:v>
                </c:pt>
                <c:pt idx="5">
                  <c:v>Mean</c:v>
                </c:pt>
              </c:strCache>
            </c:strRef>
          </c:cat>
          <c:val>
            <c:numRef>
              <c:f>Sheet1!$F$2:$F$7</c:f>
              <c:numCache>
                <c:formatCode>General</c:formatCode>
                <c:ptCount val="6"/>
                <c:pt idx="0">
                  <c:v>56.55</c:v>
                </c:pt>
                <c:pt idx="1">
                  <c:v>56.97</c:v>
                </c:pt>
                <c:pt idx="2">
                  <c:v>54.99</c:v>
                </c:pt>
                <c:pt idx="3">
                  <c:v>59.83</c:v>
                </c:pt>
                <c:pt idx="4">
                  <c:v>57.24</c:v>
                </c:pt>
                <c:pt idx="5">
                  <c:v>57.11</c:v>
                </c:pt>
              </c:numCache>
            </c:numRef>
          </c:val>
        </c:ser>
        <c:axId val="112549248"/>
        <c:axId val="129884928"/>
      </c:barChart>
      <c:catAx>
        <c:axId val="112549248"/>
        <c:scaling>
          <c:orientation val="minMax"/>
        </c:scaling>
        <c:axPos val="b"/>
        <c:title>
          <c:tx>
            <c:rich>
              <a:bodyPr/>
              <a:lstStyle/>
              <a:p>
                <a:pPr>
                  <a:defRPr/>
                </a:pPr>
                <a:r>
                  <a:rPr lang="en-US"/>
                  <a:t>Genotypes</a:t>
                </a:r>
              </a:p>
            </c:rich>
          </c:tx>
        </c:title>
        <c:majorTickMark val="none"/>
        <c:tickLblPos val="nextTo"/>
        <c:crossAx val="129884928"/>
        <c:crosses val="autoZero"/>
        <c:auto val="1"/>
        <c:lblAlgn val="ctr"/>
        <c:lblOffset val="100"/>
      </c:catAx>
      <c:valAx>
        <c:axId val="129884928"/>
        <c:scaling>
          <c:orientation val="minMax"/>
        </c:scaling>
        <c:axPos val="l"/>
        <c:majorGridlines/>
        <c:title>
          <c:tx>
            <c:rich>
              <a:bodyPr/>
              <a:lstStyle/>
              <a:p>
                <a:pPr>
                  <a:defRPr/>
                </a:pPr>
                <a:r>
                  <a:rPr lang="en-US"/>
                  <a:t>Flowering duration (Days) </a:t>
                </a:r>
              </a:p>
            </c:rich>
          </c:tx>
        </c:title>
        <c:numFmt formatCode="General" sourceLinked="1"/>
        <c:tickLblPos val="nextTo"/>
        <c:crossAx val="112549248"/>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0.08815</cdr:x>
      <cdr:y>0.83026</cdr:y>
    </cdr:from>
    <cdr:to>
      <cdr:x>0.91982</cdr:x>
      <cdr:y>0.88784</cdr:y>
    </cdr:to>
    <cdr:sp macro="" textlink="">
      <cdr:nvSpPr>
        <cdr:cNvPr id="2" name="TextBox 1"/>
        <cdr:cNvSpPr txBox="1"/>
      </cdr:nvSpPr>
      <cdr:spPr>
        <a:xfrm xmlns:a="http://schemas.openxmlformats.org/drawingml/2006/main">
          <a:off x="768764" y="4523505"/>
          <a:ext cx="7253069" cy="3137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imes New Roman" pitchFamily="18" charset="0"/>
              <a:ea typeface="+mn-ea"/>
              <a:cs typeface="Times New Roman" pitchFamily="18" charset="0"/>
            </a:rPr>
            <a:t>T</a:t>
          </a:r>
          <a:r>
            <a:rPr lang="en-US" sz="1200" baseline="-25000">
              <a:latin typeface="Times New Roman" pitchFamily="18" charset="0"/>
              <a:ea typeface="+mn-ea"/>
              <a:cs typeface="Times New Roman" pitchFamily="18" charset="0"/>
            </a:rPr>
            <a:t>1</a:t>
          </a:r>
          <a:r>
            <a:rPr lang="en-US" sz="1200">
              <a:latin typeface="Times New Roman" pitchFamily="18" charset="0"/>
              <a:ea typeface="+mn-ea"/>
              <a:cs typeface="Times New Roman" pitchFamily="18" charset="0"/>
            </a:rPr>
            <a:t> = Control, T</a:t>
          </a:r>
          <a:r>
            <a:rPr lang="en-US" sz="1200" baseline="-25000">
              <a:latin typeface="Times New Roman" pitchFamily="18" charset="0"/>
              <a:ea typeface="+mn-ea"/>
              <a:cs typeface="Times New Roman" pitchFamily="18" charset="0"/>
            </a:rPr>
            <a:t>2</a:t>
          </a:r>
          <a:r>
            <a:rPr lang="en-US" sz="1200">
              <a:latin typeface="Times New Roman" pitchFamily="18" charset="0"/>
              <a:ea typeface="+mn-ea"/>
              <a:cs typeface="Times New Roman" pitchFamily="18" charset="0"/>
            </a:rPr>
            <a:t> = </a:t>
          </a:r>
          <a:r>
            <a:rPr lang="en-US" sz="1200" i="1">
              <a:latin typeface="Times New Roman" pitchFamily="18" charset="0"/>
              <a:ea typeface="+mn-ea"/>
              <a:cs typeface="Times New Roman" pitchFamily="18" charset="0"/>
            </a:rPr>
            <a:t>Trichoderma</a:t>
          </a:r>
          <a:r>
            <a:rPr lang="en-US" sz="1200">
              <a:latin typeface="Times New Roman" pitchFamily="18" charset="0"/>
              <a:ea typeface="+mn-ea"/>
              <a:cs typeface="Times New Roman" pitchFamily="18" charset="0"/>
            </a:rPr>
            <a:t>, T</a:t>
          </a:r>
          <a:r>
            <a:rPr lang="en-US" sz="1200" baseline="-25000">
              <a:latin typeface="Times New Roman" pitchFamily="18" charset="0"/>
              <a:ea typeface="+mn-ea"/>
              <a:cs typeface="Times New Roman" pitchFamily="18" charset="0"/>
            </a:rPr>
            <a:t>3</a:t>
          </a:r>
          <a:r>
            <a:rPr lang="en-US" sz="1200">
              <a:latin typeface="Times New Roman" pitchFamily="18" charset="0"/>
              <a:ea typeface="+mn-ea"/>
              <a:cs typeface="Times New Roman" pitchFamily="18" charset="0"/>
            </a:rPr>
            <a:t> = Thiourea, T</a:t>
          </a:r>
          <a:r>
            <a:rPr lang="en-US" sz="1200" baseline="-25000">
              <a:latin typeface="Times New Roman" pitchFamily="18" charset="0"/>
              <a:ea typeface="+mn-ea"/>
              <a:cs typeface="Times New Roman" pitchFamily="18" charset="0"/>
            </a:rPr>
            <a:t>4</a:t>
          </a:r>
          <a:r>
            <a:rPr lang="en-US" sz="1200">
              <a:latin typeface="Times New Roman" pitchFamily="18" charset="0"/>
              <a:ea typeface="+mn-ea"/>
              <a:cs typeface="Times New Roman" pitchFamily="18" charset="0"/>
            </a:rPr>
            <a:t> = </a:t>
          </a:r>
          <a:r>
            <a:rPr lang="en-US" sz="1200" i="1">
              <a:latin typeface="Times New Roman" pitchFamily="18" charset="0"/>
              <a:ea typeface="+mn-ea"/>
              <a:cs typeface="Times New Roman" pitchFamily="18" charset="0"/>
            </a:rPr>
            <a:t>Trichoderma</a:t>
          </a:r>
          <a:r>
            <a:rPr lang="en-US" sz="1200">
              <a:latin typeface="Times New Roman" pitchFamily="18" charset="0"/>
              <a:ea typeface="+mn-ea"/>
              <a:cs typeface="Times New Roman" pitchFamily="18" charset="0"/>
            </a:rPr>
            <a:t> + Thiourea, T</a:t>
          </a:r>
          <a:r>
            <a:rPr lang="en-US" sz="1200" baseline="-25000">
              <a:latin typeface="Times New Roman" pitchFamily="18" charset="0"/>
              <a:ea typeface="+mn-ea"/>
              <a:cs typeface="Times New Roman" pitchFamily="18" charset="0"/>
            </a:rPr>
            <a:t>5</a:t>
          </a:r>
          <a:r>
            <a:rPr lang="en-US" sz="1200">
              <a:latin typeface="Times New Roman" pitchFamily="18" charset="0"/>
              <a:ea typeface="+mn-ea"/>
              <a:cs typeface="Times New Roman" pitchFamily="18" charset="0"/>
            </a:rPr>
            <a:t> = Hydropriming</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44C2-D6FF-4AE7-9C9D-695630AD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5952</TotalTime>
  <Pages>9</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dc:creator>
  <cp:lastModifiedBy>Sahil</cp:lastModifiedBy>
  <cp:revision>49</cp:revision>
  <cp:lastPrinted>2025-05-19T09:40:00Z</cp:lastPrinted>
  <dcterms:created xsi:type="dcterms:W3CDTF">2025-04-29T04:23:00Z</dcterms:created>
  <dcterms:modified xsi:type="dcterms:W3CDTF">2025-06-30T14:10:00Z</dcterms:modified>
</cp:coreProperties>
</file>