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4FFA8" w14:textId="77777777" w:rsidR="00DE4BEB" w:rsidRPr="00B34E01" w:rsidRDefault="00DE4BEB" w:rsidP="00EF11A9">
      <w:pPr>
        <w:spacing w:after="0" w:line="240" w:lineRule="auto"/>
        <w:jc w:val="center"/>
        <w:rPr>
          <w:rFonts w:ascii="Times New Roman" w:hAnsi="Times New Roman" w:cs="Times New Roman"/>
          <w:b/>
          <w:i/>
          <w:sz w:val="24"/>
          <w:szCs w:val="24"/>
        </w:rPr>
      </w:pPr>
      <w:bookmarkStart w:id="0" w:name="_Toc139238251"/>
      <w:r w:rsidRPr="00B34E01">
        <w:rPr>
          <w:rFonts w:ascii="Times New Roman" w:hAnsi="Times New Roman" w:cs="Times New Roman"/>
          <w:b/>
          <w:sz w:val="24"/>
          <w:szCs w:val="24"/>
        </w:rPr>
        <w:t xml:space="preserve">Prevalence and Antibiotic Susceptibility Pattern of </w:t>
      </w:r>
      <w:r w:rsidRPr="00B34E01">
        <w:rPr>
          <w:rFonts w:ascii="Times New Roman" w:hAnsi="Times New Roman" w:cs="Times New Roman"/>
          <w:b/>
          <w:i/>
          <w:sz w:val="24"/>
          <w:szCs w:val="24"/>
        </w:rPr>
        <w:t>Salmonella</w:t>
      </w:r>
      <w:r w:rsidRPr="00B34E01">
        <w:rPr>
          <w:rFonts w:ascii="Times New Roman" w:hAnsi="Times New Roman" w:cs="Times New Roman"/>
          <w:b/>
          <w:sz w:val="24"/>
          <w:szCs w:val="24"/>
        </w:rPr>
        <w:t xml:space="preserve"> Species Isolated from Patients Attending Murtala Muhammad Specialist Hospital, Kano</w:t>
      </w:r>
    </w:p>
    <w:p w14:paraId="46F086BB" w14:textId="77777777" w:rsidR="005C11F0" w:rsidRPr="00B34E01" w:rsidRDefault="005C11F0" w:rsidP="005C11F0">
      <w:pPr>
        <w:shd w:val="clear" w:color="auto" w:fill="FFFFFF"/>
        <w:spacing w:after="0" w:line="240" w:lineRule="auto"/>
        <w:jc w:val="center"/>
        <w:rPr>
          <w:rFonts w:ascii="Times New Roman" w:eastAsia="Times New Roman" w:hAnsi="Times New Roman" w:cs="Times New Roman"/>
          <w:color w:val="222222"/>
          <w:sz w:val="24"/>
          <w:szCs w:val="24"/>
        </w:rPr>
      </w:pPr>
    </w:p>
    <w:p w14:paraId="146D9558" w14:textId="77777777" w:rsidR="003C4BE2" w:rsidRPr="00B34E01" w:rsidRDefault="003C4BE2" w:rsidP="005C11F0">
      <w:pPr>
        <w:shd w:val="clear" w:color="auto" w:fill="FFFFFF"/>
        <w:spacing w:after="0" w:line="240" w:lineRule="auto"/>
        <w:jc w:val="center"/>
        <w:rPr>
          <w:rFonts w:ascii="Times New Roman" w:eastAsia="Times New Roman" w:hAnsi="Times New Roman" w:cs="Times New Roman"/>
          <w:color w:val="222222"/>
          <w:sz w:val="24"/>
          <w:szCs w:val="24"/>
        </w:rPr>
      </w:pPr>
    </w:p>
    <w:p w14:paraId="4B07098A" w14:textId="77777777" w:rsidR="003C4BE2" w:rsidRPr="00B34E01" w:rsidRDefault="003C4BE2" w:rsidP="005C11F0">
      <w:pPr>
        <w:shd w:val="clear" w:color="auto" w:fill="FFFFFF"/>
        <w:spacing w:after="0" w:line="240" w:lineRule="auto"/>
        <w:jc w:val="center"/>
        <w:rPr>
          <w:rFonts w:ascii="Times New Roman" w:eastAsia="Times New Roman" w:hAnsi="Times New Roman" w:cs="Times New Roman"/>
          <w:color w:val="222222"/>
          <w:sz w:val="24"/>
          <w:szCs w:val="24"/>
        </w:rPr>
      </w:pPr>
    </w:p>
    <w:p w14:paraId="6805D24A" w14:textId="77777777" w:rsidR="007D7AC9" w:rsidRPr="00B34E01" w:rsidRDefault="007D7AC9" w:rsidP="00997189">
      <w:pPr>
        <w:spacing w:after="0" w:line="360" w:lineRule="auto"/>
        <w:rPr>
          <w:rFonts w:ascii="Times New Roman" w:hAnsi="Times New Roman" w:cs="Times New Roman"/>
          <w:b/>
          <w:sz w:val="24"/>
          <w:szCs w:val="24"/>
        </w:rPr>
      </w:pPr>
      <w:r w:rsidRPr="00B34E01">
        <w:rPr>
          <w:rFonts w:ascii="Times New Roman" w:hAnsi="Times New Roman" w:cs="Times New Roman"/>
          <w:b/>
          <w:sz w:val="24"/>
          <w:szCs w:val="24"/>
        </w:rPr>
        <w:t>ABSTRACT</w:t>
      </w:r>
      <w:bookmarkEnd w:id="0"/>
    </w:p>
    <w:p w14:paraId="426154F2" w14:textId="4D129B32" w:rsidR="007D7AC9" w:rsidRPr="00B34E01" w:rsidRDefault="007D7AC9" w:rsidP="00997189">
      <w:pPr>
        <w:spacing w:after="0" w:line="240" w:lineRule="auto"/>
        <w:jc w:val="both"/>
        <w:rPr>
          <w:rFonts w:ascii="Times New Roman" w:hAnsi="Times New Roman" w:cs="Times New Roman"/>
          <w:sz w:val="24"/>
          <w:szCs w:val="24"/>
        </w:rPr>
      </w:pPr>
      <w:r w:rsidRPr="00B34E01">
        <w:rPr>
          <w:rFonts w:ascii="Times New Roman" w:hAnsi="Times New Roman" w:cs="Times New Roman"/>
          <w:sz w:val="24"/>
          <w:szCs w:val="24"/>
        </w:rPr>
        <w:t xml:space="preserve">Typhoid fever is a disease of public health concern with high morbidity and mortality rates in developing countries like Nigeria. The treatment of typhoid fever is currently hamstrung by the emergence of </w:t>
      </w:r>
      <w:r w:rsidR="00CD6AA2" w:rsidRPr="00B34E01">
        <w:rPr>
          <w:rFonts w:ascii="Times New Roman" w:hAnsi="Times New Roman" w:cs="Times New Roman"/>
          <w:i/>
          <w:sz w:val="24"/>
          <w:szCs w:val="24"/>
        </w:rPr>
        <w:t>Salmonella</w:t>
      </w:r>
      <w:r w:rsidR="00CD6AA2" w:rsidRPr="00B34E01">
        <w:rPr>
          <w:rFonts w:ascii="Times New Roman" w:hAnsi="Times New Roman" w:cs="Times New Roman"/>
          <w:sz w:val="24"/>
          <w:szCs w:val="24"/>
        </w:rPr>
        <w:t xml:space="preserve"> </w:t>
      </w:r>
      <w:r w:rsidR="003C124D" w:rsidRPr="00B34E01">
        <w:rPr>
          <w:rFonts w:ascii="Times New Roman" w:hAnsi="Times New Roman" w:cs="Times New Roman"/>
          <w:sz w:val="24"/>
          <w:szCs w:val="24"/>
        </w:rPr>
        <w:t>species</w:t>
      </w:r>
      <w:r w:rsidR="00CE55E5" w:rsidRPr="00B34E01">
        <w:rPr>
          <w:rFonts w:ascii="Times New Roman" w:hAnsi="Times New Roman" w:cs="Times New Roman"/>
          <w:sz w:val="24"/>
          <w:szCs w:val="24"/>
        </w:rPr>
        <w:t xml:space="preserve"> </w:t>
      </w:r>
      <w:r w:rsidRPr="00B34E01">
        <w:rPr>
          <w:rFonts w:ascii="Times New Roman" w:hAnsi="Times New Roman" w:cs="Times New Roman"/>
          <w:sz w:val="24"/>
          <w:szCs w:val="24"/>
        </w:rPr>
        <w:t xml:space="preserve">strains resistant to antibiotics. Emergence of ESBL in MDR </w:t>
      </w:r>
      <w:r w:rsidR="00CD6AA2" w:rsidRPr="00B34E01">
        <w:rPr>
          <w:rFonts w:ascii="Times New Roman" w:hAnsi="Times New Roman" w:cs="Times New Roman"/>
          <w:i/>
          <w:iCs/>
          <w:sz w:val="24"/>
          <w:szCs w:val="24"/>
        </w:rPr>
        <w:t>Salmonella</w:t>
      </w:r>
      <w:r w:rsidR="00CD6AA2" w:rsidRPr="00B34E01">
        <w:rPr>
          <w:rFonts w:ascii="Times New Roman" w:hAnsi="Times New Roman" w:cs="Times New Roman"/>
          <w:iCs/>
          <w:sz w:val="24"/>
          <w:szCs w:val="24"/>
        </w:rPr>
        <w:t xml:space="preserve"> </w:t>
      </w:r>
      <w:r w:rsidR="003C124D" w:rsidRPr="00B34E01">
        <w:rPr>
          <w:rFonts w:ascii="Times New Roman" w:hAnsi="Times New Roman" w:cs="Times New Roman"/>
          <w:iCs/>
          <w:sz w:val="24"/>
          <w:szCs w:val="24"/>
        </w:rPr>
        <w:t>species</w:t>
      </w:r>
      <w:r w:rsidRPr="00B34E01">
        <w:rPr>
          <w:rFonts w:ascii="Times New Roman" w:hAnsi="Times New Roman" w:cs="Times New Roman"/>
          <w:sz w:val="24"/>
          <w:szCs w:val="24"/>
        </w:rPr>
        <w:t xml:space="preserve"> brings a new challenge of great concern in </w:t>
      </w:r>
      <w:r w:rsidR="00212050">
        <w:rPr>
          <w:rFonts w:ascii="Times New Roman" w:hAnsi="Times New Roman" w:cs="Times New Roman"/>
          <w:sz w:val="24"/>
          <w:szCs w:val="24"/>
        </w:rPr>
        <w:t xml:space="preserve">the </w:t>
      </w:r>
      <w:r w:rsidRPr="00B34E01">
        <w:rPr>
          <w:rFonts w:ascii="Times New Roman" w:hAnsi="Times New Roman" w:cs="Times New Roman"/>
          <w:sz w:val="24"/>
          <w:szCs w:val="24"/>
        </w:rPr>
        <w:t xml:space="preserve">treatment of typhoid. This work was aimed at </w:t>
      </w:r>
      <w:r w:rsidR="00F4692E" w:rsidRPr="00B34E01">
        <w:rPr>
          <w:rFonts w:ascii="Times New Roman" w:hAnsi="Times New Roman" w:cs="Times New Roman"/>
          <w:sz w:val="24"/>
          <w:szCs w:val="24"/>
        </w:rPr>
        <w:t xml:space="preserve">determining the prevalence and antibiotic susceptibility pattern of </w:t>
      </w:r>
      <w:r w:rsidR="00F4692E" w:rsidRPr="00B34E01">
        <w:rPr>
          <w:rFonts w:ascii="Times New Roman" w:hAnsi="Times New Roman" w:cs="Times New Roman"/>
          <w:i/>
          <w:sz w:val="24"/>
          <w:szCs w:val="24"/>
        </w:rPr>
        <w:t>Salmonella</w:t>
      </w:r>
      <w:r w:rsidR="00F4692E" w:rsidRPr="00B34E01">
        <w:rPr>
          <w:rFonts w:ascii="Times New Roman" w:hAnsi="Times New Roman" w:cs="Times New Roman"/>
          <w:sz w:val="24"/>
          <w:szCs w:val="24"/>
        </w:rPr>
        <w:t xml:space="preserve"> species isolated from patients attending Murtala Muhammad Specialist Hospital, Kano</w:t>
      </w:r>
      <w:r w:rsidR="008A197B" w:rsidRPr="00B34E01">
        <w:rPr>
          <w:rFonts w:ascii="Times New Roman" w:hAnsi="Times New Roman" w:cs="Times New Roman"/>
          <w:sz w:val="24"/>
          <w:szCs w:val="24"/>
        </w:rPr>
        <w:t>.</w:t>
      </w:r>
      <w:r w:rsidRPr="00B34E01">
        <w:rPr>
          <w:rFonts w:ascii="Times New Roman" w:hAnsi="Times New Roman" w:cs="Times New Roman"/>
          <w:sz w:val="24"/>
          <w:szCs w:val="24"/>
        </w:rPr>
        <w:t xml:space="preserve"> A total of 400 stool samples were collected from Murtala Muhammad Specialist Hospital, Kano and </w:t>
      </w:r>
      <w:r w:rsidR="008C44C1" w:rsidRPr="00B34E01">
        <w:rPr>
          <w:rFonts w:ascii="Times New Roman" w:hAnsi="Times New Roman" w:cs="Times New Roman"/>
          <w:sz w:val="24"/>
          <w:szCs w:val="24"/>
        </w:rPr>
        <w:t>analyzed</w:t>
      </w:r>
      <w:r w:rsidRPr="00B34E01">
        <w:rPr>
          <w:rFonts w:ascii="Times New Roman" w:hAnsi="Times New Roman" w:cs="Times New Roman"/>
          <w:sz w:val="24"/>
          <w:szCs w:val="24"/>
        </w:rPr>
        <w:t xml:space="preserve"> for </w:t>
      </w:r>
      <w:r w:rsidR="000B32AB" w:rsidRPr="00B34E01">
        <w:rPr>
          <w:rFonts w:ascii="Times New Roman" w:hAnsi="Times New Roman" w:cs="Times New Roman"/>
          <w:i/>
          <w:sz w:val="24"/>
          <w:szCs w:val="24"/>
        </w:rPr>
        <w:t>Salmonella</w:t>
      </w:r>
      <w:r w:rsidRPr="00B34E01">
        <w:rPr>
          <w:rFonts w:ascii="Times New Roman" w:hAnsi="Times New Roman" w:cs="Times New Roman"/>
          <w:sz w:val="24"/>
          <w:szCs w:val="24"/>
        </w:rPr>
        <w:t>. The isolates were identified phenotypically based on cultural, microscopic and biochemical characteristics. Antibiotic susceptibility test was conducted using Kirby-Bauer disc diffusion method according to CLSI guidelines of 2016. Multi-drug Resistant isolates detected were further screened for ESBL production</w:t>
      </w:r>
      <w:r w:rsidR="002E176D" w:rsidRPr="00B34E01">
        <w:rPr>
          <w:rFonts w:ascii="Times New Roman" w:hAnsi="Times New Roman" w:cs="Times New Roman"/>
          <w:sz w:val="24"/>
          <w:szCs w:val="24"/>
        </w:rPr>
        <w:t>.</w:t>
      </w:r>
      <w:r w:rsidRPr="00B34E01">
        <w:rPr>
          <w:rFonts w:ascii="Times New Roman" w:hAnsi="Times New Roman" w:cs="Times New Roman"/>
          <w:sz w:val="24"/>
          <w:szCs w:val="24"/>
        </w:rPr>
        <w:t xml:space="preserve"> The results obtained showed that a total of 14 isolates were identified phenotypically. The antibiotic susceptibility testing of the isolates showed </w:t>
      </w:r>
      <w:r w:rsidR="00212050">
        <w:rPr>
          <w:rFonts w:ascii="Times New Roman" w:hAnsi="Times New Roman" w:cs="Times New Roman"/>
          <w:sz w:val="24"/>
          <w:szCs w:val="24"/>
        </w:rPr>
        <w:t xml:space="preserve">the </w:t>
      </w:r>
      <w:r w:rsidRPr="00B34E01">
        <w:rPr>
          <w:rFonts w:ascii="Times New Roman" w:hAnsi="Times New Roman" w:cs="Times New Roman"/>
          <w:sz w:val="24"/>
          <w:szCs w:val="24"/>
        </w:rPr>
        <w:t>highest resistance to Ampicillin (57.4%), 50% resistance to Cefotaxim</w:t>
      </w:r>
      <w:r w:rsidR="0080068F" w:rsidRPr="00B34E01">
        <w:rPr>
          <w:rFonts w:ascii="Times New Roman" w:hAnsi="Times New Roman" w:cs="Times New Roman"/>
          <w:sz w:val="24"/>
          <w:szCs w:val="24"/>
        </w:rPr>
        <w:t>e</w:t>
      </w:r>
      <w:r w:rsidRPr="00B34E01">
        <w:rPr>
          <w:rFonts w:ascii="Times New Roman" w:hAnsi="Times New Roman" w:cs="Times New Roman"/>
          <w:sz w:val="24"/>
          <w:szCs w:val="24"/>
        </w:rPr>
        <w:t xml:space="preserve"> and Ciprofloxacin</w:t>
      </w:r>
      <w:r w:rsidR="00212050">
        <w:rPr>
          <w:rFonts w:ascii="Times New Roman" w:hAnsi="Times New Roman" w:cs="Times New Roman"/>
          <w:sz w:val="24"/>
          <w:szCs w:val="24"/>
        </w:rPr>
        <w:t>,</w:t>
      </w:r>
      <w:r w:rsidRPr="00B34E01">
        <w:rPr>
          <w:rFonts w:ascii="Times New Roman" w:hAnsi="Times New Roman" w:cs="Times New Roman"/>
          <w:sz w:val="24"/>
          <w:szCs w:val="24"/>
        </w:rPr>
        <w:t xml:space="preserve"> </w:t>
      </w:r>
      <w:r w:rsidR="002E176D" w:rsidRPr="00B34E01">
        <w:rPr>
          <w:rFonts w:ascii="Times New Roman" w:hAnsi="Times New Roman" w:cs="Times New Roman"/>
          <w:sz w:val="24"/>
          <w:szCs w:val="24"/>
        </w:rPr>
        <w:t>with high susceptibility to Azithromycin,</w:t>
      </w:r>
      <w:r w:rsidRPr="00B34E01">
        <w:rPr>
          <w:rFonts w:ascii="Times New Roman" w:hAnsi="Times New Roman" w:cs="Times New Roman"/>
          <w:sz w:val="24"/>
          <w:szCs w:val="24"/>
        </w:rPr>
        <w:t xml:space="preserve"> Aztreonam and Tazobactam. </w:t>
      </w:r>
      <w:r w:rsidR="00BA6519" w:rsidRPr="00B34E01">
        <w:rPr>
          <w:rFonts w:ascii="Times New Roman" w:hAnsi="Times New Roman" w:cs="Times New Roman"/>
          <w:sz w:val="24"/>
          <w:szCs w:val="24"/>
        </w:rPr>
        <w:t>Higher susceptibility to Azithromycin,</w:t>
      </w:r>
      <w:r w:rsidRPr="00B34E01">
        <w:rPr>
          <w:rFonts w:ascii="Times New Roman" w:hAnsi="Times New Roman" w:cs="Times New Roman"/>
          <w:sz w:val="24"/>
          <w:szCs w:val="24"/>
        </w:rPr>
        <w:t xml:space="preserve"> Aztreona</w:t>
      </w:r>
      <w:r w:rsidR="00BA6519" w:rsidRPr="00B34E01">
        <w:rPr>
          <w:rFonts w:ascii="Times New Roman" w:hAnsi="Times New Roman" w:cs="Times New Roman"/>
          <w:sz w:val="24"/>
          <w:szCs w:val="24"/>
        </w:rPr>
        <w:t>m</w:t>
      </w:r>
      <w:r w:rsidRPr="00B34E01">
        <w:rPr>
          <w:rFonts w:ascii="Times New Roman" w:hAnsi="Times New Roman" w:cs="Times New Roman"/>
          <w:sz w:val="24"/>
          <w:szCs w:val="24"/>
        </w:rPr>
        <w:t xml:space="preserve"> and </w:t>
      </w:r>
      <w:r w:rsidR="009B2B01" w:rsidRPr="00B34E01">
        <w:rPr>
          <w:rFonts w:ascii="Times New Roman" w:hAnsi="Times New Roman" w:cs="Times New Roman"/>
          <w:sz w:val="24"/>
          <w:szCs w:val="24"/>
        </w:rPr>
        <w:t xml:space="preserve">Tazobactam </w:t>
      </w:r>
      <w:r w:rsidR="009B2B01" w:rsidRPr="00B34E01">
        <w:rPr>
          <w:rFonts w:ascii="Times New Roman" w:hAnsi="Times New Roman" w:cs="Times New Roman"/>
          <w:sz w:val="24"/>
          <w:szCs w:val="24"/>
          <w:shd w:val="clear" w:color="auto" w:fill="FFFFFF"/>
        </w:rPr>
        <w:t>advocate</w:t>
      </w:r>
      <w:r w:rsidR="00212050">
        <w:rPr>
          <w:rFonts w:ascii="Times New Roman" w:hAnsi="Times New Roman" w:cs="Times New Roman"/>
          <w:sz w:val="24"/>
          <w:szCs w:val="24"/>
          <w:shd w:val="clear" w:color="auto" w:fill="FFFFFF"/>
        </w:rPr>
        <w:t>s</w:t>
      </w:r>
      <w:r w:rsidR="00BA6519" w:rsidRPr="00B34E01">
        <w:rPr>
          <w:rFonts w:ascii="Times New Roman" w:hAnsi="Times New Roman" w:cs="Times New Roman"/>
          <w:sz w:val="24"/>
          <w:szCs w:val="24"/>
          <w:shd w:val="clear" w:color="auto" w:fill="FFFFFF"/>
        </w:rPr>
        <w:t xml:space="preserve"> for their use to treat typhoid fever</w:t>
      </w:r>
      <w:r w:rsidRPr="00B34E01">
        <w:rPr>
          <w:rFonts w:ascii="Times New Roman" w:hAnsi="Times New Roman" w:cs="Times New Roman"/>
          <w:sz w:val="24"/>
          <w:szCs w:val="24"/>
        </w:rPr>
        <w:t>.</w:t>
      </w:r>
    </w:p>
    <w:p w14:paraId="2B04AF9E" w14:textId="77777777" w:rsidR="007D7AC9" w:rsidRPr="00B34E01" w:rsidRDefault="00EF11A9" w:rsidP="00EF11A9">
      <w:pPr>
        <w:spacing w:before="240" w:after="0" w:line="360" w:lineRule="auto"/>
        <w:jc w:val="both"/>
        <w:rPr>
          <w:rFonts w:ascii="Times New Roman" w:hAnsi="Times New Roman" w:cs="Times New Roman"/>
          <w:sz w:val="24"/>
          <w:szCs w:val="24"/>
        </w:rPr>
      </w:pPr>
      <w:r w:rsidRPr="00B34E01">
        <w:rPr>
          <w:rFonts w:ascii="Times New Roman" w:hAnsi="Times New Roman" w:cs="Times New Roman"/>
          <w:sz w:val="24"/>
          <w:szCs w:val="24"/>
        </w:rPr>
        <w:t xml:space="preserve">Key words: Prevalence, </w:t>
      </w:r>
      <w:r w:rsidRPr="00B34E01">
        <w:rPr>
          <w:rFonts w:ascii="Times New Roman" w:hAnsi="Times New Roman" w:cs="Times New Roman"/>
          <w:sz w:val="24"/>
          <w:szCs w:val="24"/>
          <w:shd w:val="clear" w:color="auto" w:fill="FFFFFF"/>
        </w:rPr>
        <w:t xml:space="preserve">Antibiotic susceptibility, </w:t>
      </w:r>
      <w:r w:rsidRPr="00B34E01">
        <w:rPr>
          <w:rFonts w:ascii="Times New Roman" w:hAnsi="Times New Roman" w:cs="Times New Roman"/>
          <w:i/>
          <w:sz w:val="24"/>
          <w:szCs w:val="24"/>
          <w:shd w:val="clear" w:color="auto" w:fill="FFFFFF"/>
        </w:rPr>
        <w:t xml:space="preserve">Salmonella, </w:t>
      </w:r>
      <w:r w:rsidRPr="00B34E01">
        <w:rPr>
          <w:rFonts w:ascii="Times New Roman" w:hAnsi="Times New Roman" w:cs="Times New Roman"/>
          <w:sz w:val="24"/>
          <w:szCs w:val="24"/>
          <w:shd w:val="clear" w:color="auto" w:fill="FFFFFF"/>
        </w:rPr>
        <w:t>Multi-drug Resistance</w:t>
      </w:r>
    </w:p>
    <w:p w14:paraId="6DD202DB" w14:textId="77777777" w:rsidR="007D7AC9" w:rsidRPr="00B34E01" w:rsidRDefault="007D7AC9" w:rsidP="00997189">
      <w:pPr>
        <w:pStyle w:val="Heading1"/>
        <w:spacing w:line="360" w:lineRule="auto"/>
        <w:rPr>
          <w:rFonts w:ascii="Times New Roman" w:hAnsi="Times New Roman" w:cs="Times New Roman"/>
          <w:b/>
          <w:color w:val="auto"/>
          <w:sz w:val="24"/>
          <w:szCs w:val="24"/>
        </w:rPr>
      </w:pPr>
      <w:bookmarkStart w:id="1" w:name="_Toc139238256"/>
      <w:r w:rsidRPr="00B34E01">
        <w:rPr>
          <w:rFonts w:ascii="Times New Roman" w:hAnsi="Times New Roman" w:cs="Times New Roman"/>
          <w:b/>
          <w:color w:val="auto"/>
          <w:sz w:val="24"/>
          <w:szCs w:val="24"/>
        </w:rPr>
        <w:t>INTRODUCTION</w:t>
      </w:r>
      <w:bookmarkEnd w:id="1"/>
    </w:p>
    <w:p w14:paraId="2CC4902F" w14:textId="383549C0" w:rsidR="007D7AC9" w:rsidRPr="00B34E01" w:rsidRDefault="007842D2" w:rsidP="00997189">
      <w:pPr>
        <w:pStyle w:val="NormalWeb"/>
        <w:spacing w:before="0" w:beforeAutospacing="0" w:after="0" w:afterAutospacing="0" w:line="360" w:lineRule="auto"/>
        <w:jc w:val="both"/>
      </w:pPr>
      <w:r>
        <w:t>“</w:t>
      </w:r>
      <w:r w:rsidR="007D7AC9" w:rsidRPr="00B34E01">
        <w:t>Typhoid fever poses a public health threat, recording high morbidity and mortality rates mainly in developing countries. Typhoid fever shows an annual global estimate of 20.6 million cases and 223,000 deaths. In sub-Saharan Africa, the incidence of typhoid fever is greater than 100 per 100,000 persons per year</w:t>
      </w:r>
      <w:r w:rsidR="00212050">
        <w:t>,</w:t>
      </w:r>
      <w:r w:rsidR="007D7AC9" w:rsidRPr="00B34E01">
        <w:t xml:space="preserve"> resulting in 33,490 deaths accounting for 26% of global typhoid deaths in Africa</w:t>
      </w:r>
      <w:r>
        <w:t>”</w:t>
      </w:r>
      <w:r w:rsidR="00A1139C" w:rsidRPr="00B34E01">
        <w:t xml:space="preserve"> </w:t>
      </w:r>
      <w:hyperlink r:id="rId8" w:history="1">
        <w:r w:rsidR="00A1139C" w:rsidRPr="00B34E01">
          <w:rPr>
            <w:rStyle w:val="Hyperlink"/>
            <w:rFonts w:eastAsiaTheme="majorEastAsia"/>
            <w:color w:val="auto"/>
            <w:u w:val="none"/>
          </w:rPr>
          <w:t>(Gashaw &amp; Jambo, 2022)</w:t>
        </w:r>
      </w:hyperlink>
      <w:r w:rsidR="007D7AC9" w:rsidRPr="00B34E01">
        <w:t xml:space="preserve">. </w:t>
      </w:r>
    </w:p>
    <w:p w14:paraId="0BDC2209" w14:textId="500842E2" w:rsidR="000D3403" w:rsidRPr="00B34E01" w:rsidRDefault="007842D2" w:rsidP="00997189">
      <w:pPr>
        <w:pStyle w:val="NormalWeb"/>
        <w:spacing w:before="0" w:beforeAutospacing="0" w:after="0" w:afterAutospacing="0" w:line="360" w:lineRule="auto"/>
        <w:jc w:val="both"/>
      </w:pPr>
      <w:r>
        <w:t>“</w:t>
      </w:r>
      <w:r w:rsidR="007D7AC9" w:rsidRPr="00B34E01">
        <w:t>Typhoid fever is characteri</w:t>
      </w:r>
      <w:r w:rsidR="00212050">
        <w:t>s</w:t>
      </w:r>
      <w:r w:rsidR="007D7AC9" w:rsidRPr="00B34E01">
        <w:t>ed by high fever, paradoxical bradycardia, and rose-colored rash out of which the most common complaints are headache, abdominal pain and diarrhea. Patient suffering from typhoid fever may develop symptoms like digestive hemorrhages, ileocaecal perforation, encephalitides, myocarditides, bacterial superinfections, pancreatitis, intestinal perforation, bowel perforation, infarction abscess, hepatic dysfunction and hepatic abscess</w:t>
      </w:r>
      <w:r>
        <w:t>”</w:t>
      </w:r>
      <w:r w:rsidR="000D3403" w:rsidRPr="00B34E01">
        <w:t xml:space="preserve"> </w:t>
      </w:r>
      <w:hyperlink r:id="rId9" w:history="1">
        <w:r w:rsidR="000D3403" w:rsidRPr="00B34E01">
          <w:rPr>
            <w:rStyle w:val="Hyperlink"/>
            <w:rFonts w:eastAsiaTheme="majorEastAsia"/>
            <w:color w:val="auto"/>
            <w:u w:val="none"/>
          </w:rPr>
          <w:t>(Gashaw &amp; Jambo, 2022)</w:t>
        </w:r>
      </w:hyperlink>
      <w:r w:rsidR="007D7AC9" w:rsidRPr="00B34E01">
        <w:t>. It causes septicemia of digestive origin that can cross the placenta</w:t>
      </w:r>
      <w:r w:rsidR="00212050">
        <w:t>,</w:t>
      </w:r>
      <w:r w:rsidR="007D7AC9" w:rsidRPr="00B34E01">
        <w:t xml:space="preserve"> resulting in chorioam</w:t>
      </w:r>
      <w:r w:rsidR="00212050">
        <w:t>nion</w:t>
      </w:r>
      <w:r w:rsidR="007D7AC9" w:rsidRPr="00B34E01">
        <w:t>itis maternal</w:t>
      </w:r>
      <w:r w:rsidR="00212050">
        <w:t>-</w:t>
      </w:r>
      <w:r w:rsidR="007D7AC9" w:rsidRPr="00B34E01">
        <w:t xml:space="preserve">fetal infection with </w:t>
      </w:r>
      <w:r w:rsidR="00CD6AA2" w:rsidRPr="00B34E01">
        <w:rPr>
          <w:rStyle w:val="Emphasis"/>
          <w:rFonts w:eastAsiaTheme="majorEastAsia"/>
        </w:rPr>
        <w:t xml:space="preserve">Salmonella </w:t>
      </w:r>
      <w:r w:rsidR="003C124D" w:rsidRPr="00B34E01">
        <w:rPr>
          <w:rStyle w:val="Emphasis"/>
          <w:rFonts w:eastAsiaTheme="majorEastAsia"/>
          <w:i w:val="0"/>
        </w:rPr>
        <w:t>species</w:t>
      </w:r>
      <w:r w:rsidR="007D7AC9" w:rsidRPr="00B34E01">
        <w:t>can lead to miscarriage fetal death, neonatal infection as well as diverse maternal complication</w:t>
      </w:r>
      <w:r w:rsidR="00212050">
        <w:t>s</w:t>
      </w:r>
      <w:r w:rsidR="007D7AC9" w:rsidRPr="00B34E01">
        <w:t xml:space="preserve">. </w:t>
      </w:r>
    </w:p>
    <w:p w14:paraId="17126746" w14:textId="743620FB" w:rsidR="007D7AC9" w:rsidRPr="00B34E01" w:rsidRDefault="007842D2" w:rsidP="00997189">
      <w:pPr>
        <w:pStyle w:val="NormalWeb"/>
        <w:spacing w:before="0" w:beforeAutospacing="0" w:after="0" w:afterAutospacing="0" w:line="360" w:lineRule="auto"/>
        <w:jc w:val="both"/>
      </w:pPr>
      <w:r>
        <w:lastRenderedPageBreak/>
        <w:t>“</w:t>
      </w:r>
      <w:r w:rsidR="007D7AC9" w:rsidRPr="00B34E01">
        <w:t>In the past, first</w:t>
      </w:r>
      <w:r w:rsidR="00212050">
        <w:t>-</w:t>
      </w:r>
      <w:r w:rsidR="007D7AC9" w:rsidRPr="00B34E01">
        <w:t xml:space="preserve">line antibiotics for the treatment of typhoid included chloramphenicol, ampicillin, and trimethoprim-sulphamethoxazole. However, </w:t>
      </w:r>
      <w:r w:rsidR="00212050">
        <w:t>multidrug-</w:t>
      </w:r>
      <w:r w:rsidR="007D7AC9" w:rsidRPr="00B34E01">
        <w:t xml:space="preserve">resistant (MDR) </w:t>
      </w:r>
      <w:r w:rsidR="00E61EC9" w:rsidRPr="00B34E01">
        <w:rPr>
          <w:i/>
        </w:rPr>
        <w:t xml:space="preserve">Salmonella </w:t>
      </w:r>
      <w:r w:rsidR="00E61EC9" w:rsidRPr="00B34E01">
        <w:t>species</w:t>
      </w:r>
      <w:r w:rsidR="007D7AC9" w:rsidRPr="00B34E01">
        <w:t>, defined as strains resistant to these first-line antibiotics</w:t>
      </w:r>
      <w:r w:rsidR="00212050">
        <w:t>,</w:t>
      </w:r>
      <w:r w:rsidR="007D7AC9" w:rsidRPr="00B34E01">
        <w:t xml:space="preserve"> emerged in the late 1980s. This resulted in the use of fluoroquinolones and third</w:t>
      </w:r>
      <w:r w:rsidR="00212050">
        <w:t>-</w:t>
      </w:r>
      <w:r w:rsidR="007D7AC9" w:rsidRPr="00B34E01">
        <w:t xml:space="preserve">generation cephalosporins as alternatives for </w:t>
      </w:r>
      <w:r w:rsidR="00212050">
        <w:t xml:space="preserve">the </w:t>
      </w:r>
      <w:r w:rsidR="007D7AC9" w:rsidRPr="00B34E01">
        <w:t xml:space="preserve">treatment of MDR </w:t>
      </w:r>
      <w:r w:rsidR="00CD6AA2" w:rsidRPr="00B34E01">
        <w:rPr>
          <w:rStyle w:val="Emphasis"/>
          <w:rFonts w:eastAsiaTheme="majorEastAsia"/>
        </w:rPr>
        <w:t xml:space="preserve">Salmonella </w:t>
      </w:r>
      <w:r w:rsidR="003C124D" w:rsidRPr="00B34E01">
        <w:rPr>
          <w:rStyle w:val="Emphasis"/>
          <w:rFonts w:eastAsiaTheme="majorEastAsia"/>
          <w:i w:val="0"/>
        </w:rPr>
        <w:t>species</w:t>
      </w:r>
      <w:r w:rsidR="00151EC2" w:rsidRPr="00B34E01">
        <w:rPr>
          <w:rStyle w:val="Emphasis"/>
          <w:rFonts w:eastAsiaTheme="majorEastAsia"/>
          <w:i w:val="0"/>
        </w:rPr>
        <w:t xml:space="preserve"> </w:t>
      </w:r>
      <w:r w:rsidR="007D7AC9" w:rsidRPr="00B34E01">
        <w:t>cases</w:t>
      </w:r>
      <w:r>
        <w:t>”</w:t>
      </w:r>
      <w:r w:rsidR="000D3403" w:rsidRPr="00B34E01">
        <w:t xml:space="preserve"> </w:t>
      </w:r>
      <w:hyperlink r:id="rId10" w:history="1">
        <w:r w:rsidR="000D3403" w:rsidRPr="00B34E01">
          <w:rPr>
            <w:rStyle w:val="Hyperlink"/>
            <w:rFonts w:eastAsiaTheme="majorEastAsia"/>
            <w:color w:val="auto"/>
            <w:u w:val="none"/>
          </w:rPr>
          <w:t>(Marchello et al., 2020)</w:t>
        </w:r>
      </w:hyperlink>
      <w:r w:rsidR="007D7AC9" w:rsidRPr="00B34E01">
        <w:t>.</w:t>
      </w:r>
    </w:p>
    <w:p w14:paraId="38109E27" w14:textId="7921AF50" w:rsidR="007D7AC9" w:rsidRPr="00B34E01" w:rsidRDefault="007842D2" w:rsidP="00997189">
      <w:pPr>
        <w:pStyle w:val="NormalWeb"/>
        <w:spacing w:before="0" w:beforeAutospacing="0" w:after="0" w:afterAutospacing="0" w:line="360" w:lineRule="auto"/>
        <w:jc w:val="both"/>
      </w:pPr>
      <w:r>
        <w:t>“</w:t>
      </w:r>
      <w:r w:rsidR="007D7AC9" w:rsidRPr="00B34E01">
        <w:t>Increased use of fluoroquinolones such as Ciprofloxacin for treatment has resulted in the emergence of strains resistant or with reduced susceptibility to this particular antibiotic</w:t>
      </w:r>
      <w:r>
        <w:t>”</w:t>
      </w:r>
      <w:r w:rsidR="007D7AC9" w:rsidRPr="00B34E01">
        <w:t xml:space="preserve"> </w:t>
      </w:r>
      <w:hyperlink r:id="rId11" w:history="1">
        <w:r w:rsidR="007D7AC9" w:rsidRPr="00B34E01">
          <w:rPr>
            <w:rStyle w:val="Hyperlink"/>
            <w:rFonts w:eastAsiaTheme="majorEastAsia"/>
            <w:color w:val="auto"/>
            <w:u w:val="none"/>
          </w:rPr>
          <w:t xml:space="preserve">(Yan </w:t>
        </w:r>
        <w:r w:rsidR="007D7AC9" w:rsidRPr="00B34E01">
          <w:rPr>
            <w:rStyle w:val="Hyperlink"/>
            <w:rFonts w:eastAsiaTheme="majorEastAsia"/>
            <w:i/>
            <w:color w:val="auto"/>
            <w:u w:val="none"/>
          </w:rPr>
          <w:t>et al</w:t>
        </w:r>
        <w:r w:rsidR="007D7AC9" w:rsidRPr="00B34E01">
          <w:rPr>
            <w:rStyle w:val="Hyperlink"/>
            <w:rFonts w:eastAsiaTheme="majorEastAsia"/>
            <w:color w:val="auto"/>
            <w:u w:val="none"/>
          </w:rPr>
          <w:t>. 2016)</w:t>
        </w:r>
      </w:hyperlink>
      <w:r w:rsidR="007D7AC9" w:rsidRPr="00B34E01">
        <w:t xml:space="preserve">. </w:t>
      </w:r>
      <w:r>
        <w:t>“</w:t>
      </w:r>
      <w:r w:rsidR="007D7AC9" w:rsidRPr="00B34E01">
        <w:t xml:space="preserve">Other than the use of these antibiotics in the treatment of human cases, there have been many reports on the use of antibiotics in </w:t>
      </w:r>
      <w:r w:rsidR="00212050">
        <w:t xml:space="preserve">the </w:t>
      </w:r>
      <w:r w:rsidR="007D7AC9" w:rsidRPr="00B34E01">
        <w:t>treatment of animal disease and as growth promoters in food derived from animals</w:t>
      </w:r>
      <w:r w:rsidR="00212050">
        <w:t>,</w:t>
      </w:r>
      <w:r w:rsidR="007D7AC9" w:rsidRPr="00B34E01">
        <w:t xml:space="preserve"> which similarly contribute to the occurrence and spread of antibiotic</w:t>
      </w:r>
      <w:r w:rsidR="00641FD7">
        <w:t>-</w:t>
      </w:r>
      <w:r w:rsidR="007D7AC9" w:rsidRPr="00B34E01">
        <w:t>resistant bacteria</w:t>
      </w:r>
      <w:r>
        <w:t>”</w:t>
      </w:r>
      <w:r w:rsidR="007D7AC9" w:rsidRPr="00B34E01">
        <w:t xml:space="preserve"> </w:t>
      </w:r>
      <w:hyperlink r:id="rId12" w:history="1">
        <w:r w:rsidR="007D7AC9" w:rsidRPr="00B34E01">
          <w:rPr>
            <w:rStyle w:val="Hyperlink"/>
            <w:rFonts w:eastAsiaTheme="majorEastAsia"/>
            <w:color w:val="auto"/>
            <w:u w:val="none"/>
          </w:rPr>
          <w:t xml:space="preserve">(Mahmoud </w:t>
        </w:r>
        <w:r w:rsidR="007D7AC9" w:rsidRPr="00B34E01">
          <w:rPr>
            <w:rStyle w:val="Hyperlink"/>
            <w:rFonts w:eastAsiaTheme="majorEastAsia"/>
            <w:i/>
            <w:color w:val="auto"/>
            <w:u w:val="none"/>
          </w:rPr>
          <w:t>et al.,</w:t>
        </w:r>
        <w:r w:rsidR="007D7AC9" w:rsidRPr="00B34E01">
          <w:rPr>
            <w:rStyle w:val="Hyperlink"/>
            <w:rFonts w:eastAsiaTheme="majorEastAsia"/>
            <w:color w:val="auto"/>
            <w:u w:val="none"/>
          </w:rPr>
          <w:t xml:space="preserve"> 2016)</w:t>
        </w:r>
      </w:hyperlink>
      <w:r w:rsidR="007D7AC9" w:rsidRPr="00B34E01">
        <w:t>.</w:t>
      </w:r>
    </w:p>
    <w:p w14:paraId="70902112" w14:textId="67538AEB" w:rsidR="007D7AC9" w:rsidRPr="00B34E01" w:rsidRDefault="007842D2" w:rsidP="00997189">
      <w:pPr>
        <w:pStyle w:val="NormalWeb"/>
        <w:spacing w:before="0" w:beforeAutospacing="0" w:after="0" w:afterAutospacing="0" w:line="360" w:lineRule="auto"/>
        <w:jc w:val="both"/>
      </w:pPr>
      <w:r>
        <w:t>“</w:t>
      </w:r>
      <w:r w:rsidR="007D7AC9" w:rsidRPr="00B34E01">
        <w:t>Extended spectrum β-lactamases (ESBL) are enzymes that can hydrolyze oxyimino-beta lactams</w:t>
      </w:r>
      <w:r w:rsidR="00641FD7">
        <w:t>,</w:t>
      </w:r>
      <w:r w:rsidR="007D7AC9" w:rsidRPr="00B34E01">
        <w:t xml:space="preserve"> causing resistance to third</w:t>
      </w:r>
      <w:r w:rsidR="00212050">
        <w:t>-</w:t>
      </w:r>
      <w:r w:rsidR="007D7AC9" w:rsidRPr="00B34E01">
        <w:t>generation cephalosporins, resulting in treatment failure and association with higher morbidity and mortality among immuno-compromised patients. Nosocomial infections caused by ESBL</w:t>
      </w:r>
      <w:r w:rsidR="00212050">
        <w:t>-</w:t>
      </w:r>
      <w:r w:rsidR="007D7AC9" w:rsidRPr="00B34E01">
        <w:t xml:space="preserve">producing </w:t>
      </w:r>
      <w:r w:rsidR="00CD6AA2" w:rsidRPr="00B34E01">
        <w:rPr>
          <w:i/>
        </w:rPr>
        <w:t xml:space="preserve">Salmonella </w:t>
      </w:r>
      <w:r w:rsidR="003C124D" w:rsidRPr="00B34E01">
        <w:t>species</w:t>
      </w:r>
      <w:r w:rsidR="00E61EC9" w:rsidRPr="00B34E01">
        <w:t xml:space="preserve"> </w:t>
      </w:r>
      <w:r w:rsidR="007D7AC9" w:rsidRPr="00B34E01">
        <w:t xml:space="preserve">have been reported from Latin </w:t>
      </w:r>
      <w:r w:rsidR="00A539DA" w:rsidRPr="00B34E01">
        <w:t>America, France</w:t>
      </w:r>
      <w:r w:rsidR="007D7AC9" w:rsidRPr="00B34E01">
        <w:t xml:space="preserve">, Senegal, Africa, Asia, and Europe. The emergence of ESBL in MDR </w:t>
      </w:r>
      <w:r w:rsidR="00CD6AA2" w:rsidRPr="00B34E01">
        <w:rPr>
          <w:i/>
        </w:rPr>
        <w:t xml:space="preserve">Salmonella </w:t>
      </w:r>
      <w:r w:rsidR="003C124D" w:rsidRPr="00B34E01">
        <w:t>species</w:t>
      </w:r>
      <w:r w:rsidR="00E61EC9" w:rsidRPr="00B34E01">
        <w:t xml:space="preserve"> </w:t>
      </w:r>
      <w:r w:rsidR="007D7AC9" w:rsidRPr="00B34E01">
        <w:t>constitutes a new challenge and has become a matter of concern</w:t>
      </w:r>
      <w:r w:rsidR="00641FD7">
        <w:t>,</w:t>
      </w:r>
      <w:r w:rsidR="007D7AC9" w:rsidRPr="00B34E01">
        <w:t xml:space="preserve"> especially in underdeveloped countries.  </w:t>
      </w:r>
      <w:r w:rsidR="00CD6AA2" w:rsidRPr="00B34E01">
        <w:rPr>
          <w:i/>
        </w:rPr>
        <w:t xml:space="preserve">Salmonella </w:t>
      </w:r>
      <w:r w:rsidR="003C124D" w:rsidRPr="00B34E01">
        <w:t>species</w:t>
      </w:r>
      <w:r w:rsidR="00151EC2" w:rsidRPr="00B34E01">
        <w:t xml:space="preserve"> have</w:t>
      </w:r>
      <w:r w:rsidR="007D7AC9" w:rsidRPr="00B34E01">
        <w:t xml:space="preserve"> been found to produce a wide variety of ESBL types</w:t>
      </w:r>
      <w:r w:rsidR="00641FD7">
        <w:t>,</w:t>
      </w:r>
      <w:r w:rsidR="007D7AC9" w:rsidRPr="00B34E01">
        <w:t xml:space="preserve"> including TEM, SHV, PER and CTXM enzyme</w:t>
      </w:r>
      <w:r>
        <w:t>”</w:t>
      </w:r>
      <w:r w:rsidR="007D7AC9" w:rsidRPr="00B34E01">
        <w:t xml:space="preserve"> </w:t>
      </w:r>
      <w:hyperlink r:id="rId13" w:history="1">
        <w:r w:rsidR="00B01E22" w:rsidRPr="00B34E01">
          <w:rPr>
            <w:rStyle w:val="Hyperlink"/>
            <w:rFonts w:eastAsiaTheme="majorEastAsia"/>
            <w:color w:val="auto"/>
            <w:u w:val="none"/>
          </w:rPr>
          <w:t xml:space="preserve">(Ahamed Riyaaz </w:t>
        </w:r>
        <w:r w:rsidR="00B01E22" w:rsidRPr="00B34E01">
          <w:rPr>
            <w:rStyle w:val="Hyperlink"/>
            <w:rFonts w:eastAsiaTheme="majorEastAsia"/>
            <w:i/>
            <w:color w:val="auto"/>
            <w:u w:val="none"/>
          </w:rPr>
          <w:t>et al</w:t>
        </w:r>
        <w:r w:rsidR="00B01E22" w:rsidRPr="00B34E01">
          <w:rPr>
            <w:rStyle w:val="Hyperlink"/>
            <w:rFonts w:eastAsiaTheme="majorEastAsia"/>
            <w:color w:val="auto"/>
            <w:u w:val="none"/>
          </w:rPr>
          <w:t>., 2018)</w:t>
        </w:r>
      </w:hyperlink>
      <w:r w:rsidR="007D7AC9" w:rsidRPr="00B34E01">
        <w:t>.</w:t>
      </w:r>
      <w:r w:rsidR="00A37218" w:rsidRPr="00B34E01">
        <w:t xml:space="preserve"> The study is therefore aimed </w:t>
      </w:r>
      <w:r w:rsidR="00641FD7">
        <w:t>at investigating</w:t>
      </w:r>
      <w:r w:rsidR="00A37218" w:rsidRPr="00B34E01">
        <w:t xml:space="preserve"> the prevalence and antibiotic susceptibility pattern of </w:t>
      </w:r>
      <w:r w:rsidR="00A37218" w:rsidRPr="00B34E01">
        <w:rPr>
          <w:i/>
        </w:rPr>
        <w:t>Salmonella</w:t>
      </w:r>
      <w:r w:rsidR="00A37218" w:rsidRPr="00B34E01">
        <w:t xml:space="preserve"> species isolated from patients attending Murtala Muhammad Specialist Hospital, Kano</w:t>
      </w:r>
      <w:r w:rsidR="00212050">
        <w:t>.</w:t>
      </w:r>
    </w:p>
    <w:p w14:paraId="6451A6C0" w14:textId="77777777" w:rsidR="002A6590" w:rsidRPr="00B34E01" w:rsidRDefault="007D7AC9" w:rsidP="00997189">
      <w:pPr>
        <w:pStyle w:val="Heading1"/>
        <w:spacing w:line="360" w:lineRule="auto"/>
        <w:rPr>
          <w:rFonts w:ascii="Times New Roman" w:hAnsi="Times New Roman" w:cs="Times New Roman"/>
          <w:b/>
          <w:color w:val="auto"/>
          <w:sz w:val="24"/>
          <w:szCs w:val="24"/>
        </w:rPr>
      </w:pPr>
      <w:bookmarkStart w:id="2" w:name="_Toc139238280"/>
      <w:r w:rsidRPr="00B34E01">
        <w:rPr>
          <w:rFonts w:ascii="Times New Roman" w:hAnsi="Times New Roman" w:cs="Times New Roman"/>
          <w:b/>
          <w:color w:val="auto"/>
          <w:sz w:val="24"/>
          <w:szCs w:val="24"/>
        </w:rPr>
        <w:t>MATERIALS AND METHODS</w:t>
      </w:r>
      <w:bookmarkStart w:id="3" w:name="_Toc139238281"/>
      <w:bookmarkEnd w:id="2"/>
    </w:p>
    <w:p w14:paraId="2B76ED4A" w14:textId="77777777" w:rsidR="007D7AC9" w:rsidRPr="00B34E01" w:rsidRDefault="007D7AC9" w:rsidP="00997189">
      <w:pPr>
        <w:pStyle w:val="Heading1"/>
        <w:spacing w:line="360" w:lineRule="auto"/>
        <w:rPr>
          <w:rFonts w:ascii="Times New Roman" w:hAnsi="Times New Roman" w:cs="Times New Roman"/>
          <w:b/>
          <w:color w:val="auto"/>
          <w:sz w:val="24"/>
          <w:szCs w:val="24"/>
        </w:rPr>
      </w:pPr>
      <w:r w:rsidRPr="00B34E01">
        <w:rPr>
          <w:rFonts w:ascii="Times New Roman" w:hAnsi="Times New Roman" w:cs="Times New Roman"/>
          <w:b/>
          <w:bCs/>
          <w:color w:val="auto"/>
          <w:sz w:val="24"/>
          <w:szCs w:val="24"/>
        </w:rPr>
        <w:t>Study Area</w:t>
      </w:r>
      <w:bookmarkEnd w:id="3"/>
    </w:p>
    <w:p w14:paraId="0C7A0C0C" w14:textId="18184917" w:rsidR="007D7AC9" w:rsidRPr="00B34E01" w:rsidRDefault="007D7AC9" w:rsidP="00997189">
      <w:pPr>
        <w:spacing w:after="0" w:line="360" w:lineRule="auto"/>
        <w:jc w:val="both"/>
        <w:rPr>
          <w:rFonts w:ascii="Times New Roman" w:hAnsi="Times New Roman" w:cs="Times New Roman"/>
          <w:sz w:val="24"/>
          <w:szCs w:val="24"/>
        </w:rPr>
      </w:pPr>
      <w:r w:rsidRPr="00B34E01">
        <w:rPr>
          <w:rFonts w:ascii="Times New Roman" w:hAnsi="Times New Roman" w:cs="Times New Roman"/>
          <w:sz w:val="24"/>
          <w:szCs w:val="24"/>
        </w:rPr>
        <w:t>The study was carried out at the Microbiology Laboratories of Murtala Muhammad Specialist Hospital, Kano and the Bayero University Kano. Murtala Muhammad Specialist Hospital is one of the oldest government</w:t>
      </w:r>
      <w:r w:rsidR="00641FD7">
        <w:rPr>
          <w:rFonts w:ascii="Times New Roman" w:hAnsi="Times New Roman" w:cs="Times New Roman"/>
          <w:sz w:val="24"/>
          <w:szCs w:val="24"/>
        </w:rPr>
        <w:t>-</w:t>
      </w:r>
      <w:r w:rsidRPr="00B34E01">
        <w:rPr>
          <w:rFonts w:ascii="Times New Roman" w:hAnsi="Times New Roman" w:cs="Times New Roman"/>
          <w:sz w:val="24"/>
          <w:szCs w:val="24"/>
        </w:rPr>
        <w:t>owned hospitals in Kano State located in the ancient city of Kano on 12</w:t>
      </w:r>
      <w:r w:rsidRPr="00B34E01">
        <w:rPr>
          <w:rFonts w:ascii="Times New Roman" w:hAnsi="Times New Roman" w:cs="Times New Roman"/>
          <w:sz w:val="24"/>
          <w:szCs w:val="24"/>
          <w:vertAlign w:val="superscript"/>
        </w:rPr>
        <w:t>0</w:t>
      </w:r>
      <w:r w:rsidRPr="00B34E01">
        <w:rPr>
          <w:rFonts w:ascii="Times New Roman" w:hAnsi="Times New Roman" w:cs="Times New Roman"/>
          <w:sz w:val="24"/>
          <w:szCs w:val="24"/>
        </w:rPr>
        <w:t>00’N8</w:t>
      </w:r>
      <w:r w:rsidRPr="00B34E01">
        <w:rPr>
          <w:rFonts w:ascii="Times New Roman" w:hAnsi="Times New Roman" w:cs="Times New Roman"/>
          <w:sz w:val="24"/>
          <w:szCs w:val="24"/>
          <w:vertAlign w:val="superscript"/>
        </w:rPr>
        <w:t>0</w:t>
      </w:r>
      <w:r w:rsidRPr="00B34E01">
        <w:rPr>
          <w:rFonts w:ascii="Times New Roman" w:hAnsi="Times New Roman" w:cs="Times New Roman"/>
          <w:sz w:val="24"/>
          <w:szCs w:val="24"/>
        </w:rPr>
        <w:t>31’E. The hospital contains a wide range of departments, including Radiology, Laboratory Services, Pediatrics, Surgery, Internal Medicine, and Obstetrics &amp; Gynecology. Additionally, it has an emergency room that is open twenty-four hours a day, seven days a week.</w:t>
      </w:r>
    </w:p>
    <w:p w14:paraId="01E0AA81" w14:textId="77777777" w:rsidR="007D7AC9" w:rsidRPr="00B34E01" w:rsidRDefault="007D7AC9" w:rsidP="00997189">
      <w:pPr>
        <w:pStyle w:val="Heading1"/>
        <w:spacing w:line="360" w:lineRule="auto"/>
        <w:jc w:val="both"/>
        <w:rPr>
          <w:rFonts w:ascii="Times New Roman" w:hAnsi="Times New Roman" w:cs="Times New Roman"/>
          <w:b/>
          <w:bCs/>
          <w:color w:val="auto"/>
          <w:sz w:val="24"/>
          <w:szCs w:val="24"/>
        </w:rPr>
      </w:pPr>
      <w:bookmarkStart w:id="4" w:name="_Toc136915120"/>
      <w:bookmarkStart w:id="5" w:name="_Toc139238283"/>
      <w:r w:rsidRPr="00B34E01">
        <w:rPr>
          <w:rFonts w:ascii="Times New Roman" w:hAnsi="Times New Roman" w:cs="Times New Roman"/>
          <w:b/>
          <w:bCs/>
          <w:color w:val="auto"/>
          <w:sz w:val="24"/>
          <w:szCs w:val="24"/>
          <w:shd w:val="clear" w:color="auto" w:fill="FFFFFF"/>
        </w:rPr>
        <w:lastRenderedPageBreak/>
        <w:t>Sampling Procedure and Sample Size Determination</w:t>
      </w:r>
      <w:bookmarkEnd w:id="4"/>
      <w:bookmarkEnd w:id="5"/>
    </w:p>
    <w:p w14:paraId="22F9C240" w14:textId="033DF6B2" w:rsidR="00C42C95" w:rsidRPr="00B34E01" w:rsidRDefault="007D7AC9" w:rsidP="00997189">
      <w:pPr>
        <w:pStyle w:val="NormalWeb"/>
        <w:shd w:val="clear" w:color="auto" w:fill="FFFFFF"/>
        <w:spacing w:before="0" w:beforeAutospacing="0" w:after="0" w:afterAutospacing="0" w:line="360" w:lineRule="auto"/>
        <w:jc w:val="both"/>
      </w:pPr>
      <w:r w:rsidRPr="00B34E01">
        <w:rPr>
          <w:shd w:val="clear" w:color="auto" w:fill="FFFFFF"/>
        </w:rPr>
        <w:t>The study pa</w:t>
      </w:r>
      <w:r w:rsidR="00622CFE" w:rsidRPr="00B34E01">
        <w:rPr>
          <w:shd w:val="clear" w:color="auto" w:fill="FFFFFF"/>
        </w:rPr>
        <w:t>rticipan</w:t>
      </w:r>
      <w:r w:rsidR="00C42C95" w:rsidRPr="00B34E01">
        <w:rPr>
          <w:shd w:val="clear" w:color="auto" w:fill="FFFFFF"/>
        </w:rPr>
        <w:t>t</w:t>
      </w:r>
      <w:r w:rsidRPr="00B34E01">
        <w:rPr>
          <w:shd w:val="clear" w:color="auto" w:fill="FFFFFF"/>
        </w:rPr>
        <w:t xml:space="preserve">s were selected using </w:t>
      </w:r>
      <w:r w:rsidR="00622CFE" w:rsidRPr="00B34E01">
        <w:rPr>
          <w:shd w:val="clear" w:color="auto" w:fill="FFFFFF"/>
        </w:rPr>
        <w:t>multi-stage</w:t>
      </w:r>
      <w:r w:rsidRPr="00B34E01">
        <w:rPr>
          <w:shd w:val="clear" w:color="auto" w:fill="FFFFFF"/>
        </w:rPr>
        <w:t xml:space="preserve"> sampling. A total of 400 patients were selected using the Fisher formula</w:t>
      </w:r>
      <w:r w:rsidR="00C42C95" w:rsidRPr="00B34E01">
        <w:rPr>
          <w:shd w:val="clear" w:color="auto" w:fill="FFFFFF"/>
        </w:rPr>
        <w:t xml:space="preserve"> (n = z</w:t>
      </w:r>
      <w:r w:rsidR="00C42C95" w:rsidRPr="00B34E01">
        <w:rPr>
          <w:shd w:val="clear" w:color="auto" w:fill="FFFFFF"/>
          <w:vertAlign w:val="superscript"/>
        </w:rPr>
        <w:t>2</w:t>
      </w:r>
      <w:r w:rsidR="00C42C95" w:rsidRPr="00B34E01">
        <w:rPr>
          <w:shd w:val="clear" w:color="auto" w:fill="FFFFFF"/>
        </w:rPr>
        <w:t xml:space="preserve"> p (1-p)</w:t>
      </w:r>
      <m:oMath>
        <m:r>
          <w:rPr>
            <w:rFonts w:ascii="Cambria Math" w:hAnsi="Cambria Math"/>
            <w:shd w:val="clear" w:color="auto" w:fill="FFFFFF"/>
          </w:rPr>
          <m:t xml:space="preserve"> ÷ </m:t>
        </m:r>
      </m:oMath>
      <w:r w:rsidR="00C42C95" w:rsidRPr="00B34E01">
        <w:rPr>
          <w:shd w:val="clear" w:color="auto" w:fill="FFFFFF"/>
        </w:rPr>
        <w:t>d</w:t>
      </w:r>
      <w:r w:rsidR="00C42C95" w:rsidRPr="00B34E01">
        <w:rPr>
          <w:shd w:val="clear" w:color="auto" w:fill="FFFFFF"/>
          <w:vertAlign w:val="superscript"/>
        </w:rPr>
        <w:t>2</w:t>
      </w:r>
      <w:r w:rsidR="00C42C95" w:rsidRPr="00B34E01">
        <w:rPr>
          <w:shd w:val="clear" w:color="auto" w:fill="FFFFFF"/>
        </w:rPr>
        <w:t>)</w:t>
      </w:r>
      <w:r w:rsidRPr="00B34E01">
        <w:rPr>
          <w:shd w:val="clear" w:color="auto" w:fill="FFFFFF"/>
        </w:rPr>
        <w:t xml:space="preserve"> and a prevalence of 50% was used reported by </w:t>
      </w:r>
      <w:hyperlink r:id="rId14" w:history="1">
        <w:r w:rsidR="002A7178" w:rsidRPr="00B34E01">
          <w:rPr>
            <w:rStyle w:val="Hyperlink"/>
            <w:rFonts w:eastAsiaTheme="majorEastAsia"/>
            <w:color w:val="000000"/>
            <w:u w:val="none"/>
          </w:rPr>
          <w:t>Jung, (2014)</w:t>
        </w:r>
      </w:hyperlink>
      <w:r w:rsidRPr="00B34E01">
        <w:t>:</w:t>
      </w:r>
      <w:r w:rsidR="00C42C95" w:rsidRPr="00B34E01">
        <w:t xml:space="preserve"> </w:t>
      </w:r>
    </w:p>
    <w:p w14:paraId="48887C0D" w14:textId="77777777" w:rsidR="00637E13" w:rsidRPr="00B34E01" w:rsidRDefault="00637E13" w:rsidP="00637E13">
      <w:pPr>
        <w:pStyle w:val="NormalWeb"/>
        <w:shd w:val="clear" w:color="auto" w:fill="FFFFFF"/>
        <w:spacing w:before="0" w:beforeAutospacing="0" w:after="0" w:afterAutospacing="0"/>
        <w:jc w:val="both"/>
      </w:pPr>
      <w:r w:rsidRPr="00B34E01">
        <w:rPr>
          <w:shd w:val="clear" w:color="auto" w:fill="FFFFFF"/>
        </w:rPr>
        <w:t>n = desired sample size </w:t>
      </w:r>
    </w:p>
    <w:p w14:paraId="370BC754" w14:textId="77777777" w:rsidR="00637E13" w:rsidRPr="00B34E01" w:rsidRDefault="00637E13" w:rsidP="00637E13">
      <w:pPr>
        <w:pStyle w:val="NormalWeb"/>
        <w:spacing w:before="0" w:beforeAutospacing="0" w:after="0" w:afterAutospacing="0"/>
        <w:jc w:val="both"/>
      </w:pPr>
      <w:r w:rsidRPr="00B34E01">
        <w:rPr>
          <w:shd w:val="clear" w:color="auto" w:fill="FFFFFF"/>
        </w:rPr>
        <w:t>z = the standard normal deviate at 95% confidence interval (=1.96).</w:t>
      </w:r>
    </w:p>
    <w:p w14:paraId="59EABBBA" w14:textId="77777777" w:rsidR="00637E13" w:rsidRPr="00B34E01" w:rsidRDefault="00637E13" w:rsidP="00637E13">
      <w:pPr>
        <w:pStyle w:val="NormalWeb"/>
        <w:spacing w:before="0" w:beforeAutospacing="0" w:after="0" w:afterAutospacing="0"/>
        <w:jc w:val="both"/>
      </w:pPr>
      <w:r w:rsidRPr="00B34E01">
        <w:rPr>
          <w:shd w:val="clear" w:color="auto" w:fill="FFFFFF"/>
        </w:rPr>
        <w:t xml:space="preserve">  p = the prevalence value = 50% = 0.5</w:t>
      </w:r>
    </w:p>
    <w:p w14:paraId="1D30C316" w14:textId="77777777" w:rsidR="00637E13" w:rsidRPr="00B34E01" w:rsidRDefault="00637E13" w:rsidP="00637E13">
      <w:pPr>
        <w:pStyle w:val="NormalWeb"/>
        <w:spacing w:before="0" w:beforeAutospacing="0" w:after="0" w:afterAutospacing="0"/>
        <w:jc w:val="both"/>
      </w:pPr>
      <w:r w:rsidRPr="00B34E01">
        <w:rPr>
          <w:shd w:val="clear" w:color="auto" w:fill="FFFFFF"/>
        </w:rPr>
        <w:t xml:space="preserve"> q = 1-p = 0.5</w:t>
      </w:r>
    </w:p>
    <w:p w14:paraId="7B2DB3B9" w14:textId="7AC99F06" w:rsidR="00637E13" w:rsidRPr="00B34E01" w:rsidRDefault="00637E13" w:rsidP="00637E13">
      <w:pPr>
        <w:pStyle w:val="NormalWeb"/>
        <w:spacing w:before="0" w:beforeAutospacing="0" w:after="0" w:afterAutospacing="0"/>
        <w:jc w:val="both"/>
      </w:pPr>
      <w:r w:rsidRPr="00B34E01">
        <w:rPr>
          <w:shd w:val="clear" w:color="auto" w:fill="FFFFFF"/>
        </w:rPr>
        <w:t>d = level of precision (set at + or-5% or 0.05).</w:t>
      </w:r>
    </w:p>
    <w:p w14:paraId="629DCB3F" w14:textId="77777777" w:rsidR="007D7AC9" w:rsidRPr="00B34E01" w:rsidRDefault="00C42C95" w:rsidP="00637E13">
      <w:pPr>
        <w:pStyle w:val="NormalWeb"/>
        <w:shd w:val="clear" w:color="auto" w:fill="FFFFFF"/>
        <w:spacing w:before="0" w:beforeAutospacing="0" w:after="0" w:afterAutospacing="0"/>
        <w:jc w:val="both"/>
        <w:rPr>
          <w:shd w:val="clear" w:color="auto" w:fill="FFFFFF"/>
          <w:vertAlign w:val="superscript"/>
        </w:rPr>
      </w:pPr>
      <w:r w:rsidRPr="00B34E01">
        <w:rPr>
          <w:shd w:val="clear" w:color="auto" w:fill="FFFFFF"/>
        </w:rPr>
        <w:t>n = (1.96</w:t>
      </w:r>
      <w:r w:rsidRPr="00B34E01">
        <w:rPr>
          <w:shd w:val="clear" w:color="auto" w:fill="FFFFFF"/>
          <w:vertAlign w:val="superscript"/>
        </w:rPr>
        <w:t>2</w:t>
      </w:r>
      <w:r w:rsidRPr="00B34E01">
        <w:rPr>
          <w:shd w:val="clear" w:color="auto" w:fill="FFFFFF"/>
        </w:rPr>
        <w:t>) (0.5) (1-0.5)</w:t>
      </w:r>
      <w:r w:rsidRPr="00B34E01">
        <w:rPr>
          <w:i/>
          <w:shd w:val="clear" w:color="auto" w:fill="FFFFFF"/>
        </w:rPr>
        <w:t xml:space="preserve"> </w:t>
      </w:r>
      <m:oMath>
        <m:r>
          <w:rPr>
            <w:rFonts w:ascii="Cambria Math" w:hAnsi="Cambria Math"/>
            <w:shd w:val="clear" w:color="auto" w:fill="FFFFFF"/>
          </w:rPr>
          <m:t xml:space="preserve">÷ </m:t>
        </m:r>
      </m:oMath>
      <w:r w:rsidRPr="00B34E01">
        <w:rPr>
          <w:shd w:val="clear" w:color="auto" w:fill="FFFFFF"/>
        </w:rPr>
        <w:t>(0.05)</w:t>
      </w:r>
      <w:r w:rsidRPr="00B34E01">
        <w:rPr>
          <w:shd w:val="clear" w:color="auto" w:fill="FFFFFF"/>
          <w:vertAlign w:val="superscript"/>
        </w:rPr>
        <w:t xml:space="preserve">2 </w:t>
      </w:r>
      <w:r w:rsidRPr="00B34E01">
        <w:rPr>
          <w:shd w:val="clear" w:color="auto" w:fill="FFFFFF"/>
        </w:rPr>
        <w:t>= 384.16</w:t>
      </w:r>
    </w:p>
    <w:p w14:paraId="5A8B10FE" w14:textId="77777777" w:rsidR="007D7AC9" w:rsidRPr="00B34E01" w:rsidRDefault="00C42C95" w:rsidP="00637E13">
      <w:pPr>
        <w:pStyle w:val="NormalWeb"/>
        <w:spacing w:before="240" w:beforeAutospacing="0" w:after="0" w:afterAutospacing="0" w:line="360" w:lineRule="auto"/>
        <w:jc w:val="both"/>
      </w:pPr>
      <w:r w:rsidRPr="00B34E01">
        <w:rPr>
          <w:shd w:val="clear" w:color="auto" w:fill="FFFFFF"/>
        </w:rPr>
        <w:t xml:space="preserve">At total of 384 samples was calculated but in order to </w:t>
      </w:r>
      <w:r w:rsidR="007D7AC9" w:rsidRPr="00B34E01">
        <w:rPr>
          <w:shd w:val="clear" w:color="auto" w:fill="FFFFFF"/>
        </w:rPr>
        <w:t>cover for a non-compliance, a total number of samples for the study was rounded up to 400</w:t>
      </w:r>
    </w:p>
    <w:p w14:paraId="2417C9B3" w14:textId="77777777" w:rsidR="007D7AC9" w:rsidRPr="00B34E01" w:rsidRDefault="007D7AC9" w:rsidP="00997189">
      <w:pPr>
        <w:pStyle w:val="Heading1"/>
        <w:spacing w:line="360" w:lineRule="auto"/>
        <w:jc w:val="both"/>
        <w:rPr>
          <w:rFonts w:ascii="Times New Roman" w:hAnsi="Times New Roman" w:cs="Times New Roman"/>
          <w:b/>
          <w:bCs/>
          <w:color w:val="auto"/>
          <w:sz w:val="24"/>
          <w:szCs w:val="24"/>
        </w:rPr>
      </w:pPr>
      <w:bookmarkStart w:id="6" w:name="_Toc139238284"/>
      <w:r w:rsidRPr="00B34E01">
        <w:rPr>
          <w:rFonts w:ascii="Times New Roman" w:hAnsi="Times New Roman" w:cs="Times New Roman"/>
          <w:b/>
          <w:bCs/>
          <w:color w:val="auto"/>
          <w:sz w:val="24"/>
          <w:szCs w:val="24"/>
        </w:rPr>
        <w:t>Sample Collection</w:t>
      </w:r>
      <w:bookmarkEnd w:id="6"/>
    </w:p>
    <w:p w14:paraId="3FA1A14F" w14:textId="429951D5" w:rsidR="007D7AC9" w:rsidRPr="00B34E01" w:rsidRDefault="007D7AC9" w:rsidP="00997189">
      <w:pPr>
        <w:pStyle w:val="NormalWeb"/>
        <w:spacing w:before="0" w:beforeAutospacing="0" w:after="0" w:afterAutospacing="0" w:line="360" w:lineRule="auto"/>
        <w:jc w:val="both"/>
      </w:pPr>
      <w:r w:rsidRPr="00B34E01">
        <w:t xml:space="preserve">A total of 400 stool samples were collected from patients who were positive for </w:t>
      </w:r>
      <w:r w:rsidR="00CD6AA2" w:rsidRPr="00B34E01">
        <w:rPr>
          <w:i/>
          <w:iCs/>
        </w:rPr>
        <w:t xml:space="preserve">Salmonella </w:t>
      </w:r>
      <w:r w:rsidR="003C124D" w:rsidRPr="00B34E01">
        <w:rPr>
          <w:iCs/>
        </w:rPr>
        <w:t>species</w:t>
      </w:r>
      <w:r w:rsidR="00C11F34" w:rsidRPr="00B34E01">
        <w:rPr>
          <w:iCs/>
        </w:rPr>
        <w:t xml:space="preserve"> </w:t>
      </w:r>
      <w:r w:rsidRPr="00B34E01">
        <w:t>antigen according to their hospital record</w:t>
      </w:r>
      <w:r w:rsidR="00641FD7">
        <w:t>s</w:t>
      </w:r>
      <w:r w:rsidRPr="00B34E01">
        <w:t xml:space="preserve">. Sample bottles were given to the patients for their stool samples. The samples collected were immediately inoculated in </w:t>
      </w:r>
      <w:r w:rsidR="007459E9" w:rsidRPr="00B34E01">
        <w:t>S</w:t>
      </w:r>
      <w:r w:rsidRPr="00B34E01">
        <w:t>alenite F broth. The process was repeated for a period of 4 weeks until 400 stool samples were collected.</w:t>
      </w:r>
    </w:p>
    <w:p w14:paraId="36B61FE7" w14:textId="77777777" w:rsidR="007D7AC9" w:rsidRPr="00B34E01" w:rsidRDefault="007D7AC9" w:rsidP="00997189">
      <w:pPr>
        <w:pStyle w:val="Heading1"/>
        <w:spacing w:line="360" w:lineRule="auto"/>
        <w:rPr>
          <w:rFonts w:ascii="Times New Roman" w:hAnsi="Times New Roman" w:cs="Times New Roman"/>
          <w:b/>
          <w:bCs/>
          <w:color w:val="auto"/>
          <w:sz w:val="24"/>
          <w:szCs w:val="24"/>
        </w:rPr>
      </w:pPr>
      <w:bookmarkStart w:id="7" w:name="_Toc139238285"/>
      <w:r w:rsidRPr="00B34E01">
        <w:rPr>
          <w:rFonts w:ascii="Times New Roman" w:hAnsi="Times New Roman" w:cs="Times New Roman"/>
          <w:b/>
          <w:bCs/>
          <w:color w:val="auto"/>
          <w:sz w:val="24"/>
          <w:szCs w:val="24"/>
        </w:rPr>
        <w:t>Isolation and Identification</w:t>
      </w:r>
      <w:bookmarkEnd w:id="7"/>
    </w:p>
    <w:p w14:paraId="03F2B059" w14:textId="0C148561" w:rsidR="007D7AC9" w:rsidRPr="00B34E01" w:rsidRDefault="007D7AC9" w:rsidP="00997189">
      <w:pPr>
        <w:pStyle w:val="NormalWeb"/>
        <w:spacing w:before="0" w:beforeAutospacing="0" w:after="0" w:afterAutospacing="0" w:line="360" w:lineRule="auto"/>
        <w:jc w:val="both"/>
      </w:pPr>
      <w:r w:rsidRPr="00B34E01">
        <w:t xml:space="preserve">The stool samples collected were enriched by aseptically inoculating them using a sterile wire-loop into Selenite F broth (Smith </w:t>
      </w:r>
      <w:r w:rsidRPr="00B34E01">
        <w:rPr>
          <w:i/>
          <w:iCs/>
        </w:rPr>
        <w:t>et al</w:t>
      </w:r>
      <w:r w:rsidRPr="00B34E01">
        <w:t>., 2011) and incubated for 24hrs at 37</w:t>
      </w:r>
      <w:r w:rsidRPr="00B34E01">
        <w:rPr>
          <w:vertAlign w:val="superscript"/>
        </w:rPr>
        <w:t>o</w:t>
      </w:r>
      <w:r w:rsidRPr="00B34E01">
        <w:t xml:space="preserve">C in an incubator. </w:t>
      </w:r>
      <w:r w:rsidRPr="00B34E01">
        <w:rPr>
          <w:rFonts w:eastAsia="PalatinoLinotype-Roman"/>
        </w:rPr>
        <w:t xml:space="preserve">The enriched bacterial cultures </w:t>
      </w:r>
      <w:r w:rsidRPr="00B34E01">
        <w:t>were aseptically</w:t>
      </w:r>
      <w:r w:rsidRPr="00B34E01">
        <w:rPr>
          <w:rFonts w:eastAsia="PalatinoLinotype-Roman"/>
        </w:rPr>
        <w:t xml:space="preserve"> inoculated with a sterile wire-loop onto </w:t>
      </w:r>
      <w:r w:rsidRPr="00B34E01">
        <w:rPr>
          <w:rFonts w:eastAsia="PalatinoLinotype-Roman"/>
          <w:i/>
          <w:iCs/>
        </w:rPr>
        <w:t>Salmonella-Shigaella</w:t>
      </w:r>
      <w:r w:rsidRPr="00B34E01">
        <w:rPr>
          <w:rFonts w:eastAsia="PalatinoLinotype-Roman"/>
        </w:rPr>
        <w:t xml:space="preserve"> Agar and MacConkey Agar using </w:t>
      </w:r>
      <w:r w:rsidR="00641FD7">
        <w:rPr>
          <w:rFonts w:eastAsia="PalatinoLinotype-Roman"/>
        </w:rPr>
        <w:t xml:space="preserve">the </w:t>
      </w:r>
      <w:r w:rsidRPr="00B34E01">
        <w:rPr>
          <w:rFonts w:eastAsia="PalatinoLinotype-Roman"/>
        </w:rPr>
        <w:t xml:space="preserve">streak plate method and </w:t>
      </w:r>
      <w:r w:rsidRPr="00B34E01">
        <w:t>incubated for 24hrs at 37</w:t>
      </w:r>
      <w:r w:rsidRPr="00B34E01">
        <w:rPr>
          <w:vertAlign w:val="superscript"/>
        </w:rPr>
        <w:t>o</w:t>
      </w:r>
      <w:r w:rsidRPr="00B34E01">
        <w:t xml:space="preserve">C in an incubator. The bacterial pure isolates obtained were preserved for identification and other tests. </w:t>
      </w:r>
      <w:r w:rsidRPr="00B34E01">
        <w:rPr>
          <w:rFonts w:eastAsia="PalatinoLinotype-Roman"/>
        </w:rPr>
        <w:t xml:space="preserve">The pure bacterial isolates produced </w:t>
      </w:r>
      <w:r w:rsidRPr="00B34E01">
        <w:t>were</w:t>
      </w:r>
      <w:r w:rsidRPr="00B34E01">
        <w:rPr>
          <w:rFonts w:eastAsia="PalatinoLinotype-Roman"/>
        </w:rPr>
        <w:t xml:space="preserve"> identified based on morphological and biochemical </w:t>
      </w:r>
      <w:r w:rsidR="00CA5336" w:rsidRPr="00B34E01">
        <w:rPr>
          <w:rFonts w:eastAsia="PalatinoLinotype-Roman"/>
        </w:rPr>
        <w:t>characteristics</w:t>
      </w:r>
      <w:r w:rsidRPr="00B34E01">
        <w:rPr>
          <w:rFonts w:eastAsia="PalatinoLinotype-Roman"/>
        </w:rPr>
        <w:t xml:space="preserve"> that included TSI, urease, indole, motility, and citrate utilization tests (Lestari </w:t>
      </w:r>
      <w:r w:rsidRPr="00B34E01">
        <w:rPr>
          <w:rFonts w:eastAsia="PalatinoLinotype-Roman"/>
          <w:i/>
          <w:iCs/>
        </w:rPr>
        <w:t xml:space="preserve">et al., </w:t>
      </w:r>
      <w:r w:rsidRPr="00B34E01">
        <w:rPr>
          <w:rFonts w:eastAsia="PalatinoLinotype-Roman"/>
        </w:rPr>
        <w:t>2016).</w:t>
      </w:r>
    </w:p>
    <w:p w14:paraId="1063E821" w14:textId="77777777" w:rsidR="007D7AC9" w:rsidRPr="00B34E01" w:rsidRDefault="007D7AC9" w:rsidP="00997189">
      <w:pPr>
        <w:pStyle w:val="Heading1"/>
        <w:spacing w:line="360" w:lineRule="auto"/>
        <w:jc w:val="both"/>
        <w:rPr>
          <w:rFonts w:ascii="Times New Roman" w:eastAsia="PalatinoLinotype-Roman" w:hAnsi="Times New Roman" w:cs="Times New Roman"/>
          <w:b/>
          <w:bCs/>
          <w:color w:val="auto"/>
          <w:sz w:val="24"/>
          <w:szCs w:val="24"/>
        </w:rPr>
      </w:pPr>
      <w:bookmarkStart w:id="8" w:name="_Toc139238289"/>
      <w:r w:rsidRPr="00B34E01">
        <w:rPr>
          <w:rFonts w:ascii="Times New Roman" w:eastAsia="PalatinoLinotype-Roman" w:hAnsi="Times New Roman" w:cs="Times New Roman"/>
          <w:b/>
          <w:bCs/>
          <w:color w:val="auto"/>
          <w:sz w:val="24"/>
          <w:szCs w:val="24"/>
        </w:rPr>
        <w:t>Antibiotic Susceptibility Testing</w:t>
      </w:r>
      <w:bookmarkEnd w:id="8"/>
    </w:p>
    <w:p w14:paraId="63CCEA64" w14:textId="77777777" w:rsidR="007D7AC9" w:rsidRPr="00B34E01" w:rsidRDefault="007D7AC9" w:rsidP="00997189">
      <w:pPr>
        <w:pStyle w:val="NormalWeb"/>
        <w:spacing w:before="0" w:beforeAutospacing="0" w:after="0" w:afterAutospacing="0" w:line="360" w:lineRule="auto"/>
        <w:jc w:val="both"/>
        <w:rPr>
          <w:rFonts w:eastAsia="PalatinoLinotype-Roman"/>
        </w:rPr>
      </w:pPr>
      <w:r w:rsidRPr="00B34E01">
        <w:rPr>
          <w:rFonts w:eastAsia="PalatinoLinotype-Roman"/>
        </w:rPr>
        <w:t xml:space="preserve">The antibiotic susceptibility test </w:t>
      </w:r>
      <w:r w:rsidRPr="00B34E01">
        <w:t>was</w:t>
      </w:r>
      <w:r w:rsidRPr="00B34E01">
        <w:rPr>
          <w:rFonts w:eastAsia="PalatinoLinotype-Roman"/>
        </w:rPr>
        <w:t xml:space="preserve"> performed using the Kirby-Bauer disc diffusion method where commercially prepared antibiotics were used. The antibiotics were single disc antibiotics of Thermo Scientific Oxoid brands. The selected antibiotics comprises of Ampicillin (10µg), </w:t>
      </w:r>
      <w:r w:rsidR="00542609" w:rsidRPr="00B34E01">
        <w:rPr>
          <w:shd w:val="clear" w:color="auto" w:fill="FFFFFF"/>
        </w:rPr>
        <w:t>Azithromycin (15 </w:t>
      </w:r>
      <w:r w:rsidR="00542609" w:rsidRPr="00B34E01">
        <w:rPr>
          <w:i/>
          <w:iCs/>
          <w:shd w:val="clear" w:color="auto" w:fill="FFFFFF"/>
        </w:rPr>
        <w:t>μ</w:t>
      </w:r>
      <w:r w:rsidR="00542609" w:rsidRPr="00B34E01">
        <w:rPr>
          <w:shd w:val="clear" w:color="auto" w:fill="FFFFFF"/>
        </w:rPr>
        <w:t xml:space="preserve">g), </w:t>
      </w:r>
      <w:r w:rsidRPr="00B34E01">
        <w:rPr>
          <w:rFonts w:eastAsia="PalatinoLinotype-Roman"/>
        </w:rPr>
        <w:t xml:space="preserve">Tazobactam (100 µg), Cefotaxime (30 µg), Aztreonam (15 µg), </w:t>
      </w:r>
      <w:r w:rsidRPr="00B34E01">
        <w:rPr>
          <w:rFonts w:eastAsia="PalatinoLinotype-Roman"/>
        </w:rPr>
        <w:lastRenderedPageBreak/>
        <w:t xml:space="preserve">Ciprofloxacin (5µg) and Chloramphenicol (30 µg).  The resulting clear zones </w:t>
      </w:r>
      <w:r w:rsidRPr="00B34E01">
        <w:t>were</w:t>
      </w:r>
      <w:r w:rsidRPr="00B34E01">
        <w:rPr>
          <w:rFonts w:eastAsia="PalatinoLinotype-Roman"/>
        </w:rPr>
        <w:t xml:space="preserve"> grouped into susceptible groups (S), intermediates (I) or resistant (R) based on the break-points provided by CLSI 2016. </w:t>
      </w:r>
    </w:p>
    <w:p w14:paraId="4748E534" w14:textId="0A4D8853" w:rsidR="007D7AC9" w:rsidRPr="00B34E01" w:rsidRDefault="007D7AC9" w:rsidP="00997189">
      <w:pPr>
        <w:pStyle w:val="NormalWeb"/>
        <w:spacing w:before="0" w:beforeAutospacing="0" w:after="0" w:afterAutospacing="0" w:line="360" w:lineRule="auto"/>
        <w:jc w:val="both"/>
        <w:rPr>
          <w:rFonts w:eastAsia="PalatinoLinotype-Roman"/>
        </w:rPr>
      </w:pPr>
      <w:r w:rsidRPr="00B34E01">
        <w:rPr>
          <w:rFonts w:eastAsia="PalatinoLinotype-Roman"/>
          <w:i/>
          <w:iCs/>
        </w:rPr>
        <w:t xml:space="preserve">Salmonella </w:t>
      </w:r>
      <w:r w:rsidRPr="00B34E01">
        <w:rPr>
          <w:rFonts w:eastAsia="PalatinoLinotype-Roman"/>
        </w:rPr>
        <w:t>isolates in agar slants were subculture by inoculating into nutrient agar plates for the organisms to regain viability and incubated for 24hrs at 37</w:t>
      </w:r>
      <w:r w:rsidRPr="00B34E01">
        <w:rPr>
          <w:rFonts w:eastAsia="PalatinoLinotype-Roman"/>
          <w:vertAlign w:val="superscript"/>
        </w:rPr>
        <w:t>o</w:t>
      </w:r>
      <w:r w:rsidRPr="00B34E01">
        <w:rPr>
          <w:rFonts w:eastAsia="PalatinoLinotype-Roman"/>
        </w:rPr>
        <w:t xml:space="preserve">C.  Pure cultures from the overnight culture </w:t>
      </w:r>
      <w:r w:rsidRPr="00B34E01">
        <w:t>were inoculated into sterile tubes with normal saline and a turbid suspension of the inoculum was formed. The prepared inoculum was standardized by comparing with</w:t>
      </w:r>
      <w:r w:rsidRPr="00B34E01">
        <w:rPr>
          <w:rFonts w:eastAsia="PalatinoLinotype-Roman"/>
        </w:rPr>
        <w:t xml:space="preserve"> </w:t>
      </w:r>
      <w:r w:rsidR="00641FD7">
        <w:rPr>
          <w:rFonts w:eastAsia="PalatinoLinotype-Roman"/>
        </w:rPr>
        <w:t xml:space="preserve">a </w:t>
      </w:r>
      <w:r w:rsidRPr="00B34E01">
        <w:rPr>
          <w:rFonts w:eastAsia="PalatinoLinotype-Roman"/>
        </w:rPr>
        <w:t>prepared with BaSO</w:t>
      </w:r>
      <w:r w:rsidRPr="00B34E01">
        <w:rPr>
          <w:rFonts w:eastAsia="PalatinoLinotype-Roman"/>
          <w:vertAlign w:val="subscript"/>
        </w:rPr>
        <w:t>4</w:t>
      </w:r>
      <w:r w:rsidRPr="00B34E01">
        <w:rPr>
          <w:rFonts w:eastAsia="PalatinoLinotype-Roman"/>
        </w:rPr>
        <w:t xml:space="preserve"> solution equivalent to 0.5McFarland (1x10</w:t>
      </w:r>
      <w:r w:rsidRPr="00B34E01">
        <w:rPr>
          <w:rFonts w:eastAsia="PalatinoLinotype-Roman"/>
          <w:vertAlign w:val="superscript"/>
        </w:rPr>
        <w:t>8</w:t>
      </w:r>
      <w:r w:rsidRPr="00B34E01">
        <w:rPr>
          <w:rFonts w:eastAsia="PalatinoLinotype-Roman"/>
        </w:rPr>
        <w:t xml:space="preserve">CFU/mL) turbidity. </w:t>
      </w:r>
    </w:p>
    <w:p w14:paraId="528DE4CA" w14:textId="1ACD0F89" w:rsidR="007D7AC9" w:rsidRPr="00B34E01" w:rsidRDefault="007D7AC9" w:rsidP="00997189">
      <w:pPr>
        <w:pStyle w:val="NormalWeb"/>
        <w:spacing w:before="0" w:beforeAutospacing="0" w:after="0" w:afterAutospacing="0" w:line="360" w:lineRule="auto"/>
        <w:jc w:val="both"/>
      </w:pPr>
      <w:r w:rsidRPr="00B34E01">
        <w:rPr>
          <w:rFonts w:eastAsia="PalatinoLinotype-Roman"/>
        </w:rPr>
        <w:t xml:space="preserve">The standardized cultures </w:t>
      </w:r>
      <w:r w:rsidRPr="00B34E01">
        <w:t>were</w:t>
      </w:r>
      <w:r w:rsidRPr="00B34E01">
        <w:rPr>
          <w:rFonts w:eastAsia="PalatinoLinotype-Roman"/>
        </w:rPr>
        <w:t xml:space="preserve"> inoculated into sterile Mueller Hinton agar (MHA) plates using spread plate method with a sterile </w:t>
      </w:r>
      <w:r w:rsidR="00641FD7">
        <w:rPr>
          <w:rFonts w:eastAsia="PalatinoLinotype-Roman"/>
        </w:rPr>
        <w:t>cotton swab</w:t>
      </w:r>
      <w:r w:rsidRPr="00B34E01">
        <w:rPr>
          <w:rFonts w:eastAsia="PalatinoLinotype-Roman"/>
        </w:rPr>
        <w:t xml:space="preserve"> and allowed to stand for 5 minutes. The antibiotic-containing discs </w:t>
      </w:r>
      <w:r w:rsidRPr="00B34E01">
        <w:t>were</w:t>
      </w:r>
      <w:r w:rsidRPr="00B34E01">
        <w:rPr>
          <w:rFonts w:eastAsia="PalatinoLinotype-Roman"/>
        </w:rPr>
        <w:t xml:space="preserve"> placed on MHA culture plates, which had been dispersed with pure cultures, at a distance of 25-30 mm. Furthermore, the culture plates </w:t>
      </w:r>
      <w:r w:rsidRPr="00B34E01">
        <w:t>were</w:t>
      </w:r>
      <w:r w:rsidRPr="00B34E01">
        <w:rPr>
          <w:rFonts w:eastAsia="PalatinoLinotype-Roman"/>
        </w:rPr>
        <w:t xml:space="preserve"> incubated at 35ºC for 24hr </w:t>
      </w:r>
      <w:hyperlink r:id="rId15" w:history="1">
        <w:r w:rsidR="007459E9" w:rsidRPr="00B34E01">
          <w:rPr>
            <w:rStyle w:val="Hyperlink"/>
            <w:rFonts w:eastAsiaTheme="majorEastAsia"/>
            <w:color w:val="000000"/>
            <w:u w:val="none"/>
          </w:rPr>
          <w:t>(Musa et al., 2025)</w:t>
        </w:r>
      </w:hyperlink>
      <w:r w:rsidRPr="00B34E01">
        <w:t>. After incubation, the plates were examined for zones of inhibition and measured using ruler</w:t>
      </w:r>
      <w:r w:rsidR="007459E9" w:rsidRPr="00B34E01">
        <w:t xml:space="preserve"> and interpreted</w:t>
      </w:r>
      <w:r w:rsidRPr="00B34E01">
        <w:t>. Isolates that are resistant to more</w:t>
      </w:r>
      <w:r w:rsidR="0047318B" w:rsidRPr="00B34E01">
        <w:t xml:space="preserve"> </w:t>
      </w:r>
      <w:r w:rsidRPr="00B34E01">
        <w:t>than three (3) classes of antibiotics were considered multi</w:t>
      </w:r>
      <w:r w:rsidR="00641FD7">
        <w:t>drug-</w:t>
      </w:r>
      <w:r w:rsidRPr="00B34E01">
        <w:t>resistant.</w:t>
      </w:r>
    </w:p>
    <w:p w14:paraId="288EFE9D" w14:textId="77777777" w:rsidR="007D7AC9" w:rsidRPr="00B34E01" w:rsidRDefault="007D7AC9" w:rsidP="00997189">
      <w:pPr>
        <w:pStyle w:val="Heading1"/>
        <w:spacing w:line="360" w:lineRule="auto"/>
        <w:jc w:val="both"/>
        <w:rPr>
          <w:rFonts w:ascii="Times New Roman" w:eastAsia="PalatinoLinotype-Roman" w:hAnsi="Times New Roman" w:cs="Times New Roman"/>
          <w:b/>
          <w:bCs/>
          <w:color w:val="auto"/>
          <w:sz w:val="24"/>
          <w:szCs w:val="24"/>
        </w:rPr>
      </w:pPr>
      <w:bookmarkStart w:id="9" w:name="_Toc139238290"/>
      <w:r w:rsidRPr="00B34E01">
        <w:rPr>
          <w:rFonts w:ascii="Times New Roman" w:eastAsia="PalatinoLinotype-Roman" w:hAnsi="Times New Roman" w:cs="Times New Roman"/>
          <w:b/>
          <w:bCs/>
          <w:color w:val="auto"/>
          <w:sz w:val="24"/>
          <w:szCs w:val="24"/>
        </w:rPr>
        <w:t>Test for ESBL Production</w:t>
      </w:r>
      <w:bookmarkEnd w:id="9"/>
    </w:p>
    <w:p w14:paraId="10CA8FB9" w14:textId="30BAF4D9" w:rsidR="007D7AC9" w:rsidRPr="00B34E01" w:rsidRDefault="007D7AC9" w:rsidP="00997189">
      <w:pPr>
        <w:spacing w:after="0" w:line="360" w:lineRule="auto"/>
        <w:jc w:val="both"/>
        <w:rPr>
          <w:rFonts w:ascii="Times New Roman" w:eastAsia="Times New Roman" w:hAnsi="Times New Roman" w:cs="Times New Roman"/>
          <w:sz w:val="24"/>
          <w:szCs w:val="24"/>
        </w:rPr>
      </w:pPr>
      <w:r w:rsidRPr="00B34E01">
        <w:rPr>
          <w:rFonts w:ascii="Times New Roman" w:eastAsia="Times New Roman" w:hAnsi="Times New Roman" w:cs="Times New Roman"/>
          <w:sz w:val="24"/>
          <w:szCs w:val="24"/>
        </w:rPr>
        <w:t xml:space="preserve">All the MDR </w:t>
      </w:r>
      <w:r w:rsidR="00CD6AA2" w:rsidRPr="00B34E01">
        <w:rPr>
          <w:rFonts w:ascii="Times New Roman" w:eastAsia="Times New Roman" w:hAnsi="Times New Roman" w:cs="Times New Roman"/>
          <w:i/>
          <w:sz w:val="24"/>
          <w:szCs w:val="24"/>
        </w:rPr>
        <w:t xml:space="preserve">Salmonella </w:t>
      </w:r>
      <w:r w:rsidR="003C124D" w:rsidRPr="00B34E01">
        <w:rPr>
          <w:rFonts w:ascii="Times New Roman" w:eastAsia="Times New Roman" w:hAnsi="Times New Roman" w:cs="Times New Roman"/>
          <w:sz w:val="24"/>
          <w:szCs w:val="24"/>
        </w:rPr>
        <w:t>species</w:t>
      </w:r>
      <w:r w:rsidR="00151EC2" w:rsidRPr="00B34E01">
        <w:rPr>
          <w:rFonts w:ascii="Times New Roman" w:eastAsia="Times New Roman" w:hAnsi="Times New Roman" w:cs="Times New Roman"/>
          <w:sz w:val="24"/>
          <w:szCs w:val="24"/>
        </w:rPr>
        <w:t xml:space="preserve"> </w:t>
      </w:r>
      <w:r w:rsidRPr="00B34E01">
        <w:rPr>
          <w:rFonts w:ascii="Times New Roman" w:eastAsia="Times New Roman" w:hAnsi="Times New Roman" w:cs="Times New Roman"/>
          <w:sz w:val="24"/>
          <w:szCs w:val="24"/>
        </w:rPr>
        <w:t xml:space="preserve">isolates </w:t>
      </w:r>
      <w:r w:rsidRPr="00B34E01">
        <w:rPr>
          <w:rFonts w:ascii="Times New Roman" w:hAnsi="Times New Roman" w:cs="Times New Roman"/>
          <w:sz w:val="24"/>
          <w:szCs w:val="24"/>
        </w:rPr>
        <w:t>were</w:t>
      </w:r>
      <w:r w:rsidRPr="00B34E01">
        <w:rPr>
          <w:rFonts w:ascii="Times New Roman" w:eastAsia="Times New Roman" w:hAnsi="Times New Roman" w:cs="Times New Roman"/>
          <w:sz w:val="24"/>
          <w:szCs w:val="24"/>
        </w:rPr>
        <w:t xml:space="preserve"> screened for ESBL production using </w:t>
      </w:r>
      <w:r w:rsidRPr="00B34E01">
        <w:rPr>
          <w:rFonts w:ascii="Times New Roman" w:hAnsi="Times New Roman" w:cs="Times New Roman"/>
          <w:sz w:val="24"/>
          <w:szCs w:val="24"/>
        </w:rPr>
        <w:t>Ceftazidime</w:t>
      </w:r>
      <w:r w:rsidRPr="00B34E01">
        <w:rPr>
          <w:rFonts w:ascii="Times New Roman" w:eastAsia="Times New Roman" w:hAnsi="Times New Roman" w:cs="Times New Roman"/>
          <w:sz w:val="24"/>
          <w:szCs w:val="24"/>
        </w:rPr>
        <w:t xml:space="preserve"> (CAZ) and </w:t>
      </w:r>
      <w:r w:rsidRPr="00B34E01">
        <w:rPr>
          <w:rFonts w:ascii="Times New Roman" w:hAnsi="Times New Roman" w:cs="Times New Roman"/>
          <w:sz w:val="24"/>
          <w:szCs w:val="24"/>
        </w:rPr>
        <w:t>Cefotaxime</w:t>
      </w:r>
      <w:r w:rsidRPr="00B34E01">
        <w:rPr>
          <w:rFonts w:ascii="Times New Roman" w:eastAsia="Times New Roman" w:hAnsi="Times New Roman" w:cs="Times New Roman"/>
          <w:sz w:val="24"/>
          <w:szCs w:val="24"/>
        </w:rPr>
        <w:t xml:space="preserve"> (CTX) indicator discs. The isolates showing the zones of inhibition (ZoI) ≤ 22 mm and 27mm for CAZ and CTX respectively</w:t>
      </w:r>
      <w:r w:rsidR="00E33C01">
        <w:rPr>
          <w:rFonts w:ascii="Times New Roman" w:eastAsia="Times New Roman" w:hAnsi="Times New Roman" w:cs="Times New Roman"/>
          <w:sz w:val="24"/>
          <w:szCs w:val="24"/>
        </w:rPr>
        <w:t>,</w:t>
      </w:r>
      <w:r w:rsidRPr="00B34E01">
        <w:rPr>
          <w:rFonts w:ascii="Times New Roman" w:eastAsia="Times New Roman" w:hAnsi="Times New Roman" w:cs="Times New Roman"/>
          <w:sz w:val="24"/>
          <w:szCs w:val="24"/>
        </w:rPr>
        <w:t xml:space="preserve"> were further tested against </w:t>
      </w:r>
      <w:r w:rsidR="00E33C01">
        <w:rPr>
          <w:rFonts w:ascii="Times New Roman" w:eastAsia="Times New Roman" w:hAnsi="Times New Roman" w:cs="Times New Roman"/>
          <w:sz w:val="24"/>
          <w:szCs w:val="24"/>
        </w:rPr>
        <w:t xml:space="preserve">a </w:t>
      </w:r>
      <w:r w:rsidRPr="00B34E01">
        <w:rPr>
          <w:rFonts w:ascii="Times New Roman" w:eastAsia="Times New Roman" w:hAnsi="Times New Roman" w:cs="Times New Roman"/>
          <w:sz w:val="24"/>
          <w:szCs w:val="24"/>
        </w:rPr>
        <w:t xml:space="preserve">combination with Amoxicillin/Clavulanic acid (AMC). The isolates showing an increase in ZoI by greater than or equal to 5mm when evaluated against </w:t>
      </w:r>
      <w:r w:rsidR="00E33C01">
        <w:rPr>
          <w:rFonts w:ascii="Times New Roman" w:eastAsia="Times New Roman" w:hAnsi="Times New Roman" w:cs="Times New Roman"/>
          <w:sz w:val="24"/>
          <w:szCs w:val="24"/>
        </w:rPr>
        <w:t xml:space="preserve">the </w:t>
      </w:r>
      <w:r w:rsidRPr="00B34E01">
        <w:rPr>
          <w:rFonts w:ascii="Times New Roman" w:eastAsia="Times New Roman" w:hAnsi="Times New Roman" w:cs="Times New Roman"/>
          <w:sz w:val="24"/>
          <w:szCs w:val="24"/>
        </w:rPr>
        <w:t xml:space="preserve">combination with AMC were phenotypically considered as ESBL producers (Khalid </w:t>
      </w:r>
      <w:r w:rsidRPr="00B34E01">
        <w:rPr>
          <w:rFonts w:ascii="Times New Roman" w:eastAsia="Times New Roman" w:hAnsi="Times New Roman" w:cs="Times New Roman"/>
          <w:i/>
          <w:sz w:val="24"/>
          <w:szCs w:val="24"/>
        </w:rPr>
        <w:t>et al.,</w:t>
      </w:r>
      <w:r w:rsidRPr="00B34E01">
        <w:rPr>
          <w:rFonts w:ascii="Times New Roman" w:eastAsia="Times New Roman" w:hAnsi="Times New Roman" w:cs="Times New Roman"/>
          <w:sz w:val="24"/>
          <w:szCs w:val="24"/>
        </w:rPr>
        <w:t xml:space="preserve"> 2011). </w:t>
      </w:r>
    </w:p>
    <w:p w14:paraId="45F87902" w14:textId="7D3F815A" w:rsidR="007D7AC9" w:rsidRPr="00B34E01" w:rsidRDefault="007D7AC9" w:rsidP="00997189">
      <w:pPr>
        <w:spacing w:after="0" w:line="360" w:lineRule="auto"/>
        <w:jc w:val="both"/>
        <w:rPr>
          <w:rFonts w:ascii="Times New Roman" w:eastAsia="Times New Roman" w:hAnsi="Times New Roman" w:cs="Times New Roman"/>
          <w:sz w:val="24"/>
          <w:szCs w:val="24"/>
        </w:rPr>
      </w:pPr>
      <w:r w:rsidRPr="00B34E01">
        <w:rPr>
          <w:rFonts w:ascii="Times New Roman" w:eastAsia="Times New Roman" w:hAnsi="Times New Roman" w:cs="Times New Roman"/>
          <w:sz w:val="24"/>
          <w:szCs w:val="24"/>
        </w:rPr>
        <w:t xml:space="preserve">Double Disc Synergy Test (DDST) </w:t>
      </w:r>
      <w:r w:rsidRPr="00B34E01">
        <w:rPr>
          <w:rFonts w:ascii="Times New Roman" w:hAnsi="Times New Roman" w:cs="Times New Roman"/>
          <w:sz w:val="24"/>
          <w:szCs w:val="24"/>
        </w:rPr>
        <w:t>was</w:t>
      </w:r>
      <w:r w:rsidRPr="00B34E01">
        <w:rPr>
          <w:rFonts w:ascii="Times New Roman" w:eastAsia="Times New Roman" w:hAnsi="Times New Roman" w:cs="Times New Roman"/>
          <w:sz w:val="24"/>
          <w:szCs w:val="24"/>
        </w:rPr>
        <w:t xml:space="preserve"> performed by inoculating Mueller-Hinton (MH) agar with test isolates to give a semi</w:t>
      </w:r>
      <w:r w:rsidR="00E33C01">
        <w:rPr>
          <w:rFonts w:ascii="Times New Roman" w:eastAsia="Times New Roman" w:hAnsi="Times New Roman" w:cs="Times New Roman"/>
          <w:sz w:val="24"/>
          <w:szCs w:val="24"/>
        </w:rPr>
        <w:t>-</w:t>
      </w:r>
      <w:r w:rsidRPr="00B34E01">
        <w:rPr>
          <w:rFonts w:ascii="Times New Roman" w:eastAsia="Times New Roman" w:hAnsi="Times New Roman" w:cs="Times New Roman"/>
          <w:sz w:val="24"/>
          <w:szCs w:val="24"/>
        </w:rPr>
        <w:t xml:space="preserve">confluent growth. </w:t>
      </w:r>
      <w:r w:rsidRPr="00B34E01">
        <w:rPr>
          <w:rFonts w:ascii="Times New Roman" w:hAnsi="Times New Roman" w:cs="Times New Roman"/>
          <w:sz w:val="24"/>
          <w:szCs w:val="24"/>
        </w:rPr>
        <w:t>Ceftazidime</w:t>
      </w:r>
      <w:r w:rsidRPr="00B34E01">
        <w:rPr>
          <w:rFonts w:ascii="Times New Roman" w:eastAsia="Times New Roman" w:hAnsi="Times New Roman" w:cs="Times New Roman"/>
          <w:sz w:val="24"/>
          <w:szCs w:val="24"/>
        </w:rPr>
        <w:t xml:space="preserve"> CAZ 30 µg and AMC 20 µg discs </w:t>
      </w:r>
      <w:r w:rsidRPr="00B34E01">
        <w:rPr>
          <w:rFonts w:ascii="Times New Roman" w:hAnsi="Times New Roman" w:cs="Times New Roman"/>
          <w:sz w:val="24"/>
          <w:szCs w:val="24"/>
        </w:rPr>
        <w:t>were</w:t>
      </w:r>
      <w:r w:rsidRPr="00B34E01">
        <w:rPr>
          <w:rFonts w:ascii="Times New Roman" w:eastAsia="Times New Roman" w:hAnsi="Times New Roman" w:cs="Times New Roman"/>
          <w:sz w:val="24"/>
          <w:szCs w:val="24"/>
        </w:rPr>
        <w:t xml:space="preserve"> placed 25 mm apart (center-to-center) following overnight incubation aerobically at 37°C. ESBL production </w:t>
      </w:r>
      <w:r w:rsidRPr="00B34E01">
        <w:rPr>
          <w:rFonts w:ascii="Times New Roman" w:hAnsi="Times New Roman" w:cs="Times New Roman"/>
          <w:sz w:val="24"/>
          <w:szCs w:val="24"/>
        </w:rPr>
        <w:t>was</w:t>
      </w:r>
      <w:r w:rsidRPr="00B34E01">
        <w:rPr>
          <w:rFonts w:ascii="Times New Roman" w:eastAsia="Times New Roman" w:hAnsi="Times New Roman" w:cs="Times New Roman"/>
          <w:sz w:val="24"/>
          <w:szCs w:val="24"/>
        </w:rPr>
        <w:t xml:space="preserve"> inferred when there is </w:t>
      </w:r>
      <w:r w:rsidRPr="00B34E01">
        <w:rPr>
          <w:rFonts w:ascii="Times New Roman" w:hAnsi="Times New Roman" w:cs="Times New Roman"/>
          <w:sz w:val="24"/>
          <w:szCs w:val="24"/>
        </w:rPr>
        <w:t xml:space="preserve">expanded zone of inhibition between the AMC and CAZ discs by 5mm </w:t>
      </w:r>
      <w:r w:rsidRPr="00B34E01">
        <w:rPr>
          <w:rFonts w:ascii="Times New Roman" w:eastAsia="Times New Roman" w:hAnsi="Times New Roman" w:cs="Times New Roman"/>
          <w:sz w:val="24"/>
          <w:szCs w:val="24"/>
        </w:rPr>
        <w:t xml:space="preserve">(Khalid </w:t>
      </w:r>
      <w:r w:rsidRPr="00B34E01">
        <w:rPr>
          <w:rFonts w:ascii="Times New Roman" w:eastAsia="Times New Roman" w:hAnsi="Times New Roman" w:cs="Times New Roman"/>
          <w:i/>
          <w:sz w:val="24"/>
          <w:szCs w:val="24"/>
        </w:rPr>
        <w:t>et al.,</w:t>
      </w:r>
      <w:r w:rsidRPr="00B34E01">
        <w:rPr>
          <w:rFonts w:ascii="Times New Roman" w:eastAsia="Times New Roman" w:hAnsi="Times New Roman" w:cs="Times New Roman"/>
          <w:sz w:val="24"/>
          <w:szCs w:val="24"/>
        </w:rPr>
        <w:t xml:space="preserve"> 2011). </w:t>
      </w:r>
    </w:p>
    <w:p w14:paraId="68472288" w14:textId="77777777" w:rsidR="007D7AC9" w:rsidRPr="00B34E01" w:rsidRDefault="007D7AC9" w:rsidP="00DC403C">
      <w:pPr>
        <w:spacing w:before="240" w:after="0" w:line="360" w:lineRule="auto"/>
        <w:rPr>
          <w:rFonts w:ascii="Times New Roman" w:hAnsi="Times New Roman" w:cs="Times New Roman"/>
          <w:b/>
          <w:sz w:val="24"/>
          <w:szCs w:val="24"/>
        </w:rPr>
      </w:pPr>
      <w:bookmarkStart w:id="10" w:name="_Toc139238303"/>
      <w:r w:rsidRPr="00B34E01">
        <w:rPr>
          <w:rFonts w:ascii="Times New Roman" w:hAnsi="Times New Roman" w:cs="Times New Roman"/>
          <w:b/>
          <w:sz w:val="24"/>
          <w:szCs w:val="24"/>
        </w:rPr>
        <w:t>RESULTS</w:t>
      </w:r>
      <w:bookmarkEnd w:id="10"/>
      <w:r w:rsidR="006512D9" w:rsidRPr="00B34E01">
        <w:rPr>
          <w:rFonts w:ascii="Times New Roman" w:hAnsi="Times New Roman" w:cs="Times New Roman"/>
          <w:b/>
          <w:sz w:val="24"/>
          <w:szCs w:val="24"/>
        </w:rPr>
        <w:t xml:space="preserve"> AND </w:t>
      </w:r>
      <w:bookmarkStart w:id="11" w:name="_Toc139238306"/>
      <w:r w:rsidR="006512D9" w:rsidRPr="00B34E01">
        <w:rPr>
          <w:rFonts w:ascii="Times New Roman" w:hAnsi="Times New Roman" w:cs="Times New Roman"/>
          <w:b/>
          <w:sz w:val="24"/>
          <w:szCs w:val="24"/>
        </w:rPr>
        <w:t>DISCUSSION</w:t>
      </w:r>
      <w:bookmarkEnd w:id="11"/>
    </w:p>
    <w:p w14:paraId="0C04AF53" w14:textId="0C8D26DE" w:rsidR="007D7AC9" w:rsidRPr="00B34E01" w:rsidRDefault="007D7AC9" w:rsidP="00997189">
      <w:pPr>
        <w:spacing w:after="0" w:line="360" w:lineRule="auto"/>
        <w:jc w:val="both"/>
        <w:rPr>
          <w:rFonts w:ascii="Times New Roman" w:hAnsi="Times New Roman" w:cs="Times New Roman"/>
          <w:sz w:val="24"/>
          <w:szCs w:val="24"/>
        </w:rPr>
      </w:pPr>
      <w:r w:rsidRPr="00B34E01">
        <w:rPr>
          <w:rFonts w:ascii="Times New Roman" w:hAnsi="Times New Roman" w:cs="Times New Roman"/>
          <w:sz w:val="24"/>
          <w:szCs w:val="24"/>
        </w:rPr>
        <w:t xml:space="preserve">The result of the study shows that 14 (3.5%) of the studied stool samples had </w:t>
      </w:r>
      <w:r w:rsidR="00CD6AA2" w:rsidRPr="00B34E01">
        <w:rPr>
          <w:rFonts w:ascii="Times New Roman" w:hAnsi="Times New Roman" w:cs="Times New Roman"/>
          <w:i/>
          <w:iCs/>
          <w:sz w:val="24"/>
          <w:szCs w:val="24"/>
        </w:rPr>
        <w:t xml:space="preserve">Salmonella </w:t>
      </w:r>
      <w:r w:rsidR="003C124D" w:rsidRPr="00B34E01">
        <w:rPr>
          <w:rFonts w:ascii="Times New Roman" w:hAnsi="Times New Roman" w:cs="Times New Roman"/>
          <w:iCs/>
          <w:sz w:val="24"/>
          <w:szCs w:val="24"/>
        </w:rPr>
        <w:t>species</w:t>
      </w:r>
      <w:r w:rsidR="00A00C8F" w:rsidRPr="00B34E01">
        <w:rPr>
          <w:rFonts w:ascii="Times New Roman" w:hAnsi="Times New Roman" w:cs="Times New Roman"/>
          <w:iCs/>
          <w:sz w:val="24"/>
          <w:szCs w:val="24"/>
        </w:rPr>
        <w:t xml:space="preserve"> </w:t>
      </w:r>
      <w:r w:rsidRPr="00B34E01">
        <w:rPr>
          <w:rFonts w:ascii="Times New Roman" w:hAnsi="Times New Roman" w:cs="Times New Roman"/>
          <w:sz w:val="24"/>
          <w:szCs w:val="24"/>
        </w:rPr>
        <w:t>(Table</w:t>
      </w:r>
      <w:r w:rsidR="0011543C" w:rsidRPr="00B34E01">
        <w:rPr>
          <w:rFonts w:ascii="Times New Roman" w:hAnsi="Times New Roman" w:cs="Times New Roman"/>
          <w:sz w:val="24"/>
          <w:szCs w:val="24"/>
        </w:rPr>
        <w:t xml:space="preserve"> </w:t>
      </w:r>
      <w:r w:rsidRPr="00B34E01">
        <w:rPr>
          <w:rFonts w:ascii="Times New Roman" w:hAnsi="Times New Roman" w:cs="Times New Roman"/>
          <w:sz w:val="24"/>
          <w:szCs w:val="24"/>
        </w:rPr>
        <w:t>1). Patients aged 0-10years and 31-</w:t>
      </w:r>
      <w:r w:rsidR="008C44C1" w:rsidRPr="00B34E01">
        <w:rPr>
          <w:rFonts w:ascii="Times New Roman" w:hAnsi="Times New Roman" w:cs="Times New Roman"/>
          <w:sz w:val="24"/>
          <w:szCs w:val="24"/>
        </w:rPr>
        <w:t>40</w:t>
      </w:r>
      <w:r w:rsidRPr="00B34E01">
        <w:rPr>
          <w:rFonts w:ascii="Times New Roman" w:hAnsi="Times New Roman" w:cs="Times New Roman"/>
          <w:sz w:val="24"/>
          <w:szCs w:val="24"/>
        </w:rPr>
        <w:t xml:space="preserve">years constitute the largest number of study subjects </w:t>
      </w:r>
      <w:r w:rsidRPr="00B34E01">
        <w:rPr>
          <w:rFonts w:ascii="Times New Roman" w:hAnsi="Times New Roman" w:cs="Times New Roman"/>
          <w:sz w:val="24"/>
          <w:szCs w:val="24"/>
        </w:rPr>
        <w:lastRenderedPageBreak/>
        <w:t>of 140 (35%) and 83 (20.75%)</w:t>
      </w:r>
      <w:r w:rsidR="00582D00">
        <w:rPr>
          <w:rFonts w:ascii="Times New Roman" w:hAnsi="Times New Roman" w:cs="Times New Roman"/>
          <w:sz w:val="24"/>
          <w:szCs w:val="24"/>
        </w:rPr>
        <w:t>,</w:t>
      </w:r>
      <w:r w:rsidRPr="00B34E01">
        <w:rPr>
          <w:rFonts w:ascii="Times New Roman" w:hAnsi="Times New Roman" w:cs="Times New Roman"/>
          <w:sz w:val="24"/>
          <w:szCs w:val="24"/>
        </w:rPr>
        <w:t xml:space="preserve"> respectively. The least stud</w:t>
      </w:r>
      <w:r w:rsidR="00582D00">
        <w:rPr>
          <w:rFonts w:ascii="Times New Roman" w:hAnsi="Times New Roman" w:cs="Times New Roman"/>
          <w:sz w:val="24"/>
          <w:szCs w:val="24"/>
        </w:rPr>
        <w:t>ied</w:t>
      </w:r>
      <w:r w:rsidRPr="00B34E01">
        <w:rPr>
          <w:rFonts w:ascii="Times New Roman" w:hAnsi="Times New Roman" w:cs="Times New Roman"/>
          <w:sz w:val="24"/>
          <w:szCs w:val="24"/>
        </w:rPr>
        <w:t xml:space="preserve"> patients were those aged 11-20years and 51 </w:t>
      </w:r>
      <w:r w:rsidR="00582D00">
        <w:rPr>
          <w:rFonts w:ascii="Times New Roman" w:hAnsi="Times New Roman" w:cs="Times New Roman"/>
          <w:sz w:val="24"/>
          <w:szCs w:val="24"/>
        </w:rPr>
        <w:t>years and above</w:t>
      </w:r>
      <w:r w:rsidRPr="00B34E01">
        <w:rPr>
          <w:rFonts w:ascii="Times New Roman" w:hAnsi="Times New Roman" w:cs="Times New Roman"/>
          <w:sz w:val="24"/>
          <w:szCs w:val="24"/>
        </w:rPr>
        <w:t xml:space="preserve">. The highest number of </w:t>
      </w:r>
      <w:r w:rsidR="00CD6AA2" w:rsidRPr="00B34E01">
        <w:rPr>
          <w:rFonts w:ascii="Times New Roman" w:hAnsi="Times New Roman" w:cs="Times New Roman"/>
          <w:i/>
          <w:iCs/>
          <w:sz w:val="24"/>
          <w:szCs w:val="24"/>
        </w:rPr>
        <w:t xml:space="preserve">Salmonella </w:t>
      </w:r>
      <w:r w:rsidR="003C124D" w:rsidRPr="00B34E01">
        <w:rPr>
          <w:rFonts w:ascii="Times New Roman" w:hAnsi="Times New Roman" w:cs="Times New Roman"/>
          <w:iCs/>
          <w:sz w:val="24"/>
          <w:szCs w:val="24"/>
        </w:rPr>
        <w:t>species</w:t>
      </w:r>
      <w:r w:rsidR="00750346" w:rsidRPr="00B34E01">
        <w:rPr>
          <w:rFonts w:ascii="Times New Roman" w:hAnsi="Times New Roman" w:cs="Times New Roman"/>
          <w:iCs/>
          <w:sz w:val="24"/>
          <w:szCs w:val="24"/>
        </w:rPr>
        <w:t xml:space="preserve"> </w:t>
      </w:r>
      <w:r w:rsidRPr="00B34E01">
        <w:rPr>
          <w:rFonts w:ascii="Times New Roman" w:hAnsi="Times New Roman" w:cs="Times New Roman"/>
          <w:sz w:val="24"/>
          <w:szCs w:val="24"/>
        </w:rPr>
        <w:t>isolates was detected from</w:t>
      </w:r>
      <w:r w:rsidR="00983E09" w:rsidRPr="00B34E01">
        <w:rPr>
          <w:rFonts w:ascii="Times New Roman" w:hAnsi="Times New Roman" w:cs="Times New Roman"/>
          <w:sz w:val="24"/>
          <w:szCs w:val="24"/>
        </w:rPr>
        <w:t xml:space="preserve"> those aged 11-20years (</w:t>
      </w:r>
      <w:r w:rsidR="00486C1E" w:rsidRPr="00B34E01">
        <w:rPr>
          <w:rFonts w:ascii="Times New Roman" w:hAnsi="Times New Roman" w:cs="Times New Roman"/>
          <w:sz w:val="24"/>
          <w:szCs w:val="24"/>
        </w:rPr>
        <w:t>1.25</w:t>
      </w:r>
      <w:r w:rsidR="00983E09" w:rsidRPr="00B34E01">
        <w:rPr>
          <w:rFonts w:ascii="Times New Roman" w:hAnsi="Times New Roman" w:cs="Times New Roman"/>
          <w:sz w:val="24"/>
          <w:szCs w:val="24"/>
        </w:rPr>
        <w:t>%)</w:t>
      </w:r>
      <w:r w:rsidRPr="00B34E01">
        <w:rPr>
          <w:rFonts w:ascii="Times New Roman" w:hAnsi="Times New Roman" w:cs="Times New Roman"/>
          <w:sz w:val="24"/>
          <w:szCs w:val="24"/>
        </w:rPr>
        <w:t>.</w:t>
      </w:r>
      <w:r w:rsidR="009F0B13" w:rsidRPr="00B34E01">
        <w:rPr>
          <w:rFonts w:ascii="Times New Roman" w:hAnsi="Times New Roman" w:cs="Times New Roman"/>
          <w:sz w:val="24"/>
          <w:szCs w:val="24"/>
        </w:rPr>
        <w:t xml:space="preserve"> </w:t>
      </w:r>
      <w:r w:rsidR="00283733" w:rsidRPr="00B34E01">
        <w:rPr>
          <w:rFonts w:ascii="Times New Roman" w:hAnsi="Times New Roman" w:cs="Times New Roman"/>
          <w:sz w:val="24"/>
          <w:szCs w:val="24"/>
        </w:rPr>
        <w:t>F</w:t>
      </w:r>
      <w:r w:rsidR="009F0B13" w:rsidRPr="00B34E01">
        <w:rPr>
          <w:rFonts w:ascii="Times New Roman" w:hAnsi="Times New Roman" w:cs="Times New Roman"/>
          <w:sz w:val="24"/>
          <w:szCs w:val="24"/>
        </w:rPr>
        <w:t>or</w:t>
      </w:r>
      <w:r w:rsidRPr="00B34E01">
        <w:rPr>
          <w:rFonts w:ascii="Times New Roman" w:hAnsi="Times New Roman" w:cs="Times New Roman"/>
          <w:sz w:val="24"/>
          <w:szCs w:val="24"/>
        </w:rPr>
        <w:t xml:space="preserve"> Patients aged 41-50years and 50 and above years had the least with one isolate each (Table 1). The result of the study shows that males had the highest number </w:t>
      </w:r>
      <w:r w:rsidR="00CD6AA2" w:rsidRPr="00B34E01">
        <w:rPr>
          <w:rFonts w:ascii="Times New Roman" w:hAnsi="Times New Roman" w:cs="Times New Roman"/>
          <w:i/>
          <w:iCs/>
          <w:sz w:val="24"/>
          <w:szCs w:val="24"/>
        </w:rPr>
        <w:t xml:space="preserve">Salmonella </w:t>
      </w:r>
      <w:r w:rsidR="003C124D" w:rsidRPr="00B34E01">
        <w:rPr>
          <w:rFonts w:ascii="Times New Roman" w:hAnsi="Times New Roman" w:cs="Times New Roman"/>
          <w:iCs/>
          <w:sz w:val="24"/>
          <w:szCs w:val="24"/>
        </w:rPr>
        <w:t>species</w:t>
      </w:r>
      <w:r w:rsidR="00151EC2" w:rsidRPr="00B34E01">
        <w:rPr>
          <w:rFonts w:ascii="Times New Roman" w:hAnsi="Times New Roman" w:cs="Times New Roman"/>
          <w:iCs/>
          <w:sz w:val="24"/>
          <w:szCs w:val="24"/>
        </w:rPr>
        <w:t xml:space="preserve"> </w:t>
      </w:r>
      <w:r w:rsidRPr="00B34E01">
        <w:rPr>
          <w:rFonts w:ascii="Times New Roman" w:hAnsi="Times New Roman" w:cs="Times New Roman"/>
          <w:sz w:val="24"/>
          <w:szCs w:val="24"/>
        </w:rPr>
        <w:t>isolates of 8 (2.0%) compared to</w:t>
      </w:r>
      <w:r w:rsidR="0011543C" w:rsidRPr="00B34E01">
        <w:rPr>
          <w:rFonts w:ascii="Times New Roman" w:hAnsi="Times New Roman" w:cs="Times New Roman"/>
          <w:sz w:val="24"/>
          <w:szCs w:val="24"/>
        </w:rPr>
        <w:t xml:space="preserve"> females with 6 (1.5%) (Table </w:t>
      </w:r>
      <w:r w:rsidRPr="00B34E01">
        <w:rPr>
          <w:rFonts w:ascii="Times New Roman" w:hAnsi="Times New Roman" w:cs="Times New Roman"/>
          <w:sz w:val="24"/>
          <w:szCs w:val="24"/>
        </w:rPr>
        <w:t>2)</w:t>
      </w:r>
      <w:r w:rsidR="00041AFD" w:rsidRPr="00B34E01">
        <w:rPr>
          <w:rFonts w:ascii="Times New Roman" w:hAnsi="Times New Roman" w:cs="Times New Roman"/>
          <w:sz w:val="24"/>
          <w:szCs w:val="24"/>
        </w:rPr>
        <w:t>.</w:t>
      </w:r>
    </w:p>
    <w:p w14:paraId="2AC6B68E" w14:textId="3997B2BA" w:rsidR="00041AFD" w:rsidRPr="00B34E01" w:rsidRDefault="00041AFD" w:rsidP="00997189">
      <w:pPr>
        <w:pStyle w:val="NormalWeb"/>
        <w:spacing w:before="0" w:beforeAutospacing="0" w:after="0" w:afterAutospacing="0" w:line="360" w:lineRule="auto"/>
        <w:jc w:val="both"/>
      </w:pPr>
      <w:r w:rsidRPr="00B34E01">
        <w:t xml:space="preserve">Out of the 400 samples examined, 14 (3.50%) were found to be </w:t>
      </w:r>
      <w:r w:rsidRPr="00B34E01">
        <w:rPr>
          <w:i/>
        </w:rPr>
        <w:t xml:space="preserve">Salmonella </w:t>
      </w:r>
      <w:r w:rsidRPr="00B34E01">
        <w:t>species</w:t>
      </w:r>
      <w:r w:rsidR="0079344D" w:rsidRPr="00B34E01">
        <w:t xml:space="preserve"> </w:t>
      </w:r>
      <w:r w:rsidRPr="00B34E01">
        <w:t xml:space="preserve">based on their phenotypic identification. This finding conforms to that of </w:t>
      </w:r>
      <w:hyperlink r:id="rId16" w:history="1">
        <w:r w:rsidRPr="00B34E01">
          <w:rPr>
            <w:rStyle w:val="Hyperlink"/>
            <w:rFonts w:eastAsiaTheme="majorEastAsia"/>
            <w:color w:val="auto"/>
            <w:u w:val="none"/>
          </w:rPr>
          <w:t>Maharjan</w:t>
        </w:r>
        <w:r w:rsidRPr="00B34E01">
          <w:rPr>
            <w:rStyle w:val="Hyperlink"/>
            <w:rFonts w:eastAsiaTheme="majorEastAsia"/>
            <w:i/>
            <w:color w:val="auto"/>
            <w:u w:val="none"/>
          </w:rPr>
          <w:t xml:space="preserve"> et al</w:t>
        </w:r>
        <w:r w:rsidRPr="00B34E01">
          <w:rPr>
            <w:rStyle w:val="Hyperlink"/>
            <w:rFonts w:eastAsiaTheme="majorEastAsia"/>
            <w:color w:val="auto"/>
            <w:u w:val="none"/>
          </w:rPr>
          <w:t>. (2021)</w:t>
        </w:r>
      </w:hyperlink>
      <w:r w:rsidRPr="00B34E01">
        <w:t xml:space="preserve"> with a prevalence of 3.1%.   Oluyege </w:t>
      </w:r>
      <w:r w:rsidRPr="00B34E01">
        <w:rPr>
          <w:i/>
        </w:rPr>
        <w:t>et. al.,</w:t>
      </w:r>
      <w:r w:rsidRPr="00B34E01">
        <w:t xml:space="preserve"> (2015) got 3.49% in their findings conducted in Ekiti State University Teaching Hospital which </w:t>
      </w:r>
      <w:r w:rsidR="00582D00">
        <w:t xml:space="preserve">is </w:t>
      </w:r>
      <w:r w:rsidRPr="00B34E01">
        <w:t xml:space="preserve">approximately similar to the 3.50% found in this study. The 3.5% occurrence of </w:t>
      </w:r>
      <w:r w:rsidRPr="00B34E01">
        <w:rPr>
          <w:i/>
          <w:iCs/>
        </w:rPr>
        <w:t xml:space="preserve">Salmonella </w:t>
      </w:r>
      <w:r w:rsidRPr="00B34E01">
        <w:rPr>
          <w:iCs/>
        </w:rPr>
        <w:t xml:space="preserve">species </w:t>
      </w:r>
      <w:r w:rsidRPr="00B34E01">
        <w:t xml:space="preserve">in this study is found to be higher compared to the recent findings of typhoid fever in the same study area where </w:t>
      </w:r>
      <w:hyperlink r:id="rId17" w:history="1">
        <w:r w:rsidRPr="00B34E01">
          <w:rPr>
            <w:rStyle w:val="Hyperlink"/>
            <w:rFonts w:eastAsiaTheme="majorEastAsia"/>
            <w:color w:val="auto"/>
            <w:u w:val="none"/>
          </w:rPr>
          <w:t xml:space="preserve">Mujahid </w:t>
        </w:r>
        <w:r w:rsidRPr="00B34E01">
          <w:rPr>
            <w:rStyle w:val="Hyperlink"/>
            <w:rFonts w:eastAsiaTheme="majorEastAsia"/>
            <w:i/>
            <w:iCs/>
            <w:color w:val="auto"/>
            <w:u w:val="none"/>
          </w:rPr>
          <w:t>et al.</w:t>
        </w:r>
        <w:r w:rsidRPr="00B34E01">
          <w:rPr>
            <w:rStyle w:val="Hyperlink"/>
            <w:rFonts w:eastAsiaTheme="majorEastAsia"/>
            <w:color w:val="auto"/>
            <w:u w:val="none"/>
          </w:rPr>
          <w:t xml:space="preserve"> (2022)</w:t>
        </w:r>
      </w:hyperlink>
      <w:r w:rsidRPr="00B34E01">
        <w:t xml:space="preserve"> reported 0.0% occurrence. </w:t>
      </w:r>
      <w:r w:rsidRPr="00B34E01">
        <w:rPr>
          <w:shd w:val="clear" w:color="auto" w:fill="FFFFFF"/>
        </w:rPr>
        <w:t xml:space="preserve">The low growth rate in </w:t>
      </w:r>
      <w:r w:rsidR="00582D00">
        <w:rPr>
          <w:shd w:val="clear" w:color="auto" w:fill="FFFFFF"/>
        </w:rPr>
        <w:t xml:space="preserve">the </w:t>
      </w:r>
      <w:r w:rsidRPr="00B34E01">
        <w:rPr>
          <w:shd w:val="clear" w:color="auto" w:fill="FFFFFF"/>
        </w:rPr>
        <w:t>studied sample culture can be attributable to the practices of self-medication, which is more common in developing countries like Nigeria.</w:t>
      </w:r>
    </w:p>
    <w:p w14:paraId="2456304B" w14:textId="7F892A7F" w:rsidR="00041AFD" w:rsidRPr="00B34E01" w:rsidRDefault="00041AFD" w:rsidP="00997189">
      <w:pPr>
        <w:spacing w:after="0" w:line="360" w:lineRule="auto"/>
        <w:jc w:val="both"/>
        <w:rPr>
          <w:rFonts w:ascii="Times New Roman" w:hAnsi="Times New Roman" w:cs="Times New Roman"/>
          <w:sz w:val="24"/>
          <w:szCs w:val="24"/>
        </w:rPr>
      </w:pPr>
      <w:r w:rsidRPr="00B34E01">
        <w:rPr>
          <w:rFonts w:ascii="Times New Roman" w:hAnsi="Times New Roman" w:cs="Times New Roman"/>
          <w:sz w:val="24"/>
          <w:szCs w:val="24"/>
        </w:rPr>
        <w:t xml:space="preserve">Age group 11-20 was observed to have the highest occurrence of </w:t>
      </w:r>
      <w:r w:rsidRPr="00B34E01">
        <w:rPr>
          <w:rFonts w:ascii="Times New Roman" w:hAnsi="Times New Roman" w:cs="Times New Roman"/>
          <w:i/>
          <w:sz w:val="24"/>
          <w:szCs w:val="24"/>
        </w:rPr>
        <w:t xml:space="preserve">Salmonella </w:t>
      </w:r>
      <w:r w:rsidRPr="00B34E01">
        <w:rPr>
          <w:rFonts w:ascii="Times New Roman" w:hAnsi="Times New Roman" w:cs="Times New Roman"/>
          <w:sz w:val="24"/>
          <w:szCs w:val="24"/>
        </w:rPr>
        <w:t>species. This finding also is not in conformity with that of Abdallah, (2019) where the highest occurrence was found among the children of age group 0-3. The prevalence may be because of their poor quality of drinking water, exposure to contaminated ready to eat food items available in open</w:t>
      </w:r>
      <w:r w:rsidR="00582D00">
        <w:rPr>
          <w:rFonts w:ascii="Times New Roman" w:hAnsi="Times New Roman" w:cs="Times New Roman"/>
          <w:sz w:val="24"/>
          <w:szCs w:val="24"/>
        </w:rPr>
        <w:t>-</w:t>
      </w:r>
      <w:r w:rsidRPr="00B34E01">
        <w:rPr>
          <w:rFonts w:ascii="Times New Roman" w:hAnsi="Times New Roman" w:cs="Times New Roman"/>
          <w:sz w:val="24"/>
          <w:szCs w:val="24"/>
        </w:rPr>
        <w:t>air cafeteria, reliance on fast food joints, lack of good hygienic practices, and common practice of consuming unwashed and partially cooked vegetables</w:t>
      </w:r>
      <w:r w:rsidR="0011427C">
        <w:rPr>
          <w:rFonts w:ascii="Times New Roman" w:hAnsi="Times New Roman" w:cs="Times New Roman"/>
          <w:sz w:val="24"/>
          <w:szCs w:val="24"/>
        </w:rPr>
        <w:t>,</w:t>
      </w:r>
      <w:r w:rsidRPr="00B34E01">
        <w:rPr>
          <w:rFonts w:ascii="Times New Roman" w:hAnsi="Times New Roman" w:cs="Times New Roman"/>
          <w:sz w:val="24"/>
          <w:szCs w:val="24"/>
        </w:rPr>
        <w:t xml:space="preserve"> which possibly enhanced the spread of the infection. It was also discovered that the age group of 0-10years ranked second in the occurrence of </w:t>
      </w:r>
      <w:r w:rsidRPr="00B34E01">
        <w:rPr>
          <w:rFonts w:ascii="Times New Roman" w:hAnsi="Times New Roman" w:cs="Times New Roman"/>
          <w:i/>
          <w:sz w:val="24"/>
          <w:szCs w:val="24"/>
        </w:rPr>
        <w:t xml:space="preserve">Salmonella </w:t>
      </w:r>
      <w:r w:rsidRPr="00B34E01">
        <w:rPr>
          <w:rFonts w:ascii="Times New Roman" w:hAnsi="Times New Roman" w:cs="Times New Roman"/>
          <w:sz w:val="24"/>
          <w:szCs w:val="24"/>
        </w:rPr>
        <w:t>species</w:t>
      </w:r>
      <w:r w:rsidR="0011427C">
        <w:rPr>
          <w:rFonts w:ascii="Times New Roman" w:hAnsi="Times New Roman" w:cs="Times New Roman"/>
          <w:sz w:val="24"/>
          <w:szCs w:val="24"/>
        </w:rPr>
        <w:t>,</w:t>
      </w:r>
      <w:r w:rsidRPr="00B34E01">
        <w:rPr>
          <w:rFonts w:ascii="Times New Roman" w:hAnsi="Times New Roman" w:cs="Times New Roman"/>
          <w:sz w:val="24"/>
          <w:szCs w:val="24"/>
        </w:rPr>
        <w:t xml:space="preserve"> despite the fact that </w:t>
      </w:r>
      <w:r w:rsidR="0011427C">
        <w:rPr>
          <w:rFonts w:ascii="Times New Roman" w:hAnsi="Times New Roman" w:cs="Times New Roman"/>
          <w:sz w:val="24"/>
          <w:szCs w:val="24"/>
        </w:rPr>
        <w:t xml:space="preserve">the </w:t>
      </w:r>
      <w:r w:rsidRPr="00B34E01">
        <w:rPr>
          <w:rFonts w:ascii="Times New Roman" w:hAnsi="Times New Roman" w:cs="Times New Roman"/>
          <w:sz w:val="24"/>
          <w:szCs w:val="24"/>
        </w:rPr>
        <w:t xml:space="preserve">highest stool samples 140 (35%) were collected from this age group. Of the 140 out of 400 samples examined in that age group, only 3 (0.75%) </w:t>
      </w:r>
      <w:r w:rsidRPr="00B34E01">
        <w:rPr>
          <w:rFonts w:ascii="Times New Roman" w:hAnsi="Times New Roman" w:cs="Times New Roman"/>
          <w:i/>
          <w:sz w:val="24"/>
          <w:szCs w:val="24"/>
        </w:rPr>
        <w:t xml:space="preserve">Salmonella </w:t>
      </w:r>
      <w:r w:rsidRPr="00B34E01">
        <w:rPr>
          <w:rFonts w:ascii="Times New Roman" w:hAnsi="Times New Roman" w:cs="Times New Roman"/>
          <w:sz w:val="24"/>
          <w:szCs w:val="24"/>
        </w:rPr>
        <w:t>species were isolated</w:t>
      </w:r>
      <w:r w:rsidR="006B62CE">
        <w:rPr>
          <w:rFonts w:ascii="Times New Roman" w:hAnsi="Times New Roman" w:cs="Times New Roman"/>
          <w:sz w:val="24"/>
          <w:szCs w:val="24"/>
        </w:rPr>
        <w:t>,</w:t>
      </w:r>
      <w:r w:rsidRPr="00B34E01">
        <w:rPr>
          <w:rFonts w:ascii="Times New Roman" w:hAnsi="Times New Roman" w:cs="Times New Roman"/>
          <w:sz w:val="24"/>
          <w:szCs w:val="24"/>
        </w:rPr>
        <w:t xml:space="preserve"> which is low considering the sample size analy</w:t>
      </w:r>
      <w:r w:rsidR="0011427C">
        <w:rPr>
          <w:rFonts w:ascii="Times New Roman" w:hAnsi="Times New Roman" w:cs="Times New Roman"/>
          <w:sz w:val="24"/>
          <w:szCs w:val="24"/>
        </w:rPr>
        <w:t>s</w:t>
      </w:r>
      <w:r w:rsidRPr="00B34E01">
        <w:rPr>
          <w:rFonts w:ascii="Times New Roman" w:hAnsi="Times New Roman" w:cs="Times New Roman"/>
          <w:sz w:val="24"/>
          <w:szCs w:val="24"/>
        </w:rPr>
        <w:t>ed. This may be an indication that typhoid fever in children under 5 years is low in the study area. Several studies were conducted to characteri</w:t>
      </w:r>
      <w:r w:rsidR="006B62CE">
        <w:rPr>
          <w:rFonts w:ascii="Times New Roman" w:hAnsi="Times New Roman" w:cs="Times New Roman"/>
          <w:sz w:val="24"/>
          <w:szCs w:val="24"/>
        </w:rPr>
        <w:t>s</w:t>
      </w:r>
      <w:r w:rsidRPr="00B34E01">
        <w:rPr>
          <w:rFonts w:ascii="Times New Roman" w:hAnsi="Times New Roman" w:cs="Times New Roman"/>
          <w:sz w:val="24"/>
          <w:szCs w:val="24"/>
        </w:rPr>
        <w:t xml:space="preserve">e bacteria associated with gastrointestinal infection and found </w:t>
      </w:r>
      <w:r w:rsidRPr="00B34E01">
        <w:rPr>
          <w:rFonts w:ascii="Times New Roman" w:hAnsi="Times New Roman" w:cs="Times New Roman"/>
          <w:i/>
          <w:iCs/>
          <w:sz w:val="24"/>
          <w:szCs w:val="24"/>
        </w:rPr>
        <w:t>Salmonella</w:t>
      </w:r>
      <w:r w:rsidRPr="00B34E01">
        <w:rPr>
          <w:rFonts w:ascii="Times New Roman" w:hAnsi="Times New Roman" w:cs="Times New Roman"/>
          <w:sz w:val="24"/>
          <w:szCs w:val="24"/>
        </w:rPr>
        <w:t xml:space="preserve"> as one of the bacteria associated with </w:t>
      </w:r>
      <w:r w:rsidR="00151EC2" w:rsidRPr="00B34E01">
        <w:rPr>
          <w:rFonts w:ascii="Times New Roman" w:hAnsi="Times New Roman" w:cs="Times New Roman"/>
          <w:sz w:val="24"/>
          <w:szCs w:val="24"/>
        </w:rPr>
        <w:t>diarrhea</w:t>
      </w:r>
      <w:r w:rsidRPr="00B34E01">
        <w:rPr>
          <w:rFonts w:ascii="Times New Roman" w:hAnsi="Times New Roman" w:cs="Times New Roman"/>
          <w:sz w:val="24"/>
          <w:szCs w:val="24"/>
        </w:rPr>
        <w:t xml:space="preserve"> </w:t>
      </w:r>
      <w:hyperlink r:id="rId18" w:history="1">
        <w:r w:rsidRPr="00B34E01">
          <w:rPr>
            <w:rStyle w:val="Hyperlink"/>
            <w:rFonts w:ascii="Times New Roman" w:hAnsi="Times New Roman" w:cs="Times New Roman"/>
            <w:color w:val="auto"/>
            <w:sz w:val="24"/>
            <w:szCs w:val="24"/>
            <w:u w:val="none"/>
          </w:rPr>
          <w:t xml:space="preserve">(Yurist-Doutsch </w:t>
        </w:r>
        <w:r w:rsidRPr="00B34E01">
          <w:rPr>
            <w:rStyle w:val="Hyperlink"/>
            <w:rFonts w:ascii="Times New Roman" w:hAnsi="Times New Roman" w:cs="Times New Roman"/>
            <w:i/>
            <w:color w:val="auto"/>
            <w:sz w:val="24"/>
            <w:szCs w:val="24"/>
            <w:u w:val="none"/>
          </w:rPr>
          <w:t>et al.,</w:t>
        </w:r>
        <w:r w:rsidRPr="00B34E01">
          <w:rPr>
            <w:rStyle w:val="Hyperlink"/>
            <w:rFonts w:ascii="Times New Roman" w:hAnsi="Times New Roman" w:cs="Times New Roman"/>
            <w:color w:val="auto"/>
            <w:sz w:val="24"/>
            <w:szCs w:val="24"/>
            <w:u w:val="none"/>
          </w:rPr>
          <w:t xml:space="preserve"> 2014)</w:t>
        </w:r>
      </w:hyperlink>
      <w:r w:rsidRPr="00B34E01">
        <w:rPr>
          <w:rFonts w:ascii="Times New Roman" w:hAnsi="Times New Roman" w:cs="Times New Roman"/>
          <w:sz w:val="24"/>
          <w:szCs w:val="24"/>
        </w:rPr>
        <w:t xml:space="preserve">. </w:t>
      </w:r>
    </w:p>
    <w:p w14:paraId="19876465" w14:textId="77777777" w:rsidR="0079344D" w:rsidRPr="00B34E01" w:rsidRDefault="00041AFD" w:rsidP="00997189">
      <w:pPr>
        <w:spacing w:after="0" w:line="360" w:lineRule="auto"/>
        <w:jc w:val="both"/>
        <w:rPr>
          <w:rFonts w:ascii="Times New Roman" w:hAnsi="Times New Roman" w:cs="Times New Roman"/>
          <w:sz w:val="24"/>
          <w:szCs w:val="24"/>
        </w:rPr>
      </w:pPr>
      <w:r w:rsidRPr="00B34E01">
        <w:rPr>
          <w:rFonts w:ascii="Times New Roman" w:hAnsi="Times New Roman" w:cs="Times New Roman"/>
          <w:sz w:val="24"/>
          <w:szCs w:val="24"/>
        </w:rPr>
        <w:t xml:space="preserve">Again, the same finding of Oluyege </w:t>
      </w:r>
      <w:r w:rsidRPr="00B34E01">
        <w:rPr>
          <w:rFonts w:ascii="Times New Roman" w:hAnsi="Times New Roman" w:cs="Times New Roman"/>
          <w:i/>
          <w:sz w:val="24"/>
          <w:szCs w:val="24"/>
        </w:rPr>
        <w:t>et. al.,</w:t>
      </w:r>
      <w:r w:rsidRPr="00B34E01">
        <w:rPr>
          <w:rFonts w:ascii="Times New Roman" w:hAnsi="Times New Roman" w:cs="Times New Roman"/>
          <w:sz w:val="24"/>
          <w:szCs w:val="24"/>
        </w:rPr>
        <w:t xml:space="preserve"> (2015) identified high occurrence among the young people within the age group of 20-29 </w:t>
      </w:r>
      <w:r w:rsidR="00151EC2" w:rsidRPr="00B34E01">
        <w:rPr>
          <w:rFonts w:ascii="Times New Roman" w:hAnsi="Times New Roman" w:cs="Times New Roman"/>
          <w:sz w:val="24"/>
          <w:szCs w:val="24"/>
        </w:rPr>
        <w:t>yrs.</w:t>
      </w:r>
      <w:r w:rsidRPr="00B34E01">
        <w:rPr>
          <w:rFonts w:ascii="Times New Roman" w:hAnsi="Times New Roman" w:cs="Times New Roman"/>
          <w:sz w:val="24"/>
          <w:szCs w:val="24"/>
        </w:rPr>
        <w:t xml:space="preserve"> old, and this finding also reveals that highest occurrence among young teenage and adult people but within the age group of 11-20years. This difference in age group may be due to socio-economic and socio-cultural differences in northern and southern Nigeria. In Kano, at the age of 8-20, parents do send their children to school and market (or other </w:t>
      </w:r>
      <w:r w:rsidRPr="00B34E01">
        <w:rPr>
          <w:rFonts w:ascii="Times New Roman" w:hAnsi="Times New Roman" w:cs="Times New Roman"/>
          <w:sz w:val="24"/>
          <w:szCs w:val="24"/>
        </w:rPr>
        <w:lastRenderedPageBreak/>
        <w:t xml:space="preserve">training centers like mechanical workshops, tailoring center </w:t>
      </w:r>
      <w:r w:rsidR="00151EC2" w:rsidRPr="00B34E01">
        <w:rPr>
          <w:rFonts w:ascii="Times New Roman" w:hAnsi="Times New Roman" w:cs="Times New Roman"/>
          <w:sz w:val="24"/>
          <w:szCs w:val="24"/>
        </w:rPr>
        <w:t>etc.</w:t>
      </w:r>
      <w:r w:rsidRPr="00B34E01">
        <w:rPr>
          <w:rFonts w:ascii="Times New Roman" w:hAnsi="Times New Roman" w:cs="Times New Roman"/>
          <w:sz w:val="24"/>
          <w:szCs w:val="24"/>
        </w:rPr>
        <w:t xml:space="preserve">) to learn how to read and write and other beneficial crafts. This practice may expose this group of people to the contaminated foods and drinks and be infected with </w:t>
      </w:r>
      <w:r w:rsidRPr="00B34E01">
        <w:rPr>
          <w:rFonts w:ascii="Times New Roman" w:hAnsi="Times New Roman" w:cs="Times New Roman"/>
          <w:i/>
          <w:sz w:val="24"/>
          <w:szCs w:val="24"/>
        </w:rPr>
        <w:t xml:space="preserve">Salmonella. </w:t>
      </w:r>
      <w:r w:rsidRPr="00B34E01">
        <w:rPr>
          <w:rFonts w:ascii="Times New Roman" w:hAnsi="Times New Roman" w:cs="Times New Roman"/>
          <w:sz w:val="24"/>
          <w:szCs w:val="24"/>
        </w:rPr>
        <w:t xml:space="preserve">Similarly, at that age group, there is very high number of </w:t>
      </w:r>
      <w:r w:rsidRPr="00B34E01">
        <w:rPr>
          <w:rFonts w:ascii="Times New Roman" w:hAnsi="Times New Roman" w:cs="Times New Roman"/>
          <w:i/>
          <w:sz w:val="24"/>
          <w:szCs w:val="24"/>
        </w:rPr>
        <w:t>Almajiris</w:t>
      </w:r>
      <w:r w:rsidRPr="00B34E01">
        <w:rPr>
          <w:rFonts w:ascii="Times New Roman" w:hAnsi="Times New Roman" w:cs="Times New Roman"/>
          <w:sz w:val="24"/>
          <w:szCs w:val="24"/>
        </w:rPr>
        <w:t xml:space="preserve"> (students who migrated their homes in search of Islamic knowledge) who roam about searching for ready to eat foods not minding the hygienic nature of the food. </w:t>
      </w:r>
    </w:p>
    <w:p w14:paraId="7A23448A" w14:textId="77777777" w:rsidR="007D7AC9" w:rsidRPr="00B34E01" w:rsidRDefault="00933C19" w:rsidP="00B63060">
      <w:pPr>
        <w:spacing w:before="240" w:after="0" w:line="360" w:lineRule="auto"/>
        <w:jc w:val="both"/>
        <w:rPr>
          <w:rFonts w:ascii="Times New Roman" w:hAnsi="Times New Roman" w:cs="Times New Roman"/>
          <w:b/>
          <w:sz w:val="24"/>
          <w:szCs w:val="24"/>
        </w:rPr>
      </w:pPr>
      <w:r w:rsidRPr="00B34E01">
        <w:rPr>
          <w:rFonts w:ascii="Times New Roman" w:hAnsi="Times New Roman" w:cs="Times New Roman"/>
          <w:b/>
          <w:sz w:val="24"/>
          <w:szCs w:val="24"/>
        </w:rPr>
        <w:t xml:space="preserve">Table </w:t>
      </w:r>
      <w:r w:rsidR="007D7AC9" w:rsidRPr="00B34E01">
        <w:rPr>
          <w:rFonts w:ascii="Times New Roman" w:hAnsi="Times New Roman" w:cs="Times New Roman"/>
          <w:b/>
          <w:sz w:val="24"/>
          <w:szCs w:val="24"/>
        </w:rPr>
        <w:t xml:space="preserve">1: </w:t>
      </w:r>
      <w:r w:rsidR="009A7659" w:rsidRPr="00B34E01">
        <w:rPr>
          <w:rFonts w:ascii="Times New Roman" w:eastAsia="Calibri" w:hAnsi="Times New Roman" w:cs="Times New Roman"/>
          <w:b/>
          <w:bCs/>
          <w:sz w:val="24"/>
          <w:szCs w:val="24"/>
        </w:rPr>
        <w:t>Prevalence</w:t>
      </w:r>
      <w:r w:rsidR="007D7AC9" w:rsidRPr="00B34E01">
        <w:rPr>
          <w:rFonts w:ascii="Times New Roman" w:hAnsi="Times New Roman" w:cs="Times New Roman"/>
          <w:b/>
          <w:sz w:val="24"/>
          <w:szCs w:val="24"/>
        </w:rPr>
        <w:t xml:space="preserve"> of </w:t>
      </w:r>
      <w:r w:rsidR="00CD6AA2" w:rsidRPr="00B34E01">
        <w:rPr>
          <w:rFonts w:ascii="Times New Roman" w:hAnsi="Times New Roman" w:cs="Times New Roman"/>
          <w:b/>
          <w:i/>
          <w:sz w:val="24"/>
          <w:szCs w:val="24"/>
        </w:rPr>
        <w:t xml:space="preserve">Salmonella </w:t>
      </w:r>
      <w:r w:rsidR="00F9061D" w:rsidRPr="00B34E01">
        <w:rPr>
          <w:rFonts w:ascii="Times New Roman" w:hAnsi="Times New Roman" w:cs="Times New Roman"/>
          <w:b/>
          <w:sz w:val="24"/>
          <w:szCs w:val="24"/>
        </w:rPr>
        <w:t>Species</w:t>
      </w:r>
      <w:r w:rsidR="00750346" w:rsidRPr="00B34E01">
        <w:rPr>
          <w:rFonts w:ascii="Times New Roman" w:hAnsi="Times New Roman" w:cs="Times New Roman"/>
          <w:b/>
          <w:sz w:val="24"/>
          <w:szCs w:val="24"/>
        </w:rPr>
        <w:t xml:space="preserve"> </w:t>
      </w:r>
      <w:r w:rsidR="007D7AC9" w:rsidRPr="00B34E01">
        <w:rPr>
          <w:rFonts w:ascii="Times New Roman" w:hAnsi="Times New Roman" w:cs="Times New Roman"/>
          <w:b/>
          <w:sz w:val="24"/>
          <w:szCs w:val="24"/>
        </w:rPr>
        <w:t xml:space="preserve">Isolates among Different Age Groups </w:t>
      </w:r>
    </w:p>
    <w:tbl>
      <w:tblPr>
        <w:tblW w:w="9957" w:type="dxa"/>
        <w:tblBorders>
          <w:top w:val="single" w:sz="8" w:space="0" w:color="000000"/>
          <w:bottom w:val="single" w:sz="8" w:space="0" w:color="000000"/>
        </w:tblBorders>
        <w:shd w:val="clear" w:color="auto" w:fill="FFFFFF"/>
        <w:tblLook w:val="04A0" w:firstRow="1" w:lastRow="0" w:firstColumn="1" w:lastColumn="0" w:noHBand="0" w:noVBand="1"/>
      </w:tblPr>
      <w:tblGrid>
        <w:gridCol w:w="3193"/>
        <w:gridCol w:w="3193"/>
        <w:gridCol w:w="3571"/>
      </w:tblGrid>
      <w:tr w:rsidR="00595663" w:rsidRPr="00B34E01" w14:paraId="5995FE78" w14:textId="77777777" w:rsidTr="007B0591">
        <w:trPr>
          <w:trHeight w:val="880"/>
        </w:trPr>
        <w:tc>
          <w:tcPr>
            <w:tcW w:w="3193" w:type="dxa"/>
            <w:tcBorders>
              <w:top w:val="single" w:sz="8" w:space="0" w:color="000000"/>
              <w:bottom w:val="single" w:sz="8" w:space="0" w:color="000000"/>
            </w:tcBorders>
            <w:shd w:val="clear" w:color="auto" w:fill="FFFFFF"/>
            <w:hideMark/>
          </w:tcPr>
          <w:p w14:paraId="360957C5" w14:textId="77777777" w:rsidR="007D7AC9" w:rsidRPr="00B34E01" w:rsidRDefault="00616A57" w:rsidP="00997189">
            <w:pPr>
              <w:spacing w:after="0" w:line="360" w:lineRule="auto"/>
              <w:jc w:val="both"/>
              <w:rPr>
                <w:rFonts w:ascii="Times New Roman" w:eastAsia="Calibri" w:hAnsi="Times New Roman" w:cs="Times New Roman"/>
                <w:b/>
                <w:bCs/>
                <w:sz w:val="24"/>
                <w:szCs w:val="24"/>
              </w:rPr>
            </w:pPr>
            <w:r w:rsidRPr="00B34E01">
              <w:rPr>
                <w:rFonts w:ascii="Times New Roman" w:eastAsia="Calibri" w:hAnsi="Times New Roman" w:cs="Times New Roman"/>
                <w:b/>
                <w:bCs/>
                <w:sz w:val="24"/>
                <w:szCs w:val="24"/>
              </w:rPr>
              <w:t>Age</w:t>
            </w:r>
            <w:r w:rsidR="007D7AC9" w:rsidRPr="00B34E01">
              <w:rPr>
                <w:rFonts w:ascii="Times New Roman" w:eastAsia="Calibri" w:hAnsi="Times New Roman" w:cs="Times New Roman"/>
                <w:b/>
                <w:bCs/>
                <w:sz w:val="24"/>
                <w:szCs w:val="24"/>
              </w:rPr>
              <w:t xml:space="preserve"> (in years)</w:t>
            </w:r>
          </w:p>
        </w:tc>
        <w:tc>
          <w:tcPr>
            <w:tcW w:w="3193" w:type="dxa"/>
            <w:tcBorders>
              <w:top w:val="single" w:sz="8" w:space="0" w:color="000000"/>
              <w:bottom w:val="single" w:sz="8" w:space="0" w:color="000000"/>
            </w:tcBorders>
            <w:shd w:val="clear" w:color="auto" w:fill="FFFFFF"/>
            <w:hideMark/>
          </w:tcPr>
          <w:p w14:paraId="1F79014D" w14:textId="77777777" w:rsidR="007D7AC9" w:rsidRPr="00B34E01" w:rsidRDefault="00616A57" w:rsidP="00997189">
            <w:pPr>
              <w:spacing w:after="0" w:line="360" w:lineRule="auto"/>
              <w:jc w:val="both"/>
              <w:rPr>
                <w:rFonts w:ascii="Times New Roman" w:eastAsia="Calibri" w:hAnsi="Times New Roman" w:cs="Times New Roman"/>
                <w:b/>
                <w:bCs/>
                <w:sz w:val="24"/>
                <w:szCs w:val="24"/>
              </w:rPr>
            </w:pPr>
            <w:r w:rsidRPr="00B34E01">
              <w:rPr>
                <w:rFonts w:ascii="Times New Roman" w:eastAsia="Calibri" w:hAnsi="Times New Roman" w:cs="Times New Roman"/>
                <w:b/>
                <w:bCs/>
                <w:sz w:val="24"/>
                <w:szCs w:val="24"/>
              </w:rPr>
              <w:t>No. Examined (%)</w:t>
            </w:r>
          </w:p>
        </w:tc>
        <w:tc>
          <w:tcPr>
            <w:tcW w:w="3571" w:type="dxa"/>
            <w:tcBorders>
              <w:top w:val="single" w:sz="8" w:space="0" w:color="000000"/>
              <w:bottom w:val="single" w:sz="8" w:space="0" w:color="000000"/>
            </w:tcBorders>
            <w:shd w:val="clear" w:color="auto" w:fill="FFFFFF"/>
            <w:hideMark/>
          </w:tcPr>
          <w:p w14:paraId="0033AD8F" w14:textId="77777777" w:rsidR="007D7AC9" w:rsidRPr="00B34E01" w:rsidRDefault="00616A57" w:rsidP="00616A57">
            <w:pPr>
              <w:spacing w:after="0" w:line="360" w:lineRule="auto"/>
              <w:jc w:val="center"/>
              <w:rPr>
                <w:rFonts w:ascii="Times New Roman" w:eastAsia="Calibri" w:hAnsi="Times New Roman" w:cs="Times New Roman"/>
                <w:b/>
                <w:bCs/>
                <w:sz w:val="24"/>
                <w:szCs w:val="24"/>
              </w:rPr>
            </w:pPr>
            <w:r w:rsidRPr="00B34E01">
              <w:rPr>
                <w:rFonts w:ascii="Times New Roman" w:eastAsia="Calibri" w:hAnsi="Times New Roman" w:cs="Times New Roman"/>
                <w:b/>
                <w:bCs/>
                <w:sz w:val="24"/>
                <w:szCs w:val="24"/>
              </w:rPr>
              <w:t>Prevalence of</w:t>
            </w:r>
            <w:r w:rsidR="007D7AC9" w:rsidRPr="00B34E01">
              <w:rPr>
                <w:rFonts w:ascii="Times New Roman" w:eastAsia="Calibri" w:hAnsi="Times New Roman" w:cs="Times New Roman"/>
                <w:b/>
                <w:bCs/>
                <w:sz w:val="24"/>
                <w:szCs w:val="24"/>
              </w:rPr>
              <w:t xml:space="preserve"> </w:t>
            </w:r>
            <w:r w:rsidR="00F9061D" w:rsidRPr="00B34E01">
              <w:rPr>
                <w:rFonts w:ascii="Times New Roman" w:hAnsi="Times New Roman" w:cs="Times New Roman"/>
                <w:b/>
                <w:i/>
                <w:sz w:val="24"/>
                <w:szCs w:val="24"/>
              </w:rPr>
              <w:t xml:space="preserve">Salmonella </w:t>
            </w:r>
            <w:r w:rsidR="00F9061D" w:rsidRPr="00B34E01">
              <w:rPr>
                <w:rFonts w:ascii="Times New Roman" w:hAnsi="Times New Roman" w:cs="Times New Roman"/>
                <w:b/>
                <w:sz w:val="24"/>
                <w:szCs w:val="24"/>
              </w:rPr>
              <w:t xml:space="preserve">Species </w:t>
            </w:r>
            <w:r w:rsidR="007D7AC9" w:rsidRPr="00B34E01">
              <w:rPr>
                <w:rFonts w:ascii="Times New Roman" w:eastAsia="Calibri" w:hAnsi="Times New Roman" w:cs="Times New Roman"/>
                <w:b/>
                <w:bCs/>
                <w:sz w:val="24"/>
                <w:szCs w:val="24"/>
              </w:rPr>
              <w:t>N (%)</w:t>
            </w:r>
          </w:p>
        </w:tc>
      </w:tr>
      <w:tr w:rsidR="00595663" w:rsidRPr="00B34E01" w14:paraId="7264759E" w14:textId="77777777" w:rsidTr="007B0591">
        <w:trPr>
          <w:trHeight w:val="542"/>
        </w:trPr>
        <w:tc>
          <w:tcPr>
            <w:tcW w:w="3193" w:type="dxa"/>
            <w:shd w:val="clear" w:color="auto" w:fill="FFFFFF"/>
            <w:hideMark/>
          </w:tcPr>
          <w:p w14:paraId="6A503249" w14:textId="77777777" w:rsidR="007D7AC9" w:rsidRPr="00B34E01" w:rsidRDefault="007D7AC9" w:rsidP="00997189">
            <w:pPr>
              <w:spacing w:after="0" w:line="360" w:lineRule="auto"/>
              <w:jc w:val="both"/>
              <w:rPr>
                <w:rFonts w:ascii="Times New Roman" w:eastAsia="Calibri" w:hAnsi="Times New Roman" w:cs="Times New Roman"/>
                <w:b/>
                <w:bCs/>
                <w:sz w:val="24"/>
                <w:szCs w:val="24"/>
              </w:rPr>
            </w:pPr>
            <w:r w:rsidRPr="00B34E01">
              <w:rPr>
                <w:rFonts w:ascii="Times New Roman" w:eastAsia="Calibri" w:hAnsi="Times New Roman" w:cs="Times New Roman"/>
                <w:b/>
                <w:bCs/>
                <w:sz w:val="24"/>
                <w:szCs w:val="24"/>
              </w:rPr>
              <w:t>0-10</w:t>
            </w:r>
          </w:p>
        </w:tc>
        <w:tc>
          <w:tcPr>
            <w:tcW w:w="3193" w:type="dxa"/>
            <w:tcBorders>
              <w:left w:val="nil"/>
              <w:right w:val="nil"/>
            </w:tcBorders>
            <w:shd w:val="clear" w:color="auto" w:fill="FFFFFF"/>
            <w:hideMark/>
          </w:tcPr>
          <w:p w14:paraId="21A609F1" w14:textId="77777777" w:rsidR="007D7AC9" w:rsidRPr="00B34E01" w:rsidRDefault="007D7AC9" w:rsidP="00997189">
            <w:pPr>
              <w:spacing w:after="0" w:line="360" w:lineRule="auto"/>
              <w:jc w:val="both"/>
              <w:rPr>
                <w:rFonts w:ascii="Times New Roman" w:eastAsia="Calibri" w:hAnsi="Times New Roman" w:cs="Times New Roman"/>
                <w:sz w:val="24"/>
                <w:szCs w:val="24"/>
              </w:rPr>
            </w:pPr>
            <w:r w:rsidRPr="00B34E01">
              <w:rPr>
                <w:rFonts w:ascii="Times New Roman" w:eastAsia="Calibri" w:hAnsi="Times New Roman" w:cs="Times New Roman"/>
                <w:sz w:val="24"/>
                <w:szCs w:val="24"/>
              </w:rPr>
              <w:t>140 (35.00)</w:t>
            </w:r>
          </w:p>
        </w:tc>
        <w:tc>
          <w:tcPr>
            <w:tcW w:w="3571" w:type="dxa"/>
            <w:shd w:val="clear" w:color="auto" w:fill="FFFFFF"/>
            <w:hideMark/>
          </w:tcPr>
          <w:p w14:paraId="79D819D8" w14:textId="77777777" w:rsidR="007D7AC9" w:rsidRPr="00B34E01" w:rsidRDefault="007D7AC9" w:rsidP="00997189">
            <w:pPr>
              <w:spacing w:after="0" w:line="360" w:lineRule="auto"/>
              <w:jc w:val="center"/>
              <w:rPr>
                <w:rFonts w:ascii="Times New Roman" w:eastAsia="Calibri" w:hAnsi="Times New Roman" w:cs="Times New Roman"/>
                <w:sz w:val="24"/>
                <w:szCs w:val="24"/>
              </w:rPr>
            </w:pPr>
            <w:r w:rsidRPr="00B34E01">
              <w:rPr>
                <w:rFonts w:ascii="Times New Roman" w:eastAsia="Calibri" w:hAnsi="Times New Roman" w:cs="Times New Roman"/>
                <w:sz w:val="24"/>
                <w:szCs w:val="24"/>
              </w:rPr>
              <w:t>3 (0.75)</w:t>
            </w:r>
          </w:p>
        </w:tc>
      </w:tr>
      <w:tr w:rsidR="00595663" w:rsidRPr="00B34E01" w14:paraId="78498BCE" w14:textId="77777777" w:rsidTr="007B0591">
        <w:trPr>
          <w:trHeight w:val="564"/>
        </w:trPr>
        <w:tc>
          <w:tcPr>
            <w:tcW w:w="3193" w:type="dxa"/>
            <w:shd w:val="clear" w:color="auto" w:fill="FFFFFF"/>
            <w:hideMark/>
          </w:tcPr>
          <w:p w14:paraId="13011BDF" w14:textId="77777777" w:rsidR="007D7AC9" w:rsidRPr="00B34E01" w:rsidRDefault="007D7AC9" w:rsidP="00997189">
            <w:pPr>
              <w:spacing w:after="0" w:line="360" w:lineRule="auto"/>
              <w:jc w:val="both"/>
              <w:rPr>
                <w:rFonts w:ascii="Times New Roman" w:eastAsia="Calibri" w:hAnsi="Times New Roman" w:cs="Times New Roman"/>
                <w:b/>
                <w:bCs/>
                <w:sz w:val="24"/>
                <w:szCs w:val="24"/>
              </w:rPr>
            </w:pPr>
            <w:r w:rsidRPr="00B34E01">
              <w:rPr>
                <w:rFonts w:ascii="Times New Roman" w:eastAsia="Calibri" w:hAnsi="Times New Roman" w:cs="Times New Roman"/>
                <w:b/>
                <w:bCs/>
                <w:sz w:val="24"/>
                <w:szCs w:val="24"/>
              </w:rPr>
              <w:t>11-20</w:t>
            </w:r>
          </w:p>
        </w:tc>
        <w:tc>
          <w:tcPr>
            <w:tcW w:w="3193" w:type="dxa"/>
            <w:shd w:val="clear" w:color="auto" w:fill="FFFFFF"/>
            <w:hideMark/>
          </w:tcPr>
          <w:p w14:paraId="2C96FC06" w14:textId="77777777" w:rsidR="007D7AC9" w:rsidRPr="00B34E01" w:rsidRDefault="007D7AC9" w:rsidP="00997189">
            <w:pPr>
              <w:spacing w:after="0" w:line="360" w:lineRule="auto"/>
              <w:jc w:val="both"/>
              <w:rPr>
                <w:rFonts w:ascii="Times New Roman" w:eastAsia="Calibri" w:hAnsi="Times New Roman" w:cs="Times New Roman"/>
                <w:sz w:val="24"/>
                <w:szCs w:val="24"/>
              </w:rPr>
            </w:pPr>
            <w:r w:rsidRPr="00B34E01">
              <w:rPr>
                <w:rFonts w:ascii="Times New Roman" w:eastAsia="Calibri" w:hAnsi="Times New Roman" w:cs="Times New Roman"/>
                <w:sz w:val="24"/>
                <w:szCs w:val="24"/>
              </w:rPr>
              <w:t>35 (8.75)</w:t>
            </w:r>
          </w:p>
        </w:tc>
        <w:tc>
          <w:tcPr>
            <w:tcW w:w="3571" w:type="dxa"/>
            <w:shd w:val="clear" w:color="auto" w:fill="FFFFFF"/>
            <w:hideMark/>
          </w:tcPr>
          <w:p w14:paraId="374F4CFE" w14:textId="77777777" w:rsidR="007D7AC9" w:rsidRPr="00B34E01" w:rsidRDefault="007D7AC9" w:rsidP="00997189">
            <w:pPr>
              <w:spacing w:after="0" w:line="360" w:lineRule="auto"/>
              <w:jc w:val="center"/>
              <w:rPr>
                <w:rFonts w:ascii="Times New Roman" w:eastAsia="Calibri" w:hAnsi="Times New Roman" w:cs="Times New Roman"/>
                <w:sz w:val="24"/>
                <w:szCs w:val="24"/>
              </w:rPr>
            </w:pPr>
            <w:r w:rsidRPr="00B34E01">
              <w:rPr>
                <w:rFonts w:ascii="Times New Roman" w:eastAsia="Calibri" w:hAnsi="Times New Roman" w:cs="Times New Roman"/>
                <w:sz w:val="24"/>
                <w:szCs w:val="24"/>
              </w:rPr>
              <w:t>5 (1.25)</w:t>
            </w:r>
          </w:p>
        </w:tc>
      </w:tr>
      <w:tr w:rsidR="00595663" w:rsidRPr="00B34E01" w14:paraId="47BD3B59" w14:textId="77777777" w:rsidTr="007B0591">
        <w:trPr>
          <w:trHeight w:val="542"/>
        </w:trPr>
        <w:tc>
          <w:tcPr>
            <w:tcW w:w="3193" w:type="dxa"/>
            <w:shd w:val="clear" w:color="auto" w:fill="FFFFFF"/>
            <w:hideMark/>
          </w:tcPr>
          <w:p w14:paraId="38854E61" w14:textId="77777777" w:rsidR="007D7AC9" w:rsidRPr="00B34E01" w:rsidRDefault="007D7AC9" w:rsidP="00997189">
            <w:pPr>
              <w:spacing w:after="0" w:line="360" w:lineRule="auto"/>
              <w:jc w:val="both"/>
              <w:rPr>
                <w:rFonts w:ascii="Times New Roman" w:eastAsia="Calibri" w:hAnsi="Times New Roman" w:cs="Times New Roman"/>
                <w:b/>
                <w:bCs/>
                <w:sz w:val="24"/>
                <w:szCs w:val="24"/>
              </w:rPr>
            </w:pPr>
            <w:r w:rsidRPr="00B34E01">
              <w:rPr>
                <w:rFonts w:ascii="Times New Roman" w:eastAsia="Calibri" w:hAnsi="Times New Roman" w:cs="Times New Roman"/>
                <w:b/>
                <w:bCs/>
                <w:sz w:val="24"/>
                <w:szCs w:val="24"/>
              </w:rPr>
              <w:t>21-30</w:t>
            </w:r>
          </w:p>
        </w:tc>
        <w:tc>
          <w:tcPr>
            <w:tcW w:w="3193" w:type="dxa"/>
            <w:tcBorders>
              <w:left w:val="nil"/>
              <w:right w:val="nil"/>
            </w:tcBorders>
            <w:shd w:val="clear" w:color="auto" w:fill="FFFFFF"/>
            <w:hideMark/>
          </w:tcPr>
          <w:p w14:paraId="6D1CB27B" w14:textId="77777777" w:rsidR="007D7AC9" w:rsidRPr="00B34E01" w:rsidRDefault="007D7AC9" w:rsidP="00997189">
            <w:pPr>
              <w:spacing w:after="0" w:line="360" w:lineRule="auto"/>
              <w:jc w:val="both"/>
              <w:rPr>
                <w:rFonts w:ascii="Times New Roman" w:eastAsia="Calibri" w:hAnsi="Times New Roman" w:cs="Times New Roman"/>
                <w:sz w:val="24"/>
                <w:szCs w:val="24"/>
              </w:rPr>
            </w:pPr>
            <w:r w:rsidRPr="00B34E01">
              <w:rPr>
                <w:rFonts w:ascii="Times New Roman" w:eastAsia="Calibri" w:hAnsi="Times New Roman" w:cs="Times New Roman"/>
                <w:sz w:val="24"/>
                <w:szCs w:val="24"/>
              </w:rPr>
              <w:t>68 (17.00)</w:t>
            </w:r>
          </w:p>
        </w:tc>
        <w:tc>
          <w:tcPr>
            <w:tcW w:w="3571" w:type="dxa"/>
            <w:shd w:val="clear" w:color="auto" w:fill="FFFFFF"/>
            <w:hideMark/>
          </w:tcPr>
          <w:p w14:paraId="00F81153" w14:textId="77777777" w:rsidR="007D7AC9" w:rsidRPr="00B34E01" w:rsidRDefault="007D7AC9" w:rsidP="00997189">
            <w:pPr>
              <w:spacing w:after="0" w:line="360" w:lineRule="auto"/>
              <w:jc w:val="center"/>
              <w:rPr>
                <w:rFonts w:ascii="Times New Roman" w:eastAsia="Calibri" w:hAnsi="Times New Roman" w:cs="Times New Roman"/>
                <w:sz w:val="24"/>
                <w:szCs w:val="24"/>
              </w:rPr>
            </w:pPr>
            <w:r w:rsidRPr="00B34E01">
              <w:rPr>
                <w:rFonts w:ascii="Times New Roman" w:eastAsia="Calibri" w:hAnsi="Times New Roman" w:cs="Times New Roman"/>
                <w:sz w:val="24"/>
                <w:szCs w:val="24"/>
              </w:rPr>
              <w:t>2 (0.50)</w:t>
            </w:r>
          </w:p>
        </w:tc>
      </w:tr>
      <w:tr w:rsidR="00595663" w:rsidRPr="00B34E01" w14:paraId="679A459D" w14:textId="77777777" w:rsidTr="007B0591">
        <w:trPr>
          <w:trHeight w:val="542"/>
        </w:trPr>
        <w:tc>
          <w:tcPr>
            <w:tcW w:w="3193" w:type="dxa"/>
            <w:shd w:val="clear" w:color="auto" w:fill="FFFFFF"/>
            <w:hideMark/>
          </w:tcPr>
          <w:p w14:paraId="419AA6E4" w14:textId="77777777" w:rsidR="007D7AC9" w:rsidRPr="00B34E01" w:rsidRDefault="007D7AC9" w:rsidP="00997189">
            <w:pPr>
              <w:spacing w:after="0" w:line="360" w:lineRule="auto"/>
              <w:jc w:val="both"/>
              <w:rPr>
                <w:rFonts w:ascii="Times New Roman" w:eastAsia="Calibri" w:hAnsi="Times New Roman" w:cs="Times New Roman"/>
                <w:b/>
                <w:bCs/>
                <w:sz w:val="24"/>
                <w:szCs w:val="24"/>
              </w:rPr>
            </w:pPr>
            <w:r w:rsidRPr="00B34E01">
              <w:rPr>
                <w:rFonts w:ascii="Times New Roman" w:eastAsia="Calibri" w:hAnsi="Times New Roman" w:cs="Times New Roman"/>
                <w:b/>
                <w:bCs/>
                <w:sz w:val="24"/>
                <w:szCs w:val="24"/>
              </w:rPr>
              <w:t>31-40</w:t>
            </w:r>
          </w:p>
        </w:tc>
        <w:tc>
          <w:tcPr>
            <w:tcW w:w="3193" w:type="dxa"/>
            <w:shd w:val="clear" w:color="auto" w:fill="FFFFFF"/>
            <w:hideMark/>
          </w:tcPr>
          <w:p w14:paraId="65014ACC" w14:textId="77777777" w:rsidR="007D7AC9" w:rsidRPr="00B34E01" w:rsidRDefault="007D7AC9" w:rsidP="00997189">
            <w:pPr>
              <w:spacing w:after="0" w:line="360" w:lineRule="auto"/>
              <w:jc w:val="both"/>
              <w:rPr>
                <w:rFonts w:ascii="Times New Roman" w:eastAsia="Calibri" w:hAnsi="Times New Roman" w:cs="Times New Roman"/>
                <w:sz w:val="24"/>
                <w:szCs w:val="24"/>
              </w:rPr>
            </w:pPr>
            <w:r w:rsidRPr="00B34E01">
              <w:rPr>
                <w:rFonts w:ascii="Times New Roman" w:eastAsia="Calibri" w:hAnsi="Times New Roman" w:cs="Times New Roman"/>
                <w:sz w:val="24"/>
                <w:szCs w:val="24"/>
              </w:rPr>
              <w:t>83 (20.75)</w:t>
            </w:r>
          </w:p>
        </w:tc>
        <w:tc>
          <w:tcPr>
            <w:tcW w:w="3571" w:type="dxa"/>
            <w:shd w:val="clear" w:color="auto" w:fill="FFFFFF"/>
            <w:hideMark/>
          </w:tcPr>
          <w:p w14:paraId="7D9F695E" w14:textId="77777777" w:rsidR="007D7AC9" w:rsidRPr="00B34E01" w:rsidRDefault="007D7AC9" w:rsidP="00997189">
            <w:pPr>
              <w:spacing w:after="0" w:line="360" w:lineRule="auto"/>
              <w:jc w:val="center"/>
              <w:rPr>
                <w:rFonts w:ascii="Times New Roman" w:eastAsia="Calibri" w:hAnsi="Times New Roman" w:cs="Times New Roman"/>
                <w:sz w:val="24"/>
                <w:szCs w:val="24"/>
              </w:rPr>
            </w:pPr>
            <w:r w:rsidRPr="00B34E01">
              <w:rPr>
                <w:rFonts w:ascii="Times New Roman" w:eastAsia="Calibri" w:hAnsi="Times New Roman" w:cs="Times New Roman"/>
                <w:sz w:val="24"/>
                <w:szCs w:val="24"/>
              </w:rPr>
              <w:t>2 (0.50)</w:t>
            </w:r>
          </w:p>
        </w:tc>
      </w:tr>
      <w:tr w:rsidR="00595663" w:rsidRPr="00B34E01" w14:paraId="57733ABA" w14:textId="77777777" w:rsidTr="007B0591">
        <w:trPr>
          <w:trHeight w:val="542"/>
        </w:trPr>
        <w:tc>
          <w:tcPr>
            <w:tcW w:w="3193" w:type="dxa"/>
            <w:shd w:val="clear" w:color="auto" w:fill="FFFFFF"/>
            <w:hideMark/>
          </w:tcPr>
          <w:p w14:paraId="246D8BA7" w14:textId="77777777" w:rsidR="007D7AC9" w:rsidRPr="00B34E01" w:rsidRDefault="007D7AC9" w:rsidP="00997189">
            <w:pPr>
              <w:spacing w:after="0" w:line="360" w:lineRule="auto"/>
              <w:jc w:val="both"/>
              <w:rPr>
                <w:rFonts w:ascii="Times New Roman" w:eastAsia="Calibri" w:hAnsi="Times New Roman" w:cs="Times New Roman"/>
                <w:b/>
                <w:bCs/>
                <w:sz w:val="24"/>
                <w:szCs w:val="24"/>
              </w:rPr>
            </w:pPr>
            <w:r w:rsidRPr="00B34E01">
              <w:rPr>
                <w:rFonts w:ascii="Times New Roman" w:eastAsia="Calibri" w:hAnsi="Times New Roman" w:cs="Times New Roman"/>
                <w:b/>
                <w:bCs/>
                <w:sz w:val="24"/>
                <w:szCs w:val="24"/>
              </w:rPr>
              <w:t>41-50</w:t>
            </w:r>
          </w:p>
        </w:tc>
        <w:tc>
          <w:tcPr>
            <w:tcW w:w="3193" w:type="dxa"/>
            <w:tcBorders>
              <w:left w:val="nil"/>
              <w:right w:val="nil"/>
            </w:tcBorders>
            <w:shd w:val="clear" w:color="auto" w:fill="FFFFFF"/>
            <w:hideMark/>
          </w:tcPr>
          <w:p w14:paraId="19934390" w14:textId="77777777" w:rsidR="007D7AC9" w:rsidRPr="00B34E01" w:rsidRDefault="007D7AC9" w:rsidP="00997189">
            <w:pPr>
              <w:spacing w:after="0" w:line="360" w:lineRule="auto"/>
              <w:jc w:val="both"/>
              <w:rPr>
                <w:rFonts w:ascii="Times New Roman" w:eastAsia="Calibri" w:hAnsi="Times New Roman" w:cs="Times New Roman"/>
                <w:sz w:val="24"/>
                <w:szCs w:val="24"/>
              </w:rPr>
            </w:pPr>
            <w:r w:rsidRPr="00B34E01">
              <w:rPr>
                <w:rFonts w:ascii="Times New Roman" w:eastAsia="Calibri" w:hAnsi="Times New Roman" w:cs="Times New Roman"/>
                <w:sz w:val="24"/>
                <w:szCs w:val="24"/>
              </w:rPr>
              <w:t>41 (10.25)</w:t>
            </w:r>
          </w:p>
        </w:tc>
        <w:tc>
          <w:tcPr>
            <w:tcW w:w="3571" w:type="dxa"/>
            <w:shd w:val="clear" w:color="auto" w:fill="FFFFFF"/>
            <w:hideMark/>
          </w:tcPr>
          <w:p w14:paraId="4193A023" w14:textId="77777777" w:rsidR="007D7AC9" w:rsidRPr="00B34E01" w:rsidRDefault="007D7AC9" w:rsidP="00997189">
            <w:pPr>
              <w:spacing w:after="0" w:line="360" w:lineRule="auto"/>
              <w:jc w:val="center"/>
              <w:rPr>
                <w:rFonts w:ascii="Times New Roman" w:eastAsia="Calibri" w:hAnsi="Times New Roman" w:cs="Times New Roman"/>
                <w:sz w:val="24"/>
                <w:szCs w:val="24"/>
              </w:rPr>
            </w:pPr>
            <w:r w:rsidRPr="00B34E01">
              <w:rPr>
                <w:rFonts w:ascii="Times New Roman" w:eastAsia="Calibri" w:hAnsi="Times New Roman" w:cs="Times New Roman"/>
                <w:sz w:val="24"/>
                <w:szCs w:val="24"/>
              </w:rPr>
              <w:t>1 (0.25)</w:t>
            </w:r>
          </w:p>
        </w:tc>
      </w:tr>
      <w:tr w:rsidR="00595663" w:rsidRPr="00B34E01" w14:paraId="4A24C212" w14:textId="77777777" w:rsidTr="007B0591">
        <w:trPr>
          <w:trHeight w:val="588"/>
        </w:trPr>
        <w:tc>
          <w:tcPr>
            <w:tcW w:w="3193" w:type="dxa"/>
            <w:shd w:val="clear" w:color="auto" w:fill="FFFFFF"/>
            <w:hideMark/>
          </w:tcPr>
          <w:p w14:paraId="7AA0CD81" w14:textId="77777777" w:rsidR="007D7AC9" w:rsidRPr="00B34E01" w:rsidRDefault="007D7AC9" w:rsidP="00997189">
            <w:pPr>
              <w:spacing w:after="0" w:line="360" w:lineRule="auto"/>
              <w:jc w:val="both"/>
              <w:rPr>
                <w:rFonts w:ascii="Times New Roman" w:eastAsia="Calibri" w:hAnsi="Times New Roman" w:cs="Times New Roman"/>
                <w:b/>
                <w:bCs/>
                <w:sz w:val="24"/>
                <w:szCs w:val="24"/>
              </w:rPr>
            </w:pPr>
            <w:r w:rsidRPr="00B34E01">
              <w:rPr>
                <w:rFonts w:ascii="Times New Roman" w:eastAsia="Calibri" w:hAnsi="Times New Roman" w:cs="Times New Roman"/>
                <w:b/>
                <w:bCs/>
                <w:sz w:val="24"/>
                <w:szCs w:val="24"/>
              </w:rPr>
              <w:t>51 and above</w:t>
            </w:r>
          </w:p>
        </w:tc>
        <w:tc>
          <w:tcPr>
            <w:tcW w:w="3193" w:type="dxa"/>
            <w:shd w:val="clear" w:color="auto" w:fill="FFFFFF"/>
            <w:hideMark/>
          </w:tcPr>
          <w:p w14:paraId="05F8C933" w14:textId="77777777" w:rsidR="007D7AC9" w:rsidRPr="00B34E01" w:rsidRDefault="007D7AC9" w:rsidP="00997189">
            <w:pPr>
              <w:spacing w:after="0" w:line="360" w:lineRule="auto"/>
              <w:jc w:val="both"/>
              <w:rPr>
                <w:rFonts w:ascii="Times New Roman" w:eastAsia="Calibri" w:hAnsi="Times New Roman" w:cs="Times New Roman"/>
                <w:sz w:val="24"/>
                <w:szCs w:val="24"/>
              </w:rPr>
            </w:pPr>
            <w:r w:rsidRPr="00B34E01">
              <w:rPr>
                <w:rFonts w:ascii="Times New Roman" w:eastAsia="Calibri" w:hAnsi="Times New Roman" w:cs="Times New Roman"/>
                <w:sz w:val="24"/>
                <w:szCs w:val="24"/>
              </w:rPr>
              <w:t>33 (8.25)</w:t>
            </w:r>
          </w:p>
        </w:tc>
        <w:tc>
          <w:tcPr>
            <w:tcW w:w="3571" w:type="dxa"/>
            <w:shd w:val="clear" w:color="auto" w:fill="FFFFFF"/>
            <w:hideMark/>
          </w:tcPr>
          <w:p w14:paraId="344B5C68" w14:textId="77777777" w:rsidR="007D7AC9" w:rsidRPr="00B34E01" w:rsidRDefault="007D7AC9" w:rsidP="00997189">
            <w:pPr>
              <w:spacing w:after="0" w:line="360" w:lineRule="auto"/>
              <w:jc w:val="center"/>
              <w:rPr>
                <w:rFonts w:ascii="Times New Roman" w:eastAsia="Calibri" w:hAnsi="Times New Roman" w:cs="Times New Roman"/>
                <w:sz w:val="24"/>
                <w:szCs w:val="24"/>
              </w:rPr>
            </w:pPr>
            <w:r w:rsidRPr="00B34E01">
              <w:rPr>
                <w:rFonts w:ascii="Times New Roman" w:eastAsia="Calibri" w:hAnsi="Times New Roman" w:cs="Times New Roman"/>
                <w:sz w:val="24"/>
                <w:szCs w:val="24"/>
              </w:rPr>
              <w:t>1 (0.25)</w:t>
            </w:r>
          </w:p>
        </w:tc>
      </w:tr>
      <w:tr w:rsidR="00595663" w:rsidRPr="00B34E01" w14:paraId="53E9B3AE" w14:textId="77777777" w:rsidTr="007B0591">
        <w:trPr>
          <w:trHeight w:val="588"/>
        </w:trPr>
        <w:tc>
          <w:tcPr>
            <w:tcW w:w="3193" w:type="dxa"/>
            <w:shd w:val="clear" w:color="auto" w:fill="FFFFFF"/>
            <w:hideMark/>
          </w:tcPr>
          <w:p w14:paraId="7F360088" w14:textId="77777777" w:rsidR="007D7AC9" w:rsidRPr="00B34E01" w:rsidRDefault="007D7AC9" w:rsidP="00997189">
            <w:pPr>
              <w:spacing w:after="0" w:line="360" w:lineRule="auto"/>
              <w:jc w:val="both"/>
              <w:rPr>
                <w:rFonts w:ascii="Times New Roman" w:eastAsia="Calibri" w:hAnsi="Times New Roman" w:cs="Times New Roman"/>
                <w:b/>
                <w:bCs/>
                <w:sz w:val="24"/>
                <w:szCs w:val="24"/>
              </w:rPr>
            </w:pPr>
            <w:r w:rsidRPr="00B34E01">
              <w:rPr>
                <w:rFonts w:ascii="Times New Roman" w:eastAsia="Calibri" w:hAnsi="Times New Roman" w:cs="Times New Roman"/>
                <w:b/>
                <w:bCs/>
                <w:sz w:val="24"/>
                <w:szCs w:val="24"/>
              </w:rPr>
              <w:t>TOTAL</w:t>
            </w:r>
          </w:p>
        </w:tc>
        <w:tc>
          <w:tcPr>
            <w:tcW w:w="3193" w:type="dxa"/>
            <w:tcBorders>
              <w:left w:val="nil"/>
              <w:right w:val="nil"/>
            </w:tcBorders>
            <w:shd w:val="clear" w:color="auto" w:fill="FFFFFF"/>
            <w:hideMark/>
          </w:tcPr>
          <w:p w14:paraId="55BF52FF" w14:textId="77777777" w:rsidR="007D7AC9" w:rsidRPr="00B34E01" w:rsidRDefault="007D7AC9" w:rsidP="00997189">
            <w:pPr>
              <w:spacing w:after="0" w:line="360" w:lineRule="auto"/>
              <w:jc w:val="both"/>
              <w:rPr>
                <w:rFonts w:ascii="Times New Roman" w:eastAsia="Calibri" w:hAnsi="Times New Roman" w:cs="Times New Roman"/>
                <w:sz w:val="24"/>
                <w:szCs w:val="24"/>
              </w:rPr>
            </w:pPr>
            <w:r w:rsidRPr="00B34E01">
              <w:rPr>
                <w:rFonts w:ascii="Times New Roman" w:eastAsia="Calibri" w:hAnsi="Times New Roman" w:cs="Times New Roman"/>
                <w:sz w:val="24"/>
                <w:szCs w:val="24"/>
              </w:rPr>
              <w:t>400 (100.00)</w:t>
            </w:r>
          </w:p>
        </w:tc>
        <w:tc>
          <w:tcPr>
            <w:tcW w:w="3571" w:type="dxa"/>
            <w:shd w:val="clear" w:color="auto" w:fill="FFFFFF"/>
            <w:hideMark/>
          </w:tcPr>
          <w:p w14:paraId="27DFE890" w14:textId="77777777" w:rsidR="007D7AC9" w:rsidRPr="00B34E01" w:rsidRDefault="007D7AC9" w:rsidP="00997189">
            <w:pPr>
              <w:spacing w:after="0" w:line="360" w:lineRule="auto"/>
              <w:jc w:val="center"/>
              <w:rPr>
                <w:rFonts w:ascii="Times New Roman" w:eastAsia="Calibri" w:hAnsi="Times New Roman" w:cs="Times New Roman"/>
                <w:sz w:val="24"/>
                <w:szCs w:val="24"/>
              </w:rPr>
            </w:pPr>
            <w:r w:rsidRPr="00B34E01">
              <w:rPr>
                <w:rFonts w:ascii="Times New Roman" w:eastAsia="Calibri" w:hAnsi="Times New Roman" w:cs="Times New Roman"/>
                <w:sz w:val="24"/>
                <w:szCs w:val="24"/>
              </w:rPr>
              <w:t>14 (3.50)</w:t>
            </w:r>
          </w:p>
        </w:tc>
      </w:tr>
    </w:tbl>
    <w:p w14:paraId="479EEC1C" w14:textId="77777777" w:rsidR="007D7AC9" w:rsidRPr="00B34E01" w:rsidRDefault="007D7AC9" w:rsidP="00997189">
      <w:pPr>
        <w:spacing w:after="0" w:line="360" w:lineRule="auto"/>
        <w:jc w:val="both"/>
        <w:rPr>
          <w:rFonts w:ascii="Times New Roman" w:hAnsi="Times New Roman" w:cs="Times New Roman"/>
          <w:sz w:val="24"/>
          <w:szCs w:val="24"/>
        </w:rPr>
      </w:pPr>
    </w:p>
    <w:p w14:paraId="36D4B61B" w14:textId="77777777" w:rsidR="007D7AC9" w:rsidRPr="00B34E01" w:rsidRDefault="00D85007" w:rsidP="00997189">
      <w:pPr>
        <w:spacing w:after="0" w:line="360" w:lineRule="auto"/>
        <w:rPr>
          <w:rFonts w:ascii="Times New Roman" w:hAnsi="Times New Roman" w:cs="Times New Roman"/>
          <w:b/>
          <w:sz w:val="24"/>
          <w:szCs w:val="24"/>
        </w:rPr>
      </w:pPr>
      <w:r w:rsidRPr="00B34E01">
        <w:rPr>
          <w:rFonts w:ascii="Times New Roman" w:hAnsi="Times New Roman" w:cs="Times New Roman"/>
          <w:b/>
          <w:sz w:val="24"/>
          <w:szCs w:val="24"/>
        </w:rPr>
        <w:t>Table 2</w:t>
      </w:r>
      <w:r w:rsidR="007D7AC9" w:rsidRPr="00B34E01">
        <w:rPr>
          <w:rFonts w:ascii="Times New Roman" w:hAnsi="Times New Roman" w:cs="Times New Roman"/>
          <w:b/>
          <w:sz w:val="24"/>
          <w:szCs w:val="24"/>
        </w:rPr>
        <w:t xml:space="preserve">: </w:t>
      </w:r>
      <w:r w:rsidR="009A7659" w:rsidRPr="00B34E01">
        <w:rPr>
          <w:rFonts w:ascii="Times New Roman" w:eastAsia="Calibri" w:hAnsi="Times New Roman" w:cs="Times New Roman"/>
          <w:b/>
          <w:bCs/>
          <w:sz w:val="24"/>
          <w:szCs w:val="24"/>
        </w:rPr>
        <w:t>Prevalence</w:t>
      </w:r>
      <w:r w:rsidR="007D7AC9" w:rsidRPr="00B34E01">
        <w:rPr>
          <w:rFonts w:ascii="Times New Roman" w:hAnsi="Times New Roman" w:cs="Times New Roman"/>
          <w:b/>
          <w:sz w:val="24"/>
          <w:szCs w:val="24"/>
        </w:rPr>
        <w:t xml:space="preserve"> of </w:t>
      </w:r>
      <w:r w:rsidR="00CD6AA2" w:rsidRPr="00B34E01">
        <w:rPr>
          <w:rFonts w:ascii="Times New Roman" w:hAnsi="Times New Roman" w:cs="Times New Roman"/>
          <w:b/>
          <w:i/>
          <w:sz w:val="24"/>
          <w:szCs w:val="24"/>
        </w:rPr>
        <w:t xml:space="preserve">Salmonella </w:t>
      </w:r>
      <w:r w:rsidR="00F9061D" w:rsidRPr="00B34E01">
        <w:rPr>
          <w:rFonts w:ascii="Times New Roman" w:hAnsi="Times New Roman" w:cs="Times New Roman"/>
          <w:b/>
          <w:sz w:val="24"/>
          <w:szCs w:val="24"/>
        </w:rPr>
        <w:t>Species</w:t>
      </w:r>
      <w:r w:rsidR="00CD6AA2" w:rsidRPr="00B34E01">
        <w:rPr>
          <w:rFonts w:ascii="Times New Roman" w:hAnsi="Times New Roman" w:cs="Times New Roman"/>
          <w:b/>
          <w:i/>
          <w:sz w:val="24"/>
          <w:szCs w:val="24"/>
        </w:rPr>
        <w:t xml:space="preserve"> </w:t>
      </w:r>
      <w:r w:rsidR="007D7AC9" w:rsidRPr="00B34E01">
        <w:rPr>
          <w:rFonts w:ascii="Times New Roman" w:hAnsi="Times New Roman" w:cs="Times New Roman"/>
          <w:b/>
          <w:sz w:val="24"/>
          <w:szCs w:val="24"/>
        </w:rPr>
        <w:t>Isolates by Gender</w:t>
      </w:r>
    </w:p>
    <w:tbl>
      <w:tblPr>
        <w:tblStyle w:val="ListTable6Colorful"/>
        <w:tblW w:w="10051" w:type="dxa"/>
        <w:shd w:val="clear" w:color="auto" w:fill="FFFFFF" w:themeFill="background1"/>
        <w:tblLook w:val="04A0" w:firstRow="1" w:lastRow="0" w:firstColumn="1" w:lastColumn="0" w:noHBand="0" w:noVBand="1"/>
      </w:tblPr>
      <w:tblGrid>
        <w:gridCol w:w="3349"/>
        <w:gridCol w:w="3351"/>
        <w:gridCol w:w="3351"/>
      </w:tblGrid>
      <w:tr w:rsidR="00595663" w:rsidRPr="00B34E01" w14:paraId="1A3BBCF6" w14:textId="77777777" w:rsidTr="007B0591">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195AEBAC" w14:textId="77777777" w:rsidR="007D7AC9" w:rsidRPr="00B34E01" w:rsidRDefault="007D7AC9" w:rsidP="00997189">
            <w:pPr>
              <w:spacing w:after="0" w:line="360" w:lineRule="auto"/>
              <w:rPr>
                <w:rFonts w:ascii="Times New Roman" w:hAnsi="Times New Roman" w:cs="Times New Roman"/>
                <w:color w:val="auto"/>
                <w:sz w:val="24"/>
                <w:szCs w:val="24"/>
              </w:rPr>
            </w:pPr>
            <w:r w:rsidRPr="00B34E01">
              <w:rPr>
                <w:rFonts w:ascii="Times New Roman" w:hAnsi="Times New Roman" w:cs="Times New Roman"/>
                <w:color w:val="auto"/>
                <w:sz w:val="24"/>
                <w:szCs w:val="24"/>
              </w:rPr>
              <w:t>Gender</w:t>
            </w:r>
          </w:p>
        </w:tc>
        <w:tc>
          <w:tcPr>
            <w:tcW w:w="3351" w:type="dxa"/>
            <w:shd w:val="clear" w:color="auto" w:fill="FFFFFF" w:themeFill="background1"/>
          </w:tcPr>
          <w:p w14:paraId="500FF25C" w14:textId="77777777" w:rsidR="007D7AC9" w:rsidRPr="00B34E01" w:rsidRDefault="007D7AC9" w:rsidP="00997189">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34E01">
              <w:rPr>
                <w:rFonts w:ascii="Times New Roman" w:hAnsi="Times New Roman" w:cs="Times New Roman"/>
                <w:color w:val="auto"/>
                <w:sz w:val="24"/>
                <w:szCs w:val="24"/>
              </w:rPr>
              <w:t>No. Examined (%)</w:t>
            </w:r>
          </w:p>
        </w:tc>
        <w:tc>
          <w:tcPr>
            <w:tcW w:w="3351" w:type="dxa"/>
            <w:shd w:val="clear" w:color="auto" w:fill="FFFFFF" w:themeFill="background1"/>
          </w:tcPr>
          <w:p w14:paraId="0ED19B33" w14:textId="77777777" w:rsidR="007D7AC9" w:rsidRPr="00B34E01" w:rsidRDefault="009A7659"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34E01">
              <w:rPr>
                <w:rFonts w:ascii="Times New Roman" w:eastAsia="Calibri" w:hAnsi="Times New Roman" w:cs="Times New Roman"/>
                <w:bCs w:val="0"/>
                <w:sz w:val="24"/>
                <w:szCs w:val="24"/>
              </w:rPr>
              <w:t>Prevalence</w:t>
            </w:r>
            <w:r w:rsidR="007D7AC9" w:rsidRPr="00B34E01">
              <w:rPr>
                <w:rFonts w:ascii="Times New Roman" w:eastAsia="Calibri" w:hAnsi="Times New Roman" w:cs="Times New Roman"/>
                <w:color w:val="auto"/>
                <w:sz w:val="24"/>
                <w:szCs w:val="24"/>
              </w:rPr>
              <w:t xml:space="preserve"> of </w:t>
            </w:r>
            <w:r w:rsidR="004A6910" w:rsidRPr="00B34E01">
              <w:rPr>
                <w:rFonts w:ascii="Times New Roman" w:hAnsi="Times New Roman" w:cs="Times New Roman"/>
                <w:i/>
                <w:color w:val="auto"/>
                <w:sz w:val="24"/>
                <w:szCs w:val="24"/>
              </w:rPr>
              <w:t xml:space="preserve">Salmonella </w:t>
            </w:r>
            <w:r w:rsidR="003C124D" w:rsidRPr="00B34E01">
              <w:rPr>
                <w:rFonts w:ascii="Times New Roman" w:hAnsi="Times New Roman" w:cs="Times New Roman"/>
                <w:color w:val="auto"/>
                <w:sz w:val="24"/>
                <w:szCs w:val="24"/>
              </w:rPr>
              <w:t>species</w:t>
            </w:r>
            <w:r w:rsidR="004A6910" w:rsidRPr="00B34E01">
              <w:rPr>
                <w:rFonts w:ascii="Times New Roman" w:hAnsi="Times New Roman" w:cs="Times New Roman"/>
                <w:i/>
                <w:color w:val="auto"/>
                <w:sz w:val="24"/>
                <w:szCs w:val="24"/>
              </w:rPr>
              <w:t xml:space="preserve"> </w:t>
            </w:r>
            <w:r w:rsidR="007D7AC9" w:rsidRPr="00B34E01">
              <w:rPr>
                <w:rFonts w:ascii="Times New Roman" w:eastAsia="Calibri" w:hAnsi="Times New Roman" w:cs="Times New Roman"/>
                <w:color w:val="auto"/>
                <w:sz w:val="24"/>
                <w:szCs w:val="24"/>
              </w:rPr>
              <w:t>N (%)</w:t>
            </w:r>
          </w:p>
        </w:tc>
      </w:tr>
      <w:tr w:rsidR="00595663" w:rsidRPr="00B34E01" w14:paraId="19EF9819" w14:textId="77777777" w:rsidTr="007B059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00CCDD26" w14:textId="77777777" w:rsidR="007D7AC9" w:rsidRPr="00B34E01" w:rsidRDefault="007D7AC9" w:rsidP="00997189">
            <w:pPr>
              <w:spacing w:after="0" w:line="360" w:lineRule="auto"/>
              <w:rPr>
                <w:rFonts w:ascii="Times New Roman" w:hAnsi="Times New Roman" w:cs="Times New Roman"/>
                <w:color w:val="auto"/>
                <w:sz w:val="24"/>
                <w:szCs w:val="24"/>
              </w:rPr>
            </w:pPr>
            <w:r w:rsidRPr="00B34E01">
              <w:rPr>
                <w:rFonts w:ascii="Times New Roman" w:hAnsi="Times New Roman" w:cs="Times New Roman"/>
                <w:color w:val="auto"/>
                <w:sz w:val="24"/>
                <w:szCs w:val="24"/>
              </w:rPr>
              <w:t>Male</w:t>
            </w:r>
          </w:p>
        </w:tc>
        <w:tc>
          <w:tcPr>
            <w:tcW w:w="3351" w:type="dxa"/>
            <w:shd w:val="clear" w:color="auto" w:fill="FFFFFF" w:themeFill="background1"/>
          </w:tcPr>
          <w:p w14:paraId="4E4C9B9F" w14:textId="77777777" w:rsidR="007D7AC9" w:rsidRPr="00B34E01" w:rsidRDefault="007D7AC9" w:rsidP="0099718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34E01">
              <w:rPr>
                <w:rFonts w:ascii="Times New Roman" w:hAnsi="Times New Roman" w:cs="Times New Roman"/>
                <w:color w:val="auto"/>
                <w:sz w:val="24"/>
                <w:szCs w:val="24"/>
              </w:rPr>
              <w:t>189 (47.25)</w:t>
            </w:r>
          </w:p>
        </w:tc>
        <w:tc>
          <w:tcPr>
            <w:tcW w:w="3351" w:type="dxa"/>
            <w:shd w:val="clear" w:color="auto" w:fill="FFFFFF" w:themeFill="background1"/>
          </w:tcPr>
          <w:p w14:paraId="6BFB1207" w14:textId="77777777" w:rsidR="007D7AC9" w:rsidRPr="00B34E01" w:rsidRDefault="007D7AC9"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34E01">
              <w:rPr>
                <w:rFonts w:ascii="Times New Roman" w:hAnsi="Times New Roman" w:cs="Times New Roman"/>
                <w:color w:val="auto"/>
                <w:sz w:val="24"/>
                <w:szCs w:val="24"/>
              </w:rPr>
              <w:t>8 (2.00)</w:t>
            </w:r>
          </w:p>
        </w:tc>
      </w:tr>
      <w:tr w:rsidR="00595663" w:rsidRPr="00B34E01" w14:paraId="4C90AE7A" w14:textId="77777777" w:rsidTr="007B0591">
        <w:trPr>
          <w:trHeight w:val="54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17AAACCF" w14:textId="77777777" w:rsidR="007D7AC9" w:rsidRPr="00B34E01" w:rsidRDefault="007D7AC9" w:rsidP="00997189">
            <w:pPr>
              <w:spacing w:after="0" w:line="360" w:lineRule="auto"/>
              <w:rPr>
                <w:rFonts w:ascii="Times New Roman" w:hAnsi="Times New Roman" w:cs="Times New Roman"/>
                <w:color w:val="auto"/>
                <w:sz w:val="24"/>
                <w:szCs w:val="24"/>
              </w:rPr>
            </w:pPr>
            <w:r w:rsidRPr="00B34E01">
              <w:rPr>
                <w:rFonts w:ascii="Times New Roman" w:hAnsi="Times New Roman" w:cs="Times New Roman"/>
                <w:color w:val="auto"/>
                <w:sz w:val="24"/>
                <w:szCs w:val="24"/>
              </w:rPr>
              <w:t>Female</w:t>
            </w:r>
          </w:p>
        </w:tc>
        <w:tc>
          <w:tcPr>
            <w:tcW w:w="3351" w:type="dxa"/>
            <w:shd w:val="clear" w:color="auto" w:fill="FFFFFF" w:themeFill="background1"/>
          </w:tcPr>
          <w:p w14:paraId="09B43DBF" w14:textId="77777777" w:rsidR="007D7AC9" w:rsidRPr="00B34E01" w:rsidRDefault="007D7AC9" w:rsidP="00997189">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34E01">
              <w:rPr>
                <w:rFonts w:ascii="Times New Roman" w:hAnsi="Times New Roman" w:cs="Times New Roman"/>
                <w:color w:val="auto"/>
                <w:sz w:val="24"/>
                <w:szCs w:val="24"/>
              </w:rPr>
              <w:t>211 (52.75)</w:t>
            </w:r>
          </w:p>
        </w:tc>
        <w:tc>
          <w:tcPr>
            <w:tcW w:w="3351" w:type="dxa"/>
            <w:shd w:val="clear" w:color="auto" w:fill="FFFFFF" w:themeFill="background1"/>
          </w:tcPr>
          <w:p w14:paraId="62B172DF" w14:textId="77777777" w:rsidR="007D7AC9" w:rsidRPr="00B34E01" w:rsidRDefault="007D7AC9"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34E01">
              <w:rPr>
                <w:rFonts w:ascii="Times New Roman" w:hAnsi="Times New Roman" w:cs="Times New Roman"/>
                <w:color w:val="auto"/>
                <w:sz w:val="24"/>
                <w:szCs w:val="24"/>
              </w:rPr>
              <w:t>6 (1.50)</w:t>
            </w:r>
          </w:p>
        </w:tc>
      </w:tr>
      <w:tr w:rsidR="00595663" w:rsidRPr="00B34E01" w14:paraId="6FE88FD4" w14:textId="77777777" w:rsidTr="007B059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49" w:type="dxa"/>
            <w:shd w:val="clear" w:color="auto" w:fill="FFFFFF" w:themeFill="background1"/>
          </w:tcPr>
          <w:p w14:paraId="65825383" w14:textId="77777777" w:rsidR="007D7AC9" w:rsidRPr="00B34E01" w:rsidRDefault="007D7AC9" w:rsidP="00997189">
            <w:pPr>
              <w:spacing w:after="0" w:line="360" w:lineRule="auto"/>
              <w:rPr>
                <w:rFonts w:ascii="Times New Roman" w:hAnsi="Times New Roman" w:cs="Times New Roman"/>
                <w:color w:val="auto"/>
                <w:sz w:val="24"/>
                <w:szCs w:val="24"/>
              </w:rPr>
            </w:pPr>
            <w:r w:rsidRPr="00B34E01">
              <w:rPr>
                <w:rFonts w:ascii="Times New Roman" w:hAnsi="Times New Roman" w:cs="Times New Roman"/>
                <w:color w:val="auto"/>
                <w:sz w:val="24"/>
                <w:szCs w:val="24"/>
              </w:rPr>
              <w:t>Total</w:t>
            </w:r>
          </w:p>
        </w:tc>
        <w:tc>
          <w:tcPr>
            <w:tcW w:w="3351" w:type="dxa"/>
            <w:shd w:val="clear" w:color="auto" w:fill="FFFFFF" w:themeFill="background1"/>
          </w:tcPr>
          <w:p w14:paraId="53CAB695" w14:textId="77777777" w:rsidR="007D7AC9" w:rsidRPr="00B34E01" w:rsidRDefault="007D7AC9" w:rsidP="0099718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34E01">
              <w:rPr>
                <w:rFonts w:ascii="Times New Roman" w:hAnsi="Times New Roman" w:cs="Times New Roman"/>
                <w:color w:val="auto"/>
                <w:sz w:val="24"/>
                <w:szCs w:val="24"/>
              </w:rPr>
              <w:t>400 (100.00)</w:t>
            </w:r>
          </w:p>
        </w:tc>
        <w:tc>
          <w:tcPr>
            <w:tcW w:w="3351" w:type="dxa"/>
            <w:shd w:val="clear" w:color="auto" w:fill="FFFFFF" w:themeFill="background1"/>
          </w:tcPr>
          <w:p w14:paraId="22CB64D9" w14:textId="77777777" w:rsidR="007D7AC9" w:rsidRPr="00B34E01" w:rsidRDefault="007D7AC9"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34E01">
              <w:rPr>
                <w:rFonts w:ascii="Times New Roman" w:hAnsi="Times New Roman" w:cs="Times New Roman"/>
                <w:color w:val="auto"/>
                <w:sz w:val="24"/>
                <w:szCs w:val="24"/>
              </w:rPr>
              <w:t>14 (3.50)</w:t>
            </w:r>
          </w:p>
        </w:tc>
      </w:tr>
    </w:tbl>
    <w:p w14:paraId="47E29E4B" w14:textId="77777777" w:rsidR="007D7AC9" w:rsidRPr="00B34E01" w:rsidRDefault="00EF4D2B" w:rsidP="00997189">
      <w:pPr>
        <w:spacing w:after="0" w:line="360" w:lineRule="auto"/>
        <w:jc w:val="both"/>
        <w:rPr>
          <w:rFonts w:ascii="Times New Roman" w:hAnsi="Times New Roman" w:cs="Times New Roman"/>
          <w:sz w:val="24"/>
          <w:szCs w:val="24"/>
        </w:rPr>
      </w:pPr>
      <w:r w:rsidRPr="00B34E01">
        <w:rPr>
          <w:rFonts w:ascii="Times New Roman" w:hAnsi="Times New Roman" w:cs="Times New Roman"/>
          <w:sz w:val="24"/>
          <w:szCs w:val="24"/>
        </w:rPr>
        <w:t xml:space="preserve">The results showed that the </w:t>
      </w:r>
      <w:r w:rsidRPr="00B34E01">
        <w:rPr>
          <w:rFonts w:ascii="Times New Roman" w:hAnsi="Times New Roman" w:cs="Times New Roman"/>
          <w:i/>
          <w:iCs/>
          <w:sz w:val="24"/>
          <w:szCs w:val="24"/>
        </w:rPr>
        <w:t xml:space="preserve">Salmonella </w:t>
      </w:r>
      <w:r w:rsidRPr="00B34E01">
        <w:rPr>
          <w:rFonts w:ascii="Times New Roman" w:hAnsi="Times New Roman" w:cs="Times New Roman"/>
          <w:iCs/>
          <w:sz w:val="24"/>
          <w:szCs w:val="24"/>
        </w:rPr>
        <w:t xml:space="preserve">species </w:t>
      </w:r>
      <w:r w:rsidRPr="00B34E01">
        <w:rPr>
          <w:rFonts w:ascii="Times New Roman" w:hAnsi="Times New Roman" w:cs="Times New Roman"/>
          <w:sz w:val="24"/>
          <w:szCs w:val="24"/>
        </w:rPr>
        <w:t xml:space="preserve">isolates had higher resistance to Ampicillin (57.14%), Cefotaxime (50%) and Ciprofloxacin (50%). The </w:t>
      </w:r>
      <w:r w:rsidRPr="00B34E01">
        <w:rPr>
          <w:rFonts w:ascii="Times New Roman" w:hAnsi="Times New Roman" w:cs="Times New Roman"/>
          <w:i/>
          <w:iCs/>
          <w:sz w:val="24"/>
          <w:szCs w:val="24"/>
        </w:rPr>
        <w:t xml:space="preserve">Salmonella </w:t>
      </w:r>
      <w:r w:rsidRPr="00B34E01">
        <w:rPr>
          <w:rFonts w:ascii="Times New Roman" w:hAnsi="Times New Roman" w:cs="Times New Roman"/>
          <w:iCs/>
          <w:sz w:val="24"/>
          <w:szCs w:val="24"/>
        </w:rPr>
        <w:t xml:space="preserve">species </w:t>
      </w:r>
      <w:r w:rsidRPr="00B34E01">
        <w:rPr>
          <w:rFonts w:ascii="Times New Roman" w:hAnsi="Times New Roman" w:cs="Times New Roman"/>
          <w:sz w:val="24"/>
          <w:szCs w:val="24"/>
        </w:rPr>
        <w:t xml:space="preserve">isolates had high susceptibility to Aztreonam (85.71%), Tazobactam (78.57%) and Chloramphenicol (57.14%) (Table 3). The antibiotic susceptibility profile shows that seven 7 (50%) </w:t>
      </w:r>
      <w:r w:rsidRPr="00B34E01">
        <w:rPr>
          <w:rFonts w:ascii="Times New Roman" w:hAnsi="Times New Roman" w:cs="Times New Roman"/>
          <w:i/>
          <w:iCs/>
          <w:sz w:val="24"/>
          <w:szCs w:val="24"/>
        </w:rPr>
        <w:t xml:space="preserve">Salmonella </w:t>
      </w:r>
      <w:r w:rsidRPr="00B34E01">
        <w:rPr>
          <w:rFonts w:ascii="Times New Roman" w:hAnsi="Times New Roman" w:cs="Times New Roman"/>
          <w:iCs/>
          <w:sz w:val="24"/>
          <w:szCs w:val="24"/>
        </w:rPr>
        <w:t xml:space="preserve">species </w:t>
      </w:r>
      <w:r w:rsidRPr="00B34E01">
        <w:rPr>
          <w:rFonts w:ascii="Times New Roman" w:hAnsi="Times New Roman" w:cs="Times New Roman"/>
          <w:sz w:val="24"/>
          <w:szCs w:val="24"/>
        </w:rPr>
        <w:lastRenderedPageBreak/>
        <w:t>isolates are multi-drug resistant as they were resistant to more than two classes of antibiotics. Based on the Double Disc Synergy Test results, 3 isolates were found to produce ESBL phenotypically.</w:t>
      </w:r>
    </w:p>
    <w:p w14:paraId="5BDF7AD6" w14:textId="77777777" w:rsidR="00D95CCB" w:rsidRPr="00B34E01" w:rsidRDefault="00D95CCB" w:rsidP="00997189">
      <w:pPr>
        <w:spacing w:after="0" w:line="360" w:lineRule="auto"/>
        <w:jc w:val="both"/>
        <w:rPr>
          <w:rFonts w:ascii="Times New Roman" w:hAnsi="Times New Roman" w:cs="Times New Roman"/>
          <w:sz w:val="24"/>
          <w:szCs w:val="24"/>
        </w:rPr>
      </w:pPr>
      <w:r w:rsidRPr="00B34E01">
        <w:rPr>
          <w:rFonts w:ascii="Times New Roman" w:hAnsi="Times New Roman" w:cs="Times New Roman"/>
          <w:sz w:val="24"/>
          <w:szCs w:val="24"/>
        </w:rPr>
        <w:t xml:space="preserve">Based on the study, the most active antibiotics were Aztreonam,Tozobactam and </w:t>
      </w:r>
      <w:r w:rsidRPr="00B34E01">
        <w:rPr>
          <w:rFonts w:ascii="Times New Roman" w:eastAsia="Times New Roman" w:hAnsi="Times New Roman" w:cs="Times New Roman"/>
          <w:sz w:val="24"/>
          <w:szCs w:val="24"/>
        </w:rPr>
        <w:t>Azithromycin</w:t>
      </w:r>
      <w:r w:rsidRPr="00B34E01">
        <w:rPr>
          <w:rFonts w:ascii="Times New Roman" w:hAnsi="Times New Roman" w:cs="Times New Roman"/>
          <w:sz w:val="24"/>
          <w:szCs w:val="24"/>
        </w:rPr>
        <w:t xml:space="preserve">. This may be due the ability of Tazobactam to inhibit the action of bacterial beta-lactamases, especially those belonging to the SHV-1 and TEM groups. </w:t>
      </w:r>
      <w:r w:rsidRPr="00B34E01">
        <w:rPr>
          <w:rFonts w:ascii="Times New Roman" w:hAnsi="Times New Roman" w:cs="Times New Roman"/>
          <w:sz w:val="24"/>
          <w:szCs w:val="24"/>
          <w:shd w:val="clear" w:color="auto" w:fill="FFFFFF"/>
        </w:rPr>
        <w:t xml:space="preserve">Azithromycin susceptibility in </w:t>
      </w:r>
      <w:r w:rsidRPr="00B34E01">
        <w:rPr>
          <w:rFonts w:ascii="Times New Roman" w:hAnsi="Times New Roman" w:cs="Times New Roman"/>
          <w:i/>
          <w:sz w:val="24"/>
          <w:szCs w:val="24"/>
          <w:shd w:val="clear" w:color="auto" w:fill="FFFFFF"/>
        </w:rPr>
        <w:t>Salmonella</w:t>
      </w:r>
      <w:r w:rsidRPr="00B34E01">
        <w:rPr>
          <w:rFonts w:ascii="Times New Roman" w:hAnsi="Times New Roman" w:cs="Times New Roman"/>
          <w:sz w:val="24"/>
          <w:szCs w:val="24"/>
          <w:shd w:val="clear" w:color="auto" w:fill="FFFFFF"/>
        </w:rPr>
        <w:t xml:space="preserve"> can be attributed to its ability to effectively penetrate bacterial cells and bind to the 50S ribosomal subunit, inhibiting protein synthesis. This action disrupts the bacteria's ability to produce essential proteins, ultimately leading to cell death.</w:t>
      </w:r>
    </w:p>
    <w:p w14:paraId="27784A8C" w14:textId="77777777" w:rsidR="00D95CCB" w:rsidRPr="00B34E01" w:rsidRDefault="00D95CCB" w:rsidP="00997189">
      <w:pPr>
        <w:spacing w:after="0" w:line="360" w:lineRule="auto"/>
        <w:jc w:val="both"/>
        <w:rPr>
          <w:rFonts w:ascii="Times New Roman" w:hAnsi="Times New Roman" w:cs="Times New Roman"/>
          <w:sz w:val="24"/>
          <w:szCs w:val="24"/>
        </w:rPr>
      </w:pPr>
      <w:r w:rsidRPr="00B34E01">
        <w:rPr>
          <w:rFonts w:ascii="Times New Roman" w:hAnsi="Times New Roman" w:cs="Times New Roman"/>
          <w:sz w:val="24"/>
          <w:szCs w:val="24"/>
          <w:shd w:val="clear" w:color="auto" w:fill="FFFFFF"/>
        </w:rPr>
        <w:t xml:space="preserve">This study also show that a high proportion of the isolates were resistant to the conventional first line antibiotic, ampicillin (57.14%), beta-lactam antibiotic. </w:t>
      </w:r>
      <w:r w:rsidRPr="00B34E01">
        <w:rPr>
          <w:rFonts w:ascii="Times New Roman" w:hAnsi="Times New Roman" w:cs="Times New Roman"/>
          <w:sz w:val="24"/>
          <w:szCs w:val="24"/>
        </w:rPr>
        <w:t xml:space="preserve">Chloramphenicol, ampicillin and cotrimoxazole were considered the first line antibiotics for the treatment of typhoid fever (Zaki </w:t>
      </w:r>
      <w:r w:rsidRPr="00B34E01">
        <w:rPr>
          <w:rFonts w:ascii="Times New Roman" w:hAnsi="Times New Roman" w:cs="Times New Roman"/>
          <w:noProof/>
          <w:sz w:val="24"/>
          <w:szCs w:val="24"/>
        </w:rPr>
        <w:t>and</w:t>
      </w:r>
      <w:r w:rsidRPr="00B34E01">
        <w:rPr>
          <w:rFonts w:ascii="Times New Roman" w:hAnsi="Times New Roman" w:cs="Times New Roman"/>
          <w:sz w:val="24"/>
          <w:szCs w:val="24"/>
        </w:rPr>
        <w:t xml:space="preserve"> Karande, 2011). This result supported the findings of Mutai </w:t>
      </w:r>
      <w:r w:rsidRPr="00B34E01">
        <w:rPr>
          <w:rFonts w:ascii="Times New Roman" w:hAnsi="Times New Roman" w:cs="Times New Roman"/>
          <w:i/>
          <w:sz w:val="24"/>
          <w:szCs w:val="24"/>
        </w:rPr>
        <w:t>et al.,</w:t>
      </w:r>
      <w:r w:rsidRPr="00B34E01">
        <w:rPr>
          <w:rFonts w:ascii="Times New Roman" w:hAnsi="Times New Roman" w:cs="Times New Roman"/>
          <w:sz w:val="24"/>
          <w:szCs w:val="24"/>
        </w:rPr>
        <w:t xml:space="preserve"> (2018) where high resistance to ampicillin (72%) was observed.  I</w:t>
      </w:r>
      <w:r w:rsidRPr="00B34E01">
        <w:rPr>
          <w:rFonts w:ascii="Times New Roman" w:hAnsi="Times New Roman" w:cs="Times New Roman"/>
          <w:sz w:val="24"/>
          <w:szCs w:val="24"/>
          <w:shd w:val="clear" w:color="auto" w:fill="FFFFFF"/>
        </w:rPr>
        <w:t>n this study, penicillin resistance in bacteria would most likely be attributed to the production of beta-lactamase enzymes (also known as penicillinase). These enzymes are capable of inactivating the antibiotic penicillin by breaking down its beta-lactam ring, rendering it ineffective.</w:t>
      </w:r>
      <w:r w:rsidRPr="00B34E01">
        <w:rPr>
          <w:rStyle w:val="uv3um"/>
          <w:rFonts w:ascii="Times New Roman" w:hAnsi="Times New Roman" w:cs="Times New Roman"/>
          <w:sz w:val="24"/>
          <w:szCs w:val="24"/>
          <w:shd w:val="clear" w:color="auto" w:fill="FFFFFF"/>
        </w:rPr>
        <w:t> </w:t>
      </w:r>
    </w:p>
    <w:p w14:paraId="4CD0986D" w14:textId="6E458699" w:rsidR="00D95CCB" w:rsidRPr="00B34E01" w:rsidRDefault="00D95CCB" w:rsidP="00997189">
      <w:pPr>
        <w:spacing w:after="0" w:line="360" w:lineRule="auto"/>
        <w:jc w:val="both"/>
        <w:rPr>
          <w:rFonts w:ascii="Times New Roman" w:eastAsia="Times New Roman" w:hAnsi="Times New Roman" w:cs="Times New Roman"/>
          <w:sz w:val="24"/>
          <w:szCs w:val="24"/>
        </w:rPr>
      </w:pPr>
      <w:r w:rsidRPr="00B34E01">
        <w:rPr>
          <w:rFonts w:ascii="Times New Roman" w:hAnsi="Times New Roman" w:cs="Times New Roman"/>
          <w:sz w:val="24"/>
          <w:szCs w:val="24"/>
        </w:rPr>
        <w:t>The result showed that there is increased susceptibility to Chloramphenicol and ampicillin (</w:t>
      </w:r>
      <w:r w:rsidR="00486C1E" w:rsidRPr="00B34E01">
        <w:rPr>
          <w:rFonts w:ascii="Times New Roman" w:eastAsia="Times New Roman" w:hAnsi="Times New Roman" w:cs="Times New Roman"/>
          <w:sz w:val="24"/>
          <w:szCs w:val="24"/>
        </w:rPr>
        <w:t>57.14</w:t>
      </w:r>
      <w:r w:rsidRPr="00B34E01">
        <w:rPr>
          <w:rFonts w:ascii="Times New Roman" w:hAnsi="Times New Roman" w:cs="Times New Roman"/>
          <w:sz w:val="24"/>
          <w:szCs w:val="24"/>
        </w:rPr>
        <w:t xml:space="preserve">% and 57.14% respectively) shown by the organisms compared to the findings of Mutai </w:t>
      </w:r>
      <w:r w:rsidRPr="00B34E01">
        <w:rPr>
          <w:rFonts w:ascii="Times New Roman" w:hAnsi="Times New Roman" w:cs="Times New Roman"/>
          <w:i/>
          <w:sz w:val="24"/>
          <w:szCs w:val="24"/>
        </w:rPr>
        <w:t>et al.</w:t>
      </w:r>
      <w:r w:rsidRPr="00B34E01">
        <w:rPr>
          <w:rFonts w:ascii="Times New Roman" w:hAnsi="Times New Roman" w:cs="Times New Roman"/>
          <w:sz w:val="24"/>
          <w:szCs w:val="24"/>
        </w:rPr>
        <w:t xml:space="preserve"> where 72% resistance was recorded for both antibiotics (Mutai </w:t>
      </w:r>
      <w:r w:rsidRPr="00B34E01">
        <w:rPr>
          <w:rFonts w:ascii="Times New Roman" w:hAnsi="Times New Roman" w:cs="Times New Roman"/>
          <w:i/>
          <w:sz w:val="24"/>
          <w:szCs w:val="24"/>
        </w:rPr>
        <w:t>et al.,</w:t>
      </w:r>
      <w:r w:rsidRPr="00B34E01">
        <w:rPr>
          <w:rFonts w:ascii="Times New Roman" w:hAnsi="Times New Roman" w:cs="Times New Roman"/>
          <w:sz w:val="24"/>
          <w:szCs w:val="24"/>
        </w:rPr>
        <w:t xml:space="preserve"> 2018). </w:t>
      </w:r>
      <w:r w:rsidR="007842D2">
        <w:rPr>
          <w:rFonts w:ascii="Times New Roman" w:hAnsi="Times New Roman" w:cs="Times New Roman"/>
          <w:sz w:val="24"/>
          <w:szCs w:val="24"/>
        </w:rPr>
        <w:t>“</w:t>
      </w:r>
      <w:r w:rsidRPr="00B34E01">
        <w:rPr>
          <w:rFonts w:ascii="Times New Roman" w:eastAsia="Times New Roman" w:hAnsi="Times New Roman" w:cs="Times New Roman"/>
          <w:sz w:val="24"/>
          <w:szCs w:val="24"/>
          <w:shd w:val="clear" w:color="auto" w:fill="FFFFFF"/>
        </w:rPr>
        <w:t xml:space="preserve">In recent years, the epidemiology and drug resistance profile of </w:t>
      </w:r>
      <w:r w:rsidRPr="00B34E01">
        <w:rPr>
          <w:rFonts w:ascii="Times New Roman" w:eastAsia="Times New Roman" w:hAnsi="Times New Roman" w:cs="Times New Roman"/>
          <w:i/>
          <w:sz w:val="24"/>
          <w:szCs w:val="24"/>
          <w:shd w:val="clear" w:color="auto" w:fill="FFFFFF"/>
        </w:rPr>
        <w:t>Salmonella</w:t>
      </w:r>
      <w:r w:rsidRPr="00B34E01">
        <w:rPr>
          <w:rFonts w:ascii="Times New Roman" w:eastAsia="Times New Roman" w:hAnsi="Times New Roman" w:cs="Times New Roman"/>
          <w:sz w:val="24"/>
          <w:szCs w:val="24"/>
          <w:shd w:val="clear" w:color="auto" w:fill="FFFFFF"/>
        </w:rPr>
        <w:t xml:space="preserve"> strains causing enteric fever has changed. The shift towards re-emergence of susceptibility patterns towards former first-line antibiotics (eg, ampicillin, co-trimoxazole, and chloramphenicol) seen in many studies could be explored as an option for drug treatment if pathogens acquire resistance to newer oral drugs such as fluoroquinolones. Investigators of a north Indian study reported a statistically significant decrease in antimicrobial resistance to former first-line antibiotics among the 852 </w:t>
      </w:r>
      <w:r w:rsidRPr="00B34E01">
        <w:rPr>
          <w:rFonts w:ascii="Times New Roman" w:eastAsia="Times New Roman" w:hAnsi="Times New Roman" w:cs="Times New Roman"/>
          <w:i/>
          <w:iCs/>
          <w:sz w:val="24"/>
          <w:szCs w:val="24"/>
          <w:shd w:val="clear" w:color="auto" w:fill="FFFFFF"/>
        </w:rPr>
        <w:t>Salmonella enterica</w:t>
      </w:r>
      <w:r w:rsidRPr="00B34E01">
        <w:rPr>
          <w:rFonts w:ascii="Times New Roman" w:eastAsia="Times New Roman" w:hAnsi="Times New Roman" w:cs="Times New Roman"/>
          <w:sz w:val="24"/>
          <w:szCs w:val="24"/>
          <w:shd w:val="clear" w:color="auto" w:fill="FFFFFF"/>
        </w:rPr>
        <w:t> serotype Typhi isolates over a 12year period. They further reported that, in 2012, more than 95% </w:t>
      </w:r>
      <w:r w:rsidRPr="00B34E01">
        <w:rPr>
          <w:rFonts w:ascii="Times New Roman" w:eastAsia="Times New Roman" w:hAnsi="Times New Roman" w:cs="Times New Roman"/>
          <w:i/>
          <w:iCs/>
          <w:sz w:val="24"/>
          <w:szCs w:val="24"/>
          <w:shd w:val="clear" w:color="auto" w:fill="FFFFFF"/>
        </w:rPr>
        <w:t>Salmonella</w:t>
      </w:r>
      <w:r w:rsidRPr="00B34E01">
        <w:rPr>
          <w:rFonts w:ascii="Times New Roman" w:eastAsia="Times New Roman" w:hAnsi="Times New Roman" w:cs="Times New Roman"/>
          <w:sz w:val="24"/>
          <w:szCs w:val="24"/>
          <w:shd w:val="clear" w:color="auto" w:fill="FFFFFF"/>
        </w:rPr>
        <w:t> Typhi clinical isolates were susceptible towards each of these former first-line antibiotics</w:t>
      </w:r>
      <w:r w:rsidR="007842D2">
        <w:rPr>
          <w:rFonts w:ascii="Times New Roman" w:eastAsia="Times New Roman" w:hAnsi="Times New Roman" w:cs="Times New Roman"/>
          <w:sz w:val="24"/>
          <w:szCs w:val="24"/>
          <w:shd w:val="clear" w:color="auto" w:fill="FFFFFF"/>
        </w:rPr>
        <w:t>”</w:t>
      </w:r>
      <w:r w:rsidRPr="00B34E01">
        <w:rPr>
          <w:rFonts w:ascii="Times New Roman" w:hAnsi="Times New Roman" w:cs="Times New Roman"/>
          <w:sz w:val="24"/>
          <w:szCs w:val="24"/>
        </w:rPr>
        <w:t xml:space="preserve"> </w:t>
      </w:r>
      <w:hyperlink r:id="rId19" w:history="1">
        <w:r w:rsidRPr="00B34E01">
          <w:rPr>
            <w:rStyle w:val="Hyperlink"/>
            <w:rFonts w:ascii="Times New Roman" w:hAnsi="Times New Roman" w:cs="Times New Roman"/>
            <w:color w:val="auto"/>
            <w:sz w:val="24"/>
            <w:szCs w:val="24"/>
            <w:u w:val="none"/>
          </w:rPr>
          <w:t>(Gupta &amp; Gupta, 2016)</w:t>
        </w:r>
      </w:hyperlink>
      <w:r w:rsidRPr="00B34E01">
        <w:rPr>
          <w:rFonts w:ascii="Times New Roman" w:eastAsia="Times New Roman" w:hAnsi="Times New Roman" w:cs="Times New Roman"/>
          <w:sz w:val="24"/>
          <w:szCs w:val="24"/>
          <w:shd w:val="clear" w:color="auto" w:fill="FFFFFF"/>
        </w:rPr>
        <w:t>.</w:t>
      </w:r>
    </w:p>
    <w:p w14:paraId="797476F2" w14:textId="71703D0B" w:rsidR="00D95CCB" w:rsidRPr="00B34E01" w:rsidRDefault="007842D2" w:rsidP="0099718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w:t>
      </w:r>
      <w:r w:rsidR="00D95CCB" w:rsidRPr="00B34E01">
        <w:rPr>
          <w:rFonts w:ascii="Times New Roman" w:eastAsia="Times New Roman" w:hAnsi="Times New Roman" w:cs="Times New Roman"/>
          <w:sz w:val="24"/>
          <w:szCs w:val="24"/>
          <w:shd w:val="clear" w:color="auto" w:fill="FFFFFF"/>
        </w:rPr>
        <w:t xml:space="preserve">The re-emergence of drug-susceptible strains might result from lack of antibiotic pressure since these drugs are not being used routinely. This possibility has also been suggested by Dutta and colleagues, who proposed that the re-emergence of susceptibility to these drugs might result from </w:t>
      </w:r>
      <w:r w:rsidR="00D95CCB" w:rsidRPr="00B34E01">
        <w:rPr>
          <w:rFonts w:ascii="Times New Roman" w:eastAsia="Times New Roman" w:hAnsi="Times New Roman" w:cs="Times New Roman"/>
          <w:sz w:val="24"/>
          <w:szCs w:val="24"/>
          <w:shd w:val="clear" w:color="auto" w:fill="FFFFFF"/>
        </w:rPr>
        <w:lastRenderedPageBreak/>
        <w:t>the emergence of de-novo susceptible strains or the loss of high-molecular-weight self-transmissible plasmids</w:t>
      </w:r>
      <w:r>
        <w:rPr>
          <w:rFonts w:ascii="Times New Roman" w:eastAsia="Times New Roman" w:hAnsi="Times New Roman" w:cs="Times New Roman"/>
          <w:sz w:val="24"/>
          <w:szCs w:val="24"/>
          <w:shd w:val="clear" w:color="auto" w:fill="FFFFFF"/>
        </w:rPr>
        <w:t>”</w:t>
      </w:r>
      <w:r w:rsidR="00D95CCB" w:rsidRPr="00B34E01">
        <w:rPr>
          <w:rFonts w:ascii="Times New Roman" w:eastAsia="Times New Roman" w:hAnsi="Times New Roman" w:cs="Times New Roman"/>
          <w:sz w:val="24"/>
          <w:szCs w:val="24"/>
          <w:shd w:val="clear" w:color="auto" w:fill="FFFFFF"/>
        </w:rPr>
        <w:t xml:space="preserve"> </w:t>
      </w:r>
      <w:r w:rsidR="00D95CCB" w:rsidRPr="00B34E01">
        <w:rPr>
          <w:rFonts w:ascii="Times New Roman" w:hAnsi="Times New Roman" w:cs="Times New Roman"/>
          <w:sz w:val="24"/>
          <w:szCs w:val="24"/>
        </w:rPr>
        <w:t xml:space="preserve">(Dutta </w:t>
      </w:r>
      <w:r w:rsidR="00D95CCB" w:rsidRPr="00B34E01">
        <w:rPr>
          <w:rFonts w:ascii="Times New Roman" w:hAnsi="Times New Roman" w:cs="Times New Roman"/>
          <w:i/>
          <w:sz w:val="24"/>
          <w:szCs w:val="24"/>
        </w:rPr>
        <w:t>et al.,</w:t>
      </w:r>
      <w:r w:rsidR="00D95CCB" w:rsidRPr="00B34E01">
        <w:rPr>
          <w:rFonts w:ascii="Times New Roman" w:hAnsi="Times New Roman" w:cs="Times New Roman"/>
          <w:sz w:val="24"/>
          <w:szCs w:val="24"/>
        </w:rPr>
        <w:t xml:space="preserve"> 2005)</w:t>
      </w:r>
      <w:r w:rsidR="00D95CCB" w:rsidRPr="00B34E01">
        <w:rPr>
          <w:rFonts w:ascii="Times New Roman" w:eastAsia="Times New Roman" w:hAnsi="Times New Roman" w:cs="Times New Roman"/>
          <w:sz w:val="24"/>
          <w:szCs w:val="24"/>
        </w:rPr>
        <w:t>.</w:t>
      </w:r>
    </w:p>
    <w:p w14:paraId="04040A98" w14:textId="77777777" w:rsidR="00D95CCB" w:rsidRPr="00B34E01" w:rsidRDefault="00D95CCB" w:rsidP="00997189">
      <w:pPr>
        <w:pStyle w:val="NormalWeb"/>
        <w:spacing w:before="0" w:beforeAutospacing="0" w:after="0" w:afterAutospacing="0" w:line="360" w:lineRule="auto"/>
        <w:jc w:val="both"/>
        <w:rPr>
          <w:shd w:val="clear" w:color="auto" w:fill="FFFFFF"/>
        </w:rPr>
      </w:pPr>
      <w:r w:rsidRPr="00B34E01">
        <w:t xml:space="preserve">The result also shows that there is reduced susceptibility to Ciprofloxacin compared to some findings such as that of </w:t>
      </w:r>
      <w:r w:rsidRPr="00B34E01">
        <w:rPr>
          <w:shd w:val="clear" w:color="auto" w:fill="FFFFFF"/>
        </w:rPr>
        <w:t xml:space="preserve">Mutai </w:t>
      </w:r>
      <w:r w:rsidRPr="00B34E01">
        <w:rPr>
          <w:i/>
          <w:shd w:val="clear" w:color="auto" w:fill="FFFFFF"/>
        </w:rPr>
        <w:t>et al.,</w:t>
      </w:r>
      <w:r w:rsidRPr="00B34E01">
        <w:rPr>
          <w:shd w:val="clear" w:color="auto" w:fill="FFFFFF"/>
        </w:rPr>
        <w:t xml:space="preserve"> </w:t>
      </w:r>
      <w:r w:rsidRPr="00B34E01">
        <w:t xml:space="preserve">(2018) where only 5 out of 14 </w:t>
      </w:r>
      <w:r w:rsidRPr="00B34E01">
        <w:rPr>
          <w:i/>
        </w:rPr>
        <w:t xml:space="preserve">Salmonella </w:t>
      </w:r>
      <w:r w:rsidRPr="00B34E01">
        <w:t xml:space="preserve">species isolates were found to be susceptible which is approximately 35.71%. </w:t>
      </w:r>
      <w:r w:rsidRPr="00B34E01">
        <w:rPr>
          <w:shd w:val="clear" w:color="auto" w:fill="FFFFFF"/>
        </w:rPr>
        <w:t xml:space="preserve">Recommendation to use fluoroquinolones for empirical treatment in place of first line antibiotics may have contributed largely to the emergence of fluoroquinolones resistance. Increased use of fluoroquinolones, such as Ciprofloxacin, for treatment has resulted in the emergence of strains resistant or with reduced susceptibility to this particular antibiotic </w:t>
      </w:r>
      <w:r w:rsidRPr="00B34E01">
        <w:t xml:space="preserve">(Yan </w:t>
      </w:r>
      <w:r w:rsidRPr="00B34E01">
        <w:rPr>
          <w:i/>
        </w:rPr>
        <w:t>et al.,</w:t>
      </w:r>
      <w:r w:rsidRPr="00B34E01">
        <w:t xml:space="preserve"> 2016)</w:t>
      </w:r>
      <w:r w:rsidRPr="00B34E01">
        <w:rPr>
          <w:shd w:val="clear" w:color="auto" w:fill="FFFFFF"/>
        </w:rPr>
        <w:t xml:space="preserve">. Ciprofloxacin has been used as an alternative antibiotic in the treatment of MDR cases. However, with the currently reviewed breakpoints of Ciprofloxacin by CLSI, there has been a rather increase of isolates resistant or recording reduced sensitivity to this antibiotic. This study supported the finding of Mutai </w:t>
      </w:r>
      <w:r w:rsidRPr="00B34E01">
        <w:rPr>
          <w:i/>
          <w:shd w:val="clear" w:color="auto" w:fill="FFFFFF"/>
        </w:rPr>
        <w:t>et al.,</w:t>
      </w:r>
      <w:r w:rsidRPr="00B34E01">
        <w:rPr>
          <w:shd w:val="clear" w:color="auto" w:fill="FFFFFF"/>
        </w:rPr>
        <w:t xml:space="preserve"> </w:t>
      </w:r>
      <w:r w:rsidRPr="00B34E01">
        <w:t>(2018)</w:t>
      </w:r>
      <w:r w:rsidRPr="00B34E01">
        <w:rPr>
          <w:shd w:val="clear" w:color="auto" w:fill="FFFFFF"/>
        </w:rPr>
        <w:t xml:space="preserve"> where MIC results of Ciprofloxacin showed that 13% of the isolates were resistant </w:t>
      </w:r>
      <w:r w:rsidRPr="00B34E01">
        <w:t xml:space="preserve">(Mutai </w:t>
      </w:r>
      <w:r w:rsidRPr="00B34E01">
        <w:rPr>
          <w:i/>
        </w:rPr>
        <w:t>et al.,</w:t>
      </w:r>
      <w:r w:rsidRPr="00B34E01">
        <w:t xml:space="preserve"> 2018)</w:t>
      </w:r>
      <w:r w:rsidRPr="00B34E01">
        <w:rPr>
          <w:shd w:val="clear" w:color="auto" w:fill="FFFFFF"/>
        </w:rPr>
        <w:t xml:space="preserve">. Reduced susceptibility to Ciprofloxacin, poses a serious threat to the treatment failure of typhoid fever, especially in developing countries like Nigeria </w:t>
      </w:r>
      <w:r w:rsidRPr="00B34E01">
        <w:t xml:space="preserve">(Yan </w:t>
      </w:r>
      <w:r w:rsidRPr="00B34E01">
        <w:rPr>
          <w:i/>
        </w:rPr>
        <w:t>et al.,</w:t>
      </w:r>
      <w:r w:rsidRPr="00B34E01">
        <w:t xml:space="preserve"> 2016)</w:t>
      </w:r>
      <w:r w:rsidRPr="00B34E01">
        <w:rPr>
          <w:shd w:val="clear" w:color="auto" w:fill="FFFFFF"/>
        </w:rPr>
        <w:t>. The result also showed that Cefotaxime has equal proportion of susceptibility and resistance (50%) on the isolates.</w:t>
      </w:r>
    </w:p>
    <w:p w14:paraId="2A171341" w14:textId="77777777" w:rsidR="00BB2D84" w:rsidRPr="00B34E01" w:rsidRDefault="00D95CCB" w:rsidP="00AF5E6C">
      <w:pPr>
        <w:pStyle w:val="NormalWeb"/>
        <w:spacing w:before="0" w:beforeAutospacing="0" w:after="0" w:afterAutospacing="0" w:line="360" w:lineRule="auto"/>
        <w:jc w:val="both"/>
        <w:rPr>
          <w:shd w:val="clear" w:color="auto" w:fill="FFFFFF"/>
        </w:rPr>
      </w:pPr>
      <w:r w:rsidRPr="00B34E01">
        <w:t xml:space="preserve">The result of the antibiotic susceptibility testing as well shows that some of the organisms were multi-drug resistant (MDR) as 7 (50%) of them were found to have resisted more than 2 classes of antibiotics. Based on the result of the Double Disc Synergy Test for the detection of ESBL isolates, 3 MDR isolates of </w:t>
      </w:r>
      <w:r w:rsidRPr="00B34E01">
        <w:rPr>
          <w:i/>
        </w:rPr>
        <w:t xml:space="preserve">Salmonella </w:t>
      </w:r>
      <w:r w:rsidRPr="00B34E01">
        <w:t xml:space="preserve">species were found to be ESBL producers. This resistance shown by ESBL producing isolates of </w:t>
      </w:r>
      <w:r w:rsidRPr="00B34E01">
        <w:rPr>
          <w:i/>
        </w:rPr>
        <w:t xml:space="preserve">Salmonella </w:t>
      </w:r>
      <w:r w:rsidRPr="00B34E01">
        <w:t xml:space="preserve">speciesmay be as a result of selective pressure imposed by the misuse of broad-spectrum antibiotics such as third-generation cephalosporins. This result is in line with the finding of </w:t>
      </w:r>
      <w:hyperlink r:id="rId20" w:history="1">
        <w:r w:rsidR="00AF3988" w:rsidRPr="00B34E01">
          <w:rPr>
            <w:rStyle w:val="Hyperlink"/>
            <w:rFonts w:eastAsiaTheme="majorEastAsia"/>
            <w:color w:val="000000"/>
            <w:u w:val="none"/>
          </w:rPr>
          <w:t>Ahamed</w:t>
        </w:r>
      </w:hyperlink>
      <w:r w:rsidR="00AF3988" w:rsidRPr="00B34E01">
        <w:t xml:space="preserve"> </w:t>
      </w:r>
      <w:r w:rsidRPr="00B34E01">
        <w:t xml:space="preserve">Riyaaz </w:t>
      </w:r>
      <w:r w:rsidRPr="00B34E01">
        <w:rPr>
          <w:i/>
        </w:rPr>
        <w:t>et al.,</w:t>
      </w:r>
      <w:r w:rsidRPr="00B34E01">
        <w:t xml:space="preserve"> (2018) where </w:t>
      </w:r>
      <w:r w:rsidRPr="00B34E01">
        <w:rPr>
          <w:i/>
        </w:rPr>
        <w:t xml:space="preserve">Salmonella </w:t>
      </w:r>
      <w:r w:rsidRPr="00B34E01">
        <w:t>species ESBL producing isolates showed resistance to Ampicillin and cephalosporins.</w:t>
      </w:r>
    </w:p>
    <w:p w14:paraId="524A7AA1" w14:textId="77777777" w:rsidR="00DC403C" w:rsidRPr="00B34E01" w:rsidRDefault="00DC403C" w:rsidP="00B63060">
      <w:pPr>
        <w:spacing w:before="240" w:after="0" w:line="360" w:lineRule="auto"/>
        <w:jc w:val="both"/>
        <w:rPr>
          <w:rFonts w:ascii="Times New Roman" w:hAnsi="Times New Roman" w:cs="Times New Roman"/>
          <w:b/>
          <w:sz w:val="24"/>
          <w:szCs w:val="24"/>
        </w:rPr>
      </w:pPr>
    </w:p>
    <w:p w14:paraId="0E4F6069" w14:textId="77777777" w:rsidR="003C4BE2" w:rsidRPr="00B34E01" w:rsidRDefault="003C4BE2" w:rsidP="00B63060">
      <w:pPr>
        <w:spacing w:before="240" w:after="0" w:line="360" w:lineRule="auto"/>
        <w:jc w:val="both"/>
        <w:rPr>
          <w:rFonts w:ascii="Times New Roman" w:hAnsi="Times New Roman" w:cs="Times New Roman"/>
          <w:b/>
          <w:sz w:val="24"/>
          <w:szCs w:val="24"/>
        </w:rPr>
      </w:pPr>
    </w:p>
    <w:p w14:paraId="16326188" w14:textId="77777777" w:rsidR="003C4BE2" w:rsidRPr="00B34E01" w:rsidRDefault="003C4BE2" w:rsidP="00B63060">
      <w:pPr>
        <w:spacing w:before="240" w:after="0" w:line="360" w:lineRule="auto"/>
        <w:jc w:val="both"/>
        <w:rPr>
          <w:rFonts w:ascii="Times New Roman" w:hAnsi="Times New Roman" w:cs="Times New Roman"/>
          <w:b/>
          <w:sz w:val="24"/>
          <w:szCs w:val="24"/>
        </w:rPr>
      </w:pPr>
    </w:p>
    <w:p w14:paraId="25D45987" w14:textId="77777777" w:rsidR="003C4BE2" w:rsidRPr="00B34E01" w:rsidRDefault="003C4BE2" w:rsidP="00B63060">
      <w:pPr>
        <w:spacing w:before="240" w:after="0" w:line="360" w:lineRule="auto"/>
        <w:jc w:val="both"/>
        <w:rPr>
          <w:rFonts w:ascii="Times New Roman" w:hAnsi="Times New Roman" w:cs="Times New Roman"/>
          <w:b/>
          <w:sz w:val="24"/>
          <w:szCs w:val="24"/>
        </w:rPr>
      </w:pPr>
    </w:p>
    <w:p w14:paraId="58F959B2" w14:textId="77777777" w:rsidR="00D95CCB" w:rsidRPr="00B34E01" w:rsidRDefault="00D95CCB" w:rsidP="00B63060">
      <w:pPr>
        <w:spacing w:before="240" w:after="0" w:line="360" w:lineRule="auto"/>
        <w:jc w:val="both"/>
        <w:rPr>
          <w:rFonts w:ascii="Times New Roman" w:hAnsi="Times New Roman" w:cs="Times New Roman"/>
          <w:b/>
          <w:sz w:val="24"/>
          <w:szCs w:val="24"/>
        </w:rPr>
      </w:pPr>
      <w:r w:rsidRPr="00B34E01">
        <w:rPr>
          <w:rFonts w:ascii="Times New Roman" w:hAnsi="Times New Roman" w:cs="Times New Roman"/>
          <w:b/>
          <w:sz w:val="24"/>
          <w:szCs w:val="24"/>
        </w:rPr>
        <w:lastRenderedPageBreak/>
        <w:t xml:space="preserve">Table 3: Antibiotic Susceptibility Pattern of </w:t>
      </w:r>
      <w:r w:rsidRPr="00B34E01">
        <w:rPr>
          <w:rFonts w:ascii="Times New Roman" w:hAnsi="Times New Roman" w:cs="Times New Roman"/>
          <w:b/>
          <w:i/>
          <w:sz w:val="24"/>
          <w:szCs w:val="24"/>
        </w:rPr>
        <w:t xml:space="preserve">Salmonella </w:t>
      </w:r>
      <w:r w:rsidRPr="00B34E01">
        <w:rPr>
          <w:rFonts w:ascii="Times New Roman" w:hAnsi="Times New Roman" w:cs="Times New Roman"/>
          <w:b/>
          <w:sz w:val="24"/>
          <w:szCs w:val="24"/>
        </w:rPr>
        <w:t>species against some Antibiotics</w:t>
      </w:r>
    </w:p>
    <w:tbl>
      <w:tblPr>
        <w:tblStyle w:val="ListTable6Colorful"/>
        <w:tblW w:w="9751" w:type="dxa"/>
        <w:tblLook w:val="04A0" w:firstRow="1" w:lastRow="0" w:firstColumn="1" w:lastColumn="0" w:noHBand="0" w:noVBand="1"/>
      </w:tblPr>
      <w:tblGrid>
        <w:gridCol w:w="1950"/>
        <w:gridCol w:w="1210"/>
        <w:gridCol w:w="2689"/>
        <w:gridCol w:w="1950"/>
        <w:gridCol w:w="1952"/>
      </w:tblGrid>
      <w:tr w:rsidR="000408B4" w:rsidRPr="00B34E01" w14:paraId="04DE891B" w14:textId="77777777" w:rsidTr="000408B4">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vMerge w:val="restart"/>
            <w:shd w:val="clear" w:color="auto" w:fill="auto"/>
          </w:tcPr>
          <w:p w14:paraId="70F2E5D7" w14:textId="77777777" w:rsidR="000408B4" w:rsidRPr="00B34E01" w:rsidRDefault="000408B4" w:rsidP="00997189">
            <w:pPr>
              <w:spacing w:after="0" w:line="360" w:lineRule="auto"/>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Antibiotics</w:t>
            </w:r>
          </w:p>
        </w:tc>
        <w:tc>
          <w:tcPr>
            <w:tcW w:w="1210" w:type="dxa"/>
            <w:vMerge w:val="restart"/>
            <w:shd w:val="clear" w:color="auto" w:fill="auto"/>
          </w:tcPr>
          <w:p w14:paraId="316863B0" w14:textId="77777777" w:rsidR="000408B4" w:rsidRPr="00B34E01" w:rsidRDefault="000408B4"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4E01">
              <w:rPr>
                <w:rFonts w:ascii="Times New Roman" w:eastAsia="Times New Roman" w:hAnsi="Times New Roman" w:cs="Times New Roman"/>
                <w:sz w:val="24"/>
                <w:szCs w:val="24"/>
              </w:rPr>
              <w:t>Potency</w:t>
            </w:r>
          </w:p>
        </w:tc>
        <w:tc>
          <w:tcPr>
            <w:tcW w:w="6591" w:type="dxa"/>
            <w:gridSpan w:val="3"/>
            <w:tcBorders>
              <w:bottom w:val="nil"/>
            </w:tcBorders>
            <w:shd w:val="clear" w:color="auto" w:fill="auto"/>
          </w:tcPr>
          <w:p w14:paraId="0CC53713" w14:textId="77777777" w:rsidR="000408B4" w:rsidRPr="00B34E01" w:rsidRDefault="000408B4" w:rsidP="0099718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4E01">
              <w:rPr>
                <w:rFonts w:ascii="Times New Roman" w:eastAsia="Times New Roman" w:hAnsi="Times New Roman" w:cs="Times New Roman"/>
                <w:color w:val="auto"/>
                <w:sz w:val="24"/>
                <w:szCs w:val="24"/>
              </w:rPr>
              <w:t>Susceptibility Profile (N= 14)</w:t>
            </w:r>
          </w:p>
        </w:tc>
      </w:tr>
      <w:tr w:rsidR="000408B4" w:rsidRPr="00B34E01" w14:paraId="4C652011" w14:textId="77777777" w:rsidTr="000408B4">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950" w:type="dxa"/>
            <w:vMerge/>
            <w:tcBorders>
              <w:bottom w:val="single" w:sz="4" w:space="0" w:color="auto"/>
            </w:tcBorders>
            <w:shd w:val="clear" w:color="auto" w:fill="auto"/>
          </w:tcPr>
          <w:p w14:paraId="683E82EF" w14:textId="77777777" w:rsidR="000408B4" w:rsidRPr="00B34E01" w:rsidRDefault="000408B4" w:rsidP="00997189">
            <w:pPr>
              <w:spacing w:after="0" w:line="360" w:lineRule="auto"/>
              <w:rPr>
                <w:rFonts w:ascii="Times New Roman" w:eastAsia="Times New Roman" w:hAnsi="Times New Roman" w:cs="Times New Roman"/>
                <w:color w:val="auto"/>
                <w:sz w:val="24"/>
                <w:szCs w:val="24"/>
              </w:rPr>
            </w:pPr>
          </w:p>
        </w:tc>
        <w:tc>
          <w:tcPr>
            <w:tcW w:w="1210" w:type="dxa"/>
            <w:vMerge/>
            <w:tcBorders>
              <w:bottom w:val="single" w:sz="4" w:space="0" w:color="auto"/>
            </w:tcBorders>
            <w:shd w:val="clear" w:color="auto" w:fill="auto"/>
          </w:tcPr>
          <w:p w14:paraId="4131F885"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tc>
        <w:tc>
          <w:tcPr>
            <w:tcW w:w="2689" w:type="dxa"/>
            <w:tcBorders>
              <w:top w:val="nil"/>
              <w:bottom w:val="single" w:sz="4" w:space="0" w:color="auto"/>
            </w:tcBorders>
            <w:shd w:val="clear" w:color="auto" w:fill="auto"/>
          </w:tcPr>
          <w:p w14:paraId="3517DD29"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B34E01">
              <w:rPr>
                <w:rFonts w:ascii="Times New Roman" w:eastAsia="Times New Roman" w:hAnsi="Times New Roman" w:cs="Times New Roman"/>
                <w:b/>
                <w:bCs/>
                <w:color w:val="auto"/>
                <w:sz w:val="24"/>
                <w:szCs w:val="24"/>
              </w:rPr>
              <w:t>Susceptible</w:t>
            </w:r>
          </w:p>
          <w:p w14:paraId="6F8C3560"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B34E01">
              <w:rPr>
                <w:rFonts w:ascii="Times New Roman" w:eastAsia="Times New Roman" w:hAnsi="Times New Roman" w:cs="Times New Roman"/>
                <w:b/>
                <w:bCs/>
                <w:color w:val="auto"/>
                <w:sz w:val="24"/>
                <w:szCs w:val="24"/>
              </w:rPr>
              <w:t>N (%)</w:t>
            </w:r>
          </w:p>
        </w:tc>
        <w:tc>
          <w:tcPr>
            <w:tcW w:w="1950" w:type="dxa"/>
            <w:tcBorders>
              <w:bottom w:val="single" w:sz="4" w:space="0" w:color="auto"/>
            </w:tcBorders>
            <w:shd w:val="clear" w:color="auto" w:fill="auto"/>
          </w:tcPr>
          <w:p w14:paraId="70E888A7"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B34E01">
              <w:rPr>
                <w:rFonts w:ascii="Times New Roman" w:eastAsia="Times New Roman" w:hAnsi="Times New Roman" w:cs="Times New Roman"/>
                <w:b/>
                <w:bCs/>
                <w:color w:val="auto"/>
                <w:sz w:val="24"/>
                <w:szCs w:val="24"/>
              </w:rPr>
              <w:t>Intermediate</w:t>
            </w:r>
          </w:p>
          <w:p w14:paraId="23CF5459"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B34E01">
              <w:rPr>
                <w:rFonts w:ascii="Times New Roman" w:eastAsia="Times New Roman" w:hAnsi="Times New Roman" w:cs="Times New Roman"/>
                <w:b/>
                <w:bCs/>
                <w:color w:val="auto"/>
                <w:sz w:val="24"/>
                <w:szCs w:val="24"/>
              </w:rPr>
              <w:t>N (%)</w:t>
            </w:r>
          </w:p>
        </w:tc>
        <w:tc>
          <w:tcPr>
            <w:tcW w:w="1952" w:type="dxa"/>
            <w:tcBorders>
              <w:bottom w:val="single" w:sz="4" w:space="0" w:color="auto"/>
            </w:tcBorders>
            <w:shd w:val="clear" w:color="auto" w:fill="auto"/>
          </w:tcPr>
          <w:p w14:paraId="63E3A08A"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B34E01">
              <w:rPr>
                <w:rFonts w:ascii="Times New Roman" w:eastAsia="Times New Roman" w:hAnsi="Times New Roman" w:cs="Times New Roman"/>
                <w:b/>
                <w:bCs/>
                <w:color w:val="auto"/>
                <w:sz w:val="24"/>
                <w:szCs w:val="24"/>
              </w:rPr>
              <w:t>Resistance</w:t>
            </w:r>
          </w:p>
          <w:p w14:paraId="2E92AF8A"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B34E01">
              <w:rPr>
                <w:rFonts w:ascii="Times New Roman" w:eastAsia="Times New Roman" w:hAnsi="Times New Roman" w:cs="Times New Roman"/>
                <w:b/>
                <w:bCs/>
                <w:color w:val="auto"/>
                <w:sz w:val="24"/>
                <w:szCs w:val="24"/>
              </w:rPr>
              <w:t>N (%)</w:t>
            </w:r>
          </w:p>
        </w:tc>
      </w:tr>
      <w:tr w:rsidR="000408B4" w:rsidRPr="00B34E01" w14:paraId="687D0510" w14:textId="77777777" w:rsidTr="000408B4">
        <w:trPr>
          <w:trHeight w:val="569"/>
        </w:trPr>
        <w:tc>
          <w:tcPr>
            <w:cnfStyle w:val="001000000000" w:firstRow="0" w:lastRow="0" w:firstColumn="1" w:lastColumn="0" w:oddVBand="0" w:evenVBand="0" w:oddHBand="0" w:evenHBand="0" w:firstRowFirstColumn="0" w:firstRowLastColumn="0" w:lastRowFirstColumn="0" w:lastRowLastColumn="0"/>
            <w:tcW w:w="1950" w:type="dxa"/>
            <w:tcBorders>
              <w:top w:val="single" w:sz="4" w:space="0" w:color="auto"/>
            </w:tcBorders>
            <w:shd w:val="clear" w:color="auto" w:fill="auto"/>
          </w:tcPr>
          <w:p w14:paraId="5E8C0B55" w14:textId="77777777" w:rsidR="000408B4" w:rsidRPr="00B34E01" w:rsidRDefault="000408B4" w:rsidP="00997189">
            <w:pPr>
              <w:spacing w:after="0" w:line="360" w:lineRule="auto"/>
              <w:rPr>
                <w:rFonts w:ascii="Times New Roman" w:eastAsia="Times New Roman" w:hAnsi="Times New Roman" w:cs="Times New Roman"/>
                <w:b w:val="0"/>
                <w:bCs w:val="0"/>
                <w:color w:val="auto"/>
                <w:sz w:val="24"/>
                <w:szCs w:val="24"/>
              </w:rPr>
            </w:pPr>
            <w:r w:rsidRPr="00B34E01">
              <w:rPr>
                <w:rFonts w:ascii="Times New Roman" w:eastAsia="Times New Roman" w:hAnsi="Times New Roman" w:cs="Times New Roman"/>
                <w:b w:val="0"/>
                <w:bCs w:val="0"/>
                <w:color w:val="auto"/>
                <w:sz w:val="24"/>
                <w:szCs w:val="24"/>
              </w:rPr>
              <w:t>Ampicillin</w:t>
            </w:r>
          </w:p>
        </w:tc>
        <w:tc>
          <w:tcPr>
            <w:tcW w:w="1210" w:type="dxa"/>
            <w:tcBorders>
              <w:top w:val="single" w:sz="4" w:space="0" w:color="auto"/>
            </w:tcBorders>
            <w:shd w:val="clear" w:color="auto" w:fill="auto"/>
          </w:tcPr>
          <w:p w14:paraId="3D9BAFF1"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4E01">
              <w:rPr>
                <w:rFonts w:ascii="Times New Roman" w:eastAsia="PalatinoLinotype-Roman" w:hAnsi="Times New Roman" w:cs="Times New Roman"/>
                <w:color w:val="auto"/>
                <w:sz w:val="24"/>
                <w:szCs w:val="24"/>
              </w:rPr>
              <w:t>10µg</w:t>
            </w:r>
          </w:p>
        </w:tc>
        <w:tc>
          <w:tcPr>
            <w:tcW w:w="2689" w:type="dxa"/>
            <w:tcBorders>
              <w:top w:val="single" w:sz="4" w:space="0" w:color="auto"/>
            </w:tcBorders>
            <w:shd w:val="clear" w:color="auto" w:fill="auto"/>
          </w:tcPr>
          <w:p w14:paraId="18B99841"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3 (21.43)</w:t>
            </w:r>
          </w:p>
        </w:tc>
        <w:tc>
          <w:tcPr>
            <w:tcW w:w="1950" w:type="dxa"/>
            <w:tcBorders>
              <w:top w:val="single" w:sz="4" w:space="0" w:color="auto"/>
            </w:tcBorders>
            <w:shd w:val="clear" w:color="auto" w:fill="auto"/>
          </w:tcPr>
          <w:p w14:paraId="2312B814"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3 (21.43)</w:t>
            </w:r>
          </w:p>
        </w:tc>
        <w:tc>
          <w:tcPr>
            <w:tcW w:w="1952" w:type="dxa"/>
            <w:tcBorders>
              <w:top w:val="single" w:sz="4" w:space="0" w:color="auto"/>
            </w:tcBorders>
            <w:shd w:val="clear" w:color="auto" w:fill="auto"/>
          </w:tcPr>
          <w:p w14:paraId="202C8F2A"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8 (57.14)</w:t>
            </w:r>
          </w:p>
        </w:tc>
      </w:tr>
      <w:tr w:rsidR="000408B4" w:rsidRPr="00B34E01" w14:paraId="56050B74" w14:textId="77777777" w:rsidTr="000408B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1F38299B" w14:textId="77777777" w:rsidR="000408B4" w:rsidRPr="00B34E01" w:rsidRDefault="000408B4" w:rsidP="00997189">
            <w:pPr>
              <w:spacing w:after="0" w:line="360" w:lineRule="auto"/>
              <w:rPr>
                <w:rFonts w:ascii="Times New Roman" w:eastAsia="Times New Roman" w:hAnsi="Times New Roman" w:cs="Times New Roman"/>
                <w:b w:val="0"/>
                <w:bCs w:val="0"/>
                <w:color w:val="auto"/>
                <w:sz w:val="24"/>
                <w:szCs w:val="24"/>
              </w:rPr>
            </w:pPr>
            <w:r w:rsidRPr="00B34E01">
              <w:rPr>
                <w:rFonts w:ascii="Times New Roman" w:eastAsia="Times New Roman" w:hAnsi="Times New Roman" w:cs="Times New Roman"/>
                <w:b w:val="0"/>
                <w:bCs w:val="0"/>
                <w:color w:val="auto"/>
                <w:sz w:val="24"/>
                <w:szCs w:val="24"/>
              </w:rPr>
              <w:t>Tazobactam</w:t>
            </w:r>
          </w:p>
        </w:tc>
        <w:tc>
          <w:tcPr>
            <w:tcW w:w="1210" w:type="dxa"/>
            <w:shd w:val="clear" w:color="auto" w:fill="auto"/>
          </w:tcPr>
          <w:p w14:paraId="48A0DD46" w14:textId="33F8317F"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34E01">
              <w:rPr>
                <w:rFonts w:ascii="Times New Roman" w:eastAsia="PalatinoLinotype-Roman" w:hAnsi="Times New Roman" w:cs="Times New Roman"/>
                <w:color w:val="auto"/>
                <w:sz w:val="24"/>
                <w:szCs w:val="24"/>
              </w:rPr>
              <w:t>1</w:t>
            </w:r>
            <w:r w:rsidR="008C44C1" w:rsidRPr="00B34E01">
              <w:rPr>
                <w:rFonts w:ascii="Times New Roman" w:eastAsia="PalatinoLinotype-Roman" w:hAnsi="Times New Roman" w:cs="Times New Roman"/>
                <w:color w:val="auto"/>
                <w:sz w:val="24"/>
                <w:szCs w:val="24"/>
              </w:rPr>
              <w:t>0</w:t>
            </w:r>
            <w:r w:rsidRPr="00B34E01">
              <w:rPr>
                <w:rFonts w:ascii="Times New Roman" w:eastAsia="PalatinoLinotype-Roman" w:hAnsi="Times New Roman" w:cs="Times New Roman"/>
                <w:color w:val="auto"/>
                <w:sz w:val="24"/>
                <w:szCs w:val="24"/>
              </w:rPr>
              <w:t>0 µg</w:t>
            </w:r>
          </w:p>
        </w:tc>
        <w:tc>
          <w:tcPr>
            <w:tcW w:w="2689" w:type="dxa"/>
            <w:shd w:val="clear" w:color="auto" w:fill="auto"/>
          </w:tcPr>
          <w:p w14:paraId="5E55A896"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11 (78.57)</w:t>
            </w:r>
          </w:p>
        </w:tc>
        <w:tc>
          <w:tcPr>
            <w:tcW w:w="1950" w:type="dxa"/>
            <w:shd w:val="clear" w:color="auto" w:fill="auto"/>
          </w:tcPr>
          <w:p w14:paraId="17315A63"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1 (7.14)</w:t>
            </w:r>
          </w:p>
        </w:tc>
        <w:tc>
          <w:tcPr>
            <w:tcW w:w="1952" w:type="dxa"/>
            <w:shd w:val="clear" w:color="auto" w:fill="auto"/>
          </w:tcPr>
          <w:p w14:paraId="5B653DE9"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2 (14.29)</w:t>
            </w:r>
          </w:p>
        </w:tc>
      </w:tr>
      <w:tr w:rsidR="000408B4" w:rsidRPr="00B34E01" w14:paraId="151B3724" w14:textId="77777777"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1A954BFE" w14:textId="77777777" w:rsidR="000408B4" w:rsidRPr="00B34E01" w:rsidRDefault="000408B4" w:rsidP="00997189">
            <w:pPr>
              <w:spacing w:after="0" w:line="360" w:lineRule="auto"/>
              <w:rPr>
                <w:rFonts w:ascii="Times New Roman" w:eastAsia="Times New Roman" w:hAnsi="Times New Roman" w:cs="Times New Roman"/>
                <w:b w:val="0"/>
                <w:bCs w:val="0"/>
                <w:color w:val="auto"/>
                <w:sz w:val="24"/>
                <w:szCs w:val="24"/>
              </w:rPr>
            </w:pPr>
            <w:r w:rsidRPr="00B34E01">
              <w:rPr>
                <w:rFonts w:ascii="Times New Roman" w:eastAsia="Times New Roman" w:hAnsi="Times New Roman" w:cs="Times New Roman"/>
                <w:b w:val="0"/>
                <w:bCs w:val="0"/>
                <w:color w:val="auto"/>
                <w:sz w:val="24"/>
                <w:szCs w:val="24"/>
              </w:rPr>
              <w:t>Cefotaxime</w:t>
            </w:r>
          </w:p>
        </w:tc>
        <w:tc>
          <w:tcPr>
            <w:tcW w:w="1210" w:type="dxa"/>
            <w:shd w:val="clear" w:color="auto" w:fill="auto"/>
          </w:tcPr>
          <w:p w14:paraId="6C91037F" w14:textId="77777777" w:rsidR="000408B4" w:rsidRPr="00B34E01" w:rsidRDefault="00E54957"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4E01">
              <w:rPr>
                <w:rFonts w:ascii="Times New Roman" w:eastAsia="PalatinoLinotype-Roman" w:hAnsi="Times New Roman" w:cs="Times New Roman"/>
                <w:color w:val="auto"/>
                <w:sz w:val="24"/>
                <w:szCs w:val="24"/>
              </w:rPr>
              <w:t>30 µg</w:t>
            </w:r>
          </w:p>
        </w:tc>
        <w:tc>
          <w:tcPr>
            <w:tcW w:w="2689" w:type="dxa"/>
            <w:shd w:val="clear" w:color="auto" w:fill="auto"/>
          </w:tcPr>
          <w:p w14:paraId="12401022"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7 (50)</w:t>
            </w:r>
          </w:p>
        </w:tc>
        <w:tc>
          <w:tcPr>
            <w:tcW w:w="1950" w:type="dxa"/>
            <w:shd w:val="clear" w:color="auto" w:fill="auto"/>
          </w:tcPr>
          <w:p w14:paraId="3EB79888"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0 (0.0)</w:t>
            </w:r>
          </w:p>
        </w:tc>
        <w:tc>
          <w:tcPr>
            <w:tcW w:w="1952" w:type="dxa"/>
            <w:shd w:val="clear" w:color="auto" w:fill="auto"/>
          </w:tcPr>
          <w:p w14:paraId="24636B61"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7 (50)</w:t>
            </w:r>
          </w:p>
        </w:tc>
      </w:tr>
      <w:tr w:rsidR="000408B4" w:rsidRPr="00B34E01" w14:paraId="73BB25A5" w14:textId="77777777" w:rsidTr="000408B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501F1DD2" w14:textId="77777777" w:rsidR="000408B4" w:rsidRPr="00B34E01" w:rsidRDefault="000408B4" w:rsidP="00997189">
            <w:pPr>
              <w:spacing w:after="0" w:line="360" w:lineRule="auto"/>
              <w:rPr>
                <w:rFonts w:ascii="Times New Roman" w:eastAsia="Times New Roman" w:hAnsi="Times New Roman" w:cs="Times New Roman"/>
                <w:b w:val="0"/>
                <w:bCs w:val="0"/>
                <w:color w:val="auto"/>
                <w:sz w:val="24"/>
                <w:szCs w:val="24"/>
              </w:rPr>
            </w:pPr>
            <w:r w:rsidRPr="00B34E01">
              <w:rPr>
                <w:rFonts w:ascii="Times New Roman" w:eastAsia="Times New Roman" w:hAnsi="Times New Roman" w:cs="Times New Roman"/>
                <w:b w:val="0"/>
                <w:bCs w:val="0"/>
                <w:color w:val="auto"/>
                <w:sz w:val="24"/>
                <w:szCs w:val="24"/>
              </w:rPr>
              <w:t>Aztreonam</w:t>
            </w:r>
          </w:p>
        </w:tc>
        <w:tc>
          <w:tcPr>
            <w:tcW w:w="1210" w:type="dxa"/>
            <w:shd w:val="clear" w:color="auto" w:fill="auto"/>
          </w:tcPr>
          <w:p w14:paraId="54C7CE8A"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34E01">
              <w:rPr>
                <w:rFonts w:ascii="Times New Roman" w:eastAsia="PalatinoLinotype-Roman" w:hAnsi="Times New Roman" w:cs="Times New Roman"/>
                <w:color w:val="auto"/>
                <w:sz w:val="24"/>
                <w:szCs w:val="24"/>
              </w:rPr>
              <w:t>15 µg</w:t>
            </w:r>
          </w:p>
        </w:tc>
        <w:tc>
          <w:tcPr>
            <w:tcW w:w="2689" w:type="dxa"/>
            <w:shd w:val="clear" w:color="auto" w:fill="auto"/>
          </w:tcPr>
          <w:p w14:paraId="104B6864"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12 (85.71)</w:t>
            </w:r>
          </w:p>
        </w:tc>
        <w:tc>
          <w:tcPr>
            <w:tcW w:w="1950" w:type="dxa"/>
            <w:shd w:val="clear" w:color="auto" w:fill="auto"/>
          </w:tcPr>
          <w:p w14:paraId="37F07927"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0 (0.0)</w:t>
            </w:r>
          </w:p>
        </w:tc>
        <w:tc>
          <w:tcPr>
            <w:tcW w:w="1952" w:type="dxa"/>
            <w:shd w:val="clear" w:color="auto" w:fill="auto"/>
          </w:tcPr>
          <w:p w14:paraId="1F64A92F"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2 (14.29)</w:t>
            </w:r>
          </w:p>
        </w:tc>
      </w:tr>
      <w:tr w:rsidR="000408B4" w:rsidRPr="00B34E01" w14:paraId="6110145B" w14:textId="77777777"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6DA02645" w14:textId="77777777" w:rsidR="000408B4" w:rsidRPr="00B34E01" w:rsidRDefault="000408B4" w:rsidP="00997189">
            <w:pPr>
              <w:spacing w:after="0" w:line="360" w:lineRule="auto"/>
              <w:rPr>
                <w:rFonts w:ascii="Times New Roman" w:eastAsia="Times New Roman" w:hAnsi="Times New Roman" w:cs="Times New Roman"/>
                <w:b w:val="0"/>
                <w:color w:val="auto"/>
                <w:sz w:val="24"/>
                <w:szCs w:val="24"/>
              </w:rPr>
            </w:pPr>
            <w:r w:rsidRPr="00B34E01">
              <w:rPr>
                <w:rFonts w:ascii="Times New Roman" w:eastAsia="Times New Roman" w:hAnsi="Times New Roman" w:cs="Times New Roman"/>
                <w:b w:val="0"/>
                <w:color w:val="auto"/>
                <w:sz w:val="24"/>
                <w:szCs w:val="24"/>
              </w:rPr>
              <w:t>Azithromycin</w:t>
            </w:r>
          </w:p>
        </w:tc>
        <w:tc>
          <w:tcPr>
            <w:tcW w:w="1210" w:type="dxa"/>
            <w:shd w:val="clear" w:color="auto" w:fill="auto"/>
          </w:tcPr>
          <w:p w14:paraId="33E924AC"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4E01">
              <w:rPr>
                <w:rFonts w:ascii="Times New Roman" w:hAnsi="Times New Roman" w:cs="Times New Roman"/>
                <w:color w:val="auto"/>
                <w:sz w:val="24"/>
                <w:szCs w:val="24"/>
                <w:shd w:val="clear" w:color="auto" w:fill="FFFFFF"/>
              </w:rPr>
              <w:t>15 </w:t>
            </w:r>
            <w:r w:rsidRPr="00B34E01">
              <w:rPr>
                <w:rFonts w:ascii="Times New Roman" w:hAnsi="Times New Roman" w:cs="Times New Roman"/>
                <w:iCs/>
                <w:color w:val="auto"/>
                <w:sz w:val="24"/>
                <w:szCs w:val="24"/>
                <w:shd w:val="clear" w:color="auto" w:fill="FFFFFF"/>
              </w:rPr>
              <w:t>μ</w:t>
            </w:r>
            <w:r w:rsidRPr="00B34E01">
              <w:rPr>
                <w:rFonts w:ascii="Times New Roman" w:hAnsi="Times New Roman" w:cs="Times New Roman"/>
                <w:color w:val="auto"/>
                <w:sz w:val="24"/>
                <w:szCs w:val="24"/>
                <w:shd w:val="clear" w:color="auto" w:fill="FFFFFF"/>
              </w:rPr>
              <w:t>g</w:t>
            </w:r>
          </w:p>
        </w:tc>
        <w:tc>
          <w:tcPr>
            <w:tcW w:w="2689" w:type="dxa"/>
            <w:shd w:val="clear" w:color="auto" w:fill="auto"/>
          </w:tcPr>
          <w:p w14:paraId="12309ADA"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11 (78.57)</w:t>
            </w:r>
          </w:p>
        </w:tc>
        <w:tc>
          <w:tcPr>
            <w:tcW w:w="1950" w:type="dxa"/>
            <w:shd w:val="clear" w:color="auto" w:fill="auto"/>
          </w:tcPr>
          <w:p w14:paraId="6DB151CB"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2 (14.29)</w:t>
            </w:r>
          </w:p>
        </w:tc>
        <w:tc>
          <w:tcPr>
            <w:tcW w:w="1952" w:type="dxa"/>
            <w:shd w:val="clear" w:color="auto" w:fill="auto"/>
          </w:tcPr>
          <w:p w14:paraId="469BC637"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1 (7.14)</w:t>
            </w:r>
          </w:p>
        </w:tc>
      </w:tr>
      <w:tr w:rsidR="000408B4" w:rsidRPr="00B34E01" w14:paraId="4EF1D7B8" w14:textId="77777777" w:rsidTr="000408B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40E9C1DF" w14:textId="77777777" w:rsidR="000408B4" w:rsidRPr="00B34E01" w:rsidRDefault="000408B4" w:rsidP="00997189">
            <w:pPr>
              <w:spacing w:after="0" w:line="360" w:lineRule="auto"/>
              <w:rPr>
                <w:rFonts w:ascii="Times New Roman" w:eastAsia="Times New Roman" w:hAnsi="Times New Roman" w:cs="Times New Roman"/>
                <w:b w:val="0"/>
                <w:bCs w:val="0"/>
                <w:color w:val="auto"/>
                <w:sz w:val="24"/>
                <w:szCs w:val="24"/>
              </w:rPr>
            </w:pPr>
            <w:r w:rsidRPr="00B34E01">
              <w:rPr>
                <w:rFonts w:ascii="Times New Roman" w:eastAsia="Times New Roman" w:hAnsi="Times New Roman" w:cs="Times New Roman"/>
                <w:b w:val="0"/>
                <w:bCs w:val="0"/>
                <w:color w:val="auto"/>
                <w:sz w:val="24"/>
                <w:szCs w:val="24"/>
              </w:rPr>
              <w:t>Ciprofloxacin</w:t>
            </w:r>
          </w:p>
        </w:tc>
        <w:tc>
          <w:tcPr>
            <w:tcW w:w="1210" w:type="dxa"/>
            <w:shd w:val="clear" w:color="auto" w:fill="auto"/>
          </w:tcPr>
          <w:p w14:paraId="62BF678B"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34E01">
              <w:rPr>
                <w:rFonts w:ascii="Times New Roman" w:eastAsia="PalatinoLinotype-Roman" w:hAnsi="Times New Roman" w:cs="Times New Roman"/>
                <w:color w:val="auto"/>
                <w:sz w:val="24"/>
                <w:szCs w:val="24"/>
              </w:rPr>
              <w:t>5µg</w:t>
            </w:r>
          </w:p>
        </w:tc>
        <w:tc>
          <w:tcPr>
            <w:tcW w:w="2689" w:type="dxa"/>
            <w:shd w:val="clear" w:color="auto" w:fill="auto"/>
          </w:tcPr>
          <w:p w14:paraId="63F43009"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5 (35.71)</w:t>
            </w:r>
          </w:p>
        </w:tc>
        <w:tc>
          <w:tcPr>
            <w:tcW w:w="1950" w:type="dxa"/>
            <w:shd w:val="clear" w:color="auto" w:fill="auto"/>
          </w:tcPr>
          <w:p w14:paraId="29E3C2BB"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2 (14.29)</w:t>
            </w:r>
          </w:p>
        </w:tc>
        <w:tc>
          <w:tcPr>
            <w:tcW w:w="1952" w:type="dxa"/>
            <w:shd w:val="clear" w:color="auto" w:fill="auto"/>
          </w:tcPr>
          <w:p w14:paraId="21B24445" w14:textId="77777777" w:rsidR="000408B4" w:rsidRPr="00B34E01" w:rsidRDefault="000408B4" w:rsidP="0099718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7 (50)</w:t>
            </w:r>
          </w:p>
        </w:tc>
      </w:tr>
      <w:tr w:rsidR="000408B4" w:rsidRPr="00B34E01" w14:paraId="19B2C7B8" w14:textId="77777777" w:rsidTr="000408B4">
        <w:trPr>
          <w:trHeight w:val="530"/>
        </w:trPr>
        <w:tc>
          <w:tcPr>
            <w:cnfStyle w:val="001000000000" w:firstRow="0" w:lastRow="0" w:firstColumn="1" w:lastColumn="0" w:oddVBand="0" w:evenVBand="0" w:oddHBand="0" w:evenHBand="0" w:firstRowFirstColumn="0" w:firstRowLastColumn="0" w:lastRowFirstColumn="0" w:lastRowLastColumn="0"/>
            <w:tcW w:w="1950" w:type="dxa"/>
            <w:shd w:val="clear" w:color="auto" w:fill="auto"/>
          </w:tcPr>
          <w:p w14:paraId="2EED80B7" w14:textId="77777777" w:rsidR="000408B4" w:rsidRPr="00B34E01" w:rsidRDefault="000408B4" w:rsidP="00997189">
            <w:pPr>
              <w:spacing w:after="0" w:line="360" w:lineRule="auto"/>
              <w:rPr>
                <w:rFonts w:ascii="Times New Roman" w:eastAsia="Times New Roman" w:hAnsi="Times New Roman" w:cs="Times New Roman"/>
                <w:b w:val="0"/>
                <w:bCs w:val="0"/>
                <w:color w:val="auto"/>
                <w:sz w:val="24"/>
                <w:szCs w:val="24"/>
              </w:rPr>
            </w:pPr>
            <w:r w:rsidRPr="00B34E01">
              <w:rPr>
                <w:rFonts w:ascii="Times New Roman" w:eastAsia="Times New Roman" w:hAnsi="Times New Roman" w:cs="Times New Roman"/>
                <w:b w:val="0"/>
                <w:bCs w:val="0"/>
                <w:color w:val="auto"/>
                <w:sz w:val="24"/>
                <w:szCs w:val="24"/>
              </w:rPr>
              <w:t>Chloramphenicol</w:t>
            </w:r>
          </w:p>
        </w:tc>
        <w:tc>
          <w:tcPr>
            <w:tcW w:w="1210" w:type="dxa"/>
            <w:shd w:val="clear" w:color="auto" w:fill="auto"/>
          </w:tcPr>
          <w:p w14:paraId="686FC245"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4E01">
              <w:rPr>
                <w:rFonts w:ascii="Times New Roman" w:eastAsia="PalatinoLinotype-Roman" w:hAnsi="Times New Roman" w:cs="Times New Roman"/>
                <w:color w:val="auto"/>
                <w:sz w:val="24"/>
                <w:szCs w:val="24"/>
              </w:rPr>
              <w:t>30 µg</w:t>
            </w:r>
          </w:p>
        </w:tc>
        <w:tc>
          <w:tcPr>
            <w:tcW w:w="2689" w:type="dxa"/>
            <w:shd w:val="clear" w:color="auto" w:fill="auto"/>
          </w:tcPr>
          <w:p w14:paraId="227CD072"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8 (57.14)</w:t>
            </w:r>
          </w:p>
        </w:tc>
        <w:tc>
          <w:tcPr>
            <w:tcW w:w="1950" w:type="dxa"/>
            <w:shd w:val="clear" w:color="auto" w:fill="auto"/>
          </w:tcPr>
          <w:p w14:paraId="2955772A"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1 (7.14)</w:t>
            </w:r>
          </w:p>
        </w:tc>
        <w:tc>
          <w:tcPr>
            <w:tcW w:w="1952" w:type="dxa"/>
            <w:shd w:val="clear" w:color="auto" w:fill="auto"/>
          </w:tcPr>
          <w:p w14:paraId="4EC94040" w14:textId="77777777" w:rsidR="000408B4" w:rsidRPr="00B34E01" w:rsidRDefault="000408B4" w:rsidP="0099718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B34E01">
              <w:rPr>
                <w:rFonts w:ascii="Times New Roman" w:eastAsia="Times New Roman" w:hAnsi="Times New Roman" w:cs="Times New Roman"/>
                <w:color w:val="auto"/>
                <w:sz w:val="24"/>
                <w:szCs w:val="24"/>
              </w:rPr>
              <w:t>5 (35.71)</w:t>
            </w:r>
          </w:p>
        </w:tc>
      </w:tr>
    </w:tbl>
    <w:p w14:paraId="7AA4A9F8" w14:textId="77777777" w:rsidR="007D7AC9" w:rsidRPr="00B34E01" w:rsidRDefault="007D7AC9" w:rsidP="00997189">
      <w:pPr>
        <w:pStyle w:val="Heading1"/>
        <w:spacing w:line="360" w:lineRule="auto"/>
        <w:jc w:val="both"/>
        <w:rPr>
          <w:rFonts w:ascii="Times New Roman" w:hAnsi="Times New Roman" w:cs="Times New Roman"/>
          <w:b/>
          <w:bCs/>
          <w:color w:val="auto"/>
          <w:sz w:val="24"/>
          <w:szCs w:val="24"/>
        </w:rPr>
      </w:pPr>
      <w:bookmarkStart w:id="12" w:name="_Toc139238307"/>
      <w:r w:rsidRPr="00B34E01">
        <w:rPr>
          <w:rFonts w:ascii="Times New Roman" w:hAnsi="Times New Roman" w:cs="Times New Roman"/>
          <w:b/>
          <w:bCs/>
          <w:color w:val="auto"/>
          <w:sz w:val="24"/>
          <w:szCs w:val="24"/>
        </w:rPr>
        <w:t>CONCLUSION</w:t>
      </w:r>
      <w:bookmarkEnd w:id="12"/>
    </w:p>
    <w:p w14:paraId="1A197DEA" w14:textId="6414F9A5" w:rsidR="00647F74" w:rsidRDefault="007D7AC9" w:rsidP="006D6DEB">
      <w:pPr>
        <w:spacing w:after="0" w:line="360" w:lineRule="auto"/>
        <w:jc w:val="both"/>
        <w:rPr>
          <w:rFonts w:ascii="Times New Roman" w:hAnsi="Times New Roman" w:cs="Times New Roman"/>
          <w:sz w:val="24"/>
          <w:szCs w:val="24"/>
        </w:rPr>
      </w:pPr>
      <w:bookmarkStart w:id="13" w:name="_Toc84422188"/>
      <w:bookmarkStart w:id="14" w:name="_Toc84496866"/>
      <w:bookmarkStart w:id="15" w:name="_Toc84505327"/>
      <w:r w:rsidRPr="00B34E01">
        <w:rPr>
          <w:rFonts w:ascii="Times New Roman" w:hAnsi="Times New Roman" w:cs="Times New Roman"/>
          <w:sz w:val="24"/>
          <w:szCs w:val="24"/>
        </w:rPr>
        <w:t xml:space="preserve">The study identifies that the </w:t>
      </w:r>
      <w:r w:rsidR="00AE1CCB" w:rsidRPr="00B34E01">
        <w:rPr>
          <w:rFonts w:ascii="Times New Roman" w:hAnsi="Times New Roman" w:cs="Times New Roman"/>
          <w:sz w:val="24"/>
          <w:szCs w:val="24"/>
        </w:rPr>
        <w:t>prevalence</w:t>
      </w:r>
      <w:r w:rsidRPr="00B34E01">
        <w:rPr>
          <w:rFonts w:ascii="Times New Roman" w:hAnsi="Times New Roman" w:cs="Times New Roman"/>
          <w:sz w:val="24"/>
          <w:szCs w:val="24"/>
        </w:rPr>
        <w:t xml:space="preserve"> of </w:t>
      </w:r>
      <w:r w:rsidR="00CD6AA2" w:rsidRPr="00B34E01">
        <w:rPr>
          <w:rFonts w:ascii="Times New Roman" w:hAnsi="Times New Roman" w:cs="Times New Roman"/>
          <w:i/>
          <w:iCs/>
          <w:sz w:val="24"/>
          <w:szCs w:val="24"/>
        </w:rPr>
        <w:t xml:space="preserve">Salmonella </w:t>
      </w:r>
      <w:r w:rsidR="003C124D" w:rsidRPr="00B34E01">
        <w:rPr>
          <w:rFonts w:ascii="Times New Roman" w:hAnsi="Times New Roman" w:cs="Times New Roman"/>
          <w:iCs/>
          <w:sz w:val="24"/>
          <w:szCs w:val="24"/>
        </w:rPr>
        <w:t>species</w:t>
      </w:r>
      <w:r w:rsidR="00854A45" w:rsidRPr="00B34E01">
        <w:rPr>
          <w:rFonts w:ascii="Times New Roman" w:hAnsi="Times New Roman" w:cs="Times New Roman"/>
          <w:iCs/>
          <w:sz w:val="24"/>
          <w:szCs w:val="24"/>
        </w:rPr>
        <w:t xml:space="preserve"> </w:t>
      </w:r>
      <w:r w:rsidRPr="00B34E01">
        <w:rPr>
          <w:rFonts w:ascii="Times New Roman" w:hAnsi="Times New Roman" w:cs="Times New Roman"/>
          <w:sz w:val="24"/>
          <w:szCs w:val="24"/>
        </w:rPr>
        <w:t xml:space="preserve">in the study was 3.5%. The antibiotic susceptibility profile of </w:t>
      </w:r>
      <w:r w:rsidR="00CD6AA2" w:rsidRPr="00B34E01">
        <w:rPr>
          <w:rFonts w:ascii="Times New Roman" w:hAnsi="Times New Roman" w:cs="Times New Roman"/>
          <w:i/>
          <w:sz w:val="24"/>
          <w:szCs w:val="24"/>
        </w:rPr>
        <w:t xml:space="preserve">Salmonella </w:t>
      </w:r>
      <w:r w:rsidR="003C124D" w:rsidRPr="00B34E01">
        <w:rPr>
          <w:rFonts w:ascii="Times New Roman" w:hAnsi="Times New Roman" w:cs="Times New Roman"/>
          <w:sz w:val="24"/>
          <w:szCs w:val="24"/>
        </w:rPr>
        <w:t>species</w:t>
      </w:r>
      <w:r w:rsidR="00854A45" w:rsidRPr="00B34E01">
        <w:rPr>
          <w:rFonts w:ascii="Times New Roman" w:hAnsi="Times New Roman" w:cs="Times New Roman"/>
          <w:sz w:val="24"/>
          <w:szCs w:val="24"/>
        </w:rPr>
        <w:t xml:space="preserve"> </w:t>
      </w:r>
      <w:r w:rsidRPr="00B34E01">
        <w:rPr>
          <w:rFonts w:ascii="Times New Roman" w:hAnsi="Times New Roman" w:cs="Times New Roman"/>
          <w:sz w:val="24"/>
          <w:szCs w:val="24"/>
        </w:rPr>
        <w:t>shows 50% of them were MDR. Additionally, the isolates were found to be resistance to Ampicillin, Cefotaxime and Ciprofloxacin and highly susceptible to Aztreonam</w:t>
      </w:r>
      <w:r w:rsidR="005D07C9" w:rsidRPr="00B34E01">
        <w:rPr>
          <w:rFonts w:ascii="Times New Roman" w:hAnsi="Times New Roman" w:cs="Times New Roman"/>
          <w:sz w:val="24"/>
          <w:szCs w:val="24"/>
        </w:rPr>
        <w:t>,</w:t>
      </w:r>
      <w:r w:rsidRPr="00B34E01">
        <w:rPr>
          <w:rFonts w:ascii="Times New Roman" w:hAnsi="Times New Roman" w:cs="Times New Roman"/>
          <w:sz w:val="24"/>
          <w:szCs w:val="24"/>
        </w:rPr>
        <w:t xml:space="preserve"> Tazobactam</w:t>
      </w:r>
      <w:r w:rsidR="005D07C9" w:rsidRPr="00B34E01">
        <w:rPr>
          <w:rFonts w:ascii="Times New Roman" w:hAnsi="Times New Roman" w:cs="Times New Roman"/>
          <w:sz w:val="24"/>
          <w:szCs w:val="24"/>
        </w:rPr>
        <w:t xml:space="preserve"> and Azithromycin</w:t>
      </w:r>
      <w:r w:rsidRPr="00B34E01">
        <w:rPr>
          <w:rFonts w:ascii="Times New Roman" w:hAnsi="Times New Roman" w:cs="Times New Roman"/>
          <w:sz w:val="24"/>
          <w:szCs w:val="24"/>
        </w:rPr>
        <w:t xml:space="preserve">. The study as well shows that 21.43% of </w:t>
      </w:r>
      <w:r w:rsidR="00CD6AA2" w:rsidRPr="00B34E01">
        <w:rPr>
          <w:rFonts w:ascii="Times New Roman" w:hAnsi="Times New Roman" w:cs="Times New Roman"/>
          <w:i/>
          <w:sz w:val="24"/>
          <w:szCs w:val="24"/>
        </w:rPr>
        <w:t xml:space="preserve">Salmonella </w:t>
      </w:r>
      <w:r w:rsidR="003C124D" w:rsidRPr="00B34E01">
        <w:rPr>
          <w:rFonts w:ascii="Times New Roman" w:hAnsi="Times New Roman" w:cs="Times New Roman"/>
          <w:sz w:val="24"/>
          <w:szCs w:val="24"/>
        </w:rPr>
        <w:t>species</w:t>
      </w:r>
      <w:r w:rsidR="00854A45" w:rsidRPr="00B34E01">
        <w:rPr>
          <w:rFonts w:ascii="Times New Roman" w:hAnsi="Times New Roman" w:cs="Times New Roman"/>
          <w:sz w:val="24"/>
          <w:szCs w:val="24"/>
        </w:rPr>
        <w:t xml:space="preserve"> </w:t>
      </w:r>
      <w:r w:rsidRPr="00B34E01">
        <w:rPr>
          <w:rFonts w:ascii="Times New Roman" w:hAnsi="Times New Roman" w:cs="Times New Roman"/>
          <w:sz w:val="24"/>
          <w:szCs w:val="24"/>
        </w:rPr>
        <w:t>were ESBL producers</w:t>
      </w:r>
      <w:r w:rsidR="00854A45" w:rsidRPr="00B34E01">
        <w:rPr>
          <w:rFonts w:ascii="Times New Roman" w:hAnsi="Times New Roman" w:cs="Times New Roman"/>
          <w:sz w:val="24"/>
          <w:szCs w:val="24"/>
        </w:rPr>
        <w:t>.</w:t>
      </w:r>
      <w:bookmarkEnd w:id="13"/>
      <w:bookmarkEnd w:id="14"/>
      <w:bookmarkEnd w:id="15"/>
      <w:r w:rsidR="00854A45" w:rsidRPr="00B34E01">
        <w:rPr>
          <w:rFonts w:ascii="Times New Roman" w:hAnsi="Times New Roman" w:cs="Times New Roman"/>
          <w:sz w:val="24"/>
          <w:szCs w:val="24"/>
        </w:rPr>
        <w:t xml:space="preserve"> It is therefore recommended that g</w:t>
      </w:r>
      <w:r w:rsidRPr="00B34E01">
        <w:rPr>
          <w:rFonts w:ascii="Times New Roman" w:hAnsi="Times New Roman" w:cs="Times New Roman"/>
          <w:sz w:val="24"/>
          <w:szCs w:val="24"/>
        </w:rPr>
        <w:t xml:space="preserve">ood hygienic practices should be promoted to further reduce the occurrence of </w:t>
      </w:r>
      <w:r w:rsidR="00CD6AA2" w:rsidRPr="00B34E01">
        <w:rPr>
          <w:rFonts w:ascii="Times New Roman" w:hAnsi="Times New Roman" w:cs="Times New Roman"/>
          <w:i/>
          <w:iCs/>
          <w:sz w:val="24"/>
          <w:szCs w:val="24"/>
        </w:rPr>
        <w:t xml:space="preserve">Salmonella </w:t>
      </w:r>
      <w:r w:rsidR="003C124D" w:rsidRPr="00B34E01">
        <w:rPr>
          <w:rFonts w:ascii="Times New Roman" w:hAnsi="Times New Roman" w:cs="Times New Roman"/>
          <w:iCs/>
          <w:sz w:val="24"/>
          <w:szCs w:val="24"/>
        </w:rPr>
        <w:t>species</w:t>
      </w:r>
      <w:r w:rsidR="00854A45" w:rsidRPr="00B34E01">
        <w:rPr>
          <w:rFonts w:ascii="Times New Roman" w:hAnsi="Times New Roman" w:cs="Times New Roman"/>
          <w:iCs/>
          <w:sz w:val="24"/>
          <w:szCs w:val="24"/>
        </w:rPr>
        <w:t xml:space="preserve"> </w:t>
      </w:r>
      <w:r w:rsidRPr="00B34E01">
        <w:rPr>
          <w:rFonts w:ascii="Times New Roman" w:hAnsi="Times New Roman" w:cs="Times New Roman"/>
          <w:sz w:val="24"/>
          <w:szCs w:val="24"/>
        </w:rPr>
        <w:t>(typhoid fever) in the study area</w:t>
      </w:r>
      <w:r w:rsidR="00854A45" w:rsidRPr="00B34E01">
        <w:rPr>
          <w:rFonts w:ascii="Times New Roman" w:hAnsi="Times New Roman" w:cs="Times New Roman"/>
          <w:sz w:val="24"/>
          <w:szCs w:val="24"/>
        </w:rPr>
        <w:t xml:space="preserve"> through various media and a</w:t>
      </w:r>
      <w:r w:rsidRPr="00B34E01">
        <w:rPr>
          <w:rFonts w:ascii="Times New Roman" w:hAnsi="Times New Roman" w:cs="Times New Roman"/>
          <w:sz w:val="24"/>
          <w:szCs w:val="24"/>
        </w:rPr>
        <w:t>ntibiotic susceptibility testing is highly recommended to be done before prescribing drugs for patients diagnosed with typhoid fever in order to reduce the rate of antibiotic resistance and indiscriminate use of </w:t>
      </w:r>
      <w:hyperlink r:id="rId21" w:tooltip="Learn more about Antibiotic from ScienceDirect's AI-generated Topic Pages" w:history="1">
        <w:r w:rsidRPr="00B34E01">
          <w:rPr>
            <w:rStyle w:val="Hyperlink"/>
            <w:rFonts w:ascii="Times New Roman" w:eastAsiaTheme="majorEastAsia" w:hAnsi="Times New Roman" w:cs="Times New Roman"/>
            <w:color w:val="auto"/>
            <w:sz w:val="24"/>
            <w:szCs w:val="24"/>
            <w:u w:val="none"/>
          </w:rPr>
          <w:t>antibiotics</w:t>
        </w:r>
      </w:hyperlink>
      <w:r w:rsidRPr="00B34E01">
        <w:rPr>
          <w:rFonts w:ascii="Times New Roman" w:hAnsi="Times New Roman" w:cs="Times New Roman"/>
          <w:sz w:val="24"/>
          <w:szCs w:val="24"/>
        </w:rPr>
        <w:t> </w:t>
      </w:r>
    </w:p>
    <w:p w14:paraId="575447E7" w14:textId="66843CA4" w:rsidR="00924B29" w:rsidRPr="00B34E01" w:rsidRDefault="00924B29" w:rsidP="00924B29">
      <w:pPr>
        <w:spacing w:after="0" w:line="360" w:lineRule="auto"/>
        <w:rPr>
          <w:rFonts w:ascii="Times New Roman" w:hAnsi="Times New Roman" w:cs="Times New Roman"/>
          <w:b/>
          <w:sz w:val="24"/>
          <w:szCs w:val="24"/>
        </w:rPr>
      </w:pPr>
      <w:r w:rsidRPr="00B34E01">
        <w:rPr>
          <w:rFonts w:ascii="Times New Roman" w:hAnsi="Times New Roman" w:cs="Times New Roman"/>
          <w:b/>
          <w:sz w:val="24"/>
          <w:szCs w:val="24"/>
        </w:rPr>
        <w:t>Ethical Approval</w:t>
      </w:r>
      <w:r>
        <w:rPr>
          <w:rFonts w:ascii="Times New Roman" w:hAnsi="Times New Roman" w:cs="Times New Roman"/>
          <w:b/>
          <w:sz w:val="24"/>
          <w:szCs w:val="24"/>
        </w:rPr>
        <w:t xml:space="preserve"> and consent</w:t>
      </w:r>
    </w:p>
    <w:p w14:paraId="57574DEC" w14:textId="77777777" w:rsidR="00924B29" w:rsidRPr="00B34E01" w:rsidRDefault="00924B29" w:rsidP="00924B29">
      <w:pPr>
        <w:spacing w:after="0" w:line="360" w:lineRule="auto"/>
        <w:jc w:val="both"/>
        <w:rPr>
          <w:rFonts w:ascii="Times New Roman" w:hAnsi="Times New Roman" w:cs="Times New Roman"/>
          <w:sz w:val="24"/>
          <w:szCs w:val="24"/>
        </w:rPr>
      </w:pPr>
      <w:r w:rsidRPr="00B34E01">
        <w:rPr>
          <w:rFonts w:ascii="Times New Roman" w:hAnsi="Times New Roman" w:cs="Times New Roman"/>
          <w:sz w:val="24"/>
          <w:szCs w:val="24"/>
        </w:rPr>
        <w:t xml:space="preserve">Ethical approval with the reference number MOH/Off/797/TI/1188 was obtained from Health Research Ethics Committee, Ministry of Health Kano State for permission to obtain samples from the study participants attending the Murtala Muhammad Specialist Hospital, Kano. The consent of patients was asked to </w:t>
      </w:r>
      <w:r>
        <w:rPr>
          <w:rFonts w:ascii="Times New Roman" w:hAnsi="Times New Roman" w:cs="Times New Roman"/>
          <w:sz w:val="24"/>
          <w:szCs w:val="24"/>
        </w:rPr>
        <w:t>participate willingly</w:t>
      </w:r>
      <w:r w:rsidRPr="00B34E01">
        <w:rPr>
          <w:rFonts w:ascii="Times New Roman" w:hAnsi="Times New Roman" w:cs="Times New Roman"/>
          <w:sz w:val="24"/>
          <w:szCs w:val="24"/>
        </w:rPr>
        <w:t xml:space="preserve"> in the research.</w:t>
      </w:r>
    </w:p>
    <w:p w14:paraId="043A1613" w14:textId="77777777" w:rsidR="00924B29" w:rsidRDefault="00924B29" w:rsidP="006D6DEB">
      <w:pPr>
        <w:spacing w:after="0" w:line="360" w:lineRule="auto"/>
        <w:jc w:val="both"/>
        <w:rPr>
          <w:rFonts w:ascii="Times New Roman" w:hAnsi="Times New Roman" w:cs="Times New Roman"/>
          <w:sz w:val="24"/>
          <w:szCs w:val="24"/>
        </w:rPr>
      </w:pPr>
    </w:p>
    <w:p w14:paraId="65065A46" w14:textId="77777777" w:rsidR="00A25862" w:rsidRDefault="00A25862" w:rsidP="00A25862">
      <w:r>
        <w:lastRenderedPageBreak/>
        <w:t>Disclaimer (Artificial intelligence)</w:t>
      </w:r>
    </w:p>
    <w:p w14:paraId="3FC20992" w14:textId="77777777" w:rsidR="00A25862" w:rsidRDefault="00A25862" w:rsidP="00A25862">
      <w:r>
        <w:t xml:space="preserve">Option 1: </w:t>
      </w:r>
    </w:p>
    <w:p w14:paraId="11F5ED39" w14:textId="77777777" w:rsidR="00A25862" w:rsidRDefault="00A25862" w:rsidP="00A25862">
      <w:r>
        <w:t xml:space="preserve">Author(s) hereby declare that NO generative AI technologies such as Large Language Models (ChatGPT, COPILOT, etc.) and text-to-image generators have been used during the writing or editing of this manuscript. </w:t>
      </w:r>
    </w:p>
    <w:p w14:paraId="229A6C9D" w14:textId="77777777" w:rsidR="00A25862" w:rsidRDefault="00A25862" w:rsidP="00A25862">
      <w:r>
        <w:t xml:space="preserve">Option 2: </w:t>
      </w:r>
    </w:p>
    <w:p w14:paraId="194592C3" w14:textId="77777777" w:rsidR="00A25862" w:rsidRDefault="00A25862" w:rsidP="00A25862">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1C0082" w14:textId="77777777" w:rsidR="00A25862" w:rsidRDefault="00A25862" w:rsidP="00A25862">
      <w:r>
        <w:t>Details of the AI usage are given below:</w:t>
      </w:r>
    </w:p>
    <w:p w14:paraId="564C4182" w14:textId="77777777" w:rsidR="00A25862" w:rsidRDefault="00A25862" w:rsidP="00A25862">
      <w:r>
        <w:t>1.</w:t>
      </w:r>
    </w:p>
    <w:p w14:paraId="467A009A" w14:textId="77777777" w:rsidR="00A25862" w:rsidRDefault="00A25862" w:rsidP="00A25862">
      <w:r>
        <w:t>2.</w:t>
      </w:r>
    </w:p>
    <w:p w14:paraId="5175EEC2" w14:textId="77777777" w:rsidR="00A25862" w:rsidRPr="00D047BB" w:rsidRDefault="00A25862" w:rsidP="00A25862">
      <w:r>
        <w:t>3.</w:t>
      </w:r>
    </w:p>
    <w:p w14:paraId="34556803" w14:textId="77777777" w:rsidR="00A25862" w:rsidRPr="0063354D" w:rsidRDefault="00A25862" w:rsidP="00A25862"/>
    <w:p w14:paraId="13BA16B8" w14:textId="77777777" w:rsidR="00A25862" w:rsidRPr="00B34E01" w:rsidRDefault="00A25862" w:rsidP="006D6DEB">
      <w:pPr>
        <w:spacing w:after="0" w:line="360" w:lineRule="auto"/>
        <w:jc w:val="both"/>
        <w:rPr>
          <w:rFonts w:ascii="Times New Roman" w:hAnsi="Times New Roman" w:cs="Times New Roman"/>
          <w:sz w:val="24"/>
          <w:szCs w:val="24"/>
        </w:rPr>
      </w:pPr>
    </w:p>
    <w:p w14:paraId="5F00465C" w14:textId="77777777" w:rsidR="007D7AC9" w:rsidRPr="00B34E01" w:rsidRDefault="007D7AC9" w:rsidP="00997189">
      <w:pPr>
        <w:spacing w:after="0" w:line="360" w:lineRule="auto"/>
        <w:rPr>
          <w:rFonts w:ascii="Times New Roman" w:hAnsi="Times New Roman" w:cs="Times New Roman"/>
          <w:b/>
          <w:sz w:val="24"/>
          <w:szCs w:val="24"/>
        </w:rPr>
      </w:pPr>
    </w:p>
    <w:p w14:paraId="289814C9" w14:textId="77777777" w:rsidR="00E67013" w:rsidRPr="00B34E01" w:rsidRDefault="007D7AC9" w:rsidP="00997189">
      <w:pPr>
        <w:pStyle w:val="Heading1"/>
        <w:spacing w:line="360" w:lineRule="auto"/>
        <w:jc w:val="center"/>
        <w:rPr>
          <w:rFonts w:ascii="Times New Roman" w:hAnsi="Times New Roman" w:cs="Times New Roman"/>
          <w:b/>
          <w:color w:val="auto"/>
          <w:sz w:val="24"/>
          <w:szCs w:val="24"/>
        </w:rPr>
      </w:pPr>
      <w:bookmarkStart w:id="16" w:name="_Toc139238309"/>
      <w:r w:rsidRPr="00B34E01">
        <w:rPr>
          <w:rFonts w:ascii="Times New Roman" w:hAnsi="Times New Roman" w:cs="Times New Roman"/>
          <w:b/>
          <w:color w:val="auto"/>
          <w:sz w:val="24"/>
          <w:szCs w:val="24"/>
        </w:rPr>
        <w:t>REFERENCES</w:t>
      </w:r>
      <w:bookmarkEnd w:id="16"/>
    </w:p>
    <w:p w14:paraId="6D6222EE" w14:textId="77777777" w:rsidR="00E67013" w:rsidRPr="00B34E01" w:rsidRDefault="00E67013" w:rsidP="00997189">
      <w:pPr>
        <w:pStyle w:val="NormalWeb"/>
        <w:spacing w:before="0" w:beforeAutospacing="0" w:after="0" w:afterAutospacing="0" w:line="360" w:lineRule="auto"/>
        <w:ind w:hanging="440"/>
        <w:jc w:val="both"/>
        <w:rPr>
          <w:rStyle w:val="Hyperlink"/>
          <w:rFonts w:eastAsiaTheme="majorEastAsia"/>
          <w:color w:val="auto"/>
          <w:u w:val="none"/>
        </w:rPr>
      </w:pPr>
    </w:p>
    <w:p w14:paraId="68E30257" w14:textId="77777777" w:rsidR="00E67013" w:rsidRPr="00B34E01" w:rsidRDefault="00E67013" w:rsidP="00997189">
      <w:pPr>
        <w:pStyle w:val="NormalWeb"/>
        <w:spacing w:before="0" w:beforeAutospacing="0" w:after="0" w:afterAutospacing="0" w:line="360" w:lineRule="auto"/>
        <w:ind w:left="720" w:hanging="720"/>
        <w:jc w:val="both"/>
        <w:rPr>
          <w:shd w:val="clear" w:color="auto" w:fill="FFFFFF"/>
        </w:rPr>
      </w:pPr>
      <w:r w:rsidRPr="00B34E01">
        <w:rPr>
          <w:shd w:val="clear" w:color="auto" w:fill="FFFFFF"/>
        </w:rPr>
        <w:t>Abdallah, M. S. and Ali, M. D. (2019). Antibiotic Sensitivity Profile of </w:t>
      </w:r>
      <w:r w:rsidRPr="00B34E01">
        <w:rPr>
          <w:i/>
          <w:iCs/>
          <w:shd w:val="clear" w:color="auto" w:fill="FFFFFF"/>
        </w:rPr>
        <w:t xml:space="preserve">Salmonella </w:t>
      </w:r>
      <w:r w:rsidRPr="00B34E01">
        <w:rPr>
          <w:shd w:val="clear" w:color="auto" w:fill="FFFFFF"/>
        </w:rPr>
        <w:t xml:space="preserve">Typhi Associated with Acute Diarrhoea Among Children in Kano, Nigeria. </w:t>
      </w:r>
      <w:r w:rsidRPr="00B34E01">
        <w:rPr>
          <w:i/>
          <w:shd w:val="clear" w:color="auto" w:fill="FFFFFF"/>
        </w:rPr>
        <w:t>Juniper Online Journal of Public Health.</w:t>
      </w:r>
      <w:r w:rsidRPr="00B34E01">
        <w:rPr>
          <w:shd w:val="clear" w:color="auto" w:fill="FFFFFF"/>
        </w:rPr>
        <w:t xml:space="preserve"> </w:t>
      </w:r>
      <w:r w:rsidRPr="00B34E01">
        <w:rPr>
          <w:iCs/>
          <w:shd w:val="clear" w:color="auto" w:fill="FFFFFF"/>
        </w:rPr>
        <w:t>4(5): 555647.</w:t>
      </w:r>
      <w:r w:rsidRPr="00B34E01">
        <w:rPr>
          <w:i/>
          <w:shd w:val="clear" w:color="auto" w:fill="FFFFFF"/>
        </w:rPr>
        <w:t xml:space="preserve"> </w:t>
      </w:r>
    </w:p>
    <w:p w14:paraId="67DDA370" w14:textId="77777777" w:rsidR="00221269" w:rsidRPr="00B34E01" w:rsidRDefault="00221269" w:rsidP="00997189">
      <w:pPr>
        <w:pStyle w:val="NormalWeb"/>
        <w:spacing w:before="0" w:beforeAutospacing="0" w:after="0" w:afterAutospacing="0" w:line="360" w:lineRule="auto"/>
        <w:ind w:left="720" w:hanging="720"/>
        <w:jc w:val="both"/>
      </w:pPr>
      <w:hyperlink r:id="rId22" w:history="1">
        <w:r w:rsidRPr="00B34E01">
          <w:rPr>
            <w:rStyle w:val="Hyperlink"/>
            <w:rFonts w:eastAsiaTheme="majorEastAsia"/>
            <w:color w:val="000000"/>
            <w:u w:val="none"/>
          </w:rPr>
          <w:t xml:space="preserve">Ahamed Riyaaz, A. A., Perera, V., Sivakumaran, S., &amp; de Silva, N. (2018). Typhoid Fever due to Extended Spectrum -Lactamase-Producing Serovar Typhi: A Case Report and Literature Review. </w:t>
        </w:r>
        <w:r w:rsidRPr="00B34E01">
          <w:rPr>
            <w:rStyle w:val="Hyperlink"/>
            <w:rFonts w:eastAsiaTheme="majorEastAsia"/>
            <w:i/>
            <w:iCs/>
            <w:color w:val="000000"/>
            <w:u w:val="none"/>
          </w:rPr>
          <w:t>Case Reports in Infectious Diseases</w:t>
        </w:r>
        <w:r w:rsidRPr="00B34E01">
          <w:rPr>
            <w:rStyle w:val="Hyperlink"/>
            <w:rFonts w:eastAsiaTheme="majorEastAsia"/>
            <w:color w:val="000000"/>
            <w:u w:val="none"/>
          </w:rPr>
          <w:t xml:space="preserve">, </w:t>
        </w:r>
        <w:r w:rsidRPr="00B34E01">
          <w:rPr>
            <w:rStyle w:val="Hyperlink"/>
            <w:rFonts w:eastAsiaTheme="majorEastAsia"/>
            <w:i/>
            <w:iCs/>
            <w:color w:val="000000"/>
            <w:u w:val="none"/>
          </w:rPr>
          <w:t>2018</w:t>
        </w:r>
        <w:r w:rsidRPr="00B34E01">
          <w:rPr>
            <w:rStyle w:val="Hyperlink"/>
            <w:rFonts w:eastAsiaTheme="majorEastAsia"/>
            <w:color w:val="000000"/>
            <w:u w:val="none"/>
          </w:rPr>
          <w:t>, 4610246.</w:t>
        </w:r>
      </w:hyperlink>
    </w:p>
    <w:p w14:paraId="3CD3E5BE" w14:textId="77777777" w:rsidR="00E67013" w:rsidRPr="00B34E01" w:rsidRDefault="00E67013" w:rsidP="00997189">
      <w:pPr>
        <w:pStyle w:val="NormalWeb"/>
        <w:spacing w:before="0" w:beforeAutospacing="0" w:after="0" w:afterAutospacing="0" w:line="360" w:lineRule="auto"/>
        <w:ind w:left="720" w:hanging="720"/>
        <w:jc w:val="both"/>
      </w:pPr>
      <w:hyperlink r:id="rId23" w:history="1">
        <w:r w:rsidRPr="00B34E01">
          <w:rPr>
            <w:rStyle w:val="Hyperlink"/>
            <w:rFonts w:eastAsiaTheme="majorEastAsia"/>
            <w:color w:val="auto"/>
            <w:u w:val="none"/>
          </w:rPr>
          <w:t xml:space="preserve">Dutta, S., Sur, D., Manna, B., Bhattacharya, S. K., Deen, J. L., and Clemens, J. D. (2005). Rollback of </w:t>
        </w:r>
        <w:r w:rsidRPr="00B34E01">
          <w:rPr>
            <w:rStyle w:val="Hyperlink"/>
            <w:rFonts w:eastAsiaTheme="majorEastAsia"/>
            <w:i/>
            <w:color w:val="auto"/>
            <w:u w:val="none"/>
          </w:rPr>
          <w:t>Salmonella</w:t>
        </w:r>
        <w:r w:rsidRPr="00B34E01">
          <w:rPr>
            <w:rStyle w:val="Hyperlink"/>
            <w:rFonts w:eastAsiaTheme="majorEastAsia"/>
            <w:color w:val="auto"/>
            <w:u w:val="none"/>
          </w:rPr>
          <w:t xml:space="preserve"> </w:t>
        </w:r>
        <w:r w:rsidRPr="00B34E01">
          <w:rPr>
            <w:rStyle w:val="Hyperlink"/>
            <w:rFonts w:eastAsiaTheme="majorEastAsia"/>
            <w:i/>
            <w:color w:val="auto"/>
            <w:u w:val="none"/>
          </w:rPr>
          <w:t>enterica</w:t>
        </w:r>
        <w:r w:rsidRPr="00B34E01">
          <w:rPr>
            <w:rStyle w:val="Hyperlink"/>
            <w:rFonts w:eastAsiaTheme="majorEastAsia"/>
            <w:color w:val="auto"/>
            <w:u w:val="none"/>
          </w:rPr>
          <w:t xml:space="preserve"> serotype Typhi resistance to chloramphenicol and other antimicrobials in Kolkata, India. </w:t>
        </w:r>
        <w:r w:rsidRPr="00B34E01">
          <w:rPr>
            <w:rStyle w:val="Hyperlink"/>
            <w:rFonts w:eastAsiaTheme="majorEastAsia"/>
            <w:i/>
            <w:iCs/>
            <w:color w:val="auto"/>
            <w:u w:val="none"/>
          </w:rPr>
          <w:t>Antimicrobial Agents and Chemotherapy</w:t>
        </w:r>
        <w:r w:rsidRPr="00B34E01">
          <w:rPr>
            <w:rStyle w:val="Hyperlink"/>
            <w:rFonts w:eastAsiaTheme="majorEastAsia"/>
            <w:color w:val="auto"/>
            <w:u w:val="none"/>
          </w:rPr>
          <w:t>, 49(4): 1662–1663.</w:t>
        </w:r>
      </w:hyperlink>
    </w:p>
    <w:p w14:paraId="28216CA3" w14:textId="77777777" w:rsidR="00E67013" w:rsidRPr="00B34E01" w:rsidRDefault="00E67013" w:rsidP="00997189">
      <w:pPr>
        <w:pStyle w:val="NormalWeb"/>
        <w:spacing w:before="0" w:beforeAutospacing="0" w:after="0" w:afterAutospacing="0" w:line="360" w:lineRule="auto"/>
        <w:ind w:left="720" w:hanging="720"/>
        <w:jc w:val="both"/>
        <w:rPr>
          <w:iCs/>
        </w:rPr>
      </w:pPr>
      <w:hyperlink r:id="rId24" w:history="1">
        <w:r w:rsidRPr="00B34E01">
          <w:rPr>
            <w:rStyle w:val="Hyperlink"/>
            <w:rFonts w:eastAsiaTheme="majorEastAsia"/>
            <w:color w:val="auto"/>
            <w:u w:val="none"/>
          </w:rPr>
          <w:t xml:space="preserve">Gashaw, T., &amp; Jambo, A. (2022). Typhoid in less developed countries: A major public health concern. In </w:t>
        </w:r>
        <w:r w:rsidRPr="00B34E01">
          <w:rPr>
            <w:rStyle w:val="Hyperlink"/>
            <w:rFonts w:eastAsiaTheme="majorEastAsia"/>
            <w:i/>
            <w:iCs/>
            <w:color w:val="auto"/>
            <w:u w:val="none"/>
          </w:rPr>
          <w:t>Hygiene and Health in Developing Countries - Recent Advances</w:t>
        </w:r>
        <w:r w:rsidRPr="00B34E01">
          <w:rPr>
            <w:rStyle w:val="Hyperlink"/>
            <w:rFonts w:eastAsiaTheme="majorEastAsia"/>
            <w:color w:val="auto"/>
            <w:u w:val="none"/>
          </w:rPr>
          <w:t>. IntechOpen.</w:t>
        </w:r>
      </w:hyperlink>
    </w:p>
    <w:p w14:paraId="25516F0D" w14:textId="77777777" w:rsidR="00E67013" w:rsidRPr="00B34E01" w:rsidRDefault="00E67013" w:rsidP="00997189">
      <w:pPr>
        <w:pStyle w:val="NormalWeb"/>
        <w:spacing w:before="0" w:beforeAutospacing="0" w:after="0" w:afterAutospacing="0" w:line="360" w:lineRule="auto"/>
        <w:ind w:left="720" w:hanging="720"/>
        <w:jc w:val="both"/>
      </w:pPr>
      <w:hyperlink r:id="rId25" w:history="1">
        <w:r w:rsidRPr="00B34E01">
          <w:rPr>
            <w:rStyle w:val="Hyperlink"/>
            <w:rFonts w:eastAsiaTheme="majorEastAsia"/>
            <w:color w:val="auto"/>
            <w:u w:val="none"/>
          </w:rPr>
          <w:t xml:space="preserve">Gupta, P. K., &amp; Gupta, J. (2016). Former first-line antibiotics for treatment of enteric fever. </w:t>
        </w:r>
        <w:r w:rsidRPr="00B34E01">
          <w:rPr>
            <w:rStyle w:val="Hyperlink"/>
            <w:rFonts w:eastAsiaTheme="majorEastAsia"/>
            <w:i/>
            <w:iCs/>
            <w:color w:val="auto"/>
            <w:u w:val="none"/>
          </w:rPr>
          <w:t>The Lancet. Infectious Diseases</w:t>
        </w:r>
        <w:r w:rsidRPr="00B34E01">
          <w:rPr>
            <w:rStyle w:val="Hyperlink"/>
            <w:rFonts w:eastAsiaTheme="majorEastAsia"/>
            <w:color w:val="auto"/>
            <w:u w:val="none"/>
          </w:rPr>
          <w:t xml:space="preserve">, </w:t>
        </w:r>
        <w:r w:rsidRPr="00B34E01">
          <w:rPr>
            <w:rStyle w:val="Hyperlink"/>
            <w:rFonts w:eastAsiaTheme="majorEastAsia"/>
            <w:i/>
            <w:iCs/>
            <w:color w:val="auto"/>
            <w:u w:val="none"/>
          </w:rPr>
          <w:t>16</w:t>
        </w:r>
        <w:r w:rsidRPr="00B34E01">
          <w:rPr>
            <w:rStyle w:val="Hyperlink"/>
            <w:rFonts w:eastAsiaTheme="majorEastAsia"/>
            <w:color w:val="auto"/>
            <w:u w:val="none"/>
          </w:rPr>
          <w:t>(8), 892–893.</w:t>
        </w:r>
      </w:hyperlink>
    </w:p>
    <w:p w14:paraId="401E044A" w14:textId="77777777" w:rsidR="00125CED" w:rsidRPr="00B34E01" w:rsidRDefault="00125CED" w:rsidP="00997189">
      <w:pPr>
        <w:pStyle w:val="NormalWeb"/>
        <w:spacing w:before="0" w:beforeAutospacing="0" w:after="0" w:afterAutospacing="0" w:line="360" w:lineRule="auto"/>
        <w:ind w:left="720" w:hanging="720"/>
        <w:jc w:val="both"/>
      </w:pPr>
      <w:hyperlink r:id="rId26" w:history="1">
        <w:r w:rsidRPr="00B34E01">
          <w:rPr>
            <w:rStyle w:val="Hyperlink"/>
            <w:rFonts w:eastAsiaTheme="majorEastAsia"/>
            <w:color w:val="000000"/>
            <w:u w:val="none"/>
          </w:rPr>
          <w:t xml:space="preserve">Jung, S.-H. (2014). Stratified Fisher’s exact test and its sample size calculation. </w:t>
        </w:r>
        <w:r w:rsidRPr="00B34E01">
          <w:rPr>
            <w:rStyle w:val="Hyperlink"/>
            <w:rFonts w:eastAsiaTheme="majorEastAsia"/>
            <w:i/>
            <w:iCs/>
            <w:color w:val="000000"/>
            <w:u w:val="none"/>
          </w:rPr>
          <w:t>Biometrical Journal</w:t>
        </w:r>
        <w:r w:rsidRPr="00B34E01">
          <w:rPr>
            <w:rStyle w:val="Hyperlink"/>
            <w:rFonts w:eastAsiaTheme="majorEastAsia"/>
            <w:color w:val="000000"/>
            <w:u w:val="none"/>
          </w:rPr>
          <w:t xml:space="preserve">, </w:t>
        </w:r>
        <w:r w:rsidRPr="00B34E01">
          <w:rPr>
            <w:rStyle w:val="Hyperlink"/>
            <w:rFonts w:eastAsiaTheme="majorEastAsia"/>
            <w:i/>
            <w:iCs/>
            <w:color w:val="000000"/>
            <w:u w:val="none"/>
          </w:rPr>
          <w:t>56</w:t>
        </w:r>
        <w:r w:rsidRPr="00B34E01">
          <w:rPr>
            <w:rStyle w:val="Hyperlink"/>
            <w:rFonts w:eastAsiaTheme="majorEastAsia"/>
            <w:color w:val="000000"/>
            <w:u w:val="none"/>
          </w:rPr>
          <w:t>(1), 129–140.</w:t>
        </w:r>
      </w:hyperlink>
    </w:p>
    <w:p w14:paraId="5A97580F" w14:textId="77777777" w:rsidR="00E67013" w:rsidRPr="00B34E01" w:rsidRDefault="00E67013" w:rsidP="00997189">
      <w:pPr>
        <w:pStyle w:val="NormalWeb"/>
        <w:spacing w:before="0" w:beforeAutospacing="0" w:after="0" w:afterAutospacing="0" w:line="360" w:lineRule="auto"/>
        <w:ind w:left="720" w:hanging="720"/>
        <w:jc w:val="both"/>
      </w:pPr>
      <w:r w:rsidRPr="00B34E01">
        <w:t xml:space="preserve">Khalid, M., Mateen, I., Nakhshab, C., Ghulam, M. </w:t>
      </w:r>
      <w:r w:rsidR="00095137" w:rsidRPr="00B34E01">
        <w:t>and Naeem</w:t>
      </w:r>
      <w:r w:rsidRPr="00B34E01">
        <w:t xml:space="preserve">, R. (2011). Emergence of extended-spectrum β-lactamase producing </w:t>
      </w:r>
      <w:r w:rsidRPr="00B34E01">
        <w:rPr>
          <w:i/>
        </w:rPr>
        <w:t>Salmonella</w:t>
      </w:r>
      <w:r w:rsidRPr="00B34E01">
        <w:t xml:space="preserve"> Typhi in Pakistan. </w:t>
      </w:r>
      <w:hyperlink r:id="rId27" w:tgtFrame="_blank" w:history="1">
        <w:r w:rsidRPr="00B34E01">
          <w:rPr>
            <w:rStyle w:val="Hyperlink"/>
            <w:rFonts w:eastAsiaTheme="majorEastAsia"/>
            <w:i/>
            <w:color w:val="auto"/>
            <w:u w:val="none"/>
          </w:rPr>
          <w:t>African Journal of Microbiology Research</w:t>
        </w:r>
      </w:hyperlink>
      <w:r w:rsidRPr="00B34E01">
        <w:rPr>
          <w:i/>
        </w:rPr>
        <w:t xml:space="preserve">. </w:t>
      </w:r>
      <w:r w:rsidRPr="00B34E01">
        <w:t>6(4):793-797</w:t>
      </w:r>
    </w:p>
    <w:p w14:paraId="7B1A14BB" w14:textId="77777777" w:rsidR="00E67013" w:rsidRPr="00B34E01" w:rsidRDefault="00E67013" w:rsidP="00997189">
      <w:pPr>
        <w:pStyle w:val="NormalWeb"/>
        <w:spacing w:before="0" w:beforeAutospacing="0" w:after="0" w:afterAutospacing="0" w:line="360" w:lineRule="auto"/>
        <w:ind w:left="720" w:hanging="720"/>
        <w:jc w:val="both"/>
        <w:rPr>
          <w:i/>
          <w:iCs/>
        </w:rPr>
      </w:pPr>
      <w:r w:rsidRPr="00B34E01">
        <w:rPr>
          <w:rFonts w:eastAsiaTheme="majorEastAsia"/>
        </w:rPr>
        <w:t xml:space="preserve">Lestari, U., Pangastuti, A., and Susilowati, A. (2006). Inhibition of exoprotease production in </w:t>
      </w:r>
      <w:r w:rsidRPr="00B34E01">
        <w:rPr>
          <w:rFonts w:eastAsiaTheme="majorEastAsia"/>
          <w:i/>
        </w:rPr>
        <w:t>Aeromonas hydrophila</w:t>
      </w:r>
      <w:r w:rsidRPr="00B34E01">
        <w:rPr>
          <w:rFonts w:eastAsiaTheme="majorEastAsia"/>
        </w:rPr>
        <w:t xml:space="preserve"> by rhizome extract of temu lawak (Curcuma xanthorrhiza (Roxb.). </w:t>
      </w:r>
      <w:r w:rsidRPr="00B34E01">
        <w:rPr>
          <w:rFonts w:eastAsiaTheme="majorEastAsia"/>
          <w:i/>
          <w:iCs/>
        </w:rPr>
        <w:t>Biofarmasi Journal of Natural Product Biochemistry</w:t>
      </w:r>
      <w:r w:rsidRPr="00B34E01">
        <w:rPr>
          <w:rFonts w:eastAsiaTheme="majorEastAsia"/>
        </w:rPr>
        <w:t xml:space="preserve">, </w:t>
      </w:r>
      <w:r w:rsidRPr="00B34E01">
        <w:t>4(2):45-54</w:t>
      </w:r>
    </w:p>
    <w:p w14:paraId="329A4F9B" w14:textId="77777777" w:rsidR="00E67013" w:rsidRPr="00B34E01" w:rsidRDefault="00E67013" w:rsidP="00997189">
      <w:pPr>
        <w:pStyle w:val="NormalWeb"/>
        <w:spacing w:before="0" w:beforeAutospacing="0" w:after="0" w:afterAutospacing="0" w:line="360" w:lineRule="auto"/>
        <w:ind w:left="720" w:hanging="720"/>
        <w:jc w:val="both"/>
        <w:rPr>
          <w:iCs/>
        </w:rPr>
      </w:pPr>
      <w:hyperlink r:id="rId28" w:history="1">
        <w:r w:rsidRPr="00B34E01">
          <w:rPr>
            <w:rStyle w:val="Hyperlink"/>
            <w:rFonts w:eastAsiaTheme="majorEastAsia"/>
            <w:color w:val="auto"/>
            <w:u w:val="none"/>
          </w:rPr>
          <w:t xml:space="preserve">Maharjan, A., Dhungel, B., Bastola, A., Thapa Shrestha, U., Adhikari, N., Banjara, M. R., Lekhak, B., Ghimire, P., &amp; Rijal, K. R. (2021). Antimicrobial Susceptibility Pattern of species. Isolated from Enteric Fever Patients in Nepal. </w:t>
        </w:r>
        <w:r w:rsidRPr="00B34E01">
          <w:rPr>
            <w:rStyle w:val="Hyperlink"/>
            <w:rFonts w:eastAsiaTheme="majorEastAsia"/>
            <w:i/>
            <w:iCs/>
            <w:color w:val="auto"/>
            <w:u w:val="none"/>
          </w:rPr>
          <w:t>Infectious Disease Reports</w:t>
        </w:r>
        <w:r w:rsidRPr="00B34E01">
          <w:rPr>
            <w:rStyle w:val="Hyperlink"/>
            <w:rFonts w:eastAsiaTheme="majorEastAsia"/>
            <w:color w:val="auto"/>
            <w:u w:val="none"/>
          </w:rPr>
          <w:t xml:space="preserve">, </w:t>
        </w:r>
        <w:r w:rsidRPr="00B34E01">
          <w:rPr>
            <w:rStyle w:val="Hyperlink"/>
            <w:rFonts w:eastAsiaTheme="majorEastAsia"/>
            <w:i/>
            <w:iCs/>
            <w:color w:val="auto"/>
            <w:u w:val="none"/>
          </w:rPr>
          <w:t>13</w:t>
        </w:r>
        <w:r w:rsidRPr="00B34E01">
          <w:rPr>
            <w:rStyle w:val="Hyperlink"/>
            <w:rFonts w:eastAsiaTheme="majorEastAsia"/>
            <w:color w:val="auto"/>
            <w:u w:val="none"/>
          </w:rPr>
          <w:t>(2), 388–400.</w:t>
        </w:r>
      </w:hyperlink>
    </w:p>
    <w:p w14:paraId="64ECC8F2" w14:textId="253CDF74" w:rsidR="008507D9" w:rsidRPr="00B34E01" w:rsidRDefault="00E67013" w:rsidP="00997189">
      <w:pPr>
        <w:shd w:val="clear" w:color="auto" w:fill="FFFFFF"/>
        <w:spacing w:after="0" w:line="360" w:lineRule="auto"/>
        <w:ind w:left="720" w:hanging="720"/>
        <w:jc w:val="both"/>
        <w:rPr>
          <w:rStyle w:val="Hyperlink"/>
          <w:rFonts w:ascii="Times New Roman" w:hAnsi="Times New Roman" w:cs="Times New Roman"/>
          <w:color w:val="auto"/>
          <w:sz w:val="24"/>
          <w:szCs w:val="24"/>
          <w:u w:val="none"/>
        </w:rPr>
      </w:pPr>
      <w:hyperlink r:id="rId29" w:history="1">
        <w:r w:rsidRPr="00B34E01">
          <w:rPr>
            <w:rStyle w:val="Hyperlink"/>
            <w:rFonts w:ascii="Times New Roman" w:hAnsi="Times New Roman" w:cs="Times New Roman"/>
            <w:color w:val="auto"/>
            <w:sz w:val="24"/>
            <w:szCs w:val="24"/>
            <w:u w:val="none"/>
          </w:rPr>
          <w:t xml:space="preserve">Mahmoud, A. F. A., Ikenaka, Y., Yohannes, Y. B., Darwish, W. S., Eldaly, E. A., Alaa Eldin M, and Ishizuka, M. (2016). Distribution and health risk assessment of organochlorine pesticides (OCPs) residue in edible cattle tissues from northeastern part of Egypt: High accumulation level of OCPs in tongue. </w:t>
        </w:r>
        <w:r w:rsidRPr="00B34E01">
          <w:rPr>
            <w:rStyle w:val="Hyperlink"/>
            <w:rFonts w:ascii="Times New Roman" w:hAnsi="Times New Roman" w:cs="Times New Roman"/>
            <w:i/>
            <w:iCs/>
            <w:color w:val="auto"/>
            <w:sz w:val="24"/>
            <w:szCs w:val="24"/>
            <w:u w:val="none"/>
          </w:rPr>
          <w:t>Chemosphere,</w:t>
        </w:r>
        <w:r w:rsidRPr="00B34E01">
          <w:rPr>
            <w:rFonts w:ascii="Times New Roman" w:hAnsi="Times New Roman" w:cs="Times New Roman"/>
            <w:sz w:val="24"/>
            <w:szCs w:val="24"/>
            <w:shd w:val="clear" w:color="auto" w:fill="FFFFFF"/>
          </w:rPr>
          <w:t xml:space="preserve"> 144:1365-71</w:t>
        </w:r>
      </w:hyperlink>
    </w:p>
    <w:p w14:paraId="6AE5CB5F" w14:textId="77777777" w:rsidR="00E67013" w:rsidRPr="00B34E01" w:rsidRDefault="00E67013" w:rsidP="00997189">
      <w:pPr>
        <w:shd w:val="clear" w:color="auto" w:fill="FFFFFF"/>
        <w:spacing w:after="0" w:line="360" w:lineRule="auto"/>
        <w:ind w:left="720" w:hanging="720"/>
        <w:jc w:val="both"/>
        <w:rPr>
          <w:rFonts w:ascii="Times New Roman" w:hAnsi="Times New Roman" w:cs="Times New Roman"/>
          <w:sz w:val="24"/>
          <w:szCs w:val="24"/>
        </w:rPr>
      </w:pPr>
      <w:hyperlink r:id="rId30" w:history="1">
        <w:r w:rsidRPr="00B34E01">
          <w:rPr>
            <w:rStyle w:val="Hyperlink"/>
            <w:rFonts w:ascii="Times New Roman" w:hAnsi="Times New Roman" w:cs="Times New Roman"/>
            <w:color w:val="auto"/>
            <w:sz w:val="24"/>
            <w:szCs w:val="24"/>
            <w:u w:val="none"/>
          </w:rPr>
          <w:t xml:space="preserve">Marchello, C. S., Carr, S. D., &amp; Crump, J. A. (2020). A Systematic Review on Antimicrobial Resistance among Typhi Worldwide. </w:t>
        </w:r>
        <w:r w:rsidRPr="00B34E01">
          <w:rPr>
            <w:rStyle w:val="Hyperlink"/>
            <w:rFonts w:ascii="Times New Roman" w:hAnsi="Times New Roman" w:cs="Times New Roman"/>
            <w:i/>
            <w:iCs/>
            <w:color w:val="auto"/>
            <w:sz w:val="24"/>
            <w:szCs w:val="24"/>
            <w:u w:val="none"/>
          </w:rPr>
          <w:t>The American Journal of Tropical Medicine and Hygiene</w:t>
        </w:r>
        <w:r w:rsidRPr="00B34E01">
          <w:rPr>
            <w:rStyle w:val="Hyperlink"/>
            <w:rFonts w:ascii="Times New Roman" w:hAnsi="Times New Roman" w:cs="Times New Roman"/>
            <w:color w:val="auto"/>
            <w:sz w:val="24"/>
            <w:szCs w:val="24"/>
            <w:u w:val="none"/>
          </w:rPr>
          <w:t xml:space="preserve">, </w:t>
        </w:r>
        <w:r w:rsidRPr="00B34E01">
          <w:rPr>
            <w:rStyle w:val="Hyperlink"/>
            <w:rFonts w:ascii="Times New Roman" w:hAnsi="Times New Roman" w:cs="Times New Roman"/>
            <w:i/>
            <w:iCs/>
            <w:color w:val="auto"/>
            <w:sz w:val="24"/>
            <w:szCs w:val="24"/>
            <w:u w:val="none"/>
          </w:rPr>
          <w:t>103</w:t>
        </w:r>
        <w:r w:rsidRPr="00B34E01">
          <w:rPr>
            <w:rStyle w:val="Hyperlink"/>
            <w:rFonts w:ascii="Times New Roman" w:hAnsi="Times New Roman" w:cs="Times New Roman"/>
            <w:color w:val="auto"/>
            <w:sz w:val="24"/>
            <w:szCs w:val="24"/>
            <w:u w:val="none"/>
          </w:rPr>
          <w:t>(6), 2518–2527.</w:t>
        </w:r>
      </w:hyperlink>
    </w:p>
    <w:p w14:paraId="0CB7E517" w14:textId="77777777" w:rsidR="00E67013" w:rsidRPr="00B34E01" w:rsidRDefault="00E67013" w:rsidP="00997189">
      <w:pPr>
        <w:pStyle w:val="NormalWeb"/>
        <w:spacing w:before="0" w:beforeAutospacing="0" w:after="0" w:afterAutospacing="0" w:line="360" w:lineRule="auto"/>
        <w:ind w:left="720" w:hanging="720"/>
        <w:jc w:val="both"/>
        <w:rPr>
          <w:rStyle w:val="Hyperlink"/>
          <w:rFonts w:eastAsiaTheme="majorEastAsia"/>
          <w:color w:val="auto"/>
          <w:u w:val="none"/>
        </w:rPr>
      </w:pPr>
      <w:hyperlink r:id="rId31" w:history="1">
        <w:r w:rsidRPr="00B34E01">
          <w:rPr>
            <w:rStyle w:val="Hyperlink"/>
            <w:rFonts w:eastAsiaTheme="majorEastAsia"/>
            <w:color w:val="auto"/>
            <w:u w:val="none"/>
          </w:rPr>
          <w:t xml:space="preserve">Mujahid, N. S., Yusuf, I., Abbas, M. A., Yusuf, M., Sani, N. M., Shehu, A. A., Akande, A. O., Yakubu, A. B., &amp; Sani, B. I. (2022). Prevalence of typhoid fever among patients attending Murtala Muhammad Specialist Hospital Kano. </w:t>
        </w:r>
        <w:r w:rsidRPr="00B34E01">
          <w:rPr>
            <w:rStyle w:val="Hyperlink"/>
            <w:rFonts w:eastAsiaTheme="majorEastAsia"/>
            <w:i/>
            <w:iCs/>
            <w:color w:val="auto"/>
            <w:u w:val="none"/>
          </w:rPr>
          <w:t>Bayero Journal of Pure and Applied Sciences</w:t>
        </w:r>
        <w:r w:rsidRPr="00B34E01">
          <w:rPr>
            <w:rStyle w:val="Hyperlink"/>
            <w:rFonts w:eastAsiaTheme="majorEastAsia"/>
            <w:color w:val="auto"/>
            <w:u w:val="none"/>
          </w:rPr>
          <w:t>, 15(1), 57–63.</w:t>
        </w:r>
      </w:hyperlink>
    </w:p>
    <w:p w14:paraId="05DC544A" w14:textId="77777777" w:rsidR="007459E9" w:rsidRPr="00B34E01" w:rsidRDefault="007459E9" w:rsidP="00997189">
      <w:pPr>
        <w:pStyle w:val="NormalWeb"/>
        <w:spacing w:before="0" w:beforeAutospacing="0" w:after="0" w:afterAutospacing="0" w:line="360" w:lineRule="auto"/>
        <w:ind w:left="720" w:hanging="720"/>
        <w:jc w:val="both"/>
        <w:rPr>
          <w:i/>
          <w:iCs/>
        </w:rPr>
      </w:pPr>
      <w:hyperlink r:id="rId32" w:history="1">
        <w:r w:rsidRPr="00B34E01">
          <w:rPr>
            <w:rStyle w:val="Hyperlink"/>
            <w:rFonts w:eastAsiaTheme="majorEastAsia"/>
            <w:color w:val="000000"/>
            <w:u w:val="none"/>
          </w:rPr>
          <w:t xml:space="preserve">Musa, M., Umar, U., &amp; Suleiman, I. A. (2025). Antibiotic susceptibilities of two multidrug resistant Acinetobacter species clinical strains showed significant variation to amoxicillin resistance and susceptibilities to quinolones. </w:t>
        </w:r>
        <w:r w:rsidRPr="00B34E01">
          <w:rPr>
            <w:rStyle w:val="Hyperlink"/>
            <w:rFonts w:eastAsiaTheme="majorEastAsia"/>
            <w:i/>
            <w:iCs/>
            <w:color w:val="000000"/>
            <w:u w:val="none"/>
          </w:rPr>
          <w:t>Asian Journal of Biotechnology and Bioresource Technology</w:t>
        </w:r>
        <w:r w:rsidRPr="00B34E01">
          <w:rPr>
            <w:rStyle w:val="Hyperlink"/>
            <w:rFonts w:eastAsiaTheme="majorEastAsia"/>
            <w:color w:val="000000"/>
            <w:u w:val="none"/>
          </w:rPr>
          <w:t xml:space="preserve">, </w:t>
        </w:r>
        <w:r w:rsidRPr="00B34E01">
          <w:rPr>
            <w:rStyle w:val="Hyperlink"/>
            <w:rFonts w:eastAsiaTheme="majorEastAsia"/>
            <w:i/>
            <w:iCs/>
            <w:color w:val="000000"/>
            <w:u w:val="none"/>
          </w:rPr>
          <w:t>11</w:t>
        </w:r>
        <w:r w:rsidRPr="00B34E01">
          <w:rPr>
            <w:rStyle w:val="Hyperlink"/>
            <w:rFonts w:eastAsiaTheme="majorEastAsia"/>
            <w:color w:val="000000"/>
            <w:u w:val="none"/>
          </w:rPr>
          <w:t>(3), 70–75.</w:t>
        </w:r>
      </w:hyperlink>
    </w:p>
    <w:p w14:paraId="709A3F72" w14:textId="77777777" w:rsidR="00E67013" w:rsidRPr="00B34E01" w:rsidRDefault="00E67013" w:rsidP="00997189">
      <w:pPr>
        <w:pStyle w:val="NormalWeb"/>
        <w:spacing w:before="0" w:beforeAutospacing="0" w:after="0" w:afterAutospacing="0" w:line="360" w:lineRule="auto"/>
        <w:ind w:left="720" w:hanging="720"/>
        <w:jc w:val="both"/>
      </w:pPr>
      <w:hyperlink r:id="rId33" w:history="1">
        <w:r w:rsidRPr="00B34E01">
          <w:rPr>
            <w:rStyle w:val="Hyperlink"/>
            <w:rFonts w:eastAsiaTheme="majorEastAsia"/>
            <w:color w:val="auto"/>
            <w:u w:val="none"/>
          </w:rPr>
          <w:t xml:space="preserve">Mutai, W. C., Muigai, A. W. T., Waiyaki, P., and Kariuki, S. (2018). Multi-drug resistant </w:t>
        </w:r>
        <w:r w:rsidRPr="00B34E01">
          <w:rPr>
            <w:rStyle w:val="Hyperlink"/>
            <w:rFonts w:eastAsiaTheme="majorEastAsia"/>
            <w:i/>
            <w:color w:val="auto"/>
            <w:u w:val="none"/>
          </w:rPr>
          <w:t>Salmonella</w:t>
        </w:r>
        <w:r w:rsidRPr="00B34E01">
          <w:rPr>
            <w:rStyle w:val="Hyperlink"/>
            <w:rFonts w:eastAsiaTheme="majorEastAsia"/>
            <w:color w:val="auto"/>
            <w:u w:val="none"/>
          </w:rPr>
          <w:t xml:space="preserve"> </w:t>
        </w:r>
        <w:r w:rsidRPr="00B34E01">
          <w:rPr>
            <w:rStyle w:val="Hyperlink"/>
            <w:rFonts w:eastAsiaTheme="majorEastAsia"/>
            <w:i/>
            <w:color w:val="auto"/>
            <w:u w:val="none"/>
          </w:rPr>
          <w:t>enterica</w:t>
        </w:r>
        <w:r w:rsidRPr="00B34E01">
          <w:rPr>
            <w:rStyle w:val="Hyperlink"/>
            <w:rFonts w:eastAsiaTheme="majorEastAsia"/>
            <w:color w:val="auto"/>
            <w:u w:val="none"/>
          </w:rPr>
          <w:t xml:space="preserve"> serovar Typhi isolates with reduced susceptibility to Ciprofloxacin in Kenya. </w:t>
        </w:r>
        <w:r w:rsidRPr="00B34E01">
          <w:rPr>
            <w:rStyle w:val="Hyperlink"/>
            <w:rFonts w:eastAsiaTheme="majorEastAsia"/>
            <w:i/>
            <w:iCs/>
            <w:color w:val="auto"/>
            <w:u w:val="none"/>
          </w:rPr>
          <w:t>BMC Microbiology</w:t>
        </w:r>
        <w:r w:rsidRPr="00B34E01">
          <w:rPr>
            <w:rStyle w:val="Hyperlink"/>
            <w:rFonts w:eastAsiaTheme="majorEastAsia"/>
            <w:color w:val="auto"/>
            <w:u w:val="none"/>
          </w:rPr>
          <w:t>, 18(1): 187.</w:t>
        </w:r>
      </w:hyperlink>
      <w:r w:rsidRPr="00B34E01">
        <w:t xml:space="preserve"> </w:t>
      </w:r>
    </w:p>
    <w:p w14:paraId="6880EAD4" w14:textId="77777777" w:rsidR="00E67013" w:rsidRPr="00B34E01" w:rsidRDefault="00E67013" w:rsidP="00997189">
      <w:pPr>
        <w:spacing w:after="0" w:line="360" w:lineRule="auto"/>
        <w:ind w:left="720" w:hanging="720"/>
        <w:jc w:val="both"/>
        <w:rPr>
          <w:rFonts w:ascii="Times New Roman" w:hAnsi="Times New Roman" w:cs="Times New Roman"/>
          <w:i/>
          <w:iCs/>
          <w:sz w:val="24"/>
          <w:szCs w:val="24"/>
        </w:rPr>
      </w:pPr>
      <w:r w:rsidRPr="00B34E01">
        <w:rPr>
          <w:rFonts w:ascii="Times New Roman" w:hAnsi="Times New Roman" w:cs="Times New Roman"/>
          <w:sz w:val="24"/>
          <w:szCs w:val="24"/>
        </w:rPr>
        <w:t xml:space="preserve">Oluyege, A. O., Babalola, J. A., Igbalajobi, A. O. and Oloruntuyi, A.B. (2015) Isolation and Characterization of Salmonella typhi from Widal Positive Patients Attending Ekiti State University Teaching Hospital. </w:t>
      </w:r>
      <w:r w:rsidRPr="00B34E01">
        <w:rPr>
          <w:rFonts w:ascii="Times New Roman" w:hAnsi="Times New Roman" w:cs="Times New Roman"/>
          <w:i/>
          <w:iCs/>
          <w:sz w:val="24"/>
          <w:szCs w:val="24"/>
        </w:rPr>
        <w:t xml:space="preserve">International Journal of Current Microbiology and Applied Science, </w:t>
      </w:r>
      <w:r w:rsidRPr="00B34E01">
        <w:rPr>
          <w:rFonts w:ascii="Times New Roman" w:hAnsi="Times New Roman" w:cs="Times New Roman"/>
          <w:sz w:val="24"/>
          <w:szCs w:val="24"/>
        </w:rPr>
        <w:t>4(10): 774-784</w:t>
      </w:r>
    </w:p>
    <w:p w14:paraId="34BDAEF1" w14:textId="77777777" w:rsidR="00E67013" w:rsidRPr="00B34E01" w:rsidRDefault="00E67013" w:rsidP="00997189">
      <w:pPr>
        <w:pStyle w:val="NormalWeb"/>
        <w:spacing w:before="0" w:beforeAutospacing="0" w:after="0" w:afterAutospacing="0" w:line="360" w:lineRule="auto"/>
        <w:ind w:left="720" w:hanging="720"/>
        <w:jc w:val="both"/>
      </w:pPr>
      <w:hyperlink r:id="rId34" w:history="1">
        <w:r w:rsidRPr="00B34E01">
          <w:rPr>
            <w:rStyle w:val="Hyperlink"/>
            <w:rFonts w:eastAsiaTheme="majorEastAsia"/>
            <w:color w:val="auto"/>
            <w:u w:val="none"/>
          </w:rPr>
          <w:t xml:space="preserve">Smith, S. I., Bamidele, M., Fowora, M., Goodluck, H. T., Omonigbehin, E. A., Akinsinde, K. A., Smits, H. L. (2011). Application of a point-of-care test for the serodiagnosis of typhoid fever in Nigeria and the need for improved diagnostics. </w:t>
        </w:r>
        <w:r w:rsidRPr="00B34E01">
          <w:rPr>
            <w:rStyle w:val="Hyperlink"/>
            <w:rFonts w:eastAsiaTheme="majorEastAsia"/>
            <w:i/>
            <w:iCs/>
            <w:color w:val="auto"/>
            <w:u w:val="none"/>
          </w:rPr>
          <w:t>Journal of Infection in Developing Countries</w:t>
        </w:r>
        <w:r w:rsidRPr="00B34E01">
          <w:rPr>
            <w:rStyle w:val="Hyperlink"/>
            <w:rFonts w:eastAsiaTheme="majorEastAsia"/>
            <w:color w:val="auto"/>
            <w:u w:val="none"/>
          </w:rPr>
          <w:t>, 5(7): 520–526.</w:t>
        </w:r>
      </w:hyperlink>
    </w:p>
    <w:p w14:paraId="6BED2AEA" w14:textId="77777777" w:rsidR="00E67013" w:rsidRPr="00B34E01" w:rsidRDefault="00E67013" w:rsidP="00997189">
      <w:pPr>
        <w:pStyle w:val="NormalWeb"/>
        <w:spacing w:before="0" w:beforeAutospacing="0" w:after="0" w:afterAutospacing="0" w:line="360" w:lineRule="auto"/>
        <w:ind w:left="720" w:hanging="720"/>
        <w:jc w:val="both"/>
        <w:rPr>
          <w:shd w:val="clear" w:color="auto" w:fill="FFFFFF"/>
        </w:rPr>
      </w:pPr>
      <w:r w:rsidRPr="00B34E01">
        <w:t xml:space="preserve">Yan, M., Li, X., Liao, Q., Li, F., Zhang, J., and Kan, B. (2016). The emergence and outbreak of multidrug-resistant typhoid fever in China. </w:t>
      </w:r>
      <w:r w:rsidRPr="00B34E01">
        <w:rPr>
          <w:i/>
          <w:iCs/>
        </w:rPr>
        <w:t>Emerging Microbes and Infections</w:t>
      </w:r>
      <w:r w:rsidRPr="00B34E01">
        <w:t xml:space="preserve"> (</w:t>
      </w:r>
      <w:r w:rsidRPr="00B34E01">
        <w:rPr>
          <w:shd w:val="clear" w:color="auto" w:fill="FFFFFF"/>
        </w:rPr>
        <w:t>5(6): e62.</w:t>
      </w:r>
    </w:p>
    <w:p w14:paraId="04944B46" w14:textId="0056EFE6" w:rsidR="00E67013" w:rsidRPr="00B34E01" w:rsidRDefault="00E67013" w:rsidP="00997189">
      <w:pPr>
        <w:pStyle w:val="NormalWeb"/>
        <w:spacing w:before="0" w:beforeAutospacing="0" w:after="0" w:afterAutospacing="0" w:line="360" w:lineRule="auto"/>
        <w:ind w:left="720" w:hanging="720"/>
        <w:jc w:val="both"/>
        <w:rPr>
          <w:rStyle w:val="Hyperlink"/>
          <w:rFonts w:eastAsiaTheme="majorEastAsia"/>
          <w:i/>
          <w:color w:val="auto"/>
          <w:u w:val="none"/>
        </w:rPr>
      </w:pPr>
      <w:hyperlink r:id="rId35" w:history="1">
        <w:r w:rsidRPr="00B34E01">
          <w:rPr>
            <w:rStyle w:val="Hyperlink"/>
            <w:rFonts w:eastAsiaTheme="majorEastAsia"/>
            <w:color w:val="auto"/>
            <w:u w:val="none"/>
          </w:rPr>
          <w:t xml:space="preserve">Yurist-Doutsch, S., Arrieta, M.-C., Vogt, S. L., and Brett Finlay, B. (2014). Gastrointestinal Microbiota–Mediated Control of Enteric Pathogens.  </w:t>
        </w:r>
        <w:r w:rsidRPr="00B34E01">
          <w:rPr>
            <w:rStyle w:val="Hyperlink"/>
            <w:rFonts w:eastAsiaTheme="majorEastAsia"/>
            <w:i/>
            <w:iCs/>
            <w:color w:val="auto"/>
            <w:u w:val="none"/>
          </w:rPr>
          <w:t>Annual Review of Genetics</w:t>
        </w:r>
        <w:r w:rsidRPr="00B34E01">
          <w:rPr>
            <w:rStyle w:val="Hyperlink"/>
            <w:rFonts w:eastAsiaTheme="majorEastAsia"/>
            <w:color w:val="auto"/>
            <w:u w:val="none"/>
          </w:rPr>
          <w:t xml:space="preserve"> 1(48) 361–382</w:t>
        </w:r>
      </w:hyperlink>
    </w:p>
    <w:p w14:paraId="48185E13" w14:textId="77777777" w:rsidR="00E67013" w:rsidRPr="007D0109" w:rsidRDefault="00E67013" w:rsidP="00997189">
      <w:pPr>
        <w:pStyle w:val="NormalWeb"/>
        <w:spacing w:before="0" w:beforeAutospacing="0" w:after="0" w:afterAutospacing="0" w:line="360" w:lineRule="auto"/>
        <w:ind w:left="720" w:hanging="720"/>
        <w:jc w:val="both"/>
      </w:pPr>
      <w:r w:rsidRPr="00B34E01">
        <w:t xml:space="preserve">Zaki, S. A. and Karande, S. (2011). Multidrug-resistant Typhoid Fever: A Review. </w:t>
      </w:r>
      <w:r w:rsidRPr="00B34E01">
        <w:rPr>
          <w:i/>
          <w:iCs/>
        </w:rPr>
        <w:t xml:space="preserve">The Journal of Infection in Developing Countries, </w:t>
      </w:r>
      <w:r w:rsidRPr="00B34E01">
        <w:t>5: 324-337.</w:t>
      </w:r>
    </w:p>
    <w:sectPr w:rsidR="00E67013" w:rsidRPr="007D0109" w:rsidSect="001320C9">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D15C" w14:textId="77777777" w:rsidR="00071654" w:rsidRDefault="00071654" w:rsidP="001320C9">
      <w:pPr>
        <w:spacing w:after="0" w:line="240" w:lineRule="auto"/>
      </w:pPr>
      <w:r>
        <w:separator/>
      </w:r>
    </w:p>
  </w:endnote>
  <w:endnote w:type="continuationSeparator" w:id="0">
    <w:p w14:paraId="695F749A" w14:textId="77777777" w:rsidR="00071654" w:rsidRDefault="00071654" w:rsidP="0013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Linotype-Roman">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62306" w14:textId="77777777" w:rsidR="003C4BE2" w:rsidRDefault="003C4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477882"/>
      <w:docPartObj>
        <w:docPartGallery w:val="Page Numbers (Bottom of Page)"/>
        <w:docPartUnique/>
      </w:docPartObj>
    </w:sdtPr>
    <w:sdtEndPr>
      <w:rPr>
        <w:noProof/>
      </w:rPr>
    </w:sdtEndPr>
    <w:sdtContent>
      <w:p w14:paraId="1B6B958B" w14:textId="2C620513" w:rsidR="001320C9" w:rsidRDefault="001320C9">
        <w:pPr>
          <w:pStyle w:val="Footer"/>
          <w:jc w:val="center"/>
        </w:pPr>
        <w:r>
          <w:fldChar w:fldCharType="begin"/>
        </w:r>
        <w:r>
          <w:instrText xml:space="preserve"> PAGE   \* MERGEFORMAT </w:instrText>
        </w:r>
        <w:r>
          <w:fldChar w:fldCharType="separate"/>
        </w:r>
        <w:r w:rsidR="00B34E01">
          <w:rPr>
            <w:noProof/>
          </w:rPr>
          <w:t>11</w:t>
        </w:r>
        <w:r>
          <w:rPr>
            <w:noProof/>
          </w:rPr>
          <w:fldChar w:fldCharType="end"/>
        </w:r>
      </w:p>
    </w:sdtContent>
  </w:sdt>
  <w:p w14:paraId="0954BC75" w14:textId="77777777" w:rsidR="001320C9" w:rsidRDefault="00132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2CEB" w14:textId="77777777" w:rsidR="003C4BE2" w:rsidRDefault="003C4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0DA63" w14:textId="77777777" w:rsidR="00071654" w:rsidRDefault="00071654" w:rsidP="001320C9">
      <w:pPr>
        <w:spacing w:after="0" w:line="240" w:lineRule="auto"/>
      </w:pPr>
      <w:r>
        <w:separator/>
      </w:r>
    </w:p>
  </w:footnote>
  <w:footnote w:type="continuationSeparator" w:id="0">
    <w:p w14:paraId="03C059CC" w14:textId="77777777" w:rsidR="00071654" w:rsidRDefault="00071654" w:rsidP="0013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25A0" w14:textId="77777777" w:rsidR="003C4BE2" w:rsidRDefault="00000000">
    <w:pPr>
      <w:pStyle w:val="Header"/>
    </w:pPr>
    <w:r>
      <w:rPr>
        <w:noProof/>
      </w:rPr>
      <w:pict w14:anchorId="45BBC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F838" w14:textId="77777777" w:rsidR="003C4BE2" w:rsidRDefault="00000000">
    <w:pPr>
      <w:pStyle w:val="Header"/>
    </w:pPr>
    <w:r>
      <w:rPr>
        <w:noProof/>
      </w:rPr>
      <w:pict w14:anchorId="50583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798F4" w14:textId="77777777" w:rsidR="003C4BE2" w:rsidRDefault="00000000">
    <w:pPr>
      <w:pStyle w:val="Header"/>
    </w:pPr>
    <w:r>
      <w:rPr>
        <w:noProof/>
      </w:rPr>
      <w:pict w14:anchorId="64648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70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78E"/>
    <w:multiLevelType w:val="hybridMultilevel"/>
    <w:tmpl w:val="19D2D872"/>
    <w:lvl w:ilvl="0" w:tplc="AFBC3492">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952"/>
    <w:multiLevelType w:val="hybridMultilevel"/>
    <w:tmpl w:val="516C11E0"/>
    <w:lvl w:ilvl="0" w:tplc="6396C9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F2663"/>
    <w:multiLevelType w:val="hybridMultilevel"/>
    <w:tmpl w:val="CF5457B2"/>
    <w:lvl w:ilvl="0" w:tplc="CE40FDF4">
      <w:start w:val="1"/>
      <w:numFmt w:val="bullet"/>
      <w:lvlText w:val="•"/>
      <w:lvlJc w:val="left"/>
      <w:pPr>
        <w:tabs>
          <w:tab w:val="num" w:pos="720"/>
        </w:tabs>
        <w:ind w:left="720" w:hanging="360"/>
      </w:pPr>
      <w:rPr>
        <w:rFonts w:ascii="Arial" w:hAnsi="Arial" w:hint="default"/>
      </w:rPr>
    </w:lvl>
    <w:lvl w:ilvl="1" w:tplc="0F5446E6" w:tentative="1">
      <w:start w:val="1"/>
      <w:numFmt w:val="bullet"/>
      <w:lvlText w:val="•"/>
      <w:lvlJc w:val="left"/>
      <w:pPr>
        <w:tabs>
          <w:tab w:val="num" w:pos="1440"/>
        </w:tabs>
        <w:ind w:left="1440" w:hanging="360"/>
      </w:pPr>
      <w:rPr>
        <w:rFonts w:ascii="Arial" w:hAnsi="Arial" w:hint="default"/>
      </w:rPr>
    </w:lvl>
    <w:lvl w:ilvl="2" w:tplc="43B2669A" w:tentative="1">
      <w:start w:val="1"/>
      <w:numFmt w:val="bullet"/>
      <w:lvlText w:val="•"/>
      <w:lvlJc w:val="left"/>
      <w:pPr>
        <w:tabs>
          <w:tab w:val="num" w:pos="2160"/>
        </w:tabs>
        <w:ind w:left="2160" w:hanging="360"/>
      </w:pPr>
      <w:rPr>
        <w:rFonts w:ascii="Arial" w:hAnsi="Arial" w:hint="default"/>
      </w:rPr>
    </w:lvl>
    <w:lvl w:ilvl="3" w:tplc="A500A542" w:tentative="1">
      <w:start w:val="1"/>
      <w:numFmt w:val="bullet"/>
      <w:lvlText w:val="•"/>
      <w:lvlJc w:val="left"/>
      <w:pPr>
        <w:tabs>
          <w:tab w:val="num" w:pos="2880"/>
        </w:tabs>
        <w:ind w:left="2880" w:hanging="360"/>
      </w:pPr>
      <w:rPr>
        <w:rFonts w:ascii="Arial" w:hAnsi="Arial" w:hint="default"/>
      </w:rPr>
    </w:lvl>
    <w:lvl w:ilvl="4" w:tplc="8582745A" w:tentative="1">
      <w:start w:val="1"/>
      <w:numFmt w:val="bullet"/>
      <w:lvlText w:val="•"/>
      <w:lvlJc w:val="left"/>
      <w:pPr>
        <w:tabs>
          <w:tab w:val="num" w:pos="3600"/>
        </w:tabs>
        <w:ind w:left="3600" w:hanging="360"/>
      </w:pPr>
      <w:rPr>
        <w:rFonts w:ascii="Arial" w:hAnsi="Arial" w:hint="default"/>
      </w:rPr>
    </w:lvl>
    <w:lvl w:ilvl="5" w:tplc="04D82934" w:tentative="1">
      <w:start w:val="1"/>
      <w:numFmt w:val="bullet"/>
      <w:lvlText w:val="•"/>
      <w:lvlJc w:val="left"/>
      <w:pPr>
        <w:tabs>
          <w:tab w:val="num" w:pos="4320"/>
        </w:tabs>
        <w:ind w:left="4320" w:hanging="360"/>
      </w:pPr>
      <w:rPr>
        <w:rFonts w:ascii="Arial" w:hAnsi="Arial" w:hint="default"/>
      </w:rPr>
    </w:lvl>
    <w:lvl w:ilvl="6" w:tplc="F83229EC" w:tentative="1">
      <w:start w:val="1"/>
      <w:numFmt w:val="bullet"/>
      <w:lvlText w:val="•"/>
      <w:lvlJc w:val="left"/>
      <w:pPr>
        <w:tabs>
          <w:tab w:val="num" w:pos="5040"/>
        </w:tabs>
        <w:ind w:left="5040" w:hanging="360"/>
      </w:pPr>
      <w:rPr>
        <w:rFonts w:ascii="Arial" w:hAnsi="Arial" w:hint="default"/>
      </w:rPr>
    </w:lvl>
    <w:lvl w:ilvl="7" w:tplc="D130B5D8" w:tentative="1">
      <w:start w:val="1"/>
      <w:numFmt w:val="bullet"/>
      <w:lvlText w:val="•"/>
      <w:lvlJc w:val="left"/>
      <w:pPr>
        <w:tabs>
          <w:tab w:val="num" w:pos="5760"/>
        </w:tabs>
        <w:ind w:left="5760" w:hanging="360"/>
      </w:pPr>
      <w:rPr>
        <w:rFonts w:ascii="Arial" w:hAnsi="Arial" w:hint="default"/>
      </w:rPr>
    </w:lvl>
    <w:lvl w:ilvl="8" w:tplc="AD3EA5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711E6"/>
    <w:multiLevelType w:val="hybridMultilevel"/>
    <w:tmpl w:val="E166C198"/>
    <w:lvl w:ilvl="0" w:tplc="A2C86172">
      <w:start w:val="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D64AF8"/>
    <w:multiLevelType w:val="multilevel"/>
    <w:tmpl w:val="C00E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1732"/>
    <w:multiLevelType w:val="hybridMultilevel"/>
    <w:tmpl w:val="270AF5FA"/>
    <w:lvl w:ilvl="0" w:tplc="2B3CFE0E">
      <w:start w:val="1"/>
      <w:numFmt w:val="bullet"/>
      <w:lvlText w:val="•"/>
      <w:lvlJc w:val="left"/>
      <w:pPr>
        <w:tabs>
          <w:tab w:val="num" w:pos="720"/>
        </w:tabs>
        <w:ind w:left="720" w:hanging="360"/>
      </w:pPr>
      <w:rPr>
        <w:rFonts w:ascii="Arial" w:hAnsi="Arial" w:hint="default"/>
      </w:rPr>
    </w:lvl>
    <w:lvl w:ilvl="1" w:tplc="E5E623A0" w:tentative="1">
      <w:start w:val="1"/>
      <w:numFmt w:val="bullet"/>
      <w:lvlText w:val="•"/>
      <w:lvlJc w:val="left"/>
      <w:pPr>
        <w:tabs>
          <w:tab w:val="num" w:pos="1440"/>
        </w:tabs>
        <w:ind w:left="1440" w:hanging="360"/>
      </w:pPr>
      <w:rPr>
        <w:rFonts w:ascii="Arial" w:hAnsi="Arial" w:hint="default"/>
      </w:rPr>
    </w:lvl>
    <w:lvl w:ilvl="2" w:tplc="2E84FAD6" w:tentative="1">
      <w:start w:val="1"/>
      <w:numFmt w:val="bullet"/>
      <w:lvlText w:val="•"/>
      <w:lvlJc w:val="left"/>
      <w:pPr>
        <w:tabs>
          <w:tab w:val="num" w:pos="2160"/>
        </w:tabs>
        <w:ind w:left="2160" w:hanging="360"/>
      </w:pPr>
      <w:rPr>
        <w:rFonts w:ascii="Arial" w:hAnsi="Arial" w:hint="default"/>
      </w:rPr>
    </w:lvl>
    <w:lvl w:ilvl="3" w:tplc="A4F261B8" w:tentative="1">
      <w:start w:val="1"/>
      <w:numFmt w:val="bullet"/>
      <w:lvlText w:val="•"/>
      <w:lvlJc w:val="left"/>
      <w:pPr>
        <w:tabs>
          <w:tab w:val="num" w:pos="2880"/>
        </w:tabs>
        <w:ind w:left="2880" w:hanging="360"/>
      </w:pPr>
      <w:rPr>
        <w:rFonts w:ascii="Arial" w:hAnsi="Arial" w:hint="default"/>
      </w:rPr>
    </w:lvl>
    <w:lvl w:ilvl="4" w:tplc="368C1846" w:tentative="1">
      <w:start w:val="1"/>
      <w:numFmt w:val="bullet"/>
      <w:lvlText w:val="•"/>
      <w:lvlJc w:val="left"/>
      <w:pPr>
        <w:tabs>
          <w:tab w:val="num" w:pos="3600"/>
        </w:tabs>
        <w:ind w:left="3600" w:hanging="360"/>
      </w:pPr>
      <w:rPr>
        <w:rFonts w:ascii="Arial" w:hAnsi="Arial" w:hint="default"/>
      </w:rPr>
    </w:lvl>
    <w:lvl w:ilvl="5" w:tplc="B23E66A0" w:tentative="1">
      <w:start w:val="1"/>
      <w:numFmt w:val="bullet"/>
      <w:lvlText w:val="•"/>
      <w:lvlJc w:val="left"/>
      <w:pPr>
        <w:tabs>
          <w:tab w:val="num" w:pos="4320"/>
        </w:tabs>
        <w:ind w:left="4320" w:hanging="360"/>
      </w:pPr>
      <w:rPr>
        <w:rFonts w:ascii="Arial" w:hAnsi="Arial" w:hint="default"/>
      </w:rPr>
    </w:lvl>
    <w:lvl w:ilvl="6" w:tplc="5D420B06" w:tentative="1">
      <w:start w:val="1"/>
      <w:numFmt w:val="bullet"/>
      <w:lvlText w:val="•"/>
      <w:lvlJc w:val="left"/>
      <w:pPr>
        <w:tabs>
          <w:tab w:val="num" w:pos="5040"/>
        </w:tabs>
        <w:ind w:left="5040" w:hanging="360"/>
      </w:pPr>
      <w:rPr>
        <w:rFonts w:ascii="Arial" w:hAnsi="Arial" w:hint="default"/>
      </w:rPr>
    </w:lvl>
    <w:lvl w:ilvl="7" w:tplc="63122B1E" w:tentative="1">
      <w:start w:val="1"/>
      <w:numFmt w:val="bullet"/>
      <w:lvlText w:val="•"/>
      <w:lvlJc w:val="left"/>
      <w:pPr>
        <w:tabs>
          <w:tab w:val="num" w:pos="5760"/>
        </w:tabs>
        <w:ind w:left="5760" w:hanging="360"/>
      </w:pPr>
      <w:rPr>
        <w:rFonts w:ascii="Arial" w:hAnsi="Arial" w:hint="default"/>
      </w:rPr>
    </w:lvl>
    <w:lvl w:ilvl="8" w:tplc="704EDA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F535A7"/>
    <w:multiLevelType w:val="hybridMultilevel"/>
    <w:tmpl w:val="2708D00A"/>
    <w:lvl w:ilvl="0" w:tplc="1BA285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84EAB"/>
    <w:multiLevelType w:val="hybridMultilevel"/>
    <w:tmpl w:val="9474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A1ADD"/>
    <w:multiLevelType w:val="multilevel"/>
    <w:tmpl w:val="AE4C4C76"/>
    <w:lvl w:ilvl="0">
      <w:start w:val="1"/>
      <w:numFmt w:val="upperRoman"/>
      <w:lvlText w:val="%1."/>
      <w:lvlJc w:val="right"/>
      <w:pPr>
        <w:ind w:left="720" w:hanging="360"/>
      </w:pPr>
    </w:lvl>
    <w:lvl w:ilvl="1">
      <w:start w:val="5"/>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573A09"/>
    <w:multiLevelType w:val="hybridMultilevel"/>
    <w:tmpl w:val="311A3F50"/>
    <w:lvl w:ilvl="0" w:tplc="4192FF80">
      <w:start w:val="1"/>
      <w:numFmt w:val="lowerRoman"/>
      <w:lvlText w:val="%1."/>
      <w:lvlJc w:val="right"/>
      <w:pPr>
        <w:tabs>
          <w:tab w:val="num" w:pos="720"/>
        </w:tabs>
        <w:ind w:left="720" w:hanging="360"/>
      </w:pPr>
    </w:lvl>
    <w:lvl w:ilvl="1" w:tplc="60CA8DC8" w:tentative="1">
      <w:start w:val="1"/>
      <w:numFmt w:val="lowerRoman"/>
      <w:lvlText w:val="%2."/>
      <w:lvlJc w:val="right"/>
      <w:pPr>
        <w:tabs>
          <w:tab w:val="num" w:pos="1440"/>
        </w:tabs>
        <w:ind w:left="1440" w:hanging="360"/>
      </w:pPr>
    </w:lvl>
    <w:lvl w:ilvl="2" w:tplc="BF8CEE7C" w:tentative="1">
      <w:start w:val="1"/>
      <w:numFmt w:val="lowerRoman"/>
      <w:lvlText w:val="%3."/>
      <w:lvlJc w:val="right"/>
      <w:pPr>
        <w:tabs>
          <w:tab w:val="num" w:pos="2160"/>
        </w:tabs>
        <w:ind w:left="2160" w:hanging="360"/>
      </w:pPr>
    </w:lvl>
    <w:lvl w:ilvl="3" w:tplc="C2F480CE" w:tentative="1">
      <w:start w:val="1"/>
      <w:numFmt w:val="lowerRoman"/>
      <w:lvlText w:val="%4."/>
      <w:lvlJc w:val="right"/>
      <w:pPr>
        <w:tabs>
          <w:tab w:val="num" w:pos="2880"/>
        </w:tabs>
        <w:ind w:left="2880" w:hanging="360"/>
      </w:pPr>
    </w:lvl>
    <w:lvl w:ilvl="4" w:tplc="C59C8FD2" w:tentative="1">
      <w:start w:val="1"/>
      <w:numFmt w:val="lowerRoman"/>
      <w:lvlText w:val="%5."/>
      <w:lvlJc w:val="right"/>
      <w:pPr>
        <w:tabs>
          <w:tab w:val="num" w:pos="3600"/>
        </w:tabs>
        <w:ind w:left="3600" w:hanging="360"/>
      </w:pPr>
    </w:lvl>
    <w:lvl w:ilvl="5" w:tplc="E9FE3242" w:tentative="1">
      <w:start w:val="1"/>
      <w:numFmt w:val="lowerRoman"/>
      <w:lvlText w:val="%6."/>
      <w:lvlJc w:val="right"/>
      <w:pPr>
        <w:tabs>
          <w:tab w:val="num" w:pos="4320"/>
        </w:tabs>
        <w:ind w:left="4320" w:hanging="360"/>
      </w:pPr>
    </w:lvl>
    <w:lvl w:ilvl="6" w:tplc="7B388FCE" w:tentative="1">
      <w:start w:val="1"/>
      <w:numFmt w:val="lowerRoman"/>
      <w:lvlText w:val="%7."/>
      <w:lvlJc w:val="right"/>
      <w:pPr>
        <w:tabs>
          <w:tab w:val="num" w:pos="5040"/>
        </w:tabs>
        <w:ind w:left="5040" w:hanging="360"/>
      </w:pPr>
    </w:lvl>
    <w:lvl w:ilvl="7" w:tplc="5134CFDC" w:tentative="1">
      <w:start w:val="1"/>
      <w:numFmt w:val="lowerRoman"/>
      <w:lvlText w:val="%8."/>
      <w:lvlJc w:val="right"/>
      <w:pPr>
        <w:tabs>
          <w:tab w:val="num" w:pos="5760"/>
        </w:tabs>
        <w:ind w:left="5760" w:hanging="360"/>
      </w:pPr>
    </w:lvl>
    <w:lvl w:ilvl="8" w:tplc="E95AC17C" w:tentative="1">
      <w:start w:val="1"/>
      <w:numFmt w:val="lowerRoman"/>
      <w:lvlText w:val="%9."/>
      <w:lvlJc w:val="right"/>
      <w:pPr>
        <w:tabs>
          <w:tab w:val="num" w:pos="6480"/>
        </w:tabs>
        <w:ind w:left="6480" w:hanging="360"/>
      </w:pPr>
    </w:lvl>
  </w:abstractNum>
  <w:abstractNum w:abstractNumId="10" w15:restartNumberingAfterBreak="0">
    <w:nsid w:val="43513DDE"/>
    <w:multiLevelType w:val="hybridMultilevel"/>
    <w:tmpl w:val="7F4C0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83110"/>
    <w:multiLevelType w:val="hybridMultilevel"/>
    <w:tmpl w:val="CEA63BB2"/>
    <w:lvl w:ilvl="0" w:tplc="EF205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7DDC"/>
    <w:multiLevelType w:val="hybridMultilevel"/>
    <w:tmpl w:val="667ADB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9733C"/>
    <w:multiLevelType w:val="hybridMultilevel"/>
    <w:tmpl w:val="4E602DCC"/>
    <w:lvl w:ilvl="0" w:tplc="457AE166">
      <w:start w:val="1"/>
      <w:numFmt w:val="bullet"/>
      <w:lvlText w:val="•"/>
      <w:lvlJc w:val="left"/>
      <w:pPr>
        <w:tabs>
          <w:tab w:val="num" w:pos="720"/>
        </w:tabs>
        <w:ind w:left="720" w:hanging="360"/>
      </w:pPr>
      <w:rPr>
        <w:rFonts w:ascii="Arial" w:hAnsi="Arial" w:hint="default"/>
      </w:rPr>
    </w:lvl>
    <w:lvl w:ilvl="1" w:tplc="A1AE2326" w:tentative="1">
      <w:start w:val="1"/>
      <w:numFmt w:val="bullet"/>
      <w:lvlText w:val="•"/>
      <w:lvlJc w:val="left"/>
      <w:pPr>
        <w:tabs>
          <w:tab w:val="num" w:pos="1440"/>
        </w:tabs>
        <w:ind w:left="1440" w:hanging="360"/>
      </w:pPr>
      <w:rPr>
        <w:rFonts w:ascii="Arial" w:hAnsi="Arial" w:hint="default"/>
      </w:rPr>
    </w:lvl>
    <w:lvl w:ilvl="2" w:tplc="CC30D74C" w:tentative="1">
      <w:start w:val="1"/>
      <w:numFmt w:val="bullet"/>
      <w:lvlText w:val="•"/>
      <w:lvlJc w:val="left"/>
      <w:pPr>
        <w:tabs>
          <w:tab w:val="num" w:pos="2160"/>
        </w:tabs>
        <w:ind w:left="2160" w:hanging="360"/>
      </w:pPr>
      <w:rPr>
        <w:rFonts w:ascii="Arial" w:hAnsi="Arial" w:hint="default"/>
      </w:rPr>
    </w:lvl>
    <w:lvl w:ilvl="3" w:tplc="004254F6" w:tentative="1">
      <w:start w:val="1"/>
      <w:numFmt w:val="bullet"/>
      <w:lvlText w:val="•"/>
      <w:lvlJc w:val="left"/>
      <w:pPr>
        <w:tabs>
          <w:tab w:val="num" w:pos="2880"/>
        </w:tabs>
        <w:ind w:left="2880" w:hanging="360"/>
      </w:pPr>
      <w:rPr>
        <w:rFonts w:ascii="Arial" w:hAnsi="Arial" w:hint="default"/>
      </w:rPr>
    </w:lvl>
    <w:lvl w:ilvl="4" w:tplc="D3F4DB18" w:tentative="1">
      <w:start w:val="1"/>
      <w:numFmt w:val="bullet"/>
      <w:lvlText w:val="•"/>
      <w:lvlJc w:val="left"/>
      <w:pPr>
        <w:tabs>
          <w:tab w:val="num" w:pos="3600"/>
        </w:tabs>
        <w:ind w:left="3600" w:hanging="360"/>
      </w:pPr>
      <w:rPr>
        <w:rFonts w:ascii="Arial" w:hAnsi="Arial" w:hint="default"/>
      </w:rPr>
    </w:lvl>
    <w:lvl w:ilvl="5" w:tplc="B8369E62" w:tentative="1">
      <w:start w:val="1"/>
      <w:numFmt w:val="bullet"/>
      <w:lvlText w:val="•"/>
      <w:lvlJc w:val="left"/>
      <w:pPr>
        <w:tabs>
          <w:tab w:val="num" w:pos="4320"/>
        </w:tabs>
        <w:ind w:left="4320" w:hanging="360"/>
      </w:pPr>
      <w:rPr>
        <w:rFonts w:ascii="Arial" w:hAnsi="Arial" w:hint="default"/>
      </w:rPr>
    </w:lvl>
    <w:lvl w:ilvl="6" w:tplc="BF5A89E8" w:tentative="1">
      <w:start w:val="1"/>
      <w:numFmt w:val="bullet"/>
      <w:lvlText w:val="•"/>
      <w:lvlJc w:val="left"/>
      <w:pPr>
        <w:tabs>
          <w:tab w:val="num" w:pos="5040"/>
        </w:tabs>
        <w:ind w:left="5040" w:hanging="360"/>
      </w:pPr>
      <w:rPr>
        <w:rFonts w:ascii="Arial" w:hAnsi="Arial" w:hint="default"/>
      </w:rPr>
    </w:lvl>
    <w:lvl w:ilvl="7" w:tplc="1CC2C2D0" w:tentative="1">
      <w:start w:val="1"/>
      <w:numFmt w:val="bullet"/>
      <w:lvlText w:val="•"/>
      <w:lvlJc w:val="left"/>
      <w:pPr>
        <w:tabs>
          <w:tab w:val="num" w:pos="5760"/>
        </w:tabs>
        <w:ind w:left="5760" w:hanging="360"/>
      </w:pPr>
      <w:rPr>
        <w:rFonts w:ascii="Arial" w:hAnsi="Arial" w:hint="default"/>
      </w:rPr>
    </w:lvl>
    <w:lvl w:ilvl="8" w:tplc="58DA0D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7F1AA0"/>
    <w:multiLevelType w:val="hybridMultilevel"/>
    <w:tmpl w:val="31E21CE0"/>
    <w:lvl w:ilvl="0" w:tplc="815AD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72CA8"/>
    <w:multiLevelType w:val="hybridMultilevel"/>
    <w:tmpl w:val="A5F8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D2F45"/>
    <w:multiLevelType w:val="hybridMultilevel"/>
    <w:tmpl w:val="9CC80A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46870"/>
    <w:multiLevelType w:val="hybridMultilevel"/>
    <w:tmpl w:val="967CA308"/>
    <w:lvl w:ilvl="0" w:tplc="0409001B">
      <w:start w:val="1"/>
      <w:numFmt w:val="lowerRoman"/>
      <w:lvlText w:val="%1."/>
      <w:lvlJc w:val="right"/>
      <w:pPr>
        <w:tabs>
          <w:tab w:val="num" w:pos="720"/>
        </w:tabs>
        <w:ind w:left="720" w:hanging="360"/>
      </w:pPr>
      <w:rPr>
        <w:rFonts w:hint="default"/>
      </w:rPr>
    </w:lvl>
    <w:lvl w:ilvl="1" w:tplc="A1AE2326" w:tentative="1">
      <w:start w:val="1"/>
      <w:numFmt w:val="bullet"/>
      <w:lvlText w:val="•"/>
      <w:lvlJc w:val="left"/>
      <w:pPr>
        <w:tabs>
          <w:tab w:val="num" w:pos="1440"/>
        </w:tabs>
        <w:ind w:left="1440" w:hanging="360"/>
      </w:pPr>
      <w:rPr>
        <w:rFonts w:ascii="Arial" w:hAnsi="Arial" w:hint="default"/>
      </w:rPr>
    </w:lvl>
    <w:lvl w:ilvl="2" w:tplc="CC30D74C" w:tentative="1">
      <w:start w:val="1"/>
      <w:numFmt w:val="bullet"/>
      <w:lvlText w:val="•"/>
      <w:lvlJc w:val="left"/>
      <w:pPr>
        <w:tabs>
          <w:tab w:val="num" w:pos="2160"/>
        </w:tabs>
        <w:ind w:left="2160" w:hanging="360"/>
      </w:pPr>
      <w:rPr>
        <w:rFonts w:ascii="Arial" w:hAnsi="Arial" w:hint="default"/>
      </w:rPr>
    </w:lvl>
    <w:lvl w:ilvl="3" w:tplc="004254F6" w:tentative="1">
      <w:start w:val="1"/>
      <w:numFmt w:val="bullet"/>
      <w:lvlText w:val="•"/>
      <w:lvlJc w:val="left"/>
      <w:pPr>
        <w:tabs>
          <w:tab w:val="num" w:pos="2880"/>
        </w:tabs>
        <w:ind w:left="2880" w:hanging="360"/>
      </w:pPr>
      <w:rPr>
        <w:rFonts w:ascii="Arial" w:hAnsi="Arial" w:hint="default"/>
      </w:rPr>
    </w:lvl>
    <w:lvl w:ilvl="4" w:tplc="D3F4DB18" w:tentative="1">
      <w:start w:val="1"/>
      <w:numFmt w:val="bullet"/>
      <w:lvlText w:val="•"/>
      <w:lvlJc w:val="left"/>
      <w:pPr>
        <w:tabs>
          <w:tab w:val="num" w:pos="3600"/>
        </w:tabs>
        <w:ind w:left="3600" w:hanging="360"/>
      </w:pPr>
      <w:rPr>
        <w:rFonts w:ascii="Arial" w:hAnsi="Arial" w:hint="default"/>
      </w:rPr>
    </w:lvl>
    <w:lvl w:ilvl="5" w:tplc="B8369E62" w:tentative="1">
      <w:start w:val="1"/>
      <w:numFmt w:val="bullet"/>
      <w:lvlText w:val="•"/>
      <w:lvlJc w:val="left"/>
      <w:pPr>
        <w:tabs>
          <w:tab w:val="num" w:pos="4320"/>
        </w:tabs>
        <w:ind w:left="4320" w:hanging="360"/>
      </w:pPr>
      <w:rPr>
        <w:rFonts w:ascii="Arial" w:hAnsi="Arial" w:hint="default"/>
      </w:rPr>
    </w:lvl>
    <w:lvl w:ilvl="6" w:tplc="BF5A89E8" w:tentative="1">
      <w:start w:val="1"/>
      <w:numFmt w:val="bullet"/>
      <w:lvlText w:val="•"/>
      <w:lvlJc w:val="left"/>
      <w:pPr>
        <w:tabs>
          <w:tab w:val="num" w:pos="5040"/>
        </w:tabs>
        <w:ind w:left="5040" w:hanging="360"/>
      </w:pPr>
      <w:rPr>
        <w:rFonts w:ascii="Arial" w:hAnsi="Arial" w:hint="default"/>
      </w:rPr>
    </w:lvl>
    <w:lvl w:ilvl="7" w:tplc="1CC2C2D0" w:tentative="1">
      <w:start w:val="1"/>
      <w:numFmt w:val="bullet"/>
      <w:lvlText w:val="•"/>
      <w:lvlJc w:val="left"/>
      <w:pPr>
        <w:tabs>
          <w:tab w:val="num" w:pos="5760"/>
        </w:tabs>
        <w:ind w:left="5760" w:hanging="360"/>
      </w:pPr>
      <w:rPr>
        <w:rFonts w:ascii="Arial" w:hAnsi="Arial" w:hint="default"/>
      </w:rPr>
    </w:lvl>
    <w:lvl w:ilvl="8" w:tplc="58DA0D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4D061D"/>
    <w:multiLevelType w:val="hybridMultilevel"/>
    <w:tmpl w:val="6B3A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71FD9"/>
    <w:multiLevelType w:val="hybridMultilevel"/>
    <w:tmpl w:val="EAA6A2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F2405"/>
    <w:multiLevelType w:val="hybridMultilevel"/>
    <w:tmpl w:val="95F8DA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9711A"/>
    <w:multiLevelType w:val="multilevel"/>
    <w:tmpl w:val="9BFE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086859">
    <w:abstractNumId w:val="7"/>
  </w:num>
  <w:num w:numId="2" w16cid:durableId="1146552596">
    <w:abstractNumId w:val="5"/>
  </w:num>
  <w:num w:numId="3" w16cid:durableId="1272200987">
    <w:abstractNumId w:val="2"/>
  </w:num>
  <w:num w:numId="4" w16cid:durableId="558442609">
    <w:abstractNumId w:val="9"/>
  </w:num>
  <w:num w:numId="5" w16cid:durableId="393234972">
    <w:abstractNumId w:val="3"/>
  </w:num>
  <w:num w:numId="6" w16cid:durableId="896624386">
    <w:abstractNumId w:val="13"/>
  </w:num>
  <w:num w:numId="7" w16cid:durableId="278996266">
    <w:abstractNumId w:val="17"/>
  </w:num>
  <w:num w:numId="8" w16cid:durableId="1672445102">
    <w:abstractNumId w:val="20"/>
  </w:num>
  <w:num w:numId="9" w16cid:durableId="1085684191">
    <w:abstractNumId w:val="1"/>
  </w:num>
  <w:num w:numId="10" w16cid:durableId="929972656">
    <w:abstractNumId w:val="21"/>
  </w:num>
  <w:num w:numId="11" w16cid:durableId="1267466688">
    <w:abstractNumId w:val="15"/>
  </w:num>
  <w:num w:numId="12" w16cid:durableId="491216642">
    <w:abstractNumId w:val="18"/>
  </w:num>
  <w:num w:numId="13" w16cid:durableId="1465006148">
    <w:abstractNumId w:val="6"/>
  </w:num>
  <w:num w:numId="14" w16cid:durableId="386608148">
    <w:abstractNumId w:val="0"/>
  </w:num>
  <w:num w:numId="15" w16cid:durableId="2096895336">
    <w:abstractNumId w:val="8"/>
  </w:num>
  <w:num w:numId="16" w16cid:durableId="1140150257">
    <w:abstractNumId w:val="19"/>
  </w:num>
  <w:num w:numId="17" w16cid:durableId="976298338">
    <w:abstractNumId w:val="16"/>
  </w:num>
  <w:num w:numId="18" w16cid:durableId="630592348">
    <w:abstractNumId w:val="12"/>
  </w:num>
  <w:num w:numId="19" w16cid:durableId="1827167915">
    <w:abstractNumId w:val="14"/>
  </w:num>
  <w:num w:numId="20" w16cid:durableId="764040105">
    <w:abstractNumId w:val="10"/>
  </w:num>
  <w:num w:numId="21" w16cid:durableId="653411554">
    <w:abstractNumId w:val="11"/>
  </w:num>
  <w:num w:numId="22" w16cid:durableId="1856308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2sDSxtDAzMrQ0s7RQ0lEKTi0uzszPAykwrAUAO71PqSwAAAA="/>
  </w:docVars>
  <w:rsids>
    <w:rsidRoot w:val="007D7AC9"/>
    <w:rsid w:val="0001058E"/>
    <w:rsid w:val="000408B4"/>
    <w:rsid w:val="00041AFD"/>
    <w:rsid w:val="00045248"/>
    <w:rsid w:val="00045F7D"/>
    <w:rsid w:val="000652A0"/>
    <w:rsid w:val="00067968"/>
    <w:rsid w:val="00071654"/>
    <w:rsid w:val="00075759"/>
    <w:rsid w:val="00095137"/>
    <w:rsid w:val="000B2C2B"/>
    <w:rsid w:val="000B32AB"/>
    <w:rsid w:val="000D3403"/>
    <w:rsid w:val="000F6E8D"/>
    <w:rsid w:val="0011427C"/>
    <w:rsid w:val="0011543C"/>
    <w:rsid w:val="00125CED"/>
    <w:rsid w:val="001320C9"/>
    <w:rsid w:val="00151EC2"/>
    <w:rsid w:val="001534A3"/>
    <w:rsid w:val="00187A58"/>
    <w:rsid w:val="00212050"/>
    <w:rsid w:val="00221269"/>
    <w:rsid w:val="00224122"/>
    <w:rsid w:val="00236390"/>
    <w:rsid w:val="00283733"/>
    <w:rsid w:val="002838E3"/>
    <w:rsid w:val="00284960"/>
    <w:rsid w:val="00295C60"/>
    <w:rsid w:val="002A11D3"/>
    <w:rsid w:val="002A6590"/>
    <w:rsid w:val="002A7178"/>
    <w:rsid w:val="002B3487"/>
    <w:rsid w:val="002E176D"/>
    <w:rsid w:val="002F3425"/>
    <w:rsid w:val="003008FE"/>
    <w:rsid w:val="003063DA"/>
    <w:rsid w:val="00377AD4"/>
    <w:rsid w:val="00387533"/>
    <w:rsid w:val="003C0A5C"/>
    <w:rsid w:val="003C124D"/>
    <w:rsid w:val="003C4BE2"/>
    <w:rsid w:val="0040643E"/>
    <w:rsid w:val="00410650"/>
    <w:rsid w:val="00420D87"/>
    <w:rsid w:val="0047318B"/>
    <w:rsid w:val="00486C1E"/>
    <w:rsid w:val="004A6910"/>
    <w:rsid w:val="004E6EFB"/>
    <w:rsid w:val="004F5BCA"/>
    <w:rsid w:val="00542609"/>
    <w:rsid w:val="00560E69"/>
    <w:rsid w:val="00582D00"/>
    <w:rsid w:val="00586A46"/>
    <w:rsid w:val="00595663"/>
    <w:rsid w:val="005B090C"/>
    <w:rsid w:val="005B413D"/>
    <w:rsid w:val="005C11F0"/>
    <w:rsid w:val="005D07C9"/>
    <w:rsid w:val="005F2312"/>
    <w:rsid w:val="005F5A3B"/>
    <w:rsid w:val="006163B5"/>
    <w:rsid w:val="00616A57"/>
    <w:rsid w:val="00622CFE"/>
    <w:rsid w:val="00635AF6"/>
    <w:rsid w:val="00637E13"/>
    <w:rsid w:val="00641FD7"/>
    <w:rsid w:val="00647F74"/>
    <w:rsid w:val="006512D9"/>
    <w:rsid w:val="00652B14"/>
    <w:rsid w:val="00661561"/>
    <w:rsid w:val="006A70E8"/>
    <w:rsid w:val="006B62CE"/>
    <w:rsid w:val="006D6DEB"/>
    <w:rsid w:val="00704278"/>
    <w:rsid w:val="007174D9"/>
    <w:rsid w:val="007459E9"/>
    <w:rsid w:val="00750346"/>
    <w:rsid w:val="00763D66"/>
    <w:rsid w:val="007710D2"/>
    <w:rsid w:val="00783596"/>
    <w:rsid w:val="007842D2"/>
    <w:rsid w:val="0079344D"/>
    <w:rsid w:val="00796584"/>
    <w:rsid w:val="007A6903"/>
    <w:rsid w:val="007B6BCB"/>
    <w:rsid w:val="007C31EC"/>
    <w:rsid w:val="007D0109"/>
    <w:rsid w:val="007D7AC9"/>
    <w:rsid w:val="0080068F"/>
    <w:rsid w:val="00823929"/>
    <w:rsid w:val="008507D9"/>
    <w:rsid w:val="00854A45"/>
    <w:rsid w:val="00867893"/>
    <w:rsid w:val="008A197B"/>
    <w:rsid w:val="008C44C1"/>
    <w:rsid w:val="008D11F2"/>
    <w:rsid w:val="00917F25"/>
    <w:rsid w:val="00924B29"/>
    <w:rsid w:val="00933C19"/>
    <w:rsid w:val="00946D11"/>
    <w:rsid w:val="00983E09"/>
    <w:rsid w:val="00997189"/>
    <w:rsid w:val="009A4215"/>
    <w:rsid w:val="009A7659"/>
    <w:rsid w:val="009B2B01"/>
    <w:rsid w:val="009E0E83"/>
    <w:rsid w:val="009F0B13"/>
    <w:rsid w:val="009F738D"/>
    <w:rsid w:val="00A00C8F"/>
    <w:rsid w:val="00A01244"/>
    <w:rsid w:val="00A1139C"/>
    <w:rsid w:val="00A24A44"/>
    <w:rsid w:val="00A25862"/>
    <w:rsid w:val="00A37218"/>
    <w:rsid w:val="00A44C7F"/>
    <w:rsid w:val="00A539DA"/>
    <w:rsid w:val="00A6208F"/>
    <w:rsid w:val="00A72367"/>
    <w:rsid w:val="00A776F4"/>
    <w:rsid w:val="00AC399B"/>
    <w:rsid w:val="00AE1CCB"/>
    <w:rsid w:val="00AE26D0"/>
    <w:rsid w:val="00AF0582"/>
    <w:rsid w:val="00AF3988"/>
    <w:rsid w:val="00AF5E6C"/>
    <w:rsid w:val="00B01E22"/>
    <w:rsid w:val="00B34E01"/>
    <w:rsid w:val="00B35945"/>
    <w:rsid w:val="00B63060"/>
    <w:rsid w:val="00BA6519"/>
    <w:rsid w:val="00BB2D84"/>
    <w:rsid w:val="00BC7D59"/>
    <w:rsid w:val="00C11180"/>
    <w:rsid w:val="00C11F34"/>
    <w:rsid w:val="00C42C95"/>
    <w:rsid w:val="00CA5336"/>
    <w:rsid w:val="00CD6AA2"/>
    <w:rsid w:val="00CE0318"/>
    <w:rsid w:val="00CE55E5"/>
    <w:rsid w:val="00D25D0C"/>
    <w:rsid w:val="00D41A77"/>
    <w:rsid w:val="00D43804"/>
    <w:rsid w:val="00D639F7"/>
    <w:rsid w:val="00D85007"/>
    <w:rsid w:val="00D95CCB"/>
    <w:rsid w:val="00DA2116"/>
    <w:rsid w:val="00DC403C"/>
    <w:rsid w:val="00DE4BEB"/>
    <w:rsid w:val="00DF0A31"/>
    <w:rsid w:val="00E3131A"/>
    <w:rsid w:val="00E33C01"/>
    <w:rsid w:val="00E4601F"/>
    <w:rsid w:val="00E52EF1"/>
    <w:rsid w:val="00E54957"/>
    <w:rsid w:val="00E61038"/>
    <w:rsid w:val="00E61EC9"/>
    <w:rsid w:val="00E67013"/>
    <w:rsid w:val="00E73811"/>
    <w:rsid w:val="00E849C9"/>
    <w:rsid w:val="00E96229"/>
    <w:rsid w:val="00EE0F98"/>
    <w:rsid w:val="00EE3506"/>
    <w:rsid w:val="00EF11A9"/>
    <w:rsid w:val="00EF4D2B"/>
    <w:rsid w:val="00EF4F37"/>
    <w:rsid w:val="00F02F84"/>
    <w:rsid w:val="00F14473"/>
    <w:rsid w:val="00F26599"/>
    <w:rsid w:val="00F3585A"/>
    <w:rsid w:val="00F42C0D"/>
    <w:rsid w:val="00F42E67"/>
    <w:rsid w:val="00F4692E"/>
    <w:rsid w:val="00F61BAD"/>
    <w:rsid w:val="00F6253F"/>
    <w:rsid w:val="00F857FC"/>
    <w:rsid w:val="00F9061D"/>
    <w:rsid w:val="00F95147"/>
    <w:rsid w:val="00FC18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C3E4"/>
  <w15:chartTrackingRefBased/>
  <w15:docId w15:val="{6F75C167-890B-47D1-A787-8B56B1CD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AC9"/>
    <w:pPr>
      <w:spacing w:after="200" w:line="276" w:lineRule="auto"/>
    </w:pPr>
  </w:style>
  <w:style w:type="paragraph" w:styleId="Heading1">
    <w:name w:val="heading 1"/>
    <w:basedOn w:val="Normal"/>
    <w:next w:val="Normal"/>
    <w:link w:val="Heading1Char"/>
    <w:uiPriority w:val="9"/>
    <w:qFormat/>
    <w:rsid w:val="007D7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7A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D7A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D7A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7AC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D7AC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D7AC9"/>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7D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AC9"/>
  </w:style>
  <w:style w:type="character" w:styleId="Hyperlink">
    <w:name w:val="Hyperlink"/>
    <w:basedOn w:val="DefaultParagraphFont"/>
    <w:uiPriority w:val="99"/>
    <w:unhideWhenUsed/>
    <w:rsid w:val="007D7AC9"/>
    <w:rPr>
      <w:color w:val="0000FF"/>
      <w:u w:val="single"/>
    </w:rPr>
  </w:style>
  <w:style w:type="paragraph" w:styleId="TOCHeading">
    <w:name w:val="TOC Heading"/>
    <w:basedOn w:val="Heading1"/>
    <w:next w:val="Normal"/>
    <w:uiPriority w:val="39"/>
    <w:unhideWhenUsed/>
    <w:qFormat/>
    <w:rsid w:val="007D7AC9"/>
    <w:pPr>
      <w:spacing w:line="259" w:lineRule="auto"/>
      <w:outlineLvl w:val="9"/>
    </w:pPr>
  </w:style>
  <w:style w:type="paragraph" w:styleId="TOC2">
    <w:name w:val="toc 2"/>
    <w:basedOn w:val="Normal"/>
    <w:next w:val="Normal"/>
    <w:autoRedefine/>
    <w:uiPriority w:val="39"/>
    <w:unhideWhenUsed/>
    <w:rsid w:val="007D7AC9"/>
    <w:pPr>
      <w:tabs>
        <w:tab w:val="right" w:leader="dot" w:pos="9350"/>
      </w:tabs>
      <w:spacing w:after="100"/>
      <w:ind w:left="220"/>
    </w:pPr>
    <w:rPr>
      <w:rFonts w:ascii="Times New Roman" w:hAnsi="Times New Roman" w:cs="Times New Roman"/>
      <w:b/>
      <w:bCs/>
      <w:noProof/>
      <w:shd w:val="clear" w:color="auto" w:fill="FFFFFF"/>
    </w:rPr>
  </w:style>
  <w:style w:type="paragraph" w:styleId="TOC1">
    <w:name w:val="toc 1"/>
    <w:basedOn w:val="Normal"/>
    <w:next w:val="Normal"/>
    <w:autoRedefine/>
    <w:uiPriority w:val="39"/>
    <w:unhideWhenUsed/>
    <w:rsid w:val="007D7AC9"/>
    <w:pPr>
      <w:spacing w:after="100" w:line="259" w:lineRule="auto"/>
    </w:pPr>
    <w:rPr>
      <w:rFonts w:eastAsiaTheme="minorEastAsia" w:cs="Times New Roman"/>
    </w:rPr>
  </w:style>
  <w:style w:type="paragraph" w:styleId="TOC3">
    <w:name w:val="toc 3"/>
    <w:basedOn w:val="Normal"/>
    <w:next w:val="Normal"/>
    <w:autoRedefine/>
    <w:uiPriority w:val="39"/>
    <w:unhideWhenUsed/>
    <w:rsid w:val="007D7AC9"/>
    <w:pPr>
      <w:spacing w:after="100" w:line="259" w:lineRule="auto"/>
      <w:ind w:left="440"/>
    </w:pPr>
    <w:rPr>
      <w:rFonts w:eastAsiaTheme="minorEastAsia" w:cs="Times New Roman"/>
    </w:rPr>
  </w:style>
  <w:style w:type="character" w:styleId="Emphasis">
    <w:name w:val="Emphasis"/>
    <w:basedOn w:val="DefaultParagraphFont"/>
    <w:uiPriority w:val="20"/>
    <w:qFormat/>
    <w:rsid w:val="007D7AC9"/>
    <w:rPr>
      <w:i/>
      <w:iCs/>
    </w:rPr>
  </w:style>
  <w:style w:type="paragraph" w:styleId="NormalWeb">
    <w:name w:val="Normal (Web)"/>
    <w:basedOn w:val="Normal"/>
    <w:uiPriority w:val="99"/>
    <w:unhideWhenUsed/>
    <w:qFormat/>
    <w:rsid w:val="007D7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A4"/>
    <w:uiPriority w:val="99"/>
    <w:rsid w:val="007D7AC9"/>
    <w:rPr>
      <w:color w:val="000000"/>
      <w:sz w:val="11"/>
      <w:szCs w:val="11"/>
    </w:rPr>
  </w:style>
  <w:style w:type="character" w:customStyle="1" w:styleId="a">
    <w:name w:val="a"/>
    <w:basedOn w:val="DefaultParagraphFont"/>
    <w:rsid w:val="007D7AC9"/>
  </w:style>
  <w:style w:type="character" w:customStyle="1" w:styleId="mw-headline">
    <w:name w:val="mw-headline"/>
    <w:basedOn w:val="DefaultParagraphFont"/>
    <w:rsid w:val="007D7AC9"/>
  </w:style>
  <w:style w:type="paragraph" w:styleId="BalloonText">
    <w:name w:val="Balloon Text"/>
    <w:basedOn w:val="Normal"/>
    <w:link w:val="BalloonTextChar"/>
    <w:uiPriority w:val="99"/>
    <w:semiHidden/>
    <w:unhideWhenUsed/>
    <w:rsid w:val="007D7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C9"/>
    <w:rPr>
      <w:rFonts w:ascii="Tahoma" w:hAnsi="Tahoma" w:cs="Tahoma"/>
      <w:sz w:val="16"/>
      <w:szCs w:val="16"/>
    </w:rPr>
  </w:style>
  <w:style w:type="character" w:customStyle="1" w:styleId="l10">
    <w:name w:val="l10"/>
    <w:basedOn w:val="DefaultParagraphFont"/>
    <w:rsid w:val="007D7AC9"/>
  </w:style>
  <w:style w:type="character" w:customStyle="1" w:styleId="l9">
    <w:name w:val="l9"/>
    <w:basedOn w:val="DefaultParagraphFont"/>
    <w:rsid w:val="007D7AC9"/>
  </w:style>
  <w:style w:type="character" w:customStyle="1" w:styleId="l7">
    <w:name w:val="l7"/>
    <w:basedOn w:val="DefaultParagraphFont"/>
    <w:rsid w:val="007D7AC9"/>
  </w:style>
  <w:style w:type="character" w:customStyle="1" w:styleId="l6">
    <w:name w:val="l6"/>
    <w:basedOn w:val="DefaultParagraphFont"/>
    <w:rsid w:val="007D7AC9"/>
  </w:style>
  <w:style w:type="character" w:customStyle="1" w:styleId="A3">
    <w:name w:val="A3"/>
    <w:uiPriority w:val="99"/>
    <w:rsid w:val="007D7AC9"/>
    <w:rPr>
      <w:b/>
      <w:bCs/>
      <w:color w:val="000000"/>
      <w:sz w:val="14"/>
      <w:szCs w:val="14"/>
    </w:rPr>
  </w:style>
  <w:style w:type="paragraph" w:styleId="Header">
    <w:name w:val="header"/>
    <w:basedOn w:val="Normal"/>
    <w:link w:val="HeaderChar"/>
    <w:uiPriority w:val="99"/>
    <w:unhideWhenUsed/>
    <w:rsid w:val="007D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AC9"/>
  </w:style>
  <w:style w:type="paragraph" w:styleId="Title">
    <w:name w:val="Title"/>
    <w:basedOn w:val="Normal"/>
    <w:next w:val="Normal"/>
    <w:link w:val="TitleChar"/>
    <w:uiPriority w:val="10"/>
    <w:qFormat/>
    <w:rsid w:val="007D7A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C9"/>
    <w:rPr>
      <w:rFonts w:asciiTheme="majorHAnsi" w:eastAsiaTheme="majorEastAsia" w:hAnsiTheme="majorHAnsi" w:cstheme="majorBidi"/>
      <w:spacing w:val="-10"/>
      <w:kern w:val="28"/>
      <w:sz w:val="56"/>
      <w:szCs w:val="56"/>
    </w:rPr>
  </w:style>
  <w:style w:type="table" w:styleId="ListTable6Colorful">
    <w:name w:val="List Table 6 Colorful"/>
    <w:basedOn w:val="TableNormal"/>
    <w:uiPriority w:val="51"/>
    <w:rsid w:val="007D7A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qFormat/>
    <w:rsid w:val="007D7AC9"/>
    <w:pPr>
      <w:spacing w:after="160" w:line="259" w:lineRule="auto"/>
      <w:ind w:left="720"/>
      <w:contextualSpacing/>
    </w:pPr>
  </w:style>
  <w:style w:type="character" w:styleId="Strong">
    <w:name w:val="Strong"/>
    <w:basedOn w:val="DefaultParagraphFont"/>
    <w:uiPriority w:val="22"/>
    <w:qFormat/>
    <w:rsid w:val="007D7AC9"/>
    <w:rPr>
      <w:b/>
      <w:bCs/>
    </w:rPr>
  </w:style>
  <w:style w:type="table" w:styleId="TableGrid">
    <w:name w:val="Table Grid"/>
    <w:basedOn w:val="TableNormal"/>
    <w:uiPriority w:val="39"/>
    <w:rsid w:val="007D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7D7AC9"/>
  </w:style>
  <w:style w:type="character" w:customStyle="1" w:styleId="nlmgiven-names">
    <w:name w:val="nlm_given-names"/>
    <w:basedOn w:val="DefaultParagraphFont"/>
    <w:rsid w:val="007D7AC9"/>
  </w:style>
  <w:style w:type="character" w:customStyle="1" w:styleId="nlmyear">
    <w:name w:val="nlm_year"/>
    <w:basedOn w:val="DefaultParagraphFont"/>
    <w:rsid w:val="007D7AC9"/>
  </w:style>
  <w:style w:type="character" w:customStyle="1" w:styleId="nlmarticle-title">
    <w:name w:val="nlm_article-title"/>
    <w:basedOn w:val="DefaultParagraphFont"/>
    <w:rsid w:val="007D7AC9"/>
  </w:style>
  <w:style w:type="character" w:customStyle="1" w:styleId="nlmpublisher-loc">
    <w:name w:val="nlm_publisher-loc"/>
    <w:basedOn w:val="DefaultParagraphFont"/>
    <w:rsid w:val="007D7AC9"/>
  </w:style>
  <w:style w:type="character" w:customStyle="1" w:styleId="nlmpublisher-name">
    <w:name w:val="nlm_publisher-name"/>
    <w:basedOn w:val="DefaultParagraphFont"/>
    <w:rsid w:val="007D7AC9"/>
  </w:style>
  <w:style w:type="character" w:customStyle="1" w:styleId="nlmfpage">
    <w:name w:val="nlm_fpage"/>
    <w:basedOn w:val="DefaultParagraphFont"/>
    <w:rsid w:val="007D7AC9"/>
  </w:style>
  <w:style w:type="character" w:customStyle="1" w:styleId="nlmlpage">
    <w:name w:val="nlm_lpage"/>
    <w:basedOn w:val="DefaultParagraphFont"/>
    <w:rsid w:val="007D7AC9"/>
  </w:style>
  <w:style w:type="character" w:customStyle="1" w:styleId="reflink-block">
    <w:name w:val="reflink-block"/>
    <w:basedOn w:val="DefaultParagraphFont"/>
    <w:rsid w:val="007D7AC9"/>
  </w:style>
  <w:style w:type="character" w:customStyle="1" w:styleId="UnresolvedMention1">
    <w:name w:val="Unresolved Mention1"/>
    <w:basedOn w:val="DefaultParagraphFont"/>
    <w:uiPriority w:val="99"/>
    <w:semiHidden/>
    <w:unhideWhenUsed/>
    <w:rsid w:val="007D7AC9"/>
    <w:rPr>
      <w:color w:val="605E5C"/>
      <w:shd w:val="clear" w:color="auto" w:fill="E1DFDD"/>
    </w:rPr>
  </w:style>
  <w:style w:type="character" w:customStyle="1" w:styleId="apple-tab-span">
    <w:name w:val="apple-tab-span"/>
    <w:basedOn w:val="DefaultParagraphFont"/>
    <w:rsid w:val="007D7AC9"/>
  </w:style>
  <w:style w:type="paragraph" w:customStyle="1" w:styleId="nova-legacy-e-listitem">
    <w:name w:val="nova-legacy-e-list__item"/>
    <w:basedOn w:val="Normal"/>
    <w:rsid w:val="007D7A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7AC9"/>
    <w:rPr>
      <w:color w:val="954F72" w:themeColor="followedHyperlink"/>
      <w:u w:val="single"/>
    </w:rPr>
  </w:style>
  <w:style w:type="paragraph" w:customStyle="1" w:styleId="Default">
    <w:name w:val="Default"/>
    <w:rsid w:val="007D7AC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D7AC9"/>
    <w:pPr>
      <w:spacing w:after="0" w:line="240" w:lineRule="auto"/>
    </w:pPr>
  </w:style>
  <w:style w:type="table" w:styleId="GridTable6Colorful">
    <w:name w:val="Grid Table 6 Colorful"/>
    <w:basedOn w:val="TableNormal"/>
    <w:uiPriority w:val="51"/>
    <w:rsid w:val="007D7A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v3um">
    <w:name w:val="uv3um"/>
    <w:basedOn w:val="DefaultParagraphFont"/>
    <w:rsid w:val="00F26599"/>
  </w:style>
  <w:style w:type="paragraph" w:styleId="Caption">
    <w:name w:val="caption"/>
    <w:basedOn w:val="Normal"/>
    <w:next w:val="Normal"/>
    <w:qFormat/>
    <w:rsid w:val="005C11F0"/>
    <w:pPr>
      <w:spacing w:line="240" w:lineRule="auto"/>
    </w:pPr>
    <w:rPr>
      <w:rFonts w:ascii="Times New Roman" w:eastAsia="Calibri" w:hAnsi="Times New Roman" w:cs="Times New Roman"/>
      <w:b/>
      <w:bCs/>
      <w:sz w:val="24"/>
      <w:szCs w:val="18"/>
    </w:rPr>
  </w:style>
  <w:style w:type="character" w:customStyle="1" w:styleId="UnresolvedMention2">
    <w:name w:val="Unresolved Mention2"/>
    <w:basedOn w:val="DefaultParagraphFont"/>
    <w:uiPriority w:val="99"/>
    <w:semiHidden/>
    <w:unhideWhenUsed/>
    <w:rsid w:val="00AF0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2878">
      <w:bodyDiv w:val="1"/>
      <w:marLeft w:val="0"/>
      <w:marRight w:val="0"/>
      <w:marTop w:val="0"/>
      <w:marBottom w:val="0"/>
      <w:divBdr>
        <w:top w:val="none" w:sz="0" w:space="0" w:color="auto"/>
        <w:left w:val="none" w:sz="0" w:space="0" w:color="auto"/>
        <w:bottom w:val="none" w:sz="0" w:space="0" w:color="auto"/>
        <w:right w:val="none" w:sz="0" w:space="0" w:color="auto"/>
      </w:divBdr>
    </w:div>
    <w:div w:id="757094437">
      <w:bodyDiv w:val="1"/>
      <w:marLeft w:val="0"/>
      <w:marRight w:val="0"/>
      <w:marTop w:val="0"/>
      <w:marBottom w:val="0"/>
      <w:divBdr>
        <w:top w:val="none" w:sz="0" w:space="0" w:color="auto"/>
        <w:left w:val="none" w:sz="0" w:space="0" w:color="auto"/>
        <w:bottom w:val="none" w:sz="0" w:space="0" w:color="auto"/>
        <w:right w:val="none" w:sz="0" w:space="0" w:color="auto"/>
      </w:divBdr>
    </w:div>
    <w:div w:id="17131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E0Ault/awDl" TargetMode="External"/><Relationship Id="rId13" Type="http://schemas.openxmlformats.org/officeDocument/2006/relationships/hyperlink" Target="https://paperpile.com/c/E0Ault/rKnv" TargetMode="External"/><Relationship Id="rId18" Type="http://schemas.openxmlformats.org/officeDocument/2006/relationships/hyperlink" Target="https://paperpile.com/c/Iwg7ZU/PAn4" TargetMode="External"/><Relationship Id="rId26" Type="http://schemas.openxmlformats.org/officeDocument/2006/relationships/hyperlink" Target="http://paperpile.com/b/E0Ault/fJ6k"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ciencedirect.com/topics/earth-and-planetary-sciences/antibiotic" TargetMode="External"/><Relationship Id="rId34" Type="http://schemas.openxmlformats.org/officeDocument/2006/relationships/hyperlink" Target="http://paperpile.com/b/OKPdzB/xsn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perpile.com/c/OKPdzB/baMr" TargetMode="External"/><Relationship Id="rId17" Type="http://schemas.openxmlformats.org/officeDocument/2006/relationships/hyperlink" Target="https://paperpile.com/c/VScAxn/2B0S" TargetMode="External"/><Relationship Id="rId25" Type="http://schemas.openxmlformats.org/officeDocument/2006/relationships/hyperlink" Target="http://paperpile.com/b/E0Ault/Idn6" TargetMode="External"/><Relationship Id="rId33" Type="http://schemas.openxmlformats.org/officeDocument/2006/relationships/hyperlink" Target="http://paperpile.com/b/Iwg7ZU/4tR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aperpile.com/c/E0Ault/O5NC" TargetMode="External"/><Relationship Id="rId20" Type="http://schemas.openxmlformats.org/officeDocument/2006/relationships/hyperlink" Target="https://paperpile.com/c/E0Ault/rKnv" TargetMode="External"/><Relationship Id="rId29" Type="http://schemas.openxmlformats.org/officeDocument/2006/relationships/hyperlink" Target="file://C:\Users\mona_\Downloads\Mahmoud,%20A.%20F.%20A.,%20Ikenaka,%20Y.,%20Yohannes,%20Y.%20B.,%20Darwish,%20W.%20S.,%20Eldaly,%20E.%20A.,%20Alaa%20Eldin%20M,%20and%20Ishizuka,%20M.%20(2016).%20Distribution%20and%20health%20risk%20assessment%20of%20organochlorine%20pesticides%20(OCPs)%20residue%20in%20edible%20cattle%20tissues%20from%20northeastern%20part%20of%20Egypt:%20High%20accumulation%20level%20of%20OCPs%20in%20tongue.%20Chemosphere.%20https:\doi.org\"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pile.com/c/OKPdzB/KoDQ" TargetMode="External"/><Relationship Id="rId24" Type="http://schemas.openxmlformats.org/officeDocument/2006/relationships/hyperlink" Target="http://paperpile.com/b/E0Ault/awDl" TargetMode="External"/><Relationship Id="rId32" Type="http://schemas.openxmlformats.org/officeDocument/2006/relationships/hyperlink" Target="http://paperpile.com/b/E0Ault/gSBa"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aperpile.com/c/E0Ault/gSBa" TargetMode="External"/><Relationship Id="rId23" Type="http://schemas.openxmlformats.org/officeDocument/2006/relationships/hyperlink" Target="http://paperpile.com/b/Iwg7ZU/nT5S" TargetMode="External"/><Relationship Id="rId28" Type="http://schemas.openxmlformats.org/officeDocument/2006/relationships/hyperlink" Target="http://paperpile.com/b/E0Ault/O5NC" TargetMode="External"/><Relationship Id="rId36" Type="http://schemas.openxmlformats.org/officeDocument/2006/relationships/header" Target="header1.xml"/><Relationship Id="rId10" Type="http://schemas.openxmlformats.org/officeDocument/2006/relationships/hyperlink" Target="https://paperpile.com/c/E0Ault/OMIR" TargetMode="External"/><Relationship Id="rId19" Type="http://schemas.openxmlformats.org/officeDocument/2006/relationships/hyperlink" Target="https://paperpile.com/c/E0Ault/Idn6" TargetMode="External"/><Relationship Id="rId31" Type="http://schemas.openxmlformats.org/officeDocument/2006/relationships/hyperlink" Target="http://paperpile.com/b/VScAxn/2B0S" TargetMode="External"/><Relationship Id="rId4" Type="http://schemas.openxmlformats.org/officeDocument/2006/relationships/settings" Target="settings.xml"/><Relationship Id="rId9" Type="http://schemas.openxmlformats.org/officeDocument/2006/relationships/hyperlink" Target="https://paperpile.com/c/E0Ault/awDl" TargetMode="External"/><Relationship Id="rId14" Type="http://schemas.openxmlformats.org/officeDocument/2006/relationships/hyperlink" Target="https://paperpile.com/c/E0Ault/fJ6k" TargetMode="External"/><Relationship Id="rId22" Type="http://schemas.openxmlformats.org/officeDocument/2006/relationships/hyperlink" Target="http://paperpile.com/b/E0Ault/rKnv" TargetMode="External"/><Relationship Id="rId27" Type="http://schemas.openxmlformats.org/officeDocument/2006/relationships/hyperlink" Target="https://www.researchgate.net/journal/1996-0808_African_journal_of_microbiology_research" TargetMode="External"/><Relationship Id="rId30" Type="http://schemas.openxmlformats.org/officeDocument/2006/relationships/hyperlink" Target="http://paperpile.com/b/E0Ault/OMIR" TargetMode="External"/><Relationship Id="rId35" Type="http://schemas.openxmlformats.org/officeDocument/2006/relationships/hyperlink" Target="file:///C:\Users\mona_\Downloads\Yurist-Doutsch,%20S.,%20Arrieta,%20M.-C.,%20Vogt,%20S.%20L.,%20and%20Brett%20Finlay,%20B.%20(2014).%20Gastrointestinal%20Microbiota&#8211;Mediated%20Control%20of%20Enteric%20Pathogens.%20%20Annual%20Review%20of%20Genetics%20(Vol.%2048,%20Issue%201,%20pp.%20361&#8211;382).%20https:\doi.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8FB1-4BF6-41E2-AC7E-D65BAF1D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Editor GP 005</cp:lastModifiedBy>
  <cp:revision>19</cp:revision>
  <dcterms:created xsi:type="dcterms:W3CDTF">2025-07-16T13:12:00Z</dcterms:created>
  <dcterms:modified xsi:type="dcterms:W3CDTF">2025-07-26T07:28:00Z</dcterms:modified>
</cp:coreProperties>
</file>