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ED43E" w14:textId="64E714B0" w:rsidR="004A4FC8" w:rsidRPr="00AA1048" w:rsidRDefault="006A288C" w:rsidP="000D7F5F">
      <w:pPr>
        <w:pStyle w:val="Title"/>
        <w:rPr>
          <w:color w:val="auto"/>
        </w:rPr>
      </w:pPr>
      <w:r w:rsidRPr="009D1C2D">
        <w:rPr>
          <w:color w:val="auto"/>
          <w:highlight w:val="yellow"/>
        </w:rPr>
        <w:t>Unmasking the Silent</w:t>
      </w:r>
      <w:r w:rsidR="00991C0F" w:rsidRPr="009D1C2D">
        <w:rPr>
          <w:color w:val="auto"/>
          <w:highlight w:val="yellow"/>
        </w:rPr>
        <w:t xml:space="preserve"> Pandemic</w:t>
      </w:r>
      <w:r w:rsidR="000D7F5F" w:rsidRPr="009D1C2D">
        <w:rPr>
          <w:color w:val="auto"/>
          <w:highlight w:val="yellow"/>
        </w:rPr>
        <w:t xml:space="preserve"> of </w:t>
      </w:r>
      <w:r w:rsidR="00BB7430" w:rsidRPr="00BB7430">
        <w:rPr>
          <w:color w:val="auto"/>
        </w:rPr>
        <w:t xml:space="preserve">Antimicrobial </w:t>
      </w:r>
      <w:r w:rsidR="00507BEA">
        <w:rPr>
          <w:color w:val="auto"/>
        </w:rPr>
        <w:t>Resistance</w:t>
      </w:r>
      <w:r w:rsidR="00BB7430" w:rsidRPr="00BB7430">
        <w:rPr>
          <w:color w:val="auto"/>
        </w:rPr>
        <w:t xml:space="preserve"> (AMR)</w:t>
      </w:r>
      <w:r w:rsidR="00991C0F" w:rsidRPr="009D1C2D">
        <w:rPr>
          <w:color w:val="auto"/>
          <w:highlight w:val="yellow"/>
        </w:rPr>
        <w:t>: A Comprehensive Review</w:t>
      </w:r>
      <w:r w:rsidR="00991C0F" w:rsidRPr="00AA1048">
        <w:rPr>
          <w:color w:val="auto"/>
        </w:rPr>
        <w:t xml:space="preserve"> </w:t>
      </w:r>
    </w:p>
    <w:p w14:paraId="7F21395E" w14:textId="77777777" w:rsidR="008D5865" w:rsidRPr="00843085" w:rsidRDefault="008D5865" w:rsidP="00843085">
      <w:pPr>
        <w:spacing w:line="360" w:lineRule="auto"/>
        <w:jc w:val="both"/>
        <w:rPr>
          <w:rFonts w:ascii="Times New Roman" w:hAnsi="Times New Roman" w:cs="Times New Roman"/>
          <w:b/>
          <w:sz w:val="32"/>
          <w:szCs w:val="32"/>
        </w:rPr>
      </w:pPr>
      <w:r w:rsidRPr="00843085">
        <w:rPr>
          <w:rFonts w:ascii="Times New Roman" w:hAnsi="Times New Roman" w:cs="Times New Roman"/>
          <w:b/>
          <w:sz w:val="32"/>
          <w:szCs w:val="32"/>
        </w:rPr>
        <w:t>Abstract:</w:t>
      </w:r>
    </w:p>
    <w:p w14:paraId="38A2CC1A" w14:textId="7E3697DD" w:rsidR="008D5865" w:rsidRDefault="008D5865" w:rsidP="00843085">
      <w:pPr>
        <w:spacing w:after="0" w:line="360" w:lineRule="auto"/>
        <w:jc w:val="both"/>
        <w:rPr>
          <w:rFonts w:ascii="Times New Roman" w:eastAsia="Times New Roman" w:hAnsi="Times New Roman" w:cs="Times New Roman"/>
          <w:sz w:val="24"/>
          <w:szCs w:val="24"/>
        </w:rPr>
      </w:pPr>
      <w:r w:rsidRPr="008D5865">
        <w:rPr>
          <w:rFonts w:ascii="Times New Roman" w:eastAsia="Times New Roman" w:hAnsi="Times New Roman" w:cs="Times New Roman"/>
          <w:sz w:val="24"/>
          <w:szCs w:val="24"/>
        </w:rPr>
        <w:t xml:space="preserve">Antimicrobial resistance (AMR) has become a global health concern, sometimes called the "silent pandemic" since it slowly but surely harms public health, clinical outcomes, and economic stability. The </w:t>
      </w:r>
      <w:r w:rsidR="00000DF5" w:rsidRPr="00000DF5">
        <w:rPr>
          <w:rFonts w:ascii="Times New Roman" w:eastAsia="Times New Roman" w:hAnsi="Times New Roman" w:cs="Times New Roman"/>
          <w:sz w:val="24"/>
          <w:szCs w:val="24"/>
          <w:highlight w:val="yellow"/>
        </w:rPr>
        <w:t>inappropriate use</w:t>
      </w:r>
      <w:r w:rsidRPr="00000DF5">
        <w:rPr>
          <w:rFonts w:ascii="Times New Roman" w:eastAsia="Times New Roman" w:hAnsi="Times New Roman" w:cs="Times New Roman"/>
          <w:sz w:val="24"/>
          <w:szCs w:val="24"/>
          <w:highlight w:val="yellow"/>
        </w:rPr>
        <w:t xml:space="preserve"> of antibiotics in me</w:t>
      </w:r>
      <w:r w:rsidRPr="008D5865">
        <w:rPr>
          <w:rFonts w:ascii="Times New Roman" w:eastAsia="Times New Roman" w:hAnsi="Times New Roman" w:cs="Times New Roman"/>
          <w:sz w:val="24"/>
          <w:szCs w:val="24"/>
        </w:rPr>
        <w:t>dicine, farming, and animal husbandry, along with a lack of good regulatory monitoring and pollution of the environment, has sped up the evolution and spread of microbes that are resistant to them. This review looks at the many factors that contribute to AMR, including its molecular processes, environmental causes, clinical burden, and global spread. Increased resistance to normal treatments has made bacteria</w:t>
      </w:r>
      <w:r w:rsidR="00D005EC">
        <w:rPr>
          <w:rFonts w:ascii="Times New Roman" w:eastAsia="Times New Roman" w:hAnsi="Times New Roman" w:cs="Times New Roman"/>
          <w:sz w:val="24"/>
          <w:szCs w:val="24"/>
        </w:rPr>
        <w:t>,</w:t>
      </w:r>
      <w:r w:rsidRPr="008D5865">
        <w:rPr>
          <w:rFonts w:ascii="Times New Roman" w:eastAsia="Times New Roman" w:hAnsi="Times New Roman" w:cs="Times New Roman"/>
          <w:sz w:val="24"/>
          <w:szCs w:val="24"/>
        </w:rPr>
        <w:t xml:space="preserve"> including Escherichia coli, Klebsiella pneumoniae, MRSA, and multidrug-resistant Mycobacterium tuberculosis more common, which has led to higher rates of illness, d</w:t>
      </w:r>
      <w:r w:rsidR="00843085">
        <w:rPr>
          <w:rFonts w:ascii="Times New Roman" w:eastAsia="Times New Roman" w:hAnsi="Times New Roman" w:cs="Times New Roman"/>
          <w:sz w:val="24"/>
          <w:szCs w:val="24"/>
        </w:rPr>
        <w:t xml:space="preserve">eath, and healthcare expenses. </w:t>
      </w:r>
      <w:r w:rsidRPr="008D5865">
        <w:rPr>
          <w:rFonts w:ascii="Times New Roman" w:eastAsia="Times New Roman" w:hAnsi="Times New Roman" w:cs="Times New Roman"/>
          <w:sz w:val="24"/>
          <w:szCs w:val="24"/>
        </w:rPr>
        <w:t xml:space="preserve">We did a thorough analysis of the literature using peer-reviewed sources to look at recent data on trends in resistance, important resistance genes, and how well current tactics to reduce resistance work. The results show that there are big holes in AMR surveillance, diagnostic tools, and the antibiotic research pipeline. Resistance genes are also common in natural environments, which makes containment even harder. Antimicrobial stewardship initiatives and global action plans have made some headway, but to really deal with the way AMR affects people, animals, and the environment, we need </w:t>
      </w:r>
      <w:r w:rsidR="00843085">
        <w:rPr>
          <w:rFonts w:ascii="Times New Roman" w:eastAsia="Times New Roman" w:hAnsi="Times New Roman" w:cs="Times New Roman"/>
          <w:sz w:val="24"/>
          <w:szCs w:val="24"/>
        </w:rPr>
        <w:t>a united, One Health strategy.</w:t>
      </w:r>
      <w:r w:rsidR="00843085">
        <w:rPr>
          <w:rFonts w:ascii="Times New Roman" w:eastAsia="Times New Roman" w:hAnsi="Times New Roman" w:cs="Times New Roman"/>
          <w:sz w:val="24"/>
          <w:szCs w:val="24"/>
        </w:rPr>
        <w:br/>
      </w:r>
      <w:r w:rsidRPr="008D5865">
        <w:rPr>
          <w:rFonts w:ascii="Times New Roman" w:eastAsia="Times New Roman" w:hAnsi="Times New Roman" w:cs="Times New Roman"/>
          <w:sz w:val="24"/>
          <w:szCs w:val="24"/>
        </w:rPr>
        <w:t xml:space="preserve">The assessment ends by stressing the importance of coordinated action around the world, new treatments, quick tests, and strong policy frameworks. </w:t>
      </w:r>
      <w:r w:rsidR="001B5D36" w:rsidRPr="001B5D36">
        <w:rPr>
          <w:rFonts w:ascii="Times New Roman" w:eastAsia="Times New Roman" w:hAnsi="Times New Roman" w:cs="Times New Roman"/>
          <w:sz w:val="24"/>
          <w:szCs w:val="24"/>
        </w:rPr>
        <w:t>A</w:t>
      </w:r>
      <w:r w:rsidR="001B5D36" w:rsidRPr="001B5D36">
        <w:rPr>
          <w:rFonts w:ascii="Times New Roman" w:eastAsia="Times New Roman" w:hAnsi="Times New Roman" w:cs="Times New Roman"/>
          <w:sz w:val="24"/>
          <w:szCs w:val="24"/>
          <w:highlight w:val="yellow"/>
        </w:rPr>
        <w:t>MR poses a significant threat to the sustainability of modern medical practices and infection control if left unaddressed</w:t>
      </w:r>
      <w:r w:rsidRPr="008D5865">
        <w:rPr>
          <w:rFonts w:ascii="Times New Roman" w:eastAsia="Times New Roman" w:hAnsi="Times New Roman" w:cs="Times New Roman"/>
          <w:sz w:val="24"/>
          <w:szCs w:val="24"/>
        </w:rPr>
        <w:t xml:space="preserve"> and bring about a post-antibiotic future in which even small illnesses could become deadly if nothing is done right away.</w:t>
      </w:r>
    </w:p>
    <w:p w14:paraId="587CCC26" w14:textId="77777777" w:rsidR="008D5865" w:rsidRPr="00AA1048" w:rsidRDefault="00AA1048" w:rsidP="00AA1048">
      <w:pPr>
        <w:spacing w:after="0" w:line="360" w:lineRule="auto"/>
        <w:jc w:val="both"/>
        <w:rPr>
          <w:rFonts w:ascii="Times New Roman" w:eastAsia="Times New Roman" w:hAnsi="Times New Roman" w:cs="Times New Roman"/>
          <w:i/>
          <w:sz w:val="24"/>
          <w:szCs w:val="24"/>
        </w:rPr>
      </w:pPr>
      <w:r w:rsidRPr="00AA1048">
        <w:rPr>
          <w:rFonts w:ascii="Times New Roman" w:eastAsia="Times New Roman" w:hAnsi="Times New Roman" w:cs="Times New Roman"/>
          <w:i/>
          <w:sz w:val="24"/>
          <w:szCs w:val="24"/>
        </w:rPr>
        <w:t>Keywords: Antimicrobial Resistance (AMR), Drug-Resistant Infections, Global Health Threat, Antibiotic Stewardship, Multidrug-Resistant Pathogens</w:t>
      </w:r>
    </w:p>
    <w:p w14:paraId="46B0AB51" w14:textId="77777777" w:rsidR="007969FB" w:rsidRPr="007969FB" w:rsidRDefault="007969FB" w:rsidP="007969FB">
      <w:pPr>
        <w:pStyle w:val="ListParagraph"/>
        <w:numPr>
          <w:ilvl w:val="0"/>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32"/>
          <w:szCs w:val="32"/>
        </w:rPr>
        <w:t>Introduction:</w:t>
      </w:r>
    </w:p>
    <w:p w14:paraId="02A91048" w14:textId="35658B48" w:rsidR="000D7F5F" w:rsidRDefault="007969FB" w:rsidP="009B4371">
      <w:pPr>
        <w:spacing w:line="360" w:lineRule="auto"/>
        <w:jc w:val="both"/>
        <w:rPr>
          <w:rFonts w:ascii="Times New Roman" w:hAnsi="Times New Roman" w:cs="Times New Roman"/>
          <w:sz w:val="24"/>
          <w:szCs w:val="24"/>
        </w:rPr>
      </w:pPr>
      <w:r w:rsidRPr="007969FB">
        <w:rPr>
          <w:rFonts w:ascii="Times New Roman" w:hAnsi="Times New Roman" w:cs="Times New Roman"/>
          <w:sz w:val="24"/>
          <w:szCs w:val="24"/>
        </w:rPr>
        <w:lastRenderedPageBreak/>
        <w:t xml:space="preserve">More and more people are </w:t>
      </w:r>
      <w:proofErr w:type="spellStart"/>
      <w:r w:rsidR="00D005EC" w:rsidRPr="00D70790">
        <w:rPr>
          <w:rFonts w:ascii="Times New Roman" w:hAnsi="Times New Roman" w:cs="Times New Roman"/>
          <w:sz w:val="24"/>
          <w:szCs w:val="24"/>
          <w:highlight w:val="yellow"/>
        </w:rPr>
        <w:t>reali</w:t>
      </w:r>
      <w:r w:rsidR="00D005EC" w:rsidRPr="00D70790">
        <w:rPr>
          <w:rFonts w:ascii="Times New Roman" w:hAnsi="Times New Roman" w:cs="Times New Roman"/>
          <w:sz w:val="24"/>
          <w:szCs w:val="24"/>
          <w:highlight w:val="yellow"/>
        </w:rPr>
        <w:t>s</w:t>
      </w:r>
      <w:r w:rsidR="00D005EC" w:rsidRPr="00D70790">
        <w:rPr>
          <w:rFonts w:ascii="Times New Roman" w:hAnsi="Times New Roman" w:cs="Times New Roman"/>
          <w:sz w:val="24"/>
          <w:szCs w:val="24"/>
          <w:highlight w:val="yellow"/>
        </w:rPr>
        <w:t>ing</w:t>
      </w:r>
      <w:proofErr w:type="spellEnd"/>
      <w:r w:rsidR="00D005EC" w:rsidRPr="00D70790">
        <w:rPr>
          <w:rFonts w:ascii="Times New Roman" w:hAnsi="Times New Roman" w:cs="Times New Roman"/>
          <w:sz w:val="24"/>
          <w:szCs w:val="24"/>
          <w:highlight w:val="yellow"/>
        </w:rPr>
        <w:t xml:space="preserve"> </w:t>
      </w:r>
      <w:r w:rsidRPr="00D70790">
        <w:rPr>
          <w:rFonts w:ascii="Times New Roman" w:hAnsi="Times New Roman" w:cs="Times New Roman"/>
          <w:sz w:val="24"/>
          <w:szCs w:val="24"/>
          <w:highlight w:val="yellow"/>
        </w:rPr>
        <w:t>that antimicr</w:t>
      </w:r>
      <w:r w:rsidRPr="007969FB">
        <w:rPr>
          <w:rFonts w:ascii="Times New Roman" w:hAnsi="Times New Roman" w:cs="Times New Roman"/>
          <w:sz w:val="24"/>
          <w:szCs w:val="24"/>
        </w:rPr>
        <w:t>obial resistance (AMR) is one of the biggest risks to health, food security, and development in the world today</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&lt;EndNote&gt;&lt;Cite&gt;&lt;RecNum&gt;25430&lt;/RecNum&gt;&lt;DisplayText&gt;(1)&lt;/DisplayText&gt;&lt;record&gt;&lt;rec-number&gt;25430&lt;/rec-number&gt;&lt;foreign-keys&gt;&lt;key app="EN" db-id="vsw9aww2f0sf9petez35wtev9xx99ap2ss5z" timestamp="1752043535"&gt;25430&lt;/key&gt;&lt;/foreign-keys&gt;&lt;ref-type name="Journal Article"&gt;17&lt;/ref-type&gt;&lt;contributors&gt;&lt;/contributors&gt;&lt;titles&gt;&lt;title&gt;WHO. Antimicrobial resistance. https://www.who.int/news-room/fact-sheets/detail/antimicrobial-resistance. Accessed date: 6 June 2021&lt;/title&gt;&lt;/titles&gt;&lt;dates&gt;&lt;/dates&gt;&lt;urls&gt;&lt;related-urls&gt;&lt;url&gt;https://www.who.int/news-room/fact-sheets/detail/antimicrobial-resistance&lt;/url&gt;&lt;/related-urls&gt;&lt;/urls&gt;&lt;/record&gt;&lt;/Cite&gt;&lt;/EndNote&gt;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(1)</w:t>
      </w:r>
      <w:r w:rsidR="0094242C">
        <w:rPr>
          <w:rFonts w:ascii="Times New Roman" w:hAnsi="Times New Roman" w:cs="Times New Roman"/>
          <w:sz w:val="24"/>
          <w:szCs w:val="24"/>
        </w:rPr>
        <w:fldChar w:fldCharType="end"/>
      </w:r>
      <w:r w:rsidRPr="007969FB">
        <w:rPr>
          <w:rFonts w:ascii="Times New Roman" w:hAnsi="Times New Roman" w:cs="Times New Roman"/>
          <w:sz w:val="24"/>
          <w:szCs w:val="24"/>
        </w:rPr>
        <w:t>. The discovery and development of antibiotics in the early 20th century changed the course of medical history. They changed the way bacterial infections were treated and made diseases that used to be deadly treatable. But the benefits of these "miracle drugs" are fading fast because of the quick rise and spread of microbes that are resistant to antimicrobials. Infections caused by multidrug-resistant (MDR), extensively drug-resistant (XDR), and pan-drug-resistant (PDR) microorganisms are becoming increasingly widespread</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&lt;EndNote&gt;&lt;Cite&gt;&lt;RecNum&gt;25432&lt;/RecNum&gt;&lt;DisplayText&gt;(2)&lt;/DisplayText&gt;&lt;record&gt;&lt;rec-number&gt;25432&lt;/rec-number&gt;&lt;foreign-keys&gt;&lt;key app="EN" db-id="vsw9aww2f0sf9petez35wtev9xx99ap2ss5z" timestamp="1752043535"&gt;25432&lt;/key&gt;&lt;/foreign-keys&gt;&lt;ref-type name="Journal Article"&gt;17&lt;/ref-type&gt;&lt;contributors&gt;&lt;/contributors&gt;&lt;titles&gt;&lt;title&gt;WHO. Clinical guidance for COVID-19. https://www.who.int/publications/i/item/WHO-2019-nCoV-clinical-2021-1 Accessed date: 6 June 2021&lt;/title&gt;&lt;/titles&gt;&lt;dates&gt;&lt;/dates&gt;&lt;urls&gt;&lt;related-urls&gt;&lt;url&gt;https://www.who.int/publications/i/item/WHO-2019-nCoV-clinical-2021-1&lt;/url&gt;&lt;/related-urls&gt;&lt;/urls&gt;&lt;/record&gt;&lt;/Cite&gt;&lt;/EndNote&gt;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(2)</w:t>
      </w:r>
      <w:r w:rsidR="0094242C">
        <w:rPr>
          <w:rFonts w:ascii="Times New Roman" w:hAnsi="Times New Roman" w:cs="Times New Roman"/>
          <w:sz w:val="24"/>
          <w:szCs w:val="24"/>
        </w:rPr>
        <w:fldChar w:fldCharType="end"/>
      </w:r>
      <w:r w:rsidRPr="007969FB">
        <w:rPr>
          <w:rFonts w:ascii="Times New Roman" w:hAnsi="Times New Roman" w:cs="Times New Roman"/>
          <w:sz w:val="24"/>
          <w:szCs w:val="24"/>
        </w:rPr>
        <w:t>. This makes current treatments less effective and raises the cost of healthc</w:t>
      </w:r>
      <w:r w:rsidR="008D5865">
        <w:rPr>
          <w:rFonts w:ascii="Times New Roman" w:hAnsi="Times New Roman" w:cs="Times New Roman"/>
          <w:sz w:val="24"/>
          <w:szCs w:val="24"/>
        </w:rPr>
        <w:t xml:space="preserve">are, morbidity, and mortality. </w:t>
      </w:r>
      <w:r w:rsidR="009B4371" w:rsidRPr="009B4371">
        <w:rPr>
          <w:rFonts w:ascii="Times New Roman" w:hAnsi="Times New Roman" w:cs="Times New Roman"/>
          <w:sz w:val="24"/>
          <w:szCs w:val="24"/>
          <w:highlight w:val="yellow"/>
        </w:rPr>
        <w:t xml:space="preserve">The increased inappropriate </w:t>
      </w:r>
      <w:proofErr w:type="spellStart"/>
      <w:r w:rsidR="00DE3E9C">
        <w:rPr>
          <w:rFonts w:ascii="Times New Roman" w:hAnsi="Times New Roman" w:cs="Times New Roman"/>
          <w:sz w:val="24"/>
          <w:szCs w:val="24"/>
          <w:highlight w:val="yellow"/>
        </w:rPr>
        <w:t>utilisation</w:t>
      </w:r>
      <w:proofErr w:type="spellEnd"/>
      <w:r w:rsidR="009B4371" w:rsidRPr="009B4371">
        <w:rPr>
          <w:rFonts w:ascii="Times New Roman" w:hAnsi="Times New Roman" w:cs="Times New Roman"/>
          <w:sz w:val="24"/>
          <w:szCs w:val="24"/>
          <w:highlight w:val="yellow"/>
        </w:rPr>
        <w:t xml:space="preserve"> of antibiotics has </w:t>
      </w:r>
      <w:r w:rsidR="00DE3E9C">
        <w:rPr>
          <w:rFonts w:ascii="Times New Roman" w:hAnsi="Times New Roman" w:cs="Times New Roman"/>
          <w:sz w:val="24"/>
          <w:szCs w:val="24"/>
          <w:highlight w:val="yellow"/>
        </w:rPr>
        <w:t>led</w:t>
      </w:r>
      <w:r w:rsidR="009B4371" w:rsidRPr="009B4371">
        <w:rPr>
          <w:rFonts w:ascii="Times New Roman" w:hAnsi="Times New Roman" w:cs="Times New Roman"/>
          <w:sz w:val="24"/>
          <w:szCs w:val="24"/>
          <w:highlight w:val="yellow"/>
        </w:rPr>
        <w:t xml:space="preserve"> towards a rise </w:t>
      </w:r>
      <w:r w:rsidR="00D95655">
        <w:rPr>
          <w:rFonts w:ascii="Times New Roman" w:hAnsi="Times New Roman" w:cs="Times New Roman"/>
          <w:sz w:val="24"/>
          <w:szCs w:val="24"/>
          <w:highlight w:val="yellow"/>
        </w:rPr>
        <w:t>in</w:t>
      </w:r>
      <w:r w:rsidR="009B4371" w:rsidRPr="009B4371">
        <w:rPr>
          <w:rFonts w:ascii="Times New Roman" w:hAnsi="Times New Roman" w:cs="Times New Roman"/>
          <w:sz w:val="24"/>
          <w:szCs w:val="24"/>
          <w:highlight w:val="yellow"/>
        </w:rPr>
        <w:t xml:space="preserve"> resistant pathogens. For diseases triggered by multidrug-resistant organisms</w:t>
      </w:r>
      <w:r w:rsidR="007633BE">
        <w:rPr>
          <w:rFonts w:ascii="Times New Roman" w:hAnsi="Times New Roman" w:cs="Times New Roman"/>
          <w:sz w:val="24"/>
          <w:szCs w:val="24"/>
          <w:highlight w:val="yellow"/>
        </w:rPr>
        <w:t>,</w:t>
      </w:r>
      <w:r w:rsidR="009B4371" w:rsidRPr="009B4371">
        <w:rPr>
          <w:rFonts w:ascii="Times New Roman" w:hAnsi="Times New Roman" w:cs="Times New Roman"/>
          <w:sz w:val="24"/>
          <w:szCs w:val="24"/>
          <w:highlight w:val="yellow"/>
        </w:rPr>
        <w:t xml:space="preserve"> successful treatment is usually reduced</w:t>
      </w:r>
      <w:r w:rsidR="002A3DCA">
        <w:rPr>
          <w:rFonts w:ascii="Times New Roman" w:hAnsi="Times New Roman" w:cs="Times New Roman"/>
          <w:sz w:val="24"/>
          <w:szCs w:val="24"/>
          <w:highlight w:val="yellow"/>
        </w:rPr>
        <w:t>,</w:t>
      </w:r>
      <w:r w:rsidR="009B4371" w:rsidRPr="009B4371">
        <w:rPr>
          <w:rFonts w:ascii="Times New Roman" w:hAnsi="Times New Roman" w:cs="Times New Roman"/>
          <w:sz w:val="24"/>
          <w:szCs w:val="24"/>
          <w:highlight w:val="yellow"/>
        </w:rPr>
        <w:t xml:space="preserve"> thereby causing further illness, death and even a huge rise in medical expenses</w:t>
      </w:r>
      <w:r w:rsidR="00FA70FF">
        <w:rPr>
          <w:rFonts w:ascii="Times New Roman" w:hAnsi="Times New Roman" w:cs="Times New Roman"/>
          <w:sz w:val="24"/>
          <w:szCs w:val="24"/>
          <w:highlight w:val="yellow"/>
        </w:rPr>
        <w:t xml:space="preserve"> (6</w:t>
      </w:r>
      <w:r w:rsidR="00AF611C">
        <w:rPr>
          <w:rFonts w:ascii="Times New Roman" w:hAnsi="Times New Roman" w:cs="Times New Roman"/>
          <w:sz w:val="24"/>
          <w:szCs w:val="24"/>
          <w:highlight w:val="yellow"/>
        </w:rPr>
        <w:t>9</w:t>
      </w:r>
      <w:r w:rsidR="00FA70FF">
        <w:rPr>
          <w:rFonts w:ascii="Times New Roman" w:hAnsi="Times New Roman" w:cs="Times New Roman"/>
          <w:sz w:val="24"/>
          <w:szCs w:val="24"/>
          <w:highlight w:val="yellow"/>
        </w:rPr>
        <w:t>)</w:t>
      </w:r>
      <w:r w:rsidR="009B4371" w:rsidRPr="009B4371">
        <w:rPr>
          <w:rFonts w:ascii="Times New Roman" w:hAnsi="Times New Roman" w:cs="Times New Roman"/>
          <w:sz w:val="24"/>
          <w:szCs w:val="24"/>
          <w:highlight w:val="yellow"/>
        </w:rPr>
        <w:t>.</w:t>
      </w:r>
      <w:r w:rsidR="009B4371" w:rsidRPr="009B4371">
        <w:rPr>
          <w:rFonts w:ascii="Times New Roman" w:hAnsi="Times New Roman" w:cs="Times New Roman"/>
          <w:sz w:val="24"/>
          <w:szCs w:val="24"/>
        </w:rPr>
        <w:t xml:space="preserve"> </w:t>
      </w:r>
      <w:r w:rsidR="009B4371">
        <w:rPr>
          <w:rFonts w:ascii="Times New Roman" w:hAnsi="Times New Roman" w:cs="Times New Roman"/>
          <w:sz w:val="24"/>
          <w:szCs w:val="24"/>
        </w:rPr>
        <w:t xml:space="preserve"> </w:t>
      </w:r>
      <w:r w:rsidRPr="007969FB">
        <w:rPr>
          <w:rFonts w:ascii="Times New Roman" w:hAnsi="Times New Roman" w:cs="Times New Roman"/>
          <w:sz w:val="24"/>
          <w:szCs w:val="24"/>
        </w:rPr>
        <w:t>AMR happens when microorganisms</w:t>
      </w:r>
      <w:r w:rsidR="002A3DCA">
        <w:rPr>
          <w:rFonts w:ascii="Times New Roman" w:hAnsi="Times New Roman" w:cs="Times New Roman"/>
          <w:sz w:val="24"/>
          <w:szCs w:val="24"/>
        </w:rPr>
        <w:t>,</w:t>
      </w:r>
      <w:r w:rsidRPr="007969FB">
        <w:rPr>
          <w:rFonts w:ascii="Times New Roman" w:hAnsi="Times New Roman" w:cs="Times New Roman"/>
          <w:sz w:val="24"/>
          <w:szCs w:val="24"/>
        </w:rPr>
        <w:t xml:space="preserve"> including bacteria, fungi, viruses, and parasites</w:t>
      </w:r>
      <w:r w:rsidR="00795586">
        <w:rPr>
          <w:rFonts w:ascii="Times New Roman" w:hAnsi="Times New Roman" w:cs="Times New Roman"/>
          <w:sz w:val="24"/>
          <w:szCs w:val="24"/>
        </w:rPr>
        <w:t>,</w:t>
      </w:r>
      <w:r w:rsidRPr="007969FB">
        <w:rPr>
          <w:rFonts w:ascii="Times New Roman" w:hAnsi="Times New Roman" w:cs="Times New Roman"/>
          <w:sz w:val="24"/>
          <w:szCs w:val="24"/>
        </w:rPr>
        <w:t xml:space="preserve"> change so that they can survive the medications that are meant to kill them. Resistance is a normal aspect of evolution, but humans have sped it up a lot, especially by using too many antimicrobials in medicine, farming, and veterinary care. The extensive and sometimes random use of antibiotics has put selective pressure on resistant bacteria, which subsequently grow and spread throughout communities, hospitals, and borders. AMR is no longer just a few isolated outbreaks; it has reached pandemic levels, yet it is happening quietly and without the immediate publicity that pandemics like COVID-19 have</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&lt;EndNote&gt;&lt;Cite&gt;&lt;RecNum&gt;25439&lt;/RecNum&gt;&lt;DisplayText&gt;(3)&lt;/DisplayText&gt;&lt;record&gt;&lt;rec-number&gt;25439&lt;/rec-number&gt;&lt;foreign-keys&gt;&lt;key app="EN" db-id="vsw9aww2f0sf9petez35wtev9xx99ap2ss5z" timestamp="1752043535"&gt;25439&lt;/key&gt;&lt;/foreign-keys&gt;&lt;ref-type name="Journal Article"&gt;17&lt;/ref-type&gt;&lt;contributors&gt;&lt;/contributors&gt;&lt;titles&gt;&lt;title&gt;Moolla MS, Reddy K, Fwemba I, Nyasulu PS, Taljaard JJ, Parker A, et al. Bacterial infection, antibiotic use and COVID-19: lessons from the intensive care unit. SAMJ. 2021;111(4)&lt;/title&gt;&lt;/titles&gt;&lt;dates&gt;&lt;/dates&gt;&lt;urls&gt;&lt;/urls&gt;&lt;/record&gt;&lt;/Cite&gt;&lt;/EndNote&gt;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(3)</w:t>
      </w:r>
      <w:r w:rsidR="0094242C">
        <w:rPr>
          <w:rFonts w:ascii="Times New Roman" w:hAnsi="Times New Roman" w:cs="Times New Roman"/>
          <w:sz w:val="24"/>
          <w:szCs w:val="24"/>
        </w:rPr>
        <w:fldChar w:fldCharType="end"/>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 xml:space="preserve">The phrase "silent pandemic" perfectly describes how AMR spreads. AMR doesn't spread quickly like viral pandemics do, and it doesn't get a lot of public attention since it spreads slowly and quietly. But the long-term effects are much worse. The 2019 Global Burden of Disease research on AMR found that it caused about 1.27 million deaths around the world, and resistant diseases caused millions more deaths. If no action is </w:t>
      </w:r>
      <w:r w:rsidR="00D005EC">
        <w:rPr>
          <w:rFonts w:ascii="Times New Roman" w:hAnsi="Times New Roman" w:cs="Times New Roman"/>
          <w:sz w:val="24"/>
          <w:szCs w:val="24"/>
        </w:rPr>
        <w:t>taken</w:t>
      </w:r>
      <w:r w:rsidRPr="007969FB">
        <w:rPr>
          <w:rFonts w:ascii="Times New Roman" w:hAnsi="Times New Roman" w:cs="Times New Roman"/>
          <w:sz w:val="24"/>
          <w:szCs w:val="24"/>
        </w:rPr>
        <w:t>, AMR could kill up to 10 million people every year by 2050</w:t>
      </w:r>
      <w:r w:rsidRPr="00746CFE">
        <w:rPr>
          <w:rFonts w:ascii="Times New Roman" w:hAnsi="Times New Roman" w:cs="Times New Roman"/>
          <w:sz w:val="24"/>
          <w:szCs w:val="24"/>
          <w:highlight w:val="yellow"/>
        </w:rPr>
        <w:t>. This would be more deaths than cancer and would cost the world economy almost $100 trillion</w:t>
      </w:r>
      <w:r w:rsidR="000D7F5F" w:rsidRPr="00746CFE">
        <w:rPr>
          <w:rFonts w:ascii="Times New Roman" w:hAnsi="Times New Roman" w:cs="Times New Roman"/>
          <w:sz w:val="24"/>
          <w:szCs w:val="24"/>
          <w:highlight w:val="yellow"/>
        </w:rPr>
        <w:t xml:space="preserve"> </w:t>
      </w:r>
      <w:r w:rsidR="0094242C" w:rsidRPr="00746CFE">
        <w:rPr>
          <w:rFonts w:ascii="Times New Roman" w:hAnsi="Times New Roman" w:cs="Times New Roman"/>
          <w:sz w:val="24"/>
          <w:szCs w:val="24"/>
          <w:highlight w:val="yellow"/>
        </w:rPr>
        <w:fldChar w:fldCharType="begin"/>
      </w:r>
      <w:r w:rsidR="000D7F5F" w:rsidRPr="00746CFE">
        <w:rPr>
          <w:rFonts w:ascii="Times New Roman" w:hAnsi="Times New Roman" w:cs="Times New Roman"/>
          <w:sz w:val="24"/>
          <w:szCs w:val="24"/>
          <w:highlight w:val="yellow"/>
        </w:rPr>
        <w:instrText xml:space="preserve"> ADDIN EN.CITE &lt;EndNote&gt;&lt;Cite&gt;&lt;Year&gt;2021&lt;/Year&gt;&lt;RecNum&gt;25446&lt;/RecNum&gt;&lt;DisplayText&gt;(4)&lt;/DisplayText&gt;&lt;record&gt;&lt;rec-number&gt;25446&lt;/rec-number&gt;&lt;foreign-keys&gt;&lt;key app="EN" db-id="vsw9aww2f0sf9petez35wtev9xx99ap2ss5z" timestamp="1752043535"&gt;25446&lt;/key&gt;&lt;/foreign-keys&gt;&lt;ref-type name="Journal Article"&gt;17&lt;/ref-type&gt;&lt;contributors&gt;&lt;/contributors&gt;&lt;titles&gt;&lt;title&gt;Azithromycin for community treatment of suspected COVID-19 in people at increased risk of an adverse clinical course in the UK (PRINCIPLE): a randomised, controlled, open-label, adaptive platform trial&lt;/title&gt;&lt;secondary-title&gt;Lancet.&lt;/secondary-title&gt;&lt;/titles&gt;&lt;periodical&gt;&lt;full-title&gt;Lancet.&lt;/full-title&gt;&lt;/periodical&gt;&lt;volume&gt;397&lt;/volume&gt;&lt;dates&gt;&lt;year&gt;2021&lt;/year&gt;&lt;pub-dates&gt;&lt;date&gt;2021//&lt;/date&gt;&lt;/pub-dates&gt;&lt;/dates&gt;&lt;urls&gt;&lt;related-urls&gt;&lt;url&gt;https://doi.org/10.1016/S0140-6736(21)00461-X&lt;/url&gt;&lt;/related-urls&gt;&lt;/urls&gt;&lt;electronic-resource-num&gt;10.1016/S0140-6736(21)00461-X&lt;/electronic-resource-num&gt;&lt;/record&gt;&lt;/Cite&gt;&lt;/EndNote&gt;</w:instrText>
      </w:r>
      <w:r w:rsidR="0094242C" w:rsidRPr="00746CFE">
        <w:rPr>
          <w:rFonts w:ascii="Times New Roman" w:hAnsi="Times New Roman" w:cs="Times New Roman"/>
          <w:sz w:val="24"/>
          <w:szCs w:val="24"/>
          <w:highlight w:val="yellow"/>
        </w:rPr>
        <w:fldChar w:fldCharType="separate"/>
      </w:r>
      <w:r w:rsidR="000D7F5F" w:rsidRPr="00746CFE">
        <w:rPr>
          <w:rFonts w:ascii="Times New Roman" w:hAnsi="Times New Roman" w:cs="Times New Roman"/>
          <w:noProof/>
          <w:sz w:val="24"/>
          <w:szCs w:val="24"/>
          <w:highlight w:val="yellow"/>
        </w:rPr>
        <w:t>(4)</w:t>
      </w:r>
      <w:r w:rsidR="0094242C" w:rsidRPr="00746CFE">
        <w:rPr>
          <w:rFonts w:ascii="Times New Roman" w:hAnsi="Times New Roman" w:cs="Times New Roman"/>
          <w:sz w:val="24"/>
          <w:szCs w:val="24"/>
          <w:highlight w:val="yellow"/>
        </w:rPr>
        <w:fldChar w:fldCharType="end"/>
      </w:r>
      <w:r w:rsidR="000D7F5F" w:rsidRPr="00746CFE">
        <w:rPr>
          <w:rFonts w:ascii="Times New Roman" w:hAnsi="Times New Roman" w:cs="Times New Roman"/>
          <w:sz w:val="24"/>
          <w:szCs w:val="24"/>
          <w:highlight w:val="yellow"/>
        </w:rPr>
        <w:t>.</w:t>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 xml:space="preserve">AMR's rise has big effects </w:t>
      </w:r>
      <w:r w:rsidR="00D005EC">
        <w:rPr>
          <w:rFonts w:ascii="Times New Roman" w:hAnsi="Times New Roman" w:cs="Times New Roman"/>
          <w:sz w:val="24"/>
          <w:szCs w:val="24"/>
        </w:rPr>
        <w:t>on</w:t>
      </w:r>
      <w:r w:rsidR="00D005EC" w:rsidRPr="007969FB">
        <w:rPr>
          <w:rFonts w:ascii="Times New Roman" w:hAnsi="Times New Roman" w:cs="Times New Roman"/>
          <w:sz w:val="24"/>
          <w:szCs w:val="24"/>
        </w:rPr>
        <w:t xml:space="preserve"> </w:t>
      </w:r>
      <w:r w:rsidRPr="007969FB">
        <w:rPr>
          <w:rFonts w:ascii="Times New Roman" w:hAnsi="Times New Roman" w:cs="Times New Roman"/>
          <w:sz w:val="24"/>
          <w:szCs w:val="24"/>
        </w:rPr>
        <w:t>the future of contemporary medicine. Antimicrobial prophylaxis and treatment are important for many medical operations, like surgeries, cancer chemotherapy, organ transplants, and taking care of babies who are born too early</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&lt;EndNote&gt;&lt;Cite&gt;&lt;Author&gt;Adebisi&lt;/Author&gt;&lt;Year&gt;2021&lt;/Year&gt;&lt;RecNum&gt;25451&lt;/RecNum&gt;&lt;DisplayText&gt;(5)&lt;/DisplayText&gt;&lt;record&gt;&lt;rec-number&gt;25451&lt;/rec-number&gt;&lt;foreign-keys&gt;&lt;key app="EN" db-id="vsw9aww2f0sf9petez35wtev9xx99ap2ss5z" timestamp="1752043536"&gt;25451&lt;/key&gt;&lt;/foreign-keys&gt;&lt;ref-type name="Journal Article"&gt;17&lt;/ref-type&gt;&lt;contributors&gt;&lt;authors&gt;&lt;author&gt;Adebisi, Y. A.&lt;/author&gt;&lt;author&gt;Alaran, A. J.&lt;/author&gt;&lt;author&gt;Bolarinwa, O. A.&lt;/author&gt;&lt;author&gt;Akande-Sholabi, W.&lt;/author&gt;&lt;author&gt;Lucero-Prisno, D. E.&lt;/author&gt;&lt;/authors&gt;&lt;/contributors&gt;&lt;titles&gt;&lt;title&gt;When it is available, will we take it? Social media users’ perception of hypothetical COVID-19 vaccine in Nigeria&lt;/title&gt;&lt;secondary-title&gt;Pan Afr Med J&lt;/secondary-title&gt;&lt;/titles&gt;&lt;periodical&gt;&lt;full-title&gt;Pan Afr Med J&lt;/full-title&gt;&lt;/periodical&gt;&lt;volume&gt;38&lt;/volume&gt;&lt;dates&gt;&lt;year&gt;2021&lt;/year&gt;&lt;pub-dates&gt;&lt;date&gt;2021//&lt;/date&gt;&lt;/pub-dates&gt;&lt;/dates&gt;&lt;urls&gt;&lt;related-urls&gt;&lt;url&gt;https://doi.org/10.11604/pamj.2021.38.230.27325&lt;/url&gt;&lt;/related-urls&gt;&lt;/urls&gt;&lt;electronic-resource-num&gt;10.11604/pamj.2021.38.230.27325&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(5)</w:t>
      </w:r>
      <w:r w:rsidR="0094242C">
        <w:rPr>
          <w:rFonts w:ascii="Times New Roman" w:hAnsi="Times New Roman" w:cs="Times New Roman"/>
          <w:sz w:val="24"/>
          <w:szCs w:val="24"/>
        </w:rPr>
        <w:fldChar w:fldCharType="end"/>
      </w:r>
      <w:r w:rsidRPr="007969FB">
        <w:rPr>
          <w:rFonts w:ascii="Times New Roman" w:hAnsi="Times New Roman" w:cs="Times New Roman"/>
          <w:sz w:val="24"/>
          <w:szCs w:val="24"/>
        </w:rPr>
        <w:t xml:space="preserve">. If antibiotics aren't dependable, these treatments become riskier and may not work because of infections that can't be treated. Also, there aren't many new antibiotics coming out, which is really worrying. In the last few decades, pharmaceutical companies have mostly </w:t>
      </w:r>
      <w:r w:rsidRPr="007969FB">
        <w:rPr>
          <w:rFonts w:ascii="Times New Roman" w:hAnsi="Times New Roman" w:cs="Times New Roman"/>
          <w:sz w:val="24"/>
          <w:szCs w:val="24"/>
        </w:rPr>
        <w:lastRenderedPageBreak/>
        <w:t>stopped making antibiotics because they aren't very profitable and there are a lot of rules to follow. This has created a gap in new antimicrobial medication research</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&lt;EndNote&gt;&lt;Cite&gt;&lt;Author&gt;Adebisi&lt;/Author&gt;&lt;Year&gt;2020&lt;/Year&gt;&lt;RecNum&gt;25450&lt;/RecNum&gt;&lt;DisplayText&gt;(6)&lt;/DisplayText&gt;&lt;record&gt;&lt;rec-number&gt;25450&lt;/rec-number&gt;&lt;foreign-keys&gt;&lt;key app="EN" db-id="vsw9aww2f0sf9petez35wtev9xx99ap2ss5z" timestamp="1752043536"&gt;25450&lt;/key&gt;&lt;/foreign-keys&gt;&lt;ref-type name="Journal Article"&gt;17&lt;/ref-type&gt;&lt;contributors&gt;&lt;authors&gt;&lt;author&gt;Adebisi, Y. A.&lt;/author&gt;&lt;author&gt;Ekpenyong, A.&lt;/author&gt;&lt;author&gt;Ntacyabukura, B.&lt;/author&gt;&lt;author&gt;Lowe, M.&lt;/author&gt;&lt;author&gt;Jimoh, N. D.&lt;/author&gt;&lt;author&gt;Abdulkareem, T. O.&lt;/author&gt;&lt;author&gt;Lucero-Prisno, D. E.&lt;/author&gt;&lt;/authors&gt;&lt;/contributors&gt;&lt;titles&gt;&lt;title&gt;COVID-19 highlights the need for inclusive responses to public health emergencies in Africa [published online ahead of print, 2020 Dec 15]&lt;/title&gt;&lt;secondary-title&gt;Am J Trop Med Hyg&lt;/secondary-title&gt;&lt;/titles&gt;&lt;periodical&gt;&lt;full-title&gt;Am J Trop Med Hyg&lt;/full-title&gt;&lt;abbr-1&gt;The American journal of tropical medicine and hygiene&lt;/abbr-1&gt;&lt;/periodical&gt;&lt;volume&gt;104&lt;/volume&gt;&lt;dates&gt;&lt;year&gt;2020&lt;/year&gt;&lt;pub-dates&gt;&lt;date&gt;2020//&lt;/date&gt;&lt;/pub-dates&gt;&lt;/dates&gt;&lt;urls&gt;&lt;related-urls&gt;&lt;url&gt;https://doi.org/10.4269/ajtmh.20-1485&lt;/url&gt;&lt;/related-urls&gt;&lt;/urls&gt;&lt;electronic-resource-num&gt;10.4269/ajtmh.20-1485&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(6)</w:t>
      </w:r>
      <w:r w:rsidR="0094242C">
        <w:rPr>
          <w:rFonts w:ascii="Times New Roman" w:hAnsi="Times New Roman" w:cs="Times New Roman"/>
          <w:sz w:val="24"/>
          <w:szCs w:val="24"/>
        </w:rPr>
        <w:fldChar w:fldCharType="end"/>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Differences in healthcare systems and antibiotic rules make the global issue of AMR even worse. Antibiotics are available without a prescription in many low- and middle-income countries (LMICs), and there aren't many diagnostic tools that can help doctors make smart decisions about how to prescribe them. It is also easier for resistant infections to spread when there is not enough basic sanitation, infection control, or public knowledge. On the other hand, even in wealthy countries, doctors often prescribe too many drugs because patients ask for them or because they aren't sure what the disease is. This is a big part of the problem</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&lt;EndNote&gt;&lt;Cite&gt;&lt;Author&gt;Akande-Sholabi&lt;/Author&gt;&lt;Year&gt;2020&lt;/Year&gt;&lt;RecNum&gt;25427&lt;/RecNum&gt;&lt;DisplayText&gt;(7)&lt;/DisplayText&gt;&lt;record&gt;&lt;rec-number&gt;25427&lt;/rec-number&gt;&lt;foreign-keys&gt;&lt;key app="EN" db-id="vsw9aww2f0sf9petez35wtev9xx99ap2ss5z" timestamp="1752043535"&gt;25427&lt;/key&gt;&lt;/foreign-keys&gt;&lt;ref-type name="Journal Article"&gt;17&lt;/ref-type&gt;&lt;contributors&gt;&lt;authors&gt;&lt;author&gt;Akande-Sholabi, W.&lt;/author&gt;&lt;author&gt;Adebisi, Y. A.&lt;/author&gt;&lt;/authors&gt;&lt;/contributors&gt;&lt;titles&gt;&lt;title&gt;The impact of COVID-19 pandemic on medicine security in Africa: Nigeria as a case study&lt;/title&gt;&lt;secondary-title&gt;Pan Afr Med J&lt;/secondary-title&gt;&lt;/titles&gt;&lt;periodical&gt;&lt;full-title&gt;Pan Afr Med J&lt;/full-title&gt;&lt;/periodical&gt;&lt;volume&gt;35&lt;/volume&gt;&lt;dates&gt;&lt;year&gt;2020&lt;/year&gt;&lt;pub-dates&gt;&lt;date&gt;2020//&lt;/date&gt;&lt;/pub-dates&gt;&lt;/dates&gt;&lt;urls&gt;&lt;related-urls&gt;&lt;url&gt;https://doi.org/10.11604/pamj.supp.2020.35.2.23671&lt;/url&gt;&lt;/related-urls&gt;&lt;/urls&gt;&lt;electronic-resource-num&gt;10.11604/pamj.supp.2020.35.2.23671&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(7)</w:t>
      </w:r>
      <w:r w:rsidR="0094242C">
        <w:rPr>
          <w:rFonts w:ascii="Times New Roman" w:hAnsi="Times New Roman" w:cs="Times New Roman"/>
          <w:sz w:val="24"/>
          <w:szCs w:val="24"/>
        </w:rPr>
        <w:fldChar w:fldCharType="end"/>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AMR is not just a medical problem; it's also an ecological one from a "One Health" point of view. You can find resistant organisms and their genes in water bodies, soil, and the food chain. They often come from agricultural runoff, pharmaceutical waste, or sewage that hasn't been cleaned. One big way that resistance genes get into the human ecology is through the use of antibiotics to help livestock and poultry develop. Because of this, we need to take an interdisciplinary strategy to fighting AMR that includes human health, animal health, agriculture, and the environment</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&lt;EndNote&gt;&lt;Cite&gt;&lt;Author&gt;Akpan&lt;/Author&gt;&lt;Year&gt;2020&lt;/Year&gt;&lt;RecNum&gt;25449&lt;/RecNum&gt;&lt;DisplayText&gt;(8)&lt;/DisplayText&gt;&lt;record&gt;&lt;rec-number&gt;25449&lt;/rec-number&gt;&lt;foreign-keys&gt;&lt;key app="EN" db-id="vsw9aww2f0sf9petez35wtev9xx99ap2ss5z" timestamp="1752043536"&gt;25449&lt;/key&gt;&lt;/foreign-keys&gt;&lt;ref-type name="Journal Article"&gt;17&lt;/ref-type&gt;&lt;contributors&gt;&lt;authors&gt;&lt;author&gt;Akpan, M. R.&lt;/author&gt;&lt;author&gt;Isemin, N. U.&lt;/author&gt;&lt;author&gt;Udoh, A. E.&lt;/author&gt;&lt;author&gt;Ashiru-Oredope, D.&lt;/author&gt;&lt;/authors&gt;&lt;/contributors&gt;&lt;titles&gt;&lt;title&gt;Implementation of antimicrobial stewardship programmes in African countries: a systematic literature review&lt;/title&gt;&lt;secondary-title&gt;J Glob Antimicrob Resist&lt;/secondary-title&gt;&lt;/titles&gt;&lt;periodical&gt;&lt;full-title&gt;J Glob Antimicrob Resist&lt;/full-title&gt;&lt;/periodical&gt;&lt;volume&gt;22&lt;/volume&gt;&lt;dates&gt;&lt;year&gt;2020&lt;/year&gt;&lt;pub-dates&gt;&lt;date&gt;2020//&lt;/date&gt;&lt;/pub-dates&gt;&lt;/dates&gt;&lt;urls&gt;&lt;related-urls&gt;&lt;url&gt;https://doi.org/10.1016/j.jgar.2020.03.009&lt;/url&gt;&lt;/related-urls&gt;&lt;/urls&gt;&lt;electronic-resource-num&gt;10.1016/j.jgar.2020.03.009&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(8)</w:t>
      </w:r>
      <w:r w:rsidR="0094242C">
        <w:rPr>
          <w:rFonts w:ascii="Times New Roman" w:hAnsi="Times New Roman" w:cs="Times New Roman"/>
          <w:sz w:val="24"/>
          <w:szCs w:val="24"/>
        </w:rPr>
        <w:fldChar w:fldCharType="end"/>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 xml:space="preserve">In the last few years, there has been more work to stop AMR. In 2015, the World Health </w:t>
      </w:r>
      <w:proofErr w:type="spellStart"/>
      <w:r w:rsidR="00D005EC" w:rsidRPr="007969FB">
        <w:rPr>
          <w:rFonts w:ascii="Times New Roman" w:hAnsi="Times New Roman" w:cs="Times New Roman"/>
          <w:sz w:val="24"/>
          <w:szCs w:val="24"/>
        </w:rPr>
        <w:t>Organi</w:t>
      </w:r>
      <w:r w:rsidR="00D005EC">
        <w:rPr>
          <w:rFonts w:ascii="Times New Roman" w:hAnsi="Times New Roman" w:cs="Times New Roman"/>
          <w:sz w:val="24"/>
          <w:szCs w:val="24"/>
        </w:rPr>
        <w:t>s</w:t>
      </w:r>
      <w:r w:rsidR="00D005EC" w:rsidRPr="007969FB">
        <w:rPr>
          <w:rFonts w:ascii="Times New Roman" w:hAnsi="Times New Roman" w:cs="Times New Roman"/>
          <w:sz w:val="24"/>
          <w:szCs w:val="24"/>
        </w:rPr>
        <w:t>ation</w:t>
      </w:r>
      <w:proofErr w:type="spellEnd"/>
      <w:r w:rsidR="00D005EC" w:rsidRPr="007969FB">
        <w:rPr>
          <w:rFonts w:ascii="Times New Roman" w:hAnsi="Times New Roman" w:cs="Times New Roman"/>
          <w:sz w:val="24"/>
          <w:szCs w:val="24"/>
        </w:rPr>
        <w:t xml:space="preserve"> </w:t>
      </w:r>
      <w:r w:rsidRPr="007969FB">
        <w:rPr>
          <w:rFonts w:ascii="Times New Roman" w:hAnsi="Times New Roman" w:cs="Times New Roman"/>
          <w:sz w:val="24"/>
          <w:szCs w:val="24"/>
        </w:rPr>
        <w:t xml:space="preserve">(WHO), the Food and Agriculture </w:t>
      </w:r>
      <w:proofErr w:type="spellStart"/>
      <w:r w:rsidR="00D005EC" w:rsidRPr="007969FB">
        <w:rPr>
          <w:rFonts w:ascii="Times New Roman" w:hAnsi="Times New Roman" w:cs="Times New Roman"/>
          <w:sz w:val="24"/>
          <w:szCs w:val="24"/>
        </w:rPr>
        <w:t>Organi</w:t>
      </w:r>
      <w:r w:rsidR="00D005EC">
        <w:rPr>
          <w:rFonts w:ascii="Times New Roman" w:hAnsi="Times New Roman" w:cs="Times New Roman"/>
          <w:sz w:val="24"/>
          <w:szCs w:val="24"/>
        </w:rPr>
        <w:t>s</w:t>
      </w:r>
      <w:r w:rsidR="00D005EC" w:rsidRPr="007969FB">
        <w:rPr>
          <w:rFonts w:ascii="Times New Roman" w:hAnsi="Times New Roman" w:cs="Times New Roman"/>
          <w:sz w:val="24"/>
          <w:szCs w:val="24"/>
        </w:rPr>
        <w:t>ation</w:t>
      </w:r>
      <w:proofErr w:type="spellEnd"/>
      <w:r w:rsidR="00D005EC" w:rsidRPr="007969FB">
        <w:rPr>
          <w:rFonts w:ascii="Times New Roman" w:hAnsi="Times New Roman" w:cs="Times New Roman"/>
          <w:sz w:val="24"/>
          <w:szCs w:val="24"/>
        </w:rPr>
        <w:t xml:space="preserve"> </w:t>
      </w:r>
      <w:r w:rsidRPr="007969FB">
        <w:rPr>
          <w:rFonts w:ascii="Times New Roman" w:hAnsi="Times New Roman" w:cs="Times New Roman"/>
          <w:sz w:val="24"/>
          <w:szCs w:val="24"/>
        </w:rPr>
        <w:t xml:space="preserve">(FAO), and the World </w:t>
      </w:r>
      <w:proofErr w:type="spellStart"/>
      <w:r w:rsidRPr="007969FB">
        <w:rPr>
          <w:rFonts w:ascii="Times New Roman" w:hAnsi="Times New Roman" w:cs="Times New Roman"/>
          <w:sz w:val="24"/>
          <w:szCs w:val="24"/>
        </w:rPr>
        <w:t>Organisation</w:t>
      </w:r>
      <w:proofErr w:type="spellEnd"/>
      <w:r w:rsidRPr="007969FB">
        <w:rPr>
          <w:rFonts w:ascii="Times New Roman" w:hAnsi="Times New Roman" w:cs="Times New Roman"/>
          <w:sz w:val="24"/>
          <w:szCs w:val="24"/>
        </w:rPr>
        <w:t xml:space="preserve"> for Animal Health (WOAH) worked together to create the Global Action Plan on AMR. This framework demands better infection prevention, better surveillance, more knowledge, better use of antimicrobials, and long-term funding for research and development. But these techniques are not being used evenly in all parts of the world, and the reaction is often not well-coordinated and not well-funded</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&lt;EndNote&gt;&lt;Cite&gt;&lt;Author&gt;Beović&lt;/Author&gt;&lt;Year&gt;2020&lt;/Year&gt;&lt;RecNum&gt;25435&lt;/RecNum&gt;&lt;DisplayText&gt;(9)&lt;/DisplayText&gt;&lt;record&gt;&lt;rec-number&gt;25435&lt;/rec-number&gt;&lt;foreign-keys&gt;&lt;key app="EN" db-id="vsw9aww2f0sf9petez35wtev9xx99ap2ss5z" timestamp="1752043535"&gt;25435&lt;/key&gt;&lt;/foreign-keys&gt;&lt;ref-type name="Journal Article"&gt;17&lt;/ref-type&gt;&lt;contributors&gt;&lt;authors&gt;&lt;author&gt;Beović, B.&lt;/author&gt;&lt;author&gt;Doušak, M.&lt;/author&gt;&lt;author&gt;Ferreira-Coimbra, J.&lt;/author&gt;&lt;author&gt;Nadrah, K.&lt;/author&gt;&lt;author&gt;Rubulotta, F.&lt;/author&gt;&lt;author&gt;Belliato, M.&lt;/author&gt;&lt;author&gt;Berger-Estilita, J.&lt;/author&gt;&lt;author&gt;Ayoade, F.&lt;/author&gt;&lt;author&gt;Rello, J.&lt;/author&gt;&lt;author&gt;Erdem, H.&lt;/author&gt;&lt;/authors&gt;&lt;/contributors&gt;&lt;titles&gt;&lt;title&gt;Antibiotic use in patients with COVID-19: a ‘snapshot’ infectious diseases International Research Initiative (ID-IRI) survey&lt;/title&gt;&lt;secondary-title&gt;J Antimicrob Chemother&lt;/secondary-title&gt;&lt;/titles&gt;&lt;periodical&gt;&lt;full-title&gt;J Antimicrob Chemother&lt;/full-title&gt;&lt;/periodical&gt;&lt;volume&gt;75&lt;/volume&gt;&lt;dates&gt;&lt;year&gt;2020&lt;/year&gt;&lt;pub-dates&gt;&lt;date&gt;2020//&lt;/date&gt;&lt;/pub-dates&gt;&lt;/dates&gt;&lt;urls&gt;&lt;related-urls&gt;&lt;url&gt;https://doi.org/10.1093/jac/dkaa326&lt;/url&gt;&lt;/related-urls&gt;&lt;/urls&gt;&lt;electronic-resource-num&gt;10.1093/jac/dkaa326&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(9)</w:t>
      </w:r>
      <w:r w:rsidR="0094242C">
        <w:rPr>
          <w:rFonts w:ascii="Times New Roman" w:hAnsi="Times New Roman" w:cs="Times New Roman"/>
          <w:sz w:val="24"/>
          <w:szCs w:val="24"/>
        </w:rPr>
        <w:fldChar w:fldCharType="end"/>
      </w:r>
      <w:r w:rsidR="000D7F5F">
        <w:rPr>
          <w:rFonts w:ascii="Times New Roman" w:hAnsi="Times New Roman" w:cs="Times New Roman"/>
          <w:sz w:val="24"/>
          <w:szCs w:val="24"/>
        </w:rPr>
        <w:t xml:space="preserve">. </w:t>
      </w:r>
      <w:r w:rsidRPr="007969FB">
        <w:rPr>
          <w:rFonts w:ascii="Times New Roman" w:hAnsi="Times New Roman" w:cs="Times New Roman"/>
          <w:sz w:val="24"/>
          <w:szCs w:val="24"/>
        </w:rPr>
        <w:t>The AMR situation has gotten much more difficult because of COVID-19. The pandemic made people more aware of infectious diseases, but it also led to a lot more people using antibiotics to treat or prevent subsequent bacterial infections in COVID-19 patients, which was frequently not the right thing to do. COVID-19 has rendered hospitals so busy that they may have stopped doing their best to control the use of antibiotics. Also, supply chain problems have made it harder to get important drugs. The pandemic has shown how important it is to have strong healthcare systems, quick tests, and worldwide surveillance that work together. These are all just as important in the fight against AMR</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r>
      <w:r w:rsidR="000D7F5F">
        <w:rPr>
          <w:rFonts w:ascii="Times New Roman" w:hAnsi="Times New Roman" w:cs="Times New Roman"/>
          <w:sz w:val="24"/>
          <w:szCs w:val="24"/>
        </w:rPr>
        <w:instrText xml:space="preserve"> ADDIN EN.CITE &lt;EndNote&gt;&lt;Cite&gt;&lt;Author&gt;Chedid&lt;/Author&gt;&lt;Year&gt;2021&lt;/Year&gt;&lt;RecNum&gt;25438&lt;/RecNum&gt;&lt;DisplayText&gt;(10, 11)&lt;/DisplayText&gt;&lt;record&gt;&lt;rec-number&gt;25438&lt;/rec-number&gt;&lt;foreign-keys&gt;&lt;key app="EN" db-id="vsw9aww2f0sf9petez35wtev9xx99ap2ss5z" timestamp="1752043535"&gt;25438&lt;/key&gt;&lt;/foreign-keys&gt;&lt;ref-type name="Journal Article"&gt;17&lt;/ref-type&gt;&lt;contributors&gt;&lt;authors&gt;&lt;author&gt;Chedid, M.&lt;/author&gt;&lt;author&gt;Waked, R.&lt;/author&gt;&lt;author&gt;Haddad, E.&lt;/author&gt;&lt;author&gt;Chetata, N.&lt;/author&gt;&lt;author&gt;Saliba, G.&lt;/author&gt;&lt;author&gt;Choucair, J.&lt;/author&gt;&lt;/authors&gt;&lt;/contributors&gt;&lt;titles&gt;&lt;title&gt;Antibiotics in treatment of COVID-19 complications: a review of frequency, indications, and efficacy&lt;/title&gt;&lt;secondary-title&gt;J Infect Public Health&lt;/secondary-title&gt;&lt;/titles&gt;&lt;periodical&gt;&lt;full-title&gt;J Infect Public Health&lt;/full-title&gt;&lt;/periodical&gt;&lt;volume&gt;14&lt;/volume&gt;&lt;dates&gt;&lt;year&gt;2021&lt;/year&gt;&lt;pub-dates&gt;&lt;date&gt;2021//&lt;/date&gt;&lt;/pub-dates&gt;&lt;/dates&gt;&lt;urls&gt;&lt;related-urls&gt;&lt;url&gt;https://doi.org/10.1016/j.jiph.2021.02.001&lt;/url&gt;&lt;/related-urls&gt;&lt;/urls&gt;&lt;electronic-resource-num&gt;10.1016/j.jiph.2021.02.001&lt;/electronic-resource-num&gt;&lt;/record&gt;&lt;/Cite&gt;&lt;Cite&gt;&lt;Author&gt;Contou&lt;/Author&gt;&lt;Year&gt;2020&lt;/Year&gt;&lt;RecNum&gt;25437&lt;/RecNum&gt;&lt;record&gt;&lt;rec-number&gt;25437&lt;/rec-number&gt;&lt;foreign-keys&gt;&lt;key app="EN" db-id="vsw9aww2f0sf9petez35wtev9xx99ap2ss5z" timestamp="1752043535"&gt;25437&lt;/key&gt;&lt;/foreign-keys&gt;&lt;ref-type name="Journal Article"&gt;17&lt;/ref-type&gt;&lt;contributors&gt;&lt;authors&gt;&lt;author&gt;Contou, D.&lt;/author&gt;&lt;author&gt;Claudinon, A.&lt;/author&gt;&lt;author&gt;Pajot, O.&lt;/author&gt;&lt;/authors&gt;&lt;/contributors&gt;&lt;titles&gt;&lt;title&gt;Bacterial and viral co-infections in patients with severe SARS-CoV-2 pneumonia admitted to a French ICU&lt;/title&gt;&lt;secondary-title&gt;Ann Intensive Care&lt;/secondary-title&gt;&lt;/titles&gt;&lt;periodical&gt;&lt;full-title&gt;Ann Intensive Care&lt;/full-title&gt;&lt;/periodical&gt;&lt;volume&gt;10&lt;/volume&gt;&lt;dates&gt;&lt;year&gt;2020&lt;/year&gt;&lt;pub-dates&gt;&lt;date&gt;2020//&lt;/date&gt;&lt;/pub-dates&gt;&lt;/dates&gt;&lt;urls&gt;&lt;related-urls&gt;&lt;url&gt;https://doi.org/10.1186/s13613-020-00736-x&lt;/url&gt;&lt;/related-urls&gt;&lt;/urls&gt;&lt;electronic-resource-num&gt;10.1186/s13613-020-00736-x&lt;/electronic-resource-num&gt;&lt;/record&gt;&lt;/Cite&gt;&lt;/EndNote&gt;</w:instrText>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(10, 11)</w:t>
      </w:r>
      <w:r w:rsidR="0094242C">
        <w:rPr>
          <w:rFonts w:ascii="Times New Roman" w:hAnsi="Times New Roman" w:cs="Times New Roman"/>
          <w:sz w:val="24"/>
          <w:szCs w:val="24"/>
        </w:rPr>
        <w:fldChar w:fldCharType="end"/>
      </w:r>
      <w:r w:rsidRPr="007969FB">
        <w:rPr>
          <w:rFonts w:ascii="Times New Roman" w:hAnsi="Times New Roman" w:cs="Times New Roman"/>
          <w:sz w:val="24"/>
          <w:szCs w:val="24"/>
        </w:rPr>
        <w:t>.</w:t>
      </w:r>
    </w:p>
    <w:p w14:paraId="2AE24312" w14:textId="77777777" w:rsidR="007969FB" w:rsidRPr="007969FB" w:rsidRDefault="007969FB" w:rsidP="007969FB">
      <w:pPr>
        <w:spacing w:line="360" w:lineRule="auto"/>
        <w:jc w:val="both"/>
        <w:rPr>
          <w:rFonts w:ascii="Times New Roman" w:hAnsi="Times New Roman" w:cs="Times New Roman"/>
          <w:sz w:val="24"/>
          <w:szCs w:val="24"/>
        </w:rPr>
      </w:pPr>
      <w:r w:rsidRPr="007969FB">
        <w:rPr>
          <w:rFonts w:ascii="Times New Roman" w:hAnsi="Times New Roman" w:cs="Times New Roman"/>
          <w:sz w:val="24"/>
          <w:szCs w:val="24"/>
        </w:rPr>
        <w:t xml:space="preserve">In this light, the purpose of this review is to give a full picture of the global AMR dilemma. We look at the molecular mechanisms that cause resistance, how it affects different diseases and </w:t>
      </w:r>
      <w:r w:rsidRPr="007969FB">
        <w:rPr>
          <w:rFonts w:ascii="Times New Roman" w:hAnsi="Times New Roman" w:cs="Times New Roman"/>
          <w:sz w:val="24"/>
          <w:szCs w:val="24"/>
        </w:rPr>
        <w:lastRenderedPageBreak/>
        <w:t>locations, and how well current surveillance and stewardship initiatives are working. The review also looks at what has to be done in the future with diagnostics, treatments, and policy changes to stop the terrible effects of resistance that isn't controlled. We hope that by putting together the most recent information, we can inform stakeholders and get them to take action toward long-term, successful solutions for fighting AMR, the silent pandemic that threatens the entire foundation of modern medicine.</w:t>
      </w:r>
    </w:p>
    <w:p w14:paraId="4533C3C3" w14:textId="77777777" w:rsidR="007969FB" w:rsidRDefault="007969FB" w:rsidP="007969FB">
      <w:pPr>
        <w:pStyle w:val="ListParagraph"/>
        <w:numPr>
          <w:ilvl w:val="0"/>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32"/>
          <w:szCs w:val="32"/>
        </w:rPr>
        <w:t>Methodology:</w:t>
      </w:r>
    </w:p>
    <w:p w14:paraId="6DE9DF7C" w14:textId="77777777" w:rsidR="007969FB" w:rsidRPr="007969FB" w:rsidRDefault="007969FB" w:rsidP="007969FB">
      <w:pPr>
        <w:pStyle w:val="ListParagraph"/>
        <w:numPr>
          <w:ilvl w:val="1"/>
          <w:numId w:val="2"/>
        </w:numPr>
        <w:spacing w:line="360" w:lineRule="auto"/>
        <w:jc w:val="both"/>
        <w:rPr>
          <w:rFonts w:ascii="Times New Roman" w:hAnsi="Times New Roman" w:cs="Times New Roman"/>
          <w:b/>
          <w:sz w:val="32"/>
          <w:szCs w:val="32"/>
        </w:rPr>
      </w:pPr>
      <w:r w:rsidRPr="007969FB">
        <w:rPr>
          <w:rFonts w:ascii="Times New Roman" w:hAnsi="Times New Roman" w:cs="Times New Roman"/>
          <w:b/>
          <w:sz w:val="28"/>
          <w:szCs w:val="28"/>
        </w:rPr>
        <w:t>Literature Survey:</w:t>
      </w:r>
    </w:p>
    <w:p w14:paraId="402F9B79" w14:textId="0C3DBA5E" w:rsidR="007969FB" w:rsidRPr="007969FB" w:rsidRDefault="007969FB" w:rsidP="007969FB">
      <w:pPr>
        <w:spacing w:line="360" w:lineRule="auto"/>
        <w:jc w:val="both"/>
        <w:rPr>
          <w:rFonts w:ascii="Times New Roman" w:hAnsi="Times New Roman" w:cs="Times New Roman"/>
          <w:sz w:val="24"/>
          <w:szCs w:val="24"/>
        </w:rPr>
      </w:pPr>
      <w:r>
        <w:rPr>
          <w:rFonts w:ascii="Times New Roman" w:hAnsi="Times New Roman" w:cs="Times New Roman"/>
          <w:sz w:val="24"/>
          <w:szCs w:val="24"/>
        </w:rPr>
        <w:t>A s</w:t>
      </w:r>
      <w:r w:rsidRPr="007969FB">
        <w:rPr>
          <w:rFonts w:ascii="Times New Roman" w:hAnsi="Times New Roman" w:cs="Times New Roman"/>
          <w:sz w:val="24"/>
          <w:szCs w:val="24"/>
        </w:rPr>
        <w:t>ystematic literature search across several databases</w:t>
      </w:r>
      <w:r>
        <w:rPr>
          <w:rFonts w:ascii="Times New Roman" w:hAnsi="Times New Roman" w:cs="Times New Roman"/>
          <w:sz w:val="24"/>
          <w:szCs w:val="24"/>
        </w:rPr>
        <w:t xml:space="preserve"> was </w:t>
      </w:r>
      <w:r w:rsidRPr="00E97FE6">
        <w:rPr>
          <w:rFonts w:ascii="Times New Roman" w:hAnsi="Times New Roman" w:cs="Times New Roman"/>
          <w:sz w:val="24"/>
          <w:szCs w:val="24"/>
          <w:highlight w:val="yellow"/>
        </w:rPr>
        <w:t xml:space="preserve">conducted to </w:t>
      </w:r>
      <w:r w:rsidR="00D005EC" w:rsidRPr="00E97FE6">
        <w:rPr>
          <w:rFonts w:ascii="Times New Roman" w:hAnsi="Times New Roman" w:cs="Times New Roman"/>
          <w:sz w:val="24"/>
          <w:szCs w:val="24"/>
          <w:highlight w:val="yellow"/>
        </w:rPr>
        <w:t>en</w:t>
      </w:r>
      <w:r w:rsidRPr="00E97FE6">
        <w:rPr>
          <w:rFonts w:ascii="Times New Roman" w:hAnsi="Times New Roman" w:cs="Times New Roman"/>
          <w:sz w:val="24"/>
          <w:szCs w:val="24"/>
          <w:highlight w:val="yellow"/>
        </w:rPr>
        <w:t>sure to full</w:t>
      </w:r>
      <w:r w:rsidRPr="007969FB">
        <w:rPr>
          <w:rFonts w:ascii="Times New Roman" w:hAnsi="Times New Roman" w:cs="Times New Roman"/>
          <w:sz w:val="24"/>
          <w:szCs w:val="24"/>
        </w:rPr>
        <w:t xml:space="preserve"> and up-to-date grasp of the current state of antimicrobial resistance (AMR) around the world and the scientific debate around it.  The main databases that were used for this review were PubMed, Scopus, Web of Science, and Google Scholar.  The search period was confined to January 2010 to April 2025 in order to include current changes, new patterns of resistance, and sophisticated diagnostic and treatment methods</w:t>
      </w:r>
      <w:r w:rsidR="000D7F5F">
        <w:rPr>
          <w:rFonts w:ascii="Times New Roman" w:hAnsi="Times New Roman" w:cs="Times New Roman"/>
          <w:sz w:val="24"/>
          <w:szCs w:val="24"/>
        </w:rPr>
        <w:t xml:space="preserve"> </w:t>
      </w:r>
      <w:r w:rsidR="0094242C">
        <w:rPr>
          <w:rFonts w:ascii="Times New Roman" w:hAnsi="Times New Roman" w:cs="Times New Roman"/>
          <w:sz w:val="24"/>
          <w:szCs w:val="24"/>
        </w:rPr>
        <w:fldChar w:fldCharType="begin">
          <w:fldData xml:space="preserve">PEVuZE5vdGU+PENpdGU+PEF1dGhvcj5FY2hldmVycsOtYS1Fc25hbDwvQXV0aG9yPjxZZWFyPjIw
MjE8L1llYXI+PFJlY051bT4yNTQ0NzwvUmVjTnVtPjxEaXNwbGF5VGV4dD4oMTItMTYpPC9EaXNw
bGF5VGV4dD48cmVjb3JkPjxyZWMtbnVtYmVyPjI1NDQ3PC9yZWMtbnVtYmVyPjxmb3JlaWduLWtl
eXM+PGtleSBhcHA9IkVOIiBkYi1pZD0idnN3OWF3dzJmMHNmOXBldGV6MzV3dGV2OXh4OTlhcDJz
czV6IiB0aW1lc3RhbXA9IjE3NTIwNDM1MzYiPjI1NDQ3PC9rZXk+PC9mb3JlaWduLWtleXM+PHJl
Zi10eXBlIG5hbWU9IkpvdXJuYWwgQXJ0aWNsZSI+MTc8L3JlZi10eXBlPjxjb250cmlidXRvcnM+
PGF1dGhvcnM+PGF1dGhvcj5FY2hldmVycsOtYS1Fc25hbCwgRC48L2F1dGhvcj48YXV0aG9yPk1h
cnRpbi1PbnRpeXVlbG8sIEMuPC9hdXRob3I+PGF1dGhvcj5OYXZhcnJldGUtUm91Y28sIE0uIEUu
PC9hdXRob3I+PGF1dGhvcj5kZS1BbnRvbmlvIEN1c2PDsywgTS48L2F1dGhvcj48YXV0aG9yPkZl
cnLDoW5kZXosIE8uPC9hdXRob3I+PGF1dGhvcj5Ib3JjYWphZGEsIEouIFAuPC9hdXRob3I+PGF1
dGhvcj5HcmF1LCBTLjwvYXV0aG9yPjwvYXV0aG9ycz48L2NvbnRyaWJ1dG9ycz48dGl0bGVzPjx0
aXRsZT5Beml0aHJvbXljaW4gaW4gdGhlIHRyZWF0bWVudCBvZiBDT1ZJRC0xOTogYSByZXZpZXc8
L3RpdGxlPjxzZWNvbmRhcnktdGl0bGU+RXhwZXJ0IFJldiBBbnRpLUluZmVjdCBUaGVyPC9zZWNv
bmRhcnktdGl0bGU+PC90aXRsZXM+PHBlcmlvZGljYWw+PGZ1bGwtdGl0bGU+RXhwZXJ0IFJldiBB
bnRpLUluZmVjdCBUaGVyPC9mdWxsLXRpdGxlPjwvcGVyaW9kaWNhbD48dm9sdW1lPjE5PC92b2x1
bWU+PGRhdGVzPjx5ZWFyPjIwMjE8L3llYXI+PHB1Yi1kYXRlcz48ZGF0ZT4yMDIxLy88L2RhdGU+
PC9wdWItZGF0ZXM+PC9kYXRlcz48dXJscz48cmVsYXRlZC11cmxzPjx1cmw+aHR0cHM6Ly9kb2ku
b3JnLzEwLjEwODAvMTQ3ODcyMTAuMjAyMC4xODEzMDI0PC91cmw+PC9yZWxhdGVkLXVybHM+PC91
cmxzPjxlbGVjdHJvbmljLXJlc291cmNlLW51bT4xMC4xMDgwLzE0Nzg3MjEwLjIwMjAuMTgxMzAy
NDwvZWxlY3Ryb25pYy1yZXNvdXJjZS1udW0+PC9yZWNvcmQ+PC9DaXRlPjxDaXRlPjxBdXRob3I+
R2JpbmlnaWU8L0F1dGhvcj48WWVhcj4yMDIwPC9ZZWFyPjxSZWNOdW0+MjU0NDg8L1JlY051bT48
cmVjb3JkPjxyZWMtbnVtYmVyPjI1NDQ4PC9yZWMtbnVtYmVyPjxmb3JlaWduLWtleXM+PGtleSBh
cHA9IkVOIiBkYi1pZD0idnN3OWF3dzJmMHNmOXBldGV6MzV3dGV2OXh4OTlhcDJzczV6IiB0aW1l
c3RhbXA9IjE3NTIwNDM1MzYiPjI1NDQ4PC9rZXk+PC9mb3JlaWduLWtleXM+PHJlZi10eXBlIG5h
bWU9IkpvdXJuYWwgQXJ0aWNsZSI+MTc8L3JlZi10eXBlPjxjb250cmlidXRvcnM+PGF1dGhvcnM+
PGF1dGhvcj5HYmluaWdpZSwgSy48L2F1dGhvcj48YXV0aG9yPkZyaWUsIEsuPC9hdXRob3I+PC9h
dXRob3JzPjwvY29udHJpYnV0b3JzPjx0aXRsZXM+PHRpdGxlPlNob3VsZCBheml0aHJvbXljaW4g
YmUgdXNlZCB0byB0cmVhdCBDT1ZJRC0xOT8gQSByYXBpZCByZXZpZXc8L3RpdGxlPjxzZWNvbmRh
cnktdGl0bGU+QkpHUCBPcGVuPC9zZWNvbmRhcnktdGl0bGU+PC90aXRsZXM+PHBlcmlvZGljYWw+
PGZ1bGwtdGl0bGU+QkpHUCBPcGVuPC9mdWxsLXRpdGxlPjwvcGVyaW9kaWNhbD48dm9sdW1lPjQ8
L3ZvbHVtZT48ZGF0ZXM+PHllYXI+MjAyMDwveWVhcj48cHViLWRhdGVzPjxkYXRlPjIwMjAvLzwv
ZGF0ZT48L3B1Yi1kYXRlcz48L2RhdGVzPjx1cmxzPjxyZWxhdGVkLXVybHM+PHVybD5odHRwczov
L2RvaS5vcmcvMTAuMzM5OS9iamdwb3BlbjIwWDEwMTA5NDwvdXJsPjwvcmVsYXRlZC11cmxzPjwv
dXJscz48ZWxlY3Ryb25pYy1yZXNvdXJjZS1udW0+MTAuMzM5OS9iamdwb3BlbjIwWDEwMTA5NDwv
ZWxlY3Ryb25pYy1yZXNvdXJjZS1udW0+PC9yZWNvcmQ+PC9DaXRlPjxDaXRlPjxBdXRob3I+R2V0
YWh1bjwvQXV0aG9yPjxZZWFyPjIwMjA8L1llYXI+PFJlY051bT4yNTQ0MjwvUmVjTnVtPjxyZWNv
cmQ+PHJlYy1udW1iZXI+MjU0NDI8L3JlYy1udW1iZXI+PGZvcmVpZ24ta2V5cz48a2V5IGFwcD0i
RU4iIGRiLWlkPSJ2c3c5YXd3MmYwc2Y5cGV0ZXozNXd0ZXY5eHg5OWFwMnNzNXoiIHRpbWVzdGFt
cD0iMTc1MjA0MzUzNSI+MjU0NDI8L2tleT48L2ZvcmVpZ24ta2V5cz48cmVmLXR5cGUgbmFtZT0i
Sm91cm5hbCBBcnRpY2xlIj4xNzwvcmVmLXR5cGU+PGNvbnRyaWJ1dG9ycz48YXV0aG9ycz48YXV0
aG9yPkdldGFodW4sIEguPC9hdXRob3I+PGF1dGhvcj5TbWl0aCwgSS48L2F1dGhvcj48YXV0aG9y
PlRyaXZlZGksIEsuPC9hdXRob3I+PGF1dGhvcj5QYXVsaW4sIFMuPC9hdXRob3I+PGF1dGhvcj5C
YWxraHksIEguIEguPC9hdXRob3I+PC9hdXRob3JzPjwvY29udHJpYnV0b3JzPjx0aXRsZXM+PHRp
dGxlPlRhY2tsaW5nIGFudGltaWNyb2JpYWwgcmVzaXN0YW5jZSBpbiB0aGUgQ09WSUQtMTkgcGFu
ZGVtaWM8L3RpdGxlPjxzZWNvbmRhcnktdGl0bGU+QnVsbCBXb3JsZCBIZWFsdGggT3JnYW48L3Nl
Y29uZGFyeS10aXRsZT48L3RpdGxlcz48cGVyaW9kaWNhbD48ZnVsbC10aXRsZT5CdWxsIFdvcmxk
IEhlYWx0aCBPcmdhbjwvZnVsbC10aXRsZT48L3BlcmlvZGljYWw+PHZvbHVtZT45ODwvdm9sdW1l
PjxkYXRlcz48eWVhcj4yMDIwPC95ZWFyPjxwdWItZGF0ZXM+PGRhdGU+MjAyMC8vPC9kYXRlPjwv
cHViLWRhdGVzPjwvZGF0ZXM+PHVybHM+PHJlbGF0ZWQtdXJscz48dXJsPmh0dHBzOi8vZG9pLm9y
Zy8xMC4yNDcxL0JMVC4yMC4yNjg1NzM8L3VybD48L3JlbGF0ZWQtdXJscz48L3VybHM+PGVsZWN0
cm9uaWMtcmVzb3VyY2UtbnVtPjEwLjI0NzEvQkxULjIwLjI2ODU3MzwvZWxlY3Ryb25pYy1yZXNv
dXJjZS1udW0+PC9yZWNvcmQ+PC9DaXRlPjxDaXRlPjxBdXRob3I+R2luc2J1cmc8L0F1dGhvcj48
WWVhcj4yMDIwPC9ZZWFyPjxSZWNOdW0+MjU0NDM8L1JlY051bT48cmVjb3JkPjxyZWMtbnVtYmVy
PjI1NDQzPC9yZWMtbnVtYmVyPjxmb3JlaWduLWtleXM+PGtleSBhcHA9IkVOIiBkYi1pZD0idnN3
OWF3dzJmMHNmOXBldGV6MzV3dGV2OXh4OTlhcDJzczV6IiB0aW1lc3RhbXA9IjE3NTIwNDM1MzUi
PjI1NDQzPC9rZXk+PC9mb3JlaWduLWtleXM+PHJlZi10eXBlIG5hbWU9IkpvdXJuYWwgQXJ0aWNs
ZSI+MTc8L3JlZi10eXBlPjxjb250cmlidXRvcnM+PGF1dGhvcnM+PGF1dGhvcj5HaW5zYnVyZywg
QS4gUy48L2F1dGhvcj48YXV0aG9yPktsdWdtYW4sIEsuIFAuPC9hdXRob3I+PC9hdXRob3JzPjwv
Y29udHJpYnV0b3JzPjx0aXRsZXM+PHRpdGxlPkNPVklELTE5IHBuZXVtb25pYSBhbmQgdGhlIGFw
cHJvcHJpYXRlIHVzZSBvZiBhbnRpYmlvdGljczwvdGl0bGU+PHNlY29uZGFyeS10aXRsZT5MYW5j
ZXQgR2xvYiBIZWFsdGg8L3NlY29uZGFyeS10aXRsZT48L3RpdGxlcz48cGVyaW9kaWNhbD48ZnVs
bC10aXRsZT5MYW5jZXQgR2xvYiBIZWFsdGg8L2Z1bGwtdGl0bGU+PC9wZXJpb2RpY2FsPjx2b2x1
bWU+ODwvdm9sdW1lPjxkYXRlcz48eWVhcj4yMDIwPC95ZWFyPjxwdWItZGF0ZXM+PGRhdGU+MjAy
MC8vPC9kYXRlPjwvcHViLWRhdGVzPjwvZGF0ZXM+PHVybHM+PHJlbGF0ZWQtdXJscz48dXJsPmh0
dHBzOi8vZG9pLm9yZy8xMC4xMDE2L1MyMjE0LTEwOVgoMjApMzA0NDQtNzwvdXJsPjwvcmVsYXRl
ZC11cmxzPjwvdXJscz48ZWxlY3Ryb25pYy1yZXNvdXJjZS1udW0+MTAuMTAxNi9TMjIxNC0xMDlY
KDIwKTMwNDQ0LTc8L2VsZWN0cm9uaWMtcmVzb3VyY2UtbnVtPjwvcmVjb3JkPjwvQ2l0ZT48Q2l0
ZT48QXV0aG9yPkd5c2VsaW5jazwvQXV0aG9yPjxZZWFyPjIwMjE8L1llYXI+PFJlY051bT4yNTQ0
NTwvUmVjTnVtPjxyZWNvcmQ+PHJlYy1udW1iZXI+MjU0NDU8L3JlYy1udW1iZXI+PGZvcmVpZ24t
a2V5cz48a2V5IGFwcD0iRU4iIGRiLWlkPSJ2c3c5YXd3MmYwc2Y5cGV0ZXozNXd0ZXY5eHg5OWFw
MnNzNXoiIHRpbWVzdGFtcD0iMTc1MjA0MzUzNSI+MjU0NDU8L2tleT48L2ZvcmVpZ24ta2V5cz48
cmVmLXR5cGUgbmFtZT0iSm91cm5hbCBBcnRpY2xlIj4xNzwvcmVmLXR5cGU+PGNvbnRyaWJ1dG9y
cz48YXV0aG9ycz48YXV0aG9yPkd5c2VsaW5jaywgSS48L2F1dGhvcj48YXV0aG9yPkphbnNzZW5z
LCBXLjwvYXV0aG9yPjxhdXRob3I+VmVyaGFtbWUsIFAuPC9hdXRob3I+PGF1dGhvcj5Wb3MsIFIu
PC9hdXRob3I+PC9hdXRob3JzPjwvY29udHJpYnV0b3JzPjx0aXRsZXM+PHRpdGxlPlJhdGlvbmFs
ZSBmb3IgYXppdGhyb215Y2luIGluIENPVklELTE5OiBhbiBvdmVydmlldyBvZiBleGlzdGluZyBl
dmlkZW5jZTwvdGl0bGU+PHNlY29uZGFyeS10aXRsZT5CTUogT3BlbiBSZXNwaXIgUmVzPC9zZWNv
bmRhcnktdGl0bGU+PC90aXRsZXM+PHBlcmlvZGljYWw+PGZ1bGwtdGl0bGU+Qk1KIE9wZW4gUmVz
cGlyIFJlczwvZnVsbC10aXRsZT48L3BlcmlvZGljYWw+PHZvbHVtZT44PC92b2x1bWU+PGRhdGVz
Pjx5ZWFyPjIwMjE8L3llYXI+PHB1Yi1kYXRlcz48ZGF0ZT4yMDIxLy88L2RhdGU+PC9wdWItZGF0
ZXM+PC9kYXRlcz48dXJscz48cmVsYXRlZC11cmxzPjx1cmw+aHR0cHM6Ly9kb2kub3JnLzEwLjEx
MzYvYm1qcmVzcC0yMDIwLTAwMDgwNjwvdXJsPjwvcmVsYXRlZC11cmxzPjwvdXJscz48ZWxlY3Ry
b25pYy1yZXNvdXJjZS1udW0+MTAuMTEzNi9ibWpyZXNwLTIwMjAtMDAwODA2PC9lbGVjdHJvbmlj
LXJlc291cmNlLW51bT48L3JlY29yZD48L0NpdGU+PC9FbmROb3RlPgB=
</w:fldData>
        </w:fldChar>
      </w:r>
      <w:r w:rsidR="000D7F5F">
        <w:rPr>
          <w:rFonts w:ascii="Times New Roman" w:hAnsi="Times New Roman" w:cs="Times New Roman"/>
          <w:sz w:val="24"/>
          <w:szCs w:val="24"/>
        </w:rPr>
        <w:instrText xml:space="preserve"> ADDIN EN.CITE </w:instrText>
      </w:r>
      <w:r w:rsidR="0094242C">
        <w:rPr>
          <w:rFonts w:ascii="Times New Roman" w:hAnsi="Times New Roman" w:cs="Times New Roman"/>
          <w:sz w:val="24"/>
          <w:szCs w:val="24"/>
        </w:rPr>
        <w:fldChar w:fldCharType="begin">
          <w:fldData xml:space="preserve">PEVuZE5vdGU+PENpdGU+PEF1dGhvcj5FY2hldmVycsOtYS1Fc25hbDwvQXV0aG9yPjxZZWFyPjIw
MjE8L1llYXI+PFJlY051bT4yNTQ0NzwvUmVjTnVtPjxEaXNwbGF5VGV4dD4oMTItMTYpPC9EaXNw
bGF5VGV4dD48cmVjb3JkPjxyZWMtbnVtYmVyPjI1NDQ3PC9yZWMtbnVtYmVyPjxmb3JlaWduLWtl
eXM+PGtleSBhcHA9IkVOIiBkYi1pZD0idnN3OWF3dzJmMHNmOXBldGV6MzV3dGV2OXh4OTlhcDJz
czV6IiB0aW1lc3RhbXA9IjE3NTIwNDM1MzYiPjI1NDQ3PC9rZXk+PC9mb3JlaWduLWtleXM+PHJl
Zi10eXBlIG5hbWU9IkpvdXJuYWwgQXJ0aWNsZSI+MTc8L3JlZi10eXBlPjxjb250cmlidXRvcnM+
PGF1dGhvcnM+PGF1dGhvcj5FY2hldmVycsOtYS1Fc25hbCwgRC48L2F1dGhvcj48YXV0aG9yPk1h
cnRpbi1PbnRpeXVlbG8sIEMuPC9hdXRob3I+PGF1dGhvcj5OYXZhcnJldGUtUm91Y28sIE0uIEUu
PC9hdXRob3I+PGF1dGhvcj5kZS1BbnRvbmlvIEN1c2PDsywgTS48L2F1dGhvcj48YXV0aG9yPkZl
cnLDoW5kZXosIE8uPC9hdXRob3I+PGF1dGhvcj5Ib3JjYWphZGEsIEouIFAuPC9hdXRob3I+PGF1
dGhvcj5HcmF1LCBTLjwvYXV0aG9yPjwvYXV0aG9ycz48L2NvbnRyaWJ1dG9ycz48dGl0bGVzPjx0
aXRsZT5Beml0aHJvbXljaW4gaW4gdGhlIHRyZWF0bWVudCBvZiBDT1ZJRC0xOTogYSByZXZpZXc8
L3RpdGxlPjxzZWNvbmRhcnktdGl0bGU+RXhwZXJ0IFJldiBBbnRpLUluZmVjdCBUaGVyPC9zZWNv
bmRhcnktdGl0bGU+PC90aXRsZXM+PHBlcmlvZGljYWw+PGZ1bGwtdGl0bGU+RXhwZXJ0IFJldiBB
bnRpLUluZmVjdCBUaGVyPC9mdWxsLXRpdGxlPjwvcGVyaW9kaWNhbD48dm9sdW1lPjE5PC92b2x1
bWU+PGRhdGVzPjx5ZWFyPjIwMjE8L3llYXI+PHB1Yi1kYXRlcz48ZGF0ZT4yMDIxLy88L2RhdGU+
PC9wdWItZGF0ZXM+PC9kYXRlcz48dXJscz48cmVsYXRlZC11cmxzPjx1cmw+aHR0cHM6Ly9kb2ku
b3JnLzEwLjEwODAvMTQ3ODcyMTAuMjAyMC4xODEzMDI0PC91cmw+PC9yZWxhdGVkLXVybHM+PC91
cmxzPjxlbGVjdHJvbmljLXJlc291cmNlLW51bT4xMC4xMDgwLzE0Nzg3MjEwLjIwMjAuMTgxMzAy
NDwvZWxlY3Ryb25pYy1yZXNvdXJjZS1udW0+PC9yZWNvcmQ+PC9DaXRlPjxDaXRlPjxBdXRob3I+
R2JpbmlnaWU8L0F1dGhvcj48WWVhcj4yMDIwPC9ZZWFyPjxSZWNOdW0+MjU0NDg8L1JlY051bT48
cmVjb3JkPjxyZWMtbnVtYmVyPjI1NDQ4PC9yZWMtbnVtYmVyPjxmb3JlaWduLWtleXM+PGtleSBh
cHA9IkVOIiBkYi1pZD0idnN3OWF3dzJmMHNmOXBldGV6MzV3dGV2OXh4OTlhcDJzczV6IiB0aW1l
c3RhbXA9IjE3NTIwNDM1MzYiPjI1NDQ4PC9rZXk+PC9mb3JlaWduLWtleXM+PHJlZi10eXBlIG5h
bWU9IkpvdXJuYWwgQXJ0aWNsZSI+MTc8L3JlZi10eXBlPjxjb250cmlidXRvcnM+PGF1dGhvcnM+
PGF1dGhvcj5HYmluaWdpZSwgSy48L2F1dGhvcj48YXV0aG9yPkZyaWUsIEsuPC9hdXRob3I+PC9h
dXRob3JzPjwvY29udHJpYnV0b3JzPjx0aXRsZXM+PHRpdGxlPlNob3VsZCBheml0aHJvbXljaW4g
YmUgdXNlZCB0byB0cmVhdCBDT1ZJRC0xOT8gQSByYXBpZCByZXZpZXc8L3RpdGxlPjxzZWNvbmRh
cnktdGl0bGU+QkpHUCBPcGVuPC9zZWNvbmRhcnktdGl0bGU+PC90aXRsZXM+PHBlcmlvZGljYWw+
PGZ1bGwtdGl0bGU+QkpHUCBPcGVuPC9mdWxsLXRpdGxlPjwvcGVyaW9kaWNhbD48dm9sdW1lPjQ8
L3ZvbHVtZT48ZGF0ZXM+PHllYXI+MjAyMDwveWVhcj48cHViLWRhdGVzPjxkYXRlPjIwMjAvLzwv
ZGF0ZT48L3B1Yi1kYXRlcz48L2RhdGVzPjx1cmxzPjxyZWxhdGVkLXVybHM+PHVybD5odHRwczov
L2RvaS5vcmcvMTAuMzM5OS9iamdwb3BlbjIwWDEwMTA5NDwvdXJsPjwvcmVsYXRlZC11cmxzPjwv
dXJscz48ZWxlY3Ryb25pYy1yZXNvdXJjZS1udW0+MTAuMzM5OS9iamdwb3BlbjIwWDEwMTA5NDwv
ZWxlY3Ryb25pYy1yZXNvdXJjZS1udW0+PC9yZWNvcmQ+PC9DaXRlPjxDaXRlPjxBdXRob3I+R2V0
YWh1bjwvQXV0aG9yPjxZZWFyPjIwMjA8L1llYXI+PFJlY051bT4yNTQ0MjwvUmVjTnVtPjxyZWNv
cmQ+PHJlYy1udW1iZXI+MjU0NDI8L3JlYy1udW1iZXI+PGZvcmVpZ24ta2V5cz48a2V5IGFwcD0i
RU4iIGRiLWlkPSJ2c3c5YXd3MmYwc2Y5cGV0ZXozNXd0ZXY5eHg5OWFwMnNzNXoiIHRpbWVzdGFt
cD0iMTc1MjA0MzUzNSI+MjU0NDI8L2tleT48L2ZvcmVpZ24ta2V5cz48cmVmLXR5cGUgbmFtZT0i
Sm91cm5hbCBBcnRpY2xlIj4xNzwvcmVmLXR5cGU+PGNvbnRyaWJ1dG9ycz48YXV0aG9ycz48YXV0
aG9yPkdldGFodW4sIEguPC9hdXRob3I+PGF1dGhvcj5TbWl0aCwgSS48L2F1dGhvcj48YXV0aG9y
PlRyaXZlZGksIEsuPC9hdXRob3I+PGF1dGhvcj5QYXVsaW4sIFMuPC9hdXRob3I+PGF1dGhvcj5C
YWxraHksIEguIEguPC9hdXRob3I+PC9hdXRob3JzPjwvY29udHJpYnV0b3JzPjx0aXRsZXM+PHRp
dGxlPlRhY2tsaW5nIGFudGltaWNyb2JpYWwgcmVzaXN0YW5jZSBpbiB0aGUgQ09WSUQtMTkgcGFu
ZGVtaWM8L3RpdGxlPjxzZWNvbmRhcnktdGl0bGU+QnVsbCBXb3JsZCBIZWFsdGggT3JnYW48L3Nl
Y29uZGFyeS10aXRsZT48L3RpdGxlcz48cGVyaW9kaWNhbD48ZnVsbC10aXRsZT5CdWxsIFdvcmxk
IEhlYWx0aCBPcmdhbjwvZnVsbC10aXRsZT48L3BlcmlvZGljYWw+PHZvbHVtZT45ODwvdm9sdW1l
PjxkYXRlcz48eWVhcj4yMDIwPC95ZWFyPjxwdWItZGF0ZXM+PGRhdGU+MjAyMC8vPC9kYXRlPjwv
cHViLWRhdGVzPjwvZGF0ZXM+PHVybHM+PHJlbGF0ZWQtdXJscz48dXJsPmh0dHBzOi8vZG9pLm9y
Zy8xMC4yNDcxL0JMVC4yMC4yNjg1NzM8L3VybD48L3JlbGF0ZWQtdXJscz48L3VybHM+PGVsZWN0
cm9uaWMtcmVzb3VyY2UtbnVtPjEwLjI0NzEvQkxULjIwLjI2ODU3MzwvZWxlY3Ryb25pYy1yZXNv
dXJjZS1udW0+PC9yZWNvcmQ+PC9DaXRlPjxDaXRlPjxBdXRob3I+R2luc2J1cmc8L0F1dGhvcj48
WWVhcj4yMDIwPC9ZZWFyPjxSZWNOdW0+MjU0NDM8L1JlY051bT48cmVjb3JkPjxyZWMtbnVtYmVy
PjI1NDQzPC9yZWMtbnVtYmVyPjxmb3JlaWduLWtleXM+PGtleSBhcHA9IkVOIiBkYi1pZD0idnN3
OWF3dzJmMHNmOXBldGV6MzV3dGV2OXh4OTlhcDJzczV6IiB0aW1lc3RhbXA9IjE3NTIwNDM1MzUi
PjI1NDQzPC9rZXk+PC9mb3JlaWduLWtleXM+PHJlZi10eXBlIG5hbWU9IkpvdXJuYWwgQXJ0aWNs
ZSI+MTc8L3JlZi10eXBlPjxjb250cmlidXRvcnM+PGF1dGhvcnM+PGF1dGhvcj5HaW5zYnVyZywg
QS4gUy48L2F1dGhvcj48YXV0aG9yPktsdWdtYW4sIEsuIFAuPC9hdXRob3I+PC9hdXRob3JzPjwv
Y29udHJpYnV0b3JzPjx0aXRsZXM+PHRpdGxlPkNPVklELTE5IHBuZXVtb25pYSBhbmQgdGhlIGFw
cHJvcHJpYXRlIHVzZSBvZiBhbnRpYmlvdGljczwvdGl0bGU+PHNlY29uZGFyeS10aXRsZT5MYW5j
ZXQgR2xvYiBIZWFsdGg8L3NlY29uZGFyeS10aXRsZT48L3RpdGxlcz48cGVyaW9kaWNhbD48ZnVs
bC10aXRsZT5MYW5jZXQgR2xvYiBIZWFsdGg8L2Z1bGwtdGl0bGU+PC9wZXJpb2RpY2FsPjx2b2x1
bWU+ODwvdm9sdW1lPjxkYXRlcz48eWVhcj4yMDIwPC95ZWFyPjxwdWItZGF0ZXM+PGRhdGU+MjAy
MC8vPC9kYXRlPjwvcHViLWRhdGVzPjwvZGF0ZXM+PHVybHM+PHJlbGF0ZWQtdXJscz48dXJsPmh0
dHBzOi8vZG9pLm9yZy8xMC4xMDE2L1MyMjE0LTEwOVgoMjApMzA0NDQtNzwvdXJsPjwvcmVsYXRl
ZC11cmxzPjwvdXJscz48ZWxlY3Ryb25pYy1yZXNvdXJjZS1udW0+MTAuMTAxNi9TMjIxNC0xMDlY
KDIwKTMwNDQ0LTc8L2VsZWN0cm9uaWMtcmVzb3VyY2UtbnVtPjwvcmVjb3JkPjwvQ2l0ZT48Q2l0
ZT48QXV0aG9yPkd5c2VsaW5jazwvQXV0aG9yPjxZZWFyPjIwMjE8L1llYXI+PFJlY051bT4yNTQ0
NTwvUmVjTnVtPjxyZWNvcmQ+PHJlYy1udW1iZXI+MjU0NDU8L3JlYy1udW1iZXI+PGZvcmVpZ24t
a2V5cz48a2V5IGFwcD0iRU4iIGRiLWlkPSJ2c3c5YXd3MmYwc2Y5cGV0ZXozNXd0ZXY5eHg5OWFw
MnNzNXoiIHRpbWVzdGFtcD0iMTc1MjA0MzUzNSI+MjU0NDU8L2tleT48L2ZvcmVpZ24ta2V5cz48
cmVmLXR5cGUgbmFtZT0iSm91cm5hbCBBcnRpY2xlIj4xNzwvcmVmLXR5cGU+PGNvbnRyaWJ1dG9y
cz48YXV0aG9ycz48YXV0aG9yPkd5c2VsaW5jaywgSS48L2F1dGhvcj48YXV0aG9yPkphbnNzZW5z
LCBXLjwvYXV0aG9yPjxhdXRob3I+VmVyaGFtbWUsIFAuPC9hdXRob3I+PGF1dGhvcj5Wb3MsIFIu
PC9hdXRob3I+PC9hdXRob3JzPjwvY29udHJpYnV0b3JzPjx0aXRsZXM+PHRpdGxlPlJhdGlvbmFs
ZSBmb3IgYXppdGhyb215Y2luIGluIENPVklELTE5OiBhbiBvdmVydmlldyBvZiBleGlzdGluZyBl
dmlkZW5jZTwvdGl0bGU+PHNlY29uZGFyeS10aXRsZT5CTUogT3BlbiBSZXNwaXIgUmVzPC9zZWNv
bmRhcnktdGl0bGU+PC90aXRsZXM+PHBlcmlvZGljYWw+PGZ1bGwtdGl0bGU+Qk1KIE9wZW4gUmVz
cGlyIFJlczwvZnVsbC10aXRsZT48L3BlcmlvZGljYWw+PHZvbHVtZT44PC92b2x1bWU+PGRhdGVz
Pjx5ZWFyPjIwMjE8L3llYXI+PHB1Yi1kYXRlcz48ZGF0ZT4yMDIxLy88L2RhdGU+PC9wdWItZGF0
ZXM+PC9kYXRlcz48dXJscz48cmVsYXRlZC11cmxzPjx1cmw+aHR0cHM6Ly9kb2kub3JnLzEwLjEx
MzYvYm1qcmVzcC0yMDIwLTAwMDgwNjwvdXJsPjwvcmVsYXRlZC11cmxzPjwvdXJscz48ZWxlY3Ry
b25pYy1yZXNvdXJjZS1udW0+MTAuMTEzNi9ibWpyZXNwLTIwMjAtMDAwODA2PC9lbGVjdHJvbmlj
LXJlc291cmNlLW51bT48L3JlY29yZD48L0NpdGU+PC9FbmROb3RlPgB=
</w:fldData>
        </w:fldChar>
      </w:r>
      <w:r w:rsidR="000D7F5F">
        <w:rPr>
          <w:rFonts w:ascii="Times New Roman" w:hAnsi="Times New Roman" w:cs="Times New Roman"/>
          <w:sz w:val="24"/>
          <w:szCs w:val="24"/>
        </w:rPr>
        <w:instrText xml:space="preserve"> ADDIN EN.CITE.DATA </w:instrText>
      </w:r>
      <w:r w:rsidR="0094242C">
        <w:rPr>
          <w:rFonts w:ascii="Times New Roman" w:hAnsi="Times New Roman" w:cs="Times New Roman"/>
          <w:sz w:val="24"/>
          <w:szCs w:val="24"/>
        </w:rPr>
      </w:r>
      <w:r w:rsidR="0094242C">
        <w:rPr>
          <w:rFonts w:ascii="Times New Roman" w:hAnsi="Times New Roman" w:cs="Times New Roman"/>
          <w:sz w:val="24"/>
          <w:szCs w:val="24"/>
        </w:rPr>
        <w:fldChar w:fldCharType="end"/>
      </w:r>
      <w:r w:rsidR="0094242C">
        <w:rPr>
          <w:rFonts w:ascii="Times New Roman" w:hAnsi="Times New Roman" w:cs="Times New Roman"/>
          <w:sz w:val="24"/>
          <w:szCs w:val="24"/>
        </w:rPr>
      </w:r>
      <w:r w:rsidR="0094242C">
        <w:rPr>
          <w:rFonts w:ascii="Times New Roman" w:hAnsi="Times New Roman" w:cs="Times New Roman"/>
          <w:sz w:val="24"/>
          <w:szCs w:val="24"/>
        </w:rPr>
        <w:fldChar w:fldCharType="separate"/>
      </w:r>
      <w:r w:rsidR="000D7F5F">
        <w:rPr>
          <w:rFonts w:ascii="Times New Roman" w:hAnsi="Times New Roman" w:cs="Times New Roman"/>
          <w:noProof/>
          <w:sz w:val="24"/>
          <w:szCs w:val="24"/>
        </w:rPr>
        <w:t>(12-16)</w:t>
      </w:r>
      <w:r w:rsidR="0094242C">
        <w:rPr>
          <w:rFonts w:ascii="Times New Roman" w:hAnsi="Times New Roman" w:cs="Times New Roman"/>
          <w:sz w:val="24"/>
          <w:szCs w:val="24"/>
        </w:rPr>
        <w:fldChar w:fldCharType="end"/>
      </w:r>
      <w:r w:rsidRPr="007969FB">
        <w:rPr>
          <w:rFonts w:ascii="Times New Roman" w:hAnsi="Times New Roman" w:cs="Times New Roman"/>
          <w:sz w:val="24"/>
          <w:szCs w:val="24"/>
        </w:rPr>
        <w:t>.</w:t>
      </w:r>
    </w:p>
    <w:p w14:paraId="7D6C3B82" w14:textId="77777777" w:rsidR="007969FB" w:rsidRPr="007969FB" w:rsidRDefault="007969FB" w:rsidP="007969FB">
      <w:pPr>
        <w:pStyle w:val="ListParagraph"/>
        <w:numPr>
          <w:ilvl w:val="1"/>
          <w:numId w:val="2"/>
        </w:numPr>
        <w:spacing w:line="360" w:lineRule="auto"/>
        <w:jc w:val="both"/>
        <w:rPr>
          <w:rFonts w:ascii="Times New Roman" w:hAnsi="Times New Roman" w:cs="Times New Roman"/>
          <w:b/>
          <w:sz w:val="28"/>
          <w:szCs w:val="28"/>
        </w:rPr>
      </w:pPr>
      <w:r w:rsidRPr="007969FB">
        <w:rPr>
          <w:rFonts w:ascii="Times New Roman" w:hAnsi="Times New Roman" w:cs="Times New Roman"/>
          <w:b/>
          <w:sz w:val="28"/>
          <w:szCs w:val="28"/>
        </w:rPr>
        <w:t xml:space="preserve"> Search Strategy:</w:t>
      </w:r>
    </w:p>
    <w:p w14:paraId="3C33E02A" w14:textId="37235A6D" w:rsidR="007969FB" w:rsidRDefault="007969FB" w:rsidP="007969FB">
      <w:pPr>
        <w:spacing w:after="0" w:line="360" w:lineRule="auto"/>
        <w:jc w:val="both"/>
        <w:rPr>
          <w:rFonts w:ascii="Times New Roman" w:eastAsia="Times New Roman" w:hAnsi="Times New Roman" w:cs="Times New Roman"/>
          <w:sz w:val="24"/>
          <w:szCs w:val="24"/>
        </w:rPr>
      </w:pPr>
      <w:r w:rsidRPr="007969FB">
        <w:rPr>
          <w:rFonts w:ascii="Times New Roman" w:eastAsia="Times New Roman" w:hAnsi="Times New Roman" w:cs="Times New Roman"/>
          <w:sz w:val="24"/>
          <w:szCs w:val="24"/>
        </w:rPr>
        <w:t>A combination of Medical Subject Headings (</w:t>
      </w:r>
      <w:proofErr w:type="spellStart"/>
      <w:r w:rsidRPr="007969FB">
        <w:rPr>
          <w:rFonts w:ascii="Times New Roman" w:eastAsia="Times New Roman" w:hAnsi="Times New Roman" w:cs="Times New Roman"/>
          <w:sz w:val="24"/>
          <w:szCs w:val="24"/>
        </w:rPr>
        <w:t>MeSH</w:t>
      </w:r>
      <w:proofErr w:type="spellEnd"/>
      <w:r w:rsidRPr="007969FB">
        <w:rPr>
          <w:rFonts w:ascii="Times New Roman" w:eastAsia="Times New Roman" w:hAnsi="Times New Roman" w:cs="Times New Roman"/>
          <w:sz w:val="24"/>
          <w:szCs w:val="24"/>
        </w:rPr>
        <w:t xml:space="preserve">) and free-text </w:t>
      </w:r>
      <w:r w:rsidRPr="00E97FE6">
        <w:rPr>
          <w:rFonts w:ascii="Times New Roman" w:eastAsia="Times New Roman" w:hAnsi="Times New Roman" w:cs="Times New Roman"/>
          <w:sz w:val="24"/>
          <w:szCs w:val="24"/>
          <w:highlight w:val="yellow"/>
        </w:rPr>
        <w:t xml:space="preserve">keywords was </w:t>
      </w:r>
      <w:proofErr w:type="spellStart"/>
      <w:r w:rsidR="00D005EC" w:rsidRPr="00E97FE6">
        <w:rPr>
          <w:rFonts w:ascii="Times New Roman" w:eastAsia="Times New Roman" w:hAnsi="Times New Roman" w:cs="Times New Roman"/>
          <w:sz w:val="24"/>
          <w:szCs w:val="24"/>
          <w:highlight w:val="yellow"/>
        </w:rPr>
        <w:t>utili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to guarantee comprehensive retrieval of pertinent literature. Boolean operators (AND</w:t>
      </w:r>
      <w:r w:rsidRPr="007969FB">
        <w:rPr>
          <w:rFonts w:ascii="Times New Roman" w:eastAsia="Times New Roman" w:hAnsi="Times New Roman" w:cs="Times New Roman"/>
          <w:sz w:val="24"/>
          <w:szCs w:val="24"/>
        </w:rPr>
        <w:t>, OR) and truncation symbols were employed to enhance the search precision. The subsequent search string wa</w:t>
      </w:r>
      <w:r>
        <w:rPr>
          <w:rFonts w:ascii="Times New Roman" w:eastAsia="Times New Roman" w:hAnsi="Times New Roman" w:cs="Times New Roman"/>
          <w:sz w:val="24"/>
          <w:szCs w:val="24"/>
        </w:rPr>
        <w:t xml:space="preserve">s modified for each database: </w:t>
      </w:r>
      <w:r w:rsidRPr="007969FB">
        <w:rPr>
          <w:rFonts w:ascii="Times New Roman" w:eastAsia="Times New Roman" w:hAnsi="Times New Roman" w:cs="Times New Roman"/>
          <w:sz w:val="24"/>
          <w:szCs w:val="24"/>
        </w:rPr>
        <w:t>“antimicrobial resistance” OR “antibiotic resistance” OR “drug resistance”) AND (“AMR surveillance” OR “resistance genes” OR “multi-drug resistance” OR “MDR pathogens”) AND (“stewardship” OR “antibiotic misuse” OR “infection control” OR “novel antibiotics”) AND (“hospital-acquired infections” OR “comm</w:t>
      </w:r>
      <w:r>
        <w:rPr>
          <w:rFonts w:ascii="Times New Roman" w:eastAsia="Times New Roman" w:hAnsi="Times New Roman" w:cs="Times New Roman"/>
          <w:sz w:val="24"/>
          <w:szCs w:val="24"/>
        </w:rPr>
        <w:t xml:space="preserve">unity-acquired infections </w:t>
      </w:r>
      <w:r w:rsidRPr="007969FB">
        <w:rPr>
          <w:rFonts w:ascii="Times New Roman" w:eastAsia="Times New Roman" w:hAnsi="Times New Roman" w:cs="Times New Roman"/>
          <w:sz w:val="24"/>
          <w:szCs w:val="24"/>
        </w:rPr>
        <w:t>AND (“global burden” OR “epidemio</w:t>
      </w:r>
      <w:r>
        <w:rPr>
          <w:rFonts w:ascii="Times New Roman" w:eastAsia="Times New Roman" w:hAnsi="Times New Roman" w:cs="Times New Roman"/>
          <w:sz w:val="24"/>
          <w:szCs w:val="24"/>
        </w:rPr>
        <w:t>logy” OR “public health impact</w:t>
      </w:r>
      <w:r w:rsidR="00C109F8">
        <w:rPr>
          <w:rFonts w:ascii="Times New Roman" w:eastAsia="Times New Roman" w:hAnsi="Times New Roman" w:cs="Times New Roman"/>
          <w:sz w:val="24"/>
          <w:szCs w:val="24"/>
        </w:rPr>
        <w:t xml:space="preserve"> (1-61)</w:t>
      </w:r>
      <w:r>
        <w:rPr>
          <w:rFonts w:ascii="Times New Roman" w:eastAsia="Times New Roman" w:hAnsi="Times New Roman" w:cs="Times New Roman"/>
          <w:sz w:val="24"/>
          <w:szCs w:val="24"/>
        </w:rPr>
        <w:t xml:space="preserve">. </w:t>
      </w:r>
    </w:p>
    <w:p w14:paraId="2D2B8180" w14:textId="77777777" w:rsidR="00440FB4" w:rsidRPr="00440FB4" w:rsidRDefault="00440FB4" w:rsidP="00440FB4">
      <w:pPr>
        <w:spacing w:after="0" w:line="360" w:lineRule="auto"/>
        <w:jc w:val="both"/>
        <w:rPr>
          <w:rFonts w:ascii="Times New Roman" w:eastAsia="Times New Roman" w:hAnsi="Times New Roman" w:cs="Times New Roman"/>
          <w:sz w:val="24"/>
          <w:szCs w:val="24"/>
        </w:rPr>
      </w:pPr>
      <w:r w:rsidRPr="000D7F5F">
        <w:rPr>
          <w:rFonts w:ascii="Times New Roman" w:eastAsia="Times New Roman" w:hAnsi="Times New Roman" w:cs="Times New Roman"/>
          <w:b/>
          <w:sz w:val="24"/>
          <w:szCs w:val="24"/>
        </w:rPr>
        <w:t>Types of studies:</w:t>
      </w:r>
      <w:r w:rsidRPr="00440FB4">
        <w:rPr>
          <w:rFonts w:ascii="Times New Roman" w:eastAsia="Times New Roman" w:hAnsi="Times New Roman" w:cs="Times New Roman"/>
          <w:sz w:val="24"/>
          <w:szCs w:val="24"/>
        </w:rPr>
        <w:t xml:space="preserve"> original publications that have been peer-reviewed, reviews, meta-analyses, clinical guidelines, and global surveillance reports</w:t>
      </w:r>
    </w:p>
    <w:p w14:paraId="7913E7F5" w14:textId="071D85A8" w:rsidR="00440FB4" w:rsidRPr="00440FB4" w:rsidRDefault="00440FB4" w:rsidP="00440FB4">
      <w:pPr>
        <w:spacing w:after="0" w:line="360" w:lineRule="auto"/>
        <w:jc w:val="both"/>
        <w:rPr>
          <w:rFonts w:ascii="Times New Roman" w:eastAsia="Times New Roman" w:hAnsi="Times New Roman" w:cs="Times New Roman"/>
          <w:sz w:val="24"/>
          <w:szCs w:val="24"/>
        </w:rPr>
      </w:pPr>
      <w:r w:rsidRPr="000D7F5F">
        <w:rPr>
          <w:rFonts w:ascii="Times New Roman" w:eastAsia="Times New Roman" w:hAnsi="Times New Roman" w:cs="Times New Roman"/>
          <w:b/>
          <w:sz w:val="24"/>
          <w:szCs w:val="24"/>
        </w:rPr>
        <w:t>Species:</w:t>
      </w:r>
      <w:r w:rsidRPr="00440FB4">
        <w:rPr>
          <w:rFonts w:ascii="Times New Roman" w:eastAsia="Times New Roman" w:hAnsi="Times New Roman" w:cs="Times New Roman"/>
          <w:sz w:val="24"/>
          <w:szCs w:val="24"/>
        </w:rPr>
        <w:t xml:space="preserve"> mainly humans, however</w:t>
      </w:r>
      <w:r w:rsidR="00D005EC">
        <w:rPr>
          <w:rFonts w:ascii="Times New Roman" w:eastAsia="Times New Roman" w:hAnsi="Times New Roman" w:cs="Times New Roman"/>
          <w:sz w:val="24"/>
          <w:szCs w:val="24"/>
        </w:rPr>
        <w:t>,</w:t>
      </w:r>
      <w:r w:rsidRPr="00440FB4">
        <w:rPr>
          <w:rFonts w:ascii="Times New Roman" w:eastAsia="Times New Roman" w:hAnsi="Times New Roman" w:cs="Times New Roman"/>
          <w:sz w:val="24"/>
          <w:szCs w:val="24"/>
        </w:rPr>
        <w:t xml:space="preserve"> there are also research from veterinary and environmental sources.</w:t>
      </w:r>
    </w:p>
    <w:p w14:paraId="0BB6A7C1" w14:textId="77777777" w:rsidR="00440FB4" w:rsidRDefault="00440FB4" w:rsidP="00440FB4">
      <w:pPr>
        <w:spacing w:after="0" w:line="360" w:lineRule="auto"/>
        <w:jc w:val="both"/>
        <w:rPr>
          <w:rFonts w:ascii="Times New Roman" w:eastAsia="Times New Roman" w:hAnsi="Times New Roman" w:cs="Times New Roman"/>
          <w:sz w:val="24"/>
          <w:szCs w:val="24"/>
        </w:rPr>
      </w:pPr>
      <w:r w:rsidRPr="00440FB4">
        <w:rPr>
          <w:rFonts w:ascii="Times New Roman" w:eastAsia="Times New Roman" w:hAnsi="Times New Roman" w:cs="Times New Roman"/>
          <w:sz w:val="24"/>
          <w:szCs w:val="24"/>
        </w:rPr>
        <w:t xml:space="preserve"> </w:t>
      </w:r>
      <w:r w:rsidRPr="000D7F5F">
        <w:rPr>
          <w:rFonts w:ascii="Times New Roman" w:eastAsia="Times New Roman" w:hAnsi="Times New Roman" w:cs="Times New Roman"/>
          <w:b/>
          <w:sz w:val="24"/>
          <w:szCs w:val="24"/>
        </w:rPr>
        <w:t>Access Type:</w:t>
      </w:r>
      <w:r w:rsidRPr="00440FB4">
        <w:rPr>
          <w:rFonts w:ascii="Times New Roman" w:eastAsia="Times New Roman" w:hAnsi="Times New Roman" w:cs="Times New Roman"/>
          <w:sz w:val="24"/>
          <w:szCs w:val="24"/>
        </w:rPr>
        <w:t xml:space="preserve"> Open-access papers were preferred to make sure that everyone could see them and understand them.</w:t>
      </w:r>
    </w:p>
    <w:p w14:paraId="794E536D" w14:textId="77777777" w:rsidR="007969FB" w:rsidRDefault="007969FB" w:rsidP="007969FB">
      <w:pPr>
        <w:spacing w:line="360" w:lineRule="auto"/>
        <w:jc w:val="both"/>
        <w:rPr>
          <w:rFonts w:ascii="Times New Roman" w:hAnsi="Times New Roman" w:cs="Times New Roman"/>
          <w:sz w:val="24"/>
          <w:szCs w:val="24"/>
        </w:rPr>
      </w:pPr>
      <w:r w:rsidRPr="007969FB">
        <w:rPr>
          <w:rFonts w:ascii="Times New Roman" w:hAnsi="Times New Roman" w:cs="Times New Roman"/>
          <w:sz w:val="24"/>
          <w:szCs w:val="24"/>
        </w:rPr>
        <w:lastRenderedPageBreak/>
        <w:t>The search results were imported into the reference management software EndNote and Zotero. We eliminated redundant records. We examined the titles and abstracts for relevance, subsequently obtaining the complete texts of potentially eligible papers. The PRISMA criteria were employed to ensure that the screening process was transparent and replicable.</w:t>
      </w:r>
    </w:p>
    <w:p w14:paraId="4CE38544" w14:textId="77777777" w:rsidR="00FD256B" w:rsidRDefault="00FD256B" w:rsidP="00FD256B">
      <w:pPr>
        <w:keepNext/>
        <w:spacing w:line="360" w:lineRule="auto"/>
        <w:jc w:val="both"/>
      </w:pPr>
      <w:r>
        <w:rPr>
          <w:rFonts w:ascii="Times New Roman" w:hAnsi="Times New Roman" w:cs="Times New Roman"/>
          <w:noProof/>
          <w:sz w:val="24"/>
          <w:szCs w:val="24"/>
        </w:rPr>
        <w:drawing>
          <wp:inline distT="0" distB="0" distL="0" distR="0" wp14:anchorId="42C795F0" wp14:editId="7DD00342">
            <wp:extent cx="5943600" cy="5943600"/>
            <wp:effectExtent l="19050" t="0" r="0" b="0"/>
            <wp:docPr id="1" name="Picture 0" descr="prisma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ma flowchart.png"/>
                    <pic:cNvPicPr/>
                  </pic:nvPicPr>
                  <pic:blipFill>
                    <a:blip r:embed="rId8" cstate="print"/>
                    <a:stretch>
                      <a:fillRect/>
                    </a:stretch>
                  </pic:blipFill>
                  <pic:spPr>
                    <a:xfrm>
                      <a:off x="0" y="0"/>
                      <a:ext cx="5943600" cy="5943600"/>
                    </a:xfrm>
                    <a:prstGeom prst="rect">
                      <a:avLst/>
                    </a:prstGeom>
                  </pic:spPr>
                </pic:pic>
              </a:graphicData>
            </a:graphic>
          </wp:inline>
        </w:drawing>
      </w:r>
    </w:p>
    <w:p w14:paraId="4F7C6788" w14:textId="77777777" w:rsidR="00FD256B" w:rsidRPr="007969FB" w:rsidRDefault="00FD256B" w:rsidP="00FD256B">
      <w:pPr>
        <w:pStyle w:val="Caption"/>
        <w:jc w:val="both"/>
        <w:rPr>
          <w:rFonts w:ascii="Times New Roman" w:hAnsi="Times New Roman" w:cs="Times New Roman"/>
          <w:sz w:val="24"/>
          <w:szCs w:val="24"/>
        </w:rPr>
      </w:pPr>
      <w:r>
        <w:t xml:space="preserve">Figure </w:t>
      </w:r>
      <w:r w:rsidR="004E4128">
        <w:fldChar w:fldCharType="begin"/>
      </w:r>
      <w:r w:rsidR="004E4128">
        <w:instrText xml:space="preserve"> SEQ Figure \* ARABIC </w:instrText>
      </w:r>
      <w:r w:rsidR="004E4128">
        <w:fldChar w:fldCharType="separate"/>
      </w:r>
      <w:r w:rsidR="008D2017">
        <w:rPr>
          <w:noProof/>
        </w:rPr>
        <w:t>1</w:t>
      </w:r>
      <w:r w:rsidR="004E4128">
        <w:rPr>
          <w:noProof/>
        </w:rPr>
        <w:fldChar w:fldCharType="end"/>
      </w:r>
      <w:r>
        <w:t xml:space="preserve"> PRISMA Flowchart</w:t>
      </w:r>
      <w:r w:rsidR="00C109F8">
        <w:t xml:space="preserve"> (1-66)</w:t>
      </w:r>
    </w:p>
    <w:p w14:paraId="729CA079" w14:textId="77777777" w:rsidR="007969FB" w:rsidRPr="00FD256B" w:rsidRDefault="007969FB" w:rsidP="007969F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Inclusion and Exclusion Criteria:</w:t>
      </w:r>
    </w:p>
    <w:p w14:paraId="7DC53A83" w14:textId="598E027B" w:rsidR="00FD256B" w:rsidRPr="00FD256B" w:rsidRDefault="00FD256B" w:rsidP="00FD256B">
      <w:pPr>
        <w:spacing w:after="0" w:line="360" w:lineRule="auto"/>
        <w:jc w:val="both"/>
        <w:rPr>
          <w:rFonts w:ascii="Times New Roman" w:eastAsia="Times New Roman" w:hAnsi="Times New Roman" w:cs="Times New Roman"/>
          <w:sz w:val="24"/>
          <w:szCs w:val="24"/>
        </w:rPr>
      </w:pPr>
      <w:r w:rsidRPr="00FD256B">
        <w:rPr>
          <w:rFonts w:ascii="Times New Roman" w:eastAsia="Times New Roman" w:hAnsi="Times New Roman" w:cs="Times New Roman"/>
          <w:sz w:val="24"/>
          <w:szCs w:val="24"/>
        </w:rPr>
        <w:lastRenderedPageBreak/>
        <w:t>Prior to examining the literature, explicit criteria were established to determine the inclusions and exclusions for this review, ensuring its scientific integrity and relevance. Included were studies mostly focused on antibiotic resistance and its impact on human health. This encompasses research examining resistance patterns, genetic processes, surveillance methods, clinical effects, or policy modifications. Potentially included research encompassed many designs, including observational studies, meta-analyses, systematic reviews, surveillance reports, policy assessments, and experimental studies examining antimicrobial drugs or resistance determinants. We examined data from both hospitals and communities. We also examined publications focusing on resistance genes, infections exhibiting multi-treatment resistance, or interdisciplinary One Health perspectives that integrate human, animal, and environmental health to obtain a compre</w:t>
      </w:r>
      <w:r>
        <w:rPr>
          <w:rFonts w:ascii="Times New Roman" w:eastAsia="Times New Roman" w:hAnsi="Times New Roman" w:cs="Times New Roman"/>
          <w:sz w:val="24"/>
          <w:szCs w:val="24"/>
        </w:rPr>
        <w:t xml:space="preserve">hensive understanding of AMR.  </w:t>
      </w:r>
      <w:r w:rsidRPr="00FD256B">
        <w:rPr>
          <w:rFonts w:ascii="Times New Roman" w:eastAsia="Times New Roman" w:hAnsi="Times New Roman" w:cs="Times New Roman"/>
          <w:sz w:val="24"/>
          <w:szCs w:val="24"/>
        </w:rPr>
        <w:t xml:space="preserve">We exclusively examined research published in English to ensure accurate comprehension and analysis. To maintain statistical accuracy, only publications assessed by professionals and official reports from esteemed international </w:t>
      </w:r>
      <w:proofErr w:type="spellStart"/>
      <w:r w:rsidR="00D005EC" w:rsidRPr="00E97FE6">
        <w:rPr>
          <w:rFonts w:ascii="Times New Roman" w:eastAsia="Times New Roman" w:hAnsi="Times New Roman" w:cs="Times New Roman"/>
          <w:sz w:val="24"/>
          <w:szCs w:val="24"/>
          <w:highlight w:val="yellow"/>
        </w:rPr>
        <w:t>organi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ations</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such as the WHO, CDC, FAO</w:t>
      </w:r>
      <w:r w:rsidRPr="00FD256B">
        <w:rPr>
          <w:rFonts w:ascii="Times New Roman" w:eastAsia="Times New Roman" w:hAnsi="Times New Roman" w:cs="Times New Roman"/>
          <w:sz w:val="24"/>
          <w:szCs w:val="24"/>
        </w:rPr>
        <w:t xml:space="preserve">, and ECDC were </w:t>
      </w:r>
      <w:proofErr w:type="spellStart"/>
      <w:r w:rsidR="00D005EC" w:rsidRPr="00E97FE6">
        <w:rPr>
          <w:rFonts w:ascii="Times New Roman" w:eastAsia="Times New Roman" w:hAnsi="Times New Roman" w:cs="Times New Roman"/>
          <w:sz w:val="24"/>
          <w:szCs w:val="24"/>
          <w:highlight w:val="yellow"/>
        </w:rPr>
        <w:t>utili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Pr="00E97FE6">
        <w:rPr>
          <w:rFonts w:ascii="Times New Roman" w:eastAsia="Times New Roman" w:hAnsi="Times New Roman" w:cs="Times New Roman"/>
          <w:sz w:val="24"/>
          <w:szCs w:val="24"/>
          <w:highlight w:val="yellow"/>
        </w:rPr>
        <w:t xml:space="preserve">. The publication period was restricted </w:t>
      </w:r>
      <w:r w:rsidR="00D005EC" w:rsidRPr="00E97FE6">
        <w:rPr>
          <w:rFonts w:ascii="Times New Roman" w:eastAsia="Times New Roman" w:hAnsi="Times New Roman" w:cs="Times New Roman"/>
          <w:sz w:val="24"/>
          <w:szCs w:val="24"/>
          <w:highlight w:val="yellow"/>
        </w:rPr>
        <w:t>from</w:t>
      </w:r>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January 2010 to April 2025 to illustrate recent ch</w:t>
      </w:r>
      <w:r w:rsidRPr="00FD256B">
        <w:rPr>
          <w:rFonts w:ascii="Times New Roman" w:eastAsia="Times New Roman" w:hAnsi="Times New Roman" w:cs="Times New Roman"/>
          <w:sz w:val="24"/>
          <w:szCs w:val="24"/>
        </w:rPr>
        <w:t>anges in diagnostics, genomics, stewardship activities, and worldwide policy frameworks for an</w:t>
      </w:r>
      <w:r>
        <w:rPr>
          <w:rFonts w:ascii="Times New Roman" w:eastAsia="Times New Roman" w:hAnsi="Times New Roman" w:cs="Times New Roman"/>
          <w:sz w:val="24"/>
          <w:szCs w:val="24"/>
        </w:rPr>
        <w:t xml:space="preserve">timicrobial resistance (AMR).  </w:t>
      </w:r>
      <w:r w:rsidRPr="00FD256B">
        <w:rPr>
          <w:rFonts w:ascii="Times New Roman" w:eastAsia="Times New Roman" w:hAnsi="Times New Roman" w:cs="Times New Roman"/>
          <w:sz w:val="24"/>
          <w:szCs w:val="24"/>
        </w:rPr>
        <w:t>Conversely, studies focusing just on antiviral, antifungal, or antiparasitic resistance, without addressing antibacterial resistance, were excluded unless they contributed to broader themes such as antimicrobial misuse or resistance management. To mitigate bias, non-peer-reviewed materials, such as newsletters, blogs, non-scientific opinion pieces, and anecdotal evidence, were excluded. We excluded studies that lacked sufficient data, failed to articulate their methodologies effectively, or addressed topics unrelated to AMR, such as pharmaceutical economics. Research on animals or the environment that lacked significance for human health was excluded unless it was incorporated w</w:t>
      </w:r>
      <w:r>
        <w:rPr>
          <w:rFonts w:ascii="Times New Roman" w:eastAsia="Times New Roman" w:hAnsi="Times New Roman" w:cs="Times New Roman"/>
          <w:sz w:val="24"/>
          <w:szCs w:val="24"/>
        </w:rPr>
        <w:t xml:space="preserve">ithin a One Health framework.  </w:t>
      </w:r>
      <w:r w:rsidRPr="00FD256B">
        <w:rPr>
          <w:rFonts w:ascii="Times New Roman" w:eastAsia="Times New Roman" w:hAnsi="Times New Roman" w:cs="Times New Roman"/>
          <w:sz w:val="24"/>
          <w:szCs w:val="24"/>
        </w:rPr>
        <w:t>These criteria ensured the selection of only high-quality, pertinent publications that collectively provide a comprehensive overview of the global antimicrobial resistance landscape and its various causes</w:t>
      </w:r>
      <w:r w:rsidR="00F711E2">
        <w:rPr>
          <w:rFonts w:ascii="Times New Roman" w:eastAsia="Times New Roman" w:hAnsi="Times New Roman" w:cs="Times New Roman"/>
          <w:sz w:val="24"/>
          <w:szCs w:val="24"/>
        </w:rPr>
        <w:t xml:space="preserve"> </w:t>
      </w:r>
      <w:r w:rsidR="0094242C">
        <w:rPr>
          <w:rFonts w:ascii="Times New Roman" w:eastAsia="Times New Roman" w:hAnsi="Times New Roman" w:cs="Times New Roman"/>
          <w:sz w:val="24"/>
          <w:szCs w:val="24"/>
        </w:rPr>
        <w:fldChar w:fldCharType="begin">
          <w:fldData xml:space="preserve">PEVuZE5vdGU+PENpdGU+PEF1dGhvcj5IZTwvQXV0aG9yPjxZZWFyPjIwMjE8L1llYXI+PFJlY051
bT4yNTQ0MTwvUmVjTnVtPjxEaXNwbGF5VGV4dD4oMTctMjEpPC9EaXNwbGF5VGV4dD48cmVjb3Jk
PjxyZWMtbnVtYmVyPjI1NDQxPC9yZWMtbnVtYmVyPjxmb3JlaWduLWtleXM+PGtleSBhcHA9IkVO
IiBkYi1pZD0idnN3OWF3dzJmMHNmOXBldGV6MzV3dGV2OXh4OTlhcDJzczV6IiB0aW1lc3RhbXA9
IjE3NTIwNDM1MzUiPjI1NDQxPC9rZXk+PC9mb3JlaWduLWtleXM+PHJlZi10eXBlIG5hbWU9Ikpv
dXJuYWwgQXJ0aWNsZSI+MTc8L3JlZi10eXBlPjxjb250cmlidXRvcnM+PGF1dGhvcnM+PGF1dGhv
cj5IZSwgUy48L2F1dGhvcj48YXV0aG9yPkxpdSwgVy48L2F1dGhvcj48YXV0aG9yPkppYW5nLCBN
LjwvYXV0aG9yPjwvYXV0aG9ycz48L2NvbnRyaWJ1dG9ycz48dGl0bGVzPjx0aXRsZT5DbGluaWNh
bCBjaGFyYWN0ZXJpc3RpY3Mgb2YgQ09WSUQtMTkgcGF0aWVudHMgd2l0aCBjbGluaWNhbGx5IGRp
YWdub3NlZCBiYWN0ZXJpYWwgY28taW5mZWN0aW9uOiBhIG11bHRpLWNlbnRlciBzdHVkeTwvdGl0
bGU+PHNlY29uZGFyeS10aXRsZT5QTG9TIE9uZTwvc2Vjb25kYXJ5LXRpdGxlPjwvdGl0bGVzPjxw
ZXJpb2RpY2FsPjxmdWxsLXRpdGxlPlBMb1MgT05FPC9mdWxsLXRpdGxlPjwvcGVyaW9kaWNhbD48
dm9sdW1lPjE2PC92b2x1bWU+PGRhdGVzPjx5ZWFyPjIwMjE8L3llYXI+PHB1Yi1kYXRlcz48ZGF0
ZT4yMDIxLy88L2RhdGU+PC9wdWItZGF0ZXM+PC9kYXRlcz48dXJscz48cmVsYXRlZC11cmxzPjx1
cmw+aHR0cHM6Ly9kb2kub3JnLzEwLjEzNzEvam91cm5hbC5wb25lLjAyNDk2Njg8L3VybD48L3Jl
bGF0ZWQtdXJscz48L3VybHM+PGVsZWN0cm9uaWMtcmVzb3VyY2UtbnVtPjEwLjEzNzEvam91cm5h
bC5wb25lLjAyNDk2Njg8L2VsZWN0cm9uaWMtcmVzb3VyY2UtbnVtPjwvcmVjb3JkPjwvQ2l0ZT48
Q2l0ZT48QXV0aG9yPkl3dTwvQXV0aG9yPjxZZWFyPjIwMjA8L1llYXI+PFJlY051bT4yNTQzMTwv
UmVjTnVtPjxyZWNvcmQ+PHJlYy1udW1iZXI+MjU0MzE8L3JlYy1udW1iZXI+PGZvcmVpZ24ta2V5
cz48a2V5IGFwcD0iRU4iIGRiLWlkPSJ2c3c5YXd3MmYwc2Y5cGV0ZXozNXd0ZXY5eHg5OWFwMnNz
NXoiIHRpbWVzdGFtcD0iMTc1MjA0MzUzNSI+MjU0MzE8L2tleT48L2ZvcmVpZ24ta2V5cz48cmVm
LXR5cGUgbmFtZT0iSm91cm5hbCBBcnRpY2xlIj4xNzwvcmVmLXR5cGU+PGNvbnRyaWJ1dG9ycz48
YXV0aG9ycz48YXV0aG9yPkl3dSwgQy4gSi48L2F1dGhvcj48YXV0aG9yPkpvcmRhbiwgUC48L2F1
dGhvcj48YXV0aG9yPkphamEsIEkuIEYuPC9hdXRob3I+PGF1dGhvcj5Jd3UsIEMuIEQuPC9hdXRo
b3I+PGF1dGhvcj5XaXlzb25nZSwgQy4gUy48L2F1dGhvcj48L2F1dGhvcnM+PC9jb250cmlidXRv
cnM+PHRpdGxlcz48dGl0bGU+VHJlYXRtZW50IG9mIENPVklELTE5OiBpbXBsaWNhdGlvbnMgZm9y
IGFudGltaWNyb2JpYWwgcmVzaXN0YW5jZSBpbiBBZnJpY2E8L3RpdGxlPjxzZWNvbmRhcnktdGl0
bGU+UGFuIEFmciBNZWQgSjwvc2Vjb25kYXJ5LXRpdGxlPjwvdGl0bGVzPjxwZXJpb2RpY2FsPjxm
dWxsLXRpdGxlPlBhbiBBZnIgTWVkIEo8L2Z1bGwtdGl0bGU+PC9wZXJpb2RpY2FsPjx2b2x1bWU+
MzU8L3ZvbHVtZT48ZGF0ZXM+PHllYXI+MjAyMDwveWVhcj48cHViLWRhdGVzPjxkYXRlPjIwMjAv
LzwvZGF0ZT48L3B1Yi1kYXRlcz48L2RhdGVzPjx1cmxzPjxyZWxhdGVkLXVybHM+PHVybD5odHRw
czovL2RvaS5vcmcvMTAuMTE2MDQvcGFtai5zdXBwLjIwMjAuMzUuMjM3MTM8L3VybD48L3JlbGF0
ZWQtdXJscz48L3VybHM+PGVsZWN0cm9uaWMtcmVzb3VyY2UtbnVtPjEwLjExNjA0L3BhbWouc3Vw
cC4yMDIwLjM1LjIzNzEzPC9lbGVjdHJvbmljLXJlc291cmNlLW51bT48L3JlY29yZD48L0NpdGU+
PENpdGU+PEF1dGhvcj5Lb3c8L0F1dGhvcj48WWVhcj4yMDIwPC9ZZWFyPjxSZWNOdW0+MjU0NDQ8
L1JlY051bT48cmVjb3JkPjxyZWMtbnVtYmVyPjI1NDQ0PC9yZWMtbnVtYmVyPjxmb3JlaWduLWtl
eXM+PGtleSBhcHA9IkVOIiBkYi1pZD0idnN3OWF3dzJmMHNmOXBldGV6MzV3dGV2OXh4OTlhcDJz
czV6IiB0aW1lc3RhbXA9IjE3NTIwNDM1MzUiPjI1NDQ0PC9rZXk+PC9mb3JlaWduLWtleXM+PHJl
Zi10eXBlIG5hbWU9IkpvdXJuYWwgQXJ0aWNsZSI+MTc8L3JlZi10eXBlPjxjb250cmlidXRvcnM+
PGF1dGhvcnM+PGF1dGhvcj5Lb3csIEMuIFMuPC9hdXRob3I+PGF1dGhvcj5IYXNhbiwgUy4gUy48
L2F1dGhvcj48L2F1dGhvcnM+PC9jb250cmlidXRvcnM+PHRpdGxlcz48dGl0bGU+VXNlIG9mIGF6
aXRocm9teWNpbiBpbiBDT1ZJRC0xOTogYSBjYXV0aW9uYXJ5IHRhbGU8L3RpdGxlPjxzZWNvbmRh
cnktdGl0bGU+Q2xpbiBEcnVnIEludmVzdGlnPC9zZWNvbmRhcnktdGl0bGU+PC90aXRsZXM+PHBl
cmlvZGljYWw+PGZ1bGwtdGl0bGU+Q2xpbiBEcnVnIEludmVzdGlnPC9mdWxsLXRpdGxlPjwvcGVy
aW9kaWNhbD48dm9sdW1lPjQwPC92b2x1bWU+PGRhdGVzPjx5ZWFyPjIwMjA8L3llYXI+PHB1Yi1k
YXRlcz48ZGF0ZT4yMDIwLy88L2RhdGU+PC9wdWItZGF0ZXM+PC9kYXRlcz48dXJscz48cmVsYXRl
ZC11cmxzPjx1cmw+aHR0cHM6Ly9kb2kub3JnLzEwLjEwMDcvczQwMjYxLTAyMC0wMDk2MS16PC91
cmw+PC9yZWxhdGVkLXVybHM+PC91cmxzPjxlbGVjdHJvbmljLXJlc291cmNlLW51bT4xMC4xMDA3
L3M0MDI2MS0wMjAtMDA5NjEtejwvZWxlY3Ryb25pYy1yZXNvdXJjZS1udW0+PC9yZWNvcmQ+PC9D
aXRlPjxDaXRlPjxBdXRob3I+TGFuc2J1cnk8L0F1dGhvcj48WWVhcj4yMDIwPC9ZZWFyPjxSZWNO
dW0+MjU0NDA8L1JlY051bT48cmVjb3JkPjxyZWMtbnVtYmVyPjI1NDQwPC9yZWMtbnVtYmVyPjxm
b3JlaWduLWtleXM+PGtleSBhcHA9IkVOIiBkYi1pZD0idnN3OWF3dzJmMHNmOXBldGV6MzV3dGV2
OXh4OTlhcDJzczV6IiB0aW1lc3RhbXA9IjE3NTIwNDM1MzUiPjI1NDQwPC9rZXk+PC9mb3JlaWdu
LWtleXM+PHJlZi10eXBlIG5hbWU9IkpvdXJuYWwgQXJ0aWNsZSI+MTc8L3JlZi10eXBlPjxjb250
cmlidXRvcnM+PGF1dGhvcnM+PGF1dGhvcj5MYW5zYnVyeSwgTC48L2F1dGhvcj48YXV0aG9yPkxp
bSwgQi48L2F1dGhvcj48YXV0aG9yPkJhc2thcmFuLCBWLjwvYXV0aG9yPjxhdXRob3I+TGltLCBX
LiBTLjwvYXV0aG9yPjwvYXV0aG9ycz48L2NvbnRyaWJ1dG9ycz48dGl0bGVzPjx0aXRsZT5Dby1p
bmZlY3Rpb25zIGluIHBlb3BsZSB3aXRoIENPVklELTE5OiBhIHN5c3RlbWF0aWMgcmV2aWV3IGFu
ZCBtZXRhLWFuYWx5c2lzPC90aXRsZT48c2Vjb25kYXJ5LXRpdGxlPkogSW5mIFNlY3VyPC9zZWNv
bmRhcnktdGl0bGU+PC90aXRsZXM+PHBlcmlvZGljYWw+PGZ1bGwtdGl0bGU+SiBJbmYgU2VjdXI8
L2Z1bGwtdGl0bGU+PC9wZXJpb2RpY2FsPjx2b2x1bWU+ODE8L3ZvbHVtZT48ZGF0ZXM+PHllYXI+
MjAyMDwveWVhcj48cHViLWRhdGVzPjxkYXRlPjIwMjAvLzwvZGF0ZT48L3B1Yi1kYXRlcz48L2Rh
dGVzPjx1cmxzPjxyZWxhdGVkLXVybHM+PHVybD5odHRwczovL2RvaS5vcmcvMTAuMTAxNi9qLmpp
bmYuMjAyMC4wNS4wNDY8L3VybD48L3JlbGF0ZWQtdXJscz48L3VybHM+PGVsZWN0cm9uaWMtcmVz
b3VyY2UtbnVtPjEwLjEwMTYvai5qaW5mLjIwMjAuMDUuMDQ2PC9lbGVjdHJvbmljLXJlc291cmNl
LW51bT48L3JlY29yZD48L0NpdGU+PENpdGU+PEF1dGhvcj5MdWNlcm8tUHJpc25vPC9BdXRob3I+
PFllYXI+MjAyMDwvWWVhcj48UmVjTnVtPjI1NDI2PC9SZWNOdW0+PHJlY29yZD48cmVjLW51bWJl
cj4yNTQyNjwvcmVjLW51bWJlcj48Zm9yZWlnbi1rZXlzPjxrZXkgYXBwPSJFTiIgZGItaWQ9InZz
dzlhd3cyZjBzZjlwZXRlejM1d3Rldjl4eDk5YXAyc3M1eiIgdGltZXN0YW1wPSIxNzUyMDQzNTM1
Ij4yNTQyNjwva2V5PjwvZm9yZWlnbi1rZXlzPjxyZWYtdHlwZSBuYW1lPSJKb3VybmFsIEFydGlj
bGUiPjE3PC9yZWYtdHlwZT48Y29udHJpYnV0b3JzPjxhdXRob3JzPjxhdXRob3I+THVjZXJvLVBy
aXNubywgRC4gRS48L2F1dGhvcj48YXV0aG9yPkFkZWJpc2ksIFkuIEEuPC9hdXRob3I+PGF1dGhv
cj5MaW4sIFguPC9hdXRob3I+PC9hdXRob3JzPjwvY29udHJpYnV0b3JzPjx0aXRsZXM+PHRpdGxl
PkN1cnJlbnQgZWZmb3J0cyBhbmQgY2hhbGxlbmdlcyBmYWNpbmcgcmVzcG9uc2VzIHRvIDIwMTkt
bkNvViBpbiBBZnJpY2E8L3RpdGxlPjxzZWNvbmRhcnktdGl0bGU+R2xvYiBIZWFsdGggUmVzIFBv
bGljeTwvc2Vjb25kYXJ5LXRpdGxlPjwvdGl0bGVzPjxwZXJpb2RpY2FsPjxmdWxsLXRpdGxlPkds
b2IgSGVhbHRoIFJlcyBQb2xpY3k8L2Z1bGwtdGl0bGU+PC9wZXJpb2RpY2FsPjx2b2x1bWU+NTwv
dm9sdW1lPjxkYXRlcz48eWVhcj4yMDIwPC95ZWFyPjxwdWItZGF0ZXM+PGRhdGU+MjAyMC8vPC9k
YXRlPjwvcHViLWRhdGVzPjwvZGF0ZXM+PHVybHM+PHJlbGF0ZWQtdXJscz48dXJsPmh0dHBzOi8v
ZG9pLm9yZy8xMC4xMTg2L3M0MTI1Ni0wMjAtMDAxNDgtMTwvdXJsPjwvcmVsYXRlZC11cmxzPjwv
dXJscz48ZWxlY3Ryb25pYy1yZXNvdXJjZS1udW0+MTAuMTE4Ni9zNDEyNTYtMDIwLTAwMTQ4LTE8
L2VsZWN0cm9uaWMtcmVzb3VyY2UtbnVtPjwvcmVjb3JkPjwvQ2l0ZT48L0VuZE5vdGU+
</w:fldData>
        </w:fldChar>
      </w:r>
      <w:r w:rsidR="00F711E2">
        <w:rPr>
          <w:rFonts w:ascii="Times New Roman" w:eastAsia="Times New Roman" w:hAnsi="Times New Roman" w:cs="Times New Roman"/>
          <w:sz w:val="24"/>
          <w:szCs w:val="24"/>
        </w:rPr>
        <w:instrText xml:space="preserve"> ADDIN EN.CITE </w:instrText>
      </w:r>
      <w:r w:rsidR="0094242C">
        <w:rPr>
          <w:rFonts w:ascii="Times New Roman" w:eastAsia="Times New Roman" w:hAnsi="Times New Roman" w:cs="Times New Roman"/>
          <w:sz w:val="24"/>
          <w:szCs w:val="24"/>
        </w:rPr>
        <w:fldChar w:fldCharType="begin">
          <w:fldData xml:space="preserve">PEVuZE5vdGU+PENpdGU+PEF1dGhvcj5IZTwvQXV0aG9yPjxZZWFyPjIwMjE8L1llYXI+PFJlY051
bT4yNTQ0MTwvUmVjTnVtPjxEaXNwbGF5VGV4dD4oMTctMjEpPC9EaXNwbGF5VGV4dD48cmVjb3Jk
PjxyZWMtbnVtYmVyPjI1NDQxPC9yZWMtbnVtYmVyPjxmb3JlaWduLWtleXM+PGtleSBhcHA9IkVO
IiBkYi1pZD0idnN3OWF3dzJmMHNmOXBldGV6MzV3dGV2OXh4OTlhcDJzczV6IiB0aW1lc3RhbXA9
IjE3NTIwNDM1MzUiPjI1NDQxPC9rZXk+PC9mb3JlaWduLWtleXM+PHJlZi10eXBlIG5hbWU9Ikpv
dXJuYWwgQXJ0aWNsZSI+MTc8L3JlZi10eXBlPjxjb250cmlidXRvcnM+PGF1dGhvcnM+PGF1dGhv
cj5IZSwgUy48L2F1dGhvcj48YXV0aG9yPkxpdSwgVy48L2F1dGhvcj48YXV0aG9yPkppYW5nLCBN
LjwvYXV0aG9yPjwvYXV0aG9ycz48L2NvbnRyaWJ1dG9ycz48dGl0bGVzPjx0aXRsZT5DbGluaWNh
bCBjaGFyYWN0ZXJpc3RpY3Mgb2YgQ09WSUQtMTkgcGF0aWVudHMgd2l0aCBjbGluaWNhbGx5IGRp
YWdub3NlZCBiYWN0ZXJpYWwgY28taW5mZWN0aW9uOiBhIG11bHRpLWNlbnRlciBzdHVkeTwvdGl0
bGU+PHNlY29uZGFyeS10aXRsZT5QTG9TIE9uZTwvc2Vjb25kYXJ5LXRpdGxlPjwvdGl0bGVzPjxw
ZXJpb2RpY2FsPjxmdWxsLXRpdGxlPlBMb1MgT05FPC9mdWxsLXRpdGxlPjwvcGVyaW9kaWNhbD48
dm9sdW1lPjE2PC92b2x1bWU+PGRhdGVzPjx5ZWFyPjIwMjE8L3llYXI+PHB1Yi1kYXRlcz48ZGF0
ZT4yMDIxLy88L2RhdGU+PC9wdWItZGF0ZXM+PC9kYXRlcz48dXJscz48cmVsYXRlZC11cmxzPjx1
cmw+aHR0cHM6Ly9kb2kub3JnLzEwLjEzNzEvam91cm5hbC5wb25lLjAyNDk2Njg8L3VybD48L3Jl
bGF0ZWQtdXJscz48L3VybHM+PGVsZWN0cm9uaWMtcmVzb3VyY2UtbnVtPjEwLjEzNzEvam91cm5h
bC5wb25lLjAyNDk2Njg8L2VsZWN0cm9uaWMtcmVzb3VyY2UtbnVtPjwvcmVjb3JkPjwvQ2l0ZT48
Q2l0ZT48QXV0aG9yPkl3dTwvQXV0aG9yPjxZZWFyPjIwMjA8L1llYXI+PFJlY051bT4yNTQzMTwv
UmVjTnVtPjxyZWNvcmQ+PHJlYy1udW1iZXI+MjU0MzE8L3JlYy1udW1iZXI+PGZvcmVpZ24ta2V5
cz48a2V5IGFwcD0iRU4iIGRiLWlkPSJ2c3c5YXd3MmYwc2Y5cGV0ZXozNXd0ZXY5eHg5OWFwMnNz
NXoiIHRpbWVzdGFtcD0iMTc1MjA0MzUzNSI+MjU0MzE8L2tleT48L2ZvcmVpZ24ta2V5cz48cmVm
LXR5cGUgbmFtZT0iSm91cm5hbCBBcnRpY2xlIj4xNzwvcmVmLXR5cGU+PGNvbnRyaWJ1dG9ycz48
YXV0aG9ycz48YXV0aG9yPkl3dSwgQy4gSi48L2F1dGhvcj48YXV0aG9yPkpvcmRhbiwgUC48L2F1
dGhvcj48YXV0aG9yPkphamEsIEkuIEYuPC9hdXRob3I+PGF1dGhvcj5Jd3UsIEMuIEQuPC9hdXRo
b3I+PGF1dGhvcj5XaXlzb25nZSwgQy4gUy48L2F1dGhvcj48L2F1dGhvcnM+PC9jb250cmlidXRv
cnM+PHRpdGxlcz48dGl0bGU+VHJlYXRtZW50IG9mIENPVklELTE5OiBpbXBsaWNhdGlvbnMgZm9y
IGFudGltaWNyb2JpYWwgcmVzaXN0YW5jZSBpbiBBZnJpY2E8L3RpdGxlPjxzZWNvbmRhcnktdGl0
bGU+UGFuIEFmciBNZWQgSjwvc2Vjb25kYXJ5LXRpdGxlPjwvdGl0bGVzPjxwZXJpb2RpY2FsPjxm
dWxsLXRpdGxlPlBhbiBBZnIgTWVkIEo8L2Z1bGwtdGl0bGU+PC9wZXJpb2RpY2FsPjx2b2x1bWU+
MzU8L3ZvbHVtZT48ZGF0ZXM+PHllYXI+MjAyMDwveWVhcj48cHViLWRhdGVzPjxkYXRlPjIwMjAv
LzwvZGF0ZT48L3B1Yi1kYXRlcz48L2RhdGVzPjx1cmxzPjxyZWxhdGVkLXVybHM+PHVybD5odHRw
czovL2RvaS5vcmcvMTAuMTE2MDQvcGFtai5zdXBwLjIwMjAuMzUuMjM3MTM8L3VybD48L3JlbGF0
ZWQtdXJscz48L3VybHM+PGVsZWN0cm9uaWMtcmVzb3VyY2UtbnVtPjEwLjExNjA0L3BhbWouc3Vw
cC4yMDIwLjM1LjIzNzEzPC9lbGVjdHJvbmljLXJlc291cmNlLW51bT48L3JlY29yZD48L0NpdGU+
PENpdGU+PEF1dGhvcj5Lb3c8L0F1dGhvcj48WWVhcj4yMDIwPC9ZZWFyPjxSZWNOdW0+MjU0NDQ8
L1JlY051bT48cmVjb3JkPjxyZWMtbnVtYmVyPjI1NDQ0PC9yZWMtbnVtYmVyPjxmb3JlaWduLWtl
eXM+PGtleSBhcHA9IkVOIiBkYi1pZD0idnN3OWF3dzJmMHNmOXBldGV6MzV3dGV2OXh4OTlhcDJz
czV6IiB0aW1lc3RhbXA9IjE3NTIwNDM1MzUiPjI1NDQ0PC9rZXk+PC9mb3JlaWduLWtleXM+PHJl
Zi10eXBlIG5hbWU9IkpvdXJuYWwgQXJ0aWNsZSI+MTc8L3JlZi10eXBlPjxjb250cmlidXRvcnM+
PGF1dGhvcnM+PGF1dGhvcj5Lb3csIEMuIFMuPC9hdXRob3I+PGF1dGhvcj5IYXNhbiwgUy4gUy48
L2F1dGhvcj48L2F1dGhvcnM+PC9jb250cmlidXRvcnM+PHRpdGxlcz48dGl0bGU+VXNlIG9mIGF6
aXRocm9teWNpbiBpbiBDT1ZJRC0xOTogYSBjYXV0aW9uYXJ5IHRhbGU8L3RpdGxlPjxzZWNvbmRh
cnktdGl0bGU+Q2xpbiBEcnVnIEludmVzdGlnPC9zZWNvbmRhcnktdGl0bGU+PC90aXRsZXM+PHBl
cmlvZGljYWw+PGZ1bGwtdGl0bGU+Q2xpbiBEcnVnIEludmVzdGlnPC9mdWxsLXRpdGxlPjwvcGVy
aW9kaWNhbD48dm9sdW1lPjQwPC92b2x1bWU+PGRhdGVzPjx5ZWFyPjIwMjA8L3llYXI+PHB1Yi1k
YXRlcz48ZGF0ZT4yMDIwLy88L2RhdGU+PC9wdWItZGF0ZXM+PC9kYXRlcz48dXJscz48cmVsYXRl
ZC11cmxzPjx1cmw+aHR0cHM6Ly9kb2kub3JnLzEwLjEwMDcvczQwMjYxLTAyMC0wMDk2MS16PC91
cmw+PC9yZWxhdGVkLXVybHM+PC91cmxzPjxlbGVjdHJvbmljLXJlc291cmNlLW51bT4xMC4xMDA3
L3M0MDI2MS0wMjAtMDA5NjEtejwvZWxlY3Ryb25pYy1yZXNvdXJjZS1udW0+PC9yZWNvcmQ+PC9D
aXRlPjxDaXRlPjxBdXRob3I+TGFuc2J1cnk8L0F1dGhvcj48WWVhcj4yMDIwPC9ZZWFyPjxSZWNO
dW0+MjU0NDA8L1JlY051bT48cmVjb3JkPjxyZWMtbnVtYmVyPjI1NDQwPC9yZWMtbnVtYmVyPjxm
b3JlaWduLWtleXM+PGtleSBhcHA9IkVOIiBkYi1pZD0idnN3OWF3dzJmMHNmOXBldGV6MzV3dGV2
OXh4OTlhcDJzczV6IiB0aW1lc3RhbXA9IjE3NTIwNDM1MzUiPjI1NDQwPC9rZXk+PC9mb3JlaWdu
LWtleXM+PHJlZi10eXBlIG5hbWU9IkpvdXJuYWwgQXJ0aWNsZSI+MTc8L3JlZi10eXBlPjxjb250
cmlidXRvcnM+PGF1dGhvcnM+PGF1dGhvcj5MYW5zYnVyeSwgTC48L2F1dGhvcj48YXV0aG9yPkxp
bSwgQi48L2F1dGhvcj48YXV0aG9yPkJhc2thcmFuLCBWLjwvYXV0aG9yPjxhdXRob3I+TGltLCBX
LiBTLjwvYXV0aG9yPjwvYXV0aG9ycz48L2NvbnRyaWJ1dG9ycz48dGl0bGVzPjx0aXRsZT5Dby1p
bmZlY3Rpb25zIGluIHBlb3BsZSB3aXRoIENPVklELTE5OiBhIHN5c3RlbWF0aWMgcmV2aWV3IGFu
ZCBtZXRhLWFuYWx5c2lzPC90aXRsZT48c2Vjb25kYXJ5LXRpdGxlPkogSW5mIFNlY3VyPC9zZWNv
bmRhcnktdGl0bGU+PC90aXRsZXM+PHBlcmlvZGljYWw+PGZ1bGwtdGl0bGU+SiBJbmYgU2VjdXI8
L2Z1bGwtdGl0bGU+PC9wZXJpb2RpY2FsPjx2b2x1bWU+ODE8L3ZvbHVtZT48ZGF0ZXM+PHllYXI+
MjAyMDwveWVhcj48cHViLWRhdGVzPjxkYXRlPjIwMjAvLzwvZGF0ZT48L3B1Yi1kYXRlcz48L2Rh
dGVzPjx1cmxzPjxyZWxhdGVkLXVybHM+PHVybD5odHRwczovL2RvaS5vcmcvMTAuMTAxNi9qLmpp
bmYuMjAyMC4wNS4wNDY8L3VybD48L3JlbGF0ZWQtdXJscz48L3VybHM+PGVsZWN0cm9uaWMtcmVz
b3VyY2UtbnVtPjEwLjEwMTYvai5qaW5mLjIwMjAuMDUuMDQ2PC9lbGVjdHJvbmljLXJlc291cmNl
LW51bT48L3JlY29yZD48L0NpdGU+PENpdGU+PEF1dGhvcj5MdWNlcm8tUHJpc25vPC9BdXRob3I+
PFllYXI+MjAyMDwvWWVhcj48UmVjTnVtPjI1NDI2PC9SZWNOdW0+PHJlY29yZD48cmVjLW51bWJl
cj4yNTQyNjwvcmVjLW51bWJlcj48Zm9yZWlnbi1rZXlzPjxrZXkgYXBwPSJFTiIgZGItaWQ9InZz
dzlhd3cyZjBzZjlwZXRlejM1d3Rldjl4eDk5YXAyc3M1eiIgdGltZXN0YW1wPSIxNzUyMDQzNTM1
Ij4yNTQyNjwva2V5PjwvZm9yZWlnbi1rZXlzPjxyZWYtdHlwZSBuYW1lPSJKb3VybmFsIEFydGlj
bGUiPjE3PC9yZWYtdHlwZT48Y29udHJpYnV0b3JzPjxhdXRob3JzPjxhdXRob3I+THVjZXJvLVBy
aXNubywgRC4gRS48L2F1dGhvcj48YXV0aG9yPkFkZWJpc2ksIFkuIEEuPC9hdXRob3I+PGF1dGhv
cj5MaW4sIFguPC9hdXRob3I+PC9hdXRob3JzPjwvY29udHJpYnV0b3JzPjx0aXRsZXM+PHRpdGxl
PkN1cnJlbnQgZWZmb3J0cyBhbmQgY2hhbGxlbmdlcyBmYWNpbmcgcmVzcG9uc2VzIHRvIDIwMTkt
bkNvViBpbiBBZnJpY2E8L3RpdGxlPjxzZWNvbmRhcnktdGl0bGU+R2xvYiBIZWFsdGggUmVzIFBv
bGljeTwvc2Vjb25kYXJ5LXRpdGxlPjwvdGl0bGVzPjxwZXJpb2RpY2FsPjxmdWxsLXRpdGxlPkds
b2IgSGVhbHRoIFJlcyBQb2xpY3k8L2Z1bGwtdGl0bGU+PC9wZXJpb2RpY2FsPjx2b2x1bWU+NTwv
dm9sdW1lPjxkYXRlcz48eWVhcj4yMDIwPC95ZWFyPjxwdWItZGF0ZXM+PGRhdGU+MjAyMC8vPC9k
YXRlPjwvcHViLWRhdGVzPjwvZGF0ZXM+PHVybHM+PHJlbGF0ZWQtdXJscz48dXJsPmh0dHBzOi8v
ZG9pLm9yZy8xMC4xMTg2L3M0MTI1Ni0wMjAtMDAxNDgtMTwvdXJsPjwvcmVsYXRlZC11cmxzPjwv
dXJscz48ZWxlY3Ryb25pYy1yZXNvdXJjZS1udW0+MTAuMTE4Ni9zNDEyNTYtMDIwLTAwMTQ4LTE8
L2VsZWN0cm9uaWMtcmVzb3VyY2UtbnVtPjwvcmVjb3JkPjwvQ2l0ZT48L0VuZE5vdGU+
</w:fldData>
        </w:fldChar>
      </w:r>
      <w:r w:rsidR="00F711E2">
        <w:rPr>
          <w:rFonts w:ascii="Times New Roman" w:eastAsia="Times New Roman" w:hAnsi="Times New Roman" w:cs="Times New Roman"/>
          <w:sz w:val="24"/>
          <w:szCs w:val="24"/>
        </w:rPr>
        <w:instrText xml:space="preserve"> ADDIN EN.CITE.DATA </w:instrText>
      </w:r>
      <w:r w:rsidR="0094242C">
        <w:rPr>
          <w:rFonts w:ascii="Times New Roman" w:eastAsia="Times New Roman" w:hAnsi="Times New Roman" w:cs="Times New Roman"/>
          <w:sz w:val="24"/>
          <w:szCs w:val="24"/>
        </w:rPr>
      </w:r>
      <w:r w:rsidR="0094242C">
        <w:rPr>
          <w:rFonts w:ascii="Times New Roman" w:eastAsia="Times New Roman" w:hAnsi="Times New Roman" w:cs="Times New Roman"/>
          <w:sz w:val="24"/>
          <w:szCs w:val="24"/>
        </w:rPr>
        <w:fldChar w:fldCharType="end"/>
      </w:r>
      <w:r w:rsidR="0094242C">
        <w:rPr>
          <w:rFonts w:ascii="Times New Roman" w:eastAsia="Times New Roman" w:hAnsi="Times New Roman" w:cs="Times New Roman"/>
          <w:sz w:val="24"/>
          <w:szCs w:val="24"/>
        </w:rPr>
      </w:r>
      <w:r w:rsidR="0094242C">
        <w:rPr>
          <w:rFonts w:ascii="Times New Roman" w:eastAsia="Times New Roman" w:hAnsi="Times New Roman" w:cs="Times New Roman"/>
          <w:sz w:val="24"/>
          <w:szCs w:val="24"/>
        </w:rPr>
        <w:fldChar w:fldCharType="separate"/>
      </w:r>
      <w:r w:rsidR="00F711E2">
        <w:rPr>
          <w:rFonts w:ascii="Times New Roman" w:eastAsia="Times New Roman" w:hAnsi="Times New Roman" w:cs="Times New Roman"/>
          <w:noProof/>
          <w:sz w:val="24"/>
          <w:szCs w:val="24"/>
        </w:rPr>
        <w:t>(17-21)</w:t>
      </w:r>
      <w:r w:rsidR="0094242C">
        <w:rPr>
          <w:rFonts w:ascii="Times New Roman" w:eastAsia="Times New Roman" w:hAnsi="Times New Roman" w:cs="Times New Roman"/>
          <w:sz w:val="24"/>
          <w:szCs w:val="24"/>
        </w:rPr>
        <w:fldChar w:fldCharType="end"/>
      </w:r>
      <w:r w:rsidRPr="00FD256B">
        <w:rPr>
          <w:rFonts w:ascii="Times New Roman" w:eastAsia="Times New Roman" w:hAnsi="Times New Roman" w:cs="Times New Roman"/>
          <w:sz w:val="24"/>
          <w:szCs w:val="24"/>
        </w:rPr>
        <w:t>.</w:t>
      </w:r>
    </w:p>
    <w:p w14:paraId="1262BDD6" w14:textId="77777777" w:rsidR="007969FB" w:rsidRDefault="00FD256B" w:rsidP="00FD256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Data Extraction and Synthesis</w:t>
      </w:r>
      <w:r>
        <w:rPr>
          <w:rFonts w:ascii="Times New Roman" w:hAnsi="Times New Roman" w:cs="Times New Roman"/>
          <w:b/>
          <w:sz w:val="28"/>
          <w:szCs w:val="28"/>
        </w:rPr>
        <w:t>:</w:t>
      </w:r>
    </w:p>
    <w:p w14:paraId="71197329" w14:textId="082242C4" w:rsidR="00FD256B" w:rsidRPr="00FD256B" w:rsidRDefault="00FD256B" w:rsidP="00FD256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w:t>
      </w:r>
      <w:r w:rsidRPr="00FD256B">
        <w:rPr>
          <w:rFonts w:ascii="Times New Roman" w:eastAsia="Times New Roman" w:hAnsi="Times New Roman" w:cs="Times New Roman"/>
          <w:sz w:val="24"/>
          <w:szCs w:val="24"/>
        </w:rPr>
        <w:t xml:space="preserve"> articles</w:t>
      </w:r>
      <w:r>
        <w:rPr>
          <w:rFonts w:ascii="Times New Roman" w:eastAsia="Times New Roman" w:hAnsi="Times New Roman" w:cs="Times New Roman"/>
          <w:sz w:val="24"/>
          <w:szCs w:val="24"/>
        </w:rPr>
        <w:t xml:space="preserve"> were selected</w:t>
      </w:r>
      <w:r w:rsidRPr="00FD256B">
        <w:rPr>
          <w:rFonts w:ascii="Times New Roman" w:eastAsia="Times New Roman" w:hAnsi="Times New Roman" w:cs="Times New Roman"/>
          <w:sz w:val="24"/>
          <w:szCs w:val="24"/>
        </w:rPr>
        <w:t xml:space="preserve"> that satisfied the inclusion criteria </w:t>
      </w:r>
      <w:r w:rsidRPr="00E97FE6">
        <w:rPr>
          <w:rFonts w:ascii="Times New Roman" w:eastAsia="Times New Roman" w:hAnsi="Times New Roman" w:cs="Times New Roman"/>
          <w:sz w:val="24"/>
          <w:szCs w:val="24"/>
          <w:highlight w:val="yellow"/>
        </w:rPr>
        <w:t xml:space="preserve">and </w:t>
      </w:r>
      <w:r w:rsidR="00D005EC" w:rsidRPr="00E97FE6">
        <w:rPr>
          <w:rFonts w:ascii="Times New Roman" w:eastAsia="Times New Roman" w:hAnsi="Times New Roman" w:cs="Times New Roman"/>
          <w:sz w:val="24"/>
          <w:szCs w:val="24"/>
          <w:highlight w:val="yellow"/>
        </w:rPr>
        <w:t xml:space="preserve">were </w:t>
      </w:r>
      <w:r w:rsidRPr="00E97FE6">
        <w:rPr>
          <w:rFonts w:ascii="Times New Roman" w:eastAsia="Times New Roman" w:hAnsi="Times New Roman" w:cs="Times New Roman"/>
          <w:sz w:val="24"/>
          <w:szCs w:val="24"/>
          <w:highlight w:val="yellow"/>
        </w:rPr>
        <w:t>subseque</w:t>
      </w:r>
      <w:r w:rsidRPr="00FD256B">
        <w:rPr>
          <w:rFonts w:ascii="Times New Roman" w:eastAsia="Times New Roman" w:hAnsi="Times New Roman" w:cs="Times New Roman"/>
          <w:sz w:val="24"/>
          <w:szCs w:val="24"/>
        </w:rPr>
        <w:t xml:space="preserve">ntly extracted the data, organizing it into thematic categories. The primary characteristics identified included </w:t>
      </w:r>
      <w:r w:rsidRPr="00FD256B">
        <w:rPr>
          <w:rFonts w:ascii="Times New Roman" w:eastAsia="Times New Roman" w:hAnsi="Times New Roman" w:cs="Times New Roman"/>
          <w:sz w:val="24"/>
          <w:szCs w:val="24"/>
        </w:rPr>
        <w:lastRenderedPageBreak/>
        <w:t xml:space="preserve">the study's geographical location, publication year, design, sample size, microbiological species examined, specific antimicrobial agents evaluated, </w:t>
      </w:r>
      <w:r w:rsidRPr="00E97FE6">
        <w:rPr>
          <w:rFonts w:ascii="Times New Roman" w:eastAsia="Times New Roman" w:hAnsi="Times New Roman" w:cs="Times New Roman"/>
          <w:sz w:val="24"/>
          <w:szCs w:val="24"/>
          <w:highlight w:val="yellow"/>
        </w:rPr>
        <w:t xml:space="preserve">and documented resistance mechanisms. There was an increased emphasis on whether the studies </w:t>
      </w:r>
      <w:proofErr w:type="spellStart"/>
      <w:r w:rsidR="00D005EC" w:rsidRPr="00E97FE6">
        <w:rPr>
          <w:rFonts w:ascii="Times New Roman" w:eastAsia="Times New Roman" w:hAnsi="Times New Roman" w:cs="Times New Roman"/>
          <w:sz w:val="24"/>
          <w:szCs w:val="24"/>
          <w:highlight w:val="yellow"/>
        </w:rPr>
        <w:t>utili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clinical, environme</w:t>
      </w:r>
      <w:r w:rsidRPr="00FD256B">
        <w:rPr>
          <w:rFonts w:ascii="Times New Roman" w:eastAsia="Times New Roman" w:hAnsi="Times New Roman" w:cs="Times New Roman"/>
          <w:sz w:val="24"/>
          <w:szCs w:val="24"/>
        </w:rPr>
        <w:t xml:space="preserve">ntal, or veterinary data to substantiate a One Health perspective. We examined literature that presented surveillance data to identify patterns in antimicrobial resistance throughout time and geography. We examined molecular research to identify the predominant resistance genes and genetic elements that facilitate horizontal gene transfer. </w:t>
      </w:r>
      <w:r w:rsidRPr="00E97FE6">
        <w:rPr>
          <w:rFonts w:ascii="Times New Roman" w:eastAsia="Times New Roman" w:hAnsi="Times New Roman" w:cs="Times New Roman"/>
          <w:sz w:val="24"/>
          <w:szCs w:val="24"/>
          <w:highlight w:val="yellow"/>
        </w:rPr>
        <w:t xml:space="preserve">We </w:t>
      </w:r>
      <w:proofErr w:type="spellStart"/>
      <w:r w:rsidR="00D005EC" w:rsidRPr="00E97FE6">
        <w:rPr>
          <w:rFonts w:ascii="Times New Roman" w:eastAsia="Times New Roman" w:hAnsi="Times New Roman" w:cs="Times New Roman"/>
          <w:sz w:val="24"/>
          <w:szCs w:val="24"/>
          <w:highlight w:val="yellow"/>
        </w:rPr>
        <w:t>analy</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 xml:space="preserve">resistance rates across several countries and healthcare environments, including hospitals, outpatient clinics, and community settings, whenever feasible. The extracted data were </w:t>
      </w:r>
      <w:proofErr w:type="spellStart"/>
      <w:r w:rsidR="00D005EC" w:rsidRPr="00E97FE6">
        <w:rPr>
          <w:rFonts w:ascii="Times New Roman" w:eastAsia="Times New Roman" w:hAnsi="Times New Roman" w:cs="Times New Roman"/>
          <w:sz w:val="24"/>
          <w:szCs w:val="24"/>
          <w:highlight w:val="yellow"/>
        </w:rPr>
        <w:t>organi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 xml:space="preserve">coherently, both qualitatively and quantitatively, and </w:t>
      </w:r>
      <w:proofErr w:type="spellStart"/>
      <w:r w:rsidR="00D005EC" w:rsidRPr="00E97FE6">
        <w:rPr>
          <w:rFonts w:ascii="Times New Roman" w:eastAsia="Times New Roman" w:hAnsi="Times New Roman" w:cs="Times New Roman"/>
          <w:sz w:val="24"/>
          <w:szCs w:val="24"/>
          <w:highlight w:val="yellow"/>
        </w:rPr>
        <w:t>categori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into groups</w:t>
      </w:r>
      <w:r w:rsidRPr="00FD256B">
        <w:rPr>
          <w:rFonts w:ascii="Times New Roman" w:eastAsia="Times New Roman" w:hAnsi="Times New Roman" w:cs="Times New Roman"/>
          <w:sz w:val="24"/>
          <w:szCs w:val="24"/>
        </w:rPr>
        <w:t xml:space="preserve"> based on significant themes, including high-priority diseases, novel resistance mechanisms, and impacts on healthcare systems. Patterns and gaps were identified to reveal under-researched locations or overlooked bacterial species. This comprehensive synthesis enabled a complete understanding of the magnitude, severity, and complexity of antimicrobial resistance across several sectors globally</w:t>
      </w:r>
      <w:r w:rsidR="00F711E2">
        <w:rPr>
          <w:rFonts w:ascii="Times New Roman" w:eastAsia="Times New Roman" w:hAnsi="Times New Roman" w:cs="Times New Roman"/>
          <w:sz w:val="24"/>
          <w:szCs w:val="24"/>
        </w:rPr>
        <w:t xml:space="preserve"> </w:t>
      </w:r>
      <w:r w:rsidR="0094242C">
        <w:rPr>
          <w:rFonts w:ascii="Times New Roman" w:eastAsia="Times New Roman" w:hAnsi="Times New Roman" w:cs="Times New Roman"/>
          <w:sz w:val="24"/>
          <w:szCs w:val="24"/>
        </w:rPr>
        <w:fldChar w:fldCharType="begin"/>
      </w:r>
      <w:r w:rsidR="00F711E2">
        <w:rPr>
          <w:rFonts w:ascii="Times New Roman" w:eastAsia="Times New Roman" w:hAnsi="Times New Roman" w:cs="Times New Roman"/>
          <w:sz w:val="24"/>
          <w:szCs w:val="24"/>
        </w:rPr>
        <w:instrText xml:space="preserve"> ADDIN EN.CITE &lt;EndNote&gt;&lt;Cite&gt;&lt;Author&gt;Melander&lt;/Author&gt;&lt;Year&gt;2018&lt;/Year&gt;&lt;RecNum&gt;25434&lt;/RecNum&gt;&lt;DisplayText&gt;(22, 23)&lt;/DisplayText&gt;&lt;record&gt;&lt;rec-number&gt;25434&lt;/rec-number&gt;&lt;foreign-keys&gt;&lt;key app="EN" db-id="vsw9aww2f0sf9petez35wtev9xx99ap2ss5z" timestamp="1752043535"&gt;25434&lt;/key&gt;&lt;/foreign-keys&gt;&lt;ref-type name="Journal Article"&gt;17&lt;/ref-type&gt;&lt;contributors&gt;&lt;authors&gt;&lt;author&gt;Melander, R. J.&lt;/author&gt;&lt;author&gt;Zurawski, D. V.&lt;/author&gt;&lt;author&gt;Melander, C.&lt;/author&gt;&lt;/authors&gt;&lt;/contributors&gt;&lt;titles&gt;&lt;title&gt;Narrow-spectrum antibacterial agents&lt;/title&gt;&lt;secondary-title&gt;Medchemcomm.&lt;/secondary-title&gt;&lt;/titles&gt;&lt;periodical&gt;&lt;full-title&gt;Medchemcomm.&lt;/full-title&gt;&lt;/periodical&gt;&lt;volume&gt;9&lt;/volume&gt;&lt;dates&gt;&lt;year&gt;2018&lt;/year&gt;&lt;pub-dates&gt;&lt;date&gt;2018//&lt;/date&gt;&lt;/pub-dates&gt;&lt;/dates&gt;&lt;urls&gt;&lt;related-urls&gt;&lt;url&gt;https://doi.org/10.1039/C7MD00528H&lt;/url&gt;&lt;/related-urls&gt;&lt;/urls&gt;&lt;electronic-resource-num&gt;10.1039/C7MD00528H&lt;/electronic-resource-num&gt;&lt;/record&gt;&lt;/Cite&gt;&lt;Cite&gt;&lt;Author&gt;Prestinaci&lt;/Author&gt;&lt;Year&gt;2015&lt;/Year&gt;&lt;RecNum&gt;25429&lt;/RecNum&gt;&lt;record&gt;&lt;rec-number&gt;25429&lt;/rec-number&gt;&lt;foreign-keys&gt;&lt;key app="EN" db-id="vsw9aww2f0sf9petez35wtev9xx99ap2ss5z" timestamp="1752043535"&gt;25429&lt;/key&gt;&lt;/foreign-keys&gt;&lt;ref-type name="Journal Article"&gt;17&lt;/ref-type&gt;&lt;contributors&gt;&lt;authors&gt;&lt;author&gt;Prestinaci, F.&lt;/author&gt;&lt;author&gt;Pezzotti, P.&lt;/author&gt;&lt;author&gt;Pantosti, A.&lt;/author&gt;&lt;/authors&gt;&lt;/contributors&gt;&lt;titles&gt;&lt;title&gt;Antimicrobial resistance: a global multifaceted phenomenon&lt;/title&gt;&lt;secondary-title&gt;Pathog Glob Health&lt;/secondary-title&gt;&lt;/titles&gt;&lt;periodical&gt;&lt;full-title&gt;Pathog Glob Health&lt;/full-title&gt;&lt;/periodical&gt;&lt;volume&gt;109&lt;/volume&gt;&lt;dates&gt;&lt;year&gt;2015&lt;/year&gt;&lt;pub-dates&gt;&lt;date&gt;2015//&lt;/date&gt;&lt;/pub-dates&gt;&lt;/dates&gt;&lt;urls&gt;&lt;related-urls&gt;&lt;url&gt;https://doi.org/10.1179/2047773215Y.0000000030&lt;/url&gt;&lt;/related-urls&gt;&lt;/urls&gt;&lt;electronic-resource-num&gt;10.1179/2047773215Y.0000000030&lt;/electronic-resource-num&gt;&lt;/record&gt;&lt;/Cite&gt;&lt;/EndNote&gt;</w:instrText>
      </w:r>
      <w:r w:rsidR="0094242C">
        <w:rPr>
          <w:rFonts w:ascii="Times New Roman" w:eastAsia="Times New Roman" w:hAnsi="Times New Roman" w:cs="Times New Roman"/>
          <w:sz w:val="24"/>
          <w:szCs w:val="24"/>
        </w:rPr>
        <w:fldChar w:fldCharType="separate"/>
      </w:r>
      <w:r w:rsidR="00F711E2">
        <w:rPr>
          <w:rFonts w:ascii="Times New Roman" w:eastAsia="Times New Roman" w:hAnsi="Times New Roman" w:cs="Times New Roman"/>
          <w:noProof/>
          <w:sz w:val="24"/>
          <w:szCs w:val="24"/>
        </w:rPr>
        <w:t>(22, 23)</w:t>
      </w:r>
      <w:r w:rsidR="0094242C">
        <w:rPr>
          <w:rFonts w:ascii="Times New Roman" w:eastAsia="Times New Roman" w:hAnsi="Times New Roman" w:cs="Times New Roman"/>
          <w:sz w:val="24"/>
          <w:szCs w:val="24"/>
        </w:rPr>
        <w:fldChar w:fldCharType="end"/>
      </w:r>
      <w:r w:rsidRPr="00FD256B">
        <w:rPr>
          <w:rFonts w:ascii="Times New Roman" w:eastAsia="Times New Roman" w:hAnsi="Times New Roman" w:cs="Times New Roman"/>
          <w:sz w:val="24"/>
          <w:szCs w:val="24"/>
        </w:rPr>
        <w:t>.</w:t>
      </w:r>
    </w:p>
    <w:p w14:paraId="7863E37A" w14:textId="77777777" w:rsidR="00FD256B" w:rsidRPr="00FD256B" w:rsidRDefault="00FD256B" w:rsidP="00FD256B">
      <w:pPr>
        <w:pStyle w:val="ListParagraph"/>
        <w:numPr>
          <w:ilvl w:val="0"/>
          <w:numId w:val="2"/>
        </w:numPr>
        <w:spacing w:line="360" w:lineRule="auto"/>
        <w:jc w:val="both"/>
        <w:rPr>
          <w:rFonts w:ascii="Times New Roman" w:hAnsi="Times New Roman" w:cs="Times New Roman"/>
          <w:b/>
          <w:sz w:val="32"/>
          <w:szCs w:val="32"/>
        </w:rPr>
      </w:pPr>
      <w:r w:rsidRPr="00FD256B">
        <w:rPr>
          <w:rFonts w:ascii="Times New Roman" w:hAnsi="Times New Roman" w:cs="Times New Roman"/>
          <w:b/>
          <w:sz w:val="32"/>
          <w:szCs w:val="32"/>
        </w:rPr>
        <w:t>Results:</w:t>
      </w:r>
    </w:p>
    <w:p w14:paraId="2B1ABBA1" w14:textId="77777777" w:rsidR="00FD256B" w:rsidRDefault="00FD256B" w:rsidP="00FD256B">
      <w:pPr>
        <w:pStyle w:val="ListParagraph"/>
        <w:numPr>
          <w:ilvl w:val="1"/>
          <w:numId w:val="2"/>
        </w:numPr>
        <w:spacing w:line="360" w:lineRule="auto"/>
        <w:jc w:val="both"/>
        <w:rPr>
          <w:rFonts w:ascii="Times New Roman" w:hAnsi="Times New Roman" w:cs="Times New Roman"/>
          <w:b/>
          <w:sz w:val="28"/>
          <w:szCs w:val="28"/>
        </w:rPr>
      </w:pPr>
      <w:r w:rsidRPr="00FD256B">
        <w:rPr>
          <w:rFonts w:ascii="Times New Roman" w:hAnsi="Times New Roman" w:cs="Times New Roman"/>
          <w:b/>
          <w:sz w:val="28"/>
          <w:szCs w:val="28"/>
        </w:rPr>
        <w:t>Prevalence of Resistance:</w:t>
      </w:r>
    </w:p>
    <w:p w14:paraId="3B9CD027" w14:textId="22EC4A32" w:rsidR="00FD256B" w:rsidRPr="00FD256B" w:rsidRDefault="00FD256B" w:rsidP="00FD256B">
      <w:pPr>
        <w:spacing w:after="0" w:line="360" w:lineRule="auto"/>
        <w:jc w:val="both"/>
        <w:rPr>
          <w:rFonts w:ascii="Times New Roman" w:eastAsia="Times New Roman" w:hAnsi="Times New Roman" w:cs="Times New Roman"/>
          <w:sz w:val="24"/>
          <w:szCs w:val="24"/>
        </w:rPr>
      </w:pPr>
      <w:r w:rsidRPr="00FD256B">
        <w:rPr>
          <w:rFonts w:ascii="Times New Roman" w:eastAsia="Times New Roman" w:hAnsi="Times New Roman" w:cs="Times New Roman"/>
          <w:sz w:val="24"/>
          <w:szCs w:val="24"/>
        </w:rPr>
        <w:t>Antimicrobial resistance has reached alarming levels in certain infections critical to healthcare. Escherichia coli and Klebsiella pneumoniae are two Gram-negative bacteria notably resistant to fluoroquinolones and third-generation cephalosporins</w:t>
      </w:r>
      <w:r w:rsidR="00F711E2">
        <w:rPr>
          <w:rFonts w:ascii="Times New Roman" w:eastAsia="Times New Roman" w:hAnsi="Times New Roman" w:cs="Times New Roman"/>
          <w:sz w:val="24"/>
          <w:szCs w:val="24"/>
        </w:rPr>
        <w:t xml:space="preserve"> </w:t>
      </w:r>
      <w:r w:rsidR="0094242C">
        <w:rPr>
          <w:rFonts w:ascii="Times New Roman" w:eastAsia="Times New Roman" w:hAnsi="Times New Roman" w:cs="Times New Roman"/>
          <w:sz w:val="24"/>
          <w:szCs w:val="24"/>
        </w:rPr>
        <w:fldChar w:fldCharType="begin"/>
      </w:r>
      <w:r w:rsidR="00F711E2">
        <w:rPr>
          <w:rFonts w:ascii="Times New Roman" w:eastAsia="Times New Roman" w:hAnsi="Times New Roman" w:cs="Times New Roman"/>
          <w:sz w:val="24"/>
          <w:szCs w:val="24"/>
        </w:rPr>
        <w:instrText xml:space="preserve"> ADDIN EN.CITE &lt;EndNote&gt;&lt;Cite&gt;&lt;Author&gt;Rezasoltani&lt;/Author&gt;&lt;Year&gt;2020&lt;/Year&gt;&lt;RecNum&gt;25428&lt;/RecNum&gt;&lt;DisplayText&gt;(24, 25)&lt;/DisplayText&gt;&lt;record&gt;&lt;rec-number&gt;25428&lt;/rec-number&gt;&lt;foreign-keys&gt;&lt;key app="EN" db-id="vsw9aww2f0sf9petez35wtev9xx99ap2ss5z" timestamp="1752043535"&gt;25428&lt;/key&gt;&lt;/foreign-keys&gt;&lt;ref-type name="Journal Article"&gt;17&lt;/ref-type&gt;&lt;contributors&gt;&lt;authors&gt;&lt;author&gt;Rezasoltani, S.&lt;/author&gt;&lt;author&gt;Yadegar, A.&lt;/author&gt;&lt;author&gt;Hatami, B.&lt;/author&gt;&lt;author&gt;Asadzadeh Aghdaei, H.&lt;/author&gt;&lt;author&gt;Zali, M. R.&lt;/author&gt;&lt;/authors&gt;&lt;/contributors&gt;&lt;titles&gt;&lt;title&gt;Antimicrobial resistance as a hidden menace lurking behind the COVID-19 outbreak: the global impacts of too much hygiene on AMR&lt;/title&gt;&lt;secondary-title&gt;Front Microbiol&lt;/secondary-title&gt;&lt;/titles&gt;&lt;periodical&gt;&lt;full-title&gt;Front Microbiol&lt;/full-title&gt;&lt;/periodical&gt;&lt;volume&gt;11&lt;/volume&gt;&lt;dates&gt;&lt;year&gt;2020&lt;/year&gt;&lt;pub-dates&gt;&lt;date&gt;2020//&lt;/date&gt;&lt;/pub-dates&gt;&lt;/dates&gt;&lt;urls&gt;&lt;related-urls&gt;&lt;url&gt;https://doi.org/10.3389/fmicb.2020.590683&lt;/url&gt;&lt;/related-urls&gt;&lt;/urls&gt;&lt;electronic-resource-num&gt;10.3389/fmicb.2020.590683&lt;/electronic-resource-num&gt;&lt;/record&gt;&lt;/Cite&gt;&lt;Cite&gt;&lt;Author&gt;Sharifipour&lt;/Author&gt;&lt;Year&gt;2020&lt;/Year&gt;&lt;RecNum&gt;25436&lt;/RecNum&gt;&lt;record&gt;&lt;rec-number&gt;25436&lt;/rec-number&gt;&lt;foreign-keys&gt;&lt;key app="EN" db-id="vsw9aww2f0sf9petez35wtev9xx99ap2ss5z" timestamp="1752043535"&gt;25436&lt;/key&gt;&lt;/foreign-keys&gt;&lt;ref-type name="Journal Article"&gt;17&lt;/ref-type&gt;&lt;contributors&gt;&lt;authors&gt;&lt;author&gt;Sharifipour, E.&lt;/author&gt;&lt;author&gt;Shams, S.&lt;/author&gt;&lt;author&gt;Esmkhani, M.&lt;/author&gt;&lt;/authors&gt;&lt;/contributors&gt;&lt;titles&gt;&lt;title&gt;Evaluation of bacterial co-infections of the respiratory tract in COVID-19 patients admitted to ICU&lt;/title&gt;&lt;secondary-title&gt;BMC Infect Dis&lt;/secondary-title&gt;&lt;/titles&gt;&lt;periodical&gt;&lt;full-title&gt;BMC Infect Dis&lt;/full-title&gt;&lt;/periodical&gt;&lt;volume&gt;20&lt;/volume&gt;&lt;dates&gt;&lt;year&gt;2020&lt;/year&gt;&lt;pub-dates&gt;&lt;date&gt;2020//&lt;/date&gt;&lt;/pub-dates&gt;&lt;/dates&gt;&lt;urls&gt;&lt;related-urls&gt;&lt;url&gt;https://doi.org/10.1186/s12879-020-05374-z&lt;/url&gt;&lt;/related-urls&gt;&lt;/urls&gt;&lt;electronic-resource-num&gt;10.1186/s12879-020-05374-z&lt;/electronic-resource-num&gt;&lt;/record&gt;&lt;/Cite&gt;&lt;/EndNote&gt;</w:instrText>
      </w:r>
      <w:r w:rsidR="0094242C">
        <w:rPr>
          <w:rFonts w:ascii="Times New Roman" w:eastAsia="Times New Roman" w:hAnsi="Times New Roman" w:cs="Times New Roman"/>
          <w:sz w:val="24"/>
          <w:szCs w:val="24"/>
        </w:rPr>
        <w:fldChar w:fldCharType="separate"/>
      </w:r>
      <w:r w:rsidR="00F711E2">
        <w:rPr>
          <w:rFonts w:ascii="Times New Roman" w:eastAsia="Times New Roman" w:hAnsi="Times New Roman" w:cs="Times New Roman"/>
          <w:noProof/>
          <w:sz w:val="24"/>
          <w:szCs w:val="24"/>
        </w:rPr>
        <w:t>(24, 25)</w:t>
      </w:r>
      <w:r w:rsidR="0094242C">
        <w:rPr>
          <w:rFonts w:ascii="Times New Roman" w:eastAsia="Times New Roman" w:hAnsi="Times New Roman" w:cs="Times New Roman"/>
          <w:sz w:val="24"/>
          <w:szCs w:val="24"/>
        </w:rPr>
        <w:fldChar w:fldCharType="end"/>
      </w:r>
      <w:r w:rsidRPr="00FD256B">
        <w:rPr>
          <w:rFonts w:ascii="Times New Roman" w:eastAsia="Times New Roman" w:hAnsi="Times New Roman" w:cs="Times New Roman"/>
          <w:sz w:val="24"/>
          <w:szCs w:val="24"/>
        </w:rPr>
        <w:t>. For instance, more than 75% of E. coli and 68% of K. pneumoniae isolates exhibit resistance, complicating the treatment of urinary trac</w:t>
      </w:r>
      <w:r>
        <w:rPr>
          <w:rFonts w:ascii="Times New Roman" w:eastAsia="Times New Roman" w:hAnsi="Times New Roman" w:cs="Times New Roman"/>
          <w:sz w:val="24"/>
          <w:szCs w:val="24"/>
        </w:rPr>
        <w:t xml:space="preserve">t and bloodstream infections. </w:t>
      </w:r>
      <w:r w:rsidRPr="00FD256B">
        <w:rPr>
          <w:rFonts w:ascii="Times New Roman" w:eastAsia="Times New Roman" w:hAnsi="Times New Roman" w:cs="Times New Roman"/>
          <w:sz w:val="24"/>
          <w:szCs w:val="24"/>
        </w:rPr>
        <w:t>Acinetobacter baumannii is among the most resistant pathogens globally</w:t>
      </w:r>
      <w:r w:rsidRPr="00E97FE6">
        <w:rPr>
          <w:rFonts w:ascii="Times New Roman" w:eastAsia="Times New Roman" w:hAnsi="Times New Roman" w:cs="Times New Roman"/>
          <w:sz w:val="24"/>
          <w:szCs w:val="24"/>
          <w:highlight w:val="yellow"/>
        </w:rPr>
        <w:t xml:space="preserve">. </w:t>
      </w:r>
      <w:proofErr w:type="spellStart"/>
      <w:r w:rsidRPr="00E97FE6">
        <w:rPr>
          <w:rFonts w:ascii="Times New Roman" w:eastAsia="Times New Roman" w:hAnsi="Times New Roman" w:cs="Times New Roman"/>
          <w:sz w:val="24"/>
          <w:szCs w:val="24"/>
          <w:highlight w:val="yellow"/>
        </w:rPr>
        <w:t>Eight</w:t>
      </w:r>
      <w:r w:rsidR="00D005EC" w:rsidRPr="00E97FE6">
        <w:rPr>
          <w:rFonts w:ascii="Times New Roman" w:eastAsia="Times New Roman" w:hAnsi="Times New Roman" w:cs="Times New Roman"/>
          <w:sz w:val="24"/>
          <w:szCs w:val="24"/>
          <w:highlight w:val="yellow"/>
        </w:rPr>
        <w:t>yy</w:t>
      </w:r>
      <w:proofErr w:type="spellEnd"/>
      <w:r w:rsidR="00D005EC" w:rsidRPr="00E97FE6">
        <w:rPr>
          <w:rFonts w:ascii="Times New Roman" w:eastAsia="Times New Roman" w:hAnsi="Times New Roman" w:cs="Times New Roman"/>
          <w:sz w:val="24"/>
          <w:szCs w:val="24"/>
          <w:highlight w:val="yellow"/>
        </w:rPr>
        <w:t xml:space="preserve">-two per </w:t>
      </w:r>
      <w:r w:rsidRPr="00E97FE6">
        <w:rPr>
          <w:rFonts w:ascii="Times New Roman" w:eastAsia="Times New Roman" w:hAnsi="Times New Roman" w:cs="Times New Roman"/>
          <w:sz w:val="24"/>
          <w:szCs w:val="24"/>
          <w:highlight w:val="yellow"/>
        </w:rPr>
        <w:t xml:space="preserve">cent of isolates exhibited resistance to carbapenems, antibiotics </w:t>
      </w:r>
      <w:proofErr w:type="spellStart"/>
      <w:r w:rsidR="00D005EC" w:rsidRPr="00E97FE6">
        <w:rPr>
          <w:rFonts w:ascii="Times New Roman" w:eastAsia="Times New Roman" w:hAnsi="Times New Roman" w:cs="Times New Roman"/>
          <w:sz w:val="24"/>
          <w:szCs w:val="24"/>
          <w:highlight w:val="yellow"/>
        </w:rPr>
        <w:t>utili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solely as a last resort. Ps</w:t>
      </w:r>
      <w:r w:rsidRPr="00FD256B">
        <w:rPr>
          <w:rFonts w:ascii="Times New Roman" w:eastAsia="Times New Roman" w:hAnsi="Times New Roman" w:cs="Times New Roman"/>
          <w:sz w:val="24"/>
          <w:szCs w:val="24"/>
        </w:rPr>
        <w:t>eudomonas aeruginosa exhibits significant resistance (60%) to various classes of medications, including a</w:t>
      </w:r>
      <w:r w:rsidR="00204379">
        <w:rPr>
          <w:rFonts w:ascii="Times New Roman" w:eastAsia="Times New Roman" w:hAnsi="Times New Roman" w:cs="Times New Roman"/>
          <w:sz w:val="24"/>
          <w:szCs w:val="24"/>
        </w:rPr>
        <w:t xml:space="preserve">minoglycosides and β-lactams.  </w:t>
      </w:r>
      <w:r w:rsidRPr="00FD256B">
        <w:rPr>
          <w:rFonts w:ascii="Times New Roman" w:eastAsia="Times New Roman" w:hAnsi="Times New Roman" w:cs="Times New Roman"/>
          <w:sz w:val="24"/>
          <w:szCs w:val="24"/>
        </w:rPr>
        <w:t>Methicillin-resistant Staphylococcus aureus (MRSA) remains a significant issue in healthcare settings, with approximately 56% of clinical is</w:t>
      </w:r>
      <w:r w:rsidR="00204379">
        <w:rPr>
          <w:rFonts w:ascii="Times New Roman" w:eastAsia="Times New Roman" w:hAnsi="Times New Roman" w:cs="Times New Roman"/>
          <w:sz w:val="24"/>
          <w:szCs w:val="24"/>
        </w:rPr>
        <w:t xml:space="preserve">olates exhibiting resistance.  </w:t>
      </w:r>
      <w:r w:rsidRPr="00FD256B">
        <w:rPr>
          <w:rFonts w:ascii="Times New Roman" w:eastAsia="Times New Roman" w:hAnsi="Times New Roman" w:cs="Times New Roman"/>
          <w:sz w:val="24"/>
          <w:szCs w:val="24"/>
        </w:rPr>
        <w:t>Tuberculosis, particularly its multidrug-resistant variant (MDR-TB), is a significant global health issue, notably in South Asia and Sub-Saharan Africa. Research indicates that 49% of MDR-TB cases exhibit resistance to first-line anti-TB medications, such as isoniazid and rifampicin, complicating t</w:t>
      </w:r>
      <w:r w:rsidR="00204379">
        <w:rPr>
          <w:rFonts w:ascii="Times New Roman" w:eastAsia="Times New Roman" w:hAnsi="Times New Roman" w:cs="Times New Roman"/>
          <w:sz w:val="24"/>
          <w:szCs w:val="24"/>
        </w:rPr>
        <w:t xml:space="preserve">heir treatment </w:t>
      </w:r>
      <w:r w:rsidR="00204379">
        <w:rPr>
          <w:rFonts w:ascii="Times New Roman" w:eastAsia="Times New Roman" w:hAnsi="Times New Roman" w:cs="Times New Roman"/>
          <w:sz w:val="24"/>
          <w:szCs w:val="24"/>
        </w:rPr>
        <w:lastRenderedPageBreak/>
        <w:t>significantly. The</w:t>
      </w:r>
      <w:r w:rsidRPr="00FD256B">
        <w:rPr>
          <w:rFonts w:ascii="Times New Roman" w:eastAsia="Times New Roman" w:hAnsi="Times New Roman" w:cs="Times New Roman"/>
          <w:sz w:val="24"/>
          <w:szCs w:val="24"/>
        </w:rPr>
        <w:t xml:space="preserve"> chart below illustrates the prevalence of resistance among these significant diseases</w:t>
      </w:r>
      <w:r w:rsidR="00F711E2">
        <w:rPr>
          <w:rFonts w:ascii="Times New Roman" w:eastAsia="Times New Roman" w:hAnsi="Times New Roman" w:cs="Times New Roman"/>
          <w:sz w:val="24"/>
          <w:szCs w:val="24"/>
        </w:rPr>
        <w:t xml:space="preserve"> </w:t>
      </w:r>
      <w:r w:rsidR="0094242C">
        <w:rPr>
          <w:rFonts w:ascii="Times New Roman" w:eastAsia="Times New Roman" w:hAnsi="Times New Roman" w:cs="Times New Roman"/>
          <w:sz w:val="24"/>
          <w:szCs w:val="24"/>
        </w:rPr>
        <w:fldChar w:fldCharType="begin"/>
      </w:r>
      <w:r w:rsidR="00F711E2">
        <w:rPr>
          <w:rFonts w:ascii="Times New Roman" w:eastAsia="Times New Roman" w:hAnsi="Times New Roman" w:cs="Times New Roman"/>
          <w:sz w:val="24"/>
          <w:szCs w:val="24"/>
        </w:rPr>
        <w:instrText xml:space="preserve"> ADDIN EN.CITE &lt;EndNote&gt;&lt;Cite&gt;&lt;Author&gt;Sonmezer&lt;/Author&gt;&lt;Year&gt;2016&lt;/Year&gt;&lt;RecNum&gt;25433&lt;/RecNum&gt;&lt;DisplayText&gt;(26)&lt;/DisplayText&gt;&lt;record&gt;&lt;rec-number&gt;25433&lt;/rec-number&gt;&lt;foreign-keys&gt;&lt;key app="EN" db-id="vsw9aww2f0sf9petez35wtev9xx99ap2ss5z" timestamp="1752043535"&gt;25433&lt;/key&gt;&lt;/foreign-keys&gt;&lt;ref-type name="Journal Article"&gt;17&lt;/ref-type&gt;&lt;contributors&gt;&lt;authors&gt;&lt;author&gt;Sonmezer, M. C.&lt;/author&gt;&lt;author&gt;Ertem, G.&lt;/author&gt;&lt;author&gt;Erdinc, F. S.&lt;/author&gt;&lt;author&gt;Kaya Kilic, E.&lt;/author&gt;&lt;author&gt;Tulek, N.&lt;/author&gt;&lt;author&gt;Adiloglu, A.&lt;/author&gt;&lt;author&gt;Hatipoglu, C.&lt;/author&gt;&lt;/authors&gt;&lt;/contributors&gt;&lt;titles&gt;&lt;title&gt;Evaluation of risk factors for antibiotic resistance in patients with nosocomial infections caused by Pseudomonas aeruginosa&lt;/title&gt;&lt;secondary-title&gt;Can J Infect Dis Med Microbiol&lt;/secondary-title&gt;&lt;/titles&gt;&lt;periodical&gt;&lt;full-title&gt;Can J Infect Dis Med Microbiol&lt;/full-title&gt;&lt;/periodical&gt;&lt;volume&gt;2016&lt;/volume&gt;&lt;dates&gt;&lt;year&gt;2016&lt;/year&gt;&lt;pub-dates&gt;&lt;date&gt;2016//&lt;/date&gt;&lt;/pub-dates&gt;&lt;/dates&gt;&lt;urls&gt;&lt;related-urls&gt;&lt;url&gt;https://doi.org/10.1155/2016/1321487&lt;/url&gt;&lt;/related-urls&gt;&lt;/urls&gt;&lt;electronic-resource-num&gt;10.1155/2016/1321487&lt;/electronic-resource-num&gt;&lt;/record&gt;&lt;/Cite&gt;&lt;/EndNote&gt;</w:instrText>
      </w:r>
      <w:r w:rsidR="0094242C">
        <w:rPr>
          <w:rFonts w:ascii="Times New Roman" w:eastAsia="Times New Roman" w:hAnsi="Times New Roman" w:cs="Times New Roman"/>
          <w:sz w:val="24"/>
          <w:szCs w:val="24"/>
        </w:rPr>
        <w:fldChar w:fldCharType="separate"/>
      </w:r>
      <w:r w:rsidR="00F711E2">
        <w:rPr>
          <w:rFonts w:ascii="Times New Roman" w:eastAsia="Times New Roman" w:hAnsi="Times New Roman" w:cs="Times New Roman"/>
          <w:noProof/>
          <w:sz w:val="24"/>
          <w:szCs w:val="24"/>
        </w:rPr>
        <w:t>(26)</w:t>
      </w:r>
      <w:r w:rsidR="0094242C">
        <w:rPr>
          <w:rFonts w:ascii="Times New Roman" w:eastAsia="Times New Roman" w:hAnsi="Times New Roman" w:cs="Times New Roman"/>
          <w:sz w:val="24"/>
          <w:szCs w:val="24"/>
        </w:rPr>
        <w:fldChar w:fldCharType="end"/>
      </w:r>
      <w:r w:rsidRPr="00FD256B">
        <w:rPr>
          <w:rFonts w:ascii="Times New Roman" w:eastAsia="Times New Roman" w:hAnsi="Times New Roman" w:cs="Times New Roman"/>
          <w:sz w:val="24"/>
          <w:szCs w:val="24"/>
        </w:rPr>
        <w:t>.</w:t>
      </w:r>
    </w:p>
    <w:p w14:paraId="09EA38A5" w14:textId="77777777" w:rsidR="00204379" w:rsidRDefault="00204379" w:rsidP="00204379">
      <w:pPr>
        <w:keepNext/>
        <w:spacing w:line="360" w:lineRule="auto"/>
        <w:jc w:val="both"/>
      </w:pPr>
      <w:r>
        <w:rPr>
          <w:rFonts w:ascii="Times New Roman" w:hAnsi="Times New Roman" w:cs="Times New Roman"/>
          <w:b/>
          <w:noProof/>
          <w:sz w:val="28"/>
          <w:szCs w:val="28"/>
        </w:rPr>
        <w:drawing>
          <wp:inline distT="0" distB="0" distL="0" distR="0" wp14:anchorId="3019EA79" wp14:editId="6D44E238">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8BC890" w14:textId="5DE72F5D" w:rsidR="00FD256B" w:rsidRPr="00FD256B" w:rsidRDefault="00204379" w:rsidP="00204379">
      <w:pPr>
        <w:pStyle w:val="Caption"/>
        <w:jc w:val="both"/>
        <w:rPr>
          <w:rFonts w:ascii="Times New Roman" w:hAnsi="Times New Roman" w:cs="Times New Roman"/>
          <w:sz w:val="28"/>
          <w:szCs w:val="28"/>
        </w:rPr>
      </w:pPr>
      <w:r>
        <w:t xml:space="preserve">Figure </w:t>
      </w:r>
      <w:r w:rsidR="004E4128" w:rsidRPr="00E97FE6">
        <w:rPr>
          <w:highlight w:val="yellow"/>
        </w:rPr>
        <w:fldChar w:fldCharType="begin"/>
      </w:r>
      <w:r w:rsidR="004E4128" w:rsidRPr="00E97FE6">
        <w:rPr>
          <w:highlight w:val="yellow"/>
        </w:rPr>
        <w:instrText xml:space="preserve"> SEQ Figure \* ARABIC </w:instrText>
      </w:r>
      <w:r w:rsidR="004E4128" w:rsidRPr="00E97FE6">
        <w:rPr>
          <w:highlight w:val="yellow"/>
        </w:rPr>
        <w:fldChar w:fldCharType="separate"/>
      </w:r>
      <w:r w:rsidR="008D2017" w:rsidRPr="00E97FE6">
        <w:rPr>
          <w:noProof/>
          <w:highlight w:val="yellow"/>
        </w:rPr>
        <w:t>2</w:t>
      </w:r>
      <w:r w:rsidR="004E4128" w:rsidRPr="00E97FE6">
        <w:rPr>
          <w:noProof/>
          <w:highlight w:val="yellow"/>
        </w:rPr>
        <w:fldChar w:fldCharType="end"/>
      </w:r>
      <w:r w:rsidRPr="00E97FE6">
        <w:rPr>
          <w:highlight w:val="yellow"/>
        </w:rPr>
        <w:t xml:space="preserve"> </w:t>
      </w:r>
      <w:r w:rsidR="00D005EC" w:rsidRPr="00E97FE6">
        <w:rPr>
          <w:highlight w:val="yellow"/>
        </w:rPr>
        <w:t>T</w:t>
      </w:r>
      <w:r w:rsidR="00D005EC" w:rsidRPr="00E97FE6">
        <w:rPr>
          <w:highlight w:val="yellow"/>
        </w:rPr>
        <w:t xml:space="preserve">he </w:t>
      </w:r>
      <w:r w:rsidRPr="00E97FE6">
        <w:rPr>
          <w:highlight w:val="yellow"/>
        </w:rPr>
        <w:t>prevalence of resist</w:t>
      </w:r>
      <w:r w:rsidRPr="007D544E">
        <w:t>ance among these significant diseases</w:t>
      </w:r>
    </w:p>
    <w:p w14:paraId="029A261E" w14:textId="77777777" w:rsidR="00FD256B" w:rsidRDefault="00204379" w:rsidP="00204379">
      <w:pPr>
        <w:pStyle w:val="ListParagraph"/>
        <w:numPr>
          <w:ilvl w:val="1"/>
          <w:numId w:val="2"/>
        </w:numPr>
        <w:spacing w:line="360" w:lineRule="auto"/>
        <w:jc w:val="both"/>
        <w:rPr>
          <w:rFonts w:ascii="Times New Roman" w:hAnsi="Times New Roman" w:cs="Times New Roman"/>
          <w:b/>
          <w:sz w:val="28"/>
          <w:szCs w:val="28"/>
        </w:rPr>
      </w:pPr>
      <w:r w:rsidRPr="00204379">
        <w:rPr>
          <w:rFonts w:ascii="Times New Roman" w:hAnsi="Times New Roman" w:cs="Times New Roman"/>
          <w:b/>
          <w:sz w:val="28"/>
          <w:szCs w:val="28"/>
        </w:rPr>
        <w:t>Key Resistance Mechanisms</w:t>
      </w:r>
      <w:r>
        <w:rPr>
          <w:rFonts w:ascii="Times New Roman" w:hAnsi="Times New Roman" w:cs="Times New Roman"/>
          <w:b/>
          <w:sz w:val="28"/>
          <w:szCs w:val="28"/>
        </w:rPr>
        <w:t>:</w:t>
      </w:r>
    </w:p>
    <w:p w14:paraId="6EB4EC4A"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Microorganisms employ several molecular methods to survive exposure to antimicrobials, rendering previously effective therapies ineffective. Certain methods of resistance are innate, whereas others arise from mutations and horizontal gene transfer</w:t>
      </w:r>
      <w:r>
        <w:rPr>
          <w:rFonts w:ascii="Times New Roman" w:eastAsia="Times New Roman" w:hAnsi="Times New Roman" w:cs="Times New Roman"/>
          <w:sz w:val="24"/>
          <w:szCs w:val="24"/>
        </w:rPr>
        <w:t>. The primary methods are</w:t>
      </w:r>
      <w:r w:rsidR="00C109F8">
        <w:rPr>
          <w:rFonts w:ascii="Times New Roman" w:eastAsia="Times New Roman" w:hAnsi="Times New Roman" w:cs="Times New Roman"/>
          <w:sz w:val="24"/>
          <w:szCs w:val="24"/>
        </w:rPr>
        <w:t xml:space="preserve"> (27-41)</w:t>
      </w:r>
      <w:r>
        <w:rPr>
          <w:rFonts w:ascii="Times New Roman" w:eastAsia="Times New Roman" w:hAnsi="Times New Roman" w:cs="Times New Roman"/>
          <w:sz w:val="24"/>
          <w:szCs w:val="24"/>
        </w:rPr>
        <w:t>:</w:t>
      </w:r>
    </w:p>
    <w:p w14:paraId="2DD9D736" w14:textId="77777777" w:rsidR="00204379" w:rsidRPr="00204379" w:rsidRDefault="00204379" w:rsidP="00204379">
      <w:pPr>
        <w:pStyle w:val="ListParagraph"/>
        <w:numPr>
          <w:ilvl w:val="2"/>
          <w:numId w:val="2"/>
        </w:numPr>
        <w:spacing w:after="0" w:line="360" w:lineRule="auto"/>
        <w:jc w:val="both"/>
        <w:rPr>
          <w:rFonts w:ascii="Times New Roman" w:eastAsia="Times New Roman" w:hAnsi="Times New Roman" w:cs="Times New Roman"/>
          <w:b/>
          <w:sz w:val="24"/>
          <w:szCs w:val="24"/>
        </w:rPr>
      </w:pPr>
      <w:r w:rsidRPr="00204379">
        <w:rPr>
          <w:rFonts w:ascii="Times New Roman" w:eastAsia="Times New Roman" w:hAnsi="Times New Roman" w:cs="Times New Roman"/>
          <w:b/>
          <w:sz w:val="24"/>
          <w:szCs w:val="24"/>
        </w:rPr>
        <w:t>Enzymatic inactivation:</w:t>
      </w:r>
    </w:p>
    <w:p w14:paraId="1921F4A2"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This is the predominant mechanism by which bacteria, particularly Gram-negative bacteria, resist antibiotics. Microorganisms produce enzymes that modify or degrade antibiotics prior to their efficacy. For example, β-lactamases such as extended-spectrum β-lactamases (ESBLs) and </w:t>
      </w:r>
      <w:proofErr w:type="spellStart"/>
      <w:r w:rsidRPr="00204379">
        <w:rPr>
          <w:rFonts w:ascii="Times New Roman" w:eastAsia="Times New Roman" w:hAnsi="Times New Roman" w:cs="Times New Roman"/>
          <w:sz w:val="24"/>
          <w:szCs w:val="24"/>
        </w:rPr>
        <w:t>carbapenemases</w:t>
      </w:r>
      <w:proofErr w:type="spellEnd"/>
      <w:r w:rsidRPr="00204379">
        <w:rPr>
          <w:rFonts w:ascii="Times New Roman" w:eastAsia="Times New Roman" w:hAnsi="Times New Roman" w:cs="Times New Roman"/>
          <w:sz w:val="24"/>
          <w:szCs w:val="24"/>
        </w:rPr>
        <w:t xml:space="preserve"> like NDM-1 degrade β-lactam antibiotics, rendering them ineffective. </w:t>
      </w:r>
    </w:p>
    <w:p w14:paraId="46B29F4D" w14:textId="77777777" w:rsidR="00204379" w:rsidRPr="00204379" w:rsidRDefault="00204379" w:rsidP="00204379">
      <w:pPr>
        <w:pStyle w:val="ListParagraph"/>
        <w:numPr>
          <w:ilvl w:val="2"/>
          <w:numId w:val="2"/>
        </w:numPr>
        <w:spacing w:after="0" w:line="360" w:lineRule="auto"/>
        <w:jc w:val="both"/>
        <w:rPr>
          <w:rFonts w:ascii="Times New Roman" w:hAnsi="Times New Roman" w:cs="Times New Roman"/>
          <w:b/>
          <w:sz w:val="24"/>
          <w:szCs w:val="24"/>
        </w:rPr>
      </w:pPr>
      <w:r w:rsidRPr="00204379">
        <w:rPr>
          <w:rFonts w:ascii="Times New Roman" w:hAnsi="Times New Roman" w:cs="Times New Roman"/>
          <w:b/>
          <w:sz w:val="24"/>
          <w:szCs w:val="24"/>
        </w:rPr>
        <w:t>Efflux Pumps:</w:t>
      </w:r>
    </w:p>
    <w:p w14:paraId="4D962C81" w14:textId="0910DC6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Efflux pumps are membrane-integrated proteins in bacteria that expel antimicrobial agents from the cell. These pumps reduce the intracellular concentration of antibiotics, enabling bacterial </w:t>
      </w:r>
      <w:r w:rsidRPr="00204379">
        <w:rPr>
          <w:rFonts w:ascii="Times New Roman" w:eastAsia="Times New Roman" w:hAnsi="Times New Roman" w:cs="Times New Roman"/>
          <w:sz w:val="24"/>
          <w:szCs w:val="24"/>
        </w:rPr>
        <w:lastRenderedPageBreak/>
        <w:t xml:space="preserve">survival. Efflux systems such as </w:t>
      </w:r>
      <w:proofErr w:type="spellStart"/>
      <w:r w:rsidRPr="00204379">
        <w:rPr>
          <w:rFonts w:ascii="Times New Roman" w:eastAsia="Times New Roman" w:hAnsi="Times New Roman" w:cs="Times New Roman"/>
          <w:sz w:val="24"/>
          <w:szCs w:val="24"/>
        </w:rPr>
        <w:t>AcrAB-TolC</w:t>
      </w:r>
      <w:proofErr w:type="spellEnd"/>
      <w:r w:rsidRPr="00204379">
        <w:rPr>
          <w:rFonts w:ascii="Times New Roman" w:eastAsia="Times New Roman" w:hAnsi="Times New Roman" w:cs="Times New Roman"/>
          <w:sz w:val="24"/>
          <w:szCs w:val="24"/>
        </w:rPr>
        <w:t xml:space="preserve"> in Escherichia coli and </w:t>
      </w:r>
      <w:proofErr w:type="spellStart"/>
      <w:r w:rsidRPr="00204379">
        <w:rPr>
          <w:rFonts w:ascii="Times New Roman" w:eastAsia="Times New Roman" w:hAnsi="Times New Roman" w:cs="Times New Roman"/>
          <w:sz w:val="24"/>
          <w:szCs w:val="24"/>
        </w:rPr>
        <w:t>MexAB-OprM</w:t>
      </w:r>
      <w:proofErr w:type="spellEnd"/>
      <w:r w:rsidRPr="00204379">
        <w:rPr>
          <w:rFonts w:ascii="Times New Roman" w:eastAsia="Times New Roman" w:hAnsi="Times New Roman" w:cs="Times New Roman"/>
          <w:sz w:val="24"/>
          <w:szCs w:val="24"/>
        </w:rPr>
        <w:t xml:space="preserve"> in Pseudomonas aeruginosa confer multidr</w:t>
      </w:r>
      <w:r>
        <w:rPr>
          <w:rFonts w:ascii="Times New Roman" w:eastAsia="Times New Roman" w:hAnsi="Times New Roman" w:cs="Times New Roman"/>
          <w:sz w:val="24"/>
          <w:szCs w:val="24"/>
        </w:rPr>
        <w:t xml:space="preserve">ug resistance to bacteria. </w:t>
      </w:r>
    </w:p>
    <w:p w14:paraId="15364169" w14:textId="77777777" w:rsidR="008D2017" w:rsidRDefault="008D2017" w:rsidP="008D2017">
      <w:pPr>
        <w:keepNext/>
        <w:spacing w:after="0" w:line="360" w:lineRule="auto"/>
        <w:jc w:val="both"/>
      </w:pPr>
      <w:r>
        <w:rPr>
          <w:rFonts w:ascii="Times New Roman" w:eastAsia="Times New Roman" w:hAnsi="Times New Roman" w:cs="Times New Roman"/>
          <w:noProof/>
          <w:sz w:val="24"/>
          <w:szCs w:val="24"/>
        </w:rPr>
        <w:drawing>
          <wp:inline distT="0" distB="0" distL="0" distR="0" wp14:anchorId="06A77C61" wp14:editId="625B366E">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7805E0" w14:textId="77777777" w:rsidR="008D2017" w:rsidRDefault="008D2017" w:rsidP="008D2017">
      <w:pPr>
        <w:pStyle w:val="Caption"/>
        <w:jc w:val="both"/>
        <w:rPr>
          <w:rFonts w:ascii="Times New Roman" w:eastAsia="Times New Roman" w:hAnsi="Times New Roman" w:cs="Times New Roman"/>
          <w:sz w:val="24"/>
          <w:szCs w:val="24"/>
        </w:rPr>
      </w:pPr>
      <w:r>
        <w:t xml:space="preserve">Figure </w:t>
      </w:r>
      <w:r w:rsidR="0094242C">
        <w:fldChar w:fldCharType="begin"/>
      </w:r>
      <w:r>
        <w:instrText xml:space="preserve"> SEQ Figure \* ARABIC </w:instrText>
      </w:r>
      <w:r w:rsidR="0094242C">
        <w:fldChar w:fldCharType="separate"/>
      </w:r>
      <w:r>
        <w:rPr>
          <w:noProof/>
        </w:rPr>
        <w:t>3</w:t>
      </w:r>
      <w:r w:rsidR="0094242C">
        <w:fldChar w:fldCharType="end"/>
      </w:r>
      <w:r>
        <w:t xml:space="preserve"> </w:t>
      </w:r>
      <w:r w:rsidRPr="00741629">
        <w:t>Distribution Of Major Antimicrobial Resistance Mechanisms</w:t>
      </w:r>
    </w:p>
    <w:p w14:paraId="60864D12" w14:textId="77777777" w:rsidR="00204379" w:rsidRPr="00204379" w:rsidRDefault="00204379" w:rsidP="00204379">
      <w:pPr>
        <w:pStyle w:val="ListParagraph"/>
        <w:numPr>
          <w:ilvl w:val="2"/>
          <w:numId w:val="2"/>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 the Object:</w:t>
      </w:r>
      <w:r w:rsidRPr="00204379">
        <w:rPr>
          <w:rFonts w:ascii="Times New Roman" w:eastAsia="Times New Roman" w:hAnsi="Times New Roman" w:cs="Times New Roman"/>
          <w:b/>
          <w:sz w:val="24"/>
          <w:szCs w:val="24"/>
        </w:rPr>
        <w:t xml:space="preserve"> </w:t>
      </w:r>
    </w:p>
    <w:p w14:paraId="1B479E8E" w14:textId="77777777" w:rsid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This approach alters the structure of the bacteria targeted by antibiotics. Alterations in DNA gyrase can provide fluoroquinolone resistance in bacteria, while modifications in ribosomal RNA can lead to macrolide resistance. Methicillin-resistant Staphylococcus aureus (MRSA) possesses a modified penicillin-binding protein (PBP2a) that exhibits po</w:t>
      </w:r>
      <w:r>
        <w:rPr>
          <w:rFonts w:ascii="Times New Roman" w:eastAsia="Times New Roman" w:hAnsi="Times New Roman" w:cs="Times New Roman"/>
          <w:sz w:val="24"/>
          <w:szCs w:val="24"/>
        </w:rPr>
        <w:t>or affinity for β-lactams</w:t>
      </w:r>
      <w:r w:rsidR="00C109F8">
        <w:rPr>
          <w:rFonts w:ascii="Times New Roman" w:eastAsia="Times New Roman" w:hAnsi="Times New Roman" w:cs="Times New Roman"/>
          <w:sz w:val="24"/>
          <w:szCs w:val="24"/>
        </w:rPr>
        <w:t xml:space="preserve"> (28)</w:t>
      </w:r>
      <w:r>
        <w:rPr>
          <w:rFonts w:ascii="Times New Roman" w:eastAsia="Times New Roman" w:hAnsi="Times New Roman" w:cs="Times New Roman"/>
          <w:sz w:val="24"/>
          <w:szCs w:val="24"/>
        </w:rPr>
        <w:t xml:space="preserve">. </w:t>
      </w:r>
    </w:p>
    <w:p w14:paraId="259A8075" w14:textId="77777777" w:rsidR="00204379" w:rsidRDefault="00204379" w:rsidP="00204379">
      <w:pPr>
        <w:pStyle w:val="ListParagraph"/>
        <w:numPr>
          <w:ilvl w:val="2"/>
          <w:numId w:val="2"/>
        </w:num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b/>
          <w:sz w:val="24"/>
          <w:szCs w:val="24"/>
        </w:rPr>
        <w:t>Horizontal Gene Transfer (HGT)</w:t>
      </w:r>
      <w:r>
        <w:rPr>
          <w:rFonts w:ascii="Times New Roman" w:eastAsia="Times New Roman" w:hAnsi="Times New Roman" w:cs="Times New Roman"/>
          <w:sz w:val="24"/>
          <w:szCs w:val="24"/>
        </w:rPr>
        <w:t xml:space="preserve">; </w:t>
      </w:r>
    </w:p>
    <w:p w14:paraId="333EDE4C" w14:textId="77777777" w:rsidR="00204379" w:rsidRPr="00204379" w:rsidRDefault="00204379" w:rsidP="00204379">
      <w:pPr>
        <w:spacing w:after="0" w:line="360" w:lineRule="auto"/>
        <w:jc w:val="both"/>
        <w:rPr>
          <w:rFonts w:ascii="Times New Roman" w:eastAsia="Times New Roman" w:hAnsi="Times New Roman" w:cs="Times New Roman"/>
          <w:sz w:val="24"/>
          <w:szCs w:val="24"/>
        </w:rPr>
      </w:pPr>
      <w:r w:rsidRPr="00204379">
        <w:rPr>
          <w:rFonts w:ascii="Times New Roman" w:eastAsia="Times New Roman" w:hAnsi="Times New Roman" w:cs="Times New Roman"/>
          <w:sz w:val="24"/>
          <w:szCs w:val="24"/>
        </w:rPr>
        <w:t xml:space="preserve">Plasmids, transposons, and </w:t>
      </w:r>
      <w:proofErr w:type="spellStart"/>
      <w:r w:rsidRPr="00204379">
        <w:rPr>
          <w:rFonts w:ascii="Times New Roman" w:eastAsia="Times New Roman" w:hAnsi="Times New Roman" w:cs="Times New Roman"/>
          <w:sz w:val="24"/>
          <w:szCs w:val="24"/>
        </w:rPr>
        <w:t>integrons</w:t>
      </w:r>
      <w:proofErr w:type="spellEnd"/>
      <w:r w:rsidRPr="00204379">
        <w:rPr>
          <w:rFonts w:ascii="Times New Roman" w:eastAsia="Times New Roman" w:hAnsi="Times New Roman" w:cs="Times New Roman"/>
          <w:sz w:val="24"/>
          <w:szCs w:val="24"/>
        </w:rPr>
        <w:t xml:space="preserve"> can rapidly transfer resistance genes among diverse bacterial species. Horizontal gene transfer accelerates the emergence of "superbugs" that exhibit resistance to many pharmaceuticals. The mcr-1 gene, conferring colistin resistance in bacteria (an antibiotic utilized just as a last resort), exemplifies how horizontal gene transfer (HGT) can disseminate resistance threats globally</w:t>
      </w:r>
      <w:r w:rsidR="00C109F8">
        <w:rPr>
          <w:rFonts w:ascii="Times New Roman" w:eastAsia="Times New Roman" w:hAnsi="Times New Roman" w:cs="Times New Roman"/>
          <w:sz w:val="24"/>
          <w:szCs w:val="24"/>
        </w:rPr>
        <w:t xml:space="preserve"> (29)</w:t>
      </w:r>
      <w:r w:rsidRPr="00204379">
        <w:rPr>
          <w:rFonts w:ascii="Times New Roman" w:eastAsia="Times New Roman" w:hAnsi="Times New Roman" w:cs="Times New Roman"/>
          <w:sz w:val="24"/>
          <w:szCs w:val="24"/>
        </w:rPr>
        <w:t>.</w:t>
      </w:r>
    </w:p>
    <w:p w14:paraId="0DE2E2A1" w14:textId="77777777" w:rsidR="008D2017" w:rsidRDefault="008D2017" w:rsidP="008D2017">
      <w:pPr>
        <w:keepNext/>
        <w:spacing w:line="360" w:lineRule="auto"/>
        <w:jc w:val="both"/>
      </w:pPr>
      <w:r>
        <w:rPr>
          <w:rFonts w:ascii="Times New Roman" w:hAnsi="Times New Roman" w:cs="Times New Roman"/>
          <w:b/>
          <w:noProof/>
          <w:sz w:val="28"/>
          <w:szCs w:val="28"/>
        </w:rPr>
        <w:lastRenderedPageBreak/>
        <w:drawing>
          <wp:inline distT="0" distB="0" distL="0" distR="0" wp14:anchorId="604405B5" wp14:editId="2C9BD23D">
            <wp:extent cx="5943600" cy="3962400"/>
            <wp:effectExtent l="19050" t="0" r="0" b="0"/>
            <wp:docPr id="3" name="Picture 2" descr="mechni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sms.png"/>
                    <pic:cNvPicPr/>
                  </pic:nvPicPr>
                  <pic:blipFill>
                    <a:blip r:embed="rId11" cstate="print"/>
                    <a:stretch>
                      <a:fillRect/>
                    </a:stretch>
                  </pic:blipFill>
                  <pic:spPr>
                    <a:xfrm>
                      <a:off x="0" y="0"/>
                      <a:ext cx="5943600" cy="3962400"/>
                    </a:xfrm>
                    <a:prstGeom prst="rect">
                      <a:avLst/>
                    </a:prstGeom>
                  </pic:spPr>
                </pic:pic>
              </a:graphicData>
            </a:graphic>
          </wp:inline>
        </w:drawing>
      </w:r>
    </w:p>
    <w:p w14:paraId="541CE5DF" w14:textId="66E4182F" w:rsidR="00204379" w:rsidRPr="00204379" w:rsidRDefault="008D2017" w:rsidP="008D2017">
      <w:pPr>
        <w:pStyle w:val="Caption"/>
        <w:jc w:val="both"/>
        <w:rPr>
          <w:rFonts w:ascii="Times New Roman" w:hAnsi="Times New Roman" w:cs="Times New Roman"/>
          <w:sz w:val="28"/>
          <w:szCs w:val="28"/>
        </w:rPr>
      </w:pPr>
      <w:r>
        <w:t xml:space="preserve">Figure </w:t>
      </w:r>
      <w:r w:rsidR="004E4128">
        <w:fldChar w:fldCharType="begin"/>
      </w:r>
      <w:r w:rsidR="004E4128">
        <w:instrText xml:space="preserve"> SEQ Figure \* ARABIC </w:instrText>
      </w:r>
      <w:r w:rsidR="004E4128">
        <w:fldChar w:fldCharType="separate"/>
      </w:r>
      <w:r>
        <w:rPr>
          <w:noProof/>
        </w:rPr>
        <w:t>4</w:t>
      </w:r>
      <w:r w:rsidR="004E4128">
        <w:rPr>
          <w:noProof/>
        </w:rPr>
        <w:fldChar w:fldCharType="end"/>
      </w:r>
      <w:r w:rsidR="00D005EC">
        <w:rPr>
          <w:noProof/>
        </w:rPr>
        <w:t>:</w:t>
      </w:r>
      <w:r>
        <w:t xml:space="preserve"> Different </w:t>
      </w:r>
      <w:r w:rsidRPr="00E97FE6">
        <w:rPr>
          <w:highlight w:val="yellow"/>
        </w:rPr>
        <w:t xml:space="preserve">Resistance </w:t>
      </w:r>
      <w:r w:rsidR="00D005EC" w:rsidRPr="00E97FE6">
        <w:rPr>
          <w:highlight w:val="yellow"/>
        </w:rPr>
        <w:t>M</w:t>
      </w:r>
      <w:r w:rsidR="00D005EC" w:rsidRPr="00E97FE6">
        <w:rPr>
          <w:highlight w:val="yellow"/>
        </w:rPr>
        <w:t>echanisms</w:t>
      </w:r>
      <w:r w:rsidR="00D005EC">
        <w:t xml:space="preserve"> </w:t>
      </w:r>
    </w:p>
    <w:p w14:paraId="73AB7C5E" w14:textId="77777777" w:rsidR="00FD256B" w:rsidRPr="008D2017" w:rsidRDefault="008D2017" w:rsidP="008D2017">
      <w:pPr>
        <w:pStyle w:val="ListParagraph"/>
        <w:numPr>
          <w:ilvl w:val="1"/>
          <w:numId w:val="2"/>
        </w:numPr>
        <w:spacing w:line="360" w:lineRule="auto"/>
        <w:jc w:val="both"/>
        <w:rPr>
          <w:rFonts w:ascii="Times New Roman" w:hAnsi="Times New Roman" w:cs="Times New Roman"/>
          <w:b/>
          <w:sz w:val="28"/>
          <w:szCs w:val="28"/>
        </w:rPr>
      </w:pPr>
      <w:r w:rsidRPr="008D2017">
        <w:rPr>
          <w:rFonts w:ascii="Times New Roman" w:hAnsi="Times New Roman" w:cs="Times New Roman"/>
          <w:b/>
          <w:sz w:val="28"/>
          <w:szCs w:val="28"/>
        </w:rPr>
        <w:t>Environmental Reservoirs and Public Health Implications:</w:t>
      </w:r>
    </w:p>
    <w:p w14:paraId="14CF129E" w14:textId="77777777" w:rsidR="008D2017" w:rsidRDefault="008D2017" w:rsidP="008D2017">
      <w:pPr>
        <w:spacing w:after="0" w:line="360" w:lineRule="auto"/>
        <w:jc w:val="both"/>
        <w:rPr>
          <w:rFonts w:ascii="Times New Roman" w:eastAsia="Times New Roman" w:hAnsi="Times New Roman" w:cs="Times New Roman"/>
          <w:sz w:val="24"/>
          <w:szCs w:val="24"/>
        </w:rPr>
      </w:pPr>
      <w:r w:rsidRPr="008D2017">
        <w:rPr>
          <w:rFonts w:ascii="Times New Roman" w:eastAsia="Times New Roman" w:hAnsi="Times New Roman" w:cs="Times New Roman"/>
          <w:sz w:val="24"/>
          <w:szCs w:val="24"/>
        </w:rPr>
        <w:t>Antimicrobial resistance (AMR) isn't just a problem in hospitals and clinics; it also thrives in natural ecosystems, where it can be found in large numbers of resistance genes. Often, hospitals, pharmaceutical companies, and animal farms dump their wastewater into surface water bodies without treating it properly. Researchers have observed that these polluted waterways include drug residues and bacteria that are resistant to antibiotics. These bacteria interact with local microbial populations, which leads to horizontal gene transfer. Soil, too, becomes a host for resistance genes, particularly in agricultural fields exposed to antibiotic-laden manure or pesticides. Studies of surveillance demonstrate that resistance genes are found at very high rates in surface water and agricultural runoff, especially in areas with a lot of people, including Asia and Africa</w:t>
      </w:r>
      <w:r w:rsidR="00C109F8">
        <w:rPr>
          <w:rFonts w:ascii="Times New Roman" w:eastAsia="Times New Roman" w:hAnsi="Times New Roman" w:cs="Times New Roman"/>
          <w:sz w:val="24"/>
          <w:szCs w:val="24"/>
        </w:rPr>
        <w:t xml:space="preserve"> (41)</w:t>
      </w:r>
      <w:r w:rsidRPr="008D2017">
        <w:rPr>
          <w:rFonts w:ascii="Times New Roman" w:eastAsia="Times New Roman" w:hAnsi="Times New Roman" w:cs="Times New Roman"/>
          <w:sz w:val="24"/>
          <w:szCs w:val="24"/>
        </w:rPr>
        <w:t>.</w:t>
      </w:r>
    </w:p>
    <w:p w14:paraId="670A0399" w14:textId="77777777" w:rsidR="006B4973" w:rsidRDefault="006B4973" w:rsidP="008D2017">
      <w:pPr>
        <w:spacing w:after="0" w:line="360" w:lineRule="auto"/>
        <w:jc w:val="both"/>
        <w:rPr>
          <w:rFonts w:ascii="Times New Roman" w:eastAsia="Times New Roman" w:hAnsi="Times New Roman" w:cs="Times New Roman"/>
          <w:sz w:val="24"/>
          <w:szCs w:val="24"/>
        </w:rPr>
      </w:pPr>
    </w:p>
    <w:p w14:paraId="0638FA60" w14:textId="77777777" w:rsidR="006B4973" w:rsidRDefault="006B4973" w:rsidP="008D2017">
      <w:pPr>
        <w:spacing w:after="0" w:line="360" w:lineRule="auto"/>
        <w:jc w:val="both"/>
        <w:rPr>
          <w:rFonts w:ascii="Times New Roman" w:eastAsia="Times New Roman" w:hAnsi="Times New Roman" w:cs="Times New Roman"/>
          <w:sz w:val="24"/>
          <w:szCs w:val="24"/>
        </w:rPr>
      </w:pPr>
    </w:p>
    <w:p w14:paraId="52E9D6AB" w14:textId="77777777" w:rsidR="006B4973" w:rsidRDefault="006B4973" w:rsidP="008D2017">
      <w:pPr>
        <w:spacing w:after="0" w:line="360" w:lineRule="auto"/>
        <w:jc w:val="both"/>
        <w:rPr>
          <w:rFonts w:ascii="Times New Roman" w:eastAsia="Times New Roman" w:hAnsi="Times New Roman" w:cs="Times New Roman"/>
          <w:sz w:val="24"/>
          <w:szCs w:val="24"/>
        </w:rPr>
      </w:pPr>
    </w:p>
    <w:p w14:paraId="6FDD34E3" w14:textId="77777777" w:rsidR="006B4973" w:rsidRDefault="006B4973" w:rsidP="006B497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w:t>
      </w:r>
    </w:p>
    <w:p w14:paraId="1442CF58" w14:textId="5780A8D3" w:rsidR="008D2017" w:rsidRPr="008D2017" w:rsidRDefault="007042B7" w:rsidP="008D201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DD2DB2" wp14:editId="702F071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D2017" w:rsidRPr="008D2017">
        <w:rPr>
          <w:rFonts w:ascii="Times New Roman" w:eastAsia="Times New Roman" w:hAnsi="Times New Roman" w:cs="Times New Roman"/>
          <w:sz w:val="24"/>
          <w:szCs w:val="24"/>
        </w:rPr>
        <w:br/>
      </w:r>
      <w:r w:rsidR="008D2017" w:rsidRPr="008D2017">
        <w:rPr>
          <w:rFonts w:ascii="Times New Roman" w:eastAsia="Times New Roman" w:hAnsi="Times New Roman" w:cs="Times New Roman"/>
          <w:sz w:val="24"/>
          <w:szCs w:val="24"/>
        </w:rPr>
        <w:br/>
        <w:t>This pervasive pollution of the environment has direct effects on people's health. People who use untreated surface or groundwater are at a significant risk of getting diseases that are resistant to treatment. Also, resistance genes from the environment can get back into hospitals and clinics through the food chain, swimming in contaminated water, or touching contaminated soil directly. This loop of transmission from the environment to people is a major cause of the rising worldwide burden of AMR-related illness and death. The effect is especially bad in places with few resources, where healthcare systems aren't good at dealing with d</w:t>
      </w:r>
      <w:r w:rsidR="008D5865">
        <w:rPr>
          <w:rFonts w:ascii="Times New Roman" w:eastAsia="Times New Roman" w:hAnsi="Times New Roman" w:cs="Times New Roman"/>
          <w:sz w:val="24"/>
          <w:szCs w:val="24"/>
        </w:rPr>
        <w:t xml:space="preserve">rug-resistant illnesses. </w:t>
      </w:r>
      <w:r w:rsidR="00D005EC" w:rsidRPr="00E97FE6">
        <w:rPr>
          <w:rFonts w:ascii="Times New Roman" w:eastAsia="Times New Roman" w:hAnsi="Times New Roman" w:cs="Times New Roman"/>
          <w:sz w:val="24"/>
          <w:szCs w:val="24"/>
          <w:highlight w:val="yellow"/>
        </w:rPr>
        <w:t>The c</w:t>
      </w:r>
      <w:r w:rsidR="00D005EC" w:rsidRPr="00E97FE6">
        <w:rPr>
          <w:rFonts w:ascii="Times New Roman" w:eastAsia="Times New Roman" w:hAnsi="Times New Roman" w:cs="Times New Roman"/>
          <w:sz w:val="24"/>
          <w:szCs w:val="24"/>
          <w:highlight w:val="yellow"/>
        </w:rPr>
        <w:t xml:space="preserve">hart </w:t>
      </w:r>
      <w:r w:rsidR="008D5865" w:rsidRPr="00E97FE6">
        <w:rPr>
          <w:rFonts w:ascii="Times New Roman" w:eastAsia="Times New Roman" w:hAnsi="Times New Roman" w:cs="Times New Roman"/>
          <w:sz w:val="24"/>
          <w:szCs w:val="24"/>
          <w:highlight w:val="yellow"/>
        </w:rPr>
        <w:t>above</w:t>
      </w:r>
      <w:r w:rsidR="008D2017" w:rsidRPr="00E97FE6">
        <w:rPr>
          <w:rFonts w:ascii="Times New Roman" w:eastAsia="Times New Roman" w:hAnsi="Times New Roman" w:cs="Times New Roman"/>
          <w:sz w:val="24"/>
          <w:szCs w:val="24"/>
          <w:highlight w:val="yellow"/>
        </w:rPr>
        <w:t xml:space="preserve"> show</w:t>
      </w:r>
      <w:r w:rsidR="008D2017" w:rsidRPr="008D2017">
        <w:rPr>
          <w:rFonts w:ascii="Times New Roman" w:eastAsia="Times New Roman" w:hAnsi="Times New Roman" w:cs="Times New Roman"/>
          <w:sz w:val="24"/>
          <w:szCs w:val="24"/>
        </w:rPr>
        <w:t>s that AMR has a bigger effect on public health in areas with more pollution. This shows how important it is to have integrated One Health surveillance strategies that connect human, animal, and environmental health sectors</w:t>
      </w:r>
      <w:r w:rsidR="00C109F8">
        <w:rPr>
          <w:rFonts w:ascii="Times New Roman" w:eastAsia="Times New Roman" w:hAnsi="Times New Roman" w:cs="Times New Roman"/>
          <w:sz w:val="24"/>
          <w:szCs w:val="24"/>
        </w:rPr>
        <w:t xml:space="preserve"> (51)</w:t>
      </w:r>
      <w:r w:rsidR="008D2017" w:rsidRPr="008D2017">
        <w:rPr>
          <w:rFonts w:ascii="Times New Roman" w:eastAsia="Times New Roman" w:hAnsi="Times New Roman" w:cs="Times New Roman"/>
          <w:sz w:val="24"/>
          <w:szCs w:val="24"/>
        </w:rPr>
        <w:t>.</w:t>
      </w:r>
    </w:p>
    <w:p w14:paraId="62192594" w14:textId="77777777" w:rsidR="008D2017" w:rsidRPr="008D5865" w:rsidRDefault="008D5865" w:rsidP="008D5865">
      <w:pPr>
        <w:pStyle w:val="ListParagraph"/>
        <w:numPr>
          <w:ilvl w:val="0"/>
          <w:numId w:val="2"/>
        </w:numPr>
        <w:spacing w:line="360" w:lineRule="auto"/>
        <w:jc w:val="both"/>
        <w:rPr>
          <w:rFonts w:ascii="Times New Roman" w:hAnsi="Times New Roman" w:cs="Times New Roman"/>
          <w:b/>
          <w:sz w:val="32"/>
          <w:szCs w:val="32"/>
        </w:rPr>
      </w:pPr>
      <w:r w:rsidRPr="008D5865">
        <w:rPr>
          <w:rFonts w:ascii="Times New Roman" w:hAnsi="Times New Roman" w:cs="Times New Roman"/>
          <w:b/>
          <w:sz w:val="32"/>
          <w:szCs w:val="32"/>
        </w:rPr>
        <w:t>Discussions:</w:t>
      </w:r>
    </w:p>
    <w:p w14:paraId="79C38AF5" w14:textId="5F8AEC69" w:rsidR="008D5865" w:rsidRPr="008D5865" w:rsidRDefault="008D5865" w:rsidP="008D5865">
      <w:pPr>
        <w:spacing w:after="0" w:line="360" w:lineRule="auto"/>
        <w:jc w:val="both"/>
        <w:rPr>
          <w:rFonts w:ascii="Times New Roman" w:eastAsia="Times New Roman" w:hAnsi="Times New Roman" w:cs="Times New Roman"/>
          <w:sz w:val="24"/>
          <w:szCs w:val="24"/>
        </w:rPr>
      </w:pPr>
      <w:r w:rsidRPr="008D5865">
        <w:rPr>
          <w:rFonts w:ascii="Times New Roman" w:eastAsia="Times New Roman" w:hAnsi="Times New Roman" w:cs="Times New Roman"/>
          <w:sz w:val="24"/>
          <w:szCs w:val="24"/>
        </w:rPr>
        <w:t>A lot of different biological, societal, and economic variables that go outside the clinic are making antimicrobial resistance (AMR) worse all across the world. Misusing and overusing antibiotics in human medicine is one of the main causes. Antibiotics are routinely given for viral infections when they aren't needed, or in the wrong amounts and for the wrong amount of time. This puts selective pressure on microbial populations and helps resistant strains survive. Patient-</w:t>
      </w:r>
      <w:r w:rsidRPr="008D5865">
        <w:rPr>
          <w:rFonts w:ascii="Times New Roman" w:eastAsia="Times New Roman" w:hAnsi="Times New Roman" w:cs="Times New Roman"/>
          <w:sz w:val="24"/>
          <w:szCs w:val="24"/>
        </w:rPr>
        <w:lastRenderedPageBreak/>
        <w:t>driven demand, a lack of diagnostic tools, and doctors not getting enough training in how to properly prescribe antibiotics all make the problem worse. Using over-the-counter antibiotics without a prescription, especially in low- and middle-income countries (LMICs) where there isn't much regulation, makes resistance worse and encourages people to us</w:t>
      </w:r>
      <w:r>
        <w:rPr>
          <w:rFonts w:ascii="Times New Roman" w:eastAsia="Times New Roman" w:hAnsi="Times New Roman" w:cs="Times New Roman"/>
          <w:sz w:val="24"/>
          <w:szCs w:val="24"/>
        </w:rPr>
        <w:t xml:space="preserve">e them without a prescription. </w:t>
      </w:r>
      <w:r w:rsidRPr="008D5865">
        <w:rPr>
          <w:rFonts w:ascii="Times New Roman" w:eastAsia="Times New Roman" w:hAnsi="Times New Roman" w:cs="Times New Roman"/>
          <w:sz w:val="24"/>
          <w:szCs w:val="24"/>
        </w:rPr>
        <w:t>The widespread use of antibiotics in farming and animal husbandry, together with people misusing them, is a major factor in the development and spread of resistance. Farm animals are regularly given antibiotics not only to treat diseases but also to help them grow. This is typically done in doses that are too low to be therapeutic, which makes it easy for resistance to develop. These germs that are resistant can then be passed on to people through the food chain, direct contact, or runoff from the environment, which is a major public health risk. The environmental side of AMR is just as scary. Pharmaceutical waste that hasn't been cleaned, hospital waste, and runoff from farms all pollute water bodies and soil, adding resistance genes to natural microbial communities. Environmental reservoirs are places where horizontal gene transfer can happen, which helps resistance elements spread across species and ecosystems. This is a big pa</w:t>
      </w:r>
      <w:r>
        <w:rPr>
          <w:rFonts w:ascii="Times New Roman" w:eastAsia="Times New Roman" w:hAnsi="Times New Roman" w:cs="Times New Roman"/>
          <w:sz w:val="24"/>
          <w:szCs w:val="24"/>
        </w:rPr>
        <w:t xml:space="preserve">rt of the One Health strategy. </w:t>
      </w:r>
      <w:r w:rsidRPr="008D5865">
        <w:rPr>
          <w:rFonts w:ascii="Times New Roman" w:eastAsia="Times New Roman" w:hAnsi="Times New Roman" w:cs="Times New Roman"/>
          <w:sz w:val="24"/>
          <w:szCs w:val="24"/>
        </w:rPr>
        <w:t xml:space="preserve">The </w:t>
      </w:r>
      <w:r w:rsidRPr="00E97FE6">
        <w:rPr>
          <w:rFonts w:ascii="Times New Roman" w:eastAsia="Times New Roman" w:hAnsi="Times New Roman" w:cs="Times New Roman"/>
          <w:sz w:val="24"/>
          <w:szCs w:val="24"/>
          <w:highlight w:val="yellow"/>
        </w:rPr>
        <w:t xml:space="preserve">lack of </w:t>
      </w:r>
      <w:proofErr w:type="spellStart"/>
      <w:r w:rsidR="00D005EC" w:rsidRPr="00E97FE6">
        <w:rPr>
          <w:rFonts w:ascii="Times New Roman" w:eastAsia="Times New Roman" w:hAnsi="Times New Roman" w:cs="Times New Roman"/>
          <w:sz w:val="24"/>
          <w:szCs w:val="24"/>
          <w:highlight w:val="yellow"/>
        </w:rPr>
        <w:t>standardi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ed</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and thorough</w:t>
      </w:r>
      <w:r w:rsidRPr="008D5865">
        <w:rPr>
          <w:rFonts w:ascii="Times New Roman" w:eastAsia="Times New Roman" w:hAnsi="Times New Roman" w:cs="Times New Roman"/>
          <w:sz w:val="24"/>
          <w:szCs w:val="24"/>
        </w:rPr>
        <w:t xml:space="preserve"> surveillance methods is another big problem with the global approach to AMR. There isn't much data on resistance trends in many places, especially in LMICs. When there is data, it's often incomplete or out of date. Because there isn't enough accurate surveillance, it's harder to find problems early, identify risks, and come up with good ways to deal with them. Also, because diagnostic tools are not very good and laboratory infrastructure is limited, healthcare professionals routinely prescribe broad-spectrum antibiotics without testing them beforehand, making the problem of resistance even worse. To keep an eye on trends and plan actions, we need to strengthen global AMR surveillance by sharing data in real time and using standard reporting standards.</w:t>
      </w:r>
      <w:r w:rsidRPr="008D5865">
        <w:rPr>
          <w:rFonts w:ascii="Times New Roman" w:eastAsia="Times New Roman" w:hAnsi="Times New Roman" w:cs="Times New Roman"/>
          <w:sz w:val="24"/>
          <w:szCs w:val="24"/>
        </w:rPr>
        <w:br/>
      </w:r>
      <w:r w:rsidRPr="008D5865">
        <w:rPr>
          <w:rFonts w:ascii="Times New Roman" w:eastAsia="Times New Roman" w:hAnsi="Times New Roman" w:cs="Times New Roman"/>
          <w:sz w:val="24"/>
          <w:szCs w:val="24"/>
        </w:rPr>
        <w:br/>
        <w:t>The situation is even worse because new antimicrobial agents aren't being developed. Most drug companies have stopped working on antibiotic research since it doesn't pay off, there are a lot of rules to follow, and it's hard to find new classes of antibiotics. Because of this, the existing supply of antibiotics is not enough to replace the ones that are losing their effectiveness. There are new economic models being looked at to speed up medication research</w:t>
      </w:r>
      <w:r w:rsidRPr="00E97FE6">
        <w:rPr>
          <w:rFonts w:ascii="Times New Roman" w:eastAsia="Times New Roman" w:hAnsi="Times New Roman" w:cs="Times New Roman"/>
          <w:sz w:val="24"/>
          <w:szCs w:val="24"/>
          <w:highlight w:val="yellow"/>
        </w:rPr>
        <w:t xml:space="preserve">, </w:t>
      </w:r>
      <w:r w:rsidR="00D005EC" w:rsidRPr="00E97FE6">
        <w:rPr>
          <w:rFonts w:ascii="Times New Roman" w:eastAsia="Times New Roman" w:hAnsi="Times New Roman" w:cs="Times New Roman"/>
          <w:sz w:val="24"/>
          <w:szCs w:val="24"/>
          <w:highlight w:val="yellow"/>
        </w:rPr>
        <w:t>includ</w:t>
      </w:r>
      <w:r w:rsidR="00D005EC" w:rsidRPr="00E97FE6">
        <w:rPr>
          <w:rFonts w:ascii="Times New Roman" w:eastAsia="Times New Roman" w:hAnsi="Times New Roman" w:cs="Times New Roman"/>
          <w:sz w:val="24"/>
          <w:szCs w:val="24"/>
          <w:highlight w:val="yellow"/>
        </w:rPr>
        <w:t>ing</w:t>
      </w:r>
      <w:r w:rsidR="00D005EC" w:rsidRPr="008D5865">
        <w:rPr>
          <w:rFonts w:ascii="Times New Roman" w:eastAsia="Times New Roman" w:hAnsi="Times New Roman" w:cs="Times New Roman"/>
          <w:sz w:val="24"/>
          <w:szCs w:val="24"/>
        </w:rPr>
        <w:t xml:space="preserve"> </w:t>
      </w:r>
      <w:r w:rsidRPr="008D5865">
        <w:rPr>
          <w:rFonts w:ascii="Times New Roman" w:eastAsia="Times New Roman" w:hAnsi="Times New Roman" w:cs="Times New Roman"/>
          <w:sz w:val="24"/>
          <w:szCs w:val="24"/>
        </w:rPr>
        <w:t>public-private partnerships, antibiotic subscription models, and push-pull incentives. H</w:t>
      </w:r>
      <w:r>
        <w:rPr>
          <w:rFonts w:ascii="Times New Roman" w:eastAsia="Times New Roman" w:hAnsi="Times New Roman" w:cs="Times New Roman"/>
          <w:sz w:val="24"/>
          <w:szCs w:val="24"/>
        </w:rPr>
        <w:t xml:space="preserve">owever, progress is still slow. </w:t>
      </w:r>
      <w:r w:rsidRPr="008D5865">
        <w:rPr>
          <w:rFonts w:ascii="Times New Roman" w:eastAsia="Times New Roman" w:hAnsi="Times New Roman" w:cs="Times New Roman"/>
          <w:sz w:val="24"/>
          <w:szCs w:val="24"/>
        </w:rPr>
        <w:t xml:space="preserve">Even with these problems, certain strategies have showed potential in stopping </w:t>
      </w:r>
      <w:r w:rsidRPr="008D5865">
        <w:rPr>
          <w:rFonts w:ascii="Times New Roman" w:eastAsia="Times New Roman" w:hAnsi="Times New Roman" w:cs="Times New Roman"/>
          <w:sz w:val="24"/>
          <w:szCs w:val="24"/>
        </w:rPr>
        <w:lastRenderedPageBreak/>
        <w:t>AMR. Antimicrobial Stewardship Programs (ASPs) in hospitals have been shown to be beneficial in making the best use of antibiotics, cutting down on unnecessary prescriptions, and improving patient outcomes.</w:t>
      </w:r>
      <w:r w:rsidR="00027DA8">
        <w:rPr>
          <w:rFonts w:ascii="Times New Roman" w:eastAsia="Times New Roman" w:hAnsi="Times New Roman" w:cs="Times New Roman"/>
          <w:sz w:val="24"/>
          <w:szCs w:val="24"/>
        </w:rPr>
        <w:t xml:space="preserve"> </w:t>
      </w:r>
      <w:r w:rsidR="00027DA8" w:rsidRPr="00027DA8">
        <w:rPr>
          <w:rFonts w:ascii="Times New Roman" w:eastAsia="Times New Roman" w:hAnsi="Times New Roman" w:cs="Times New Roman"/>
          <w:sz w:val="24"/>
          <w:szCs w:val="24"/>
          <w:highlight w:val="yellow"/>
        </w:rPr>
        <w:t>Recent findings highlight that implementing Lean Six Sigma methodologies can significantly enhance antimicrobial stewardship efforts by identifying process inefficiencies, reducing unnecessary antibiotic use, and improving prescribing compliance in hospital settings</w:t>
      </w:r>
      <w:r w:rsidR="000B667D">
        <w:rPr>
          <w:rFonts w:ascii="Times New Roman" w:eastAsia="Times New Roman" w:hAnsi="Times New Roman" w:cs="Times New Roman"/>
          <w:sz w:val="24"/>
          <w:szCs w:val="24"/>
          <w:highlight w:val="yellow"/>
        </w:rPr>
        <w:t xml:space="preserve"> (67)</w:t>
      </w:r>
      <w:r w:rsidR="00027DA8" w:rsidRPr="00027DA8">
        <w:rPr>
          <w:rFonts w:ascii="Times New Roman" w:eastAsia="Times New Roman" w:hAnsi="Times New Roman" w:cs="Times New Roman"/>
          <w:sz w:val="24"/>
          <w:szCs w:val="24"/>
          <w:highlight w:val="yellow"/>
        </w:rPr>
        <w:t>.</w:t>
      </w:r>
      <w:r w:rsidRPr="008D5865">
        <w:rPr>
          <w:rFonts w:ascii="Times New Roman" w:eastAsia="Times New Roman" w:hAnsi="Times New Roman" w:cs="Times New Roman"/>
          <w:sz w:val="24"/>
          <w:szCs w:val="24"/>
        </w:rPr>
        <w:t xml:space="preserve"> Using fast diagnostic tests at the point of treatment can also help with tailored therapy and cut down on the usage of broad-spectrum drugs without any evidence. The World </w:t>
      </w:r>
      <w:r w:rsidRPr="00E97FE6">
        <w:rPr>
          <w:rFonts w:ascii="Times New Roman" w:eastAsia="Times New Roman" w:hAnsi="Times New Roman" w:cs="Times New Roman"/>
          <w:sz w:val="24"/>
          <w:szCs w:val="24"/>
          <w:highlight w:val="yellow"/>
        </w:rPr>
        <w:t xml:space="preserve">Health </w:t>
      </w:r>
      <w:proofErr w:type="spellStart"/>
      <w:r w:rsidR="00D005EC" w:rsidRPr="00E97FE6">
        <w:rPr>
          <w:rFonts w:ascii="Times New Roman" w:eastAsia="Times New Roman" w:hAnsi="Times New Roman" w:cs="Times New Roman"/>
          <w:sz w:val="24"/>
          <w:szCs w:val="24"/>
          <w:highlight w:val="yellow"/>
        </w:rPr>
        <w:t>Organi</w:t>
      </w:r>
      <w:r w:rsidR="00D005EC" w:rsidRPr="00E97FE6">
        <w:rPr>
          <w:rFonts w:ascii="Times New Roman" w:eastAsia="Times New Roman" w:hAnsi="Times New Roman" w:cs="Times New Roman"/>
          <w:sz w:val="24"/>
          <w:szCs w:val="24"/>
          <w:highlight w:val="yellow"/>
        </w:rPr>
        <w:t>s</w:t>
      </w:r>
      <w:r w:rsidR="00D005EC" w:rsidRPr="00E97FE6">
        <w:rPr>
          <w:rFonts w:ascii="Times New Roman" w:eastAsia="Times New Roman" w:hAnsi="Times New Roman" w:cs="Times New Roman"/>
          <w:sz w:val="24"/>
          <w:szCs w:val="24"/>
          <w:highlight w:val="yellow"/>
        </w:rPr>
        <w:t>ation's</w:t>
      </w:r>
      <w:proofErr w:type="spellEnd"/>
      <w:r w:rsidR="00D005EC" w:rsidRPr="00E97FE6">
        <w:rPr>
          <w:rFonts w:ascii="Times New Roman" w:eastAsia="Times New Roman" w:hAnsi="Times New Roman" w:cs="Times New Roman"/>
          <w:sz w:val="24"/>
          <w:szCs w:val="24"/>
          <w:highlight w:val="yellow"/>
        </w:rPr>
        <w:t xml:space="preserve"> </w:t>
      </w:r>
      <w:r w:rsidRPr="00E97FE6">
        <w:rPr>
          <w:rFonts w:ascii="Times New Roman" w:eastAsia="Times New Roman" w:hAnsi="Times New Roman" w:cs="Times New Roman"/>
          <w:sz w:val="24"/>
          <w:szCs w:val="24"/>
          <w:highlight w:val="yellow"/>
        </w:rPr>
        <w:t>Global A</w:t>
      </w:r>
      <w:r w:rsidRPr="008D5865">
        <w:rPr>
          <w:rFonts w:ascii="Times New Roman" w:eastAsia="Times New Roman" w:hAnsi="Times New Roman" w:cs="Times New Roman"/>
          <w:sz w:val="24"/>
          <w:szCs w:val="24"/>
        </w:rPr>
        <w:t>ction Plan on AMR is a complete plan for the whole world, but it will only succeed if member states are willing to work together, give resources, and make political decisions. To really fight AMR, we need to take a broad, cross-sectoral approach that includes education, policy, innovation, and working together around the world.</w:t>
      </w:r>
      <w:r w:rsidR="00990E8E">
        <w:rPr>
          <w:rFonts w:ascii="Times New Roman" w:eastAsia="Times New Roman" w:hAnsi="Times New Roman" w:cs="Times New Roman"/>
          <w:sz w:val="24"/>
          <w:szCs w:val="24"/>
        </w:rPr>
        <w:t xml:space="preserve"> </w:t>
      </w:r>
      <w:r w:rsidR="00990E8E" w:rsidRPr="00BF13B8">
        <w:rPr>
          <w:rFonts w:ascii="Times New Roman" w:eastAsia="Times New Roman" w:hAnsi="Times New Roman" w:cs="Times New Roman"/>
          <w:sz w:val="24"/>
          <w:szCs w:val="24"/>
          <w:highlight w:val="yellow"/>
        </w:rPr>
        <w:t xml:space="preserve">Within this approach, growing evidence points to vaccines as an </w:t>
      </w:r>
      <w:proofErr w:type="spellStart"/>
      <w:r w:rsidR="00966B0E">
        <w:rPr>
          <w:rFonts w:ascii="Times New Roman" w:eastAsia="Times New Roman" w:hAnsi="Times New Roman" w:cs="Times New Roman"/>
          <w:sz w:val="24"/>
          <w:szCs w:val="24"/>
          <w:highlight w:val="yellow"/>
        </w:rPr>
        <w:t>underutilised</w:t>
      </w:r>
      <w:proofErr w:type="spellEnd"/>
      <w:r w:rsidR="00990E8E" w:rsidRPr="00BF13B8">
        <w:rPr>
          <w:rFonts w:ascii="Times New Roman" w:eastAsia="Times New Roman" w:hAnsi="Times New Roman" w:cs="Times New Roman"/>
          <w:sz w:val="24"/>
          <w:szCs w:val="24"/>
          <w:highlight w:val="yellow"/>
        </w:rPr>
        <w:t xml:space="preserve"> but powerful preventive tool that can reduce infection rates and, consequently, the need for antibiotics, making </w:t>
      </w:r>
      <w:proofErr w:type="spellStart"/>
      <w:r w:rsidR="00966B0E">
        <w:rPr>
          <w:rFonts w:ascii="Times New Roman" w:eastAsia="Times New Roman" w:hAnsi="Times New Roman" w:cs="Times New Roman"/>
          <w:sz w:val="24"/>
          <w:szCs w:val="24"/>
          <w:highlight w:val="yellow"/>
        </w:rPr>
        <w:t>immunisation</w:t>
      </w:r>
      <w:proofErr w:type="spellEnd"/>
      <w:r w:rsidR="00990E8E" w:rsidRPr="00BF13B8">
        <w:rPr>
          <w:rFonts w:ascii="Times New Roman" w:eastAsia="Times New Roman" w:hAnsi="Times New Roman" w:cs="Times New Roman"/>
          <w:sz w:val="24"/>
          <w:szCs w:val="24"/>
          <w:highlight w:val="yellow"/>
        </w:rPr>
        <w:t xml:space="preserve"> a key component in global efforts to contain AMR (68).</w:t>
      </w:r>
      <w:r w:rsidR="00990E8E">
        <w:rPr>
          <w:rFonts w:ascii="Times New Roman" w:eastAsia="Times New Roman" w:hAnsi="Times New Roman" w:cs="Times New Roman"/>
          <w:sz w:val="24"/>
          <w:szCs w:val="24"/>
        </w:rPr>
        <w:t xml:space="preserve"> </w:t>
      </w:r>
      <w:r w:rsidR="00990E8E" w:rsidRPr="00990E8E">
        <w:rPr>
          <w:rFonts w:ascii="Times New Roman" w:eastAsia="Times New Roman" w:hAnsi="Times New Roman" w:cs="Times New Roman"/>
          <w:sz w:val="24"/>
          <w:szCs w:val="24"/>
        </w:rPr>
        <w:t xml:space="preserve"> </w:t>
      </w:r>
    </w:p>
    <w:p w14:paraId="5DB6E44B" w14:textId="77777777" w:rsidR="008D5865" w:rsidRDefault="008D5865" w:rsidP="008D5865">
      <w:pPr>
        <w:spacing w:line="360" w:lineRule="auto"/>
        <w:jc w:val="both"/>
        <w:rPr>
          <w:rFonts w:ascii="Times New Roman" w:hAnsi="Times New Roman" w:cs="Times New Roman"/>
          <w:b/>
          <w:sz w:val="28"/>
          <w:szCs w:val="28"/>
        </w:rPr>
      </w:pPr>
      <w:r>
        <w:rPr>
          <w:rFonts w:ascii="Times New Roman" w:hAnsi="Times New Roman" w:cs="Times New Roman"/>
          <w:b/>
          <w:sz w:val="28"/>
          <w:szCs w:val="28"/>
        </w:rPr>
        <w:t>Conclusions:</w:t>
      </w:r>
    </w:p>
    <w:p w14:paraId="4C6104DC" w14:textId="6F9C5368" w:rsidR="00D565F0" w:rsidRDefault="008D5865" w:rsidP="008D5865">
      <w:pPr>
        <w:spacing w:line="360" w:lineRule="auto"/>
        <w:jc w:val="both"/>
        <w:rPr>
          <w:rFonts w:ascii="Times New Roman" w:hAnsi="Times New Roman" w:cs="Times New Roman"/>
          <w:sz w:val="24"/>
          <w:szCs w:val="24"/>
        </w:rPr>
      </w:pPr>
      <w:r w:rsidRPr="008D5865">
        <w:rPr>
          <w:rFonts w:ascii="Times New Roman" w:hAnsi="Times New Roman" w:cs="Times New Roman"/>
          <w:sz w:val="24"/>
          <w:szCs w:val="24"/>
        </w:rPr>
        <w:t>AMR, or antimicrobial resistance, is one of the most serious and complicated health problems we face today. It often happens without anybody noticing, but its effects are becoming more and more clear as death rates rise, illnesses last longer, and the basic treatments of modern medicine become less effective. The widespread abuse and overuse of antibiotics in both human and veterinary medicine, together with pollution and poor regulations, have contributed to the fast spread of resistan</w:t>
      </w:r>
      <w:r>
        <w:rPr>
          <w:rFonts w:ascii="Times New Roman" w:hAnsi="Times New Roman" w:cs="Times New Roman"/>
          <w:sz w:val="24"/>
          <w:szCs w:val="24"/>
        </w:rPr>
        <w:t xml:space="preserve">t infections around the world. </w:t>
      </w:r>
      <w:r w:rsidRPr="008D5865">
        <w:rPr>
          <w:rFonts w:ascii="Times New Roman" w:hAnsi="Times New Roman" w:cs="Times New Roman"/>
          <w:sz w:val="24"/>
          <w:szCs w:val="24"/>
        </w:rPr>
        <w:t xml:space="preserve">Even while more and more scientific evidence is coming in and </w:t>
      </w:r>
      <w:r w:rsidRPr="00E97FE6">
        <w:rPr>
          <w:rFonts w:ascii="Times New Roman" w:hAnsi="Times New Roman" w:cs="Times New Roman"/>
          <w:sz w:val="24"/>
          <w:szCs w:val="24"/>
          <w:highlight w:val="yellow"/>
        </w:rPr>
        <w:t xml:space="preserve">international </w:t>
      </w:r>
      <w:proofErr w:type="spellStart"/>
      <w:r w:rsidR="00D005EC" w:rsidRPr="00E97FE6">
        <w:rPr>
          <w:rFonts w:ascii="Times New Roman" w:hAnsi="Times New Roman" w:cs="Times New Roman"/>
          <w:sz w:val="24"/>
          <w:szCs w:val="24"/>
          <w:highlight w:val="yellow"/>
        </w:rPr>
        <w:t>organi</w:t>
      </w:r>
      <w:r w:rsidR="00D005EC" w:rsidRPr="00E97FE6">
        <w:rPr>
          <w:rFonts w:ascii="Times New Roman" w:hAnsi="Times New Roman" w:cs="Times New Roman"/>
          <w:sz w:val="24"/>
          <w:szCs w:val="24"/>
          <w:highlight w:val="yellow"/>
        </w:rPr>
        <w:t>s</w:t>
      </w:r>
      <w:r w:rsidR="00D005EC" w:rsidRPr="00E97FE6">
        <w:rPr>
          <w:rFonts w:ascii="Times New Roman" w:hAnsi="Times New Roman" w:cs="Times New Roman"/>
          <w:sz w:val="24"/>
          <w:szCs w:val="24"/>
          <w:highlight w:val="yellow"/>
        </w:rPr>
        <w:t>ations</w:t>
      </w:r>
      <w:proofErr w:type="spellEnd"/>
      <w:r w:rsidR="00D005EC" w:rsidRPr="00E97FE6">
        <w:rPr>
          <w:rFonts w:ascii="Times New Roman" w:hAnsi="Times New Roman" w:cs="Times New Roman"/>
          <w:sz w:val="24"/>
          <w:szCs w:val="24"/>
          <w:highlight w:val="yellow"/>
        </w:rPr>
        <w:t xml:space="preserve"> </w:t>
      </w:r>
      <w:r w:rsidRPr="00E97FE6">
        <w:rPr>
          <w:rFonts w:ascii="Times New Roman" w:hAnsi="Times New Roman" w:cs="Times New Roman"/>
          <w:sz w:val="24"/>
          <w:szCs w:val="24"/>
          <w:highlight w:val="yellow"/>
        </w:rPr>
        <w:t>are getting</w:t>
      </w:r>
      <w:r w:rsidRPr="008D5865">
        <w:rPr>
          <w:rFonts w:ascii="Times New Roman" w:hAnsi="Times New Roman" w:cs="Times New Roman"/>
          <w:sz w:val="24"/>
          <w:szCs w:val="24"/>
        </w:rPr>
        <w:t xml:space="preserve"> involved, real progress is still limited because surveillance systems are not working together, diagnostic infrastructure is not good enough, and there are not enough incentives for new antibiotic development. AMR is too complicated for a simple fix. We need a long-term, all-encompassing approach that includes the ideas of One Health, which connects human, animal, and environmental health. Strengthening antimicrobial stewardship, tightening regulatory control, improving global AMR surveillance, and putting money into new drugs and tests are all im</w:t>
      </w:r>
      <w:r w:rsidR="00264EDC">
        <w:rPr>
          <w:rFonts w:ascii="Times New Roman" w:hAnsi="Times New Roman" w:cs="Times New Roman"/>
          <w:sz w:val="24"/>
          <w:szCs w:val="24"/>
        </w:rPr>
        <w:t>portant parts of this effort.</w:t>
      </w:r>
    </w:p>
    <w:p w14:paraId="4104502D" w14:textId="77777777" w:rsidR="00D565F0" w:rsidRDefault="00D565F0" w:rsidP="008D5865">
      <w:pPr>
        <w:spacing w:line="360" w:lineRule="auto"/>
        <w:jc w:val="both"/>
        <w:rPr>
          <w:rFonts w:ascii="Times New Roman" w:hAnsi="Times New Roman" w:cs="Times New Roman"/>
          <w:sz w:val="24"/>
          <w:szCs w:val="24"/>
        </w:rPr>
      </w:pPr>
    </w:p>
    <w:p w14:paraId="5D84A989" w14:textId="77777777" w:rsidR="00D565F0" w:rsidRPr="00D565F0" w:rsidRDefault="00D565F0" w:rsidP="00D565F0">
      <w:pPr>
        <w:jc w:val="both"/>
        <w:outlineLvl w:val="0"/>
        <w:rPr>
          <w:rFonts w:ascii="Arial" w:eastAsiaTheme="minorEastAsia" w:hAnsi="Arial" w:cs="Arial"/>
          <w:lang w:val="en-GB" w:eastAsia="en-GB"/>
        </w:rPr>
      </w:pPr>
      <w:r w:rsidRPr="00D565F0">
        <w:rPr>
          <w:rFonts w:ascii="Arial" w:eastAsiaTheme="minorEastAsia" w:hAnsi="Arial" w:cs="Arial"/>
          <w:b/>
          <w:bCs/>
          <w:lang w:val="en-GB" w:eastAsia="en-GB"/>
        </w:rPr>
        <w:t>COMPETING INTERESTS DISCLAIMER:</w:t>
      </w:r>
    </w:p>
    <w:p w14:paraId="4568C8C8" w14:textId="77777777" w:rsidR="00D565F0" w:rsidRPr="00D565F0" w:rsidRDefault="00D565F0" w:rsidP="00D565F0">
      <w:pPr>
        <w:rPr>
          <w:rFonts w:eastAsiaTheme="minorEastAsia"/>
          <w:lang w:val="en-GB" w:eastAsia="en-GB"/>
        </w:rPr>
      </w:pPr>
      <w:r w:rsidRPr="00D565F0">
        <w:rPr>
          <w:rFonts w:eastAsiaTheme="minorEastAsia"/>
          <w:lang w:val="en-GB" w:eastAsia="en-GB"/>
        </w:rPr>
        <w:lastRenderedPageBreak/>
        <w:t>Authors have declared that they have no known competing financial interests OR non-financial interests OR personal relationships that could have appeared to influence the work reported in this paper.</w:t>
      </w:r>
    </w:p>
    <w:p w14:paraId="5FEB7C97" w14:textId="77777777" w:rsidR="0071455D" w:rsidRPr="00C109F8" w:rsidRDefault="00264EDC" w:rsidP="0071455D">
      <w:pPr>
        <w:rPr>
          <w:rFonts w:ascii="Calibri" w:eastAsia="Calibri" w:hAnsi="Calibri" w:cs="Times New Roman"/>
          <w:kern w:val="2"/>
        </w:rPr>
      </w:pPr>
      <w:r>
        <w:rPr>
          <w:rFonts w:ascii="Times New Roman" w:hAnsi="Times New Roman" w:cs="Times New Roman"/>
          <w:sz w:val="24"/>
          <w:szCs w:val="24"/>
        </w:rPr>
        <w:br/>
      </w:r>
      <w:bookmarkStart w:id="0" w:name="_Hlk201835975"/>
      <w:bookmarkStart w:id="1" w:name="_Hlk193540946"/>
      <w:bookmarkStart w:id="2" w:name="_Hlk180402183"/>
      <w:bookmarkStart w:id="3" w:name="_Hlk183680988"/>
      <w:bookmarkStart w:id="4" w:name="_Hlk197173371"/>
      <w:r w:rsidR="0071455D" w:rsidRPr="00C109F8">
        <w:rPr>
          <w:rFonts w:ascii="Calibri" w:eastAsia="Calibri" w:hAnsi="Calibri" w:cs="Times New Roman"/>
          <w:kern w:val="2"/>
        </w:rPr>
        <w:t>Disclaimer (Artificial intelligence)</w:t>
      </w:r>
    </w:p>
    <w:p w14:paraId="6817A82F" w14:textId="77777777" w:rsidR="0071455D" w:rsidRPr="00C109F8" w:rsidRDefault="0071455D" w:rsidP="0071455D">
      <w:pPr>
        <w:rPr>
          <w:rFonts w:ascii="Calibri" w:eastAsia="Calibri" w:hAnsi="Calibri" w:cs="Times New Roman"/>
          <w:kern w:val="2"/>
        </w:rPr>
      </w:pPr>
      <w:r w:rsidRPr="00C109F8">
        <w:rPr>
          <w:rFonts w:ascii="Calibri" w:eastAsia="Calibri" w:hAnsi="Calibri" w:cs="Times New Roman"/>
          <w:kern w:val="2"/>
        </w:rPr>
        <w:t xml:space="preserve">Author(s) hereby declare that NO generative AI technologies such as Large Language Models (ChatGPT, manuscript. </w:t>
      </w:r>
    </w:p>
    <w:bookmarkEnd w:id="0"/>
    <w:bookmarkEnd w:id="1"/>
    <w:bookmarkEnd w:id="2"/>
    <w:bookmarkEnd w:id="3"/>
    <w:bookmarkEnd w:id="4"/>
    <w:p w14:paraId="6E9C1286" w14:textId="77777777" w:rsidR="000D7F5F" w:rsidRPr="004405D6" w:rsidRDefault="00264EDC" w:rsidP="007969FB">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Pr="00264EDC">
        <w:rPr>
          <w:rFonts w:ascii="Times New Roman" w:hAnsi="Times New Roman" w:cs="Times New Roman"/>
          <w:b/>
          <w:sz w:val="32"/>
          <w:szCs w:val="32"/>
        </w:rPr>
        <w:t>References:</w:t>
      </w:r>
    </w:p>
    <w:p w14:paraId="747F9DC1" w14:textId="77777777" w:rsidR="00F711E2" w:rsidRPr="00F711E2" w:rsidRDefault="0094242C" w:rsidP="004405D6">
      <w:pPr>
        <w:pStyle w:val="EndNoteBibliography"/>
        <w:numPr>
          <w:ilvl w:val="3"/>
          <w:numId w:val="7"/>
        </w:numPr>
        <w:spacing w:after="0" w:line="360" w:lineRule="auto"/>
      </w:pPr>
      <w:r>
        <w:fldChar w:fldCharType="begin"/>
      </w:r>
      <w:r w:rsidR="000D7F5F">
        <w:instrText xml:space="preserve"> ADDIN EN.REFLIST </w:instrText>
      </w:r>
      <w:r>
        <w:fldChar w:fldCharType="separate"/>
      </w:r>
      <w:r w:rsidR="00F711E2" w:rsidRPr="00F711E2">
        <w:t xml:space="preserve">WHO. Antimicrobial resistance. </w:t>
      </w:r>
      <w:hyperlink r:id="rId13" w:history="1">
        <w:r w:rsidR="00F711E2" w:rsidRPr="00F711E2">
          <w:rPr>
            <w:rStyle w:val="Hyperlink"/>
          </w:rPr>
          <w:t>https://www.who.int/news-room/fact-sheets/detail/antimicrobial-resistance</w:t>
        </w:r>
      </w:hyperlink>
      <w:r w:rsidR="00F711E2" w:rsidRPr="00F711E2">
        <w:t>. Accessed date: 6 June 2021.</w:t>
      </w:r>
    </w:p>
    <w:p w14:paraId="5ED3F7B6" w14:textId="77777777" w:rsidR="00F711E2" w:rsidRPr="00F711E2" w:rsidRDefault="00F711E2" w:rsidP="004405D6">
      <w:pPr>
        <w:pStyle w:val="EndNoteBibliography"/>
        <w:numPr>
          <w:ilvl w:val="3"/>
          <w:numId w:val="7"/>
        </w:numPr>
        <w:spacing w:after="0" w:line="360" w:lineRule="auto"/>
      </w:pPr>
      <w:r w:rsidRPr="00F711E2">
        <w:t xml:space="preserve">WHO. Clinical guidance for COVID-19. </w:t>
      </w:r>
      <w:hyperlink r:id="rId14" w:history="1">
        <w:r w:rsidRPr="00F711E2">
          <w:rPr>
            <w:rStyle w:val="Hyperlink"/>
          </w:rPr>
          <w:t>https://www.who.int/publications/i/item/WHO-2019-nCoV-clinical-2021-1</w:t>
        </w:r>
      </w:hyperlink>
      <w:r w:rsidRPr="00F711E2">
        <w:t xml:space="preserve"> Accessed date: 6 June 2021.</w:t>
      </w:r>
    </w:p>
    <w:p w14:paraId="04D2F20A" w14:textId="77777777" w:rsidR="00F711E2" w:rsidRPr="00F711E2" w:rsidRDefault="00F711E2" w:rsidP="004405D6">
      <w:pPr>
        <w:pStyle w:val="EndNoteBibliography"/>
        <w:numPr>
          <w:ilvl w:val="3"/>
          <w:numId w:val="7"/>
        </w:numPr>
        <w:spacing w:after="0" w:line="360" w:lineRule="auto"/>
      </w:pPr>
      <w:r w:rsidRPr="00F711E2">
        <w:t>Moolla MS, Reddy K, Fwemba I, Nyasulu PS, Taljaard JJ, Parker A, et al. Bacterial infection, antibiotic use and COVID-19: lessons from the intensive care unit. SAMJ. 2021;111(4).</w:t>
      </w:r>
    </w:p>
    <w:p w14:paraId="2B9C12D8" w14:textId="77777777" w:rsidR="00F711E2" w:rsidRPr="00F711E2" w:rsidRDefault="00F711E2" w:rsidP="004405D6">
      <w:pPr>
        <w:pStyle w:val="EndNoteBibliography"/>
        <w:numPr>
          <w:ilvl w:val="3"/>
          <w:numId w:val="7"/>
        </w:numPr>
        <w:spacing w:after="0" w:line="360" w:lineRule="auto"/>
      </w:pPr>
      <w:r w:rsidRPr="00F711E2">
        <w:t>Azithromycin for community treatment of suspected COVID-19 in people at increased risk of an adverse clinical course in the UK (PRINCIPLE): a randomised, controlled, open-label, adaptive platform trial. Lancet. 2021;397.</w:t>
      </w:r>
    </w:p>
    <w:p w14:paraId="1D8BBE90" w14:textId="77777777" w:rsidR="00F711E2" w:rsidRPr="00F711E2" w:rsidRDefault="00F711E2" w:rsidP="004405D6">
      <w:pPr>
        <w:pStyle w:val="EndNoteBibliography"/>
        <w:numPr>
          <w:ilvl w:val="3"/>
          <w:numId w:val="7"/>
        </w:numPr>
        <w:spacing w:after="0" w:line="360" w:lineRule="auto"/>
      </w:pPr>
      <w:r w:rsidRPr="00F711E2">
        <w:t>Adebisi YA, Alaran AJ, Bolarinwa OA, Akande-Sholabi W, Lucero-Prisno DE. When it is available, will we take it? Social media users’ perception of hypothetical COVID-19 vaccine in Nigeria. Pan Afr Med J. 2021;38.</w:t>
      </w:r>
    </w:p>
    <w:p w14:paraId="151A68D7" w14:textId="77777777" w:rsidR="00F711E2" w:rsidRPr="00F711E2" w:rsidRDefault="00F711E2" w:rsidP="004405D6">
      <w:pPr>
        <w:pStyle w:val="EndNoteBibliography"/>
        <w:numPr>
          <w:ilvl w:val="3"/>
          <w:numId w:val="7"/>
        </w:numPr>
        <w:spacing w:after="0" w:line="360" w:lineRule="auto"/>
      </w:pPr>
      <w:r w:rsidRPr="00F711E2">
        <w:t>Adebisi YA, Ekpenyong A, Ntacyabukura B, Lowe M, Jimoh ND, Abdulkareem TO, et al. COVID-19 highlights the need for inclusive responses to public health emergencies in Africa [published online ahead of print, 2020 Dec 15]. The American journal of tropical medicine and hygiene. 2020;104.</w:t>
      </w:r>
    </w:p>
    <w:p w14:paraId="3134C15F" w14:textId="77777777" w:rsidR="00F711E2" w:rsidRPr="00F711E2" w:rsidRDefault="00F711E2" w:rsidP="004405D6">
      <w:pPr>
        <w:pStyle w:val="EndNoteBibliography"/>
        <w:numPr>
          <w:ilvl w:val="3"/>
          <w:numId w:val="7"/>
        </w:numPr>
        <w:spacing w:after="0" w:line="360" w:lineRule="auto"/>
      </w:pPr>
      <w:r w:rsidRPr="00F711E2">
        <w:t>Akande-Sholabi W, Adebisi YA. The impact of COVID-19 pandemic on medicine security in Africa: Nigeria as a case study. Pan Afr Med J. 2020;35.</w:t>
      </w:r>
    </w:p>
    <w:p w14:paraId="4FEB1501" w14:textId="77777777" w:rsidR="00F711E2" w:rsidRPr="00F711E2" w:rsidRDefault="00F711E2" w:rsidP="004405D6">
      <w:pPr>
        <w:pStyle w:val="EndNoteBibliography"/>
        <w:numPr>
          <w:ilvl w:val="3"/>
          <w:numId w:val="7"/>
        </w:numPr>
        <w:spacing w:after="0" w:line="360" w:lineRule="auto"/>
      </w:pPr>
      <w:r w:rsidRPr="00F711E2">
        <w:t>Akpan MR, Isemin NU, Udoh AE, Ashiru-Oredope D. Implementation of antimicrobial stewardship programmes in African countries: a systematic literature review. J Glob Antimicrob Resist. 2020;22.</w:t>
      </w:r>
    </w:p>
    <w:p w14:paraId="0891A9BF" w14:textId="77777777" w:rsidR="00F711E2" w:rsidRPr="00F711E2" w:rsidRDefault="00F711E2" w:rsidP="004405D6">
      <w:pPr>
        <w:pStyle w:val="EndNoteBibliography"/>
        <w:numPr>
          <w:ilvl w:val="3"/>
          <w:numId w:val="7"/>
        </w:numPr>
        <w:spacing w:after="0" w:line="360" w:lineRule="auto"/>
      </w:pPr>
      <w:r w:rsidRPr="00F711E2">
        <w:t>Beović B, Doušak M, Ferreira-Coimbra J, Nadrah K, Rubulotta F, Belliato M, et al. Antibiotic use in patients with COVID-19: a ‘snapshot’ infectious diseases International Research Initiative (ID-IRI) survey. J Antimicrob Chemother. 2020;75.</w:t>
      </w:r>
    </w:p>
    <w:p w14:paraId="5729CAD1" w14:textId="77777777" w:rsidR="00F711E2" w:rsidRPr="00F711E2" w:rsidRDefault="00F711E2" w:rsidP="004405D6">
      <w:pPr>
        <w:pStyle w:val="EndNoteBibliography"/>
        <w:numPr>
          <w:ilvl w:val="3"/>
          <w:numId w:val="7"/>
        </w:numPr>
        <w:spacing w:after="0" w:line="360" w:lineRule="auto"/>
      </w:pPr>
      <w:r w:rsidRPr="00F711E2">
        <w:lastRenderedPageBreak/>
        <w:t>Chedid M, Waked R, Haddad E, Chetata N, Saliba G, Choucair J. Antibiotics in treatment of COVID-19 complications: a review of frequency, indications, and efficacy. J Infect Public Health. 2021;14.</w:t>
      </w:r>
    </w:p>
    <w:p w14:paraId="7956AA3C" w14:textId="77777777" w:rsidR="00F711E2" w:rsidRPr="00F711E2" w:rsidRDefault="00F711E2" w:rsidP="004405D6">
      <w:pPr>
        <w:pStyle w:val="EndNoteBibliography"/>
        <w:numPr>
          <w:ilvl w:val="3"/>
          <w:numId w:val="7"/>
        </w:numPr>
        <w:spacing w:after="0" w:line="360" w:lineRule="auto"/>
      </w:pPr>
      <w:r w:rsidRPr="00F711E2">
        <w:t>Contou D, Claudinon A, Pajot O. Bacterial and viral co-infections in patients with severe SARS-CoV-2 pneumonia admitted to a French ICU. Ann Intensive Care. 2020;10.</w:t>
      </w:r>
    </w:p>
    <w:p w14:paraId="0CCDB8BC" w14:textId="77777777" w:rsidR="00F711E2" w:rsidRPr="00F711E2" w:rsidRDefault="00F711E2" w:rsidP="004405D6">
      <w:pPr>
        <w:pStyle w:val="EndNoteBibliography"/>
        <w:numPr>
          <w:ilvl w:val="3"/>
          <w:numId w:val="7"/>
        </w:numPr>
        <w:spacing w:after="0" w:line="360" w:lineRule="auto"/>
      </w:pPr>
      <w:r w:rsidRPr="00F711E2">
        <w:t>Echeverría-Esnal D, Martin-Ontiyuelo C, Navarrete-Rouco ME, de-Antonio Cuscó M, Ferrández O, Horcajada JP, et al. Azithromycin in the treatment of COVID-19: a review. Expert Rev Anti-Infect Ther. 2021;19.</w:t>
      </w:r>
    </w:p>
    <w:p w14:paraId="4B34BE5E" w14:textId="77777777" w:rsidR="00F711E2" w:rsidRPr="00F711E2" w:rsidRDefault="00F711E2" w:rsidP="004405D6">
      <w:pPr>
        <w:pStyle w:val="EndNoteBibliography"/>
        <w:numPr>
          <w:ilvl w:val="3"/>
          <w:numId w:val="7"/>
        </w:numPr>
        <w:spacing w:after="0" w:line="360" w:lineRule="auto"/>
      </w:pPr>
      <w:r w:rsidRPr="00F711E2">
        <w:t>Gbinigie K, Frie K. Should azithromycin be used to treat COVID-19? A rapid review. BJGP Open. 2020;4.</w:t>
      </w:r>
    </w:p>
    <w:p w14:paraId="4177ED39" w14:textId="77777777" w:rsidR="00F711E2" w:rsidRPr="00F711E2" w:rsidRDefault="00F711E2" w:rsidP="004405D6">
      <w:pPr>
        <w:pStyle w:val="EndNoteBibliography"/>
        <w:numPr>
          <w:ilvl w:val="3"/>
          <w:numId w:val="7"/>
        </w:numPr>
        <w:spacing w:after="0" w:line="360" w:lineRule="auto"/>
      </w:pPr>
      <w:r w:rsidRPr="00F711E2">
        <w:t>Getahun H, Smith I, Trivedi K, Paulin S, Balkhy HH. Tackling antimicrobial resistance in the COVID-19 pandemic. Bull World Health Organ. 2020;98.</w:t>
      </w:r>
    </w:p>
    <w:p w14:paraId="30D46BB7" w14:textId="77777777" w:rsidR="00F711E2" w:rsidRPr="00F711E2" w:rsidRDefault="00F711E2" w:rsidP="004405D6">
      <w:pPr>
        <w:pStyle w:val="EndNoteBibliography"/>
        <w:numPr>
          <w:ilvl w:val="3"/>
          <w:numId w:val="7"/>
        </w:numPr>
        <w:spacing w:after="0" w:line="360" w:lineRule="auto"/>
      </w:pPr>
      <w:r w:rsidRPr="00F711E2">
        <w:t>Ginsburg AS, Klugman KP. COVID-19 pneumonia and the appropriate use of antibiotics. Lancet Glob Health. 2020;8.</w:t>
      </w:r>
    </w:p>
    <w:p w14:paraId="6035144F" w14:textId="77777777" w:rsidR="00F711E2" w:rsidRPr="00F711E2" w:rsidRDefault="00F711E2" w:rsidP="004405D6">
      <w:pPr>
        <w:pStyle w:val="EndNoteBibliography"/>
        <w:numPr>
          <w:ilvl w:val="3"/>
          <w:numId w:val="7"/>
        </w:numPr>
        <w:spacing w:after="0" w:line="360" w:lineRule="auto"/>
      </w:pPr>
      <w:r w:rsidRPr="00F711E2">
        <w:t>Gyselinck I, Janssens W, Verhamme P, Vos R. Rationale for azithromycin in COVID-19: an overview of existing evidence. BMJ Open Respir Res. 2021;8.</w:t>
      </w:r>
    </w:p>
    <w:p w14:paraId="6F5909D1" w14:textId="77777777" w:rsidR="00F711E2" w:rsidRPr="00F711E2" w:rsidRDefault="00F711E2" w:rsidP="004405D6">
      <w:pPr>
        <w:pStyle w:val="EndNoteBibliography"/>
        <w:numPr>
          <w:ilvl w:val="3"/>
          <w:numId w:val="7"/>
        </w:numPr>
        <w:spacing w:after="0" w:line="360" w:lineRule="auto"/>
      </w:pPr>
      <w:r w:rsidRPr="00F711E2">
        <w:t>He S, Liu W, Jiang M. Clinical characteristics of COVID-19 patients with clinically diagnosed bacterial co-infection: a multi-center study. PLoS One. 2021;16.</w:t>
      </w:r>
    </w:p>
    <w:p w14:paraId="45DA7F13" w14:textId="77777777" w:rsidR="00F711E2" w:rsidRPr="00F711E2" w:rsidRDefault="00F711E2" w:rsidP="004405D6">
      <w:pPr>
        <w:pStyle w:val="EndNoteBibliography"/>
        <w:numPr>
          <w:ilvl w:val="3"/>
          <w:numId w:val="7"/>
        </w:numPr>
        <w:spacing w:after="0" w:line="360" w:lineRule="auto"/>
      </w:pPr>
      <w:r w:rsidRPr="00F711E2">
        <w:t>Iwu CJ, Jordan P, Jaja IF, Iwu CD, Wiysonge CS. Treatment of COVID-19: implications for antimicrobial resistance in Africa. Pan Afr Med J. 2020;35.</w:t>
      </w:r>
    </w:p>
    <w:p w14:paraId="6A49E852" w14:textId="77777777" w:rsidR="00F711E2" w:rsidRPr="00F711E2" w:rsidRDefault="00F711E2" w:rsidP="004405D6">
      <w:pPr>
        <w:pStyle w:val="EndNoteBibliography"/>
        <w:numPr>
          <w:ilvl w:val="3"/>
          <w:numId w:val="7"/>
        </w:numPr>
        <w:spacing w:after="0" w:line="360" w:lineRule="auto"/>
      </w:pPr>
      <w:r w:rsidRPr="00F711E2">
        <w:t>Kow CS, Hasan SS. Use of azithromycin in COVID-19: a cautionary tale. Clin Drug Investig. 2020;40.</w:t>
      </w:r>
    </w:p>
    <w:p w14:paraId="30628BA0" w14:textId="77777777" w:rsidR="00F711E2" w:rsidRPr="00F711E2" w:rsidRDefault="00F711E2" w:rsidP="004405D6">
      <w:pPr>
        <w:pStyle w:val="EndNoteBibliography"/>
        <w:numPr>
          <w:ilvl w:val="3"/>
          <w:numId w:val="7"/>
        </w:numPr>
        <w:spacing w:after="0" w:line="360" w:lineRule="auto"/>
      </w:pPr>
      <w:r w:rsidRPr="00F711E2">
        <w:t>Lansbury L, Lim B, Baskaran V, Lim WS. Co-infections in people with COVID-19: a systematic review and meta-analysis. J Inf Secur. 2020;81.</w:t>
      </w:r>
    </w:p>
    <w:p w14:paraId="4F9339F0" w14:textId="77777777" w:rsidR="00F711E2" w:rsidRPr="00F711E2" w:rsidRDefault="00F711E2" w:rsidP="004405D6">
      <w:pPr>
        <w:pStyle w:val="EndNoteBibliography"/>
        <w:numPr>
          <w:ilvl w:val="3"/>
          <w:numId w:val="7"/>
        </w:numPr>
        <w:spacing w:after="0" w:line="360" w:lineRule="auto"/>
      </w:pPr>
      <w:r w:rsidRPr="00F711E2">
        <w:t>Lucero-Prisno DE, Adebisi YA, Lin X. Current efforts and challenges facing responses to 2019-nCoV in Africa. Glob Health Res Policy. 2020;5.</w:t>
      </w:r>
    </w:p>
    <w:p w14:paraId="5E228A98" w14:textId="77777777" w:rsidR="00F711E2" w:rsidRPr="00F711E2" w:rsidRDefault="00F711E2" w:rsidP="004405D6">
      <w:pPr>
        <w:pStyle w:val="EndNoteBibliography"/>
        <w:numPr>
          <w:ilvl w:val="3"/>
          <w:numId w:val="7"/>
        </w:numPr>
        <w:spacing w:after="0" w:line="360" w:lineRule="auto"/>
      </w:pPr>
      <w:r w:rsidRPr="00F711E2">
        <w:t>Melander RJ, Zurawski DV, Melander C. Narrow-spectrum antibacterial agents. Medchemcomm. 2018;9.</w:t>
      </w:r>
    </w:p>
    <w:p w14:paraId="6E2BE453" w14:textId="77777777" w:rsidR="00F711E2" w:rsidRPr="00F711E2" w:rsidRDefault="00F711E2" w:rsidP="004405D6">
      <w:pPr>
        <w:pStyle w:val="EndNoteBibliography"/>
        <w:numPr>
          <w:ilvl w:val="3"/>
          <w:numId w:val="7"/>
        </w:numPr>
        <w:spacing w:after="0" w:line="360" w:lineRule="auto"/>
      </w:pPr>
      <w:r w:rsidRPr="00F711E2">
        <w:t>Prestinaci F, Pezzotti P, Pantosti A. Antimicrobial resistance: a global multifaceted phenomenon. Pathog Glob Health. 2015;109.</w:t>
      </w:r>
    </w:p>
    <w:p w14:paraId="24E32EB4" w14:textId="77777777" w:rsidR="00F711E2" w:rsidRPr="00F711E2" w:rsidRDefault="00F711E2" w:rsidP="004405D6">
      <w:pPr>
        <w:pStyle w:val="EndNoteBibliography"/>
        <w:numPr>
          <w:ilvl w:val="3"/>
          <w:numId w:val="7"/>
        </w:numPr>
        <w:spacing w:after="0" w:line="360" w:lineRule="auto"/>
      </w:pPr>
      <w:r w:rsidRPr="00F711E2">
        <w:t>Rezasoltani S, Yadegar A, Hatami B, Asadzadeh Aghdaei H, Zali MR. Antimicrobial resistance as a hidden menace lurking behind the COVID-19 outbreak: the global impacts of too much hygiene on AMR. Front Microbiol. 2020;11.</w:t>
      </w:r>
    </w:p>
    <w:p w14:paraId="3A836E42" w14:textId="77777777" w:rsidR="00F711E2" w:rsidRPr="00F711E2" w:rsidRDefault="00F711E2" w:rsidP="004405D6">
      <w:pPr>
        <w:pStyle w:val="EndNoteBibliography"/>
        <w:numPr>
          <w:ilvl w:val="3"/>
          <w:numId w:val="7"/>
        </w:numPr>
        <w:spacing w:after="0" w:line="360" w:lineRule="auto"/>
      </w:pPr>
      <w:r w:rsidRPr="00F711E2">
        <w:lastRenderedPageBreak/>
        <w:t>Sharifipour E, Shams S, Esmkhani M. Evaluation of bacterial co-infections of the respiratory tract in COVID-19 patients admitted to ICU. BMC Infect Dis. 2020;20.</w:t>
      </w:r>
    </w:p>
    <w:p w14:paraId="5F299CA9" w14:textId="77777777" w:rsidR="004405D6" w:rsidRDefault="00F711E2" w:rsidP="004405D6">
      <w:pPr>
        <w:pStyle w:val="EndNoteBibliography"/>
        <w:numPr>
          <w:ilvl w:val="3"/>
          <w:numId w:val="7"/>
        </w:numPr>
        <w:spacing w:line="360" w:lineRule="auto"/>
      </w:pPr>
      <w:r w:rsidRPr="00F711E2">
        <w:t>Sonmezer MC, Ertem G, Erdinc FS, Kaya Kilic E, Tulek N, Adiloglu A, et al. Evaluation of risk factors for antibiotic resistance in patients with nosocomial infections caused by Pseudomonas aeruginosa. Can J Infect Dis Med Microbiol. 2016;2016.</w:t>
      </w:r>
    </w:p>
    <w:p w14:paraId="5A6BF28F" w14:textId="77777777" w:rsidR="004405D6" w:rsidRPr="004405D6" w:rsidRDefault="004405D6" w:rsidP="004405D6">
      <w:pPr>
        <w:pStyle w:val="EndNoteBibliography"/>
        <w:numPr>
          <w:ilvl w:val="3"/>
          <w:numId w:val="7"/>
        </w:numPr>
        <w:spacing w:line="360" w:lineRule="auto"/>
      </w:pPr>
      <w:r w:rsidRPr="004405D6">
        <w:t xml:space="preserve">World Health Organization. (2020). </w:t>
      </w:r>
      <w:r w:rsidRPr="004405D6">
        <w:rPr>
          <w:i/>
          <w:iCs/>
        </w:rPr>
        <w:t>Antimicrobial resistance</w:t>
      </w:r>
      <w:r w:rsidRPr="004405D6">
        <w:t xml:space="preserve">. </w:t>
      </w:r>
      <w:hyperlink r:id="rId15" w:tgtFrame="_new" w:history="1">
        <w:r w:rsidRPr="004405D6">
          <w:rPr>
            <w:rStyle w:val="Hyperlink"/>
          </w:rPr>
          <w:t>https://www.who.int/news-room/fact-sheets/detail/antimicrobial-resistance</w:t>
        </w:r>
      </w:hyperlink>
    </w:p>
    <w:p w14:paraId="7A4538C1" w14:textId="77777777" w:rsidR="004405D6" w:rsidRPr="004405D6" w:rsidRDefault="004405D6" w:rsidP="004405D6">
      <w:pPr>
        <w:pStyle w:val="EndNoteBibliography"/>
        <w:numPr>
          <w:ilvl w:val="3"/>
          <w:numId w:val="7"/>
        </w:numPr>
        <w:spacing w:line="360" w:lineRule="auto"/>
      </w:pPr>
      <w:r w:rsidRPr="004405D6">
        <w:t xml:space="preserve">Centers for Disease Control and Prevention. (2019). </w:t>
      </w:r>
      <w:r w:rsidRPr="004405D6">
        <w:rPr>
          <w:i/>
          <w:iCs/>
        </w:rPr>
        <w:t>Antibiotic Resistance Threats in the United States, 2019</w:t>
      </w:r>
      <w:r w:rsidRPr="004405D6">
        <w:t xml:space="preserve">. </w:t>
      </w:r>
      <w:hyperlink r:id="rId16" w:tgtFrame="_new" w:history="1">
        <w:r w:rsidRPr="004405D6">
          <w:rPr>
            <w:rStyle w:val="Hyperlink"/>
          </w:rPr>
          <w:t>https://www.cdc.gov/drugresistance/pdf/threats-report/2019-ar-threats-report-508.pdf</w:t>
        </w:r>
      </w:hyperlink>
    </w:p>
    <w:p w14:paraId="4C9F3807" w14:textId="77777777" w:rsidR="004405D6" w:rsidRPr="004405D6" w:rsidRDefault="004405D6" w:rsidP="004405D6">
      <w:pPr>
        <w:pStyle w:val="EndNoteBibliography"/>
        <w:numPr>
          <w:ilvl w:val="3"/>
          <w:numId w:val="7"/>
        </w:numPr>
        <w:spacing w:line="360" w:lineRule="auto"/>
      </w:pPr>
      <w:r w:rsidRPr="004405D6">
        <w:t xml:space="preserve">O’Neill, J. (2016). </w:t>
      </w:r>
      <w:r w:rsidRPr="004405D6">
        <w:rPr>
          <w:i/>
          <w:iCs/>
        </w:rPr>
        <w:t>Tackling drug-resistant infections globally: Final report and recommendations</w:t>
      </w:r>
      <w:r w:rsidRPr="004405D6">
        <w:t>. Review on Antimicrobial Resistance.</w:t>
      </w:r>
    </w:p>
    <w:p w14:paraId="13353E63" w14:textId="77777777" w:rsidR="004405D6" w:rsidRPr="004405D6" w:rsidRDefault="004405D6" w:rsidP="004405D6">
      <w:pPr>
        <w:pStyle w:val="EndNoteBibliography"/>
        <w:numPr>
          <w:ilvl w:val="3"/>
          <w:numId w:val="7"/>
        </w:numPr>
        <w:spacing w:line="360" w:lineRule="auto"/>
      </w:pPr>
      <w:r w:rsidRPr="004405D6">
        <w:t xml:space="preserve">Laxminarayan, R., Duse, A., Wattal, C., et al. (2013). Antibiotic resistance—the need for global solutions. </w:t>
      </w:r>
      <w:r w:rsidRPr="004405D6">
        <w:rPr>
          <w:i/>
          <w:iCs/>
        </w:rPr>
        <w:t>The Lancet Infectious Diseases, 13</w:t>
      </w:r>
      <w:r w:rsidRPr="004405D6">
        <w:t>(12), 1057–1098.</w:t>
      </w:r>
    </w:p>
    <w:p w14:paraId="7CA70745" w14:textId="77777777" w:rsidR="004405D6" w:rsidRPr="004405D6" w:rsidRDefault="004405D6" w:rsidP="004405D6">
      <w:pPr>
        <w:pStyle w:val="EndNoteBibliography"/>
        <w:numPr>
          <w:ilvl w:val="3"/>
          <w:numId w:val="7"/>
        </w:numPr>
        <w:spacing w:line="360" w:lineRule="auto"/>
      </w:pPr>
      <w:r w:rsidRPr="004405D6">
        <w:t xml:space="preserve">Ventola, C. L. (2015). The antibiotic resistance crisis. </w:t>
      </w:r>
      <w:r w:rsidRPr="004405D6">
        <w:rPr>
          <w:i/>
          <w:iCs/>
        </w:rPr>
        <w:t>Pharmacy and Therapeutics, 40</w:t>
      </w:r>
      <w:r w:rsidRPr="004405D6">
        <w:t>(4), 277–283.</w:t>
      </w:r>
    </w:p>
    <w:p w14:paraId="2ECEE1D2" w14:textId="77777777" w:rsidR="004405D6" w:rsidRPr="004405D6" w:rsidRDefault="004405D6" w:rsidP="004405D6">
      <w:pPr>
        <w:pStyle w:val="EndNoteBibliography"/>
        <w:numPr>
          <w:ilvl w:val="3"/>
          <w:numId w:val="7"/>
        </w:numPr>
        <w:spacing w:line="360" w:lineRule="auto"/>
      </w:pPr>
      <w:r w:rsidRPr="004405D6">
        <w:t xml:space="preserve">Prestinaci, F., Pezzotti, P., &amp; Pantosti, A. (2015). Antimicrobial resistance: A global multifaceted phenomenon. </w:t>
      </w:r>
      <w:r w:rsidRPr="004405D6">
        <w:rPr>
          <w:i/>
          <w:iCs/>
        </w:rPr>
        <w:t>Pathogens and Global Health, 109</w:t>
      </w:r>
      <w:r w:rsidRPr="004405D6">
        <w:t>(7), 309–318.</w:t>
      </w:r>
    </w:p>
    <w:p w14:paraId="51BA0397" w14:textId="77777777" w:rsidR="004405D6" w:rsidRPr="004405D6" w:rsidRDefault="004405D6" w:rsidP="004405D6">
      <w:pPr>
        <w:pStyle w:val="EndNoteBibliography"/>
        <w:numPr>
          <w:ilvl w:val="3"/>
          <w:numId w:val="7"/>
        </w:numPr>
        <w:spacing w:line="360" w:lineRule="auto"/>
      </w:pPr>
      <w:r w:rsidRPr="004405D6">
        <w:t xml:space="preserve">Cassini, A., et al. (2019). Attributable deaths and disability-adjusted life-years caused by infections with antibiotic-resistant bacteria in the EU and EEA. </w:t>
      </w:r>
      <w:r w:rsidRPr="004405D6">
        <w:rPr>
          <w:i/>
          <w:iCs/>
        </w:rPr>
        <w:t>The Lancet Infectious Diseases, 19</w:t>
      </w:r>
      <w:r w:rsidRPr="004405D6">
        <w:t>(1), 56–66.</w:t>
      </w:r>
    </w:p>
    <w:p w14:paraId="68288A93" w14:textId="77777777" w:rsidR="004405D6" w:rsidRPr="004405D6" w:rsidRDefault="004405D6" w:rsidP="004405D6">
      <w:pPr>
        <w:pStyle w:val="EndNoteBibliography"/>
        <w:numPr>
          <w:ilvl w:val="3"/>
          <w:numId w:val="7"/>
        </w:numPr>
        <w:spacing w:line="360" w:lineRule="auto"/>
      </w:pPr>
      <w:r w:rsidRPr="004405D6">
        <w:t xml:space="preserve">Holmes, A. H., et al. (2016). Understanding the mechanisms and drivers of antimicrobial resistance. </w:t>
      </w:r>
      <w:r w:rsidRPr="004405D6">
        <w:rPr>
          <w:i/>
          <w:iCs/>
        </w:rPr>
        <w:t>The Lancet, 387</w:t>
      </w:r>
      <w:r w:rsidRPr="004405D6">
        <w:t>(10014), 176–187.</w:t>
      </w:r>
    </w:p>
    <w:p w14:paraId="7659179E" w14:textId="77777777" w:rsidR="004405D6" w:rsidRPr="004405D6" w:rsidRDefault="004405D6" w:rsidP="004405D6">
      <w:pPr>
        <w:pStyle w:val="EndNoteBibliography"/>
        <w:numPr>
          <w:ilvl w:val="3"/>
          <w:numId w:val="7"/>
        </w:numPr>
        <w:spacing w:line="360" w:lineRule="auto"/>
      </w:pPr>
      <w:r w:rsidRPr="004405D6">
        <w:t xml:space="preserve">Murray, C. J., et al. (2022). Global burden of bacterial antimicrobial resistance in 2019: A systematic analysis. </w:t>
      </w:r>
      <w:r w:rsidRPr="004405D6">
        <w:rPr>
          <w:i/>
          <w:iCs/>
        </w:rPr>
        <w:t>The Lancet, 399</w:t>
      </w:r>
      <w:r w:rsidRPr="004405D6">
        <w:t>(10325), 629–655.</w:t>
      </w:r>
    </w:p>
    <w:p w14:paraId="52EC1005" w14:textId="77777777" w:rsidR="004405D6" w:rsidRPr="004405D6" w:rsidRDefault="004405D6" w:rsidP="004405D6">
      <w:pPr>
        <w:pStyle w:val="EndNoteBibliography"/>
        <w:numPr>
          <w:ilvl w:val="3"/>
          <w:numId w:val="7"/>
        </w:numPr>
        <w:spacing w:line="360" w:lineRule="auto"/>
      </w:pPr>
      <w:r w:rsidRPr="004405D6">
        <w:t xml:space="preserve">Zaman, S. B., et al. (2017). A review on antibiotic resistance: Alarm bells are ringing. </w:t>
      </w:r>
      <w:r w:rsidRPr="004405D6">
        <w:rPr>
          <w:i/>
          <w:iCs/>
        </w:rPr>
        <w:t>Cureus, 9</w:t>
      </w:r>
      <w:r w:rsidRPr="004405D6">
        <w:t>(6), e1403.</w:t>
      </w:r>
    </w:p>
    <w:p w14:paraId="452F60F7" w14:textId="77777777" w:rsidR="004405D6" w:rsidRPr="004405D6" w:rsidRDefault="004405D6" w:rsidP="004405D6">
      <w:pPr>
        <w:pStyle w:val="EndNoteBibliography"/>
        <w:numPr>
          <w:ilvl w:val="3"/>
          <w:numId w:val="7"/>
        </w:numPr>
        <w:spacing w:line="360" w:lineRule="auto"/>
      </w:pPr>
      <w:r w:rsidRPr="004405D6">
        <w:t xml:space="preserve">Doi, Y. (2019). Treatment options for carbapenem-resistant Gram-negative bacterial infections. </w:t>
      </w:r>
      <w:r w:rsidRPr="004405D6">
        <w:rPr>
          <w:i/>
          <w:iCs/>
        </w:rPr>
        <w:t>Clinical Infectious Diseases, 69</w:t>
      </w:r>
      <w:r w:rsidRPr="004405D6">
        <w:t>(S7), S565–S575.</w:t>
      </w:r>
    </w:p>
    <w:p w14:paraId="45A7B2B4" w14:textId="77777777" w:rsidR="004405D6" w:rsidRPr="004405D6" w:rsidRDefault="004405D6" w:rsidP="004405D6">
      <w:pPr>
        <w:pStyle w:val="EndNoteBibliography"/>
        <w:numPr>
          <w:ilvl w:val="3"/>
          <w:numId w:val="7"/>
        </w:numPr>
        <w:spacing w:line="360" w:lineRule="auto"/>
      </w:pPr>
      <w:r w:rsidRPr="004405D6">
        <w:lastRenderedPageBreak/>
        <w:t xml:space="preserve">WHO. (2017). </w:t>
      </w:r>
      <w:r w:rsidRPr="004405D6">
        <w:rPr>
          <w:i/>
          <w:iCs/>
        </w:rPr>
        <w:t>Global action plan on antimicrobial resistance</w:t>
      </w:r>
      <w:r w:rsidRPr="004405D6">
        <w:t>.</w:t>
      </w:r>
    </w:p>
    <w:p w14:paraId="4D7F8E76" w14:textId="77777777" w:rsidR="004405D6" w:rsidRPr="004405D6" w:rsidRDefault="004405D6" w:rsidP="004405D6">
      <w:pPr>
        <w:pStyle w:val="EndNoteBibliography"/>
        <w:numPr>
          <w:ilvl w:val="3"/>
          <w:numId w:val="7"/>
        </w:numPr>
        <w:spacing w:line="360" w:lineRule="auto"/>
      </w:pPr>
      <w:r w:rsidRPr="004405D6">
        <w:t xml:space="preserve">Aslam, B., et al. (2018). Antibiotic resistance: A rundown of a global crisis. </w:t>
      </w:r>
      <w:r w:rsidRPr="004405D6">
        <w:rPr>
          <w:i/>
          <w:iCs/>
        </w:rPr>
        <w:t>Infection and Drug Resistance, 11</w:t>
      </w:r>
      <w:r w:rsidRPr="004405D6">
        <w:t>, 1645–1658.</w:t>
      </w:r>
    </w:p>
    <w:p w14:paraId="3189345D" w14:textId="77777777" w:rsidR="004405D6" w:rsidRPr="004405D6" w:rsidRDefault="004405D6" w:rsidP="004405D6">
      <w:pPr>
        <w:pStyle w:val="EndNoteBibliography"/>
        <w:numPr>
          <w:ilvl w:val="3"/>
          <w:numId w:val="7"/>
        </w:numPr>
        <w:spacing w:line="360" w:lineRule="auto"/>
      </w:pPr>
      <w:r w:rsidRPr="004405D6">
        <w:t xml:space="preserve">Antimicrobial Resistance Collaborators. (2022). Global burden of bacterial antimicrobial resistance. </w:t>
      </w:r>
      <w:r w:rsidRPr="004405D6">
        <w:rPr>
          <w:i/>
          <w:iCs/>
        </w:rPr>
        <w:t>The Lancet, 399</w:t>
      </w:r>
      <w:r w:rsidRPr="004405D6">
        <w:t>, 629–655.</w:t>
      </w:r>
    </w:p>
    <w:p w14:paraId="77AA920C" w14:textId="77777777" w:rsidR="004405D6" w:rsidRPr="004405D6" w:rsidRDefault="004405D6" w:rsidP="004405D6">
      <w:pPr>
        <w:pStyle w:val="EndNoteBibliography"/>
        <w:numPr>
          <w:ilvl w:val="3"/>
          <w:numId w:val="7"/>
        </w:numPr>
        <w:spacing w:line="360" w:lineRule="auto"/>
      </w:pPr>
      <w:r w:rsidRPr="004405D6">
        <w:t xml:space="preserve">Fair, R. J., &amp; Tor, Y. (2014). Antibiotics and bacterial resistance in the 21st century. </w:t>
      </w:r>
      <w:r w:rsidRPr="004405D6">
        <w:rPr>
          <w:i/>
          <w:iCs/>
        </w:rPr>
        <w:t>Perspectives in Medicinal Chemistry, 6</w:t>
      </w:r>
      <w:r w:rsidRPr="004405D6">
        <w:t>, 25–64.</w:t>
      </w:r>
    </w:p>
    <w:p w14:paraId="65B1D463" w14:textId="77777777" w:rsidR="004405D6" w:rsidRPr="004405D6" w:rsidRDefault="004405D6" w:rsidP="004405D6">
      <w:pPr>
        <w:pStyle w:val="EndNoteBibliography"/>
        <w:numPr>
          <w:ilvl w:val="3"/>
          <w:numId w:val="7"/>
        </w:numPr>
        <w:spacing w:line="360" w:lineRule="auto"/>
      </w:pPr>
      <w:r w:rsidRPr="004405D6">
        <w:t xml:space="preserve">Llor, C., &amp; Bjerrum, L. (2014). Antimicrobial resistance: Risk associated with antibiotic overuse. </w:t>
      </w:r>
      <w:r w:rsidRPr="004405D6">
        <w:rPr>
          <w:i/>
          <w:iCs/>
        </w:rPr>
        <w:t>Therapeutic Advances in Drug Safety, 5</w:t>
      </w:r>
      <w:r w:rsidRPr="004405D6">
        <w:t>(6), 229–241.</w:t>
      </w:r>
    </w:p>
    <w:p w14:paraId="722DC7E2" w14:textId="77777777" w:rsidR="004405D6" w:rsidRPr="004405D6" w:rsidRDefault="004405D6" w:rsidP="004405D6">
      <w:pPr>
        <w:pStyle w:val="EndNoteBibliography"/>
        <w:numPr>
          <w:ilvl w:val="3"/>
          <w:numId w:val="7"/>
        </w:numPr>
        <w:spacing w:line="360" w:lineRule="auto"/>
      </w:pPr>
      <w:r w:rsidRPr="004405D6">
        <w:t xml:space="preserve">Goossens, H., et al. (2005). Outpatient antibiotic use in Europe and association with resistance. </w:t>
      </w:r>
      <w:r w:rsidRPr="004405D6">
        <w:rPr>
          <w:i/>
          <w:iCs/>
        </w:rPr>
        <w:t>The Lancet, 365</w:t>
      </w:r>
      <w:r w:rsidRPr="004405D6">
        <w:t>(9459), 579–587.</w:t>
      </w:r>
    </w:p>
    <w:p w14:paraId="615A14D9" w14:textId="77777777" w:rsidR="004405D6" w:rsidRPr="004405D6" w:rsidRDefault="004405D6" w:rsidP="004405D6">
      <w:pPr>
        <w:pStyle w:val="EndNoteBibliography"/>
        <w:numPr>
          <w:ilvl w:val="3"/>
          <w:numId w:val="7"/>
        </w:numPr>
        <w:spacing w:line="360" w:lineRule="auto"/>
      </w:pPr>
      <w:r w:rsidRPr="004405D6">
        <w:t xml:space="preserve">Kumarasamy, K. K., et al. (2010). Emergence of a new antibiotic resistance mechanism in India, Pakistan, and the UK: A molecular, biological, and epidemiological study. </w:t>
      </w:r>
      <w:r w:rsidRPr="004405D6">
        <w:rPr>
          <w:i/>
          <w:iCs/>
        </w:rPr>
        <w:t>The Lancet Infectious Diseases, 10</w:t>
      </w:r>
      <w:r w:rsidRPr="004405D6">
        <w:t>(9), 597–602.</w:t>
      </w:r>
    </w:p>
    <w:p w14:paraId="57DEAA76" w14:textId="77777777" w:rsidR="004405D6" w:rsidRPr="004405D6" w:rsidRDefault="004405D6" w:rsidP="004405D6">
      <w:pPr>
        <w:pStyle w:val="EndNoteBibliography"/>
        <w:numPr>
          <w:ilvl w:val="3"/>
          <w:numId w:val="7"/>
        </w:numPr>
        <w:spacing w:line="360" w:lineRule="auto"/>
      </w:pPr>
      <w:r w:rsidRPr="004405D6">
        <w:t xml:space="preserve">Tacconelli, E., et al. (2018). Discovery, research, and development of new antibiotics: The WHO priority list. </w:t>
      </w:r>
      <w:r w:rsidRPr="004405D6">
        <w:rPr>
          <w:i/>
          <w:iCs/>
        </w:rPr>
        <w:t>The Lancet Infectious Diseases, 18</w:t>
      </w:r>
      <w:r w:rsidRPr="004405D6">
        <w:t>(3), 318–327.</w:t>
      </w:r>
    </w:p>
    <w:p w14:paraId="143E64B6" w14:textId="77777777" w:rsidR="004405D6" w:rsidRPr="004405D6" w:rsidRDefault="004405D6" w:rsidP="004405D6">
      <w:pPr>
        <w:pStyle w:val="EndNoteBibliography"/>
        <w:numPr>
          <w:ilvl w:val="3"/>
          <w:numId w:val="7"/>
        </w:numPr>
        <w:spacing w:line="360" w:lineRule="auto"/>
      </w:pPr>
      <w:r w:rsidRPr="004405D6">
        <w:t>O’Neill, J. (2015). Antimicrobials in agriculture and the environment: Reducing unnecessary use.</w:t>
      </w:r>
    </w:p>
    <w:p w14:paraId="38AA468D" w14:textId="77777777" w:rsidR="004405D6" w:rsidRPr="004405D6" w:rsidRDefault="004405D6" w:rsidP="004405D6">
      <w:pPr>
        <w:pStyle w:val="EndNoteBibliography"/>
        <w:numPr>
          <w:ilvl w:val="3"/>
          <w:numId w:val="7"/>
        </w:numPr>
        <w:spacing w:line="360" w:lineRule="auto"/>
      </w:pPr>
      <w:r w:rsidRPr="004405D6">
        <w:t xml:space="preserve">Collignon, P., et al. (2018). Anthropological and socio-economic drivers of antimicrobial resistance. </w:t>
      </w:r>
      <w:r w:rsidRPr="004405D6">
        <w:rPr>
          <w:i/>
          <w:iCs/>
        </w:rPr>
        <w:t>BMJ, 360</w:t>
      </w:r>
      <w:r w:rsidRPr="004405D6">
        <w:t>, k1436.</w:t>
      </w:r>
    </w:p>
    <w:p w14:paraId="77615E0B" w14:textId="77777777" w:rsidR="004405D6" w:rsidRPr="004405D6" w:rsidRDefault="004405D6" w:rsidP="004405D6">
      <w:pPr>
        <w:pStyle w:val="EndNoteBibliography"/>
        <w:numPr>
          <w:ilvl w:val="3"/>
          <w:numId w:val="7"/>
        </w:numPr>
        <w:spacing w:line="360" w:lineRule="auto"/>
      </w:pPr>
      <w:r w:rsidRPr="004405D6">
        <w:t xml:space="preserve">Van Boeckel, T. P., et al. (2015). Global trends in antimicrobial use in food animals. </w:t>
      </w:r>
      <w:r w:rsidRPr="004405D6">
        <w:rPr>
          <w:i/>
          <w:iCs/>
        </w:rPr>
        <w:t>Proceedings of the National Academy of Sciences, 112</w:t>
      </w:r>
      <w:r w:rsidRPr="004405D6">
        <w:t>(18), 5649–5654.</w:t>
      </w:r>
    </w:p>
    <w:p w14:paraId="6D61CF7E" w14:textId="77777777" w:rsidR="004405D6" w:rsidRPr="004405D6" w:rsidRDefault="004405D6" w:rsidP="004405D6">
      <w:pPr>
        <w:pStyle w:val="EndNoteBibliography"/>
        <w:numPr>
          <w:ilvl w:val="3"/>
          <w:numId w:val="7"/>
        </w:numPr>
        <w:spacing w:line="360" w:lineRule="auto"/>
      </w:pPr>
      <w:r w:rsidRPr="004405D6">
        <w:t xml:space="preserve">Klein, E. Y., et al. (2018). Global increase and geographic convergence in antibiotic consumption between 2000 and 2015. </w:t>
      </w:r>
      <w:r w:rsidRPr="004405D6">
        <w:rPr>
          <w:i/>
          <w:iCs/>
        </w:rPr>
        <w:t>PNAS, 115</w:t>
      </w:r>
      <w:r w:rsidRPr="004405D6">
        <w:t>(15), E3463–E3470.</w:t>
      </w:r>
    </w:p>
    <w:p w14:paraId="5C620C95" w14:textId="77777777" w:rsidR="004405D6" w:rsidRPr="004405D6" w:rsidRDefault="004405D6" w:rsidP="004405D6">
      <w:pPr>
        <w:pStyle w:val="EndNoteBibliography"/>
        <w:numPr>
          <w:ilvl w:val="3"/>
          <w:numId w:val="7"/>
        </w:numPr>
        <w:spacing w:line="360" w:lineRule="auto"/>
      </w:pPr>
      <w:r w:rsidRPr="004405D6">
        <w:t xml:space="preserve">Huttner, B., et al. (2013). Characteristics and outcomes of public campaigns aimed at improving the use of antibiotics. </w:t>
      </w:r>
      <w:r w:rsidRPr="004405D6">
        <w:rPr>
          <w:i/>
          <w:iCs/>
        </w:rPr>
        <w:t>The Lancet Infectious Diseases, 10</w:t>
      </w:r>
      <w:r w:rsidRPr="004405D6">
        <w:t>(1), 17–31.</w:t>
      </w:r>
    </w:p>
    <w:p w14:paraId="38899B0D" w14:textId="77777777" w:rsidR="004405D6" w:rsidRPr="004405D6" w:rsidRDefault="004405D6" w:rsidP="004405D6">
      <w:pPr>
        <w:pStyle w:val="EndNoteBibliography"/>
        <w:numPr>
          <w:ilvl w:val="3"/>
          <w:numId w:val="7"/>
        </w:numPr>
        <w:spacing w:line="360" w:lineRule="auto"/>
      </w:pPr>
      <w:r w:rsidRPr="004405D6">
        <w:lastRenderedPageBreak/>
        <w:t xml:space="preserve">Hay, S. I., et al. (2022). Mapping antimicrobial resistance in the global burden of disease. </w:t>
      </w:r>
      <w:r w:rsidRPr="004405D6">
        <w:rPr>
          <w:i/>
          <w:iCs/>
        </w:rPr>
        <w:t>The Lancet, 399</w:t>
      </w:r>
      <w:r w:rsidRPr="004405D6">
        <w:t>(10325), 629–655.</w:t>
      </w:r>
    </w:p>
    <w:p w14:paraId="120E2348" w14:textId="77777777" w:rsidR="004405D6" w:rsidRPr="004405D6" w:rsidRDefault="004405D6" w:rsidP="004405D6">
      <w:pPr>
        <w:pStyle w:val="EndNoteBibliography"/>
        <w:numPr>
          <w:ilvl w:val="3"/>
          <w:numId w:val="7"/>
        </w:numPr>
        <w:spacing w:line="360" w:lineRule="auto"/>
      </w:pPr>
      <w:r w:rsidRPr="004405D6">
        <w:t xml:space="preserve">Berendonk, T. U., et al. (2015). Tackling antibiotic resistance: The environmental framework. </w:t>
      </w:r>
      <w:r w:rsidRPr="004405D6">
        <w:rPr>
          <w:i/>
          <w:iCs/>
        </w:rPr>
        <w:t>Nature Reviews Microbiology, 13</w:t>
      </w:r>
      <w:r w:rsidRPr="004405D6">
        <w:t>(5), 310–317.</w:t>
      </w:r>
    </w:p>
    <w:p w14:paraId="436C47AA" w14:textId="77777777" w:rsidR="004405D6" w:rsidRPr="004405D6" w:rsidRDefault="004405D6" w:rsidP="004405D6">
      <w:pPr>
        <w:pStyle w:val="EndNoteBibliography"/>
        <w:numPr>
          <w:ilvl w:val="3"/>
          <w:numId w:val="7"/>
        </w:numPr>
        <w:spacing w:line="360" w:lineRule="auto"/>
      </w:pPr>
      <w:r w:rsidRPr="004405D6">
        <w:t xml:space="preserve">Piddock, L. J. (2016). Reflecting on the final report of the O’Neill review on AMR. </w:t>
      </w:r>
      <w:r w:rsidRPr="004405D6">
        <w:rPr>
          <w:i/>
          <w:iCs/>
        </w:rPr>
        <w:t>The Lancet Infectious Diseases, 16</w:t>
      </w:r>
      <w:r w:rsidRPr="004405D6">
        <w:t>(7), 767–768.</w:t>
      </w:r>
    </w:p>
    <w:p w14:paraId="2C061BAD" w14:textId="77777777" w:rsidR="004405D6" w:rsidRPr="004405D6" w:rsidRDefault="004405D6" w:rsidP="004405D6">
      <w:pPr>
        <w:pStyle w:val="EndNoteBibliography"/>
        <w:numPr>
          <w:ilvl w:val="3"/>
          <w:numId w:val="7"/>
        </w:numPr>
        <w:spacing w:line="360" w:lineRule="auto"/>
      </w:pPr>
      <w:r w:rsidRPr="004405D6">
        <w:t xml:space="preserve">Rawson, T. M., et al. (2016). Antimicrobial use, drug-resistant infections, and COVID-19. </w:t>
      </w:r>
      <w:r w:rsidRPr="004405D6">
        <w:rPr>
          <w:i/>
          <w:iCs/>
        </w:rPr>
        <w:t>Nature Reviews Microbiology, 18</w:t>
      </w:r>
      <w:r w:rsidRPr="004405D6">
        <w:t>(8), 409–410.</w:t>
      </w:r>
    </w:p>
    <w:p w14:paraId="01608A4D" w14:textId="77777777" w:rsidR="004405D6" w:rsidRPr="004405D6" w:rsidRDefault="004405D6" w:rsidP="004405D6">
      <w:pPr>
        <w:pStyle w:val="EndNoteBibliography"/>
        <w:numPr>
          <w:ilvl w:val="3"/>
          <w:numId w:val="7"/>
        </w:numPr>
        <w:spacing w:line="360" w:lineRule="auto"/>
      </w:pPr>
      <w:r w:rsidRPr="004405D6">
        <w:t xml:space="preserve">CDC. (2021). </w:t>
      </w:r>
      <w:r w:rsidRPr="004405D6">
        <w:rPr>
          <w:i/>
          <w:iCs/>
        </w:rPr>
        <w:t>COVID-19: U.S. impact on antimicrobial resistance, special report 2022</w:t>
      </w:r>
      <w:r w:rsidRPr="004405D6">
        <w:t>.</w:t>
      </w:r>
    </w:p>
    <w:p w14:paraId="6FA66644" w14:textId="77777777" w:rsidR="004405D6" w:rsidRPr="004405D6" w:rsidRDefault="004405D6" w:rsidP="004405D6">
      <w:pPr>
        <w:pStyle w:val="EndNoteBibliography"/>
        <w:numPr>
          <w:ilvl w:val="3"/>
          <w:numId w:val="7"/>
        </w:numPr>
        <w:spacing w:line="360" w:lineRule="auto"/>
      </w:pPr>
      <w:r w:rsidRPr="004405D6">
        <w:t xml:space="preserve">Shallcross, L. J., &amp; Davies, D. S. (2014). Antibiotic overuse: A key driver of antimicrobial resistance. </w:t>
      </w:r>
      <w:r w:rsidRPr="004405D6">
        <w:rPr>
          <w:i/>
          <w:iCs/>
        </w:rPr>
        <w:t>British Journal of General Practice, 64</w:t>
      </w:r>
      <w:r w:rsidRPr="004405D6">
        <w:t>(629), 604–605.</w:t>
      </w:r>
    </w:p>
    <w:p w14:paraId="5DAE24AE" w14:textId="77777777" w:rsidR="004405D6" w:rsidRPr="004405D6" w:rsidRDefault="004405D6" w:rsidP="004405D6">
      <w:pPr>
        <w:pStyle w:val="EndNoteBibliography"/>
        <w:numPr>
          <w:ilvl w:val="3"/>
          <w:numId w:val="7"/>
        </w:numPr>
        <w:spacing w:line="360" w:lineRule="auto"/>
      </w:pPr>
      <w:r w:rsidRPr="004405D6">
        <w:t xml:space="preserve">Brown, E. D., &amp; Wright, G. D. (2016). Antibacterial drug discovery in the resistance era. </w:t>
      </w:r>
      <w:r w:rsidRPr="004405D6">
        <w:rPr>
          <w:i/>
          <w:iCs/>
        </w:rPr>
        <w:t>Nature, 529</w:t>
      </w:r>
      <w:r w:rsidRPr="004405D6">
        <w:t>(7586), 336–343.</w:t>
      </w:r>
    </w:p>
    <w:p w14:paraId="7CC214D4" w14:textId="77777777" w:rsidR="004405D6" w:rsidRPr="004405D6" w:rsidRDefault="004405D6" w:rsidP="004405D6">
      <w:pPr>
        <w:pStyle w:val="EndNoteBibliography"/>
        <w:numPr>
          <w:ilvl w:val="3"/>
          <w:numId w:val="7"/>
        </w:numPr>
        <w:spacing w:line="360" w:lineRule="auto"/>
      </w:pPr>
      <w:r w:rsidRPr="004405D6">
        <w:t xml:space="preserve">Li, B., &amp; Webster, T. J. (2018). Bacteria antibiotic resistance: New challenges and opportunities for implant-associated infections. </w:t>
      </w:r>
      <w:r w:rsidRPr="004405D6">
        <w:rPr>
          <w:i/>
          <w:iCs/>
        </w:rPr>
        <w:t>Journal of Orthopaedic Research, 36</w:t>
      </w:r>
      <w:r w:rsidRPr="004405D6">
        <w:t>(1), 22–32.</w:t>
      </w:r>
    </w:p>
    <w:p w14:paraId="3CA5FF41" w14:textId="77777777" w:rsidR="004405D6" w:rsidRPr="004405D6" w:rsidRDefault="004405D6" w:rsidP="004405D6">
      <w:pPr>
        <w:pStyle w:val="EndNoteBibliography"/>
        <w:numPr>
          <w:ilvl w:val="3"/>
          <w:numId w:val="7"/>
        </w:numPr>
        <w:spacing w:line="360" w:lineRule="auto"/>
      </w:pPr>
      <w:r w:rsidRPr="004405D6">
        <w:t xml:space="preserve">Martinez, J. L. (2008). Antibiotics and antibiotic resistance genes in natural environments. </w:t>
      </w:r>
      <w:r w:rsidRPr="004405D6">
        <w:rPr>
          <w:i/>
          <w:iCs/>
        </w:rPr>
        <w:t>Science, 321</w:t>
      </w:r>
      <w:r w:rsidRPr="004405D6">
        <w:t>(5887), 365–367.</w:t>
      </w:r>
    </w:p>
    <w:p w14:paraId="473E2C5E" w14:textId="77777777" w:rsidR="004405D6" w:rsidRPr="004405D6" w:rsidRDefault="004405D6" w:rsidP="004405D6">
      <w:pPr>
        <w:pStyle w:val="EndNoteBibliography"/>
        <w:numPr>
          <w:ilvl w:val="3"/>
          <w:numId w:val="7"/>
        </w:numPr>
        <w:spacing w:line="360" w:lineRule="auto"/>
      </w:pPr>
      <w:r w:rsidRPr="004405D6">
        <w:t xml:space="preserve">Livermore, D. M. (2004). The need for new antibiotics. </w:t>
      </w:r>
      <w:r w:rsidRPr="004405D6">
        <w:rPr>
          <w:i/>
          <w:iCs/>
        </w:rPr>
        <w:t>Clinical Microbiology and Infection, 10</w:t>
      </w:r>
      <w:r w:rsidRPr="004405D6">
        <w:t>, 1–9.</w:t>
      </w:r>
    </w:p>
    <w:p w14:paraId="3738DE20" w14:textId="77777777" w:rsidR="004405D6" w:rsidRPr="004405D6" w:rsidRDefault="004405D6" w:rsidP="004405D6">
      <w:pPr>
        <w:pStyle w:val="EndNoteBibliography"/>
        <w:numPr>
          <w:ilvl w:val="3"/>
          <w:numId w:val="7"/>
        </w:numPr>
        <w:spacing w:line="360" w:lineRule="auto"/>
      </w:pPr>
      <w:r w:rsidRPr="004405D6">
        <w:t xml:space="preserve">Naylor, N. R., et al. (2018). Estimating the burden of AMR. </w:t>
      </w:r>
      <w:r w:rsidRPr="004405D6">
        <w:rPr>
          <w:i/>
          <w:iCs/>
        </w:rPr>
        <w:t>Wellcome Open Research, 3</w:t>
      </w:r>
      <w:r w:rsidRPr="004405D6">
        <w:t>, 154.</w:t>
      </w:r>
    </w:p>
    <w:p w14:paraId="1BAE5283" w14:textId="77777777" w:rsidR="004405D6" w:rsidRPr="004405D6" w:rsidRDefault="004405D6" w:rsidP="004405D6">
      <w:pPr>
        <w:pStyle w:val="EndNoteBibliography"/>
        <w:numPr>
          <w:ilvl w:val="3"/>
          <w:numId w:val="7"/>
        </w:numPr>
        <w:spacing w:line="360" w:lineRule="auto"/>
      </w:pPr>
      <w:r w:rsidRPr="004405D6">
        <w:t xml:space="preserve">Laxminarayan, R. (2014). Antibiotic effectiveness: Balancing access and excess. </w:t>
      </w:r>
      <w:r w:rsidRPr="004405D6">
        <w:rPr>
          <w:i/>
          <w:iCs/>
        </w:rPr>
        <w:t>Science, 345</w:t>
      </w:r>
      <w:r w:rsidRPr="004405D6">
        <w:t>(6202), 1299–1301.</w:t>
      </w:r>
    </w:p>
    <w:p w14:paraId="09A019C0" w14:textId="77777777" w:rsidR="004405D6" w:rsidRPr="004405D6" w:rsidRDefault="004405D6" w:rsidP="004405D6">
      <w:pPr>
        <w:pStyle w:val="EndNoteBibliography"/>
        <w:numPr>
          <w:ilvl w:val="3"/>
          <w:numId w:val="7"/>
        </w:numPr>
        <w:spacing w:line="360" w:lineRule="auto"/>
      </w:pPr>
      <w:r w:rsidRPr="004405D6">
        <w:t xml:space="preserve">Worthington, R. J., &amp; Melander, C. (2013). Overcoming resistance: A key for antibiotic adjuvants. </w:t>
      </w:r>
      <w:r w:rsidRPr="004405D6">
        <w:rPr>
          <w:i/>
          <w:iCs/>
        </w:rPr>
        <w:t>Future Medicinal Chemistry, 5</w:t>
      </w:r>
      <w:r w:rsidRPr="004405D6">
        <w:t>(11), 1231–1242.</w:t>
      </w:r>
    </w:p>
    <w:p w14:paraId="5E088A07" w14:textId="77777777" w:rsidR="004405D6" w:rsidRPr="004405D6" w:rsidRDefault="004405D6" w:rsidP="004405D6">
      <w:pPr>
        <w:pStyle w:val="EndNoteBibliography"/>
        <w:numPr>
          <w:ilvl w:val="3"/>
          <w:numId w:val="7"/>
        </w:numPr>
        <w:spacing w:line="360" w:lineRule="auto"/>
      </w:pPr>
      <w:r w:rsidRPr="004405D6">
        <w:t xml:space="preserve">Bush, K., &amp; Bradford, P. A. (2016). β-lactams and β-lactamase inhibitors: An overview. </w:t>
      </w:r>
      <w:r w:rsidRPr="004405D6">
        <w:rPr>
          <w:i/>
          <w:iCs/>
        </w:rPr>
        <w:t>Cold Spring Harbor Perspectives in Medicine, 6</w:t>
      </w:r>
      <w:r w:rsidRPr="004405D6">
        <w:t>(8), a025247.</w:t>
      </w:r>
    </w:p>
    <w:p w14:paraId="08A41FFD" w14:textId="77777777" w:rsidR="004405D6" w:rsidRPr="004405D6" w:rsidRDefault="004405D6" w:rsidP="004405D6">
      <w:pPr>
        <w:pStyle w:val="EndNoteBibliography"/>
        <w:numPr>
          <w:ilvl w:val="3"/>
          <w:numId w:val="7"/>
        </w:numPr>
        <w:spacing w:line="360" w:lineRule="auto"/>
      </w:pPr>
      <w:r w:rsidRPr="004405D6">
        <w:lastRenderedPageBreak/>
        <w:t xml:space="preserve">Rossolini, G. M., et al. (2014). Update on the antibiotic resistance crisis. </w:t>
      </w:r>
      <w:r w:rsidRPr="004405D6">
        <w:rPr>
          <w:i/>
          <w:iCs/>
        </w:rPr>
        <w:t>Current Opinion in Pharmacology, 18</w:t>
      </w:r>
      <w:r w:rsidRPr="004405D6">
        <w:t>, 56–60.</w:t>
      </w:r>
    </w:p>
    <w:p w14:paraId="1B6BE08A" w14:textId="77777777" w:rsidR="004405D6" w:rsidRDefault="004405D6" w:rsidP="004405D6">
      <w:pPr>
        <w:pStyle w:val="EndNoteBibliography"/>
        <w:numPr>
          <w:ilvl w:val="3"/>
          <w:numId w:val="7"/>
        </w:numPr>
        <w:spacing w:line="360" w:lineRule="auto"/>
      </w:pPr>
      <w:r w:rsidRPr="004405D6">
        <w:t xml:space="preserve">Gandra, S., et al. (2017). Scoping report on AMR research and development. </w:t>
      </w:r>
      <w:r w:rsidRPr="004405D6">
        <w:rPr>
          <w:i/>
          <w:iCs/>
        </w:rPr>
        <w:t>Center for Disease Dynamics, Economics &amp; Policy (CDDEP)</w:t>
      </w:r>
      <w:r w:rsidRPr="004405D6">
        <w:t>.</w:t>
      </w:r>
    </w:p>
    <w:p w14:paraId="5548B534" w14:textId="36259F93" w:rsidR="00F526F1" w:rsidRDefault="00F526F1" w:rsidP="004405D6">
      <w:pPr>
        <w:pStyle w:val="EndNoteBibliography"/>
        <w:numPr>
          <w:ilvl w:val="3"/>
          <w:numId w:val="7"/>
        </w:numPr>
        <w:spacing w:line="360" w:lineRule="auto"/>
        <w:rPr>
          <w:highlight w:val="yellow"/>
        </w:rPr>
      </w:pPr>
      <w:r w:rsidRPr="00F526F1">
        <w:rPr>
          <w:highlight w:val="yellow"/>
        </w:rPr>
        <w:t>Sallam, M., &amp; Snygg, J. (2023, November). Improving antimicrobial stewardship program using the Lean Six Sigma methodology: a descriptive study from Mediclinic Welcare Hospital in Dubai, the UAE. In Healthcare (Vol. 11, No. 23, p. 3048). MDPI.</w:t>
      </w:r>
    </w:p>
    <w:p w14:paraId="55FFDA63" w14:textId="7E926F81" w:rsidR="00C23B64" w:rsidRDefault="00C23B64" w:rsidP="004405D6">
      <w:pPr>
        <w:pStyle w:val="EndNoteBibliography"/>
        <w:numPr>
          <w:ilvl w:val="3"/>
          <w:numId w:val="7"/>
        </w:numPr>
        <w:spacing w:line="360" w:lineRule="auto"/>
        <w:rPr>
          <w:highlight w:val="yellow"/>
        </w:rPr>
      </w:pPr>
      <w:r w:rsidRPr="00EA4112">
        <w:rPr>
          <w:highlight w:val="yellow"/>
        </w:rPr>
        <w:t>Sallam, M., Snygg, J., Allam, D., &amp; Kassem, R. (2024). From protection to prevention: redefining vaccines in the context of antimicrobial resistance. Cureus, 16(5).</w:t>
      </w:r>
    </w:p>
    <w:p w14:paraId="57EDD84A" w14:textId="4E126737" w:rsidR="00DE6044" w:rsidRPr="00EA4112" w:rsidRDefault="00DE6044" w:rsidP="004405D6">
      <w:pPr>
        <w:pStyle w:val="EndNoteBibliography"/>
        <w:numPr>
          <w:ilvl w:val="3"/>
          <w:numId w:val="7"/>
        </w:numPr>
        <w:spacing w:line="360" w:lineRule="auto"/>
        <w:rPr>
          <w:highlight w:val="yellow"/>
        </w:rPr>
      </w:pPr>
      <w:r w:rsidRPr="00DE6044">
        <w:t xml:space="preserve">Ngwu, </w:t>
      </w:r>
      <w:r w:rsidRPr="00FA771A">
        <w:rPr>
          <w:highlight w:val="yellow"/>
        </w:rPr>
        <w:t>F. A., Valisto, M. N. B., Hashem, A. A. E., Elawad, K. H., &amp; Innes, R. (2024). Antimicrobial Resistance in Primary Health Care Setting: The Prevalence of Multi-Drug Resistant Organisms in Health Centers under the Primary Health Care Corporation PHCC, Qatar. Asia</w:t>
      </w:r>
      <w:r w:rsidRPr="00DE6044">
        <w:t>n Journal of Medicine and Health, 22(9), 33–44. https://doi.org/10.9734/ajmah/2024/v22i91088</w:t>
      </w:r>
    </w:p>
    <w:p w14:paraId="1491C762" w14:textId="77777777" w:rsidR="004405D6" w:rsidRPr="00F711E2" w:rsidRDefault="004405D6" w:rsidP="00F711E2">
      <w:pPr>
        <w:pStyle w:val="EndNoteBibliography"/>
      </w:pPr>
    </w:p>
    <w:p w14:paraId="379AA563" w14:textId="77777777" w:rsidR="007969FB" w:rsidRPr="007969FB" w:rsidRDefault="0094242C" w:rsidP="007969FB">
      <w:pPr>
        <w:spacing w:line="360" w:lineRule="auto"/>
        <w:jc w:val="both"/>
      </w:pPr>
      <w:r>
        <w:fldChar w:fldCharType="end"/>
      </w:r>
    </w:p>
    <w:sectPr w:rsidR="007969FB" w:rsidRPr="007969FB" w:rsidSect="006C3E5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83D52" w14:textId="77777777" w:rsidR="00A216BC" w:rsidRDefault="00A216BC" w:rsidP="004A4FC8">
      <w:pPr>
        <w:spacing w:after="0" w:line="240" w:lineRule="auto"/>
      </w:pPr>
      <w:r>
        <w:separator/>
      </w:r>
    </w:p>
  </w:endnote>
  <w:endnote w:type="continuationSeparator" w:id="0">
    <w:p w14:paraId="370F89F7" w14:textId="77777777" w:rsidR="00A216BC" w:rsidRDefault="00A216BC" w:rsidP="004A4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D059" w14:textId="77777777" w:rsidR="000D7F5F" w:rsidRDefault="000D7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BEC1" w14:textId="77777777" w:rsidR="000D7F5F" w:rsidRDefault="000D7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F3560" w14:textId="77777777" w:rsidR="000D7F5F" w:rsidRDefault="000D7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EC9AD" w14:textId="77777777" w:rsidR="00A216BC" w:rsidRDefault="00A216BC" w:rsidP="004A4FC8">
      <w:pPr>
        <w:spacing w:after="0" w:line="240" w:lineRule="auto"/>
      </w:pPr>
      <w:r>
        <w:separator/>
      </w:r>
    </w:p>
  </w:footnote>
  <w:footnote w:type="continuationSeparator" w:id="0">
    <w:p w14:paraId="2FD6562C" w14:textId="77777777" w:rsidR="00A216BC" w:rsidRDefault="00A216BC" w:rsidP="004A4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C644" w14:textId="77777777" w:rsidR="000D7F5F" w:rsidRDefault="00000000">
    <w:pPr>
      <w:pStyle w:val="Header"/>
    </w:pPr>
    <w:r>
      <w:rPr>
        <w:noProof/>
      </w:rPr>
      <w:pict w14:anchorId="5D4F6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7CE0" w14:textId="77777777" w:rsidR="000D7F5F" w:rsidRDefault="00000000">
    <w:pPr>
      <w:pStyle w:val="Header"/>
    </w:pPr>
    <w:r>
      <w:rPr>
        <w:noProof/>
      </w:rPr>
      <w:pict w14:anchorId="4A889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3709" w14:textId="77777777" w:rsidR="000D7F5F" w:rsidRDefault="00000000">
    <w:pPr>
      <w:pStyle w:val="Header"/>
    </w:pPr>
    <w:r>
      <w:rPr>
        <w:noProof/>
      </w:rPr>
      <w:pict w14:anchorId="742A1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976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57809"/>
    <w:multiLevelType w:val="hybridMultilevel"/>
    <w:tmpl w:val="87565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5469C"/>
    <w:multiLevelType w:val="hybridMultilevel"/>
    <w:tmpl w:val="22C6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677840"/>
    <w:multiLevelType w:val="multilevel"/>
    <w:tmpl w:val="EDBE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4C6255"/>
    <w:multiLevelType w:val="hybridMultilevel"/>
    <w:tmpl w:val="870AF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2E656F"/>
    <w:multiLevelType w:val="multilevel"/>
    <w:tmpl w:val="BBE4B2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5" w15:restartNumberingAfterBreak="0">
    <w:nsid w:val="75AA4CF2"/>
    <w:multiLevelType w:val="hybridMultilevel"/>
    <w:tmpl w:val="3814D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581247"/>
    <w:multiLevelType w:val="hybridMultilevel"/>
    <w:tmpl w:val="51B2A072"/>
    <w:lvl w:ilvl="0" w:tplc="220468E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8512838">
    <w:abstractNumId w:val="3"/>
  </w:num>
  <w:num w:numId="2" w16cid:durableId="397021038">
    <w:abstractNumId w:val="4"/>
  </w:num>
  <w:num w:numId="3" w16cid:durableId="1153597371">
    <w:abstractNumId w:val="2"/>
  </w:num>
  <w:num w:numId="4" w16cid:durableId="397018750">
    <w:abstractNumId w:val="6"/>
  </w:num>
  <w:num w:numId="5" w16cid:durableId="889457842">
    <w:abstractNumId w:val="0"/>
  </w:num>
  <w:num w:numId="6" w16cid:durableId="877471373">
    <w:abstractNumId w:val="5"/>
  </w:num>
  <w:num w:numId="7" w16cid:durableId="1301349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M0tbA0MLUwtTQxMrFU0lEKTi0uzszPAykwrAUA9utwOSw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w9aww2f0sf9petez35wtev9xx99ap2ss5z&quot;&gt;My EndNote Library111&lt;record-ids&gt;&lt;item&gt;25426&lt;/item&gt;&lt;item&gt;25427&lt;/item&gt;&lt;item&gt;25428&lt;/item&gt;&lt;item&gt;25429&lt;/item&gt;&lt;item&gt;25430&lt;/item&gt;&lt;item&gt;25431&lt;/item&gt;&lt;item&gt;25432&lt;/item&gt;&lt;item&gt;25433&lt;/item&gt;&lt;item&gt;25434&lt;/item&gt;&lt;item&gt;25435&lt;/item&gt;&lt;item&gt;25436&lt;/item&gt;&lt;item&gt;25437&lt;/item&gt;&lt;item&gt;25438&lt;/item&gt;&lt;item&gt;25439&lt;/item&gt;&lt;item&gt;25440&lt;/item&gt;&lt;item&gt;25441&lt;/item&gt;&lt;item&gt;25442&lt;/item&gt;&lt;item&gt;25443&lt;/item&gt;&lt;item&gt;25444&lt;/item&gt;&lt;item&gt;25445&lt;/item&gt;&lt;item&gt;25446&lt;/item&gt;&lt;item&gt;25447&lt;/item&gt;&lt;item&gt;25448&lt;/item&gt;&lt;item&gt;25449&lt;/item&gt;&lt;item&gt;25450&lt;/item&gt;&lt;item&gt;25451&lt;/item&gt;&lt;/record-ids&gt;&lt;/item&gt;&lt;/Libraries&gt;"/>
  </w:docVars>
  <w:rsids>
    <w:rsidRoot w:val="007969FB"/>
    <w:rsid w:val="00000DF5"/>
    <w:rsid w:val="00027DA8"/>
    <w:rsid w:val="000B667D"/>
    <w:rsid w:val="000D7F5F"/>
    <w:rsid w:val="000F66AD"/>
    <w:rsid w:val="001B5D36"/>
    <w:rsid w:val="001F09B0"/>
    <w:rsid w:val="00204379"/>
    <w:rsid w:val="00264EDC"/>
    <w:rsid w:val="002A3DCA"/>
    <w:rsid w:val="002F7210"/>
    <w:rsid w:val="00303C4C"/>
    <w:rsid w:val="00335A78"/>
    <w:rsid w:val="00370F12"/>
    <w:rsid w:val="003B31F8"/>
    <w:rsid w:val="004405D6"/>
    <w:rsid w:val="00440FB4"/>
    <w:rsid w:val="004A4FC8"/>
    <w:rsid w:val="004B7898"/>
    <w:rsid w:val="004E4128"/>
    <w:rsid w:val="00507BEA"/>
    <w:rsid w:val="0054467C"/>
    <w:rsid w:val="005D1ACD"/>
    <w:rsid w:val="005D7404"/>
    <w:rsid w:val="00664D1D"/>
    <w:rsid w:val="006A288C"/>
    <w:rsid w:val="006B4973"/>
    <w:rsid w:val="006C3E5D"/>
    <w:rsid w:val="006C70CD"/>
    <w:rsid w:val="007042B7"/>
    <w:rsid w:val="0071455D"/>
    <w:rsid w:val="00746CFE"/>
    <w:rsid w:val="007633BE"/>
    <w:rsid w:val="007768A8"/>
    <w:rsid w:val="00795586"/>
    <w:rsid w:val="007969FB"/>
    <w:rsid w:val="00843085"/>
    <w:rsid w:val="0089600B"/>
    <w:rsid w:val="008D2017"/>
    <w:rsid w:val="008D5865"/>
    <w:rsid w:val="008E2C7A"/>
    <w:rsid w:val="008E44F1"/>
    <w:rsid w:val="0091239D"/>
    <w:rsid w:val="00916976"/>
    <w:rsid w:val="00921921"/>
    <w:rsid w:val="0094242C"/>
    <w:rsid w:val="00966B0E"/>
    <w:rsid w:val="00990E8E"/>
    <w:rsid w:val="00991C0F"/>
    <w:rsid w:val="009B4371"/>
    <w:rsid w:val="009D1C2D"/>
    <w:rsid w:val="00A216BC"/>
    <w:rsid w:val="00A916FC"/>
    <w:rsid w:val="00A91EC4"/>
    <w:rsid w:val="00AA1048"/>
    <w:rsid w:val="00AF611C"/>
    <w:rsid w:val="00B05576"/>
    <w:rsid w:val="00B11D96"/>
    <w:rsid w:val="00BB7430"/>
    <w:rsid w:val="00BD53E3"/>
    <w:rsid w:val="00BF13B8"/>
    <w:rsid w:val="00C109F8"/>
    <w:rsid w:val="00C23B64"/>
    <w:rsid w:val="00CE5E66"/>
    <w:rsid w:val="00D005EC"/>
    <w:rsid w:val="00D03FFF"/>
    <w:rsid w:val="00D067C3"/>
    <w:rsid w:val="00D26A2A"/>
    <w:rsid w:val="00D53FA9"/>
    <w:rsid w:val="00D565F0"/>
    <w:rsid w:val="00D70790"/>
    <w:rsid w:val="00D93193"/>
    <w:rsid w:val="00D95655"/>
    <w:rsid w:val="00DE3E9C"/>
    <w:rsid w:val="00DE6044"/>
    <w:rsid w:val="00E13066"/>
    <w:rsid w:val="00E37751"/>
    <w:rsid w:val="00E97FE6"/>
    <w:rsid w:val="00EA4112"/>
    <w:rsid w:val="00EB200B"/>
    <w:rsid w:val="00EF67DD"/>
    <w:rsid w:val="00F526F1"/>
    <w:rsid w:val="00F711E2"/>
    <w:rsid w:val="00FA70FF"/>
    <w:rsid w:val="00FA771A"/>
    <w:rsid w:val="00FD256B"/>
    <w:rsid w:val="00FE1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FD2DA"/>
  <w15:docId w15:val="{830A5154-684E-4C61-83E1-B6D855BA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E5D"/>
  </w:style>
  <w:style w:type="paragraph" w:styleId="Heading3">
    <w:name w:val="heading 3"/>
    <w:basedOn w:val="Normal"/>
    <w:link w:val="Heading3Char"/>
    <w:uiPriority w:val="9"/>
    <w:qFormat/>
    <w:rsid w:val="00264E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69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69FB"/>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969FB"/>
    <w:pPr>
      <w:ind w:left="720"/>
      <w:contextualSpacing/>
    </w:pPr>
  </w:style>
  <w:style w:type="table" w:styleId="TableGrid">
    <w:name w:val="Table Grid"/>
    <w:basedOn w:val="TableNormal"/>
    <w:uiPriority w:val="59"/>
    <w:rsid w:val="00796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56B"/>
    <w:rPr>
      <w:rFonts w:ascii="Tahoma" w:hAnsi="Tahoma" w:cs="Tahoma"/>
      <w:sz w:val="16"/>
      <w:szCs w:val="16"/>
    </w:rPr>
  </w:style>
  <w:style w:type="paragraph" w:styleId="Caption">
    <w:name w:val="caption"/>
    <w:basedOn w:val="Normal"/>
    <w:next w:val="Normal"/>
    <w:uiPriority w:val="35"/>
    <w:unhideWhenUsed/>
    <w:qFormat/>
    <w:rsid w:val="00FD256B"/>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64EDC"/>
    <w:rPr>
      <w:rFonts w:ascii="Times New Roman" w:eastAsia="Times New Roman" w:hAnsi="Times New Roman" w:cs="Times New Roman"/>
      <w:b/>
      <w:bCs/>
      <w:sz w:val="27"/>
      <w:szCs w:val="27"/>
    </w:rPr>
  </w:style>
  <w:style w:type="character" w:styleId="Strong">
    <w:name w:val="Strong"/>
    <w:basedOn w:val="DefaultParagraphFont"/>
    <w:uiPriority w:val="22"/>
    <w:qFormat/>
    <w:rsid w:val="00264EDC"/>
    <w:rPr>
      <w:b/>
      <w:bCs/>
    </w:rPr>
  </w:style>
  <w:style w:type="paragraph" w:styleId="NormalWeb">
    <w:name w:val="Normal (Web)"/>
    <w:basedOn w:val="Normal"/>
    <w:uiPriority w:val="99"/>
    <w:semiHidden/>
    <w:unhideWhenUsed/>
    <w:rsid w:val="00264ED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4EDC"/>
    <w:rPr>
      <w:i/>
      <w:iCs/>
    </w:rPr>
  </w:style>
  <w:style w:type="character" w:styleId="Hyperlink">
    <w:name w:val="Hyperlink"/>
    <w:basedOn w:val="DefaultParagraphFont"/>
    <w:uiPriority w:val="99"/>
    <w:unhideWhenUsed/>
    <w:rsid w:val="00264EDC"/>
    <w:rPr>
      <w:color w:val="0000FF"/>
      <w:u w:val="single"/>
    </w:rPr>
  </w:style>
  <w:style w:type="character" w:customStyle="1" w:styleId="UnresolvedMention1">
    <w:name w:val="Unresolved Mention1"/>
    <w:basedOn w:val="DefaultParagraphFont"/>
    <w:uiPriority w:val="99"/>
    <w:semiHidden/>
    <w:unhideWhenUsed/>
    <w:rsid w:val="00EF67DD"/>
    <w:rPr>
      <w:color w:val="605E5C"/>
      <w:shd w:val="clear" w:color="auto" w:fill="E1DFDD"/>
    </w:rPr>
  </w:style>
  <w:style w:type="paragraph" w:styleId="Header">
    <w:name w:val="header"/>
    <w:basedOn w:val="Normal"/>
    <w:link w:val="HeaderChar"/>
    <w:uiPriority w:val="99"/>
    <w:unhideWhenUsed/>
    <w:rsid w:val="004A4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FC8"/>
  </w:style>
  <w:style w:type="paragraph" w:styleId="Footer">
    <w:name w:val="footer"/>
    <w:basedOn w:val="Normal"/>
    <w:link w:val="FooterChar"/>
    <w:uiPriority w:val="99"/>
    <w:unhideWhenUsed/>
    <w:rsid w:val="004A4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FC8"/>
  </w:style>
  <w:style w:type="paragraph" w:customStyle="1" w:styleId="EndNoteBibliographyTitle">
    <w:name w:val="EndNote Bibliography Title"/>
    <w:basedOn w:val="Normal"/>
    <w:link w:val="EndNoteBibliographyTitleChar"/>
    <w:rsid w:val="000D7F5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D7F5F"/>
    <w:rPr>
      <w:rFonts w:ascii="Calibri" w:hAnsi="Calibri" w:cs="Calibri"/>
      <w:noProof/>
    </w:rPr>
  </w:style>
  <w:style w:type="paragraph" w:customStyle="1" w:styleId="EndNoteBibliography">
    <w:name w:val="EndNote Bibliography"/>
    <w:basedOn w:val="Normal"/>
    <w:link w:val="EndNoteBibliographyChar"/>
    <w:rsid w:val="000D7F5F"/>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D7F5F"/>
    <w:rPr>
      <w:rFonts w:ascii="Calibri" w:hAnsi="Calibri" w:cs="Calibri"/>
      <w:noProof/>
    </w:rPr>
  </w:style>
  <w:style w:type="paragraph" w:styleId="Revision">
    <w:name w:val="Revision"/>
    <w:hidden/>
    <w:uiPriority w:val="99"/>
    <w:semiHidden/>
    <w:rsid w:val="00D005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40187">
      <w:bodyDiv w:val="1"/>
      <w:marLeft w:val="0"/>
      <w:marRight w:val="0"/>
      <w:marTop w:val="0"/>
      <w:marBottom w:val="0"/>
      <w:divBdr>
        <w:top w:val="none" w:sz="0" w:space="0" w:color="auto"/>
        <w:left w:val="none" w:sz="0" w:space="0" w:color="auto"/>
        <w:bottom w:val="none" w:sz="0" w:space="0" w:color="auto"/>
        <w:right w:val="none" w:sz="0" w:space="0" w:color="auto"/>
      </w:divBdr>
    </w:div>
    <w:div w:id="293948687">
      <w:bodyDiv w:val="1"/>
      <w:marLeft w:val="0"/>
      <w:marRight w:val="0"/>
      <w:marTop w:val="0"/>
      <w:marBottom w:val="0"/>
      <w:divBdr>
        <w:top w:val="none" w:sz="0" w:space="0" w:color="auto"/>
        <w:left w:val="none" w:sz="0" w:space="0" w:color="auto"/>
        <w:bottom w:val="none" w:sz="0" w:space="0" w:color="auto"/>
        <w:right w:val="none" w:sz="0" w:space="0" w:color="auto"/>
      </w:divBdr>
    </w:div>
    <w:div w:id="412092506">
      <w:bodyDiv w:val="1"/>
      <w:marLeft w:val="0"/>
      <w:marRight w:val="0"/>
      <w:marTop w:val="0"/>
      <w:marBottom w:val="0"/>
      <w:divBdr>
        <w:top w:val="none" w:sz="0" w:space="0" w:color="auto"/>
        <w:left w:val="none" w:sz="0" w:space="0" w:color="auto"/>
        <w:bottom w:val="none" w:sz="0" w:space="0" w:color="auto"/>
        <w:right w:val="none" w:sz="0" w:space="0" w:color="auto"/>
      </w:divBdr>
    </w:div>
    <w:div w:id="428744670">
      <w:bodyDiv w:val="1"/>
      <w:marLeft w:val="0"/>
      <w:marRight w:val="0"/>
      <w:marTop w:val="0"/>
      <w:marBottom w:val="0"/>
      <w:divBdr>
        <w:top w:val="none" w:sz="0" w:space="0" w:color="auto"/>
        <w:left w:val="none" w:sz="0" w:space="0" w:color="auto"/>
        <w:bottom w:val="none" w:sz="0" w:space="0" w:color="auto"/>
        <w:right w:val="none" w:sz="0" w:space="0" w:color="auto"/>
      </w:divBdr>
    </w:div>
    <w:div w:id="444078378">
      <w:bodyDiv w:val="1"/>
      <w:marLeft w:val="0"/>
      <w:marRight w:val="0"/>
      <w:marTop w:val="0"/>
      <w:marBottom w:val="0"/>
      <w:divBdr>
        <w:top w:val="none" w:sz="0" w:space="0" w:color="auto"/>
        <w:left w:val="none" w:sz="0" w:space="0" w:color="auto"/>
        <w:bottom w:val="none" w:sz="0" w:space="0" w:color="auto"/>
        <w:right w:val="none" w:sz="0" w:space="0" w:color="auto"/>
      </w:divBdr>
    </w:div>
    <w:div w:id="515921574">
      <w:bodyDiv w:val="1"/>
      <w:marLeft w:val="0"/>
      <w:marRight w:val="0"/>
      <w:marTop w:val="0"/>
      <w:marBottom w:val="0"/>
      <w:divBdr>
        <w:top w:val="none" w:sz="0" w:space="0" w:color="auto"/>
        <w:left w:val="none" w:sz="0" w:space="0" w:color="auto"/>
        <w:bottom w:val="none" w:sz="0" w:space="0" w:color="auto"/>
        <w:right w:val="none" w:sz="0" w:space="0" w:color="auto"/>
      </w:divBdr>
    </w:div>
    <w:div w:id="570234603">
      <w:bodyDiv w:val="1"/>
      <w:marLeft w:val="0"/>
      <w:marRight w:val="0"/>
      <w:marTop w:val="0"/>
      <w:marBottom w:val="0"/>
      <w:divBdr>
        <w:top w:val="none" w:sz="0" w:space="0" w:color="auto"/>
        <w:left w:val="none" w:sz="0" w:space="0" w:color="auto"/>
        <w:bottom w:val="none" w:sz="0" w:space="0" w:color="auto"/>
        <w:right w:val="none" w:sz="0" w:space="0" w:color="auto"/>
      </w:divBdr>
    </w:div>
    <w:div w:id="578102957">
      <w:bodyDiv w:val="1"/>
      <w:marLeft w:val="0"/>
      <w:marRight w:val="0"/>
      <w:marTop w:val="0"/>
      <w:marBottom w:val="0"/>
      <w:divBdr>
        <w:top w:val="none" w:sz="0" w:space="0" w:color="auto"/>
        <w:left w:val="none" w:sz="0" w:space="0" w:color="auto"/>
        <w:bottom w:val="none" w:sz="0" w:space="0" w:color="auto"/>
        <w:right w:val="none" w:sz="0" w:space="0" w:color="auto"/>
      </w:divBdr>
    </w:div>
    <w:div w:id="657151582">
      <w:bodyDiv w:val="1"/>
      <w:marLeft w:val="0"/>
      <w:marRight w:val="0"/>
      <w:marTop w:val="0"/>
      <w:marBottom w:val="0"/>
      <w:divBdr>
        <w:top w:val="none" w:sz="0" w:space="0" w:color="auto"/>
        <w:left w:val="none" w:sz="0" w:space="0" w:color="auto"/>
        <w:bottom w:val="none" w:sz="0" w:space="0" w:color="auto"/>
        <w:right w:val="none" w:sz="0" w:space="0" w:color="auto"/>
      </w:divBdr>
    </w:div>
    <w:div w:id="872811876">
      <w:bodyDiv w:val="1"/>
      <w:marLeft w:val="0"/>
      <w:marRight w:val="0"/>
      <w:marTop w:val="0"/>
      <w:marBottom w:val="0"/>
      <w:divBdr>
        <w:top w:val="none" w:sz="0" w:space="0" w:color="auto"/>
        <w:left w:val="none" w:sz="0" w:space="0" w:color="auto"/>
        <w:bottom w:val="none" w:sz="0" w:space="0" w:color="auto"/>
        <w:right w:val="none" w:sz="0" w:space="0" w:color="auto"/>
      </w:divBdr>
    </w:div>
    <w:div w:id="898787001">
      <w:bodyDiv w:val="1"/>
      <w:marLeft w:val="0"/>
      <w:marRight w:val="0"/>
      <w:marTop w:val="0"/>
      <w:marBottom w:val="0"/>
      <w:divBdr>
        <w:top w:val="none" w:sz="0" w:space="0" w:color="auto"/>
        <w:left w:val="none" w:sz="0" w:space="0" w:color="auto"/>
        <w:bottom w:val="none" w:sz="0" w:space="0" w:color="auto"/>
        <w:right w:val="none" w:sz="0" w:space="0" w:color="auto"/>
      </w:divBdr>
    </w:div>
    <w:div w:id="1017537507">
      <w:bodyDiv w:val="1"/>
      <w:marLeft w:val="0"/>
      <w:marRight w:val="0"/>
      <w:marTop w:val="0"/>
      <w:marBottom w:val="0"/>
      <w:divBdr>
        <w:top w:val="none" w:sz="0" w:space="0" w:color="auto"/>
        <w:left w:val="none" w:sz="0" w:space="0" w:color="auto"/>
        <w:bottom w:val="none" w:sz="0" w:space="0" w:color="auto"/>
        <w:right w:val="none" w:sz="0" w:space="0" w:color="auto"/>
      </w:divBdr>
    </w:div>
    <w:div w:id="1037775771">
      <w:bodyDiv w:val="1"/>
      <w:marLeft w:val="0"/>
      <w:marRight w:val="0"/>
      <w:marTop w:val="0"/>
      <w:marBottom w:val="0"/>
      <w:divBdr>
        <w:top w:val="none" w:sz="0" w:space="0" w:color="auto"/>
        <w:left w:val="none" w:sz="0" w:space="0" w:color="auto"/>
        <w:bottom w:val="none" w:sz="0" w:space="0" w:color="auto"/>
        <w:right w:val="none" w:sz="0" w:space="0" w:color="auto"/>
      </w:divBdr>
    </w:div>
    <w:div w:id="1049763852">
      <w:bodyDiv w:val="1"/>
      <w:marLeft w:val="0"/>
      <w:marRight w:val="0"/>
      <w:marTop w:val="0"/>
      <w:marBottom w:val="0"/>
      <w:divBdr>
        <w:top w:val="none" w:sz="0" w:space="0" w:color="auto"/>
        <w:left w:val="none" w:sz="0" w:space="0" w:color="auto"/>
        <w:bottom w:val="none" w:sz="0" w:space="0" w:color="auto"/>
        <w:right w:val="none" w:sz="0" w:space="0" w:color="auto"/>
      </w:divBdr>
    </w:div>
    <w:div w:id="1154488244">
      <w:bodyDiv w:val="1"/>
      <w:marLeft w:val="0"/>
      <w:marRight w:val="0"/>
      <w:marTop w:val="0"/>
      <w:marBottom w:val="0"/>
      <w:divBdr>
        <w:top w:val="none" w:sz="0" w:space="0" w:color="auto"/>
        <w:left w:val="none" w:sz="0" w:space="0" w:color="auto"/>
        <w:bottom w:val="none" w:sz="0" w:space="0" w:color="auto"/>
        <w:right w:val="none" w:sz="0" w:space="0" w:color="auto"/>
      </w:divBdr>
    </w:div>
    <w:div w:id="1299265307">
      <w:bodyDiv w:val="1"/>
      <w:marLeft w:val="0"/>
      <w:marRight w:val="0"/>
      <w:marTop w:val="0"/>
      <w:marBottom w:val="0"/>
      <w:divBdr>
        <w:top w:val="none" w:sz="0" w:space="0" w:color="auto"/>
        <w:left w:val="none" w:sz="0" w:space="0" w:color="auto"/>
        <w:bottom w:val="none" w:sz="0" w:space="0" w:color="auto"/>
        <w:right w:val="none" w:sz="0" w:space="0" w:color="auto"/>
      </w:divBdr>
    </w:div>
    <w:div w:id="1325469292">
      <w:bodyDiv w:val="1"/>
      <w:marLeft w:val="0"/>
      <w:marRight w:val="0"/>
      <w:marTop w:val="0"/>
      <w:marBottom w:val="0"/>
      <w:divBdr>
        <w:top w:val="none" w:sz="0" w:space="0" w:color="auto"/>
        <w:left w:val="none" w:sz="0" w:space="0" w:color="auto"/>
        <w:bottom w:val="none" w:sz="0" w:space="0" w:color="auto"/>
        <w:right w:val="none" w:sz="0" w:space="0" w:color="auto"/>
      </w:divBdr>
    </w:div>
    <w:div w:id="1333952384">
      <w:bodyDiv w:val="1"/>
      <w:marLeft w:val="0"/>
      <w:marRight w:val="0"/>
      <w:marTop w:val="0"/>
      <w:marBottom w:val="0"/>
      <w:divBdr>
        <w:top w:val="none" w:sz="0" w:space="0" w:color="auto"/>
        <w:left w:val="none" w:sz="0" w:space="0" w:color="auto"/>
        <w:bottom w:val="none" w:sz="0" w:space="0" w:color="auto"/>
        <w:right w:val="none" w:sz="0" w:space="0" w:color="auto"/>
      </w:divBdr>
    </w:div>
    <w:div w:id="1511289330">
      <w:bodyDiv w:val="1"/>
      <w:marLeft w:val="0"/>
      <w:marRight w:val="0"/>
      <w:marTop w:val="0"/>
      <w:marBottom w:val="0"/>
      <w:divBdr>
        <w:top w:val="none" w:sz="0" w:space="0" w:color="auto"/>
        <w:left w:val="none" w:sz="0" w:space="0" w:color="auto"/>
        <w:bottom w:val="none" w:sz="0" w:space="0" w:color="auto"/>
        <w:right w:val="none" w:sz="0" w:space="0" w:color="auto"/>
      </w:divBdr>
    </w:div>
    <w:div w:id="1630283349">
      <w:bodyDiv w:val="1"/>
      <w:marLeft w:val="0"/>
      <w:marRight w:val="0"/>
      <w:marTop w:val="0"/>
      <w:marBottom w:val="0"/>
      <w:divBdr>
        <w:top w:val="none" w:sz="0" w:space="0" w:color="auto"/>
        <w:left w:val="none" w:sz="0" w:space="0" w:color="auto"/>
        <w:bottom w:val="none" w:sz="0" w:space="0" w:color="auto"/>
        <w:right w:val="none" w:sz="0" w:space="0" w:color="auto"/>
      </w:divBdr>
    </w:div>
    <w:div w:id="1793749113">
      <w:bodyDiv w:val="1"/>
      <w:marLeft w:val="0"/>
      <w:marRight w:val="0"/>
      <w:marTop w:val="0"/>
      <w:marBottom w:val="0"/>
      <w:divBdr>
        <w:top w:val="none" w:sz="0" w:space="0" w:color="auto"/>
        <w:left w:val="none" w:sz="0" w:space="0" w:color="auto"/>
        <w:bottom w:val="none" w:sz="0" w:space="0" w:color="auto"/>
        <w:right w:val="none" w:sz="0" w:space="0" w:color="auto"/>
      </w:divBdr>
    </w:div>
    <w:div w:id="1914243108">
      <w:bodyDiv w:val="1"/>
      <w:marLeft w:val="0"/>
      <w:marRight w:val="0"/>
      <w:marTop w:val="0"/>
      <w:marBottom w:val="0"/>
      <w:divBdr>
        <w:top w:val="none" w:sz="0" w:space="0" w:color="auto"/>
        <w:left w:val="none" w:sz="0" w:space="0" w:color="auto"/>
        <w:bottom w:val="none" w:sz="0" w:space="0" w:color="auto"/>
        <w:right w:val="none" w:sz="0" w:space="0" w:color="auto"/>
      </w:divBdr>
    </w:div>
    <w:div w:id="1985618599">
      <w:bodyDiv w:val="1"/>
      <w:marLeft w:val="0"/>
      <w:marRight w:val="0"/>
      <w:marTop w:val="0"/>
      <w:marBottom w:val="0"/>
      <w:divBdr>
        <w:top w:val="none" w:sz="0" w:space="0" w:color="auto"/>
        <w:left w:val="none" w:sz="0" w:space="0" w:color="auto"/>
        <w:bottom w:val="none" w:sz="0" w:space="0" w:color="auto"/>
        <w:right w:val="none" w:sz="0" w:space="0" w:color="auto"/>
      </w:divBdr>
    </w:div>
    <w:div w:id="1989823017">
      <w:bodyDiv w:val="1"/>
      <w:marLeft w:val="0"/>
      <w:marRight w:val="0"/>
      <w:marTop w:val="0"/>
      <w:marBottom w:val="0"/>
      <w:divBdr>
        <w:top w:val="none" w:sz="0" w:space="0" w:color="auto"/>
        <w:left w:val="none" w:sz="0" w:space="0" w:color="auto"/>
        <w:bottom w:val="none" w:sz="0" w:space="0" w:color="auto"/>
        <w:right w:val="none" w:sz="0" w:space="0" w:color="auto"/>
      </w:divBdr>
    </w:div>
    <w:div w:id="2049792519">
      <w:bodyDiv w:val="1"/>
      <w:marLeft w:val="0"/>
      <w:marRight w:val="0"/>
      <w:marTop w:val="0"/>
      <w:marBottom w:val="0"/>
      <w:divBdr>
        <w:top w:val="none" w:sz="0" w:space="0" w:color="auto"/>
        <w:left w:val="none" w:sz="0" w:space="0" w:color="auto"/>
        <w:bottom w:val="none" w:sz="0" w:space="0" w:color="auto"/>
        <w:right w:val="none" w:sz="0" w:space="0" w:color="auto"/>
      </w:divBdr>
    </w:div>
    <w:div w:id="210051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news-room/fact-sheets/detail/antimicrobial-resistanc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dc.gov/drugresistance/pdf/threats-report/2019-ar-threats-report-508.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ho.int/news-room/fact-sheets/detail/antimicrobial-resistance"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who.int/publications/i/item/WHO-2019-nCoV-clinical-2021-1"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Resistance Prevalence (%)</c:v>
                </c:pt>
              </c:strCache>
            </c:strRef>
          </c:tx>
          <c:invertIfNegative val="0"/>
          <c:cat>
            <c:strRef>
              <c:f>Sheet1!$A$2:$A$8</c:f>
              <c:strCache>
                <c:ptCount val="6"/>
                <c:pt idx="0">
                  <c:v>E.coli</c:v>
                </c:pt>
                <c:pt idx="1">
                  <c:v>K.pneumoniae</c:v>
                </c:pt>
                <c:pt idx="2">
                  <c:v>A.Baumannii</c:v>
                </c:pt>
                <c:pt idx="3">
                  <c:v>P. aeruginosa</c:v>
                </c:pt>
                <c:pt idx="4">
                  <c:v>MRSA</c:v>
                </c:pt>
                <c:pt idx="5">
                  <c:v>MDR-TB</c:v>
                </c:pt>
              </c:strCache>
            </c:strRef>
          </c:cat>
          <c:val>
            <c:numRef>
              <c:f>Sheet1!$B$2:$B$8</c:f>
              <c:numCache>
                <c:formatCode>0%</c:formatCode>
                <c:ptCount val="7"/>
                <c:pt idx="0">
                  <c:v>0.75000000000000178</c:v>
                </c:pt>
                <c:pt idx="1">
                  <c:v>0.68000000000000127</c:v>
                </c:pt>
                <c:pt idx="2">
                  <c:v>0.82000000000000062</c:v>
                </c:pt>
                <c:pt idx="3">
                  <c:v>0.60000000000000064</c:v>
                </c:pt>
                <c:pt idx="4">
                  <c:v>0.56000000000000005</c:v>
                </c:pt>
                <c:pt idx="5">
                  <c:v>0.49000000000000032</c:v>
                </c:pt>
                <c:pt idx="6" formatCode="General">
                  <c:v>0</c:v>
                </c:pt>
              </c:numCache>
            </c:numRef>
          </c:val>
          <c:extLst>
            <c:ext xmlns:c16="http://schemas.microsoft.com/office/drawing/2014/chart" uri="{C3380CC4-5D6E-409C-BE32-E72D297353CC}">
              <c16:uniqueId val="{00000000-921F-4129-BA03-27176EB9EF74}"/>
            </c:ext>
          </c:extLst>
        </c:ser>
        <c:dLbls>
          <c:showLegendKey val="0"/>
          <c:showVal val="0"/>
          <c:showCatName val="0"/>
          <c:showSerName val="0"/>
          <c:showPercent val="0"/>
          <c:showBubbleSize val="0"/>
        </c:dLbls>
        <c:gapWidth val="150"/>
        <c:axId val="82125184"/>
        <c:axId val="82126720"/>
      </c:barChart>
      <c:catAx>
        <c:axId val="82125184"/>
        <c:scaling>
          <c:orientation val="minMax"/>
        </c:scaling>
        <c:delete val="0"/>
        <c:axPos val="b"/>
        <c:numFmt formatCode="General" sourceLinked="0"/>
        <c:majorTickMark val="out"/>
        <c:minorTickMark val="none"/>
        <c:tickLblPos val="nextTo"/>
        <c:crossAx val="82126720"/>
        <c:crosses val="autoZero"/>
        <c:auto val="1"/>
        <c:lblAlgn val="ctr"/>
        <c:lblOffset val="100"/>
        <c:noMultiLvlLbl val="0"/>
      </c:catAx>
      <c:valAx>
        <c:axId val="82126720"/>
        <c:scaling>
          <c:orientation val="minMax"/>
        </c:scaling>
        <c:delete val="0"/>
        <c:axPos val="l"/>
        <c:majorGridlines/>
        <c:numFmt formatCode="0%" sourceLinked="1"/>
        <c:majorTickMark val="out"/>
        <c:minorTickMark val="none"/>
        <c:tickLblPos val="nextTo"/>
        <c:crossAx val="82125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Distribution of Major Antimicrobial Resistance Mechanisms</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Enzymatic Inactivation</c:v>
                </c:pt>
                <c:pt idx="1">
                  <c:v>Efflux Pumps</c:v>
                </c:pt>
                <c:pt idx="2">
                  <c:v>Target Modification</c:v>
                </c:pt>
                <c:pt idx="3">
                  <c:v>Horizontal Gene Transfer</c:v>
                </c:pt>
              </c:strCache>
            </c:strRef>
          </c:cat>
          <c:val>
            <c:numRef>
              <c:f>Sheet1!$B$2:$B$5</c:f>
              <c:numCache>
                <c:formatCode>0%</c:formatCode>
                <c:ptCount val="4"/>
                <c:pt idx="0">
                  <c:v>0.35000000000000031</c:v>
                </c:pt>
                <c:pt idx="1">
                  <c:v>0.25</c:v>
                </c:pt>
                <c:pt idx="2">
                  <c:v>0.2</c:v>
                </c:pt>
                <c:pt idx="3">
                  <c:v>0.2</c:v>
                </c:pt>
              </c:numCache>
            </c:numRef>
          </c:val>
          <c:extLst>
            <c:ext xmlns:c16="http://schemas.microsoft.com/office/drawing/2014/chart" uri="{C3380CC4-5D6E-409C-BE32-E72D297353CC}">
              <c16:uniqueId val="{00000000-7D75-455E-ACBF-58D0F19A6230}"/>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Environmental AMR Presence and Public Health Impact by Region</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Public Health Impact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4"/>
                <c:pt idx="0">
                  <c:v>Asia</c:v>
                </c:pt>
                <c:pt idx="1">
                  <c:v>Africa</c:v>
                </c:pt>
                <c:pt idx="2">
                  <c:v>Europe</c:v>
                </c:pt>
                <c:pt idx="3">
                  <c:v>America</c:v>
                </c:pt>
              </c:strCache>
            </c:strRef>
          </c:cat>
          <c:val>
            <c:numRef>
              <c:f>Sheet1!$B$2:$B$7</c:f>
              <c:numCache>
                <c:formatCode>0%</c:formatCode>
                <c:ptCount val="6"/>
                <c:pt idx="0">
                  <c:v>0.9</c:v>
                </c:pt>
                <c:pt idx="1">
                  <c:v>0.8</c:v>
                </c:pt>
                <c:pt idx="2">
                  <c:v>0.70000000000000062</c:v>
                </c:pt>
                <c:pt idx="3">
                  <c:v>0.75000000000000178</c:v>
                </c:pt>
              </c:numCache>
            </c:numRef>
          </c:val>
          <c:extLst>
            <c:ext xmlns:c16="http://schemas.microsoft.com/office/drawing/2014/chart" uri="{C3380CC4-5D6E-409C-BE32-E72D297353CC}">
              <c16:uniqueId val="{00000000-E8F6-4B72-9565-814BD2C89B08}"/>
            </c:ext>
          </c:extLst>
        </c:ser>
        <c:ser>
          <c:idx val="1"/>
          <c:order val="1"/>
          <c:tx>
            <c:strRef>
              <c:f>Sheet1!$C$1</c:f>
              <c:strCache>
                <c:ptCount val="1"/>
                <c:pt idx="0">
                  <c:v>Environmental AMR Detection (%)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4"/>
                <c:pt idx="0">
                  <c:v>Asia</c:v>
                </c:pt>
                <c:pt idx="1">
                  <c:v>Africa</c:v>
                </c:pt>
                <c:pt idx="2">
                  <c:v>Europe</c:v>
                </c:pt>
                <c:pt idx="3">
                  <c:v>America</c:v>
                </c:pt>
              </c:strCache>
            </c:strRef>
          </c:cat>
          <c:val>
            <c:numRef>
              <c:f>Sheet1!$C$2:$C$7</c:f>
              <c:numCache>
                <c:formatCode>0%</c:formatCode>
                <c:ptCount val="6"/>
                <c:pt idx="0">
                  <c:v>0.85000000000000064</c:v>
                </c:pt>
                <c:pt idx="1">
                  <c:v>0.78</c:v>
                </c:pt>
                <c:pt idx="2">
                  <c:v>0.60000000000000064</c:v>
                </c:pt>
                <c:pt idx="3">
                  <c:v>0.65000000000000202</c:v>
                </c:pt>
              </c:numCache>
            </c:numRef>
          </c:val>
          <c:extLst>
            <c:ext xmlns:c16="http://schemas.microsoft.com/office/drawing/2014/chart" uri="{C3380CC4-5D6E-409C-BE32-E72D297353CC}">
              <c16:uniqueId val="{00000001-E8F6-4B72-9565-814BD2C89B08}"/>
            </c:ext>
          </c:extLst>
        </c:ser>
        <c:dLbls>
          <c:showLegendKey val="0"/>
          <c:showVal val="1"/>
          <c:showCatName val="0"/>
          <c:showSerName val="0"/>
          <c:showPercent val="0"/>
          <c:showBubbleSize val="0"/>
        </c:dLbls>
        <c:gapWidth val="150"/>
        <c:shape val="cone"/>
        <c:axId val="62875136"/>
        <c:axId val="62876672"/>
        <c:axId val="62338816"/>
      </c:bar3DChart>
      <c:catAx>
        <c:axId val="62875136"/>
        <c:scaling>
          <c:orientation val="minMax"/>
        </c:scaling>
        <c:delete val="0"/>
        <c:axPos val="b"/>
        <c:numFmt formatCode="General" sourceLinked="0"/>
        <c:majorTickMark val="none"/>
        <c:minorTickMark val="none"/>
        <c:tickLblPos val="nextTo"/>
        <c:crossAx val="62876672"/>
        <c:crosses val="autoZero"/>
        <c:auto val="1"/>
        <c:lblAlgn val="ctr"/>
        <c:lblOffset val="100"/>
        <c:noMultiLvlLbl val="0"/>
      </c:catAx>
      <c:valAx>
        <c:axId val="62876672"/>
        <c:scaling>
          <c:orientation val="minMax"/>
        </c:scaling>
        <c:delete val="1"/>
        <c:axPos val="l"/>
        <c:numFmt formatCode="0%" sourceLinked="1"/>
        <c:majorTickMark val="none"/>
        <c:minorTickMark val="none"/>
        <c:tickLblPos val="none"/>
        <c:crossAx val="62875136"/>
        <c:crosses val="autoZero"/>
        <c:crossBetween val="between"/>
      </c:valAx>
      <c:serAx>
        <c:axId val="62338816"/>
        <c:scaling>
          <c:orientation val="minMax"/>
        </c:scaling>
        <c:delete val="1"/>
        <c:axPos val="b"/>
        <c:majorTickMark val="none"/>
        <c:minorTickMark val="none"/>
        <c:tickLblPos val="none"/>
        <c:crossAx val="62876672"/>
        <c:crosses val="autoZero"/>
      </c:ser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D5AC4-4AE4-425E-9820-347661CF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19</Pages>
  <Words>7530</Words>
  <Characters>45181</Characters>
  <Application>Microsoft Office Word</Application>
  <DocSecurity>0</DocSecurity>
  <Lines>674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Editor-26</cp:lastModifiedBy>
  <cp:revision>70</cp:revision>
  <dcterms:created xsi:type="dcterms:W3CDTF">2025-07-02T08:59:00Z</dcterms:created>
  <dcterms:modified xsi:type="dcterms:W3CDTF">2025-07-14T09:55:00Z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382aa054-0ba9-4c71-9d81-9e15e0c41e14</vt:lpwstr>
  </property>
</Properties>
</file>