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7E707" w14:textId="77777777" w:rsidR="0028477B" w:rsidRPr="0028477B" w:rsidRDefault="0028477B" w:rsidP="0028477B">
      <w:pPr>
        <w:jc w:val="right"/>
        <w:rPr>
          <w:rFonts w:ascii="Arial" w:hAnsi="Arial" w:cs="Arial"/>
          <w:b/>
          <w:bCs/>
          <w:i/>
          <w:iCs/>
          <w:sz w:val="36"/>
          <w:szCs w:val="36"/>
          <w:u w:val="single"/>
        </w:rPr>
      </w:pPr>
      <w:r w:rsidRPr="0028477B">
        <w:rPr>
          <w:rFonts w:ascii="Arial" w:hAnsi="Arial" w:cs="Arial"/>
          <w:b/>
          <w:bCs/>
          <w:i/>
          <w:iCs/>
          <w:sz w:val="36"/>
          <w:szCs w:val="36"/>
          <w:u w:val="single"/>
        </w:rPr>
        <w:t xml:space="preserve">Case report </w:t>
      </w:r>
    </w:p>
    <w:p w14:paraId="4D7947F4" w14:textId="234BE4AC" w:rsidR="009B42BE" w:rsidRDefault="00081033" w:rsidP="00081033">
      <w:pPr>
        <w:jc w:val="right"/>
        <w:rPr>
          <w:rFonts w:ascii="Arial" w:hAnsi="Arial" w:cs="Arial"/>
          <w:b/>
          <w:bCs/>
          <w:sz w:val="36"/>
          <w:szCs w:val="36"/>
        </w:rPr>
      </w:pPr>
      <w:r w:rsidRPr="0008482D">
        <w:rPr>
          <w:rFonts w:ascii="Arial" w:hAnsi="Arial" w:cs="Arial"/>
          <w:b/>
          <w:bCs/>
          <w:sz w:val="36"/>
          <w:szCs w:val="36"/>
          <w:highlight w:val="yellow"/>
        </w:rPr>
        <w:t xml:space="preserve">Overlapping </w:t>
      </w:r>
      <w:proofErr w:type="gramStart"/>
      <w:r w:rsidRPr="0008482D">
        <w:rPr>
          <w:rFonts w:ascii="Arial" w:hAnsi="Arial" w:cs="Arial"/>
          <w:b/>
          <w:bCs/>
          <w:sz w:val="36"/>
          <w:szCs w:val="36"/>
          <w:highlight w:val="yellow"/>
        </w:rPr>
        <w:t>Stevens-Johnson Syndrome</w:t>
      </w:r>
      <w:proofErr w:type="gramEnd"/>
      <w:r w:rsidRPr="0008482D">
        <w:rPr>
          <w:rFonts w:ascii="Arial" w:hAnsi="Arial" w:cs="Arial"/>
          <w:b/>
          <w:bCs/>
          <w:sz w:val="36"/>
          <w:szCs w:val="36"/>
          <w:highlight w:val="yellow"/>
        </w:rPr>
        <w:t xml:space="preserve"> and Staphylococcal Scalded Skin Syndrome in a </w:t>
      </w:r>
      <w:r w:rsidR="0008482D" w:rsidRPr="0008482D">
        <w:rPr>
          <w:rFonts w:ascii="Arial" w:hAnsi="Arial" w:cs="Arial"/>
          <w:b/>
          <w:bCs/>
          <w:sz w:val="36"/>
          <w:szCs w:val="36"/>
          <w:highlight w:val="yellow"/>
        </w:rPr>
        <w:t>Three</w:t>
      </w:r>
      <w:r w:rsidRPr="0008482D">
        <w:rPr>
          <w:rFonts w:ascii="Arial" w:hAnsi="Arial" w:cs="Arial"/>
          <w:b/>
          <w:bCs/>
          <w:sz w:val="36"/>
          <w:szCs w:val="36"/>
          <w:highlight w:val="yellow"/>
        </w:rPr>
        <w:t>-Year-Old Child: A Rare Pediatric Dermatologic Emergency</w:t>
      </w:r>
    </w:p>
    <w:p w14:paraId="4FC6B0B5" w14:textId="77777777" w:rsidR="00333A85" w:rsidRDefault="00333A85" w:rsidP="00081033">
      <w:pPr>
        <w:jc w:val="right"/>
        <w:rPr>
          <w:rFonts w:ascii="Arial" w:hAnsi="Arial" w:cs="Arial"/>
          <w:i/>
          <w:iCs/>
          <w:sz w:val="20"/>
          <w:szCs w:val="20"/>
        </w:rPr>
      </w:pPr>
    </w:p>
    <w:p w14:paraId="727DA1FE" w14:textId="77777777" w:rsidR="00A328FA" w:rsidRDefault="00A328FA" w:rsidP="00A328FA">
      <w:pPr>
        <w:rPr>
          <w:rFonts w:ascii="Arial" w:hAnsi="Arial" w:cs="Arial"/>
          <w:b/>
          <w:bCs/>
          <w:sz w:val="20"/>
          <w:szCs w:val="20"/>
        </w:rPr>
      </w:pPr>
    </w:p>
    <w:p w14:paraId="228E2A34" w14:textId="204E3847" w:rsidR="00A328FA" w:rsidRDefault="00A328FA" w:rsidP="00A328FA">
      <w:pPr>
        <w:rPr>
          <w:rFonts w:ascii="Arial" w:hAnsi="Arial" w:cs="Arial"/>
          <w:b/>
          <w:bCs/>
          <w:sz w:val="22"/>
          <w:szCs w:val="22"/>
        </w:rPr>
      </w:pPr>
      <w:r w:rsidRPr="00A328FA">
        <w:rPr>
          <w:rFonts w:ascii="Arial" w:hAnsi="Arial" w:cs="Arial"/>
          <w:b/>
          <w:bCs/>
          <w:sz w:val="22"/>
          <w:szCs w:val="22"/>
        </w:rPr>
        <w:t>ABSTRACT</w:t>
      </w:r>
    </w:p>
    <w:p w14:paraId="733BA53E" w14:textId="2C42E535" w:rsidR="00A328FA" w:rsidRPr="00A328FA" w:rsidRDefault="00A328FA" w:rsidP="00A328FA">
      <w:pPr>
        <w:rPr>
          <w:rFonts w:ascii="Arial" w:hAnsi="Arial" w:cs="Arial"/>
          <w:sz w:val="20"/>
          <w:szCs w:val="20"/>
        </w:rPr>
      </w:pPr>
      <w:r w:rsidRPr="00A328FA">
        <w:rPr>
          <w:rFonts w:ascii="Arial" w:hAnsi="Arial" w:cs="Arial"/>
          <w:b/>
          <w:bCs/>
          <w:sz w:val="20"/>
          <w:szCs w:val="20"/>
        </w:rPr>
        <w:t>Aims</w:t>
      </w:r>
      <w:r w:rsidRPr="00A328FA">
        <w:rPr>
          <w:rFonts w:ascii="Arial" w:hAnsi="Arial" w:cs="Arial"/>
          <w:sz w:val="20"/>
          <w:szCs w:val="20"/>
        </w:rPr>
        <w:t xml:space="preserve">: To report a rare pediatric case presenting with overlapping Stevens-Johnson Syndrome and Staphylococcal Scalded Skin Syndrome complicated by impetigo in a </w:t>
      </w:r>
      <w:r w:rsidR="005463D8">
        <w:rPr>
          <w:rFonts w:ascii="Arial" w:hAnsi="Arial" w:cs="Arial"/>
          <w:sz w:val="20"/>
          <w:szCs w:val="20"/>
        </w:rPr>
        <w:t xml:space="preserve">three </w:t>
      </w:r>
      <w:r w:rsidRPr="00A328FA">
        <w:rPr>
          <w:rFonts w:ascii="Arial" w:hAnsi="Arial" w:cs="Arial"/>
          <w:sz w:val="20"/>
          <w:szCs w:val="20"/>
        </w:rPr>
        <w:t>-year-old child, highlighting diagnostic and therapeutic challenges.</w:t>
      </w:r>
    </w:p>
    <w:p w14:paraId="5F5EBAD4" w14:textId="0E859226" w:rsidR="00A328FA" w:rsidRPr="00A328FA" w:rsidRDefault="00A328FA" w:rsidP="00A328FA">
      <w:pPr>
        <w:rPr>
          <w:rFonts w:ascii="Arial" w:hAnsi="Arial" w:cs="Arial"/>
          <w:sz w:val="20"/>
          <w:szCs w:val="20"/>
        </w:rPr>
      </w:pPr>
      <w:r w:rsidRPr="00A328FA">
        <w:rPr>
          <w:rFonts w:ascii="Arial" w:hAnsi="Arial" w:cs="Arial"/>
          <w:b/>
          <w:bCs/>
          <w:sz w:val="20"/>
          <w:szCs w:val="20"/>
        </w:rPr>
        <w:t>Presentation of Case</w:t>
      </w:r>
      <w:r w:rsidRPr="001F606D">
        <w:rPr>
          <w:rFonts w:ascii="Arial" w:hAnsi="Arial" w:cs="Arial"/>
          <w:sz w:val="20"/>
          <w:szCs w:val="20"/>
          <w:highlight w:val="yellow"/>
        </w:rPr>
        <w:t xml:space="preserve">: A </w:t>
      </w:r>
      <w:r w:rsidR="00AB3C30" w:rsidRPr="001F606D">
        <w:rPr>
          <w:rFonts w:ascii="Arial" w:hAnsi="Arial" w:cs="Arial"/>
          <w:sz w:val="20"/>
          <w:szCs w:val="20"/>
          <w:highlight w:val="yellow"/>
        </w:rPr>
        <w:t xml:space="preserve"> three-year-old female child presented to the emergency department with fever, perioral vesicles, crusting, and </w:t>
      </w:r>
      <w:r w:rsidR="001F606D">
        <w:rPr>
          <w:rFonts w:ascii="Arial" w:hAnsi="Arial" w:cs="Arial"/>
          <w:sz w:val="20"/>
          <w:szCs w:val="20"/>
          <w:highlight w:val="yellow"/>
        </w:rPr>
        <w:t>perioral</w:t>
      </w:r>
      <w:r w:rsidR="00AB3C30" w:rsidRPr="001F606D">
        <w:rPr>
          <w:rFonts w:ascii="Arial" w:hAnsi="Arial" w:cs="Arial"/>
          <w:sz w:val="20"/>
          <w:szCs w:val="20"/>
          <w:highlight w:val="yellow"/>
        </w:rPr>
        <w:t xml:space="preserve"> pain</w:t>
      </w:r>
      <w:r w:rsidR="00AB3C30">
        <w:rPr>
          <w:rFonts w:ascii="Arial" w:hAnsi="Arial" w:cs="Arial"/>
          <w:sz w:val="20"/>
          <w:szCs w:val="20"/>
        </w:rPr>
        <w:t xml:space="preserve">. </w:t>
      </w:r>
      <w:r w:rsidR="00AB3C30" w:rsidRPr="00AB3C30">
        <w:rPr>
          <w:rFonts w:ascii="Arial" w:hAnsi="Arial" w:cs="Arial"/>
          <w:sz w:val="20"/>
          <w:szCs w:val="20"/>
        </w:rPr>
        <w:t>The symptoms began after an upper respiratory tract infection and treatment with amoxicillin</w:t>
      </w:r>
      <w:r w:rsidRPr="00A328FA">
        <w:rPr>
          <w:rFonts w:ascii="Arial" w:hAnsi="Arial" w:cs="Arial"/>
          <w:sz w:val="20"/>
          <w:szCs w:val="20"/>
        </w:rPr>
        <w:t xml:space="preserve">. Over a period of four days, the child developed worsening vesiculobullous lesions with perioral crusting and mucosal involvement. Examination revealed erosive, erythematous lesions, positive </w:t>
      </w:r>
      <w:proofErr w:type="spellStart"/>
      <w:r w:rsidRPr="00A328FA">
        <w:rPr>
          <w:rFonts w:ascii="Arial" w:hAnsi="Arial" w:cs="Arial"/>
          <w:sz w:val="20"/>
          <w:szCs w:val="20"/>
        </w:rPr>
        <w:t>Nikolsky’s</w:t>
      </w:r>
      <w:proofErr w:type="spellEnd"/>
      <w:r w:rsidRPr="00A328FA">
        <w:rPr>
          <w:rFonts w:ascii="Arial" w:hAnsi="Arial" w:cs="Arial"/>
          <w:sz w:val="20"/>
          <w:szCs w:val="20"/>
        </w:rPr>
        <w:t xml:space="preserve"> sign, and inability to open the mouth due to lip involvement. There was no ocular or genital involvement. A diagnosis of overlapping S</w:t>
      </w:r>
      <w:r w:rsidR="005463D8">
        <w:rPr>
          <w:rFonts w:ascii="Arial" w:hAnsi="Arial" w:cs="Arial"/>
          <w:sz w:val="20"/>
          <w:szCs w:val="20"/>
        </w:rPr>
        <w:t xml:space="preserve">teven Jonson Syndrome(SJS) </w:t>
      </w:r>
      <w:r w:rsidRPr="001F606D">
        <w:rPr>
          <w:rFonts w:ascii="Arial" w:hAnsi="Arial" w:cs="Arial"/>
          <w:sz w:val="20"/>
          <w:szCs w:val="20"/>
          <w:highlight w:val="yellow"/>
        </w:rPr>
        <w:t>(B</w:t>
      </w:r>
      <w:r w:rsidR="005463D8" w:rsidRPr="001F606D">
        <w:rPr>
          <w:rFonts w:ascii="Arial" w:hAnsi="Arial" w:cs="Arial"/>
          <w:sz w:val="20"/>
          <w:szCs w:val="20"/>
          <w:highlight w:val="yellow"/>
        </w:rPr>
        <w:t xml:space="preserve">ody Surface Area </w:t>
      </w:r>
      <w:r w:rsidRPr="001F606D">
        <w:rPr>
          <w:rFonts w:ascii="Arial" w:hAnsi="Arial" w:cs="Arial"/>
          <w:sz w:val="20"/>
          <w:szCs w:val="20"/>
          <w:highlight w:val="yellow"/>
        </w:rPr>
        <w:t>&lt;10%)</w:t>
      </w:r>
      <w:r w:rsidRPr="00A328FA">
        <w:rPr>
          <w:rFonts w:ascii="Arial" w:hAnsi="Arial" w:cs="Arial"/>
          <w:sz w:val="20"/>
          <w:szCs w:val="20"/>
        </w:rPr>
        <w:t xml:space="preserve"> and S</w:t>
      </w:r>
      <w:r w:rsidR="005463D8">
        <w:rPr>
          <w:rFonts w:ascii="Arial" w:hAnsi="Arial" w:cs="Arial"/>
          <w:sz w:val="20"/>
          <w:szCs w:val="20"/>
        </w:rPr>
        <w:t>taphylococcal Scalded Skin Syndrome(SSSS)</w:t>
      </w:r>
      <w:r w:rsidRPr="00A328FA">
        <w:rPr>
          <w:rFonts w:ascii="Arial" w:hAnsi="Arial" w:cs="Arial"/>
          <w:sz w:val="20"/>
          <w:szCs w:val="20"/>
        </w:rPr>
        <w:t xml:space="preserve"> with secondary impetigo was made. The patient was managed with IV fluids, IV cefotaxime, paracetamol, ranitidine, topical paraffin, saline soaks, and zinc supplementation. Clinical improvement was noted within 5–7 days, and the child was discharged in stable condition.</w:t>
      </w:r>
    </w:p>
    <w:p w14:paraId="34BF02BC" w14:textId="4CC166D7" w:rsidR="00A328FA" w:rsidRPr="00A328FA" w:rsidRDefault="00A328FA" w:rsidP="00A328FA">
      <w:pPr>
        <w:rPr>
          <w:rFonts w:ascii="Arial" w:hAnsi="Arial" w:cs="Arial"/>
          <w:sz w:val="20"/>
          <w:szCs w:val="20"/>
        </w:rPr>
      </w:pPr>
      <w:r w:rsidRPr="00A328FA">
        <w:rPr>
          <w:rFonts w:ascii="Arial" w:hAnsi="Arial" w:cs="Arial"/>
          <w:b/>
          <w:bCs/>
          <w:sz w:val="20"/>
          <w:szCs w:val="20"/>
        </w:rPr>
        <w:t>Discussion</w:t>
      </w:r>
      <w:r w:rsidRPr="00A328FA">
        <w:rPr>
          <w:rFonts w:ascii="Arial" w:hAnsi="Arial" w:cs="Arial"/>
          <w:sz w:val="20"/>
          <w:szCs w:val="20"/>
        </w:rPr>
        <w:t>: Coexistence of SJS and SSSS is rare in children and presents diagnostic challenges due to overlapping features. Early differentiation and treatment are crucial, especially when diagnostic tools are limited.</w:t>
      </w:r>
    </w:p>
    <w:p w14:paraId="06CA8A20" w14:textId="1ED8B4D3" w:rsidR="00A328FA" w:rsidRDefault="00A328FA" w:rsidP="00A328FA">
      <w:pPr>
        <w:rPr>
          <w:rFonts w:ascii="Arial" w:hAnsi="Arial" w:cs="Arial"/>
          <w:sz w:val="20"/>
          <w:szCs w:val="20"/>
        </w:rPr>
      </w:pPr>
      <w:r w:rsidRPr="00A328FA">
        <w:rPr>
          <w:rFonts w:ascii="Arial" w:hAnsi="Arial" w:cs="Arial"/>
          <w:b/>
          <w:bCs/>
          <w:sz w:val="20"/>
          <w:szCs w:val="20"/>
        </w:rPr>
        <w:t>Conclusion</w:t>
      </w:r>
      <w:r w:rsidRPr="00A328FA">
        <w:rPr>
          <w:rFonts w:ascii="Arial" w:hAnsi="Arial" w:cs="Arial"/>
          <w:sz w:val="20"/>
          <w:szCs w:val="20"/>
        </w:rPr>
        <w:t>: This report emphasizes the need for clinical vigilance in pediatric exfoliative dermatoses and the importance of early empirical therapy to ensure recovery</w:t>
      </w:r>
    </w:p>
    <w:p w14:paraId="0A5ECB8C" w14:textId="346BEE22" w:rsidR="00BE1E67" w:rsidRDefault="00BE1E67" w:rsidP="00A328FA">
      <w:pPr>
        <w:rPr>
          <w:rFonts w:ascii="Arial" w:hAnsi="Arial" w:cs="Arial"/>
          <w:sz w:val="20"/>
          <w:szCs w:val="20"/>
        </w:rPr>
      </w:pPr>
      <w:r w:rsidRPr="00BE1E67">
        <w:rPr>
          <w:rFonts w:ascii="Arial" w:hAnsi="Arial" w:cs="Arial"/>
          <w:sz w:val="20"/>
          <w:szCs w:val="20"/>
        </w:rPr>
        <w:t>Key</w:t>
      </w:r>
      <w:r w:rsidRPr="00BE1E67">
        <w:t xml:space="preserve"> </w:t>
      </w:r>
      <w:r w:rsidRPr="00BE1E67">
        <w:rPr>
          <w:rFonts w:ascii="Arial" w:hAnsi="Arial" w:cs="Arial"/>
          <w:sz w:val="20"/>
          <w:szCs w:val="20"/>
        </w:rPr>
        <w:t>words</w:t>
      </w:r>
      <w:r>
        <w:rPr>
          <w:rFonts w:ascii="Arial" w:hAnsi="Arial" w:cs="Arial"/>
          <w:sz w:val="20"/>
          <w:szCs w:val="20"/>
        </w:rPr>
        <w:t>:</w:t>
      </w:r>
      <w:r w:rsidRPr="00BE1E67">
        <w:t xml:space="preserve"> </w:t>
      </w:r>
      <w:r w:rsidRPr="00BE1E67">
        <w:rPr>
          <w:rFonts w:ascii="Arial" w:hAnsi="Arial" w:cs="Arial"/>
          <w:sz w:val="20"/>
          <w:szCs w:val="20"/>
        </w:rPr>
        <w:t>Stevens-Johnson Syndrome</w:t>
      </w:r>
      <w:r>
        <w:rPr>
          <w:rFonts w:ascii="Arial" w:hAnsi="Arial" w:cs="Arial"/>
          <w:sz w:val="20"/>
          <w:szCs w:val="20"/>
        </w:rPr>
        <w:t>,</w:t>
      </w:r>
      <w:r w:rsidRPr="00BE1E67">
        <w:t xml:space="preserve"> </w:t>
      </w:r>
      <w:r w:rsidRPr="00BE1E67">
        <w:rPr>
          <w:rFonts w:ascii="Arial" w:hAnsi="Arial" w:cs="Arial"/>
          <w:sz w:val="20"/>
          <w:szCs w:val="20"/>
        </w:rPr>
        <w:t>Dermatologic Emergency</w:t>
      </w:r>
      <w:r>
        <w:rPr>
          <w:rFonts w:ascii="Arial" w:hAnsi="Arial" w:cs="Arial"/>
          <w:sz w:val="20"/>
          <w:szCs w:val="20"/>
        </w:rPr>
        <w:t>,</w:t>
      </w:r>
      <w:r w:rsidRPr="00BE1E67">
        <w:t xml:space="preserve"> </w:t>
      </w:r>
      <w:r w:rsidRPr="00BE1E67">
        <w:rPr>
          <w:rFonts w:ascii="Arial" w:hAnsi="Arial" w:cs="Arial"/>
          <w:sz w:val="20"/>
          <w:szCs w:val="20"/>
        </w:rPr>
        <w:t>Staphylococcal Scalded Skin Syndrome</w:t>
      </w:r>
      <w:r>
        <w:rPr>
          <w:rFonts w:ascii="Arial" w:hAnsi="Arial" w:cs="Arial"/>
          <w:sz w:val="20"/>
          <w:szCs w:val="20"/>
        </w:rPr>
        <w:t>,</w:t>
      </w:r>
      <w:r w:rsidRPr="00BE1E67">
        <w:t xml:space="preserve"> </w:t>
      </w:r>
      <w:r w:rsidRPr="00BE1E67">
        <w:rPr>
          <w:rFonts w:ascii="Arial" w:hAnsi="Arial" w:cs="Arial"/>
          <w:sz w:val="20"/>
          <w:szCs w:val="20"/>
        </w:rPr>
        <w:t>serious dermatologic conditions</w:t>
      </w:r>
      <w:r>
        <w:rPr>
          <w:rFonts w:ascii="Arial" w:hAnsi="Arial" w:cs="Arial"/>
          <w:sz w:val="20"/>
          <w:szCs w:val="20"/>
        </w:rPr>
        <w:t>,</w:t>
      </w:r>
      <w:r w:rsidRPr="00BE1E67">
        <w:t xml:space="preserve"> </w:t>
      </w:r>
      <w:r w:rsidRPr="00BE1E67">
        <w:rPr>
          <w:rFonts w:ascii="Arial" w:hAnsi="Arial" w:cs="Arial"/>
          <w:sz w:val="20"/>
          <w:szCs w:val="20"/>
        </w:rPr>
        <w:t>beta-lactam antibiotics</w:t>
      </w:r>
      <w:bookmarkStart w:id="0" w:name="_GoBack"/>
      <w:bookmarkEnd w:id="0"/>
    </w:p>
    <w:p w14:paraId="6F6FB7B9" w14:textId="77777777" w:rsidR="00AE1E03" w:rsidRDefault="00AE1E03" w:rsidP="00A328FA">
      <w:pPr>
        <w:rPr>
          <w:rFonts w:ascii="Arial" w:hAnsi="Arial" w:cs="Arial"/>
          <w:sz w:val="20"/>
          <w:szCs w:val="20"/>
        </w:rPr>
      </w:pPr>
    </w:p>
    <w:p w14:paraId="0184850B" w14:textId="06FB980A" w:rsidR="00AE1E03" w:rsidRPr="008C31A0" w:rsidRDefault="008C31A0" w:rsidP="00AE1E03">
      <w:pPr>
        <w:rPr>
          <w:rFonts w:ascii="Arial" w:hAnsi="Arial" w:cs="Arial"/>
          <w:b/>
          <w:bCs/>
          <w:sz w:val="22"/>
          <w:szCs w:val="22"/>
        </w:rPr>
      </w:pPr>
      <w:r w:rsidRPr="008C31A0">
        <w:rPr>
          <w:rFonts w:ascii="Arial" w:hAnsi="Arial" w:cs="Arial"/>
          <w:b/>
          <w:bCs/>
          <w:sz w:val="22"/>
          <w:szCs w:val="22"/>
        </w:rPr>
        <w:t>1.</w:t>
      </w:r>
      <w:r w:rsidR="00AE1E03" w:rsidRPr="008C31A0">
        <w:rPr>
          <w:rFonts w:ascii="Arial" w:hAnsi="Arial" w:cs="Arial"/>
          <w:b/>
          <w:bCs/>
          <w:sz w:val="22"/>
          <w:szCs w:val="22"/>
        </w:rPr>
        <w:t>INTRODUCTION</w:t>
      </w:r>
    </w:p>
    <w:p w14:paraId="5183E43E" w14:textId="329513C7" w:rsidR="00AE1E03" w:rsidRDefault="00AE1E03" w:rsidP="00646D5A">
      <w:pPr>
        <w:rPr>
          <w:rFonts w:ascii="Arial" w:hAnsi="Arial" w:cs="Arial"/>
          <w:sz w:val="20"/>
          <w:szCs w:val="20"/>
        </w:rPr>
      </w:pPr>
      <w:r w:rsidRPr="00AE1E03">
        <w:rPr>
          <w:rFonts w:ascii="Arial" w:hAnsi="Arial" w:cs="Arial"/>
          <w:sz w:val="20"/>
          <w:szCs w:val="20"/>
        </w:rPr>
        <w:t xml:space="preserve">Stevens–Johnson Syndrome (SJS) and Staphylococcal Scalded Skin Syndrome (SSSS) are rare, serious dermatologic conditions affecting pediatric populations. SJS is a type IV hypersensitivity reaction, typically triggered by medications such as beta-lactam antibiotics, and is characterized by mucocutaneous necrosis involving less than 10% of the body surface area </w:t>
      </w:r>
      <w:r w:rsidRPr="00BE7056">
        <w:rPr>
          <w:rFonts w:ascii="Arial" w:hAnsi="Arial" w:cs="Arial"/>
          <w:sz w:val="20"/>
          <w:szCs w:val="20"/>
          <w:vertAlign w:val="superscript"/>
        </w:rPr>
        <w:t>[1]</w:t>
      </w:r>
      <w:r w:rsidRPr="00AE1E03">
        <w:rPr>
          <w:rFonts w:ascii="Arial" w:hAnsi="Arial" w:cs="Arial"/>
          <w:sz w:val="20"/>
          <w:szCs w:val="20"/>
        </w:rPr>
        <w:t xml:space="preserve">. In contrast, SSSS is a toxin-mediated disorder caused by exfoliative toxins A and B released by </w:t>
      </w:r>
      <w:r w:rsidRPr="005463D8">
        <w:rPr>
          <w:rFonts w:ascii="Arial" w:hAnsi="Arial" w:cs="Arial"/>
          <w:i/>
          <w:iCs/>
          <w:sz w:val="20"/>
          <w:szCs w:val="20"/>
        </w:rPr>
        <w:t>Staphylococcus aureus</w:t>
      </w:r>
      <w:r w:rsidRPr="00AE1E03">
        <w:rPr>
          <w:rFonts w:ascii="Arial" w:hAnsi="Arial" w:cs="Arial"/>
          <w:sz w:val="20"/>
          <w:szCs w:val="20"/>
        </w:rPr>
        <w:t xml:space="preserve">, leading to intraepidermal splitting at the level of the stratum granulosum </w:t>
      </w:r>
      <w:r w:rsidRPr="00BE7056">
        <w:rPr>
          <w:rFonts w:ascii="Arial" w:hAnsi="Arial" w:cs="Arial"/>
          <w:sz w:val="20"/>
          <w:szCs w:val="20"/>
          <w:vertAlign w:val="superscript"/>
        </w:rPr>
        <w:t>[2]</w:t>
      </w:r>
      <w:r w:rsidRPr="00AE1E03">
        <w:rPr>
          <w:rFonts w:ascii="Arial" w:hAnsi="Arial" w:cs="Arial"/>
          <w:sz w:val="20"/>
          <w:szCs w:val="20"/>
        </w:rPr>
        <w:t>.</w:t>
      </w:r>
    </w:p>
    <w:p w14:paraId="6D2244C3" w14:textId="73499CF8" w:rsidR="00CF2C81" w:rsidRPr="00AE1E03" w:rsidRDefault="00CF2C81" w:rsidP="00646D5A">
      <w:pPr>
        <w:rPr>
          <w:rFonts w:ascii="Arial" w:hAnsi="Arial" w:cs="Arial"/>
          <w:sz w:val="20"/>
          <w:szCs w:val="20"/>
        </w:rPr>
      </w:pPr>
      <w:r w:rsidRPr="002502F2">
        <w:rPr>
          <w:rFonts w:ascii="Arial" w:hAnsi="Arial" w:cs="Arial"/>
          <w:sz w:val="20"/>
          <w:szCs w:val="20"/>
          <w:highlight w:val="yellow"/>
        </w:rPr>
        <w:lastRenderedPageBreak/>
        <w:t>The incidence of Stevens–Johnson Syndrome is estimated at 1–6 cases per million person-years, with a mortality rate of up to 10%, whereas Staphylococcal Scalded Skin Syndrome occurs more commonly in children under five, though with lower mortality when treated promptly [1,2]. Such epidemiological insights highlight the clinical significance and urgency of accurate diagnosis and treatment in pediatric patients presenting with exfoliative dermatoses</w:t>
      </w:r>
    </w:p>
    <w:p w14:paraId="39D27D44" w14:textId="6A17C057" w:rsidR="00AE1E03" w:rsidRPr="00AE1E03" w:rsidRDefault="00E22808" w:rsidP="00CF2C81">
      <w:pPr>
        <w:rPr>
          <w:rFonts w:ascii="Arial" w:hAnsi="Arial" w:cs="Arial"/>
          <w:sz w:val="20"/>
          <w:szCs w:val="20"/>
        </w:rPr>
      </w:pPr>
      <w:r w:rsidRPr="00E22808">
        <w:rPr>
          <w:rFonts w:ascii="Arial" w:hAnsi="Arial" w:cs="Arial"/>
          <w:sz w:val="20"/>
          <w:szCs w:val="20"/>
        </w:rPr>
        <w:t>Although SJS is immune-mediated and SSSS is toxin-induced, their clinical features may overlap, especially in children</w:t>
      </w:r>
      <w:r w:rsidR="00AE1E03" w:rsidRPr="00AE1E03">
        <w:rPr>
          <w:rFonts w:ascii="Arial" w:hAnsi="Arial" w:cs="Arial"/>
          <w:sz w:val="20"/>
          <w:szCs w:val="20"/>
        </w:rPr>
        <w:t xml:space="preserve">. Both conditions can present with fever, erythema, blistering, and positive </w:t>
      </w:r>
      <w:proofErr w:type="spellStart"/>
      <w:r w:rsidR="00AE1E03" w:rsidRPr="00AE1E03">
        <w:rPr>
          <w:rFonts w:ascii="Arial" w:hAnsi="Arial" w:cs="Arial"/>
          <w:sz w:val="20"/>
          <w:szCs w:val="20"/>
        </w:rPr>
        <w:t>Nikolsky’s</w:t>
      </w:r>
      <w:proofErr w:type="spellEnd"/>
      <w:r w:rsidR="00AE1E03" w:rsidRPr="00AE1E03">
        <w:rPr>
          <w:rFonts w:ascii="Arial" w:hAnsi="Arial" w:cs="Arial"/>
          <w:sz w:val="20"/>
          <w:szCs w:val="20"/>
        </w:rPr>
        <w:t xml:space="preserve"> sign, which can complicate early diagnosis </w:t>
      </w:r>
      <w:r w:rsidR="00AE1E03" w:rsidRPr="00BE7056">
        <w:rPr>
          <w:rFonts w:ascii="Arial" w:hAnsi="Arial" w:cs="Arial"/>
          <w:sz w:val="20"/>
          <w:szCs w:val="20"/>
          <w:vertAlign w:val="superscript"/>
        </w:rPr>
        <w:t>[3]</w:t>
      </w:r>
      <w:r w:rsidR="00AE1E03" w:rsidRPr="00AE1E03">
        <w:rPr>
          <w:rFonts w:ascii="Arial" w:hAnsi="Arial" w:cs="Arial"/>
          <w:sz w:val="20"/>
          <w:szCs w:val="20"/>
        </w:rPr>
        <w:t xml:space="preserve">. Mucosal involvement, typically absent in SSSS, is a hallmark of SJS and serves as a key differentiating feature </w:t>
      </w:r>
      <w:r w:rsidR="00AE1E03" w:rsidRPr="00BE7056">
        <w:rPr>
          <w:rFonts w:ascii="Arial" w:hAnsi="Arial" w:cs="Arial"/>
          <w:sz w:val="20"/>
          <w:szCs w:val="20"/>
          <w:vertAlign w:val="superscript"/>
        </w:rPr>
        <w:t>[4]</w:t>
      </w:r>
      <w:r w:rsidR="00AE1E03" w:rsidRPr="00AE1E03">
        <w:rPr>
          <w:rFonts w:ascii="Arial" w:hAnsi="Arial" w:cs="Arial"/>
          <w:sz w:val="20"/>
          <w:szCs w:val="20"/>
        </w:rPr>
        <w:t>.</w:t>
      </w:r>
    </w:p>
    <w:p w14:paraId="6B11099E" w14:textId="37B3AEC0" w:rsidR="00AE1E03" w:rsidRPr="00AE1E03" w:rsidRDefault="00E22808" w:rsidP="00646D5A">
      <w:pPr>
        <w:rPr>
          <w:rFonts w:ascii="Arial" w:hAnsi="Arial" w:cs="Arial"/>
          <w:sz w:val="20"/>
          <w:szCs w:val="20"/>
        </w:rPr>
      </w:pPr>
      <w:r>
        <w:rPr>
          <w:rFonts w:ascii="Arial" w:hAnsi="Arial" w:cs="Arial"/>
          <w:sz w:val="20"/>
          <w:szCs w:val="20"/>
        </w:rPr>
        <w:t>O</w:t>
      </w:r>
      <w:r w:rsidRPr="00E22808">
        <w:rPr>
          <w:rFonts w:ascii="Arial" w:hAnsi="Arial" w:cs="Arial"/>
          <w:sz w:val="20"/>
          <w:szCs w:val="20"/>
        </w:rPr>
        <w:t xml:space="preserve">verlap of SJS and SSSS in children is rare but important, as the treatments differ </w:t>
      </w:r>
      <w:proofErr w:type="spellStart"/>
      <w:r w:rsidRPr="00E22808">
        <w:rPr>
          <w:rFonts w:ascii="Arial" w:hAnsi="Arial" w:cs="Arial"/>
          <w:sz w:val="20"/>
          <w:szCs w:val="20"/>
        </w:rPr>
        <w:t>significantly.</w:t>
      </w:r>
      <w:r>
        <w:rPr>
          <w:rFonts w:ascii="Arial" w:hAnsi="Arial" w:cs="Arial"/>
          <w:sz w:val="20"/>
          <w:szCs w:val="20"/>
        </w:rPr>
        <w:t>S</w:t>
      </w:r>
      <w:r w:rsidR="00AE1E03" w:rsidRPr="00AE1E03">
        <w:rPr>
          <w:rFonts w:ascii="Arial" w:hAnsi="Arial" w:cs="Arial"/>
          <w:sz w:val="20"/>
          <w:szCs w:val="20"/>
        </w:rPr>
        <w:t>JS</w:t>
      </w:r>
      <w:proofErr w:type="spellEnd"/>
      <w:r w:rsidR="00AE1E03" w:rsidRPr="00AE1E03">
        <w:rPr>
          <w:rFonts w:ascii="Arial" w:hAnsi="Arial" w:cs="Arial"/>
          <w:sz w:val="20"/>
          <w:szCs w:val="20"/>
        </w:rPr>
        <w:t xml:space="preserve"> requires immediate withdrawal of the causative drug and supportive care, while SSSS warrants prompt antibiotic therapy targeting S. aureus </w:t>
      </w:r>
      <w:r w:rsidR="00AE1E03" w:rsidRPr="00BE7056">
        <w:rPr>
          <w:rFonts w:ascii="Arial" w:hAnsi="Arial" w:cs="Arial"/>
          <w:sz w:val="20"/>
          <w:szCs w:val="20"/>
          <w:vertAlign w:val="superscript"/>
        </w:rPr>
        <w:t>[5,6]</w:t>
      </w:r>
      <w:r w:rsidR="00AE1E03" w:rsidRPr="00AE1E03">
        <w:rPr>
          <w:rFonts w:ascii="Arial" w:hAnsi="Arial" w:cs="Arial"/>
          <w:sz w:val="20"/>
          <w:szCs w:val="20"/>
        </w:rPr>
        <w:t>. In resource-limited settings, where confirmatory diagnostics such as biopsy and culture may be unavailable, clinical judgment plays a vital role.</w:t>
      </w:r>
    </w:p>
    <w:p w14:paraId="07AAE412" w14:textId="127CC32A" w:rsidR="00AE1E03" w:rsidRDefault="00AE1E03" w:rsidP="00AE1E03">
      <w:pPr>
        <w:rPr>
          <w:rFonts w:ascii="Arial" w:hAnsi="Arial" w:cs="Arial"/>
          <w:sz w:val="20"/>
          <w:szCs w:val="20"/>
        </w:rPr>
      </w:pPr>
      <w:r w:rsidRPr="00AE1E03">
        <w:rPr>
          <w:rFonts w:ascii="Arial" w:hAnsi="Arial" w:cs="Arial"/>
          <w:sz w:val="20"/>
          <w:szCs w:val="20"/>
        </w:rPr>
        <w:t xml:space="preserve">We report a unique case of a </w:t>
      </w:r>
      <w:r w:rsidR="005463D8">
        <w:rPr>
          <w:rFonts w:ascii="Arial" w:hAnsi="Arial" w:cs="Arial"/>
          <w:sz w:val="20"/>
          <w:szCs w:val="20"/>
        </w:rPr>
        <w:t xml:space="preserve">three </w:t>
      </w:r>
      <w:r w:rsidRPr="00AE1E03">
        <w:rPr>
          <w:rFonts w:ascii="Arial" w:hAnsi="Arial" w:cs="Arial"/>
          <w:sz w:val="20"/>
          <w:szCs w:val="20"/>
        </w:rPr>
        <w:t>-year-old child with overlapping features of SJS and SSSS, complicated by impetigo</w:t>
      </w:r>
      <w:r w:rsidR="001F606D">
        <w:rPr>
          <w:rFonts w:ascii="Arial" w:hAnsi="Arial" w:cs="Arial"/>
          <w:sz w:val="20"/>
          <w:szCs w:val="20"/>
        </w:rPr>
        <w:t xml:space="preserve"> and </w:t>
      </w:r>
      <w:r w:rsidRPr="00AE1E03">
        <w:rPr>
          <w:rFonts w:ascii="Arial" w:hAnsi="Arial" w:cs="Arial"/>
          <w:sz w:val="20"/>
          <w:szCs w:val="20"/>
        </w:rPr>
        <w:t>managed successfully in a tertiary care hospital.</w:t>
      </w:r>
    </w:p>
    <w:p w14:paraId="4C380B58" w14:textId="77777777" w:rsidR="00375399" w:rsidRDefault="00375399" w:rsidP="00AE1E03">
      <w:pPr>
        <w:rPr>
          <w:rFonts w:ascii="Arial" w:hAnsi="Arial" w:cs="Arial"/>
          <w:sz w:val="20"/>
          <w:szCs w:val="20"/>
        </w:rPr>
      </w:pPr>
    </w:p>
    <w:p w14:paraId="54A851CF" w14:textId="77777777" w:rsidR="00375399" w:rsidRPr="00B63019" w:rsidRDefault="00375399" w:rsidP="00375399">
      <w:pPr>
        <w:rPr>
          <w:rFonts w:ascii="Arial" w:hAnsi="Arial" w:cs="Arial"/>
          <w:sz w:val="20"/>
          <w:szCs w:val="20"/>
        </w:rPr>
      </w:pPr>
      <w:r w:rsidRPr="00B63019">
        <w:rPr>
          <w:rFonts w:ascii="Arial" w:hAnsi="Arial" w:cs="Arial"/>
          <w:b/>
          <w:bCs/>
          <w:sz w:val="22"/>
          <w:szCs w:val="22"/>
        </w:rPr>
        <w:t>2. PRESENTATION OF CASE</w:t>
      </w:r>
    </w:p>
    <w:p w14:paraId="29885C3C" w14:textId="01EE445E" w:rsidR="00375399" w:rsidRPr="00375399" w:rsidRDefault="00375399" w:rsidP="00B63019">
      <w:pPr>
        <w:rPr>
          <w:rFonts w:ascii="Arial" w:hAnsi="Arial" w:cs="Arial"/>
          <w:sz w:val="20"/>
          <w:szCs w:val="20"/>
        </w:rPr>
      </w:pPr>
      <w:r w:rsidRPr="00375399">
        <w:rPr>
          <w:rFonts w:ascii="Arial" w:hAnsi="Arial" w:cs="Arial"/>
          <w:sz w:val="20"/>
          <w:szCs w:val="20"/>
        </w:rPr>
        <w:t xml:space="preserve">A </w:t>
      </w:r>
      <w:r w:rsidR="005463D8">
        <w:rPr>
          <w:rFonts w:ascii="Arial" w:hAnsi="Arial" w:cs="Arial"/>
          <w:sz w:val="20"/>
          <w:szCs w:val="20"/>
        </w:rPr>
        <w:t xml:space="preserve">three </w:t>
      </w:r>
      <w:r w:rsidRPr="00375399">
        <w:rPr>
          <w:rFonts w:ascii="Arial" w:hAnsi="Arial" w:cs="Arial"/>
          <w:sz w:val="20"/>
          <w:szCs w:val="20"/>
        </w:rPr>
        <w:t>-year-old female child, weighing 10 kg, was brought to the emergency department with complaints of fever, painful perioral vesicles, crusting, and difficulty opening the mouth.</w:t>
      </w:r>
      <w:r w:rsidR="00E22808" w:rsidRPr="00E22808">
        <w:t xml:space="preserve"> </w:t>
      </w:r>
      <w:r w:rsidR="00E22808" w:rsidRPr="00E22808">
        <w:rPr>
          <w:rFonts w:ascii="Arial" w:hAnsi="Arial" w:cs="Arial"/>
          <w:sz w:val="20"/>
          <w:szCs w:val="20"/>
        </w:rPr>
        <w:t>The symptoms began with oral blisters and fever and lasted for one week.</w:t>
      </w:r>
      <w:r w:rsidRPr="00375399">
        <w:rPr>
          <w:rFonts w:ascii="Arial" w:hAnsi="Arial" w:cs="Arial"/>
          <w:sz w:val="20"/>
          <w:szCs w:val="20"/>
        </w:rPr>
        <w:t xml:space="preserve"> . Parents initially applied traditional remedies, including honey and oil, which exacerbated the lesions.</w:t>
      </w:r>
    </w:p>
    <w:p w14:paraId="1AE0E290" w14:textId="37414CF3" w:rsidR="00375399" w:rsidRPr="00375399" w:rsidRDefault="00375399" w:rsidP="00E22808">
      <w:pPr>
        <w:rPr>
          <w:rFonts w:ascii="Arial" w:hAnsi="Arial" w:cs="Arial"/>
          <w:sz w:val="20"/>
          <w:szCs w:val="20"/>
        </w:rPr>
      </w:pPr>
      <w:r w:rsidRPr="00375399">
        <w:rPr>
          <w:rFonts w:ascii="Arial" w:hAnsi="Arial" w:cs="Arial"/>
          <w:sz w:val="20"/>
          <w:szCs w:val="20"/>
        </w:rPr>
        <w:t>The child had been treated previously by private practitioners with syrup amoxic</w:t>
      </w:r>
      <w:r w:rsidR="005463D8">
        <w:rPr>
          <w:rFonts w:ascii="Arial" w:hAnsi="Arial" w:cs="Arial"/>
          <w:sz w:val="20"/>
          <w:szCs w:val="20"/>
        </w:rPr>
        <w:t>illin and clavulan</w:t>
      </w:r>
      <w:r w:rsidR="0019755D">
        <w:rPr>
          <w:rFonts w:ascii="Arial" w:hAnsi="Arial" w:cs="Arial"/>
          <w:sz w:val="20"/>
          <w:szCs w:val="20"/>
        </w:rPr>
        <w:t>ic acid</w:t>
      </w:r>
      <w:r w:rsidRPr="00375399">
        <w:rPr>
          <w:rFonts w:ascii="Arial" w:hAnsi="Arial" w:cs="Arial"/>
          <w:sz w:val="20"/>
          <w:szCs w:val="20"/>
        </w:rPr>
        <w:t xml:space="preserve">, mefenamic acid, and multivitamins. </w:t>
      </w:r>
      <w:r w:rsidR="002502F2" w:rsidRPr="002502F2">
        <w:rPr>
          <w:rFonts w:ascii="Arial" w:hAnsi="Arial" w:cs="Arial"/>
          <w:sz w:val="20"/>
          <w:szCs w:val="20"/>
          <w:highlight w:val="yellow"/>
        </w:rPr>
        <w:t>The child was prescribed syrup amoxicillin–clavulanic acid (amoxiclav) on Day 2 of fever, and vesicular skin lesions began to appear on Day 3, within 24 hours of starting the medication</w:t>
      </w:r>
      <w:r w:rsidR="002502F2" w:rsidRPr="002502F2">
        <w:rPr>
          <w:rFonts w:ascii="Arial" w:hAnsi="Arial" w:cs="Arial"/>
          <w:sz w:val="20"/>
          <w:szCs w:val="20"/>
        </w:rPr>
        <w:t>.</w:t>
      </w:r>
      <w:r w:rsidR="002502F2">
        <w:rPr>
          <w:rFonts w:ascii="Arial" w:hAnsi="Arial" w:cs="Arial"/>
          <w:sz w:val="20"/>
          <w:szCs w:val="20"/>
        </w:rPr>
        <w:t xml:space="preserve"> </w:t>
      </w:r>
      <w:r w:rsidR="00E22808" w:rsidRPr="00E22808">
        <w:rPr>
          <w:rFonts w:ascii="Arial" w:hAnsi="Arial" w:cs="Arial"/>
          <w:sz w:val="20"/>
          <w:szCs w:val="20"/>
        </w:rPr>
        <w:t>The lesions worsened despite using topical metronidazole and chlorhexidine gels</w:t>
      </w:r>
      <w:r w:rsidR="00E22808">
        <w:rPr>
          <w:rFonts w:ascii="Arial" w:hAnsi="Arial" w:cs="Arial"/>
          <w:sz w:val="20"/>
          <w:szCs w:val="20"/>
        </w:rPr>
        <w:t xml:space="preserve">. </w:t>
      </w:r>
      <w:r w:rsidRPr="00375399">
        <w:rPr>
          <w:rFonts w:ascii="Arial" w:hAnsi="Arial" w:cs="Arial"/>
          <w:sz w:val="20"/>
          <w:szCs w:val="20"/>
        </w:rPr>
        <w:t xml:space="preserve">On examination, perioral crusting, erythema, and erosions were noted, with mucosal involvement of the lips and inability to examine the oral cavity. </w:t>
      </w:r>
      <w:proofErr w:type="spellStart"/>
      <w:r w:rsidRPr="00375399">
        <w:rPr>
          <w:rFonts w:ascii="Arial" w:hAnsi="Arial" w:cs="Arial"/>
          <w:sz w:val="20"/>
          <w:szCs w:val="20"/>
        </w:rPr>
        <w:t>Nikolsky’s</w:t>
      </w:r>
      <w:proofErr w:type="spellEnd"/>
      <w:r w:rsidRPr="00375399">
        <w:rPr>
          <w:rFonts w:ascii="Arial" w:hAnsi="Arial" w:cs="Arial"/>
          <w:sz w:val="20"/>
          <w:szCs w:val="20"/>
        </w:rPr>
        <w:t xml:space="preserve"> sign was positive. No genital or ocular involvement was observed.</w:t>
      </w:r>
    </w:p>
    <w:p w14:paraId="40607592" w14:textId="77777777" w:rsidR="00375399" w:rsidRPr="00213DD8" w:rsidRDefault="00375399" w:rsidP="00375399">
      <w:pPr>
        <w:rPr>
          <w:rFonts w:ascii="Arial" w:hAnsi="Arial" w:cs="Arial"/>
          <w:b/>
          <w:bCs/>
          <w:sz w:val="20"/>
          <w:szCs w:val="20"/>
        </w:rPr>
      </w:pPr>
      <w:r w:rsidRPr="00213DD8">
        <w:rPr>
          <w:rFonts w:ascii="Arial" w:hAnsi="Arial" w:cs="Arial"/>
          <w:b/>
          <w:bCs/>
          <w:sz w:val="20"/>
          <w:szCs w:val="20"/>
        </w:rPr>
        <w:t>Past Medical History</w:t>
      </w:r>
    </w:p>
    <w:p w14:paraId="2A06A99D" w14:textId="4A41C7BC" w:rsidR="00375399" w:rsidRPr="001F606D" w:rsidRDefault="00375399" w:rsidP="001F606D">
      <w:pPr>
        <w:pStyle w:val="ListParagraph"/>
        <w:numPr>
          <w:ilvl w:val="0"/>
          <w:numId w:val="1"/>
        </w:numPr>
        <w:rPr>
          <w:rFonts w:ascii="Arial" w:hAnsi="Arial" w:cs="Arial"/>
          <w:sz w:val="20"/>
          <w:szCs w:val="20"/>
          <w:highlight w:val="yellow"/>
        </w:rPr>
      </w:pPr>
      <w:r w:rsidRPr="001F606D">
        <w:rPr>
          <w:rFonts w:ascii="Arial" w:hAnsi="Arial" w:cs="Arial"/>
          <w:sz w:val="20"/>
          <w:szCs w:val="20"/>
        </w:rPr>
        <w:t xml:space="preserve">History of a rash one month earlier </w:t>
      </w:r>
      <w:r w:rsidRPr="001F606D">
        <w:rPr>
          <w:rFonts w:ascii="Arial" w:hAnsi="Arial" w:cs="Arial"/>
          <w:sz w:val="20"/>
          <w:szCs w:val="20"/>
          <w:highlight w:val="yellow"/>
        </w:rPr>
        <w:t xml:space="preserve">(managed </w:t>
      </w:r>
      <w:r w:rsidR="001F606D" w:rsidRPr="001F606D">
        <w:rPr>
          <w:rFonts w:ascii="Arial" w:hAnsi="Arial" w:cs="Arial"/>
          <w:sz w:val="20"/>
          <w:szCs w:val="20"/>
          <w:highlight w:val="yellow"/>
        </w:rPr>
        <w:t xml:space="preserve">as </w:t>
      </w:r>
      <w:r w:rsidRPr="001F606D">
        <w:rPr>
          <w:rFonts w:ascii="Arial" w:hAnsi="Arial" w:cs="Arial"/>
          <w:sz w:val="20"/>
          <w:szCs w:val="20"/>
          <w:highlight w:val="yellow"/>
        </w:rPr>
        <w:t>outpatient)</w:t>
      </w:r>
    </w:p>
    <w:p w14:paraId="5A7A8407" w14:textId="347AAD49" w:rsidR="00375399" w:rsidRPr="006A5CF1" w:rsidRDefault="00375399" w:rsidP="006A5CF1">
      <w:pPr>
        <w:pStyle w:val="ListParagraph"/>
        <w:numPr>
          <w:ilvl w:val="0"/>
          <w:numId w:val="1"/>
        </w:numPr>
        <w:rPr>
          <w:rFonts w:ascii="Arial" w:hAnsi="Arial" w:cs="Arial"/>
          <w:sz w:val="20"/>
          <w:szCs w:val="20"/>
        </w:rPr>
      </w:pPr>
      <w:r w:rsidRPr="006A5CF1">
        <w:rPr>
          <w:rFonts w:ascii="Arial" w:hAnsi="Arial" w:cs="Arial"/>
          <w:sz w:val="20"/>
          <w:szCs w:val="20"/>
        </w:rPr>
        <w:t>Pneumonia at age two, managed as inpatient</w:t>
      </w:r>
    </w:p>
    <w:p w14:paraId="7808DDBF" w14:textId="06401235" w:rsidR="00375399" w:rsidRPr="006A5CF1" w:rsidRDefault="00375399" w:rsidP="006A5CF1">
      <w:pPr>
        <w:pStyle w:val="ListParagraph"/>
        <w:numPr>
          <w:ilvl w:val="0"/>
          <w:numId w:val="1"/>
        </w:numPr>
        <w:rPr>
          <w:rFonts w:ascii="Arial" w:hAnsi="Arial" w:cs="Arial"/>
          <w:sz w:val="20"/>
          <w:szCs w:val="20"/>
        </w:rPr>
      </w:pPr>
      <w:r w:rsidRPr="006A5CF1">
        <w:rPr>
          <w:rFonts w:ascii="Arial" w:hAnsi="Arial" w:cs="Arial"/>
          <w:sz w:val="20"/>
          <w:szCs w:val="20"/>
        </w:rPr>
        <w:t>No known drug allergies prior to this episode</w:t>
      </w:r>
    </w:p>
    <w:p w14:paraId="072FDCAE" w14:textId="77777777" w:rsidR="00375399" w:rsidRPr="006A5CF1" w:rsidRDefault="00375399" w:rsidP="00375399">
      <w:pPr>
        <w:rPr>
          <w:rFonts w:ascii="Arial" w:hAnsi="Arial" w:cs="Arial"/>
          <w:b/>
          <w:bCs/>
          <w:sz w:val="20"/>
          <w:szCs w:val="20"/>
        </w:rPr>
      </w:pPr>
      <w:r w:rsidRPr="006A5CF1">
        <w:rPr>
          <w:rFonts w:ascii="Arial" w:hAnsi="Arial" w:cs="Arial"/>
          <w:b/>
          <w:bCs/>
          <w:sz w:val="20"/>
          <w:szCs w:val="20"/>
        </w:rPr>
        <w:t>Perinatal and Developmental History</w:t>
      </w:r>
    </w:p>
    <w:p w14:paraId="5716E1D1" w14:textId="7C44B901" w:rsidR="00375399" w:rsidRPr="006A5CF1" w:rsidRDefault="00375399" w:rsidP="006A5CF1">
      <w:pPr>
        <w:pStyle w:val="ListParagraph"/>
        <w:numPr>
          <w:ilvl w:val="0"/>
          <w:numId w:val="2"/>
        </w:numPr>
        <w:rPr>
          <w:rFonts w:ascii="Arial" w:hAnsi="Arial" w:cs="Arial"/>
          <w:sz w:val="20"/>
          <w:szCs w:val="20"/>
        </w:rPr>
      </w:pPr>
      <w:r w:rsidRPr="006A5CF1">
        <w:rPr>
          <w:rFonts w:ascii="Arial" w:hAnsi="Arial" w:cs="Arial"/>
          <w:sz w:val="20"/>
          <w:szCs w:val="20"/>
        </w:rPr>
        <w:t>Term, normal vaginal delivery; birth weight 3.75 kg</w:t>
      </w:r>
    </w:p>
    <w:p w14:paraId="2D802F4E" w14:textId="293F84A3" w:rsidR="00375399" w:rsidRPr="006A5CF1" w:rsidRDefault="00375399" w:rsidP="006A5CF1">
      <w:pPr>
        <w:pStyle w:val="ListParagraph"/>
        <w:numPr>
          <w:ilvl w:val="0"/>
          <w:numId w:val="2"/>
        </w:numPr>
        <w:rPr>
          <w:rFonts w:ascii="Arial" w:hAnsi="Arial" w:cs="Arial"/>
          <w:sz w:val="20"/>
          <w:szCs w:val="20"/>
        </w:rPr>
      </w:pPr>
      <w:r w:rsidRPr="006A5CF1">
        <w:rPr>
          <w:rFonts w:ascii="Arial" w:hAnsi="Arial" w:cs="Arial"/>
          <w:sz w:val="20"/>
          <w:szCs w:val="20"/>
        </w:rPr>
        <w:t>NICU admission for neonatal jaundice (2 days)</w:t>
      </w:r>
    </w:p>
    <w:p w14:paraId="050B1670" w14:textId="6A49D219" w:rsidR="00375399" w:rsidRPr="006A5CF1" w:rsidRDefault="00375399" w:rsidP="006A5CF1">
      <w:pPr>
        <w:pStyle w:val="ListParagraph"/>
        <w:numPr>
          <w:ilvl w:val="0"/>
          <w:numId w:val="2"/>
        </w:numPr>
        <w:rPr>
          <w:rFonts w:ascii="Arial" w:hAnsi="Arial" w:cs="Arial"/>
          <w:sz w:val="20"/>
          <w:szCs w:val="20"/>
        </w:rPr>
      </w:pPr>
      <w:r w:rsidRPr="006A5CF1">
        <w:rPr>
          <w:rFonts w:ascii="Arial" w:hAnsi="Arial" w:cs="Arial"/>
          <w:sz w:val="20"/>
          <w:szCs w:val="20"/>
        </w:rPr>
        <w:t>Normal developmental milestones</w:t>
      </w:r>
    </w:p>
    <w:p w14:paraId="6337B988" w14:textId="26520AA9" w:rsidR="00375399" w:rsidRPr="009B0E44" w:rsidRDefault="00375399" w:rsidP="009B0E44">
      <w:pPr>
        <w:pStyle w:val="ListParagraph"/>
        <w:numPr>
          <w:ilvl w:val="0"/>
          <w:numId w:val="2"/>
        </w:numPr>
        <w:rPr>
          <w:rFonts w:ascii="Arial" w:hAnsi="Arial" w:cs="Arial"/>
          <w:sz w:val="20"/>
          <w:szCs w:val="20"/>
        </w:rPr>
      </w:pPr>
      <w:r w:rsidRPr="006A5CF1">
        <w:rPr>
          <w:rFonts w:ascii="Arial" w:hAnsi="Arial" w:cs="Arial"/>
          <w:sz w:val="20"/>
          <w:szCs w:val="20"/>
        </w:rPr>
        <w:t>Fully immunized</w:t>
      </w:r>
    </w:p>
    <w:p w14:paraId="6BD58ED0" w14:textId="77777777" w:rsidR="00375399" w:rsidRDefault="00375399" w:rsidP="00375399">
      <w:pPr>
        <w:rPr>
          <w:rFonts w:ascii="Arial" w:hAnsi="Arial" w:cs="Arial"/>
          <w:b/>
          <w:bCs/>
          <w:sz w:val="20"/>
          <w:szCs w:val="20"/>
        </w:rPr>
      </w:pPr>
      <w:r w:rsidRPr="009B0E44">
        <w:rPr>
          <w:rFonts w:ascii="Arial" w:hAnsi="Arial" w:cs="Arial"/>
          <w:b/>
          <w:bCs/>
          <w:sz w:val="20"/>
          <w:szCs w:val="20"/>
        </w:rPr>
        <w:t>Laboratory Investigations</w:t>
      </w:r>
    </w:p>
    <w:p w14:paraId="6C217C22" w14:textId="153A59EB" w:rsidR="009B0E44" w:rsidRPr="00322360" w:rsidRDefault="00CF2C81" w:rsidP="00375399">
      <w:pPr>
        <w:rPr>
          <w:rFonts w:ascii="Arial" w:hAnsi="Arial" w:cs="Arial"/>
          <w:sz w:val="20"/>
          <w:szCs w:val="20"/>
        </w:rPr>
      </w:pPr>
      <w:r>
        <w:rPr>
          <w:rFonts w:ascii="Arial" w:hAnsi="Arial" w:cs="Arial"/>
          <w:sz w:val="20"/>
          <w:szCs w:val="20"/>
        </w:rPr>
        <w:t>T</w:t>
      </w:r>
      <w:r w:rsidRPr="00CF2C81">
        <w:rPr>
          <w:rFonts w:ascii="Arial" w:hAnsi="Arial" w:cs="Arial"/>
          <w:sz w:val="20"/>
          <w:szCs w:val="20"/>
        </w:rPr>
        <w:t>able 1 summarizes the investigations. Key findings were microcytic anemia and high CRP</w:t>
      </w:r>
      <w:proofErr w:type="gramStart"/>
      <w:r w:rsidRPr="00CF2C81">
        <w:rPr>
          <w:rFonts w:ascii="Arial" w:hAnsi="Arial" w:cs="Arial"/>
          <w:sz w:val="20"/>
          <w:szCs w:val="20"/>
        </w:rPr>
        <w:t>.</w:t>
      </w:r>
      <w:r w:rsidR="00322360" w:rsidRPr="00322360">
        <w:rPr>
          <w:rFonts w:ascii="Arial" w:hAnsi="Arial" w:cs="Arial"/>
          <w:sz w:val="20"/>
          <w:szCs w:val="20"/>
        </w:rPr>
        <w:t>.</w:t>
      </w:r>
      <w:proofErr w:type="gramEnd"/>
    </w:p>
    <w:p w14:paraId="40666C93" w14:textId="77777777" w:rsidR="009B0E44" w:rsidRDefault="009B0E44" w:rsidP="00375399">
      <w:pPr>
        <w:rPr>
          <w:rFonts w:ascii="Arial" w:hAnsi="Arial" w:cs="Arial"/>
          <w:b/>
          <w:bCs/>
          <w:sz w:val="20"/>
          <w:szCs w:val="20"/>
        </w:rPr>
      </w:pPr>
    </w:p>
    <w:p w14:paraId="571994C4" w14:textId="77777777" w:rsidR="009B0E44" w:rsidRDefault="009B0E44" w:rsidP="00375399">
      <w:pPr>
        <w:rPr>
          <w:rFonts w:ascii="Arial" w:hAnsi="Arial" w:cs="Arial"/>
          <w:b/>
          <w:bCs/>
          <w:sz w:val="20"/>
          <w:szCs w:val="20"/>
        </w:rPr>
      </w:pPr>
    </w:p>
    <w:p w14:paraId="6FAD1B3C" w14:textId="77777777" w:rsidR="009B0E44" w:rsidRDefault="009B0E44" w:rsidP="00375399">
      <w:pPr>
        <w:rPr>
          <w:rFonts w:ascii="Arial" w:hAnsi="Arial" w:cs="Arial"/>
          <w:b/>
          <w:bCs/>
          <w:sz w:val="20"/>
          <w:szCs w:val="20"/>
        </w:rPr>
      </w:pPr>
    </w:p>
    <w:p w14:paraId="6E3C5D1E" w14:textId="0F798291" w:rsidR="009B0E44" w:rsidRPr="009B0E44" w:rsidRDefault="009B0E44" w:rsidP="009B0E44">
      <w:pPr>
        <w:pStyle w:val="Caption"/>
        <w:keepNext/>
        <w:rPr>
          <w:sz w:val="24"/>
          <w:szCs w:val="24"/>
        </w:rPr>
      </w:pPr>
      <w:r w:rsidRPr="009B0E44">
        <w:rPr>
          <w:sz w:val="24"/>
          <w:szCs w:val="24"/>
        </w:rPr>
        <w:t xml:space="preserve">Table </w:t>
      </w:r>
      <w:r w:rsidRPr="009B0E44">
        <w:rPr>
          <w:sz w:val="24"/>
          <w:szCs w:val="24"/>
        </w:rPr>
        <w:fldChar w:fldCharType="begin"/>
      </w:r>
      <w:r w:rsidRPr="009B0E44">
        <w:rPr>
          <w:sz w:val="24"/>
          <w:szCs w:val="24"/>
        </w:rPr>
        <w:instrText xml:space="preserve"> SEQ Table \* ARABIC </w:instrText>
      </w:r>
      <w:r w:rsidRPr="009B0E44">
        <w:rPr>
          <w:sz w:val="24"/>
          <w:szCs w:val="24"/>
        </w:rPr>
        <w:fldChar w:fldCharType="separate"/>
      </w:r>
      <w:r w:rsidRPr="009B0E44">
        <w:rPr>
          <w:noProof/>
          <w:sz w:val="24"/>
          <w:szCs w:val="24"/>
        </w:rPr>
        <w:t>1</w:t>
      </w:r>
      <w:r w:rsidRPr="009B0E44">
        <w:rPr>
          <w:sz w:val="24"/>
          <w:szCs w:val="24"/>
        </w:rPr>
        <w:fldChar w:fldCharType="end"/>
      </w:r>
      <w:r w:rsidRPr="009B0E44">
        <w:rPr>
          <w:sz w:val="24"/>
          <w:szCs w:val="24"/>
        </w:rPr>
        <w:t>: Summary of Laboratory Findings</w:t>
      </w:r>
    </w:p>
    <w:tbl>
      <w:tblPr>
        <w:tblStyle w:val="TableGrid2"/>
        <w:tblW w:w="0" w:type="auto"/>
        <w:tblLook w:val="04A0" w:firstRow="1" w:lastRow="0" w:firstColumn="1" w:lastColumn="0" w:noHBand="0" w:noVBand="1"/>
      </w:tblPr>
      <w:tblGrid>
        <w:gridCol w:w="2880"/>
        <w:gridCol w:w="2880"/>
        <w:gridCol w:w="2880"/>
      </w:tblGrid>
      <w:tr w:rsidR="00F01A1A" w:rsidRPr="00F01A1A" w14:paraId="5F4715AD" w14:textId="77777777" w:rsidTr="00E379D5">
        <w:tc>
          <w:tcPr>
            <w:tcW w:w="2880" w:type="dxa"/>
          </w:tcPr>
          <w:p w14:paraId="446F3298" w14:textId="77777777" w:rsidR="00F01A1A" w:rsidRPr="00F01A1A" w:rsidRDefault="00F01A1A" w:rsidP="00F01A1A">
            <w:pPr>
              <w:spacing w:after="200" w:line="276" w:lineRule="auto"/>
              <w:rPr>
                <w:rFonts w:ascii="Cambria" w:hAnsi="Cambria" w:cs="Arial"/>
              </w:rPr>
            </w:pPr>
            <w:r w:rsidRPr="00F01A1A">
              <w:rPr>
                <w:rFonts w:ascii="Cambria" w:hAnsi="Cambria" w:cs="Arial"/>
              </w:rPr>
              <w:t>Parameter</w:t>
            </w:r>
          </w:p>
        </w:tc>
        <w:tc>
          <w:tcPr>
            <w:tcW w:w="2880" w:type="dxa"/>
          </w:tcPr>
          <w:p w14:paraId="78F4BE04" w14:textId="77777777" w:rsidR="00F01A1A" w:rsidRPr="00F01A1A" w:rsidRDefault="00F01A1A" w:rsidP="00F01A1A">
            <w:pPr>
              <w:spacing w:after="200" w:line="276" w:lineRule="auto"/>
              <w:rPr>
                <w:rFonts w:ascii="Cambria" w:hAnsi="Cambria" w:cs="Arial"/>
              </w:rPr>
            </w:pPr>
            <w:r w:rsidRPr="00F01A1A">
              <w:rPr>
                <w:rFonts w:ascii="Cambria" w:hAnsi="Cambria" w:cs="Arial"/>
              </w:rPr>
              <w:t>Value</w:t>
            </w:r>
          </w:p>
        </w:tc>
        <w:tc>
          <w:tcPr>
            <w:tcW w:w="2880" w:type="dxa"/>
          </w:tcPr>
          <w:p w14:paraId="602AA69F" w14:textId="77777777" w:rsidR="00F01A1A" w:rsidRPr="00F01A1A" w:rsidRDefault="00F01A1A" w:rsidP="00F01A1A">
            <w:pPr>
              <w:spacing w:after="200" w:line="276" w:lineRule="auto"/>
              <w:rPr>
                <w:rFonts w:ascii="Cambria" w:hAnsi="Cambria" w:cs="Arial"/>
              </w:rPr>
            </w:pPr>
            <w:r w:rsidRPr="00F01A1A">
              <w:rPr>
                <w:rFonts w:ascii="Cambria" w:hAnsi="Cambria" w:cs="Arial"/>
              </w:rPr>
              <w:t>Normal Range (Pediatric)</w:t>
            </w:r>
          </w:p>
        </w:tc>
      </w:tr>
      <w:tr w:rsidR="00F01A1A" w:rsidRPr="00F01A1A" w14:paraId="2B6771D6" w14:textId="77777777" w:rsidTr="00E379D5">
        <w:tc>
          <w:tcPr>
            <w:tcW w:w="2880" w:type="dxa"/>
          </w:tcPr>
          <w:p w14:paraId="4517679D" w14:textId="77777777" w:rsidR="00F01A1A" w:rsidRPr="00F01A1A" w:rsidRDefault="00F01A1A" w:rsidP="00F01A1A">
            <w:pPr>
              <w:spacing w:after="200" w:line="276" w:lineRule="auto"/>
              <w:rPr>
                <w:rFonts w:ascii="Cambria" w:hAnsi="Cambria" w:cs="Arial"/>
              </w:rPr>
            </w:pPr>
            <w:r w:rsidRPr="00F01A1A">
              <w:rPr>
                <w:rFonts w:ascii="Cambria" w:hAnsi="Cambria" w:cs="Arial"/>
              </w:rPr>
              <w:t>White Blood Cell Count (WBC)</w:t>
            </w:r>
          </w:p>
        </w:tc>
        <w:tc>
          <w:tcPr>
            <w:tcW w:w="2880" w:type="dxa"/>
          </w:tcPr>
          <w:p w14:paraId="2DEEBCBD" w14:textId="77777777" w:rsidR="00F01A1A" w:rsidRPr="00F01A1A" w:rsidRDefault="00F01A1A" w:rsidP="00F01A1A">
            <w:pPr>
              <w:spacing w:after="200" w:line="276" w:lineRule="auto"/>
              <w:rPr>
                <w:rFonts w:ascii="Cambria" w:hAnsi="Cambria" w:cs="Arial"/>
              </w:rPr>
            </w:pPr>
            <w:r w:rsidRPr="00F01A1A">
              <w:rPr>
                <w:rFonts w:ascii="Cambria" w:hAnsi="Cambria" w:cs="Arial"/>
              </w:rPr>
              <w:t>9,200 /mm³</w:t>
            </w:r>
          </w:p>
        </w:tc>
        <w:tc>
          <w:tcPr>
            <w:tcW w:w="2880" w:type="dxa"/>
          </w:tcPr>
          <w:p w14:paraId="3ACB7C2C" w14:textId="77777777" w:rsidR="00F01A1A" w:rsidRPr="00F01A1A" w:rsidRDefault="00F01A1A" w:rsidP="00F01A1A">
            <w:pPr>
              <w:spacing w:after="200" w:line="276" w:lineRule="auto"/>
              <w:rPr>
                <w:rFonts w:ascii="Cambria" w:hAnsi="Cambria" w:cs="Arial"/>
              </w:rPr>
            </w:pPr>
            <w:r w:rsidRPr="00F01A1A">
              <w:rPr>
                <w:rFonts w:ascii="Cambria" w:hAnsi="Cambria" w:cs="Arial"/>
              </w:rPr>
              <w:t>5,000–15,000 /mm³</w:t>
            </w:r>
          </w:p>
        </w:tc>
      </w:tr>
      <w:tr w:rsidR="00F01A1A" w:rsidRPr="00F01A1A" w14:paraId="7ACB51EB" w14:textId="77777777" w:rsidTr="00E379D5">
        <w:tc>
          <w:tcPr>
            <w:tcW w:w="2880" w:type="dxa"/>
          </w:tcPr>
          <w:p w14:paraId="3A86EE04" w14:textId="77777777" w:rsidR="00F01A1A" w:rsidRPr="00F01A1A" w:rsidRDefault="00F01A1A" w:rsidP="00F01A1A">
            <w:pPr>
              <w:spacing w:after="200" w:line="276" w:lineRule="auto"/>
              <w:rPr>
                <w:rFonts w:ascii="Cambria" w:hAnsi="Cambria" w:cs="Arial"/>
              </w:rPr>
            </w:pPr>
            <w:r w:rsidRPr="00F01A1A">
              <w:rPr>
                <w:rFonts w:ascii="Cambria" w:hAnsi="Cambria" w:cs="Arial"/>
              </w:rPr>
              <w:t>Hemoglobin</w:t>
            </w:r>
          </w:p>
        </w:tc>
        <w:tc>
          <w:tcPr>
            <w:tcW w:w="2880" w:type="dxa"/>
          </w:tcPr>
          <w:p w14:paraId="6565F009" w14:textId="77777777" w:rsidR="00F01A1A" w:rsidRPr="00F01A1A" w:rsidRDefault="00F01A1A" w:rsidP="00F01A1A">
            <w:pPr>
              <w:spacing w:after="200" w:line="276" w:lineRule="auto"/>
              <w:rPr>
                <w:rFonts w:ascii="Cambria" w:hAnsi="Cambria" w:cs="Arial"/>
              </w:rPr>
            </w:pPr>
            <w:r w:rsidRPr="00F01A1A">
              <w:rPr>
                <w:rFonts w:ascii="Cambria" w:hAnsi="Cambria" w:cs="Arial"/>
                <w:color w:val="EE0000"/>
              </w:rPr>
              <w:t>8.7 g/dL</w:t>
            </w:r>
          </w:p>
        </w:tc>
        <w:tc>
          <w:tcPr>
            <w:tcW w:w="2880" w:type="dxa"/>
          </w:tcPr>
          <w:p w14:paraId="12B66848" w14:textId="77777777" w:rsidR="00F01A1A" w:rsidRPr="00F01A1A" w:rsidRDefault="00F01A1A" w:rsidP="00F01A1A">
            <w:pPr>
              <w:spacing w:after="200" w:line="276" w:lineRule="auto"/>
              <w:rPr>
                <w:rFonts w:ascii="Cambria" w:hAnsi="Cambria" w:cs="Arial"/>
              </w:rPr>
            </w:pPr>
            <w:r w:rsidRPr="00F01A1A">
              <w:rPr>
                <w:rFonts w:ascii="Cambria" w:hAnsi="Cambria" w:cs="Arial"/>
              </w:rPr>
              <w:t>11.5–15.5 g/dL</w:t>
            </w:r>
          </w:p>
        </w:tc>
      </w:tr>
      <w:tr w:rsidR="00F01A1A" w:rsidRPr="00F01A1A" w14:paraId="7A232240" w14:textId="77777777" w:rsidTr="00E379D5">
        <w:tc>
          <w:tcPr>
            <w:tcW w:w="2880" w:type="dxa"/>
          </w:tcPr>
          <w:p w14:paraId="65129450" w14:textId="77777777" w:rsidR="00F01A1A" w:rsidRPr="00F01A1A" w:rsidRDefault="00F01A1A" w:rsidP="00F01A1A">
            <w:pPr>
              <w:spacing w:after="200" w:line="276" w:lineRule="auto"/>
              <w:rPr>
                <w:rFonts w:ascii="Cambria" w:hAnsi="Cambria" w:cs="Arial"/>
              </w:rPr>
            </w:pPr>
            <w:r w:rsidRPr="00F01A1A">
              <w:rPr>
                <w:rFonts w:ascii="Cambria" w:hAnsi="Cambria" w:cs="Arial"/>
              </w:rPr>
              <w:t>Mean Corpuscular Volume (MCV)</w:t>
            </w:r>
          </w:p>
        </w:tc>
        <w:tc>
          <w:tcPr>
            <w:tcW w:w="2880" w:type="dxa"/>
          </w:tcPr>
          <w:p w14:paraId="14D0A94A" w14:textId="77777777" w:rsidR="00F01A1A" w:rsidRPr="00F01A1A" w:rsidRDefault="00F01A1A" w:rsidP="00F01A1A">
            <w:pPr>
              <w:spacing w:after="200" w:line="276" w:lineRule="auto"/>
              <w:rPr>
                <w:rFonts w:ascii="Cambria" w:hAnsi="Cambria" w:cs="Arial"/>
              </w:rPr>
            </w:pPr>
            <w:r w:rsidRPr="00F01A1A">
              <w:rPr>
                <w:rFonts w:ascii="Cambria" w:hAnsi="Cambria" w:cs="Arial"/>
              </w:rPr>
              <w:t xml:space="preserve">63.9 </w:t>
            </w:r>
            <w:proofErr w:type="spellStart"/>
            <w:r w:rsidRPr="00F01A1A">
              <w:rPr>
                <w:rFonts w:ascii="Cambria" w:hAnsi="Cambria" w:cs="Arial"/>
              </w:rPr>
              <w:t>fL</w:t>
            </w:r>
            <w:proofErr w:type="spellEnd"/>
          </w:p>
        </w:tc>
        <w:tc>
          <w:tcPr>
            <w:tcW w:w="2880" w:type="dxa"/>
          </w:tcPr>
          <w:p w14:paraId="23FB48C3" w14:textId="77777777" w:rsidR="00F01A1A" w:rsidRPr="00F01A1A" w:rsidRDefault="00F01A1A" w:rsidP="00F01A1A">
            <w:pPr>
              <w:spacing w:after="200" w:line="276" w:lineRule="auto"/>
              <w:rPr>
                <w:rFonts w:ascii="Cambria" w:hAnsi="Cambria" w:cs="Arial"/>
              </w:rPr>
            </w:pPr>
            <w:r w:rsidRPr="00F01A1A">
              <w:rPr>
                <w:rFonts w:ascii="Cambria" w:hAnsi="Cambria" w:cs="Arial"/>
              </w:rPr>
              <w:t xml:space="preserve">75–87 </w:t>
            </w:r>
            <w:proofErr w:type="spellStart"/>
            <w:r w:rsidRPr="00F01A1A">
              <w:rPr>
                <w:rFonts w:ascii="Cambria" w:hAnsi="Cambria" w:cs="Arial"/>
              </w:rPr>
              <w:t>fL</w:t>
            </w:r>
            <w:proofErr w:type="spellEnd"/>
          </w:p>
        </w:tc>
      </w:tr>
      <w:tr w:rsidR="00F01A1A" w:rsidRPr="00F01A1A" w14:paraId="0FA0F69D" w14:textId="77777777" w:rsidTr="00E379D5">
        <w:tc>
          <w:tcPr>
            <w:tcW w:w="2880" w:type="dxa"/>
          </w:tcPr>
          <w:p w14:paraId="30E5E10B" w14:textId="77777777" w:rsidR="00F01A1A" w:rsidRPr="00F01A1A" w:rsidRDefault="00F01A1A" w:rsidP="00F01A1A">
            <w:pPr>
              <w:spacing w:after="200" w:line="276" w:lineRule="auto"/>
              <w:rPr>
                <w:rFonts w:ascii="Cambria" w:hAnsi="Cambria" w:cs="Arial"/>
              </w:rPr>
            </w:pPr>
            <w:r w:rsidRPr="00F01A1A">
              <w:rPr>
                <w:rFonts w:ascii="Cambria" w:hAnsi="Cambria" w:cs="Arial"/>
              </w:rPr>
              <w:t>Mean Corpuscular Hemoglobin (MCH)</w:t>
            </w:r>
          </w:p>
        </w:tc>
        <w:tc>
          <w:tcPr>
            <w:tcW w:w="2880" w:type="dxa"/>
          </w:tcPr>
          <w:p w14:paraId="7DF73D22" w14:textId="77777777" w:rsidR="00F01A1A" w:rsidRPr="00F01A1A" w:rsidRDefault="00F01A1A" w:rsidP="00F01A1A">
            <w:pPr>
              <w:spacing w:after="200" w:line="276" w:lineRule="auto"/>
              <w:rPr>
                <w:rFonts w:ascii="Cambria" w:hAnsi="Cambria" w:cs="Arial"/>
              </w:rPr>
            </w:pPr>
            <w:r w:rsidRPr="00F01A1A">
              <w:rPr>
                <w:rFonts w:ascii="Cambria" w:hAnsi="Cambria" w:cs="Arial"/>
              </w:rPr>
              <w:t xml:space="preserve">17.9 </w:t>
            </w:r>
            <w:proofErr w:type="spellStart"/>
            <w:r w:rsidRPr="00F01A1A">
              <w:rPr>
                <w:rFonts w:ascii="Cambria" w:hAnsi="Cambria" w:cs="Arial"/>
              </w:rPr>
              <w:t>pg</w:t>
            </w:r>
            <w:proofErr w:type="spellEnd"/>
          </w:p>
        </w:tc>
        <w:tc>
          <w:tcPr>
            <w:tcW w:w="2880" w:type="dxa"/>
          </w:tcPr>
          <w:p w14:paraId="10F12EE6" w14:textId="77777777" w:rsidR="00F01A1A" w:rsidRPr="00F01A1A" w:rsidRDefault="00F01A1A" w:rsidP="00F01A1A">
            <w:pPr>
              <w:spacing w:after="200" w:line="276" w:lineRule="auto"/>
              <w:rPr>
                <w:rFonts w:ascii="Cambria" w:hAnsi="Cambria" w:cs="Arial"/>
              </w:rPr>
            </w:pPr>
            <w:r w:rsidRPr="00F01A1A">
              <w:rPr>
                <w:rFonts w:ascii="Cambria" w:hAnsi="Cambria" w:cs="Arial"/>
              </w:rPr>
              <w:t xml:space="preserve">25–33 </w:t>
            </w:r>
            <w:proofErr w:type="spellStart"/>
            <w:r w:rsidRPr="00F01A1A">
              <w:rPr>
                <w:rFonts w:ascii="Cambria" w:hAnsi="Cambria" w:cs="Arial"/>
              </w:rPr>
              <w:t>pg</w:t>
            </w:r>
            <w:proofErr w:type="spellEnd"/>
          </w:p>
        </w:tc>
      </w:tr>
      <w:tr w:rsidR="00F01A1A" w:rsidRPr="00F01A1A" w14:paraId="7728887F" w14:textId="77777777" w:rsidTr="00E379D5">
        <w:tc>
          <w:tcPr>
            <w:tcW w:w="2880" w:type="dxa"/>
          </w:tcPr>
          <w:p w14:paraId="2D219C55" w14:textId="77777777" w:rsidR="00F01A1A" w:rsidRPr="00F01A1A" w:rsidRDefault="00F01A1A" w:rsidP="00F01A1A">
            <w:pPr>
              <w:spacing w:after="200" w:line="276" w:lineRule="auto"/>
              <w:rPr>
                <w:rFonts w:ascii="Cambria" w:hAnsi="Cambria" w:cs="Arial"/>
              </w:rPr>
            </w:pPr>
            <w:r w:rsidRPr="00F01A1A">
              <w:rPr>
                <w:rFonts w:ascii="Cambria" w:hAnsi="Cambria" w:cs="Arial"/>
              </w:rPr>
              <w:t>Mean Corpuscular Hemoglobin Concentration (MCHC)</w:t>
            </w:r>
          </w:p>
        </w:tc>
        <w:tc>
          <w:tcPr>
            <w:tcW w:w="2880" w:type="dxa"/>
          </w:tcPr>
          <w:p w14:paraId="7D7744AA" w14:textId="77777777" w:rsidR="00F01A1A" w:rsidRPr="00F01A1A" w:rsidRDefault="00F01A1A" w:rsidP="00F01A1A">
            <w:pPr>
              <w:spacing w:after="200" w:line="276" w:lineRule="auto"/>
              <w:rPr>
                <w:rFonts w:ascii="Cambria" w:hAnsi="Cambria" w:cs="Arial"/>
              </w:rPr>
            </w:pPr>
            <w:r w:rsidRPr="00F01A1A">
              <w:rPr>
                <w:rFonts w:ascii="Cambria" w:hAnsi="Cambria" w:cs="Arial"/>
              </w:rPr>
              <w:t>28.2 g/dL</w:t>
            </w:r>
          </w:p>
        </w:tc>
        <w:tc>
          <w:tcPr>
            <w:tcW w:w="2880" w:type="dxa"/>
          </w:tcPr>
          <w:p w14:paraId="63921B27" w14:textId="77777777" w:rsidR="00F01A1A" w:rsidRPr="00F01A1A" w:rsidRDefault="00F01A1A" w:rsidP="00F01A1A">
            <w:pPr>
              <w:spacing w:after="200" w:line="276" w:lineRule="auto"/>
              <w:rPr>
                <w:rFonts w:ascii="Cambria" w:hAnsi="Cambria" w:cs="Arial"/>
              </w:rPr>
            </w:pPr>
            <w:r w:rsidRPr="00F01A1A">
              <w:rPr>
                <w:rFonts w:ascii="Cambria" w:hAnsi="Cambria" w:cs="Arial"/>
              </w:rPr>
              <w:t>31–37 g/dL</w:t>
            </w:r>
          </w:p>
        </w:tc>
      </w:tr>
      <w:tr w:rsidR="00F01A1A" w:rsidRPr="00F01A1A" w14:paraId="78EE6402" w14:textId="77777777" w:rsidTr="00E379D5">
        <w:tc>
          <w:tcPr>
            <w:tcW w:w="2880" w:type="dxa"/>
          </w:tcPr>
          <w:p w14:paraId="69096E77" w14:textId="77777777" w:rsidR="00F01A1A" w:rsidRPr="00F01A1A" w:rsidRDefault="00F01A1A" w:rsidP="00F01A1A">
            <w:pPr>
              <w:spacing w:after="200" w:line="276" w:lineRule="auto"/>
              <w:rPr>
                <w:rFonts w:ascii="Cambria" w:hAnsi="Cambria" w:cs="Arial"/>
              </w:rPr>
            </w:pPr>
            <w:r w:rsidRPr="00F01A1A">
              <w:rPr>
                <w:rFonts w:ascii="Cambria" w:hAnsi="Cambria" w:cs="Arial"/>
              </w:rPr>
              <w:t>C-Reactive Protein (CRP)</w:t>
            </w:r>
          </w:p>
        </w:tc>
        <w:tc>
          <w:tcPr>
            <w:tcW w:w="2880" w:type="dxa"/>
          </w:tcPr>
          <w:p w14:paraId="29DFAEA9" w14:textId="77777777" w:rsidR="00F01A1A" w:rsidRPr="00F01A1A" w:rsidRDefault="00F01A1A" w:rsidP="00F01A1A">
            <w:pPr>
              <w:spacing w:after="200" w:line="276" w:lineRule="auto"/>
              <w:rPr>
                <w:rFonts w:ascii="Cambria" w:hAnsi="Cambria" w:cs="Arial"/>
              </w:rPr>
            </w:pPr>
            <w:r w:rsidRPr="00F01A1A">
              <w:rPr>
                <w:rFonts w:ascii="Cambria" w:hAnsi="Cambria" w:cs="Arial"/>
                <w:color w:val="EE0000"/>
              </w:rPr>
              <w:t>9.8 mg/L</w:t>
            </w:r>
          </w:p>
        </w:tc>
        <w:tc>
          <w:tcPr>
            <w:tcW w:w="2880" w:type="dxa"/>
          </w:tcPr>
          <w:p w14:paraId="053C64A9" w14:textId="77777777" w:rsidR="00F01A1A" w:rsidRPr="00F01A1A" w:rsidRDefault="00F01A1A" w:rsidP="00F01A1A">
            <w:pPr>
              <w:spacing w:after="200" w:line="276" w:lineRule="auto"/>
              <w:rPr>
                <w:rFonts w:ascii="Cambria" w:hAnsi="Cambria" w:cs="Arial"/>
              </w:rPr>
            </w:pPr>
            <w:r w:rsidRPr="00F01A1A">
              <w:rPr>
                <w:rFonts w:ascii="Cambria" w:hAnsi="Cambria" w:cs="Arial"/>
              </w:rPr>
              <w:t>&lt;5 mg/L</w:t>
            </w:r>
          </w:p>
        </w:tc>
      </w:tr>
      <w:tr w:rsidR="00F01A1A" w:rsidRPr="00F01A1A" w14:paraId="1D85BAB9" w14:textId="77777777" w:rsidTr="00E379D5">
        <w:tc>
          <w:tcPr>
            <w:tcW w:w="2880" w:type="dxa"/>
          </w:tcPr>
          <w:p w14:paraId="6C7F9EE7" w14:textId="77777777" w:rsidR="00F01A1A" w:rsidRPr="00F01A1A" w:rsidRDefault="00F01A1A" w:rsidP="00F01A1A">
            <w:pPr>
              <w:spacing w:after="200" w:line="276" w:lineRule="auto"/>
              <w:rPr>
                <w:rFonts w:ascii="Cambria" w:hAnsi="Cambria" w:cs="Arial"/>
              </w:rPr>
            </w:pPr>
            <w:r w:rsidRPr="00F01A1A">
              <w:rPr>
                <w:rFonts w:ascii="Cambria" w:hAnsi="Cambria" w:cs="Arial"/>
              </w:rPr>
              <w:t>Blood Urea</w:t>
            </w:r>
          </w:p>
        </w:tc>
        <w:tc>
          <w:tcPr>
            <w:tcW w:w="2880" w:type="dxa"/>
          </w:tcPr>
          <w:p w14:paraId="76FFFF9F" w14:textId="77777777" w:rsidR="00F01A1A" w:rsidRPr="00F01A1A" w:rsidRDefault="00F01A1A" w:rsidP="00F01A1A">
            <w:pPr>
              <w:spacing w:after="200" w:line="276" w:lineRule="auto"/>
              <w:rPr>
                <w:rFonts w:ascii="Cambria" w:hAnsi="Cambria" w:cs="Arial"/>
              </w:rPr>
            </w:pPr>
            <w:r w:rsidRPr="00F01A1A">
              <w:rPr>
                <w:rFonts w:ascii="Cambria" w:hAnsi="Cambria" w:cs="Arial"/>
              </w:rPr>
              <w:t>21 mg/dL</w:t>
            </w:r>
          </w:p>
        </w:tc>
        <w:tc>
          <w:tcPr>
            <w:tcW w:w="2880" w:type="dxa"/>
          </w:tcPr>
          <w:p w14:paraId="55FE72C4" w14:textId="77777777" w:rsidR="00F01A1A" w:rsidRPr="00F01A1A" w:rsidRDefault="00F01A1A" w:rsidP="00F01A1A">
            <w:pPr>
              <w:spacing w:after="200" w:line="276" w:lineRule="auto"/>
              <w:rPr>
                <w:rFonts w:ascii="Cambria" w:hAnsi="Cambria" w:cs="Arial"/>
              </w:rPr>
            </w:pPr>
            <w:r w:rsidRPr="00F01A1A">
              <w:rPr>
                <w:rFonts w:ascii="Cambria" w:hAnsi="Cambria" w:cs="Arial"/>
              </w:rPr>
              <w:t>7–20 mg/dL</w:t>
            </w:r>
          </w:p>
        </w:tc>
      </w:tr>
      <w:tr w:rsidR="00F01A1A" w:rsidRPr="00F01A1A" w14:paraId="1C71B049" w14:textId="77777777" w:rsidTr="00E379D5">
        <w:tc>
          <w:tcPr>
            <w:tcW w:w="2880" w:type="dxa"/>
          </w:tcPr>
          <w:p w14:paraId="2E5905CD" w14:textId="77777777" w:rsidR="00F01A1A" w:rsidRPr="00F01A1A" w:rsidRDefault="00F01A1A" w:rsidP="00F01A1A">
            <w:pPr>
              <w:spacing w:after="200" w:line="276" w:lineRule="auto"/>
              <w:rPr>
                <w:rFonts w:ascii="Cambria" w:hAnsi="Cambria" w:cs="Arial"/>
              </w:rPr>
            </w:pPr>
            <w:r w:rsidRPr="00F01A1A">
              <w:rPr>
                <w:rFonts w:ascii="Cambria" w:hAnsi="Cambria" w:cs="Arial"/>
              </w:rPr>
              <w:t>Serum Creatinine</w:t>
            </w:r>
          </w:p>
        </w:tc>
        <w:tc>
          <w:tcPr>
            <w:tcW w:w="2880" w:type="dxa"/>
          </w:tcPr>
          <w:p w14:paraId="284064F6" w14:textId="77777777" w:rsidR="00F01A1A" w:rsidRPr="00F01A1A" w:rsidRDefault="00F01A1A" w:rsidP="00F01A1A">
            <w:pPr>
              <w:spacing w:after="200" w:line="276" w:lineRule="auto"/>
              <w:rPr>
                <w:rFonts w:ascii="Cambria" w:hAnsi="Cambria" w:cs="Arial"/>
              </w:rPr>
            </w:pPr>
            <w:r w:rsidRPr="00F01A1A">
              <w:rPr>
                <w:rFonts w:ascii="Cambria" w:hAnsi="Cambria" w:cs="Arial"/>
              </w:rPr>
              <w:t>0.64 mg/dL</w:t>
            </w:r>
          </w:p>
        </w:tc>
        <w:tc>
          <w:tcPr>
            <w:tcW w:w="2880" w:type="dxa"/>
          </w:tcPr>
          <w:p w14:paraId="496E02E4" w14:textId="77777777" w:rsidR="00F01A1A" w:rsidRPr="00F01A1A" w:rsidRDefault="00F01A1A" w:rsidP="00F01A1A">
            <w:pPr>
              <w:spacing w:after="200" w:line="276" w:lineRule="auto"/>
              <w:rPr>
                <w:rFonts w:ascii="Cambria" w:hAnsi="Cambria" w:cs="Arial"/>
              </w:rPr>
            </w:pPr>
            <w:r w:rsidRPr="00F01A1A">
              <w:rPr>
                <w:rFonts w:ascii="Cambria" w:hAnsi="Cambria" w:cs="Arial"/>
              </w:rPr>
              <w:t>0.3–0.7 mg/dL</w:t>
            </w:r>
          </w:p>
        </w:tc>
      </w:tr>
      <w:tr w:rsidR="00F01A1A" w:rsidRPr="00F01A1A" w14:paraId="57263E74" w14:textId="77777777" w:rsidTr="00E379D5">
        <w:tc>
          <w:tcPr>
            <w:tcW w:w="2880" w:type="dxa"/>
          </w:tcPr>
          <w:p w14:paraId="5084909F" w14:textId="77777777" w:rsidR="00F01A1A" w:rsidRPr="00F01A1A" w:rsidRDefault="00F01A1A" w:rsidP="00F01A1A">
            <w:pPr>
              <w:spacing w:after="200" w:line="276" w:lineRule="auto"/>
              <w:rPr>
                <w:rFonts w:ascii="Cambria" w:hAnsi="Cambria" w:cs="Arial"/>
              </w:rPr>
            </w:pPr>
            <w:r w:rsidRPr="00F01A1A">
              <w:rPr>
                <w:rFonts w:ascii="Cambria" w:hAnsi="Cambria" w:cs="Arial"/>
              </w:rPr>
              <w:t>Total Bilirubin</w:t>
            </w:r>
          </w:p>
        </w:tc>
        <w:tc>
          <w:tcPr>
            <w:tcW w:w="2880" w:type="dxa"/>
          </w:tcPr>
          <w:p w14:paraId="08AD1522" w14:textId="77777777" w:rsidR="00F01A1A" w:rsidRPr="00F01A1A" w:rsidRDefault="00F01A1A" w:rsidP="00F01A1A">
            <w:pPr>
              <w:spacing w:after="200" w:line="276" w:lineRule="auto"/>
              <w:rPr>
                <w:rFonts w:ascii="Cambria" w:hAnsi="Cambria" w:cs="Arial"/>
              </w:rPr>
            </w:pPr>
            <w:r w:rsidRPr="00F01A1A">
              <w:rPr>
                <w:rFonts w:ascii="Cambria" w:hAnsi="Cambria" w:cs="Arial"/>
              </w:rPr>
              <w:t>0.73 mg/dL</w:t>
            </w:r>
          </w:p>
        </w:tc>
        <w:tc>
          <w:tcPr>
            <w:tcW w:w="2880" w:type="dxa"/>
          </w:tcPr>
          <w:p w14:paraId="73106602" w14:textId="77777777" w:rsidR="00F01A1A" w:rsidRPr="00F01A1A" w:rsidRDefault="00F01A1A" w:rsidP="00F01A1A">
            <w:pPr>
              <w:spacing w:after="200" w:line="276" w:lineRule="auto"/>
              <w:rPr>
                <w:rFonts w:ascii="Cambria" w:hAnsi="Cambria" w:cs="Arial"/>
              </w:rPr>
            </w:pPr>
            <w:r w:rsidRPr="00F01A1A">
              <w:rPr>
                <w:rFonts w:ascii="Cambria" w:hAnsi="Cambria" w:cs="Arial"/>
              </w:rPr>
              <w:t>0.1–1.0 mg/dL</w:t>
            </w:r>
          </w:p>
        </w:tc>
      </w:tr>
      <w:tr w:rsidR="00F01A1A" w:rsidRPr="00F01A1A" w14:paraId="068CACBB" w14:textId="77777777" w:rsidTr="00E379D5">
        <w:tc>
          <w:tcPr>
            <w:tcW w:w="2880" w:type="dxa"/>
          </w:tcPr>
          <w:p w14:paraId="7136DF59" w14:textId="77777777" w:rsidR="00F01A1A" w:rsidRPr="00F01A1A" w:rsidRDefault="00F01A1A" w:rsidP="00F01A1A">
            <w:pPr>
              <w:spacing w:after="200" w:line="276" w:lineRule="auto"/>
              <w:rPr>
                <w:rFonts w:ascii="Cambria" w:hAnsi="Cambria" w:cs="Arial"/>
              </w:rPr>
            </w:pPr>
            <w:r w:rsidRPr="00F01A1A">
              <w:rPr>
                <w:rFonts w:ascii="Cambria" w:hAnsi="Cambria" w:cs="Arial"/>
              </w:rPr>
              <w:t>SGOT (AST)</w:t>
            </w:r>
          </w:p>
        </w:tc>
        <w:tc>
          <w:tcPr>
            <w:tcW w:w="2880" w:type="dxa"/>
          </w:tcPr>
          <w:p w14:paraId="61235928" w14:textId="77777777" w:rsidR="00F01A1A" w:rsidRPr="00F01A1A" w:rsidRDefault="00F01A1A" w:rsidP="00F01A1A">
            <w:pPr>
              <w:spacing w:after="200" w:line="276" w:lineRule="auto"/>
              <w:rPr>
                <w:rFonts w:ascii="Cambria" w:hAnsi="Cambria" w:cs="Arial"/>
              </w:rPr>
            </w:pPr>
            <w:r w:rsidRPr="00F01A1A">
              <w:rPr>
                <w:rFonts w:ascii="Cambria" w:hAnsi="Cambria" w:cs="Arial"/>
              </w:rPr>
              <w:t>17 U/L</w:t>
            </w:r>
          </w:p>
        </w:tc>
        <w:tc>
          <w:tcPr>
            <w:tcW w:w="2880" w:type="dxa"/>
          </w:tcPr>
          <w:p w14:paraId="24204F3D" w14:textId="77777777" w:rsidR="00F01A1A" w:rsidRPr="00F01A1A" w:rsidRDefault="00F01A1A" w:rsidP="00F01A1A">
            <w:pPr>
              <w:spacing w:after="200" w:line="276" w:lineRule="auto"/>
              <w:rPr>
                <w:rFonts w:ascii="Cambria" w:hAnsi="Cambria" w:cs="Arial"/>
              </w:rPr>
            </w:pPr>
            <w:r w:rsidRPr="00F01A1A">
              <w:rPr>
                <w:rFonts w:ascii="Cambria" w:hAnsi="Cambria" w:cs="Arial"/>
              </w:rPr>
              <w:t>10–40 U/L</w:t>
            </w:r>
          </w:p>
        </w:tc>
      </w:tr>
      <w:tr w:rsidR="00F01A1A" w:rsidRPr="00F01A1A" w14:paraId="3A97DBAA" w14:textId="77777777" w:rsidTr="00E379D5">
        <w:tc>
          <w:tcPr>
            <w:tcW w:w="2880" w:type="dxa"/>
          </w:tcPr>
          <w:p w14:paraId="5DCB460B" w14:textId="77777777" w:rsidR="00F01A1A" w:rsidRPr="00F01A1A" w:rsidRDefault="00F01A1A" w:rsidP="00F01A1A">
            <w:pPr>
              <w:spacing w:after="200" w:line="276" w:lineRule="auto"/>
              <w:rPr>
                <w:rFonts w:ascii="Cambria" w:hAnsi="Cambria" w:cs="Arial"/>
              </w:rPr>
            </w:pPr>
            <w:r w:rsidRPr="00F01A1A">
              <w:rPr>
                <w:rFonts w:ascii="Cambria" w:hAnsi="Cambria" w:cs="Arial"/>
              </w:rPr>
              <w:t>SGPT (ALT)</w:t>
            </w:r>
          </w:p>
        </w:tc>
        <w:tc>
          <w:tcPr>
            <w:tcW w:w="2880" w:type="dxa"/>
          </w:tcPr>
          <w:p w14:paraId="5A4AF21B" w14:textId="77777777" w:rsidR="00F01A1A" w:rsidRPr="00F01A1A" w:rsidRDefault="00F01A1A" w:rsidP="00F01A1A">
            <w:pPr>
              <w:spacing w:after="200" w:line="276" w:lineRule="auto"/>
              <w:rPr>
                <w:rFonts w:ascii="Cambria" w:hAnsi="Cambria" w:cs="Arial"/>
              </w:rPr>
            </w:pPr>
            <w:r w:rsidRPr="00F01A1A">
              <w:rPr>
                <w:rFonts w:ascii="Cambria" w:hAnsi="Cambria" w:cs="Arial"/>
              </w:rPr>
              <w:t>19 U/L</w:t>
            </w:r>
          </w:p>
        </w:tc>
        <w:tc>
          <w:tcPr>
            <w:tcW w:w="2880" w:type="dxa"/>
          </w:tcPr>
          <w:p w14:paraId="0836D50C" w14:textId="77777777" w:rsidR="00F01A1A" w:rsidRPr="00F01A1A" w:rsidRDefault="00F01A1A" w:rsidP="00F01A1A">
            <w:pPr>
              <w:spacing w:after="200" w:line="276" w:lineRule="auto"/>
              <w:rPr>
                <w:rFonts w:ascii="Cambria" w:hAnsi="Cambria" w:cs="Arial"/>
              </w:rPr>
            </w:pPr>
            <w:r w:rsidRPr="00F01A1A">
              <w:rPr>
                <w:rFonts w:ascii="Cambria" w:hAnsi="Cambria" w:cs="Arial"/>
              </w:rPr>
              <w:t>7–56 U/L</w:t>
            </w:r>
          </w:p>
        </w:tc>
      </w:tr>
      <w:tr w:rsidR="00F01A1A" w:rsidRPr="00F01A1A" w14:paraId="5E2EEAF2" w14:textId="77777777" w:rsidTr="00E379D5">
        <w:tc>
          <w:tcPr>
            <w:tcW w:w="2880" w:type="dxa"/>
          </w:tcPr>
          <w:p w14:paraId="6ED2EC56" w14:textId="77777777" w:rsidR="00F01A1A" w:rsidRPr="00F01A1A" w:rsidRDefault="00F01A1A" w:rsidP="00F01A1A">
            <w:pPr>
              <w:spacing w:after="200" w:line="276" w:lineRule="auto"/>
              <w:rPr>
                <w:rFonts w:ascii="Cambria" w:hAnsi="Cambria" w:cs="Arial"/>
              </w:rPr>
            </w:pPr>
            <w:r w:rsidRPr="00F01A1A">
              <w:rPr>
                <w:rFonts w:ascii="Cambria" w:hAnsi="Cambria" w:cs="Arial"/>
              </w:rPr>
              <w:t>Serum Sodium (Na⁺)</w:t>
            </w:r>
          </w:p>
        </w:tc>
        <w:tc>
          <w:tcPr>
            <w:tcW w:w="2880" w:type="dxa"/>
          </w:tcPr>
          <w:p w14:paraId="2CC18871" w14:textId="77777777" w:rsidR="00F01A1A" w:rsidRPr="00F01A1A" w:rsidRDefault="00F01A1A" w:rsidP="00F01A1A">
            <w:pPr>
              <w:spacing w:after="200" w:line="276" w:lineRule="auto"/>
              <w:rPr>
                <w:rFonts w:ascii="Cambria" w:hAnsi="Cambria" w:cs="Arial"/>
              </w:rPr>
            </w:pPr>
            <w:r w:rsidRPr="00F01A1A">
              <w:rPr>
                <w:rFonts w:ascii="Cambria" w:hAnsi="Cambria" w:cs="Arial"/>
              </w:rPr>
              <w:t>139 mmol/L</w:t>
            </w:r>
          </w:p>
        </w:tc>
        <w:tc>
          <w:tcPr>
            <w:tcW w:w="2880" w:type="dxa"/>
          </w:tcPr>
          <w:p w14:paraId="179C31CB" w14:textId="77777777" w:rsidR="00F01A1A" w:rsidRPr="00F01A1A" w:rsidRDefault="00F01A1A" w:rsidP="00F01A1A">
            <w:pPr>
              <w:spacing w:after="200" w:line="276" w:lineRule="auto"/>
              <w:rPr>
                <w:rFonts w:ascii="Cambria" w:hAnsi="Cambria" w:cs="Arial"/>
              </w:rPr>
            </w:pPr>
            <w:r w:rsidRPr="00F01A1A">
              <w:rPr>
                <w:rFonts w:ascii="Cambria" w:hAnsi="Cambria" w:cs="Arial"/>
              </w:rPr>
              <w:t>135–145 mmol/L</w:t>
            </w:r>
          </w:p>
        </w:tc>
      </w:tr>
      <w:tr w:rsidR="00F01A1A" w:rsidRPr="00F01A1A" w14:paraId="709FCB08" w14:textId="77777777" w:rsidTr="00E379D5">
        <w:tc>
          <w:tcPr>
            <w:tcW w:w="2880" w:type="dxa"/>
          </w:tcPr>
          <w:p w14:paraId="48F83A94" w14:textId="77777777" w:rsidR="00F01A1A" w:rsidRPr="00F01A1A" w:rsidRDefault="00F01A1A" w:rsidP="00F01A1A">
            <w:pPr>
              <w:spacing w:after="200" w:line="276" w:lineRule="auto"/>
              <w:rPr>
                <w:rFonts w:ascii="Cambria" w:hAnsi="Cambria" w:cs="Arial"/>
              </w:rPr>
            </w:pPr>
            <w:r w:rsidRPr="00F01A1A">
              <w:rPr>
                <w:rFonts w:ascii="Cambria" w:hAnsi="Cambria" w:cs="Arial"/>
              </w:rPr>
              <w:t>Serum Potassium (K⁺)</w:t>
            </w:r>
          </w:p>
        </w:tc>
        <w:tc>
          <w:tcPr>
            <w:tcW w:w="2880" w:type="dxa"/>
          </w:tcPr>
          <w:p w14:paraId="75EC127C" w14:textId="77777777" w:rsidR="00F01A1A" w:rsidRPr="00F01A1A" w:rsidRDefault="00F01A1A" w:rsidP="00F01A1A">
            <w:pPr>
              <w:spacing w:after="200" w:line="276" w:lineRule="auto"/>
              <w:rPr>
                <w:rFonts w:ascii="Cambria" w:hAnsi="Cambria" w:cs="Arial"/>
              </w:rPr>
            </w:pPr>
            <w:r w:rsidRPr="00F01A1A">
              <w:rPr>
                <w:rFonts w:ascii="Cambria" w:hAnsi="Cambria" w:cs="Arial"/>
              </w:rPr>
              <w:t>3.7 mmol/L</w:t>
            </w:r>
          </w:p>
        </w:tc>
        <w:tc>
          <w:tcPr>
            <w:tcW w:w="2880" w:type="dxa"/>
          </w:tcPr>
          <w:p w14:paraId="7C8E0D43" w14:textId="77777777" w:rsidR="00F01A1A" w:rsidRPr="00F01A1A" w:rsidRDefault="00F01A1A" w:rsidP="00F01A1A">
            <w:pPr>
              <w:spacing w:after="200" w:line="276" w:lineRule="auto"/>
              <w:rPr>
                <w:rFonts w:ascii="Cambria" w:hAnsi="Cambria" w:cs="Arial"/>
              </w:rPr>
            </w:pPr>
            <w:r w:rsidRPr="00F01A1A">
              <w:rPr>
                <w:rFonts w:ascii="Cambria" w:hAnsi="Cambria" w:cs="Arial"/>
              </w:rPr>
              <w:t>3.5–5.0 mmol/L</w:t>
            </w:r>
          </w:p>
        </w:tc>
      </w:tr>
      <w:tr w:rsidR="00F01A1A" w:rsidRPr="00F01A1A" w14:paraId="21B6BB2C" w14:textId="77777777" w:rsidTr="00E379D5">
        <w:tc>
          <w:tcPr>
            <w:tcW w:w="2880" w:type="dxa"/>
          </w:tcPr>
          <w:p w14:paraId="3D3CF050" w14:textId="77777777" w:rsidR="00F01A1A" w:rsidRPr="00F01A1A" w:rsidRDefault="00F01A1A" w:rsidP="00F01A1A">
            <w:pPr>
              <w:spacing w:after="200" w:line="276" w:lineRule="auto"/>
              <w:rPr>
                <w:rFonts w:ascii="Cambria" w:hAnsi="Cambria" w:cs="Arial"/>
              </w:rPr>
            </w:pPr>
            <w:r w:rsidRPr="00F01A1A">
              <w:rPr>
                <w:rFonts w:ascii="Cambria" w:hAnsi="Cambria" w:cs="Arial"/>
              </w:rPr>
              <w:t>Serum Chloride (Cl⁻)</w:t>
            </w:r>
          </w:p>
        </w:tc>
        <w:tc>
          <w:tcPr>
            <w:tcW w:w="2880" w:type="dxa"/>
          </w:tcPr>
          <w:p w14:paraId="65DBF105" w14:textId="77777777" w:rsidR="00F01A1A" w:rsidRPr="00F01A1A" w:rsidRDefault="00F01A1A" w:rsidP="00F01A1A">
            <w:pPr>
              <w:spacing w:after="200" w:line="276" w:lineRule="auto"/>
              <w:rPr>
                <w:rFonts w:ascii="Cambria" w:hAnsi="Cambria" w:cs="Arial"/>
              </w:rPr>
            </w:pPr>
            <w:r w:rsidRPr="00F01A1A">
              <w:rPr>
                <w:rFonts w:ascii="Cambria" w:hAnsi="Cambria" w:cs="Arial"/>
              </w:rPr>
              <w:t>104 mmol/L</w:t>
            </w:r>
          </w:p>
        </w:tc>
        <w:tc>
          <w:tcPr>
            <w:tcW w:w="2880" w:type="dxa"/>
          </w:tcPr>
          <w:p w14:paraId="41BA435A" w14:textId="77777777" w:rsidR="00F01A1A" w:rsidRPr="00F01A1A" w:rsidRDefault="00F01A1A" w:rsidP="00F01A1A">
            <w:pPr>
              <w:spacing w:after="200" w:line="276" w:lineRule="auto"/>
              <w:rPr>
                <w:rFonts w:ascii="Cambria" w:hAnsi="Cambria" w:cs="Arial"/>
              </w:rPr>
            </w:pPr>
            <w:r w:rsidRPr="00F01A1A">
              <w:rPr>
                <w:rFonts w:ascii="Cambria" w:hAnsi="Cambria" w:cs="Arial"/>
              </w:rPr>
              <w:t>98–107 mmol/L</w:t>
            </w:r>
          </w:p>
        </w:tc>
      </w:tr>
      <w:tr w:rsidR="00F01A1A" w:rsidRPr="00F01A1A" w14:paraId="2A461793" w14:textId="77777777" w:rsidTr="00E379D5">
        <w:tc>
          <w:tcPr>
            <w:tcW w:w="2880" w:type="dxa"/>
          </w:tcPr>
          <w:p w14:paraId="7A375AE7" w14:textId="77777777" w:rsidR="00F01A1A" w:rsidRPr="00F01A1A" w:rsidRDefault="00F01A1A" w:rsidP="00F01A1A">
            <w:pPr>
              <w:spacing w:after="200" w:line="276" w:lineRule="auto"/>
              <w:rPr>
                <w:rFonts w:ascii="Cambria" w:hAnsi="Cambria" w:cs="Arial"/>
              </w:rPr>
            </w:pPr>
            <w:r w:rsidRPr="00F01A1A">
              <w:rPr>
                <w:rFonts w:ascii="Cambria" w:hAnsi="Cambria" w:cs="Arial"/>
              </w:rPr>
              <w:t>Random Blood Sugar (RBS)</w:t>
            </w:r>
          </w:p>
        </w:tc>
        <w:tc>
          <w:tcPr>
            <w:tcW w:w="2880" w:type="dxa"/>
          </w:tcPr>
          <w:p w14:paraId="38A73A8B" w14:textId="77777777" w:rsidR="00F01A1A" w:rsidRPr="00F01A1A" w:rsidRDefault="00F01A1A" w:rsidP="00F01A1A">
            <w:pPr>
              <w:spacing w:after="200" w:line="276" w:lineRule="auto"/>
              <w:rPr>
                <w:rFonts w:ascii="Cambria" w:hAnsi="Cambria" w:cs="Arial"/>
              </w:rPr>
            </w:pPr>
            <w:r w:rsidRPr="00F01A1A">
              <w:rPr>
                <w:rFonts w:ascii="Cambria" w:hAnsi="Cambria" w:cs="Arial"/>
              </w:rPr>
              <w:t>79 mg/dL</w:t>
            </w:r>
          </w:p>
        </w:tc>
        <w:tc>
          <w:tcPr>
            <w:tcW w:w="2880" w:type="dxa"/>
          </w:tcPr>
          <w:p w14:paraId="027DAC42" w14:textId="77777777" w:rsidR="00F01A1A" w:rsidRPr="00F01A1A" w:rsidRDefault="00F01A1A" w:rsidP="00F01A1A">
            <w:pPr>
              <w:spacing w:after="200" w:line="276" w:lineRule="auto"/>
              <w:rPr>
                <w:rFonts w:ascii="Cambria" w:hAnsi="Cambria" w:cs="Arial"/>
              </w:rPr>
            </w:pPr>
            <w:r w:rsidRPr="00F01A1A">
              <w:rPr>
                <w:rFonts w:ascii="Cambria" w:hAnsi="Cambria" w:cs="Arial"/>
              </w:rPr>
              <w:t>70–140 mg/dL (random)</w:t>
            </w:r>
          </w:p>
        </w:tc>
      </w:tr>
    </w:tbl>
    <w:p w14:paraId="3BAE192D" w14:textId="77777777" w:rsidR="009B0E44" w:rsidRDefault="009B0E44" w:rsidP="00375399">
      <w:pPr>
        <w:rPr>
          <w:rFonts w:ascii="Arial" w:hAnsi="Arial" w:cs="Arial"/>
          <w:b/>
          <w:bCs/>
          <w:sz w:val="20"/>
          <w:szCs w:val="20"/>
        </w:rPr>
      </w:pPr>
    </w:p>
    <w:p w14:paraId="520D34C4" w14:textId="1052589F" w:rsidR="00375399" w:rsidRPr="00375399" w:rsidRDefault="00375399" w:rsidP="00A342B2">
      <w:pPr>
        <w:rPr>
          <w:rFonts w:ascii="Arial" w:hAnsi="Arial" w:cs="Arial"/>
          <w:sz w:val="20"/>
          <w:szCs w:val="20"/>
        </w:rPr>
      </w:pPr>
      <w:r w:rsidRPr="00375399">
        <w:rPr>
          <w:rFonts w:ascii="Arial" w:hAnsi="Arial" w:cs="Arial"/>
          <w:sz w:val="20"/>
          <w:szCs w:val="20"/>
        </w:rPr>
        <w:t>Microbiological cultures and skin biopsy were not performed due to limited resources.</w:t>
      </w:r>
    </w:p>
    <w:p w14:paraId="5FAE2E33" w14:textId="77777777" w:rsidR="00375399" w:rsidRPr="00A342B2" w:rsidRDefault="00375399" w:rsidP="00375399">
      <w:pPr>
        <w:rPr>
          <w:rFonts w:ascii="Arial" w:hAnsi="Arial" w:cs="Arial"/>
          <w:b/>
          <w:bCs/>
          <w:sz w:val="20"/>
          <w:szCs w:val="20"/>
        </w:rPr>
      </w:pPr>
      <w:r w:rsidRPr="00A342B2">
        <w:rPr>
          <w:rFonts w:ascii="Arial" w:hAnsi="Arial" w:cs="Arial"/>
          <w:b/>
          <w:bCs/>
          <w:sz w:val="20"/>
          <w:szCs w:val="20"/>
        </w:rPr>
        <w:t>Diagnosis</w:t>
      </w:r>
    </w:p>
    <w:p w14:paraId="082C327A" w14:textId="108C74A1" w:rsidR="00375399" w:rsidRPr="00375399" w:rsidRDefault="00375399" w:rsidP="00A342B2">
      <w:pPr>
        <w:rPr>
          <w:rFonts w:ascii="Arial" w:hAnsi="Arial" w:cs="Arial"/>
          <w:sz w:val="20"/>
          <w:szCs w:val="20"/>
        </w:rPr>
      </w:pPr>
      <w:r w:rsidRPr="00375399">
        <w:rPr>
          <w:rFonts w:ascii="Arial" w:hAnsi="Arial" w:cs="Arial"/>
          <w:sz w:val="20"/>
          <w:szCs w:val="20"/>
        </w:rPr>
        <w:lastRenderedPageBreak/>
        <w:t>A clinical diagnosis of overlapping Stevens–Johnson Syndrome (SJS) and Staphylococcal Scalded Skin Syndrome (SSSS), complicated by impetigo, was made.</w:t>
      </w:r>
    </w:p>
    <w:p w14:paraId="22992340" w14:textId="77777777" w:rsidR="00375399" w:rsidRPr="00A342B2" w:rsidRDefault="00375399" w:rsidP="00375399">
      <w:pPr>
        <w:rPr>
          <w:rFonts w:ascii="Arial" w:hAnsi="Arial" w:cs="Arial"/>
          <w:b/>
          <w:bCs/>
          <w:sz w:val="20"/>
          <w:szCs w:val="20"/>
        </w:rPr>
      </w:pPr>
      <w:r w:rsidRPr="00A342B2">
        <w:rPr>
          <w:rFonts w:ascii="Arial" w:hAnsi="Arial" w:cs="Arial"/>
          <w:b/>
          <w:bCs/>
          <w:sz w:val="20"/>
          <w:szCs w:val="20"/>
        </w:rPr>
        <w:t>Treatment Administered</w:t>
      </w:r>
    </w:p>
    <w:p w14:paraId="1AD4C5C4" w14:textId="26091EC6" w:rsidR="00375399" w:rsidRPr="00A342B2" w:rsidRDefault="00375399" w:rsidP="00A342B2">
      <w:pPr>
        <w:pStyle w:val="ListParagraph"/>
        <w:numPr>
          <w:ilvl w:val="0"/>
          <w:numId w:val="3"/>
        </w:numPr>
        <w:rPr>
          <w:rFonts w:ascii="Arial" w:hAnsi="Arial" w:cs="Arial"/>
          <w:sz w:val="20"/>
          <w:szCs w:val="20"/>
        </w:rPr>
      </w:pPr>
      <w:r w:rsidRPr="00A342B2">
        <w:rPr>
          <w:rFonts w:ascii="Arial" w:hAnsi="Arial" w:cs="Arial"/>
          <w:sz w:val="20"/>
          <w:szCs w:val="20"/>
        </w:rPr>
        <w:t xml:space="preserve">IV fluids (DNS with </w:t>
      </w:r>
      <w:proofErr w:type="spellStart"/>
      <w:r w:rsidRPr="00A342B2">
        <w:rPr>
          <w:rFonts w:ascii="Arial" w:hAnsi="Arial" w:cs="Arial"/>
          <w:sz w:val="20"/>
          <w:szCs w:val="20"/>
        </w:rPr>
        <w:t>KCl</w:t>
      </w:r>
      <w:proofErr w:type="spellEnd"/>
      <w:r w:rsidRPr="00A342B2">
        <w:rPr>
          <w:rFonts w:ascii="Arial" w:hAnsi="Arial" w:cs="Arial"/>
          <w:sz w:val="20"/>
          <w:szCs w:val="20"/>
        </w:rPr>
        <w:t xml:space="preserve"> at 40 ml/hour)</w:t>
      </w:r>
    </w:p>
    <w:p w14:paraId="5BB4A3B3" w14:textId="360D667D" w:rsidR="00375399" w:rsidRPr="001F606D" w:rsidRDefault="00375399" w:rsidP="00A342B2">
      <w:pPr>
        <w:pStyle w:val="ListParagraph"/>
        <w:numPr>
          <w:ilvl w:val="0"/>
          <w:numId w:val="3"/>
        </w:numPr>
        <w:rPr>
          <w:rFonts w:ascii="Arial" w:hAnsi="Arial" w:cs="Arial"/>
          <w:sz w:val="20"/>
          <w:szCs w:val="20"/>
          <w:highlight w:val="yellow"/>
        </w:rPr>
      </w:pPr>
      <w:r w:rsidRPr="00A342B2">
        <w:rPr>
          <w:rFonts w:ascii="Arial" w:hAnsi="Arial" w:cs="Arial"/>
          <w:sz w:val="20"/>
          <w:szCs w:val="20"/>
        </w:rPr>
        <w:t xml:space="preserve">IV cefotaxime 500 mg </w:t>
      </w:r>
      <w:r w:rsidRPr="001F606D">
        <w:rPr>
          <w:rFonts w:ascii="Arial" w:hAnsi="Arial" w:cs="Arial"/>
          <w:sz w:val="20"/>
          <w:szCs w:val="20"/>
          <w:highlight w:val="yellow"/>
        </w:rPr>
        <w:t>T</w:t>
      </w:r>
      <w:r w:rsidR="001F606D" w:rsidRPr="001F606D">
        <w:rPr>
          <w:rFonts w:ascii="Arial" w:hAnsi="Arial" w:cs="Arial"/>
          <w:sz w:val="20"/>
          <w:szCs w:val="20"/>
          <w:highlight w:val="yellow"/>
        </w:rPr>
        <w:t>hree times daily</w:t>
      </w:r>
    </w:p>
    <w:p w14:paraId="55BAD3C9" w14:textId="15B91F8C" w:rsidR="00375399" w:rsidRPr="00A342B2" w:rsidRDefault="00375399" w:rsidP="00A342B2">
      <w:pPr>
        <w:pStyle w:val="ListParagraph"/>
        <w:numPr>
          <w:ilvl w:val="0"/>
          <w:numId w:val="3"/>
        </w:numPr>
        <w:rPr>
          <w:rFonts w:ascii="Arial" w:hAnsi="Arial" w:cs="Arial"/>
          <w:sz w:val="20"/>
          <w:szCs w:val="20"/>
        </w:rPr>
      </w:pPr>
      <w:r w:rsidRPr="00A342B2">
        <w:rPr>
          <w:rFonts w:ascii="Arial" w:hAnsi="Arial" w:cs="Arial"/>
          <w:sz w:val="20"/>
          <w:szCs w:val="20"/>
        </w:rPr>
        <w:t>IV paracetamol and IV ranitidine</w:t>
      </w:r>
    </w:p>
    <w:p w14:paraId="072174CD" w14:textId="2C688436" w:rsidR="00375399" w:rsidRPr="00A342B2" w:rsidRDefault="00375399" w:rsidP="00A342B2">
      <w:pPr>
        <w:pStyle w:val="ListParagraph"/>
        <w:numPr>
          <w:ilvl w:val="0"/>
          <w:numId w:val="3"/>
        </w:numPr>
        <w:rPr>
          <w:rFonts w:ascii="Arial" w:hAnsi="Arial" w:cs="Arial"/>
          <w:sz w:val="20"/>
          <w:szCs w:val="20"/>
        </w:rPr>
      </w:pPr>
      <w:r w:rsidRPr="00A342B2">
        <w:rPr>
          <w:rFonts w:ascii="Arial" w:hAnsi="Arial" w:cs="Arial"/>
          <w:sz w:val="20"/>
          <w:szCs w:val="20"/>
        </w:rPr>
        <w:t>Saline soak dressings and liquid paraffin for local application</w:t>
      </w:r>
    </w:p>
    <w:p w14:paraId="298A98A4" w14:textId="77777777" w:rsidR="00375399" w:rsidRPr="00A342B2" w:rsidRDefault="00375399" w:rsidP="00A342B2">
      <w:pPr>
        <w:pStyle w:val="ListParagraph"/>
        <w:numPr>
          <w:ilvl w:val="0"/>
          <w:numId w:val="3"/>
        </w:numPr>
        <w:rPr>
          <w:rFonts w:ascii="Arial" w:hAnsi="Arial" w:cs="Arial"/>
          <w:sz w:val="20"/>
          <w:szCs w:val="20"/>
        </w:rPr>
      </w:pPr>
      <w:r w:rsidRPr="00A342B2">
        <w:rPr>
          <w:rFonts w:ascii="Arial" w:hAnsi="Arial" w:cs="Arial"/>
          <w:sz w:val="20"/>
          <w:szCs w:val="20"/>
        </w:rPr>
        <w:t>Oral zinc supplements and B-complex with vitamin C</w:t>
      </w:r>
    </w:p>
    <w:p w14:paraId="42A7B8CE" w14:textId="0D3710E1" w:rsidR="00375399" w:rsidRDefault="00375399" w:rsidP="00375399">
      <w:pPr>
        <w:rPr>
          <w:rFonts w:ascii="Arial" w:hAnsi="Arial" w:cs="Arial"/>
          <w:sz w:val="20"/>
          <w:szCs w:val="20"/>
        </w:rPr>
      </w:pPr>
      <w:r w:rsidRPr="00375399">
        <w:rPr>
          <w:rFonts w:ascii="Arial" w:hAnsi="Arial" w:cs="Arial"/>
          <w:sz w:val="20"/>
          <w:szCs w:val="20"/>
        </w:rPr>
        <w:t>The child showed gradual clinical improvement over 5–7 days and was discharged in stable condition</w:t>
      </w:r>
      <w:r w:rsidR="002502F2">
        <w:rPr>
          <w:rFonts w:ascii="Arial" w:hAnsi="Arial" w:cs="Arial"/>
          <w:sz w:val="20"/>
          <w:szCs w:val="20"/>
        </w:rPr>
        <w:t>.</w:t>
      </w:r>
    </w:p>
    <w:p w14:paraId="59045A71" w14:textId="0EC85B35" w:rsidR="002502F2" w:rsidRDefault="002502F2" w:rsidP="00375399">
      <w:pPr>
        <w:rPr>
          <w:rFonts w:ascii="Arial" w:hAnsi="Arial" w:cs="Arial"/>
          <w:sz w:val="20"/>
          <w:szCs w:val="20"/>
        </w:rPr>
      </w:pPr>
      <w:r w:rsidRPr="002502F2">
        <w:rPr>
          <w:rFonts w:ascii="Arial" w:hAnsi="Arial" w:cs="Arial"/>
          <w:sz w:val="20"/>
          <w:szCs w:val="20"/>
          <w:highlight w:val="yellow"/>
        </w:rPr>
        <w:t>Due to unavailability of photographic documentation, no clinical image could be provided. However, parental consent was obtained in case of future educational use</w:t>
      </w:r>
    </w:p>
    <w:p w14:paraId="2E4B0470" w14:textId="77777777" w:rsidR="006162F7" w:rsidRPr="00352F29" w:rsidRDefault="006162F7" w:rsidP="006162F7">
      <w:pPr>
        <w:rPr>
          <w:rFonts w:ascii="Arial" w:hAnsi="Arial" w:cs="Arial"/>
          <w:sz w:val="22"/>
          <w:szCs w:val="22"/>
        </w:rPr>
      </w:pPr>
      <w:r w:rsidRPr="00352F29">
        <w:rPr>
          <w:rFonts w:ascii="Arial" w:hAnsi="Arial" w:cs="Arial"/>
          <w:b/>
          <w:bCs/>
          <w:sz w:val="22"/>
          <w:szCs w:val="22"/>
        </w:rPr>
        <w:t>3. DISCUSSION</w:t>
      </w:r>
    </w:p>
    <w:p w14:paraId="0FD9C117" w14:textId="3456D3CE" w:rsidR="006162F7" w:rsidRDefault="006162F7" w:rsidP="00352F29">
      <w:pPr>
        <w:rPr>
          <w:rFonts w:ascii="Arial" w:hAnsi="Arial" w:cs="Arial"/>
          <w:sz w:val="20"/>
          <w:szCs w:val="20"/>
        </w:rPr>
      </w:pPr>
      <w:r w:rsidRPr="006162F7">
        <w:rPr>
          <w:rFonts w:ascii="Arial" w:hAnsi="Arial" w:cs="Arial"/>
          <w:sz w:val="20"/>
          <w:szCs w:val="20"/>
        </w:rPr>
        <w:t xml:space="preserve">Staphylococcal Scalded Skin Syndrome (SSSS) is a rare toxin-mediated skin disorder primarily affecting neonates and young children. It is caused by exfoliative toxins A and B produced by </w:t>
      </w:r>
      <w:r w:rsidRPr="0019755D">
        <w:rPr>
          <w:rFonts w:ascii="Arial" w:hAnsi="Arial" w:cs="Arial"/>
          <w:i/>
          <w:iCs/>
          <w:sz w:val="20"/>
          <w:szCs w:val="20"/>
        </w:rPr>
        <w:t>Staphylococcus aureus</w:t>
      </w:r>
      <w:r w:rsidRPr="006162F7">
        <w:rPr>
          <w:rFonts w:ascii="Arial" w:hAnsi="Arial" w:cs="Arial"/>
          <w:sz w:val="20"/>
          <w:szCs w:val="20"/>
        </w:rPr>
        <w:t xml:space="preserve">, which target desmoglein-1, resulting in superficial epidermal splitting at the stratum granulosum </w:t>
      </w:r>
      <w:r w:rsidRPr="00BE7056">
        <w:rPr>
          <w:rFonts w:ascii="Arial" w:hAnsi="Arial" w:cs="Arial"/>
          <w:sz w:val="20"/>
          <w:szCs w:val="20"/>
          <w:vertAlign w:val="superscript"/>
        </w:rPr>
        <w:t>[</w:t>
      </w:r>
      <w:r w:rsidR="00244970" w:rsidRPr="00BE7056">
        <w:rPr>
          <w:rFonts w:ascii="Arial" w:hAnsi="Arial" w:cs="Arial"/>
          <w:sz w:val="20"/>
          <w:szCs w:val="20"/>
          <w:vertAlign w:val="superscript"/>
        </w:rPr>
        <w:t>2,7</w:t>
      </w:r>
      <w:r w:rsidR="007162AC">
        <w:rPr>
          <w:rFonts w:ascii="Arial" w:hAnsi="Arial" w:cs="Arial"/>
          <w:sz w:val="20"/>
          <w:szCs w:val="20"/>
          <w:vertAlign w:val="superscript"/>
        </w:rPr>
        <w:t>,13</w:t>
      </w:r>
      <w:r w:rsidRPr="00BE7056">
        <w:rPr>
          <w:rFonts w:ascii="Arial" w:hAnsi="Arial" w:cs="Arial"/>
          <w:sz w:val="20"/>
          <w:szCs w:val="20"/>
          <w:vertAlign w:val="superscript"/>
        </w:rPr>
        <w:t>]</w:t>
      </w:r>
      <w:r w:rsidRPr="006162F7">
        <w:rPr>
          <w:rFonts w:ascii="Arial" w:hAnsi="Arial" w:cs="Arial"/>
          <w:sz w:val="20"/>
          <w:szCs w:val="20"/>
        </w:rPr>
        <w:t xml:space="preserve">. Stevens–Johnson Syndrome (SJS), on the other hand, is a severe mucocutaneous hypersensitivity reaction, most commonly drug-induced, and involves full-thickness epidermal necrosis along with mucosal membrane involvement </w:t>
      </w:r>
      <w:r w:rsidRPr="00BE7056">
        <w:rPr>
          <w:rFonts w:ascii="Arial" w:hAnsi="Arial" w:cs="Arial"/>
          <w:sz w:val="20"/>
          <w:szCs w:val="20"/>
          <w:vertAlign w:val="superscript"/>
        </w:rPr>
        <w:t>[</w:t>
      </w:r>
      <w:r w:rsidR="00BE7361" w:rsidRPr="00BE7056">
        <w:rPr>
          <w:rFonts w:ascii="Arial" w:hAnsi="Arial" w:cs="Arial"/>
          <w:sz w:val="20"/>
          <w:szCs w:val="20"/>
          <w:vertAlign w:val="superscript"/>
        </w:rPr>
        <w:t>1</w:t>
      </w:r>
      <w:r w:rsidRPr="00BE7056">
        <w:rPr>
          <w:rFonts w:ascii="Arial" w:hAnsi="Arial" w:cs="Arial"/>
          <w:sz w:val="20"/>
          <w:szCs w:val="20"/>
          <w:vertAlign w:val="superscript"/>
        </w:rPr>
        <w:t>,4]</w:t>
      </w:r>
      <w:r w:rsidRPr="006162F7">
        <w:rPr>
          <w:rFonts w:ascii="Arial" w:hAnsi="Arial" w:cs="Arial"/>
          <w:sz w:val="20"/>
          <w:szCs w:val="20"/>
        </w:rPr>
        <w:t>.</w:t>
      </w:r>
    </w:p>
    <w:p w14:paraId="36EDA324" w14:textId="7C74F395" w:rsidR="007162AC" w:rsidRPr="007162AC" w:rsidRDefault="007162AC" w:rsidP="00352F29">
      <w:pPr>
        <w:rPr>
          <w:rFonts w:ascii="Arial" w:hAnsi="Arial" w:cs="Arial"/>
          <w:sz w:val="20"/>
          <w:szCs w:val="20"/>
          <w:vertAlign w:val="superscript"/>
        </w:rPr>
      </w:pPr>
      <w:r w:rsidRPr="007162AC">
        <w:rPr>
          <w:rFonts w:ascii="Arial" w:hAnsi="Arial" w:cs="Arial"/>
          <w:sz w:val="20"/>
          <w:szCs w:val="20"/>
          <w:highlight w:val="yellow"/>
        </w:rPr>
        <w:t>Histopathological examination in SJS typically reveals full-thickness epidermal necrosis, subepidermal blister formation, and sparse dermal inflammation, distinguishing it from SSSS where cleavage occurs within the granular layer without necrosis. The pathogenesis involves cytotoxic T</w:t>
      </w:r>
      <w:r w:rsidRPr="007162AC">
        <w:rPr>
          <w:rFonts w:ascii="Cambria Math" w:hAnsi="Cambria Math" w:cs="Cambria Math"/>
          <w:sz w:val="20"/>
          <w:szCs w:val="20"/>
          <w:highlight w:val="yellow"/>
        </w:rPr>
        <w:t>‑</w:t>
      </w:r>
      <w:r w:rsidRPr="007162AC">
        <w:rPr>
          <w:rFonts w:ascii="Arial" w:hAnsi="Arial" w:cs="Arial"/>
          <w:sz w:val="20"/>
          <w:szCs w:val="20"/>
          <w:highlight w:val="yellow"/>
        </w:rPr>
        <w:t>cell-mediated keratinocyte apoptosis via Fas–</w:t>
      </w:r>
      <w:proofErr w:type="spellStart"/>
      <w:r w:rsidRPr="007162AC">
        <w:rPr>
          <w:rFonts w:ascii="Arial" w:hAnsi="Arial" w:cs="Arial"/>
          <w:sz w:val="20"/>
          <w:szCs w:val="20"/>
          <w:highlight w:val="yellow"/>
        </w:rPr>
        <w:t>FasL</w:t>
      </w:r>
      <w:proofErr w:type="spellEnd"/>
      <w:r w:rsidRPr="007162AC">
        <w:rPr>
          <w:rFonts w:ascii="Arial" w:hAnsi="Arial" w:cs="Arial"/>
          <w:sz w:val="20"/>
          <w:szCs w:val="20"/>
          <w:highlight w:val="yellow"/>
        </w:rPr>
        <w:t xml:space="preserve"> interactions and </w:t>
      </w:r>
      <w:proofErr w:type="spellStart"/>
      <w:r w:rsidRPr="007162AC">
        <w:rPr>
          <w:rFonts w:ascii="Arial" w:hAnsi="Arial" w:cs="Arial"/>
          <w:sz w:val="20"/>
          <w:szCs w:val="20"/>
          <w:highlight w:val="yellow"/>
        </w:rPr>
        <w:t>granulysin</w:t>
      </w:r>
      <w:proofErr w:type="spellEnd"/>
      <w:r w:rsidRPr="007162AC">
        <w:rPr>
          <w:rFonts w:ascii="Arial" w:hAnsi="Arial" w:cs="Arial"/>
          <w:sz w:val="20"/>
          <w:szCs w:val="20"/>
          <w:highlight w:val="yellow"/>
        </w:rPr>
        <w:t xml:space="preserve"> release from activated T cells and NK cells</w:t>
      </w:r>
      <w:r w:rsidRPr="007162AC">
        <w:rPr>
          <w:rFonts w:ascii="Arial" w:hAnsi="Arial" w:cs="Arial"/>
          <w:sz w:val="20"/>
          <w:szCs w:val="20"/>
          <w:vertAlign w:val="superscript"/>
        </w:rPr>
        <w:t>[12]</w:t>
      </w:r>
    </w:p>
    <w:p w14:paraId="0D47F129" w14:textId="2E9E3EFA" w:rsidR="006162F7" w:rsidRDefault="00CF2C81" w:rsidP="00CF2C81">
      <w:pPr>
        <w:rPr>
          <w:rFonts w:ascii="Arial" w:hAnsi="Arial" w:cs="Arial"/>
          <w:sz w:val="20"/>
          <w:szCs w:val="20"/>
        </w:rPr>
      </w:pPr>
      <w:r>
        <w:rPr>
          <w:rFonts w:ascii="Arial" w:hAnsi="Arial" w:cs="Arial"/>
          <w:sz w:val="20"/>
          <w:szCs w:val="20"/>
        </w:rPr>
        <w:t>T</w:t>
      </w:r>
      <w:r w:rsidRPr="00CF2C81">
        <w:rPr>
          <w:rFonts w:ascii="Arial" w:hAnsi="Arial" w:cs="Arial"/>
          <w:sz w:val="20"/>
          <w:szCs w:val="20"/>
        </w:rPr>
        <w:t>hough rare, SJS and SSSS can overlap clinically in early stages, particularly in children.</w:t>
      </w:r>
      <w:r w:rsidR="006162F7" w:rsidRPr="006162F7">
        <w:rPr>
          <w:rFonts w:ascii="Arial" w:hAnsi="Arial" w:cs="Arial"/>
          <w:sz w:val="20"/>
          <w:szCs w:val="20"/>
        </w:rPr>
        <w:t xml:space="preserve"> Both conditions can present with fever, erythema, positive </w:t>
      </w:r>
      <w:proofErr w:type="spellStart"/>
      <w:r w:rsidR="006162F7" w:rsidRPr="006162F7">
        <w:rPr>
          <w:rFonts w:ascii="Arial" w:hAnsi="Arial" w:cs="Arial"/>
          <w:sz w:val="20"/>
          <w:szCs w:val="20"/>
        </w:rPr>
        <w:t>Nikolsky’s</w:t>
      </w:r>
      <w:proofErr w:type="spellEnd"/>
      <w:r w:rsidR="006162F7" w:rsidRPr="006162F7">
        <w:rPr>
          <w:rFonts w:ascii="Arial" w:hAnsi="Arial" w:cs="Arial"/>
          <w:sz w:val="20"/>
          <w:szCs w:val="20"/>
        </w:rPr>
        <w:t xml:space="preserve"> sign, and desquamation, which can make diagnosis challenging </w:t>
      </w:r>
      <w:r w:rsidR="006162F7" w:rsidRPr="00BE7056">
        <w:rPr>
          <w:rFonts w:ascii="Arial" w:hAnsi="Arial" w:cs="Arial"/>
          <w:sz w:val="20"/>
          <w:szCs w:val="20"/>
          <w:vertAlign w:val="superscript"/>
        </w:rPr>
        <w:t>[</w:t>
      </w:r>
      <w:r w:rsidR="00AA02D9" w:rsidRPr="00BE7056">
        <w:rPr>
          <w:rFonts w:ascii="Arial" w:hAnsi="Arial" w:cs="Arial"/>
          <w:sz w:val="20"/>
          <w:szCs w:val="20"/>
          <w:vertAlign w:val="superscript"/>
        </w:rPr>
        <w:t>3</w:t>
      </w:r>
      <w:r w:rsidR="006162F7" w:rsidRPr="00BE7056">
        <w:rPr>
          <w:rFonts w:ascii="Arial" w:hAnsi="Arial" w:cs="Arial"/>
          <w:sz w:val="20"/>
          <w:szCs w:val="20"/>
          <w:vertAlign w:val="superscript"/>
        </w:rPr>
        <w:t>]</w:t>
      </w:r>
      <w:r w:rsidR="006162F7" w:rsidRPr="006162F7">
        <w:rPr>
          <w:rFonts w:ascii="Arial" w:hAnsi="Arial" w:cs="Arial"/>
          <w:sz w:val="20"/>
          <w:szCs w:val="20"/>
        </w:rPr>
        <w:t xml:space="preserve">. A major clinical differentiator is mucosal involvement, which is common in SJS but typically absent in SSSS </w:t>
      </w:r>
      <w:r w:rsidR="006162F7" w:rsidRPr="00BE7056">
        <w:rPr>
          <w:rFonts w:ascii="Arial" w:hAnsi="Arial" w:cs="Arial"/>
          <w:sz w:val="20"/>
          <w:szCs w:val="20"/>
          <w:vertAlign w:val="superscript"/>
        </w:rPr>
        <w:t>[4,</w:t>
      </w:r>
      <w:r w:rsidR="00AA02D9" w:rsidRPr="00BE7056">
        <w:rPr>
          <w:rFonts w:ascii="Arial" w:hAnsi="Arial" w:cs="Arial"/>
          <w:sz w:val="20"/>
          <w:szCs w:val="20"/>
          <w:vertAlign w:val="superscript"/>
        </w:rPr>
        <w:t>5</w:t>
      </w:r>
      <w:r w:rsidR="006162F7" w:rsidRPr="00BE7056">
        <w:rPr>
          <w:rFonts w:ascii="Arial" w:hAnsi="Arial" w:cs="Arial"/>
          <w:sz w:val="20"/>
          <w:szCs w:val="20"/>
          <w:vertAlign w:val="superscript"/>
        </w:rPr>
        <w:t>]</w:t>
      </w:r>
      <w:r w:rsidR="006162F7" w:rsidRPr="006162F7">
        <w:rPr>
          <w:rFonts w:ascii="Arial" w:hAnsi="Arial" w:cs="Arial"/>
          <w:sz w:val="20"/>
          <w:szCs w:val="20"/>
        </w:rPr>
        <w:t>. In our case, the presence of lip mucosal crusting pointed to SJS, possibly triggered by recent amoxicillin use, while the rapid progression of superficial erosions and response to antibiotic therapy supported a diagnosis of SSSS.</w:t>
      </w:r>
    </w:p>
    <w:p w14:paraId="17C5ECB1" w14:textId="6C8D8BBF" w:rsidR="002502F2" w:rsidRPr="006162F7" w:rsidRDefault="002502F2" w:rsidP="00CF2C81">
      <w:pPr>
        <w:rPr>
          <w:rFonts w:ascii="Arial" w:hAnsi="Arial" w:cs="Arial"/>
          <w:sz w:val="20"/>
          <w:szCs w:val="20"/>
        </w:rPr>
      </w:pPr>
      <w:r w:rsidRPr="002502F2">
        <w:rPr>
          <w:rFonts w:ascii="Arial" w:hAnsi="Arial" w:cs="Arial"/>
          <w:sz w:val="20"/>
          <w:szCs w:val="20"/>
          <w:highlight w:val="yellow"/>
        </w:rPr>
        <w:t>The differential diagnosis for exfoliative skin conditions in children includes bullous impetigo, toxic epidermal necrolysis (TEN), erythema multiforme major, and other blistering disorders. TEN, unlike SJS, involves &gt;30% body surface area and more extensive epidermal detachment. Bullous impetigo is more superficial but may mimic early SSSS. Erythema multiforme major is often confused with SJS but typically presents with target lesions and less mucosal involvement. Careful clinical examination and response to therapy helped differentiate these conditions in our case</w:t>
      </w:r>
    </w:p>
    <w:p w14:paraId="1960BD2C" w14:textId="3542FA89" w:rsidR="006162F7" w:rsidRPr="006162F7" w:rsidRDefault="006162F7" w:rsidP="00352F29">
      <w:pPr>
        <w:rPr>
          <w:rFonts w:ascii="Arial" w:hAnsi="Arial" w:cs="Arial"/>
          <w:sz w:val="20"/>
          <w:szCs w:val="20"/>
        </w:rPr>
      </w:pPr>
      <w:r w:rsidRPr="006162F7">
        <w:rPr>
          <w:rFonts w:ascii="Arial" w:hAnsi="Arial" w:cs="Arial"/>
          <w:sz w:val="20"/>
          <w:szCs w:val="20"/>
        </w:rPr>
        <w:t xml:space="preserve">In similar reported pediatric cases, the diagnostic uncertainty was heightened due to overlapping features and lack of confirmatory diagnostics such as skin biopsy or toxin assay, particularly in resource-limited settings </w:t>
      </w:r>
      <w:r w:rsidRPr="00BE7056">
        <w:rPr>
          <w:rFonts w:ascii="Arial" w:hAnsi="Arial" w:cs="Arial"/>
          <w:sz w:val="20"/>
          <w:szCs w:val="20"/>
          <w:vertAlign w:val="superscript"/>
        </w:rPr>
        <w:t>[</w:t>
      </w:r>
      <w:r w:rsidR="00A51F9C" w:rsidRPr="00BE7056">
        <w:rPr>
          <w:rFonts w:ascii="Arial" w:hAnsi="Arial" w:cs="Arial"/>
          <w:sz w:val="20"/>
          <w:szCs w:val="20"/>
          <w:vertAlign w:val="superscript"/>
        </w:rPr>
        <w:t>2</w:t>
      </w:r>
      <w:r w:rsidRPr="00BE7056">
        <w:rPr>
          <w:rFonts w:ascii="Arial" w:hAnsi="Arial" w:cs="Arial"/>
          <w:sz w:val="20"/>
          <w:szCs w:val="20"/>
          <w:vertAlign w:val="superscript"/>
        </w:rPr>
        <w:t>,</w:t>
      </w:r>
      <w:r w:rsidR="00A51F9C" w:rsidRPr="00BE7056">
        <w:rPr>
          <w:rFonts w:ascii="Arial" w:hAnsi="Arial" w:cs="Arial"/>
          <w:sz w:val="20"/>
          <w:szCs w:val="20"/>
          <w:vertAlign w:val="superscript"/>
        </w:rPr>
        <w:t>6</w:t>
      </w:r>
      <w:r w:rsidRPr="00BE7056">
        <w:rPr>
          <w:rFonts w:ascii="Arial" w:hAnsi="Arial" w:cs="Arial"/>
          <w:sz w:val="20"/>
          <w:szCs w:val="20"/>
          <w:vertAlign w:val="superscript"/>
        </w:rPr>
        <w:t>]</w:t>
      </w:r>
      <w:r w:rsidRPr="006162F7">
        <w:rPr>
          <w:rFonts w:ascii="Arial" w:hAnsi="Arial" w:cs="Arial"/>
          <w:sz w:val="20"/>
          <w:szCs w:val="20"/>
        </w:rPr>
        <w:t xml:space="preserve">. Our case was managed empirically with IV cefotaxime, supportive fluids, and wound care, resulting in significant clinical improvement within 5–7 days. This approach is consistent with other published reports of toxin-mediated pediatric dermatoses </w:t>
      </w:r>
      <w:r w:rsidRPr="00BE7056">
        <w:rPr>
          <w:rFonts w:ascii="Arial" w:hAnsi="Arial" w:cs="Arial"/>
          <w:sz w:val="20"/>
          <w:szCs w:val="20"/>
          <w:vertAlign w:val="superscript"/>
        </w:rPr>
        <w:t>[8,9].</w:t>
      </w:r>
    </w:p>
    <w:p w14:paraId="2DFBD3C9" w14:textId="097C8A40" w:rsidR="006162F7" w:rsidRPr="006162F7" w:rsidRDefault="006162F7" w:rsidP="00352F29">
      <w:pPr>
        <w:rPr>
          <w:rFonts w:ascii="Arial" w:hAnsi="Arial" w:cs="Arial"/>
          <w:sz w:val="20"/>
          <w:szCs w:val="20"/>
        </w:rPr>
      </w:pPr>
      <w:r w:rsidRPr="006162F7">
        <w:rPr>
          <w:rFonts w:ascii="Arial" w:hAnsi="Arial" w:cs="Arial"/>
          <w:sz w:val="20"/>
          <w:szCs w:val="20"/>
        </w:rPr>
        <w:lastRenderedPageBreak/>
        <w:t xml:space="preserve">Additionally, a secondary bacterial infection (complicated impetigo) may have exacerbated the skin condition and contributed to the systemic signs. Impetigo caused by S. aureus can serve as a nidus for toxin production, further complicating the clinical picture </w:t>
      </w:r>
      <w:r w:rsidRPr="00BE7056">
        <w:rPr>
          <w:rFonts w:ascii="Arial" w:hAnsi="Arial" w:cs="Arial"/>
          <w:sz w:val="20"/>
          <w:szCs w:val="20"/>
          <w:vertAlign w:val="superscript"/>
        </w:rPr>
        <w:t>[10]</w:t>
      </w:r>
      <w:r w:rsidRPr="006162F7">
        <w:rPr>
          <w:rFonts w:ascii="Arial" w:hAnsi="Arial" w:cs="Arial"/>
          <w:sz w:val="20"/>
          <w:szCs w:val="20"/>
        </w:rPr>
        <w:t>.</w:t>
      </w:r>
    </w:p>
    <w:p w14:paraId="30F88C4E" w14:textId="3DF976AE" w:rsidR="006162F7" w:rsidRDefault="00CF2C81" w:rsidP="00CF2C81">
      <w:pPr>
        <w:rPr>
          <w:rFonts w:ascii="Arial" w:hAnsi="Arial" w:cs="Arial"/>
          <w:sz w:val="20"/>
          <w:szCs w:val="20"/>
        </w:rPr>
      </w:pPr>
      <w:r>
        <w:rPr>
          <w:rFonts w:ascii="Arial" w:hAnsi="Arial" w:cs="Arial"/>
          <w:sz w:val="20"/>
          <w:szCs w:val="20"/>
        </w:rPr>
        <w:t>T</w:t>
      </w:r>
      <w:r w:rsidRPr="00CF2C81">
        <w:rPr>
          <w:rFonts w:ascii="Arial" w:hAnsi="Arial" w:cs="Arial"/>
          <w:sz w:val="20"/>
          <w:szCs w:val="20"/>
        </w:rPr>
        <w:t>his case highlights the need for clinical suspicion when mucosal and skin symptoms occur together.</w:t>
      </w:r>
      <w:r w:rsidR="006162F7" w:rsidRPr="006162F7">
        <w:rPr>
          <w:rFonts w:ascii="Arial" w:hAnsi="Arial" w:cs="Arial"/>
          <w:sz w:val="20"/>
          <w:szCs w:val="20"/>
        </w:rPr>
        <w:t xml:space="preserve"> Early diagnosis and timely intervention with antibiotics and supportive care can prevent complications and reduce morbidity.</w:t>
      </w:r>
    </w:p>
    <w:p w14:paraId="25D98CEB" w14:textId="77777777" w:rsidR="00C833AF" w:rsidRDefault="00C833AF" w:rsidP="006162F7">
      <w:pPr>
        <w:rPr>
          <w:rFonts w:ascii="Arial" w:hAnsi="Arial" w:cs="Arial"/>
          <w:sz w:val="20"/>
          <w:szCs w:val="20"/>
        </w:rPr>
      </w:pPr>
    </w:p>
    <w:p w14:paraId="1224FB15" w14:textId="77777777" w:rsidR="001F606D" w:rsidRDefault="001F606D" w:rsidP="00C833AF">
      <w:pPr>
        <w:rPr>
          <w:rFonts w:ascii="Arial" w:hAnsi="Arial" w:cs="Arial"/>
          <w:b/>
          <w:bCs/>
          <w:sz w:val="22"/>
          <w:szCs w:val="22"/>
        </w:rPr>
      </w:pPr>
    </w:p>
    <w:p w14:paraId="1E85A146" w14:textId="77777777" w:rsidR="001F606D" w:rsidRDefault="001F606D" w:rsidP="00C833AF">
      <w:pPr>
        <w:rPr>
          <w:rFonts w:ascii="Arial" w:hAnsi="Arial" w:cs="Arial"/>
          <w:b/>
          <w:bCs/>
          <w:sz w:val="22"/>
          <w:szCs w:val="22"/>
        </w:rPr>
      </w:pPr>
    </w:p>
    <w:p w14:paraId="4604A487" w14:textId="2FC11D16" w:rsidR="00C833AF" w:rsidRPr="00C833AF" w:rsidRDefault="00C833AF" w:rsidP="00C833AF">
      <w:pPr>
        <w:rPr>
          <w:rFonts w:ascii="Arial" w:hAnsi="Arial" w:cs="Arial"/>
          <w:b/>
          <w:bCs/>
          <w:sz w:val="22"/>
          <w:szCs w:val="22"/>
        </w:rPr>
      </w:pPr>
      <w:r w:rsidRPr="00C833AF">
        <w:rPr>
          <w:rFonts w:ascii="Arial" w:hAnsi="Arial" w:cs="Arial"/>
          <w:b/>
          <w:bCs/>
          <w:sz w:val="22"/>
          <w:szCs w:val="22"/>
        </w:rPr>
        <w:t>4. CONCLUSION</w:t>
      </w:r>
    </w:p>
    <w:p w14:paraId="3B28A330" w14:textId="24AE6511" w:rsidR="00C833AF" w:rsidRDefault="00C833AF" w:rsidP="00C833AF">
      <w:pPr>
        <w:rPr>
          <w:rFonts w:ascii="Arial" w:hAnsi="Arial" w:cs="Arial"/>
          <w:sz w:val="20"/>
          <w:szCs w:val="20"/>
        </w:rPr>
      </w:pPr>
      <w:r w:rsidRPr="00C833AF">
        <w:rPr>
          <w:rFonts w:ascii="Arial" w:hAnsi="Arial" w:cs="Arial"/>
          <w:sz w:val="20"/>
          <w:szCs w:val="20"/>
        </w:rPr>
        <w:t xml:space="preserve">Overlap syndromes involving Stevens–Johnson Syndrome and Staphylococcal Scalded Skin Syndrome are exceptionally rare in pediatric populations and pose significant diagnostic challenges. This case reinforces the importance of clinical judgment in the absence of confirmatory diagnostics and highlights the effectiveness of early empirical therapy in ensuring favorable outcomes. </w:t>
      </w:r>
      <w:r w:rsidR="00CF2C81" w:rsidRPr="00CF2C81">
        <w:rPr>
          <w:rFonts w:ascii="Arial" w:hAnsi="Arial" w:cs="Arial"/>
          <w:sz w:val="20"/>
          <w:szCs w:val="20"/>
        </w:rPr>
        <w:t>Clinicians must recognize overlap cases early and start prompt supportive and targeted treatment to avoid complications.</w:t>
      </w:r>
    </w:p>
    <w:p w14:paraId="24CE07BE" w14:textId="77777777" w:rsidR="00760492" w:rsidRDefault="00760492" w:rsidP="00C833AF">
      <w:pPr>
        <w:rPr>
          <w:rFonts w:ascii="Arial" w:hAnsi="Arial" w:cs="Arial"/>
          <w:sz w:val="20"/>
          <w:szCs w:val="20"/>
        </w:rPr>
      </w:pPr>
    </w:p>
    <w:p w14:paraId="11034D90" w14:textId="37F83AC9" w:rsidR="00D45323" w:rsidRPr="00B913A3" w:rsidRDefault="00D45323" w:rsidP="00D45323">
      <w:pPr>
        <w:rPr>
          <w:rFonts w:ascii="Arial" w:hAnsi="Arial" w:cs="Arial"/>
          <w:b/>
          <w:bCs/>
          <w:sz w:val="22"/>
          <w:szCs w:val="22"/>
        </w:rPr>
      </w:pPr>
      <w:r w:rsidRPr="00B913A3">
        <w:rPr>
          <w:rFonts w:ascii="Arial" w:hAnsi="Arial" w:cs="Arial"/>
          <w:b/>
          <w:bCs/>
          <w:sz w:val="22"/>
          <w:szCs w:val="22"/>
        </w:rPr>
        <w:t>8. C</w:t>
      </w:r>
      <w:r w:rsidR="006174AA">
        <w:rPr>
          <w:rFonts w:ascii="Arial" w:hAnsi="Arial" w:cs="Arial"/>
          <w:b/>
          <w:bCs/>
          <w:sz w:val="22"/>
          <w:szCs w:val="22"/>
        </w:rPr>
        <w:t>ONSENT</w:t>
      </w:r>
    </w:p>
    <w:p w14:paraId="46C35757" w14:textId="77777777" w:rsidR="00D45323" w:rsidRPr="00D45323" w:rsidRDefault="00D45323" w:rsidP="00D45323">
      <w:pPr>
        <w:rPr>
          <w:rFonts w:ascii="Arial" w:hAnsi="Arial" w:cs="Arial"/>
          <w:sz w:val="20"/>
          <w:szCs w:val="20"/>
        </w:rPr>
      </w:pPr>
      <w:r w:rsidRPr="00D45323">
        <w:rPr>
          <w:rFonts w:ascii="Arial" w:hAnsi="Arial" w:cs="Arial"/>
          <w:sz w:val="20"/>
          <w:szCs w:val="20"/>
        </w:rPr>
        <w:t>Written informed consent was obtained from the child’s legal guardian for publication of this case report and any accompanying clinical information.</w:t>
      </w:r>
    </w:p>
    <w:p w14:paraId="4EFA9021" w14:textId="77777777" w:rsidR="00D45323" w:rsidRPr="00D45323" w:rsidRDefault="00D45323" w:rsidP="00D45323">
      <w:pPr>
        <w:rPr>
          <w:rFonts w:ascii="Arial" w:hAnsi="Arial" w:cs="Arial"/>
          <w:sz w:val="20"/>
          <w:szCs w:val="20"/>
        </w:rPr>
      </w:pPr>
    </w:p>
    <w:p w14:paraId="7D780E90" w14:textId="16A1ED8F" w:rsidR="00D45323" w:rsidRPr="006174AA" w:rsidRDefault="00D45323" w:rsidP="00D45323">
      <w:pPr>
        <w:rPr>
          <w:rFonts w:ascii="Arial" w:hAnsi="Arial" w:cs="Arial"/>
          <w:sz w:val="20"/>
          <w:szCs w:val="20"/>
        </w:rPr>
      </w:pPr>
      <w:r w:rsidRPr="00B913A3">
        <w:rPr>
          <w:rFonts w:ascii="Arial" w:hAnsi="Arial" w:cs="Arial"/>
          <w:b/>
          <w:bCs/>
          <w:sz w:val="22"/>
          <w:szCs w:val="22"/>
        </w:rPr>
        <w:t>9. E</w:t>
      </w:r>
      <w:r w:rsidR="006174AA">
        <w:rPr>
          <w:rFonts w:ascii="Arial" w:hAnsi="Arial" w:cs="Arial"/>
          <w:b/>
          <w:bCs/>
          <w:sz w:val="22"/>
          <w:szCs w:val="22"/>
        </w:rPr>
        <w:t>THICAL APPROVAL</w:t>
      </w:r>
    </w:p>
    <w:p w14:paraId="01D39C95" w14:textId="77777777" w:rsidR="00D45323" w:rsidRDefault="00D45323" w:rsidP="00D45323">
      <w:pPr>
        <w:rPr>
          <w:rFonts w:ascii="Arial" w:hAnsi="Arial" w:cs="Arial"/>
          <w:sz w:val="20"/>
          <w:szCs w:val="20"/>
        </w:rPr>
      </w:pPr>
      <w:r w:rsidRPr="00D45323">
        <w:rPr>
          <w:rFonts w:ascii="Arial" w:hAnsi="Arial" w:cs="Arial"/>
          <w:sz w:val="20"/>
          <w:szCs w:val="20"/>
        </w:rPr>
        <w:t>This case report is exempt from institutional ethical review as per the policy for anonymized single-patient case reports at our institution.</w:t>
      </w:r>
    </w:p>
    <w:p w14:paraId="52C814C3" w14:textId="77777777" w:rsidR="009F27BE" w:rsidRDefault="009F27BE" w:rsidP="009F27BE">
      <w:r>
        <w:t>Disclaimer (Artificial intelligence)</w:t>
      </w:r>
    </w:p>
    <w:p w14:paraId="60D15DF2" w14:textId="77777777" w:rsidR="009F27BE" w:rsidRDefault="009F27BE" w:rsidP="009F27BE">
      <w:r>
        <w:t xml:space="preserve">Option 1: </w:t>
      </w:r>
    </w:p>
    <w:p w14:paraId="5B0DF656" w14:textId="77777777" w:rsidR="009F27BE" w:rsidRDefault="009F27BE" w:rsidP="009F27BE">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41B030E3" w14:textId="77777777" w:rsidR="009F27BE" w:rsidRDefault="009F27BE" w:rsidP="009F27BE">
      <w:r>
        <w:t xml:space="preserve">Option 2: </w:t>
      </w:r>
    </w:p>
    <w:p w14:paraId="1F5040AB" w14:textId="77777777" w:rsidR="009F27BE" w:rsidRDefault="009F27BE" w:rsidP="009F27BE">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4CDAF8B" w14:textId="77777777" w:rsidR="009F27BE" w:rsidRDefault="009F27BE" w:rsidP="009F27BE">
      <w:r>
        <w:t>Details of the AI usage are given below:</w:t>
      </w:r>
    </w:p>
    <w:p w14:paraId="41D45604" w14:textId="77777777" w:rsidR="009F27BE" w:rsidRDefault="009F27BE" w:rsidP="009F27BE">
      <w:r>
        <w:lastRenderedPageBreak/>
        <w:t>1.</w:t>
      </w:r>
    </w:p>
    <w:p w14:paraId="09F4AE39" w14:textId="77777777" w:rsidR="009F27BE" w:rsidRDefault="009F27BE" w:rsidP="009F27BE">
      <w:r>
        <w:t>2.</w:t>
      </w:r>
    </w:p>
    <w:p w14:paraId="0ACC8139" w14:textId="77777777" w:rsidR="009F27BE" w:rsidRPr="00D047BB" w:rsidRDefault="009F27BE" w:rsidP="009F27BE">
      <w:r>
        <w:t>3.</w:t>
      </w:r>
    </w:p>
    <w:p w14:paraId="62862A3E" w14:textId="77777777" w:rsidR="009F27BE" w:rsidRPr="0063354D" w:rsidRDefault="009F27BE" w:rsidP="009F27BE"/>
    <w:p w14:paraId="633E3F8D" w14:textId="77777777" w:rsidR="008F46E7" w:rsidRDefault="008F46E7" w:rsidP="00D45323">
      <w:pPr>
        <w:rPr>
          <w:rFonts w:ascii="Arial" w:hAnsi="Arial" w:cs="Arial"/>
          <w:sz w:val="20"/>
          <w:szCs w:val="20"/>
        </w:rPr>
      </w:pPr>
    </w:p>
    <w:p w14:paraId="65E31CC3" w14:textId="2BC0561C" w:rsidR="008F46E7" w:rsidRPr="008F46E7" w:rsidRDefault="008F46E7" w:rsidP="00D45323">
      <w:pPr>
        <w:rPr>
          <w:rFonts w:ascii="Arial" w:hAnsi="Arial" w:cs="Arial"/>
          <w:b/>
          <w:bCs/>
          <w:sz w:val="22"/>
          <w:szCs w:val="22"/>
        </w:rPr>
      </w:pPr>
      <w:r w:rsidRPr="008F46E7">
        <w:rPr>
          <w:rFonts w:ascii="Arial" w:hAnsi="Arial" w:cs="Arial"/>
          <w:b/>
          <w:bCs/>
          <w:sz w:val="22"/>
          <w:szCs w:val="22"/>
        </w:rPr>
        <w:t>10.REFERENCES</w:t>
      </w:r>
    </w:p>
    <w:p w14:paraId="336340F0" w14:textId="55AEE92B" w:rsidR="008F46E7" w:rsidRPr="008F46E7" w:rsidRDefault="006174AA" w:rsidP="006174AA">
      <w:pPr>
        <w:rPr>
          <w:rFonts w:ascii="Arial" w:hAnsi="Arial" w:cs="Arial"/>
          <w:sz w:val="20"/>
          <w:szCs w:val="20"/>
        </w:rPr>
      </w:pPr>
      <w:r>
        <w:rPr>
          <w:rFonts w:ascii="Arial" w:hAnsi="Arial" w:cs="Arial"/>
          <w:sz w:val="20"/>
          <w:szCs w:val="20"/>
        </w:rPr>
        <w:t xml:space="preserve">1. </w:t>
      </w:r>
      <w:proofErr w:type="spellStart"/>
      <w:r w:rsidR="008F46E7" w:rsidRPr="008F46E7">
        <w:rPr>
          <w:rFonts w:ascii="Arial" w:hAnsi="Arial" w:cs="Arial"/>
          <w:sz w:val="20"/>
          <w:szCs w:val="20"/>
        </w:rPr>
        <w:t>Ramien</w:t>
      </w:r>
      <w:proofErr w:type="spellEnd"/>
      <w:r w:rsidR="008F46E7" w:rsidRPr="008F46E7">
        <w:rPr>
          <w:rFonts w:ascii="Arial" w:hAnsi="Arial" w:cs="Arial"/>
          <w:sz w:val="20"/>
          <w:szCs w:val="20"/>
        </w:rPr>
        <w:t xml:space="preserve"> M, Goldman JL. Pediatric SJS–TEN: where are we now? F1000Research. 2020;9:982. doi:10.12688/f1000research.26900.1</w:t>
      </w:r>
    </w:p>
    <w:p w14:paraId="19D7ACE6" w14:textId="4347AAB6" w:rsidR="008F46E7" w:rsidRPr="008F46E7" w:rsidRDefault="006174AA" w:rsidP="006174AA">
      <w:pPr>
        <w:rPr>
          <w:rFonts w:ascii="Arial" w:hAnsi="Arial" w:cs="Arial"/>
          <w:sz w:val="20"/>
          <w:szCs w:val="20"/>
        </w:rPr>
      </w:pPr>
      <w:r>
        <w:rPr>
          <w:rFonts w:ascii="Arial" w:hAnsi="Arial" w:cs="Arial"/>
          <w:sz w:val="20"/>
          <w:szCs w:val="20"/>
        </w:rPr>
        <w:t xml:space="preserve">2. </w:t>
      </w:r>
      <w:proofErr w:type="spellStart"/>
      <w:r w:rsidR="008F46E7" w:rsidRPr="008F46E7">
        <w:rPr>
          <w:rFonts w:ascii="Arial" w:hAnsi="Arial" w:cs="Arial"/>
          <w:sz w:val="20"/>
          <w:szCs w:val="20"/>
        </w:rPr>
        <w:t>Nusman</w:t>
      </w:r>
      <w:proofErr w:type="spellEnd"/>
      <w:r w:rsidR="008F46E7" w:rsidRPr="008F46E7">
        <w:rPr>
          <w:rFonts w:ascii="Arial" w:hAnsi="Arial" w:cs="Arial"/>
          <w:sz w:val="20"/>
          <w:szCs w:val="20"/>
        </w:rPr>
        <w:t xml:space="preserve"> CM, </w:t>
      </w:r>
      <w:proofErr w:type="spellStart"/>
      <w:r w:rsidR="008F46E7" w:rsidRPr="008F46E7">
        <w:rPr>
          <w:rFonts w:ascii="Arial" w:hAnsi="Arial" w:cs="Arial"/>
          <w:sz w:val="20"/>
          <w:szCs w:val="20"/>
        </w:rPr>
        <w:t>Blokhuis</w:t>
      </w:r>
      <w:proofErr w:type="spellEnd"/>
      <w:r w:rsidR="008F46E7" w:rsidRPr="008F46E7">
        <w:rPr>
          <w:rFonts w:ascii="Arial" w:hAnsi="Arial" w:cs="Arial"/>
          <w:sz w:val="20"/>
          <w:szCs w:val="20"/>
        </w:rPr>
        <w:t xml:space="preserve"> C, </w:t>
      </w:r>
      <w:proofErr w:type="spellStart"/>
      <w:r w:rsidR="008F46E7" w:rsidRPr="008F46E7">
        <w:rPr>
          <w:rFonts w:ascii="Arial" w:hAnsi="Arial" w:cs="Arial"/>
          <w:sz w:val="20"/>
          <w:szCs w:val="20"/>
        </w:rPr>
        <w:t>Pajkrt</w:t>
      </w:r>
      <w:proofErr w:type="spellEnd"/>
      <w:r w:rsidR="008F46E7" w:rsidRPr="008F46E7">
        <w:rPr>
          <w:rFonts w:ascii="Arial" w:hAnsi="Arial" w:cs="Arial"/>
          <w:sz w:val="20"/>
          <w:szCs w:val="20"/>
        </w:rPr>
        <w:t xml:space="preserve"> D, </w:t>
      </w:r>
      <w:proofErr w:type="spellStart"/>
      <w:r w:rsidR="008F46E7" w:rsidRPr="008F46E7">
        <w:rPr>
          <w:rFonts w:ascii="Arial" w:hAnsi="Arial" w:cs="Arial"/>
          <w:sz w:val="20"/>
          <w:szCs w:val="20"/>
        </w:rPr>
        <w:t>Visser</w:t>
      </w:r>
      <w:proofErr w:type="spellEnd"/>
      <w:r w:rsidR="008F46E7" w:rsidRPr="008F46E7">
        <w:rPr>
          <w:rFonts w:ascii="Arial" w:hAnsi="Arial" w:cs="Arial"/>
          <w:sz w:val="20"/>
          <w:szCs w:val="20"/>
        </w:rPr>
        <w:t xml:space="preserve"> DH. Staphylococcal scalded skin syndrome in neonates: case series and overview of outbreaks. Antibiotics (Basel). 2023;12(1):38. doi:10.3390/antibiotics12010038</w:t>
      </w:r>
    </w:p>
    <w:p w14:paraId="561B0D1A" w14:textId="4322E185" w:rsidR="008F46E7" w:rsidRPr="008F46E7" w:rsidRDefault="006174AA" w:rsidP="006174AA">
      <w:pPr>
        <w:rPr>
          <w:rFonts w:ascii="Arial" w:hAnsi="Arial" w:cs="Arial"/>
          <w:sz w:val="20"/>
          <w:szCs w:val="20"/>
        </w:rPr>
      </w:pPr>
      <w:r>
        <w:rPr>
          <w:rFonts w:ascii="Arial" w:hAnsi="Arial" w:cs="Arial"/>
          <w:sz w:val="20"/>
          <w:szCs w:val="20"/>
        </w:rPr>
        <w:t xml:space="preserve">3. </w:t>
      </w:r>
      <w:r w:rsidR="008F46E7" w:rsidRPr="008F46E7">
        <w:rPr>
          <w:rFonts w:ascii="Arial" w:hAnsi="Arial" w:cs="Arial"/>
          <w:sz w:val="20"/>
          <w:szCs w:val="20"/>
        </w:rPr>
        <w:t>Coleman I, Ruiz G, Brahmbhatt S, et al. AGEP and Stevens–Johnson syndrome overlap due to hydroxychloroquine: a case report. J Med Case Rep. 2020;14:210. doi:10.1186/s13256-020-02504-8</w:t>
      </w:r>
    </w:p>
    <w:p w14:paraId="36C18A24" w14:textId="20330BFB" w:rsidR="008F46E7" w:rsidRPr="008F46E7" w:rsidRDefault="006174AA" w:rsidP="006174AA">
      <w:pPr>
        <w:rPr>
          <w:rFonts w:ascii="Arial" w:hAnsi="Arial" w:cs="Arial"/>
          <w:sz w:val="20"/>
          <w:szCs w:val="20"/>
        </w:rPr>
      </w:pPr>
      <w:r>
        <w:rPr>
          <w:rFonts w:ascii="Arial" w:hAnsi="Arial" w:cs="Arial"/>
          <w:sz w:val="20"/>
          <w:szCs w:val="20"/>
        </w:rPr>
        <w:t xml:space="preserve">4. </w:t>
      </w:r>
      <w:proofErr w:type="spellStart"/>
      <w:r w:rsidR="008F46E7" w:rsidRPr="008F46E7">
        <w:rPr>
          <w:rFonts w:ascii="Arial" w:hAnsi="Arial" w:cs="Arial"/>
          <w:sz w:val="20"/>
          <w:szCs w:val="20"/>
        </w:rPr>
        <w:t>Shetty</w:t>
      </w:r>
      <w:proofErr w:type="spellEnd"/>
      <w:r w:rsidR="008F46E7" w:rsidRPr="008F46E7">
        <w:rPr>
          <w:rFonts w:ascii="Arial" w:hAnsi="Arial" w:cs="Arial"/>
          <w:sz w:val="20"/>
          <w:szCs w:val="20"/>
        </w:rPr>
        <w:t xml:space="preserve"> SR, </w:t>
      </w:r>
      <w:proofErr w:type="spellStart"/>
      <w:r w:rsidR="008F46E7" w:rsidRPr="008F46E7">
        <w:rPr>
          <w:rFonts w:ascii="Arial" w:hAnsi="Arial" w:cs="Arial"/>
          <w:sz w:val="20"/>
          <w:szCs w:val="20"/>
        </w:rPr>
        <w:t>Chatra</w:t>
      </w:r>
      <w:proofErr w:type="spellEnd"/>
      <w:r w:rsidR="008F46E7" w:rsidRPr="008F46E7">
        <w:rPr>
          <w:rFonts w:ascii="Arial" w:hAnsi="Arial" w:cs="Arial"/>
          <w:sz w:val="20"/>
          <w:szCs w:val="20"/>
        </w:rPr>
        <w:t xml:space="preserve"> L, </w:t>
      </w:r>
      <w:proofErr w:type="spellStart"/>
      <w:r w:rsidR="008F46E7" w:rsidRPr="008F46E7">
        <w:rPr>
          <w:rFonts w:ascii="Arial" w:hAnsi="Arial" w:cs="Arial"/>
          <w:sz w:val="20"/>
          <w:szCs w:val="20"/>
        </w:rPr>
        <w:t>Shenai</w:t>
      </w:r>
      <w:proofErr w:type="spellEnd"/>
      <w:r w:rsidR="008F46E7" w:rsidRPr="008F46E7">
        <w:rPr>
          <w:rFonts w:ascii="Arial" w:hAnsi="Arial" w:cs="Arial"/>
          <w:sz w:val="20"/>
          <w:szCs w:val="20"/>
        </w:rPr>
        <w:t xml:space="preserve"> P, Rao PK. Stevens–Johnson syndrome: a case report. J Oral Sci. 2010;52(2):343–6. doi:10.2334/josnusd.52.343</w:t>
      </w:r>
    </w:p>
    <w:p w14:paraId="78E536B1" w14:textId="25EAD553" w:rsidR="008F46E7" w:rsidRPr="008F46E7" w:rsidRDefault="006174AA" w:rsidP="007A7F01">
      <w:pPr>
        <w:rPr>
          <w:rFonts w:ascii="Arial" w:hAnsi="Arial" w:cs="Arial"/>
          <w:sz w:val="20"/>
          <w:szCs w:val="20"/>
        </w:rPr>
      </w:pPr>
      <w:r>
        <w:rPr>
          <w:rFonts w:ascii="Arial" w:hAnsi="Arial" w:cs="Arial"/>
          <w:sz w:val="20"/>
          <w:szCs w:val="20"/>
        </w:rPr>
        <w:t xml:space="preserve">5. </w:t>
      </w:r>
      <w:proofErr w:type="spellStart"/>
      <w:r w:rsidR="008F46E7" w:rsidRPr="008F46E7">
        <w:rPr>
          <w:rFonts w:ascii="Arial" w:hAnsi="Arial" w:cs="Arial"/>
          <w:sz w:val="20"/>
          <w:szCs w:val="20"/>
        </w:rPr>
        <w:t>Hassnoot</w:t>
      </w:r>
      <w:proofErr w:type="spellEnd"/>
      <w:r w:rsidR="008F46E7" w:rsidRPr="008F46E7">
        <w:rPr>
          <w:rFonts w:ascii="Arial" w:hAnsi="Arial" w:cs="Arial"/>
          <w:sz w:val="20"/>
          <w:szCs w:val="20"/>
        </w:rPr>
        <w:t xml:space="preserve"> PJ, De </w:t>
      </w:r>
      <w:proofErr w:type="spellStart"/>
      <w:r w:rsidR="008F46E7" w:rsidRPr="008F46E7">
        <w:rPr>
          <w:rFonts w:ascii="Arial" w:hAnsi="Arial" w:cs="Arial"/>
          <w:sz w:val="20"/>
          <w:szCs w:val="20"/>
        </w:rPr>
        <w:t>Vries</w:t>
      </w:r>
      <w:proofErr w:type="spellEnd"/>
      <w:r w:rsidR="008F46E7" w:rsidRPr="008F46E7">
        <w:rPr>
          <w:rFonts w:ascii="Arial" w:hAnsi="Arial" w:cs="Arial"/>
          <w:sz w:val="20"/>
          <w:szCs w:val="20"/>
        </w:rPr>
        <w:t xml:space="preserve"> A. Staphylococcal scalded skin syndrome in a 4-year-old child: a case report. J Med Case Rep. 2018;12:20. doi:10.1186/s13256-017-1533-7</w:t>
      </w:r>
    </w:p>
    <w:p w14:paraId="0C7020FC" w14:textId="3E49639B" w:rsidR="008F46E7" w:rsidRDefault="006174AA" w:rsidP="008F46E7">
      <w:pPr>
        <w:rPr>
          <w:rFonts w:ascii="Arial" w:hAnsi="Arial" w:cs="Arial"/>
          <w:sz w:val="20"/>
          <w:szCs w:val="20"/>
        </w:rPr>
      </w:pPr>
      <w:r>
        <w:rPr>
          <w:rFonts w:ascii="Arial" w:hAnsi="Arial" w:cs="Arial"/>
          <w:sz w:val="20"/>
          <w:szCs w:val="20"/>
        </w:rPr>
        <w:t xml:space="preserve">6. </w:t>
      </w:r>
      <w:r w:rsidR="008F46E7" w:rsidRPr="008F46E7">
        <w:rPr>
          <w:rFonts w:ascii="Arial" w:hAnsi="Arial" w:cs="Arial"/>
          <w:sz w:val="20"/>
          <w:szCs w:val="20"/>
        </w:rPr>
        <w:t>Meshram GG, Kaur N, Hura KS. Staphylococcal scalded skin syndrome: a pediatric dermatology case report. SAGE Open Med Case Rep. 2018;6:2050313X17750890. doi:10.1177/2050313X17750890</w:t>
      </w:r>
    </w:p>
    <w:p w14:paraId="38403CB6" w14:textId="317FD312" w:rsidR="0017089E" w:rsidRPr="007162AC" w:rsidRDefault="0017089E" w:rsidP="007162AC">
      <w:pPr>
        <w:rPr>
          <w:rFonts w:asciiTheme="minorBidi" w:hAnsiTheme="minorBidi"/>
          <w:sz w:val="20"/>
          <w:szCs w:val="20"/>
        </w:rPr>
      </w:pPr>
      <w:r>
        <w:rPr>
          <w:rFonts w:ascii="Arial" w:hAnsi="Arial" w:cs="Arial"/>
          <w:sz w:val="20"/>
          <w:szCs w:val="20"/>
        </w:rPr>
        <w:t>7</w:t>
      </w:r>
      <w:r w:rsidRPr="007162AC">
        <w:rPr>
          <w:rFonts w:asciiTheme="minorBidi" w:hAnsiTheme="minorBidi"/>
          <w:sz w:val="20"/>
          <w:szCs w:val="20"/>
        </w:rPr>
        <w:t>.</w:t>
      </w:r>
      <w:r w:rsidR="00244970" w:rsidRPr="007162AC">
        <w:rPr>
          <w:rFonts w:asciiTheme="minorBidi" w:hAnsiTheme="minorBidi"/>
          <w:sz w:val="20"/>
          <w:szCs w:val="20"/>
        </w:rPr>
        <w:t xml:space="preserve"> </w:t>
      </w:r>
      <w:r w:rsidR="007162AC" w:rsidRPr="007162AC">
        <w:rPr>
          <w:rFonts w:asciiTheme="minorBidi" w:hAnsiTheme="minorBidi"/>
          <w:sz w:val="20"/>
          <w:szCs w:val="20"/>
          <w:highlight w:val="yellow"/>
        </w:rPr>
        <w:t xml:space="preserve">Handler MZ, Schwartz </w:t>
      </w:r>
      <w:proofErr w:type="spellStart"/>
      <w:r w:rsidR="007162AC" w:rsidRPr="007162AC">
        <w:rPr>
          <w:rFonts w:asciiTheme="minorBidi" w:hAnsiTheme="minorBidi"/>
          <w:sz w:val="20"/>
          <w:szCs w:val="20"/>
          <w:highlight w:val="yellow"/>
        </w:rPr>
        <w:t>RA.Staphylococcal</w:t>
      </w:r>
      <w:proofErr w:type="spellEnd"/>
      <w:r w:rsidR="007162AC" w:rsidRPr="007162AC">
        <w:rPr>
          <w:rFonts w:asciiTheme="minorBidi" w:hAnsiTheme="minorBidi"/>
          <w:sz w:val="20"/>
          <w:szCs w:val="20"/>
          <w:highlight w:val="yellow"/>
        </w:rPr>
        <w:t xml:space="preserve"> scalded skin syndrome: diagnosis and management in children and </w:t>
      </w:r>
      <w:proofErr w:type="spellStart"/>
      <w:r w:rsidR="007162AC" w:rsidRPr="007162AC">
        <w:rPr>
          <w:rFonts w:asciiTheme="minorBidi" w:hAnsiTheme="minorBidi"/>
          <w:sz w:val="20"/>
          <w:szCs w:val="20"/>
          <w:highlight w:val="yellow"/>
        </w:rPr>
        <w:t>adults.J</w:t>
      </w:r>
      <w:proofErr w:type="spellEnd"/>
      <w:r w:rsidR="007162AC" w:rsidRPr="007162AC">
        <w:rPr>
          <w:rFonts w:asciiTheme="minorBidi" w:hAnsiTheme="minorBidi"/>
          <w:sz w:val="20"/>
          <w:szCs w:val="20"/>
          <w:highlight w:val="yellow"/>
        </w:rPr>
        <w:t xml:space="preserve"> </w:t>
      </w:r>
      <w:proofErr w:type="spellStart"/>
      <w:r w:rsidR="007162AC" w:rsidRPr="007162AC">
        <w:rPr>
          <w:rFonts w:asciiTheme="minorBidi" w:hAnsiTheme="minorBidi"/>
          <w:sz w:val="20"/>
          <w:szCs w:val="20"/>
          <w:highlight w:val="yellow"/>
        </w:rPr>
        <w:t>Eur</w:t>
      </w:r>
      <w:proofErr w:type="spellEnd"/>
      <w:r w:rsidR="007162AC" w:rsidRPr="007162AC">
        <w:rPr>
          <w:rFonts w:asciiTheme="minorBidi" w:hAnsiTheme="minorBidi"/>
          <w:sz w:val="20"/>
          <w:szCs w:val="20"/>
          <w:highlight w:val="yellow"/>
        </w:rPr>
        <w:t xml:space="preserve"> </w:t>
      </w:r>
      <w:proofErr w:type="spellStart"/>
      <w:r w:rsidR="007162AC" w:rsidRPr="007162AC">
        <w:rPr>
          <w:rFonts w:asciiTheme="minorBidi" w:hAnsiTheme="minorBidi"/>
          <w:sz w:val="20"/>
          <w:szCs w:val="20"/>
          <w:highlight w:val="yellow"/>
        </w:rPr>
        <w:t>Acad</w:t>
      </w:r>
      <w:proofErr w:type="spellEnd"/>
      <w:r w:rsidR="007162AC" w:rsidRPr="007162AC">
        <w:rPr>
          <w:rFonts w:asciiTheme="minorBidi" w:hAnsiTheme="minorBidi"/>
          <w:sz w:val="20"/>
          <w:szCs w:val="20"/>
          <w:highlight w:val="yellow"/>
        </w:rPr>
        <w:t xml:space="preserve"> </w:t>
      </w:r>
      <w:proofErr w:type="spellStart"/>
      <w:r w:rsidR="007162AC" w:rsidRPr="007162AC">
        <w:rPr>
          <w:rFonts w:asciiTheme="minorBidi" w:hAnsiTheme="minorBidi"/>
          <w:sz w:val="20"/>
          <w:szCs w:val="20"/>
          <w:highlight w:val="yellow"/>
        </w:rPr>
        <w:t>Dermatol</w:t>
      </w:r>
      <w:proofErr w:type="spellEnd"/>
      <w:r w:rsidR="007162AC" w:rsidRPr="007162AC">
        <w:rPr>
          <w:rFonts w:asciiTheme="minorBidi" w:hAnsiTheme="minorBidi"/>
          <w:sz w:val="20"/>
          <w:szCs w:val="20"/>
          <w:highlight w:val="yellow"/>
        </w:rPr>
        <w:t xml:space="preserve"> </w:t>
      </w:r>
      <w:proofErr w:type="spellStart"/>
      <w:r w:rsidR="007162AC" w:rsidRPr="007162AC">
        <w:rPr>
          <w:rFonts w:asciiTheme="minorBidi" w:hAnsiTheme="minorBidi"/>
          <w:sz w:val="20"/>
          <w:szCs w:val="20"/>
          <w:highlight w:val="yellow"/>
        </w:rPr>
        <w:t>Venereol</w:t>
      </w:r>
      <w:proofErr w:type="spellEnd"/>
      <w:r w:rsidR="007162AC" w:rsidRPr="007162AC">
        <w:rPr>
          <w:rFonts w:asciiTheme="minorBidi" w:hAnsiTheme="minorBidi"/>
          <w:sz w:val="20"/>
          <w:szCs w:val="20"/>
          <w:highlight w:val="yellow"/>
        </w:rPr>
        <w:t>. 2014;28(11):1418–1423. doi:10.1111/jdv.12449</w:t>
      </w:r>
    </w:p>
    <w:p w14:paraId="530E8410" w14:textId="65068A33" w:rsidR="00C50EAA" w:rsidRPr="00C50EAA" w:rsidRDefault="00C50EAA" w:rsidP="00C50EAA">
      <w:pPr>
        <w:rPr>
          <w:rFonts w:ascii="Arial" w:hAnsi="Arial" w:cs="Arial"/>
          <w:sz w:val="20"/>
          <w:szCs w:val="20"/>
        </w:rPr>
      </w:pPr>
      <w:r>
        <w:rPr>
          <w:rFonts w:ascii="Arial" w:hAnsi="Arial" w:cs="Arial"/>
          <w:sz w:val="20"/>
          <w:szCs w:val="20"/>
        </w:rPr>
        <w:t>8.</w:t>
      </w:r>
      <w:r w:rsidRPr="00C50EAA">
        <w:rPr>
          <w:rFonts w:ascii="Arial" w:hAnsi="Arial" w:cs="Arial"/>
          <w:sz w:val="20"/>
          <w:szCs w:val="20"/>
        </w:rPr>
        <w:t>Dalla Pria AS, Botelho BC, Batista BG, et al. Staphylococcal scalded skin syndrome in an infant: case report. Res Soc Dev. 2025;14(6):e1414648902. doi:10.33448/rsd-v14i6.48902</w:t>
      </w:r>
    </w:p>
    <w:p w14:paraId="6F3C60F4" w14:textId="187E853D" w:rsidR="00C50EAA" w:rsidRDefault="00C50EAA" w:rsidP="00C50EAA">
      <w:pPr>
        <w:rPr>
          <w:rFonts w:ascii="Arial" w:hAnsi="Arial" w:cs="Arial"/>
          <w:sz w:val="20"/>
          <w:szCs w:val="20"/>
        </w:rPr>
      </w:pPr>
      <w:r>
        <w:rPr>
          <w:rFonts w:ascii="Arial" w:hAnsi="Arial" w:cs="Arial"/>
          <w:sz w:val="20"/>
          <w:szCs w:val="20"/>
        </w:rPr>
        <w:t>9.</w:t>
      </w:r>
      <w:r w:rsidRPr="00C50EAA">
        <w:rPr>
          <w:rFonts w:ascii="Arial" w:hAnsi="Arial" w:cs="Arial"/>
          <w:sz w:val="20"/>
          <w:szCs w:val="20"/>
        </w:rPr>
        <w:t xml:space="preserve">Granado MC, Gonçalo AL, Macedo-Francisco C, Santos S, Andrade JV, Carvalho L. Staphylococcal scalded skin syndrome in a breastfed newborn: a case report. </w:t>
      </w:r>
      <w:proofErr w:type="spellStart"/>
      <w:r w:rsidRPr="00C50EAA">
        <w:rPr>
          <w:rFonts w:ascii="Arial" w:hAnsi="Arial" w:cs="Arial"/>
          <w:sz w:val="20"/>
          <w:szCs w:val="20"/>
        </w:rPr>
        <w:t>Int</w:t>
      </w:r>
      <w:proofErr w:type="spellEnd"/>
      <w:r w:rsidRPr="00C50EAA">
        <w:rPr>
          <w:rFonts w:ascii="Arial" w:hAnsi="Arial" w:cs="Arial"/>
          <w:sz w:val="20"/>
          <w:szCs w:val="20"/>
        </w:rPr>
        <w:t xml:space="preserve"> J </w:t>
      </w:r>
      <w:proofErr w:type="spellStart"/>
      <w:r w:rsidRPr="00C50EAA">
        <w:rPr>
          <w:rFonts w:ascii="Arial" w:hAnsi="Arial" w:cs="Arial"/>
          <w:sz w:val="20"/>
          <w:szCs w:val="20"/>
        </w:rPr>
        <w:t>Clin</w:t>
      </w:r>
      <w:proofErr w:type="spellEnd"/>
      <w:r w:rsidRPr="00C50EAA">
        <w:rPr>
          <w:rFonts w:ascii="Arial" w:hAnsi="Arial" w:cs="Arial"/>
          <w:sz w:val="20"/>
          <w:szCs w:val="20"/>
        </w:rPr>
        <w:t xml:space="preserve"> </w:t>
      </w:r>
      <w:proofErr w:type="spellStart"/>
      <w:r w:rsidRPr="00C50EAA">
        <w:rPr>
          <w:rFonts w:ascii="Arial" w:hAnsi="Arial" w:cs="Arial"/>
          <w:sz w:val="20"/>
          <w:szCs w:val="20"/>
        </w:rPr>
        <w:t>Pediatr</w:t>
      </w:r>
      <w:proofErr w:type="spellEnd"/>
      <w:r w:rsidRPr="00C50EAA">
        <w:rPr>
          <w:rFonts w:ascii="Arial" w:hAnsi="Arial" w:cs="Arial"/>
          <w:sz w:val="20"/>
          <w:szCs w:val="20"/>
        </w:rPr>
        <w:t>. 2021;10(2-3):53–56. doi:10.14740/ijcp438</w:t>
      </w:r>
    </w:p>
    <w:p w14:paraId="4F929019" w14:textId="222441EE" w:rsidR="008F532D" w:rsidRDefault="008F532D" w:rsidP="00C50EAA">
      <w:pPr>
        <w:rPr>
          <w:rFonts w:ascii="Arial" w:hAnsi="Arial" w:cs="Arial"/>
          <w:sz w:val="20"/>
          <w:szCs w:val="20"/>
        </w:rPr>
      </w:pPr>
      <w:r>
        <w:rPr>
          <w:rFonts w:ascii="Arial" w:hAnsi="Arial" w:cs="Arial"/>
          <w:sz w:val="20"/>
          <w:szCs w:val="20"/>
        </w:rPr>
        <w:t>10.</w:t>
      </w:r>
      <w:r w:rsidRPr="008F532D">
        <w:t xml:space="preserve"> </w:t>
      </w:r>
      <w:r w:rsidRPr="008F532D">
        <w:rPr>
          <w:rFonts w:ascii="Arial" w:hAnsi="Arial" w:cs="Arial"/>
          <w:sz w:val="20"/>
          <w:szCs w:val="20"/>
        </w:rPr>
        <w:t xml:space="preserve">Bowen AC, Mahé A, Hay RJ, et al. The global epidemiology of impetigo: a systematic review of the population prevalence of impetigo and pyoderma. </w:t>
      </w:r>
      <w:proofErr w:type="spellStart"/>
      <w:r w:rsidRPr="008F532D">
        <w:rPr>
          <w:rFonts w:ascii="Arial" w:hAnsi="Arial" w:cs="Arial"/>
          <w:sz w:val="20"/>
          <w:szCs w:val="20"/>
        </w:rPr>
        <w:t>PLoS</w:t>
      </w:r>
      <w:proofErr w:type="spellEnd"/>
      <w:r w:rsidRPr="008F532D">
        <w:rPr>
          <w:rFonts w:ascii="Arial" w:hAnsi="Arial" w:cs="Arial"/>
          <w:sz w:val="20"/>
          <w:szCs w:val="20"/>
        </w:rPr>
        <w:t xml:space="preserve"> One. 2015;10(8):e0136789. doi:10.1371/journal.pone.0136789</w:t>
      </w:r>
      <w:r w:rsidR="00F01A1A">
        <w:rPr>
          <w:rFonts w:ascii="Arial" w:hAnsi="Arial" w:cs="Arial"/>
          <w:sz w:val="20"/>
          <w:szCs w:val="20"/>
        </w:rPr>
        <w:t>.</w:t>
      </w:r>
    </w:p>
    <w:p w14:paraId="3F4EA975" w14:textId="4F24BF56" w:rsidR="00F01A1A" w:rsidRDefault="00F01A1A" w:rsidP="00C50EAA">
      <w:pPr>
        <w:rPr>
          <w:rFonts w:ascii="Arial" w:hAnsi="Arial" w:cs="Arial"/>
          <w:sz w:val="20"/>
          <w:szCs w:val="20"/>
        </w:rPr>
      </w:pPr>
      <w:r>
        <w:rPr>
          <w:rFonts w:ascii="Arial" w:hAnsi="Arial" w:cs="Arial"/>
          <w:sz w:val="20"/>
          <w:szCs w:val="20"/>
        </w:rPr>
        <w:t>11.</w:t>
      </w:r>
      <w:r w:rsidRPr="00F01A1A">
        <w:t xml:space="preserve"> </w:t>
      </w:r>
      <w:r w:rsidRPr="00F01A1A">
        <w:rPr>
          <w:rFonts w:ascii="Arial" w:hAnsi="Arial" w:cs="Arial"/>
          <w:sz w:val="20"/>
          <w:szCs w:val="20"/>
        </w:rPr>
        <w:t xml:space="preserve">Benani, M., </w:t>
      </w:r>
      <w:proofErr w:type="spellStart"/>
      <w:r w:rsidRPr="00F01A1A">
        <w:rPr>
          <w:rFonts w:ascii="Arial" w:hAnsi="Arial" w:cs="Arial"/>
          <w:sz w:val="20"/>
          <w:szCs w:val="20"/>
        </w:rPr>
        <w:t>Adraoui</w:t>
      </w:r>
      <w:proofErr w:type="spellEnd"/>
      <w:r w:rsidRPr="00F01A1A">
        <w:rPr>
          <w:rFonts w:ascii="Arial" w:hAnsi="Arial" w:cs="Arial"/>
          <w:sz w:val="20"/>
          <w:szCs w:val="20"/>
        </w:rPr>
        <w:t xml:space="preserve">, Y. E., </w:t>
      </w:r>
      <w:proofErr w:type="spellStart"/>
      <w:r w:rsidRPr="00F01A1A">
        <w:rPr>
          <w:rFonts w:ascii="Arial" w:hAnsi="Arial" w:cs="Arial"/>
          <w:sz w:val="20"/>
          <w:szCs w:val="20"/>
        </w:rPr>
        <w:t>Najout</w:t>
      </w:r>
      <w:proofErr w:type="spellEnd"/>
      <w:r w:rsidRPr="00F01A1A">
        <w:rPr>
          <w:rFonts w:ascii="Arial" w:hAnsi="Arial" w:cs="Arial"/>
          <w:sz w:val="20"/>
          <w:szCs w:val="20"/>
        </w:rPr>
        <w:t xml:space="preserve">, H., Boubekri, A., Harrak, S. E., </w:t>
      </w:r>
      <w:proofErr w:type="spellStart"/>
      <w:r w:rsidRPr="00F01A1A">
        <w:rPr>
          <w:rFonts w:ascii="Arial" w:hAnsi="Arial" w:cs="Arial"/>
          <w:sz w:val="20"/>
          <w:szCs w:val="20"/>
        </w:rPr>
        <w:t>Chouikh</w:t>
      </w:r>
      <w:proofErr w:type="spellEnd"/>
      <w:r w:rsidRPr="00F01A1A">
        <w:rPr>
          <w:rFonts w:ascii="Arial" w:hAnsi="Arial" w:cs="Arial"/>
          <w:sz w:val="20"/>
          <w:szCs w:val="20"/>
        </w:rPr>
        <w:t xml:space="preserve">, C., &amp; Balkhi, H. (2025). Stevens-Johnson Syndrome –Toxic Epidermal Necrolysis Induced by Lamotrigine in a 15-Year-Old Girl: A Case Report. Asian Journal of Case Reports in Medicine and Health, 8(1), 26–32. </w:t>
      </w:r>
      <w:hyperlink r:id="rId8" w:history="1">
        <w:r w:rsidR="007162AC" w:rsidRPr="00F86D06">
          <w:rPr>
            <w:rStyle w:val="Hyperlink"/>
            <w:rFonts w:ascii="Arial" w:hAnsi="Arial" w:cs="Arial"/>
            <w:sz w:val="20"/>
            <w:szCs w:val="20"/>
          </w:rPr>
          <w:t>https://doi.org/10.9734/ajcrmh/2025/v8i1215</w:t>
        </w:r>
      </w:hyperlink>
      <w:r w:rsidR="007162AC">
        <w:rPr>
          <w:rFonts w:ascii="Arial" w:hAnsi="Arial" w:cs="Arial"/>
          <w:sz w:val="20"/>
          <w:szCs w:val="20"/>
        </w:rPr>
        <w:t>.</w:t>
      </w:r>
    </w:p>
    <w:p w14:paraId="2C6880B9" w14:textId="636D06C6" w:rsidR="007162AC" w:rsidRPr="007162AC" w:rsidRDefault="007162AC" w:rsidP="00C50EAA">
      <w:pPr>
        <w:rPr>
          <w:rFonts w:ascii="Arial" w:hAnsi="Arial" w:cs="Arial"/>
          <w:sz w:val="20"/>
          <w:szCs w:val="20"/>
          <w:highlight w:val="yellow"/>
        </w:rPr>
      </w:pPr>
      <w:r w:rsidRPr="007162AC">
        <w:rPr>
          <w:rFonts w:ascii="Arial" w:hAnsi="Arial" w:cs="Arial"/>
          <w:sz w:val="20"/>
          <w:szCs w:val="20"/>
          <w:highlight w:val="yellow"/>
        </w:rPr>
        <w:t>12.</w:t>
      </w:r>
      <w:r w:rsidRPr="007162AC">
        <w:rPr>
          <w:highlight w:val="yellow"/>
        </w:rPr>
        <w:t xml:space="preserve"> </w:t>
      </w:r>
      <w:r w:rsidRPr="007162AC">
        <w:rPr>
          <w:rFonts w:ascii="Arial" w:hAnsi="Arial" w:cs="Arial"/>
          <w:sz w:val="20"/>
          <w:szCs w:val="20"/>
          <w:highlight w:val="yellow"/>
        </w:rPr>
        <w:t>Zhang H, Wang Z, Xu L, et al. Genetic studies on Stevens</w:t>
      </w:r>
      <w:r w:rsidRPr="007162AC">
        <w:rPr>
          <w:rFonts w:ascii="Cambria Math" w:hAnsi="Cambria Math" w:cs="Cambria Math"/>
          <w:sz w:val="20"/>
          <w:szCs w:val="20"/>
          <w:highlight w:val="yellow"/>
        </w:rPr>
        <w:t>‑</w:t>
      </w:r>
      <w:r w:rsidRPr="007162AC">
        <w:rPr>
          <w:rFonts w:ascii="Arial" w:hAnsi="Arial" w:cs="Arial"/>
          <w:sz w:val="20"/>
          <w:szCs w:val="20"/>
          <w:highlight w:val="yellow"/>
        </w:rPr>
        <w:t>Johnson syndrome and toxic epidermal necrolysis: an update. Hum Genomics. 2019;13(1):41. doi:10.1186/s41038-019-0153-4</w:t>
      </w:r>
    </w:p>
    <w:p w14:paraId="6346149B" w14:textId="435598A0" w:rsidR="007162AC" w:rsidRPr="008F46E7" w:rsidRDefault="007162AC" w:rsidP="007162AC">
      <w:pPr>
        <w:rPr>
          <w:rFonts w:ascii="Arial" w:hAnsi="Arial" w:cs="Arial"/>
          <w:sz w:val="20"/>
          <w:szCs w:val="20"/>
        </w:rPr>
      </w:pPr>
      <w:r w:rsidRPr="007162AC">
        <w:rPr>
          <w:rFonts w:ascii="Arial" w:hAnsi="Arial" w:cs="Arial"/>
          <w:sz w:val="20"/>
          <w:szCs w:val="20"/>
          <w:highlight w:val="yellow"/>
        </w:rPr>
        <w:lastRenderedPageBreak/>
        <w:t>13.</w:t>
      </w:r>
      <w:r w:rsidRPr="007162AC">
        <w:rPr>
          <w:highlight w:val="yellow"/>
        </w:rPr>
        <w:t xml:space="preserve"> </w:t>
      </w:r>
      <w:r w:rsidRPr="007162AC">
        <w:rPr>
          <w:rFonts w:ascii="Arial" w:hAnsi="Arial" w:cs="Arial"/>
          <w:sz w:val="20"/>
          <w:szCs w:val="20"/>
          <w:highlight w:val="yellow"/>
        </w:rPr>
        <w:t xml:space="preserve">Liy-Wong C, Pope E, Weinstein M, Lara-Corrales </w:t>
      </w:r>
      <w:proofErr w:type="spellStart"/>
      <w:r w:rsidRPr="007162AC">
        <w:rPr>
          <w:rFonts w:ascii="Arial" w:hAnsi="Arial" w:cs="Arial"/>
          <w:sz w:val="20"/>
          <w:szCs w:val="20"/>
          <w:highlight w:val="yellow"/>
        </w:rPr>
        <w:t>I.Epidemiological</w:t>
      </w:r>
      <w:proofErr w:type="spellEnd"/>
      <w:r w:rsidRPr="007162AC">
        <w:rPr>
          <w:rFonts w:ascii="Arial" w:hAnsi="Arial" w:cs="Arial"/>
          <w:sz w:val="20"/>
          <w:szCs w:val="20"/>
          <w:highlight w:val="yellow"/>
        </w:rPr>
        <w:t xml:space="preserve"> and clinical review of staphylococcal scalded skin syndrome in 84 children. </w:t>
      </w:r>
      <w:proofErr w:type="spellStart"/>
      <w:r w:rsidRPr="007162AC">
        <w:rPr>
          <w:rFonts w:ascii="Arial" w:hAnsi="Arial" w:cs="Arial"/>
          <w:sz w:val="20"/>
          <w:szCs w:val="20"/>
          <w:highlight w:val="yellow"/>
        </w:rPr>
        <w:t>Pediatr</w:t>
      </w:r>
      <w:proofErr w:type="spellEnd"/>
      <w:r w:rsidRPr="007162AC">
        <w:rPr>
          <w:rFonts w:ascii="Arial" w:hAnsi="Arial" w:cs="Arial"/>
          <w:sz w:val="20"/>
          <w:szCs w:val="20"/>
          <w:highlight w:val="yellow"/>
        </w:rPr>
        <w:t xml:space="preserve"> </w:t>
      </w:r>
      <w:proofErr w:type="spellStart"/>
      <w:r w:rsidRPr="007162AC">
        <w:rPr>
          <w:rFonts w:ascii="Arial" w:hAnsi="Arial" w:cs="Arial"/>
          <w:sz w:val="20"/>
          <w:szCs w:val="20"/>
          <w:highlight w:val="yellow"/>
        </w:rPr>
        <w:t>Dermatol</w:t>
      </w:r>
      <w:proofErr w:type="spellEnd"/>
      <w:r w:rsidRPr="007162AC">
        <w:rPr>
          <w:rFonts w:ascii="Arial" w:hAnsi="Arial" w:cs="Arial"/>
          <w:sz w:val="20"/>
          <w:szCs w:val="20"/>
          <w:highlight w:val="yellow"/>
        </w:rPr>
        <w:t>. 2021;38(1):149 153.doi:10.1111/pde.14459</w:t>
      </w:r>
    </w:p>
    <w:p w14:paraId="7A1DF70E" w14:textId="77777777" w:rsidR="008F46E7" w:rsidRPr="00D45323" w:rsidRDefault="008F46E7" w:rsidP="00D45323">
      <w:pPr>
        <w:rPr>
          <w:rFonts w:ascii="Arial" w:hAnsi="Arial" w:cs="Arial"/>
          <w:sz w:val="20"/>
          <w:szCs w:val="20"/>
        </w:rPr>
      </w:pPr>
    </w:p>
    <w:p w14:paraId="7D2C20C1" w14:textId="77777777" w:rsidR="00C833AF" w:rsidRPr="00C833AF" w:rsidRDefault="00C833AF" w:rsidP="00C833AF">
      <w:pPr>
        <w:rPr>
          <w:rFonts w:ascii="Arial" w:hAnsi="Arial" w:cs="Arial"/>
          <w:sz w:val="20"/>
          <w:szCs w:val="20"/>
        </w:rPr>
      </w:pPr>
    </w:p>
    <w:p w14:paraId="64EE914A" w14:textId="77777777" w:rsidR="00C833AF" w:rsidRPr="006162F7" w:rsidRDefault="00C833AF" w:rsidP="006162F7">
      <w:pPr>
        <w:rPr>
          <w:rFonts w:ascii="Arial" w:hAnsi="Arial" w:cs="Arial"/>
          <w:sz w:val="20"/>
          <w:szCs w:val="20"/>
        </w:rPr>
      </w:pPr>
    </w:p>
    <w:p w14:paraId="1D2FFA03" w14:textId="77777777" w:rsidR="00375399" w:rsidRDefault="00375399" w:rsidP="00AE1E03">
      <w:pPr>
        <w:rPr>
          <w:rFonts w:ascii="Arial" w:hAnsi="Arial" w:cs="Arial"/>
          <w:sz w:val="20"/>
          <w:szCs w:val="20"/>
        </w:rPr>
      </w:pPr>
    </w:p>
    <w:p w14:paraId="42FAD41C" w14:textId="77777777" w:rsidR="00375399" w:rsidRPr="00AE1E03" w:rsidRDefault="00375399" w:rsidP="00AE1E03">
      <w:pPr>
        <w:rPr>
          <w:rFonts w:ascii="Arial" w:hAnsi="Arial" w:cs="Arial"/>
          <w:sz w:val="20"/>
          <w:szCs w:val="20"/>
        </w:rPr>
      </w:pPr>
    </w:p>
    <w:p w14:paraId="055D9B69" w14:textId="77777777" w:rsidR="00AE1E03" w:rsidRPr="00A328FA" w:rsidRDefault="00AE1E03" w:rsidP="00A328FA">
      <w:pPr>
        <w:rPr>
          <w:rFonts w:ascii="Arial" w:hAnsi="Arial" w:cs="Arial"/>
          <w:sz w:val="20"/>
          <w:szCs w:val="20"/>
        </w:rPr>
      </w:pPr>
    </w:p>
    <w:sectPr w:rsidR="00AE1E03" w:rsidRPr="00A328F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9BC30" w14:textId="77777777" w:rsidR="00FC0419" w:rsidRDefault="00FC0419" w:rsidP="00C9678D">
      <w:pPr>
        <w:spacing w:after="0" w:line="240" w:lineRule="auto"/>
      </w:pPr>
      <w:r>
        <w:separator/>
      </w:r>
    </w:p>
  </w:endnote>
  <w:endnote w:type="continuationSeparator" w:id="0">
    <w:p w14:paraId="555F34D8" w14:textId="77777777" w:rsidR="00FC0419" w:rsidRDefault="00FC0419" w:rsidP="00C96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E90E1" w14:textId="77777777" w:rsidR="00C8000F" w:rsidRDefault="00C800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4780B" w14:textId="77777777" w:rsidR="00C8000F" w:rsidRDefault="00C800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A5DD7" w14:textId="77777777" w:rsidR="00C8000F" w:rsidRDefault="00C800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8CF7F" w14:textId="77777777" w:rsidR="00FC0419" w:rsidRDefault="00FC0419" w:rsidP="00C9678D">
      <w:pPr>
        <w:spacing w:after="0" w:line="240" w:lineRule="auto"/>
      </w:pPr>
      <w:r>
        <w:separator/>
      </w:r>
    </w:p>
  </w:footnote>
  <w:footnote w:type="continuationSeparator" w:id="0">
    <w:p w14:paraId="262D8152" w14:textId="77777777" w:rsidR="00FC0419" w:rsidRDefault="00FC0419" w:rsidP="00C967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72B73" w14:textId="76EA4846" w:rsidR="00C8000F" w:rsidRDefault="00FC0419">
    <w:pPr>
      <w:pStyle w:val="Header"/>
    </w:pPr>
    <w:r>
      <w:rPr>
        <w:noProof/>
      </w:rPr>
      <w:pict w14:anchorId="1B03AC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37001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E82BD" w14:textId="11FD6F64" w:rsidR="00C8000F" w:rsidRDefault="00FC0419">
    <w:pPr>
      <w:pStyle w:val="Header"/>
    </w:pPr>
    <w:r>
      <w:rPr>
        <w:noProof/>
      </w:rPr>
      <w:pict w14:anchorId="7C7790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37001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3EA63" w14:textId="2F02C769" w:rsidR="00C8000F" w:rsidRDefault="00FC0419">
    <w:pPr>
      <w:pStyle w:val="Header"/>
    </w:pPr>
    <w:r>
      <w:rPr>
        <w:noProof/>
      </w:rPr>
      <w:pict w14:anchorId="5658FD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37001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979D0"/>
    <w:multiLevelType w:val="hybridMultilevel"/>
    <w:tmpl w:val="5F2ED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BC065C"/>
    <w:multiLevelType w:val="hybridMultilevel"/>
    <w:tmpl w:val="CA98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2A0C99"/>
    <w:multiLevelType w:val="hybridMultilevel"/>
    <w:tmpl w:val="F970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A88"/>
    <w:rsid w:val="00081033"/>
    <w:rsid w:val="0008482D"/>
    <w:rsid w:val="00106189"/>
    <w:rsid w:val="001621BF"/>
    <w:rsid w:val="0017089E"/>
    <w:rsid w:val="001750C8"/>
    <w:rsid w:val="001913DE"/>
    <w:rsid w:val="00196D2E"/>
    <w:rsid w:val="0019755D"/>
    <w:rsid w:val="001F606D"/>
    <w:rsid w:val="00213DD8"/>
    <w:rsid w:val="00230F86"/>
    <w:rsid w:val="002353C1"/>
    <w:rsid w:val="00244970"/>
    <w:rsid w:val="002502F2"/>
    <w:rsid w:val="002570A3"/>
    <w:rsid w:val="00265C7F"/>
    <w:rsid w:val="0028477B"/>
    <w:rsid w:val="002A6188"/>
    <w:rsid w:val="00322360"/>
    <w:rsid w:val="00333A85"/>
    <w:rsid w:val="00352F29"/>
    <w:rsid w:val="00375399"/>
    <w:rsid w:val="00396A29"/>
    <w:rsid w:val="003E36B8"/>
    <w:rsid w:val="004D1CBC"/>
    <w:rsid w:val="00535E5B"/>
    <w:rsid w:val="005463D8"/>
    <w:rsid w:val="006162F7"/>
    <w:rsid w:val="006174AA"/>
    <w:rsid w:val="00646D5A"/>
    <w:rsid w:val="006766B3"/>
    <w:rsid w:val="006A5CF1"/>
    <w:rsid w:val="006E0261"/>
    <w:rsid w:val="007162AC"/>
    <w:rsid w:val="00760492"/>
    <w:rsid w:val="007953B5"/>
    <w:rsid w:val="007A7F01"/>
    <w:rsid w:val="007B5284"/>
    <w:rsid w:val="007C2F02"/>
    <w:rsid w:val="0083407B"/>
    <w:rsid w:val="00865BCF"/>
    <w:rsid w:val="008C31A0"/>
    <w:rsid w:val="008E2A88"/>
    <w:rsid w:val="008F46E7"/>
    <w:rsid w:val="008F532D"/>
    <w:rsid w:val="00905D00"/>
    <w:rsid w:val="009B0E44"/>
    <w:rsid w:val="009B42BE"/>
    <w:rsid w:val="009F27BE"/>
    <w:rsid w:val="00A328FA"/>
    <w:rsid w:val="00A342B2"/>
    <w:rsid w:val="00A409E5"/>
    <w:rsid w:val="00A51F9C"/>
    <w:rsid w:val="00AA02D9"/>
    <w:rsid w:val="00AB3C30"/>
    <w:rsid w:val="00AE1E03"/>
    <w:rsid w:val="00B63019"/>
    <w:rsid w:val="00B865FD"/>
    <w:rsid w:val="00B913A3"/>
    <w:rsid w:val="00BC6ECA"/>
    <w:rsid w:val="00BE1E67"/>
    <w:rsid w:val="00BE7056"/>
    <w:rsid w:val="00BE7361"/>
    <w:rsid w:val="00C50EAA"/>
    <w:rsid w:val="00C8000F"/>
    <w:rsid w:val="00C833AF"/>
    <w:rsid w:val="00C9678D"/>
    <w:rsid w:val="00CF2C81"/>
    <w:rsid w:val="00D266E0"/>
    <w:rsid w:val="00D45323"/>
    <w:rsid w:val="00D729EA"/>
    <w:rsid w:val="00E04511"/>
    <w:rsid w:val="00E22808"/>
    <w:rsid w:val="00E5747B"/>
    <w:rsid w:val="00F01A1A"/>
    <w:rsid w:val="00F35F3B"/>
    <w:rsid w:val="00F6110D"/>
    <w:rsid w:val="00F73452"/>
    <w:rsid w:val="00FC04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B50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2A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2A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2A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2A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2A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2A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A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A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A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2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2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2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2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2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A88"/>
    <w:rPr>
      <w:rFonts w:eastAsiaTheme="majorEastAsia" w:cstheme="majorBidi"/>
      <w:color w:val="272727" w:themeColor="text1" w:themeTint="D8"/>
    </w:rPr>
  </w:style>
  <w:style w:type="paragraph" w:styleId="Title">
    <w:name w:val="Title"/>
    <w:basedOn w:val="Normal"/>
    <w:next w:val="Normal"/>
    <w:link w:val="TitleChar"/>
    <w:uiPriority w:val="10"/>
    <w:qFormat/>
    <w:rsid w:val="008E2A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A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A88"/>
    <w:pPr>
      <w:spacing w:before="160"/>
      <w:jc w:val="center"/>
    </w:pPr>
    <w:rPr>
      <w:i/>
      <w:iCs/>
      <w:color w:val="404040" w:themeColor="text1" w:themeTint="BF"/>
    </w:rPr>
  </w:style>
  <w:style w:type="character" w:customStyle="1" w:styleId="QuoteChar">
    <w:name w:val="Quote Char"/>
    <w:basedOn w:val="DefaultParagraphFont"/>
    <w:link w:val="Quote"/>
    <w:uiPriority w:val="29"/>
    <w:rsid w:val="008E2A88"/>
    <w:rPr>
      <w:i/>
      <w:iCs/>
      <w:color w:val="404040" w:themeColor="text1" w:themeTint="BF"/>
    </w:rPr>
  </w:style>
  <w:style w:type="paragraph" w:styleId="ListParagraph">
    <w:name w:val="List Paragraph"/>
    <w:basedOn w:val="Normal"/>
    <w:uiPriority w:val="34"/>
    <w:qFormat/>
    <w:rsid w:val="008E2A88"/>
    <w:pPr>
      <w:ind w:left="720"/>
      <w:contextualSpacing/>
    </w:pPr>
  </w:style>
  <w:style w:type="character" w:styleId="IntenseEmphasis">
    <w:name w:val="Intense Emphasis"/>
    <w:basedOn w:val="DefaultParagraphFont"/>
    <w:uiPriority w:val="21"/>
    <w:qFormat/>
    <w:rsid w:val="008E2A88"/>
    <w:rPr>
      <w:i/>
      <w:iCs/>
      <w:color w:val="0F4761" w:themeColor="accent1" w:themeShade="BF"/>
    </w:rPr>
  </w:style>
  <w:style w:type="paragraph" w:styleId="IntenseQuote">
    <w:name w:val="Intense Quote"/>
    <w:basedOn w:val="Normal"/>
    <w:next w:val="Normal"/>
    <w:link w:val="IntenseQuoteChar"/>
    <w:uiPriority w:val="30"/>
    <w:qFormat/>
    <w:rsid w:val="008E2A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2A88"/>
    <w:rPr>
      <w:i/>
      <w:iCs/>
      <w:color w:val="0F4761" w:themeColor="accent1" w:themeShade="BF"/>
    </w:rPr>
  </w:style>
  <w:style w:type="character" w:styleId="IntenseReference">
    <w:name w:val="Intense Reference"/>
    <w:basedOn w:val="DefaultParagraphFont"/>
    <w:uiPriority w:val="32"/>
    <w:qFormat/>
    <w:rsid w:val="008E2A88"/>
    <w:rPr>
      <w:b/>
      <w:bCs/>
      <w:smallCaps/>
      <w:color w:val="0F4761" w:themeColor="accent1" w:themeShade="BF"/>
      <w:spacing w:val="5"/>
    </w:rPr>
  </w:style>
  <w:style w:type="table" w:customStyle="1" w:styleId="TableGrid1">
    <w:name w:val="Table Grid1"/>
    <w:basedOn w:val="TableNormal"/>
    <w:next w:val="TableGrid"/>
    <w:uiPriority w:val="59"/>
    <w:rsid w:val="009B0E44"/>
    <w:pPr>
      <w:spacing w:after="0" w:line="240" w:lineRule="auto"/>
    </w:pPr>
    <w:rPr>
      <w:rFonts w:eastAsia="MS Minch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B0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B0E44"/>
    <w:pPr>
      <w:spacing w:after="200" w:line="240" w:lineRule="auto"/>
    </w:pPr>
    <w:rPr>
      <w:i/>
      <w:iCs/>
      <w:color w:val="0E2841" w:themeColor="text2"/>
      <w:sz w:val="18"/>
      <w:szCs w:val="18"/>
    </w:rPr>
  </w:style>
  <w:style w:type="paragraph" w:styleId="Header">
    <w:name w:val="header"/>
    <w:basedOn w:val="Normal"/>
    <w:link w:val="HeaderChar"/>
    <w:uiPriority w:val="99"/>
    <w:unhideWhenUsed/>
    <w:rsid w:val="00C96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78D"/>
  </w:style>
  <w:style w:type="paragraph" w:styleId="Footer">
    <w:name w:val="footer"/>
    <w:basedOn w:val="Normal"/>
    <w:link w:val="FooterChar"/>
    <w:uiPriority w:val="99"/>
    <w:unhideWhenUsed/>
    <w:rsid w:val="00C96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78D"/>
  </w:style>
  <w:style w:type="table" w:customStyle="1" w:styleId="TableGrid2">
    <w:name w:val="Table Grid2"/>
    <w:basedOn w:val="TableNormal"/>
    <w:next w:val="TableGrid"/>
    <w:uiPriority w:val="59"/>
    <w:rsid w:val="00F01A1A"/>
    <w:pPr>
      <w:spacing w:after="0" w:line="240" w:lineRule="auto"/>
    </w:pPr>
    <w:rPr>
      <w:rFonts w:eastAsia="MS Minch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62AC"/>
    <w:rPr>
      <w:color w:val="467886" w:themeColor="hyperlink"/>
      <w:u w:val="single"/>
    </w:rPr>
  </w:style>
  <w:style w:type="character" w:customStyle="1" w:styleId="UnresolvedMention">
    <w:name w:val="Unresolved Mention"/>
    <w:basedOn w:val="DefaultParagraphFont"/>
    <w:uiPriority w:val="99"/>
    <w:semiHidden/>
    <w:unhideWhenUsed/>
    <w:rsid w:val="007162A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2A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2A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2A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2A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2A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2A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A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A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A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2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2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2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2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2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A88"/>
    <w:rPr>
      <w:rFonts w:eastAsiaTheme="majorEastAsia" w:cstheme="majorBidi"/>
      <w:color w:val="272727" w:themeColor="text1" w:themeTint="D8"/>
    </w:rPr>
  </w:style>
  <w:style w:type="paragraph" w:styleId="Title">
    <w:name w:val="Title"/>
    <w:basedOn w:val="Normal"/>
    <w:next w:val="Normal"/>
    <w:link w:val="TitleChar"/>
    <w:uiPriority w:val="10"/>
    <w:qFormat/>
    <w:rsid w:val="008E2A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A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A88"/>
    <w:pPr>
      <w:spacing w:before="160"/>
      <w:jc w:val="center"/>
    </w:pPr>
    <w:rPr>
      <w:i/>
      <w:iCs/>
      <w:color w:val="404040" w:themeColor="text1" w:themeTint="BF"/>
    </w:rPr>
  </w:style>
  <w:style w:type="character" w:customStyle="1" w:styleId="QuoteChar">
    <w:name w:val="Quote Char"/>
    <w:basedOn w:val="DefaultParagraphFont"/>
    <w:link w:val="Quote"/>
    <w:uiPriority w:val="29"/>
    <w:rsid w:val="008E2A88"/>
    <w:rPr>
      <w:i/>
      <w:iCs/>
      <w:color w:val="404040" w:themeColor="text1" w:themeTint="BF"/>
    </w:rPr>
  </w:style>
  <w:style w:type="paragraph" w:styleId="ListParagraph">
    <w:name w:val="List Paragraph"/>
    <w:basedOn w:val="Normal"/>
    <w:uiPriority w:val="34"/>
    <w:qFormat/>
    <w:rsid w:val="008E2A88"/>
    <w:pPr>
      <w:ind w:left="720"/>
      <w:contextualSpacing/>
    </w:pPr>
  </w:style>
  <w:style w:type="character" w:styleId="IntenseEmphasis">
    <w:name w:val="Intense Emphasis"/>
    <w:basedOn w:val="DefaultParagraphFont"/>
    <w:uiPriority w:val="21"/>
    <w:qFormat/>
    <w:rsid w:val="008E2A88"/>
    <w:rPr>
      <w:i/>
      <w:iCs/>
      <w:color w:val="0F4761" w:themeColor="accent1" w:themeShade="BF"/>
    </w:rPr>
  </w:style>
  <w:style w:type="paragraph" w:styleId="IntenseQuote">
    <w:name w:val="Intense Quote"/>
    <w:basedOn w:val="Normal"/>
    <w:next w:val="Normal"/>
    <w:link w:val="IntenseQuoteChar"/>
    <w:uiPriority w:val="30"/>
    <w:qFormat/>
    <w:rsid w:val="008E2A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2A88"/>
    <w:rPr>
      <w:i/>
      <w:iCs/>
      <w:color w:val="0F4761" w:themeColor="accent1" w:themeShade="BF"/>
    </w:rPr>
  </w:style>
  <w:style w:type="character" w:styleId="IntenseReference">
    <w:name w:val="Intense Reference"/>
    <w:basedOn w:val="DefaultParagraphFont"/>
    <w:uiPriority w:val="32"/>
    <w:qFormat/>
    <w:rsid w:val="008E2A88"/>
    <w:rPr>
      <w:b/>
      <w:bCs/>
      <w:smallCaps/>
      <w:color w:val="0F4761" w:themeColor="accent1" w:themeShade="BF"/>
      <w:spacing w:val="5"/>
    </w:rPr>
  </w:style>
  <w:style w:type="table" w:customStyle="1" w:styleId="TableGrid1">
    <w:name w:val="Table Grid1"/>
    <w:basedOn w:val="TableNormal"/>
    <w:next w:val="TableGrid"/>
    <w:uiPriority w:val="59"/>
    <w:rsid w:val="009B0E44"/>
    <w:pPr>
      <w:spacing w:after="0" w:line="240" w:lineRule="auto"/>
    </w:pPr>
    <w:rPr>
      <w:rFonts w:eastAsia="MS Minch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B0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B0E44"/>
    <w:pPr>
      <w:spacing w:after="200" w:line="240" w:lineRule="auto"/>
    </w:pPr>
    <w:rPr>
      <w:i/>
      <w:iCs/>
      <w:color w:val="0E2841" w:themeColor="text2"/>
      <w:sz w:val="18"/>
      <w:szCs w:val="18"/>
    </w:rPr>
  </w:style>
  <w:style w:type="paragraph" w:styleId="Header">
    <w:name w:val="header"/>
    <w:basedOn w:val="Normal"/>
    <w:link w:val="HeaderChar"/>
    <w:uiPriority w:val="99"/>
    <w:unhideWhenUsed/>
    <w:rsid w:val="00C96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78D"/>
  </w:style>
  <w:style w:type="paragraph" w:styleId="Footer">
    <w:name w:val="footer"/>
    <w:basedOn w:val="Normal"/>
    <w:link w:val="FooterChar"/>
    <w:uiPriority w:val="99"/>
    <w:unhideWhenUsed/>
    <w:rsid w:val="00C96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78D"/>
  </w:style>
  <w:style w:type="table" w:customStyle="1" w:styleId="TableGrid2">
    <w:name w:val="Table Grid2"/>
    <w:basedOn w:val="TableNormal"/>
    <w:next w:val="TableGrid"/>
    <w:uiPriority w:val="59"/>
    <w:rsid w:val="00F01A1A"/>
    <w:pPr>
      <w:spacing w:after="0" w:line="240" w:lineRule="auto"/>
    </w:pPr>
    <w:rPr>
      <w:rFonts w:eastAsia="MS Minch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62AC"/>
    <w:rPr>
      <w:color w:val="467886" w:themeColor="hyperlink"/>
      <w:u w:val="single"/>
    </w:rPr>
  </w:style>
  <w:style w:type="character" w:customStyle="1" w:styleId="UnresolvedMention">
    <w:name w:val="Unresolved Mention"/>
    <w:basedOn w:val="DefaultParagraphFont"/>
    <w:uiPriority w:val="99"/>
    <w:semiHidden/>
    <w:unhideWhenUsed/>
    <w:rsid w:val="00716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ajcrmh/2025/v8i1215"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2102</Words>
  <Characters>11985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halibali007@gmail.com</dc:creator>
  <cp:keywords/>
  <dc:description/>
  <cp:lastModifiedBy>SDI 1055</cp:lastModifiedBy>
  <cp:revision>4</cp:revision>
  <dcterms:created xsi:type="dcterms:W3CDTF">2025-07-20T09:08:00Z</dcterms:created>
  <dcterms:modified xsi:type="dcterms:W3CDTF">2025-07-22T07:54:00Z</dcterms:modified>
</cp:coreProperties>
</file>