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11753" w14:textId="7F8C3D13" w:rsidR="00092F7F" w:rsidRPr="00092F7F" w:rsidRDefault="00092F7F" w:rsidP="00092F7F">
      <w:pPr>
        <w:spacing w:after="0" w:line="240" w:lineRule="auto"/>
        <w:rPr>
          <w:rFonts w:ascii="Arial" w:eastAsia="Times New Roman" w:hAnsi="Arial" w:cs="Arial"/>
          <w:b/>
          <w:sz w:val="28"/>
          <w:szCs w:val="20"/>
        </w:rPr>
      </w:pPr>
      <w:bookmarkStart w:id="0" w:name="_GoBack"/>
      <w:bookmarkEnd w:id="0"/>
      <w:r w:rsidRPr="00092F7F">
        <w:rPr>
          <w:rFonts w:ascii="Arial" w:eastAsia="Times New Roman" w:hAnsi="Arial" w:cs="Arial"/>
          <w:b/>
          <w:sz w:val="28"/>
          <w:szCs w:val="20"/>
        </w:rPr>
        <w:t>Short Communication </w:t>
      </w:r>
    </w:p>
    <w:p w14:paraId="5C6A6BA8" w14:textId="77777777" w:rsidR="00092F7F" w:rsidRDefault="00092F7F" w:rsidP="0024743F">
      <w:pPr>
        <w:pBdr>
          <w:bottom w:val="single" w:sz="4" w:space="1" w:color="auto"/>
        </w:pBdr>
        <w:spacing w:line="276" w:lineRule="auto"/>
        <w:jc w:val="right"/>
        <w:rPr>
          <w:rFonts w:asciiTheme="minorBidi" w:eastAsia="Times New Roman" w:hAnsiTheme="minorBidi"/>
          <w:b/>
          <w:kern w:val="28"/>
          <w:sz w:val="36"/>
          <w:szCs w:val="20"/>
          <w:lang w:val="en-US"/>
          <w14:ligatures w14:val="none"/>
        </w:rPr>
      </w:pPr>
    </w:p>
    <w:p w14:paraId="4CC7B331" w14:textId="7958BD7D" w:rsidR="00FD18CE" w:rsidRPr="006E13CD" w:rsidRDefault="00CF7BE2" w:rsidP="0024743F">
      <w:pPr>
        <w:pBdr>
          <w:bottom w:val="single" w:sz="4" w:space="1" w:color="auto"/>
        </w:pBdr>
        <w:spacing w:line="276" w:lineRule="auto"/>
        <w:jc w:val="right"/>
        <w:rPr>
          <w:rFonts w:asciiTheme="minorBidi" w:eastAsia="Times New Roman" w:hAnsiTheme="minorBidi"/>
          <w:b/>
          <w:kern w:val="28"/>
          <w:sz w:val="36"/>
          <w:szCs w:val="20"/>
          <w:lang w:val="en-US"/>
          <w14:ligatures w14:val="none"/>
        </w:rPr>
      </w:pPr>
      <w:r w:rsidRPr="006E13CD">
        <w:rPr>
          <w:rFonts w:asciiTheme="minorBidi" w:eastAsia="Times New Roman" w:hAnsiTheme="minorBidi"/>
          <w:b/>
          <w:kern w:val="28"/>
          <w:sz w:val="36"/>
          <w:szCs w:val="20"/>
          <w:lang w:val="en-US"/>
          <w14:ligatures w14:val="none"/>
        </w:rPr>
        <w:t>Green Budgeting and Climate Change</w:t>
      </w:r>
      <w:r w:rsidR="0070445D" w:rsidRPr="006E13CD">
        <w:rPr>
          <w:rFonts w:asciiTheme="minorBidi" w:eastAsia="Times New Roman" w:hAnsiTheme="minorBidi"/>
          <w:b/>
          <w:kern w:val="28"/>
          <w:sz w:val="36"/>
          <w:szCs w:val="20"/>
          <w:lang w:val="en-US"/>
          <w14:ligatures w14:val="none"/>
        </w:rPr>
        <w:t xml:space="preserve"> </w:t>
      </w:r>
      <w:r w:rsidR="008E7909" w:rsidRPr="006E13CD">
        <w:rPr>
          <w:rFonts w:asciiTheme="minorBidi" w:eastAsia="Times New Roman" w:hAnsiTheme="minorBidi"/>
          <w:b/>
          <w:kern w:val="28"/>
          <w:sz w:val="36"/>
          <w:szCs w:val="20"/>
          <w:lang w:val="en-US"/>
          <w14:ligatures w14:val="none"/>
        </w:rPr>
        <w:t>–</w:t>
      </w:r>
      <w:r w:rsidR="00066B20" w:rsidRPr="006E13CD">
        <w:rPr>
          <w:rFonts w:asciiTheme="minorBidi" w:eastAsia="Times New Roman" w:hAnsiTheme="minorBidi"/>
          <w:b/>
          <w:kern w:val="28"/>
          <w:sz w:val="36"/>
          <w:szCs w:val="20"/>
          <w:lang w:val="en-US"/>
          <w14:ligatures w14:val="none"/>
        </w:rPr>
        <w:t xml:space="preserve"> </w:t>
      </w:r>
      <w:r w:rsidR="008E7909" w:rsidRPr="006E13CD">
        <w:rPr>
          <w:rFonts w:asciiTheme="minorBidi" w:eastAsia="Times New Roman" w:hAnsiTheme="minorBidi"/>
          <w:b/>
          <w:kern w:val="28"/>
          <w:sz w:val="36"/>
          <w:szCs w:val="20"/>
          <w:lang w:val="en-US"/>
          <w14:ligatures w14:val="none"/>
        </w:rPr>
        <w:t xml:space="preserve">with Special Focus on </w:t>
      </w:r>
      <w:r w:rsidR="0080038E" w:rsidRPr="006E13CD">
        <w:rPr>
          <w:rFonts w:asciiTheme="minorBidi" w:eastAsia="Times New Roman" w:hAnsiTheme="minorBidi"/>
          <w:b/>
          <w:kern w:val="28"/>
          <w:sz w:val="36"/>
          <w:szCs w:val="20"/>
          <w:lang w:val="en-US"/>
          <w14:ligatures w14:val="none"/>
        </w:rPr>
        <w:t>Subnational Governments in India</w:t>
      </w:r>
    </w:p>
    <w:p w14:paraId="06692E08" w14:textId="10960015" w:rsidR="00BE626B" w:rsidRPr="006E13CD" w:rsidRDefault="003000B4" w:rsidP="00CC5269">
      <w:pPr>
        <w:jc w:val="both"/>
        <w:rPr>
          <w:rFonts w:asciiTheme="minorBidi" w:hAnsiTheme="minorBidi"/>
          <w:kern w:val="0"/>
          <w14:ligatures w14:val="none"/>
        </w:rPr>
      </w:pPr>
      <w:r w:rsidRPr="006E13CD">
        <w:rPr>
          <w:rFonts w:asciiTheme="minorBidi" w:hAnsiTheme="minorBidi"/>
          <w:noProof/>
          <w:kern w:val="0"/>
          <w:lang w:eastAsia="en-IN"/>
        </w:rPr>
        <mc:AlternateContent>
          <mc:Choice Requires="wps">
            <w:drawing>
              <wp:anchor distT="0" distB="0" distL="114300" distR="114300" simplePos="0" relativeHeight="251658242" behindDoc="0" locked="0" layoutInCell="1" allowOverlap="1" wp14:anchorId="658DD090" wp14:editId="27FFC6B8">
                <wp:simplePos x="0" y="0"/>
                <wp:positionH relativeFrom="column">
                  <wp:posOffset>-50800</wp:posOffset>
                </wp:positionH>
                <wp:positionV relativeFrom="paragraph">
                  <wp:posOffset>161290</wp:posOffset>
                </wp:positionV>
                <wp:extent cx="5810250" cy="6350"/>
                <wp:effectExtent l="0" t="0" r="19050" b="31750"/>
                <wp:wrapNone/>
                <wp:docPr id="1293331876" name="Straight Connector 1"/>
                <wp:cNvGraphicFramePr/>
                <a:graphic xmlns:a="http://schemas.openxmlformats.org/drawingml/2006/main">
                  <a:graphicData uri="http://schemas.microsoft.com/office/word/2010/wordprocessingShape">
                    <wps:wsp>
                      <wps:cNvCnPr/>
                      <wps:spPr>
                        <a:xfrm>
                          <a:off x="0" y="0"/>
                          <a:ext cx="58102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98323" id="Straight Connector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4pt,12.7pt" to="453.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O3mwEAAIsDAAAOAAAAZHJzL2Uyb0RvYy54bWysU8tu2zAQvAfoPxC815IcJAgEyzkkaC5B&#10;G7TNBzDU0iLCF5aMJf99l7QtF0lRBEEuKz52ZneGq9X1ZA3bAkbtXcebRc0ZOOl77TYdf/z97esV&#10;ZzEJ1wvjHXR8B5Ffr7+crcbQwtIP3vSAjEhcbMfQ8SGl0FZVlANYERc+gKNL5dGKRFvcVD2Kkdit&#10;qZZ1fVmNHvuAXkKMdHq7v+Trwq8UyPRDqQiJmY5Tb6lELPEpx2q9Eu0GRRi0PLQhPtCFFdpR0Znq&#10;ViTBXlC/obJaoo9epYX0tvJKaQlFA6lp6ldqfg0iQNFC5sQw2xQ/j1Z+3964ByQbxhDbGB4wq5gU&#10;2vyl/thUzNrNZsGUmKTDi6umXl6Qp5LuLs9pRSTVCRswpjvwluVFx412WYpoxfY+pn3qMYVwp+pl&#10;lXYGcrJxP0Ex3VO9pqDLYMCNQbYV9KT9c3MoWzIzRGljZlD9f9AhN8OgDMt7gXN2qehdmoFWO4//&#10;qpqmY6tqn39UvdeaZT/5flfeothBL14MPUxnHqm/9wV++ofWfwAAAP//AwBQSwMEFAAGAAgAAAAh&#10;APuJtlzdAAAACAEAAA8AAABkcnMvZG93bnJldi54bWxMj8FOwzAQRO9I/IO1SNxah6iEEuJUVSWE&#10;uCCawt2NXSdgryPbScPfs5zocWdGs2+qzewsm3SIvUcBd8sMmMbWqx6NgI/D82INLCaJSlqPWsCP&#10;jrCpr68qWSp/xr2emmQYlWAspYAupaHkPLaddjIu/aCRvJMPTiY6g+EqyDOVO8vzLCu4kz3Sh04O&#10;etfp9rsZnQD7GqZPszPbOL7si+br/ZS/HSYhbm/m7ROwpOf0H4Y/fEKHmpiOfkQVmRWwWNOUJCC/&#10;XwEj/zF7IOFIQrECXlf8ckD9CwAA//8DAFBLAQItABQABgAIAAAAIQC2gziS/gAAAOEBAAATAAAA&#10;AAAAAAAAAAAAAAAAAABbQ29udGVudF9UeXBlc10ueG1sUEsBAi0AFAAGAAgAAAAhADj9If/WAAAA&#10;lAEAAAsAAAAAAAAAAAAAAAAALwEAAF9yZWxzLy5yZWxzUEsBAi0AFAAGAAgAAAAhACTQs7ebAQAA&#10;iwMAAA4AAAAAAAAAAAAAAAAALgIAAGRycy9lMm9Eb2MueG1sUEsBAi0AFAAGAAgAAAAhAPuJtlzd&#10;AAAACAEAAA8AAAAAAAAAAAAAAAAA9QMAAGRycy9kb3ducmV2LnhtbFBLBQYAAAAABAAEAPMAAAD/&#10;BAAAAAA=&#10;" strokecolor="black [3200]" strokeweight=".5pt">
                <v:stroke joinstyle="miter"/>
              </v:line>
            </w:pict>
          </mc:Fallback>
        </mc:AlternateContent>
      </w:r>
    </w:p>
    <w:p w14:paraId="59A69E83" w14:textId="35DD50C2" w:rsidR="00C25219" w:rsidRPr="006E13CD" w:rsidRDefault="006B2A31" w:rsidP="00080833">
      <w:pPr>
        <w:pStyle w:val="Heading1"/>
        <w:jc w:val="both"/>
        <w:rPr>
          <w:rFonts w:asciiTheme="minorBidi" w:hAnsiTheme="minorBidi" w:cstheme="minorBidi"/>
          <w:b/>
          <w:sz w:val="22"/>
          <w:szCs w:val="22"/>
        </w:rPr>
      </w:pPr>
      <w:r w:rsidRPr="006E13CD">
        <w:rPr>
          <w:rFonts w:asciiTheme="minorBidi" w:hAnsiTheme="minorBidi" w:cstheme="minorBidi"/>
          <w:b/>
          <w:sz w:val="22"/>
          <w:szCs w:val="22"/>
        </w:rPr>
        <w:t>ABSTRACT</w:t>
      </w:r>
    </w:p>
    <w:p w14:paraId="3BB49A70" w14:textId="76396FC2" w:rsidR="006B163B" w:rsidRPr="006E13CD" w:rsidRDefault="006B163B" w:rsidP="00080833">
      <w:pPr>
        <w:spacing w:before="100" w:beforeAutospacing="1" w:after="100" w:afterAutospacing="1" w:line="276" w:lineRule="auto"/>
        <w:jc w:val="both"/>
        <w:rPr>
          <w:rFonts w:asciiTheme="minorBidi" w:eastAsia="Times New Roman" w:hAnsiTheme="minorBidi"/>
          <w:kern w:val="0"/>
          <w:lang w:val="en-US"/>
          <w14:ligatures w14:val="none"/>
        </w:rPr>
      </w:pPr>
      <w:r w:rsidRPr="006E13CD">
        <w:rPr>
          <w:rFonts w:asciiTheme="minorBidi" w:hAnsiTheme="minorBidi"/>
          <w:noProof/>
          <w:kern w:val="0"/>
          <w:lang w:eastAsia="en-IN"/>
          <w14:ligatures w14:val="none"/>
        </w:rPr>
        <mc:AlternateContent>
          <mc:Choice Requires="wps">
            <w:drawing>
              <wp:anchor distT="0" distB="0" distL="114300" distR="114300" simplePos="0" relativeHeight="251658241" behindDoc="0" locked="0" layoutInCell="1" allowOverlap="1" wp14:anchorId="460CB93E" wp14:editId="510C967E">
                <wp:simplePos x="0" y="0"/>
                <wp:positionH relativeFrom="margin">
                  <wp:align>center</wp:align>
                </wp:positionH>
                <wp:positionV relativeFrom="paragraph">
                  <wp:posOffset>212725</wp:posOffset>
                </wp:positionV>
                <wp:extent cx="5798903" cy="6758940"/>
                <wp:effectExtent l="0" t="0" r="11430" b="228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98903" cy="6758940"/>
                        </a:xfrm>
                        <a:prstGeom prst="rect">
                          <a:avLst/>
                        </a:prstGeom>
                        <a:solidFill>
                          <a:srgbClr val="FFFFFF"/>
                        </a:solidFill>
                        <a:ln w="9525">
                          <a:solidFill>
                            <a:srgbClr val="000000"/>
                          </a:solidFill>
                          <a:miter lim="800000"/>
                          <a:headEnd/>
                          <a:tailEnd/>
                        </a:ln>
                      </wps:spPr>
                      <wps:txbx>
                        <w:txbxContent>
                          <w:p w14:paraId="3F5D350C" w14:textId="7777777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The worsening environmental crisis and the increasingly visible impacts of climate change have made environmental conservation, climate change mitigation, and adaptation urgent priorities for governments around the world. However, fiscal constraints remain a significant barrier, as the scale of climate and green finance needs far exceeds the available public resources. In this context, ensuring efficient allocation of limited resources across green initiatives is critical to achieving environmental objectives while balancing developmental needs.</w:t>
                            </w:r>
                          </w:p>
                          <w:p w14:paraId="75C8D2E4" w14:textId="7777777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Green Budgeting has emerged as a promising tool for aligning public financial management with environmental objectives. When designed and implemented effectively, it can help governments prioritize spending, enhance transparency, and integrate climate considerations into fiscal decision-making.</w:t>
                            </w:r>
                          </w:p>
                          <w:p w14:paraId="344F643F" w14:textId="7550720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This paper undertakes a four-pronged analysis. First, it reviews the major Green Budgeting frameworks adopted globally, highlighting their key features. Second, it examines the Green and Climate Budgeting approaches implemented by the Indian states and union territories, comparing them with the international best practices to identify gaps and areas for improvement. Third, it proposes the key elements that may be considered for the Green Budgeting framework in India—one that aligns with the country’s long-term environmental goals, considers the institutional and fiscal challenges faced by state governments, and provides guidance on integration across the budget cycle. Lastly, it</w:t>
                            </w:r>
                            <w:r w:rsidRPr="00CC4E89">
                              <w:rPr>
                                <w:sz w:val="20"/>
                                <w:szCs w:val="20"/>
                              </w:rPr>
                              <w:t xml:space="preserve"> </w:t>
                            </w:r>
                            <w:r w:rsidRPr="00CC4E89">
                              <w:rPr>
                                <w:rFonts w:ascii="Arial" w:eastAsia="Times New Roman" w:hAnsi="Arial" w:cs="Arial"/>
                                <w:kern w:val="0"/>
                                <w:sz w:val="20"/>
                                <w:szCs w:val="20"/>
                                <w:lang w:val="en-US"/>
                                <w14:ligatures w14:val="none"/>
                              </w:rPr>
                              <w:t>proposes a Green Budgeting Index to assess the performance of Indian states in implementing Green Budgeting.</w:t>
                            </w:r>
                            <w:r w:rsidR="007B2924">
                              <w:rPr>
                                <w:rFonts w:ascii="Arial" w:eastAsia="Times New Roman" w:hAnsi="Arial" w:cs="Arial"/>
                                <w:kern w:val="0"/>
                                <w:sz w:val="20"/>
                                <w:szCs w:val="20"/>
                                <w:lang w:val="en-US"/>
                                <w14:ligatures w14:val="none"/>
                              </w:rPr>
                              <w:t xml:space="preserve"> </w:t>
                            </w:r>
                            <w:r w:rsidR="007B2924" w:rsidRPr="007B2924">
                              <w:rPr>
                                <w:rFonts w:ascii="Arial" w:eastAsia="Times New Roman" w:hAnsi="Arial" w:cs="Arial"/>
                                <w:kern w:val="0"/>
                                <w:sz w:val="20"/>
                                <w:szCs w:val="20"/>
                                <w:lang w:val="en-US"/>
                                <w14:ligatures w14:val="none"/>
                              </w:rPr>
                              <w:t>The study seeks to offer practical insights into how Green Budgeting can be standardized, scaled, and made more effective in India and similar emerging economies.</w:t>
                            </w:r>
                          </w:p>
                          <w:p w14:paraId="1D931B47" w14:textId="2B21A1EF" w:rsidR="00C30E3A" w:rsidRPr="00CC4E89" w:rsidRDefault="002F338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Pr>
                                <w:rFonts w:ascii="Arial" w:eastAsia="Times New Roman" w:hAnsi="Arial" w:cs="Arial"/>
                                <w:kern w:val="0"/>
                                <w:sz w:val="20"/>
                                <w:szCs w:val="20"/>
                                <w:lang w:val="en-US"/>
                                <w14:ligatures w14:val="none"/>
                              </w:rPr>
                              <w:t xml:space="preserve">This study observes that </w:t>
                            </w:r>
                            <w:r w:rsidR="00D32DB0" w:rsidRPr="00D32DB0">
                              <w:rPr>
                                <w:rFonts w:ascii="Arial" w:eastAsia="Times New Roman" w:hAnsi="Arial" w:cs="Arial"/>
                                <w:kern w:val="0"/>
                                <w:sz w:val="20"/>
                                <w:szCs w:val="20"/>
                                <w:lang w:val="en-US"/>
                                <w14:ligatures w14:val="none"/>
                              </w:rPr>
                              <w:t xml:space="preserve">Green Budgeting </w:t>
                            </w:r>
                            <w:r>
                              <w:rPr>
                                <w:rFonts w:ascii="Arial" w:eastAsia="Times New Roman" w:hAnsi="Arial" w:cs="Arial"/>
                                <w:kern w:val="0"/>
                                <w:sz w:val="20"/>
                                <w:szCs w:val="20"/>
                                <w:lang w:val="en-US"/>
                                <w14:ligatures w14:val="none"/>
                              </w:rPr>
                              <w:t>is</w:t>
                            </w:r>
                            <w:r w:rsidR="00D32DB0" w:rsidRPr="00D32DB0">
                              <w:rPr>
                                <w:rFonts w:ascii="Arial" w:eastAsia="Times New Roman" w:hAnsi="Arial" w:cs="Arial"/>
                                <w:kern w:val="0"/>
                                <w:sz w:val="20"/>
                                <w:szCs w:val="20"/>
                                <w:lang w:val="en-US"/>
                                <w14:ligatures w14:val="none"/>
                              </w:rPr>
                              <w:t xml:space="preserve"> largely absent in India at both national and subnational levels</w:t>
                            </w:r>
                            <w:r w:rsidR="001B13CE">
                              <w:rPr>
                                <w:rFonts w:ascii="Arial" w:eastAsia="Times New Roman" w:hAnsi="Arial" w:cs="Arial"/>
                                <w:kern w:val="0"/>
                                <w:sz w:val="20"/>
                                <w:szCs w:val="20"/>
                                <w:lang w:val="en-US"/>
                                <w14:ligatures w14:val="none"/>
                              </w:rPr>
                              <w:t xml:space="preserve">. </w:t>
                            </w:r>
                            <w:r w:rsidR="001B13CE" w:rsidRPr="001B13CE">
                              <w:rPr>
                                <w:rFonts w:ascii="Arial" w:eastAsia="Times New Roman" w:hAnsi="Arial" w:cs="Arial"/>
                                <w:kern w:val="0"/>
                                <w:sz w:val="20"/>
                                <w:szCs w:val="20"/>
                                <w:lang w:val="en-US"/>
                                <w14:ligatures w14:val="none"/>
                              </w:rPr>
                              <w:t>The Union government of India has not yet adopted Green Budgeting</w:t>
                            </w:r>
                            <w:r w:rsidR="001B13CE">
                              <w:rPr>
                                <w:rFonts w:ascii="Arial" w:eastAsia="Times New Roman" w:hAnsi="Arial" w:cs="Arial"/>
                                <w:kern w:val="0"/>
                                <w:sz w:val="20"/>
                                <w:szCs w:val="20"/>
                                <w:lang w:val="en-US"/>
                                <w14:ligatures w14:val="none"/>
                              </w:rPr>
                              <w:t xml:space="preserve"> and </w:t>
                            </w:r>
                            <w:r w:rsidR="00D32DB0" w:rsidRPr="00D32DB0">
                              <w:rPr>
                                <w:rFonts w:ascii="Arial" w:eastAsia="Times New Roman" w:hAnsi="Arial" w:cs="Arial"/>
                                <w:kern w:val="0"/>
                                <w:sz w:val="20"/>
                                <w:szCs w:val="20"/>
                                <w:lang w:val="en-US"/>
                                <w14:ligatures w14:val="none"/>
                              </w:rPr>
                              <w:t xml:space="preserve">only 8 out of 36 states and UTs </w:t>
                            </w:r>
                            <w:r w:rsidR="00B13BD5">
                              <w:rPr>
                                <w:rFonts w:ascii="Arial" w:eastAsia="Times New Roman" w:hAnsi="Arial" w:cs="Arial"/>
                                <w:kern w:val="0"/>
                                <w:sz w:val="20"/>
                                <w:szCs w:val="20"/>
                                <w:lang w:val="en-US"/>
                                <w14:ligatures w14:val="none"/>
                              </w:rPr>
                              <w:t>have adopted</w:t>
                            </w:r>
                            <w:r w:rsidR="00D32DB0" w:rsidRPr="00D32DB0">
                              <w:rPr>
                                <w:rFonts w:ascii="Arial" w:eastAsia="Times New Roman" w:hAnsi="Arial" w:cs="Arial"/>
                                <w:kern w:val="0"/>
                                <w:sz w:val="20"/>
                                <w:szCs w:val="20"/>
                                <w:lang w:val="en-US"/>
                                <w14:ligatures w14:val="none"/>
                              </w:rPr>
                              <w:t xml:space="preserve"> it so far. </w:t>
                            </w:r>
                            <w:r w:rsidR="00B820A4">
                              <w:rPr>
                                <w:rFonts w:ascii="Arial" w:eastAsia="Times New Roman" w:hAnsi="Arial" w:cs="Arial"/>
                                <w:kern w:val="0"/>
                                <w:sz w:val="20"/>
                                <w:szCs w:val="20"/>
                                <w:lang w:val="en-US"/>
                                <w14:ligatures w14:val="none"/>
                              </w:rPr>
                              <w:t>Moreover</w:t>
                            </w:r>
                            <w:r w:rsidR="00D32DB0" w:rsidRPr="00D32DB0">
                              <w:rPr>
                                <w:rFonts w:ascii="Arial" w:eastAsia="Times New Roman" w:hAnsi="Arial" w:cs="Arial"/>
                                <w:kern w:val="0"/>
                                <w:sz w:val="20"/>
                                <w:szCs w:val="20"/>
                                <w:lang w:val="en-US"/>
                                <w14:ligatures w14:val="none"/>
                              </w:rPr>
                              <w:t xml:space="preserve">, in the absence of a uniform national framework, states have </w:t>
                            </w:r>
                            <w:r w:rsidR="00062FA8">
                              <w:rPr>
                                <w:rFonts w:ascii="Arial" w:eastAsia="Times New Roman" w:hAnsi="Arial" w:cs="Arial"/>
                                <w:kern w:val="0"/>
                                <w:sz w:val="20"/>
                                <w:szCs w:val="20"/>
                                <w:lang w:val="en-US"/>
                                <w14:ligatures w14:val="none"/>
                              </w:rPr>
                              <w:t>used</w:t>
                            </w:r>
                            <w:r w:rsidR="00D32DB0" w:rsidRPr="00D32DB0">
                              <w:rPr>
                                <w:rFonts w:ascii="Arial" w:eastAsia="Times New Roman" w:hAnsi="Arial" w:cs="Arial"/>
                                <w:kern w:val="0"/>
                                <w:sz w:val="20"/>
                                <w:szCs w:val="20"/>
                                <w:lang w:val="en-US"/>
                                <w14:ligatures w14:val="none"/>
                              </w:rPr>
                              <w:t xml:space="preserve"> diverse methodologies</w:t>
                            </w:r>
                            <w:r w:rsidR="00854160">
                              <w:rPr>
                                <w:rFonts w:ascii="Arial" w:eastAsia="Times New Roman" w:hAnsi="Arial" w:cs="Arial"/>
                                <w:kern w:val="0"/>
                                <w:sz w:val="20"/>
                                <w:szCs w:val="20"/>
                                <w:lang w:val="en-US"/>
                                <w14:ligatures w14:val="none"/>
                              </w:rPr>
                              <w:t xml:space="preserve">, </w:t>
                            </w:r>
                            <w:r w:rsidR="00D32DB0" w:rsidRPr="00D32DB0">
                              <w:rPr>
                                <w:rFonts w:ascii="Arial" w:eastAsia="Times New Roman" w:hAnsi="Arial" w:cs="Arial"/>
                                <w:kern w:val="0"/>
                                <w:sz w:val="20"/>
                                <w:szCs w:val="20"/>
                                <w:lang w:val="en-US"/>
                                <w14:ligatures w14:val="none"/>
                              </w:rPr>
                              <w:t xml:space="preserve">leading to inconsistencies. SDG mapping and integration of gender dimensions are limited. Challenges such as inadequate technical </w:t>
                            </w:r>
                            <w:r w:rsidR="004F5048">
                              <w:rPr>
                                <w:rFonts w:ascii="Arial" w:eastAsia="Times New Roman" w:hAnsi="Arial" w:cs="Arial"/>
                                <w:kern w:val="0"/>
                                <w:sz w:val="20"/>
                                <w:szCs w:val="20"/>
                                <w:lang w:val="en-US"/>
                                <w14:ligatures w14:val="none"/>
                              </w:rPr>
                              <w:t>knowledge</w:t>
                            </w:r>
                            <w:r w:rsidR="00D32DB0" w:rsidRPr="00D32DB0">
                              <w:rPr>
                                <w:rFonts w:ascii="Arial" w:eastAsia="Times New Roman" w:hAnsi="Arial" w:cs="Arial"/>
                                <w:kern w:val="0"/>
                                <w:sz w:val="20"/>
                                <w:szCs w:val="20"/>
                                <w:lang w:val="en-US"/>
                                <w14:ligatures w14:val="none"/>
                              </w:rPr>
                              <w:t xml:space="preserve">, exclusion of environmentally harmful </w:t>
                            </w:r>
                            <w:r w:rsidR="00783F2D">
                              <w:rPr>
                                <w:rFonts w:ascii="Arial" w:eastAsia="Times New Roman" w:hAnsi="Arial" w:cs="Arial"/>
                                <w:kern w:val="0"/>
                                <w:sz w:val="20"/>
                                <w:szCs w:val="20"/>
                                <w:lang w:val="en-US"/>
                                <w14:ligatures w14:val="none"/>
                              </w:rPr>
                              <w:t>expenditures</w:t>
                            </w:r>
                            <w:r w:rsidR="00D32DB0" w:rsidRPr="00D32DB0">
                              <w:rPr>
                                <w:rFonts w:ascii="Arial" w:eastAsia="Times New Roman" w:hAnsi="Arial" w:cs="Arial"/>
                                <w:kern w:val="0"/>
                                <w:sz w:val="20"/>
                                <w:szCs w:val="20"/>
                                <w:lang w:val="en-US"/>
                                <w14:ligatures w14:val="none"/>
                              </w:rPr>
                              <w:t xml:space="preserve">, and a narrow focus on </w:t>
                            </w:r>
                            <w:r w:rsidR="006A2225">
                              <w:rPr>
                                <w:rFonts w:ascii="Arial" w:eastAsia="Times New Roman" w:hAnsi="Arial" w:cs="Arial"/>
                                <w:kern w:val="0"/>
                                <w:sz w:val="20"/>
                                <w:szCs w:val="20"/>
                                <w:lang w:val="en-US"/>
                                <w14:ligatures w14:val="none"/>
                              </w:rPr>
                              <w:t xml:space="preserve">only </w:t>
                            </w:r>
                            <w:r w:rsidR="00D32DB0" w:rsidRPr="00D32DB0">
                              <w:rPr>
                                <w:rFonts w:ascii="Arial" w:eastAsia="Times New Roman" w:hAnsi="Arial" w:cs="Arial"/>
                                <w:kern w:val="0"/>
                                <w:sz w:val="20"/>
                                <w:szCs w:val="20"/>
                                <w:lang w:val="en-US"/>
                                <w14:ligatures w14:val="none"/>
                              </w:rPr>
                              <w:t xml:space="preserve">direct </w:t>
                            </w:r>
                            <w:r w:rsidR="009B3272">
                              <w:rPr>
                                <w:rFonts w:ascii="Arial" w:eastAsia="Times New Roman" w:hAnsi="Arial" w:cs="Arial"/>
                                <w:kern w:val="0"/>
                                <w:sz w:val="20"/>
                                <w:szCs w:val="20"/>
                                <w:lang w:val="en-US"/>
                                <w14:ligatures w14:val="none"/>
                              </w:rPr>
                              <w:t>environmental</w:t>
                            </w:r>
                            <w:r w:rsidR="00D32DB0" w:rsidRPr="00D32DB0">
                              <w:rPr>
                                <w:rFonts w:ascii="Arial" w:eastAsia="Times New Roman" w:hAnsi="Arial" w:cs="Arial"/>
                                <w:kern w:val="0"/>
                                <w:sz w:val="20"/>
                                <w:szCs w:val="20"/>
                                <w:lang w:val="en-US"/>
                                <w14:ligatures w14:val="none"/>
                              </w:rPr>
                              <w:t xml:space="preserve"> benefits hinder comprehensive assessments. Additionally, states rely heavily on traditional climate finance sources. The absence of a national oversight mechanism further limits standardization and best practice adoption, highlighting the need for systemic reforms inspired by OECD models.</w:t>
                            </w:r>
                            <w:r w:rsidR="0049268E">
                              <w:rPr>
                                <w:rFonts w:ascii="Arial" w:eastAsia="Times New Roman" w:hAnsi="Arial" w:cs="Arial"/>
                                <w:kern w:val="0"/>
                                <w:sz w:val="20"/>
                                <w:szCs w:val="20"/>
                                <w:lang w:val="en-US"/>
                                <w14:ligatures w14:val="none"/>
                              </w:rPr>
                              <w:t xml:space="preserve"> Thus, the need to establish</w:t>
                            </w:r>
                            <w:r w:rsidR="00DC2EB2">
                              <w:rPr>
                                <w:rFonts w:ascii="Arial" w:eastAsia="Times New Roman" w:hAnsi="Arial" w:cs="Arial"/>
                                <w:kern w:val="0"/>
                                <w:sz w:val="20"/>
                                <w:szCs w:val="20"/>
                                <w:lang w:val="en-US"/>
                                <w14:ligatures w14:val="none"/>
                              </w:rPr>
                              <w:t xml:space="preserve"> a standard Green Budgeting framework </w:t>
                            </w:r>
                            <w:r w:rsidR="0040672A">
                              <w:rPr>
                                <w:rFonts w:ascii="Arial" w:eastAsia="Times New Roman" w:hAnsi="Arial" w:cs="Arial"/>
                                <w:kern w:val="0"/>
                                <w:sz w:val="20"/>
                                <w:szCs w:val="20"/>
                                <w:lang w:val="en-US"/>
                                <w14:ligatures w14:val="none"/>
                              </w:rPr>
                              <w:t xml:space="preserve">in India </w:t>
                            </w:r>
                            <w:r w:rsidR="00DC2EB2">
                              <w:rPr>
                                <w:rFonts w:ascii="Arial" w:eastAsia="Times New Roman" w:hAnsi="Arial" w:cs="Arial"/>
                                <w:kern w:val="0"/>
                                <w:sz w:val="20"/>
                                <w:szCs w:val="20"/>
                                <w:lang w:val="en-US"/>
                                <w14:ligatures w14:val="none"/>
                              </w:rPr>
                              <w:t>is imperative.</w:t>
                            </w:r>
                            <w:r w:rsidR="001E5C63">
                              <w:rPr>
                                <w:rFonts w:ascii="Arial" w:eastAsia="Times New Roman" w:hAnsi="Arial" w:cs="Arial"/>
                                <w:kern w:val="0"/>
                                <w:sz w:val="20"/>
                                <w:szCs w:val="20"/>
                                <w:lang w:val="en-US"/>
                                <w14:ligatures w14:val="none"/>
                              </w:rPr>
                              <w:t xml:space="preserve"> </w:t>
                            </w:r>
                            <w:r w:rsidR="005E7A28">
                              <w:rPr>
                                <w:rFonts w:ascii="Arial" w:eastAsia="Times New Roman" w:hAnsi="Arial" w:cs="Arial"/>
                                <w:kern w:val="0"/>
                                <w:sz w:val="20"/>
                                <w:szCs w:val="20"/>
                                <w:lang w:val="en-US"/>
                                <w14:ligatures w14:val="none"/>
                              </w:rPr>
                              <w:t>In this context, the</w:t>
                            </w:r>
                            <w:r w:rsidR="001E5C63" w:rsidRPr="001E5C63">
                              <w:rPr>
                                <w:rFonts w:ascii="Arial" w:eastAsia="Times New Roman" w:hAnsi="Arial" w:cs="Arial"/>
                                <w:kern w:val="0"/>
                                <w:sz w:val="20"/>
                                <w:szCs w:val="20"/>
                                <w:lang w:val="en-US"/>
                                <w14:ligatures w14:val="none"/>
                              </w:rPr>
                              <w:t xml:space="preserve"> paper </w:t>
                            </w:r>
                            <w:r w:rsidR="00243838" w:rsidRPr="00243838">
                              <w:rPr>
                                <w:rFonts w:ascii="Arial" w:eastAsia="Times New Roman" w:hAnsi="Arial" w:cs="Arial"/>
                                <w:kern w:val="0"/>
                                <w:sz w:val="20"/>
                                <w:szCs w:val="20"/>
                                <w:lang w:val="en-US"/>
                                <w14:ligatures w14:val="none"/>
                              </w:rPr>
                              <w:t>outlines</w:t>
                            </w:r>
                            <w:r w:rsidR="001E5C63" w:rsidRPr="001E5C63">
                              <w:rPr>
                                <w:rFonts w:ascii="Arial" w:eastAsia="Times New Roman" w:hAnsi="Arial" w:cs="Arial"/>
                                <w:kern w:val="0"/>
                                <w:sz w:val="20"/>
                                <w:szCs w:val="20"/>
                                <w:lang w:val="en-US"/>
                                <w14:ligatures w14:val="none"/>
                              </w:rPr>
                              <w:t xml:space="preserve"> key elements </w:t>
                            </w:r>
                            <w:r w:rsidR="00243838" w:rsidRPr="00243838">
                              <w:rPr>
                                <w:rFonts w:ascii="Arial" w:eastAsia="Times New Roman" w:hAnsi="Arial" w:cs="Arial"/>
                                <w:kern w:val="0"/>
                                <w:sz w:val="20"/>
                                <w:szCs w:val="20"/>
                                <w:lang w:val="en-US"/>
                                <w14:ligatures w14:val="none"/>
                              </w:rPr>
                              <w:t>for developing</w:t>
                            </w:r>
                            <w:r w:rsidR="001E5C63" w:rsidRPr="001E5C63">
                              <w:rPr>
                                <w:rFonts w:ascii="Arial" w:eastAsia="Times New Roman" w:hAnsi="Arial" w:cs="Arial"/>
                                <w:kern w:val="0"/>
                                <w:sz w:val="20"/>
                                <w:szCs w:val="20"/>
                                <w:lang w:val="en-US"/>
                                <w14:ligatures w14:val="none"/>
                              </w:rPr>
                              <w:t xml:space="preserve"> a comprehensive Green Budgeting framework in India </w:t>
                            </w:r>
                            <w:r w:rsidR="00577803">
                              <w:rPr>
                                <w:rFonts w:ascii="Arial" w:eastAsia="Times New Roman" w:hAnsi="Arial" w:cs="Arial"/>
                                <w:kern w:val="0"/>
                                <w:sz w:val="20"/>
                                <w:szCs w:val="20"/>
                                <w:lang w:val="en-US"/>
                                <w14:ligatures w14:val="none"/>
                              </w:rPr>
                              <w:t xml:space="preserve">and </w:t>
                            </w:r>
                            <w:r w:rsidR="00243838" w:rsidRPr="00243838">
                              <w:rPr>
                                <w:rFonts w:ascii="Arial" w:eastAsia="Times New Roman" w:hAnsi="Arial" w:cs="Arial"/>
                                <w:kern w:val="0"/>
                                <w:sz w:val="20"/>
                                <w:szCs w:val="20"/>
                                <w:lang w:val="en-US"/>
                                <w14:ligatures w14:val="none"/>
                              </w:rPr>
                              <w:t xml:space="preserve">proposes </w:t>
                            </w:r>
                            <w:r w:rsidR="00577803">
                              <w:rPr>
                                <w:rFonts w:ascii="Arial" w:eastAsia="Times New Roman" w:hAnsi="Arial" w:cs="Arial"/>
                                <w:kern w:val="0"/>
                                <w:sz w:val="20"/>
                                <w:szCs w:val="20"/>
                                <w:lang w:val="en-US"/>
                                <w14:ligatures w14:val="none"/>
                              </w:rPr>
                              <w:t>an assessment</w:t>
                            </w:r>
                            <w:r w:rsidR="00243838" w:rsidRPr="00243838">
                              <w:rPr>
                                <w:rFonts w:ascii="Arial" w:eastAsia="Times New Roman" w:hAnsi="Arial" w:cs="Arial"/>
                                <w:kern w:val="0"/>
                                <w:sz w:val="20"/>
                                <w:szCs w:val="20"/>
                                <w:lang w:val="en-US"/>
                                <w14:ligatures w14:val="none"/>
                              </w:rPr>
                              <w:t xml:space="preserve"> index that could</w:t>
                            </w:r>
                            <w:r w:rsidR="001E5C63" w:rsidRPr="001E5C63">
                              <w:rPr>
                                <w:rFonts w:ascii="Arial" w:eastAsia="Times New Roman" w:hAnsi="Arial" w:cs="Arial"/>
                                <w:kern w:val="0"/>
                                <w:sz w:val="20"/>
                                <w:szCs w:val="20"/>
                                <w:lang w:val="en-US"/>
                                <w14:ligatures w14:val="none"/>
                              </w:rPr>
                              <w:t xml:space="preserve"> serve as a reference for the </w:t>
                            </w:r>
                            <w:r w:rsidR="00243838" w:rsidRPr="00243838">
                              <w:rPr>
                                <w:rFonts w:ascii="Arial" w:eastAsia="Times New Roman" w:hAnsi="Arial" w:cs="Arial"/>
                                <w:kern w:val="0"/>
                                <w:sz w:val="20"/>
                                <w:szCs w:val="20"/>
                                <w:lang w:val="en-US"/>
                                <w14:ligatures w14:val="none"/>
                              </w:rPr>
                              <w:t>Government of India</w:t>
                            </w:r>
                            <w:r w:rsidR="00ED6D92">
                              <w:rPr>
                                <w:rFonts w:ascii="Arial" w:eastAsia="Times New Roman" w:hAnsi="Arial" w:cs="Arial"/>
                                <w:kern w:val="0"/>
                                <w:sz w:val="20"/>
                                <w:szCs w:val="20"/>
                                <w:lang w:val="en-US"/>
                                <w14:ligatures w14:val="none"/>
                              </w:rPr>
                              <w:t>.</w:t>
                            </w:r>
                          </w:p>
                          <w:p w14:paraId="64C5A29F" w14:textId="77777777" w:rsidR="006B163B" w:rsidRPr="00CC4E89" w:rsidRDefault="006B163B" w:rsidP="006B163B">
                            <w:pPr>
                              <w:spacing w:line="276" w:lineRule="auto"/>
                              <w:jc w:val="both"/>
                              <w:rPr>
                                <w:rFonts w:ascii="Arial" w:hAnsi="Arial" w:cs="Arial"/>
                                <w:sz w:val="20"/>
                                <w:szCs w:val="20"/>
                              </w:rPr>
                            </w:pPr>
                            <w:r w:rsidRPr="00CC4E89">
                              <w:rPr>
                                <w:rFonts w:ascii="Arial" w:hAnsi="Arial" w:cs="Arial"/>
                                <w:b/>
                                <w:sz w:val="20"/>
                                <w:szCs w:val="20"/>
                              </w:rPr>
                              <w:t>Keywords</w:t>
                            </w:r>
                            <w:r w:rsidRPr="00CC4E89">
                              <w:rPr>
                                <w:rFonts w:ascii="Arial" w:hAnsi="Arial" w:cs="Arial"/>
                                <w:sz w:val="20"/>
                                <w:szCs w:val="20"/>
                              </w:rPr>
                              <w:t xml:space="preserve"> – Green Budgeting, climate change, climate finance, Green Budgeting in India, Green Budgeting framework, Green Budgeting Index</w:t>
                            </w:r>
                          </w:p>
                          <w:p w14:paraId="17D784FD" w14:textId="0CFC9085" w:rsidR="006B163B" w:rsidRPr="00CC4E89" w:rsidRDefault="006B163B" w:rsidP="006B163B">
                            <w:pPr>
                              <w:rPr>
                                <w:rFonts w:ascii="Arial" w:hAnsi="Arial" w:cs="Arial"/>
                                <w:sz w:val="20"/>
                                <w:szCs w:val="20"/>
                              </w:rPr>
                            </w:pPr>
                            <w:r w:rsidRPr="00CC4E89">
                              <w:rPr>
                                <w:rFonts w:ascii="Arial" w:hAnsi="Arial" w:cs="Arial"/>
                                <w:b/>
                                <w:sz w:val="20"/>
                                <w:szCs w:val="20"/>
                              </w:rPr>
                              <w:t>JEL Codes</w:t>
                            </w:r>
                            <w:r w:rsidRPr="00CC4E89">
                              <w:rPr>
                                <w:rFonts w:ascii="Arial" w:hAnsi="Arial" w:cs="Arial"/>
                                <w:sz w:val="20"/>
                                <w:szCs w:val="20"/>
                              </w:rPr>
                              <w:t xml:space="preserve"> – H23, H50, H72, Q28, Q38, Q58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0CB93E" id="Rectangle 1" o:spid="_x0000_s1026" style="position:absolute;left:0;text-align:left;margin-left:0;margin-top:16.75pt;width:456.6pt;height:532.2pt;flip:y;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I5LwIAAFIEAAAOAAAAZHJzL2Uyb0RvYy54bWysVE2P0zAQvSPxHyzfadLS7rZR09WqSxHS&#10;AisWuDuOk1j4i7HbpPx6xk63dIETIgfL45l5nnlvnPXNoBU5CPDSmpJOJzklwnBbS9OW9Mvn3asl&#10;JT4wUzNljSjpUXh6s3n5Yt27QsxsZ1UtgCCI8UXvStqF4Ios87wTmvmJdcKgs7GgWUAT2qwG1iO6&#10;Vtksz6+y3kLtwHLhPZ7ejU66SfhNI3j42DReBKJKirWFtEJaq7hmmzUrWmCuk/xUBvuHKjSTBi89&#10;Q92xwMge5B9QWnKw3jZhwq3ObNNILlIP2M00/62bx445kXpBcrw70+T/Hyz/cHgAImvUjhLDNEr0&#10;CUljplWCTCM9vfMFRj26B4gNendv+TdPjN12GCVuAWzfCVZjUSk+e5YQDY+ppOrf2xrR2T7YxNTQ&#10;gCaNku5rTIzQyAYZkjTHszRiCITj4eJ6tVzlrynh6Lu6XixX8yRexooIFNMd+PBWWE3ipqSAbSRY&#10;drj3ARvB0KeQ1IhVst5JpZIBbbVVQA4M52SXvtg7pvjLMGVIX9LVYrZIyM98/hIiT9/fILQMOPBK&#10;6pIuz0GsiAy+MXUax8CkGvd4vzJYxhOLoxphqIaTMJWtj0gu2HGw8SHiprPwg5Ieh7qk/vuegaBE&#10;vTMo0Go6R9pISMZ8cT1DAy491aWHGY5QJQ2UjNttGF/O3oFsO7xp1M3YWxS1kYnkWOpY1aluHNxE&#10;5OmRxZdxaaeoX7+CzU8AAAD//wMAUEsDBBQABgAIAAAAIQC/g8ti3QAAAAgBAAAPAAAAZHJzL2Rv&#10;d25yZXYueG1sTI9BS8NAFITvgv9heYI3u2lSbROzKSIIeilYhV432WcSzL4Nu9s0+fc+T3ocZpj5&#10;ptzPdhAT+tA7UrBeJSCQGmd6ahV8frzc7UCEqMnowREqWDDAvrq+KnVh3IXecTrGVnAJhUIr6GIc&#10;CylD06HVYeVGJPa+nLc6svStNF5fuNwOMk2SB2l1T7zQ6RGfO2y+j2er4HU81G8+tcthU2/kMjdZ&#10;mE4npW5v5qdHEBHn+BeGX3xGh4qZancmE8SggI9EBVl2D4LdfJ2lIGqOJfk2B1mV8v+B6gcAAP//&#10;AwBQSwECLQAUAAYACAAAACEAtoM4kv4AAADhAQAAEwAAAAAAAAAAAAAAAAAAAAAAW0NvbnRlbnRf&#10;VHlwZXNdLnhtbFBLAQItABQABgAIAAAAIQA4/SH/1gAAAJQBAAALAAAAAAAAAAAAAAAAAC8BAABf&#10;cmVscy8ucmVsc1BLAQItABQABgAIAAAAIQC2kNI5LwIAAFIEAAAOAAAAAAAAAAAAAAAAAC4CAABk&#10;cnMvZTJvRG9jLnhtbFBLAQItABQABgAIAAAAIQC/g8ti3QAAAAgBAAAPAAAAAAAAAAAAAAAAAIkE&#10;AABkcnMvZG93bnJldi54bWxQSwUGAAAAAAQABADzAAAAkwUAAAAA&#10;">
                <v:textbox>
                  <w:txbxContent>
                    <w:p w14:paraId="3F5D350C" w14:textId="7777777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The worsening environmental crisis and the increasingly visible impacts of climate change have made environmental conservation, climate change mitigation, and adaptation urgent priorities for governments around the world. However, fiscal constraints remain a significant barrier, as the scale of climate and green finance needs far exceeds the available public resources. In this context, ensuring efficient allocation of limited resources across green initiatives is critical to achieving environmental objectives while balancing developmental needs.</w:t>
                      </w:r>
                    </w:p>
                    <w:p w14:paraId="75C8D2E4" w14:textId="7777777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Green Budgeting has emerged as a</w:t>
                      </w:r>
                      <w:bookmarkStart w:id="1" w:name="_GoBack"/>
                      <w:bookmarkEnd w:id="1"/>
                      <w:r w:rsidRPr="00CC4E89">
                        <w:rPr>
                          <w:rFonts w:ascii="Arial" w:eastAsia="Times New Roman" w:hAnsi="Arial" w:cs="Arial"/>
                          <w:kern w:val="0"/>
                          <w:sz w:val="20"/>
                          <w:szCs w:val="20"/>
                          <w:lang w:val="en-US"/>
                          <w14:ligatures w14:val="none"/>
                        </w:rPr>
                        <w:t xml:space="preserve"> promising tool for aligning public financial management with environmental objectives. When designed and implemented effectively, it can help governments prioritize spending, enhance transparency, and integrate climate considerations into fiscal decision-making.</w:t>
                      </w:r>
                    </w:p>
                    <w:p w14:paraId="344F643F" w14:textId="7550720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This paper undertakes a four-pronged analysis. First, it reviews the major Green Budgeting frameworks adopted globally, highlighting their key features. Second, it examines the Green and Climate Budgeting approaches implemented by the Indian states and union territories, comparing them with the international best practices to identify gaps and areas for improvement. Third, it proposes the key elements that may be considered for the Green Budgeting framework in India—one that aligns with the country’s long-term environmental goals, considers the institutional and fiscal challenges faced by state governments, and provides guidance on integration across the budget cycle. Lastly, it</w:t>
                      </w:r>
                      <w:r w:rsidRPr="00CC4E89">
                        <w:rPr>
                          <w:sz w:val="20"/>
                          <w:szCs w:val="20"/>
                        </w:rPr>
                        <w:t xml:space="preserve"> </w:t>
                      </w:r>
                      <w:r w:rsidRPr="00CC4E89">
                        <w:rPr>
                          <w:rFonts w:ascii="Arial" w:eastAsia="Times New Roman" w:hAnsi="Arial" w:cs="Arial"/>
                          <w:kern w:val="0"/>
                          <w:sz w:val="20"/>
                          <w:szCs w:val="20"/>
                          <w:lang w:val="en-US"/>
                          <w14:ligatures w14:val="none"/>
                        </w:rPr>
                        <w:t>proposes a Green Budgeting Index to assess the performance of Indian states in implementing Green Budgeting.</w:t>
                      </w:r>
                      <w:r w:rsidR="007B2924">
                        <w:rPr>
                          <w:rFonts w:ascii="Arial" w:eastAsia="Times New Roman" w:hAnsi="Arial" w:cs="Arial"/>
                          <w:kern w:val="0"/>
                          <w:sz w:val="20"/>
                          <w:szCs w:val="20"/>
                          <w:lang w:val="en-US"/>
                          <w14:ligatures w14:val="none"/>
                        </w:rPr>
                        <w:t xml:space="preserve"> </w:t>
                      </w:r>
                      <w:r w:rsidR="007B2924" w:rsidRPr="007B2924">
                        <w:rPr>
                          <w:rFonts w:ascii="Arial" w:eastAsia="Times New Roman" w:hAnsi="Arial" w:cs="Arial"/>
                          <w:kern w:val="0"/>
                          <w:sz w:val="20"/>
                          <w:szCs w:val="20"/>
                          <w:lang w:val="en-US"/>
                          <w14:ligatures w14:val="none"/>
                        </w:rPr>
                        <w:t>The study seeks to offer practical insights into how Green Budgeting can be standardized, scaled, and made more effective in India and similar emerging economies.</w:t>
                      </w:r>
                    </w:p>
                    <w:p w14:paraId="1D931B47" w14:textId="2B21A1EF" w:rsidR="00C30E3A" w:rsidRPr="00CC4E89" w:rsidRDefault="002F338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Pr>
                          <w:rFonts w:ascii="Arial" w:eastAsia="Times New Roman" w:hAnsi="Arial" w:cs="Arial"/>
                          <w:kern w:val="0"/>
                          <w:sz w:val="20"/>
                          <w:szCs w:val="20"/>
                          <w:lang w:val="en-US"/>
                          <w14:ligatures w14:val="none"/>
                        </w:rPr>
                        <w:t xml:space="preserve">This study observes that </w:t>
                      </w:r>
                      <w:r w:rsidR="00D32DB0" w:rsidRPr="00D32DB0">
                        <w:rPr>
                          <w:rFonts w:ascii="Arial" w:eastAsia="Times New Roman" w:hAnsi="Arial" w:cs="Arial"/>
                          <w:kern w:val="0"/>
                          <w:sz w:val="20"/>
                          <w:szCs w:val="20"/>
                          <w:lang w:val="en-US"/>
                          <w14:ligatures w14:val="none"/>
                        </w:rPr>
                        <w:t xml:space="preserve">Green Budgeting </w:t>
                      </w:r>
                      <w:r>
                        <w:rPr>
                          <w:rFonts w:ascii="Arial" w:eastAsia="Times New Roman" w:hAnsi="Arial" w:cs="Arial"/>
                          <w:kern w:val="0"/>
                          <w:sz w:val="20"/>
                          <w:szCs w:val="20"/>
                          <w:lang w:val="en-US"/>
                          <w14:ligatures w14:val="none"/>
                        </w:rPr>
                        <w:t>is</w:t>
                      </w:r>
                      <w:r w:rsidR="00D32DB0" w:rsidRPr="00D32DB0">
                        <w:rPr>
                          <w:rFonts w:ascii="Arial" w:eastAsia="Times New Roman" w:hAnsi="Arial" w:cs="Arial"/>
                          <w:kern w:val="0"/>
                          <w:sz w:val="20"/>
                          <w:szCs w:val="20"/>
                          <w:lang w:val="en-US"/>
                          <w14:ligatures w14:val="none"/>
                        </w:rPr>
                        <w:t xml:space="preserve"> largely absent in India at both national and subnational levels</w:t>
                      </w:r>
                      <w:r w:rsidR="001B13CE">
                        <w:rPr>
                          <w:rFonts w:ascii="Arial" w:eastAsia="Times New Roman" w:hAnsi="Arial" w:cs="Arial"/>
                          <w:kern w:val="0"/>
                          <w:sz w:val="20"/>
                          <w:szCs w:val="20"/>
                          <w:lang w:val="en-US"/>
                          <w14:ligatures w14:val="none"/>
                        </w:rPr>
                        <w:t xml:space="preserve">. </w:t>
                      </w:r>
                      <w:r w:rsidR="001B13CE" w:rsidRPr="001B13CE">
                        <w:rPr>
                          <w:rFonts w:ascii="Arial" w:eastAsia="Times New Roman" w:hAnsi="Arial" w:cs="Arial"/>
                          <w:kern w:val="0"/>
                          <w:sz w:val="20"/>
                          <w:szCs w:val="20"/>
                          <w:lang w:val="en-US"/>
                          <w14:ligatures w14:val="none"/>
                        </w:rPr>
                        <w:t>The Union government of India has not yet adopted Green Budgeting</w:t>
                      </w:r>
                      <w:r w:rsidR="001B13CE">
                        <w:rPr>
                          <w:rFonts w:ascii="Arial" w:eastAsia="Times New Roman" w:hAnsi="Arial" w:cs="Arial"/>
                          <w:kern w:val="0"/>
                          <w:sz w:val="20"/>
                          <w:szCs w:val="20"/>
                          <w:lang w:val="en-US"/>
                          <w14:ligatures w14:val="none"/>
                        </w:rPr>
                        <w:t xml:space="preserve"> and </w:t>
                      </w:r>
                      <w:r w:rsidR="00D32DB0" w:rsidRPr="00D32DB0">
                        <w:rPr>
                          <w:rFonts w:ascii="Arial" w:eastAsia="Times New Roman" w:hAnsi="Arial" w:cs="Arial"/>
                          <w:kern w:val="0"/>
                          <w:sz w:val="20"/>
                          <w:szCs w:val="20"/>
                          <w:lang w:val="en-US"/>
                          <w14:ligatures w14:val="none"/>
                        </w:rPr>
                        <w:t xml:space="preserve">only 8 out of 36 states and UTs </w:t>
                      </w:r>
                      <w:r w:rsidR="00B13BD5">
                        <w:rPr>
                          <w:rFonts w:ascii="Arial" w:eastAsia="Times New Roman" w:hAnsi="Arial" w:cs="Arial"/>
                          <w:kern w:val="0"/>
                          <w:sz w:val="20"/>
                          <w:szCs w:val="20"/>
                          <w:lang w:val="en-US"/>
                          <w14:ligatures w14:val="none"/>
                        </w:rPr>
                        <w:t>have adopted</w:t>
                      </w:r>
                      <w:r w:rsidR="00D32DB0" w:rsidRPr="00D32DB0">
                        <w:rPr>
                          <w:rFonts w:ascii="Arial" w:eastAsia="Times New Roman" w:hAnsi="Arial" w:cs="Arial"/>
                          <w:kern w:val="0"/>
                          <w:sz w:val="20"/>
                          <w:szCs w:val="20"/>
                          <w:lang w:val="en-US"/>
                          <w14:ligatures w14:val="none"/>
                        </w:rPr>
                        <w:t xml:space="preserve"> it so far. </w:t>
                      </w:r>
                      <w:r w:rsidR="00B820A4">
                        <w:rPr>
                          <w:rFonts w:ascii="Arial" w:eastAsia="Times New Roman" w:hAnsi="Arial" w:cs="Arial"/>
                          <w:kern w:val="0"/>
                          <w:sz w:val="20"/>
                          <w:szCs w:val="20"/>
                          <w:lang w:val="en-US"/>
                          <w14:ligatures w14:val="none"/>
                        </w:rPr>
                        <w:t>Moreover</w:t>
                      </w:r>
                      <w:r w:rsidR="00D32DB0" w:rsidRPr="00D32DB0">
                        <w:rPr>
                          <w:rFonts w:ascii="Arial" w:eastAsia="Times New Roman" w:hAnsi="Arial" w:cs="Arial"/>
                          <w:kern w:val="0"/>
                          <w:sz w:val="20"/>
                          <w:szCs w:val="20"/>
                          <w:lang w:val="en-US"/>
                          <w14:ligatures w14:val="none"/>
                        </w:rPr>
                        <w:t xml:space="preserve">, in the absence of a uniform national framework, states have </w:t>
                      </w:r>
                      <w:r w:rsidR="00062FA8">
                        <w:rPr>
                          <w:rFonts w:ascii="Arial" w:eastAsia="Times New Roman" w:hAnsi="Arial" w:cs="Arial"/>
                          <w:kern w:val="0"/>
                          <w:sz w:val="20"/>
                          <w:szCs w:val="20"/>
                          <w:lang w:val="en-US"/>
                          <w14:ligatures w14:val="none"/>
                        </w:rPr>
                        <w:t>used</w:t>
                      </w:r>
                      <w:r w:rsidR="00D32DB0" w:rsidRPr="00D32DB0">
                        <w:rPr>
                          <w:rFonts w:ascii="Arial" w:eastAsia="Times New Roman" w:hAnsi="Arial" w:cs="Arial"/>
                          <w:kern w:val="0"/>
                          <w:sz w:val="20"/>
                          <w:szCs w:val="20"/>
                          <w:lang w:val="en-US"/>
                          <w14:ligatures w14:val="none"/>
                        </w:rPr>
                        <w:t xml:space="preserve"> diverse methodologies</w:t>
                      </w:r>
                      <w:r w:rsidR="00854160">
                        <w:rPr>
                          <w:rFonts w:ascii="Arial" w:eastAsia="Times New Roman" w:hAnsi="Arial" w:cs="Arial"/>
                          <w:kern w:val="0"/>
                          <w:sz w:val="20"/>
                          <w:szCs w:val="20"/>
                          <w:lang w:val="en-US"/>
                          <w14:ligatures w14:val="none"/>
                        </w:rPr>
                        <w:t xml:space="preserve">, </w:t>
                      </w:r>
                      <w:r w:rsidR="00D32DB0" w:rsidRPr="00D32DB0">
                        <w:rPr>
                          <w:rFonts w:ascii="Arial" w:eastAsia="Times New Roman" w:hAnsi="Arial" w:cs="Arial"/>
                          <w:kern w:val="0"/>
                          <w:sz w:val="20"/>
                          <w:szCs w:val="20"/>
                          <w:lang w:val="en-US"/>
                          <w14:ligatures w14:val="none"/>
                        </w:rPr>
                        <w:t xml:space="preserve">leading to inconsistencies. SDG mapping and integration of gender dimensions are limited. Challenges such as inadequate technical </w:t>
                      </w:r>
                      <w:r w:rsidR="004F5048">
                        <w:rPr>
                          <w:rFonts w:ascii="Arial" w:eastAsia="Times New Roman" w:hAnsi="Arial" w:cs="Arial"/>
                          <w:kern w:val="0"/>
                          <w:sz w:val="20"/>
                          <w:szCs w:val="20"/>
                          <w:lang w:val="en-US"/>
                          <w14:ligatures w14:val="none"/>
                        </w:rPr>
                        <w:t>knowledge</w:t>
                      </w:r>
                      <w:r w:rsidR="00D32DB0" w:rsidRPr="00D32DB0">
                        <w:rPr>
                          <w:rFonts w:ascii="Arial" w:eastAsia="Times New Roman" w:hAnsi="Arial" w:cs="Arial"/>
                          <w:kern w:val="0"/>
                          <w:sz w:val="20"/>
                          <w:szCs w:val="20"/>
                          <w:lang w:val="en-US"/>
                          <w14:ligatures w14:val="none"/>
                        </w:rPr>
                        <w:t xml:space="preserve">, exclusion of environmentally harmful </w:t>
                      </w:r>
                      <w:r w:rsidR="00783F2D">
                        <w:rPr>
                          <w:rFonts w:ascii="Arial" w:eastAsia="Times New Roman" w:hAnsi="Arial" w:cs="Arial"/>
                          <w:kern w:val="0"/>
                          <w:sz w:val="20"/>
                          <w:szCs w:val="20"/>
                          <w:lang w:val="en-US"/>
                          <w14:ligatures w14:val="none"/>
                        </w:rPr>
                        <w:t>expenditures</w:t>
                      </w:r>
                      <w:r w:rsidR="00D32DB0" w:rsidRPr="00D32DB0">
                        <w:rPr>
                          <w:rFonts w:ascii="Arial" w:eastAsia="Times New Roman" w:hAnsi="Arial" w:cs="Arial"/>
                          <w:kern w:val="0"/>
                          <w:sz w:val="20"/>
                          <w:szCs w:val="20"/>
                          <w:lang w:val="en-US"/>
                          <w14:ligatures w14:val="none"/>
                        </w:rPr>
                        <w:t xml:space="preserve">, and a narrow focus on </w:t>
                      </w:r>
                      <w:r w:rsidR="006A2225">
                        <w:rPr>
                          <w:rFonts w:ascii="Arial" w:eastAsia="Times New Roman" w:hAnsi="Arial" w:cs="Arial"/>
                          <w:kern w:val="0"/>
                          <w:sz w:val="20"/>
                          <w:szCs w:val="20"/>
                          <w:lang w:val="en-US"/>
                          <w14:ligatures w14:val="none"/>
                        </w:rPr>
                        <w:t xml:space="preserve">only </w:t>
                      </w:r>
                      <w:r w:rsidR="00D32DB0" w:rsidRPr="00D32DB0">
                        <w:rPr>
                          <w:rFonts w:ascii="Arial" w:eastAsia="Times New Roman" w:hAnsi="Arial" w:cs="Arial"/>
                          <w:kern w:val="0"/>
                          <w:sz w:val="20"/>
                          <w:szCs w:val="20"/>
                          <w:lang w:val="en-US"/>
                          <w14:ligatures w14:val="none"/>
                        </w:rPr>
                        <w:t xml:space="preserve">direct </w:t>
                      </w:r>
                      <w:r w:rsidR="009B3272">
                        <w:rPr>
                          <w:rFonts w:ascii="Arial" w:eastAsia="Times New Roman" w:hAnsi="Arial" w:cs="Arial"/>
                          <w:kern w:val="0"/>
                          <w:sz w:val="20"/>
                          <w:szCs w:val="20"/>
                          <w:lang w:val="en-US"/>
                          <w14:ligatures w14:val="none"/>
                        </w:rPr>
                        <w:t>environmental</w:t>
                      </w:r>
                      <w:r w:rsidR="00D32DB0" w:rsidRPr="00D32DB0">
                        <w:rPr>
                          <w:rFonts w:ascii="Arial" w:eastAsia="Times New Roman" w:hAnsi="Arial" w:cs="Arial"/>
                          <w:kern w:val="0"/>
                          <w:sz w:val="20"/>
                          <w:szCs w:val="20"/>
                          <w:lang w:val="en-US"/>
                          <w14:ligatures w14:val="none"/>
                        </w:rPr>
                        <w:t xml:space="preserve"> benefits hinder comprehensive assessments. Additionally, states rely heavily on traditional climate finance sources. The absence of a national oversight mechanism further limits standardization and best practice adoption, highlighting the need for systemic reforms inspired by OECD models.</w:t>
                      </w:r>
                      <w:r w:rsidR="0049268E">
                        <w:rPr>
                          <w:rFonts w:ascii="Arial" w:eastAsia="Times New Roman" w:hAnsi="Arial" w:cs="Arial"/>
                          <w:kern w:val="0"/>
                          <w:sz w:val="20"/>
                          <w:szCs w:val="20"/>
                          <w:lang w:val="en-US"/>
                          <w14:ligatures w14:val="none"/>
                        </w:rPr>
                        <w:t xml:space="preserve"> Thus, the need to establish</w:t>
                      </w:r>
                      <w:r w:rsidR="00DC2EB2">
                        <w:rPr>
                          <w:rFonts w:ascii="Arial" w:eastAsia="Times New Roman" w:hAnsi="Arial" w:cs="Arial"/>
                          <w:kern w:val="0"/>
                          <w:sz w:val="20"/>
                          <w:szCs w:val="20"/>
                          <w:lang w:val="en-US"/>
                          <w14:ligatures w14:val="none"/>
                        </w:rPr>
                        <w:t xml:space="preserve"> a standard Green Budgeting framework </w:t>
                      </w:r>
                      <w:r w:rsidR="0040672A">
                        <w:rPr>
                          <w:rFonts w:ascii="Arial" w:eastAsia="Times New Roman" w:hAnsi="Arial" w:cs="Arial"/>
                          <w:kern w:val="0"/>
                          <w:sz w:val="20"/>
                          <w:szCs w:val="20"/>
                          <w:lang w:val="en-US"/>
                          <w14:ligatures w14:val="none"/>
                        </w:rPr>
                        <w:t xml:space="preserve">in India </w:t>
                      </w:r>
                      <w:r w:rsidR="00DC2EB2">
                        <w:rPr>
                          <w:rFonts w:ascii="Arial" w:eastAsia="Times New Roman" w:hAnsi="Arial" w:cs="Arial"/>
                          <w:kern w:val="0"/>
                          <w:sz w:val="20"/>
                          <w:szCs w:val="20"/>
                          <w:lang w:val="en-US"/>
                          <w14:ligatures w14:val="none"/>
                        </w:rPr>
                        <w:t>is imperative.</w:t>
                      </w:r>
                      <w:r w:rsidR="001E5C63">
                        <w:rPr>
                          <w:rFonts w:ascii="Arial" w:eastAsia="Times New Roman" w:hAnsi="Arial" w:cs="Arial"/>
                          <w:kern w:val="0"/>
                          <w:sz w:val="20"/>
                          <w:szCs w:val="20"/>
                          <w:lang w:val="en-US"/>
                          <w14:ligatures w14:val="none"/>
                        </w:rPr>
                        <w:t xml:space="preserve"> </w:t>
                      </w:r>
                      <w:r w:rsidR="005E7A28">
                        <w:rPr>
                          <w:rFonts w:ascii="Arial" w:eastAsia="Times New Roman" w:hAnsi="Arial" w:cs="Arial"/>
                          <w:kern w:val="0"/>
                          <w:sz w:val="20"/>
                          <w:szCs w:val="20"/>
                          <w:lang w:val="en-US"/>
                          <w14:ligatures w14:val="none"/>
                        </w:rPr>
                        <w:t>In this context, the</w:t>
                      </w:r>
                      <w:r w:rsidR="001E5C63" w:rsidRPr="001E5C63">
                        <w:rPr>
                          <w:rFonts w:ascii="Arial" w:eastAsia="Times New Roman" w:hAnsi="Arial" w:cs="Arial"/>
                          <w:kern w:val="0"/>
                          <w:sz w:val="20"/>
                          <w:szCs w:val="20"/>
                          <w:lang w:val="en-US"/>
                          <w14:ligatures w14:val="none"/>
                        </w:rPr>
                        <w:t xml:space="preserve"> paper </w:t>
                      </w:r>
                      <w:r w:rsidR="00243838" w:rsidRPr="00243838">
                        <w:rPr>
                          <w:rFonts w:ascii="Arial" w:eastAsia="Times New Roman" w:hAnsi="Arial" w:cs="Arial"/>
                          <w:kern w:val="0"/>
                          <w:sz w:val="20"/>
                          <w:szCs w:val="20"/>
                          <w:lang w:val="en-US"/>
                          <w14:ligatures w14:val="none"/>
                        </w:rPr>
                        <w:t>outlines</w:t>
                      </w:r>
                      <w:r w:rsidR="001E5C63" w:rsidRPr="001E5C63">
                        <w:rPr>
                          <w:rFonts w:ascii="Arial" w:eastAsia="Times New Roman" w:hAnsi="Arial" w:cs="Arial"/>
                          <w:kern w:val="0"/>
                          <w:sz w:val="20"/>
                          <w:szCs w:val="20"/>
                          <w:lang w:val="en-US"/>
                          <w14:ligatures w14:val="none"/>
                        </w:rPr>
                        <w:t xml:space="preserve"> key elements </w:t>
                      </w:r>
                      <w:r w:rsidR="00243838" w:rsidRPr="00243838">
                        <w:rPr>
                          <w:rFonts w:ascii="Arial" w:eastAsia="Times New Roman" w:hAnsi="Arial" w:cs="Arial"/>
                          <w:kern w:val="0"/>
                          <w:sz w:val="20"/>
                          <w:szCs w:val="20"/>
                          <w:lang w:val="en-US"/>
                          <w14:ligatures w14:val="none"/>
                        </w:rPr>
                        <w:t>for developing</w:t>
                      </w:r>
                      <w:r w:rsidR="001E5C63" w:rsidRPr="001E5C63">
                        <w:rPr>
                          <w:rFonts w:ascii="Arial" w:eastAsia="Times New Roman" w:hAnsi="Arial" w:cs="Arial"/>
                          <w:kern w:val="0"/>
                          <w:sz w:val="20"/>
                          <w:szCs w:val="20"/>
                          <w:lang w:val="en-US"/>
                          <w14:ligatures w14:val="none"/>
                        </w:rPr>
                        <w:t xml:space="preserve"> a comprehensive Green Budgeting framework in India </w:t>
                      </w:r>
                      <w:r w:rsidR="00577803">
                        <w:rPr>
                          <w:rFonts w:ascii="Arial" w:eastAsia="Times New Roman" w:hAnsi="Arial" w:cs="Arial"/>
                          <w:kern w:val="0"/>
                          <w:sz w:val="20"/>
                          <w:szCs w:val="20"/>
                          <w:lang w:val="en-US"/>
                          <w14:ligatures w14:val="none"/>
                        </w:rPr>
                        <w:t xml:space="preserve">and </w:t>
                      </w:r>
                      <w:r w:rsidR="00243838" w:rsidRPr="00243838">
                        <w:rPr>
                          <w:rFonts w:ascii="Arial" w:eastAsia="Times New Roman" w:hAnsi="Arial" w:cs="Arial"/>
                          <w:kern w:val="0"/>
                          <w:sz w:val="20"/>
                          <w:szCs w:val="20"/>
                          <w:lang w:val="en-US"/>
                          <w14:ligatures w14:val="none"/>
                        </w:rPr>
                        <w:t xml:space="preserve">proposes </w:t>
                      </w:r>
                      <w:r w:rsidR="00577803">
                        <w:rPr>
                          <w:rFonts w:ascii="Arial" w:eastAsia="Times New Roman" w:hAnsi="Arial" w:cs="Arial"/>
                          <w:kern w:val="0"/>
                          <w:sz w:val="20"/>
                          <w:szCs w:val="20"/>
                          <w:lang w:val="en-US"/>
                          <w14:ligatures w14:val="none"/>
                        </w:rPr>
                        <w:t>an assessment</w:t>
                      </w:r>
                      <w:r w:rsidR="00243838" w:rsidRPr="00243838">
                        <w:rPr>
                          <w:rFonts w:ascii="Arial" w:eastAsia="Times New Roman" w:hAnsi="Arial" w:cs="Arial"/>
                          <w:kern w:val="0"/>
                          <w:sz w:val="20"/>
                          <w:szCs w:val="20"/>
                          <w:lang w:val="en-US"/>
                          <w14:ligatures w14:val="none"/>
                        </w:rPr>
                        <w:t xml:space="preserve"> index that could</w:t>
                      </w:r>
                      <w:r w:rsidR="001E5C63" w:rsidRPr="001E5C63">
                        <w:rPr>
                          <w:rFonts w:ascii="Arial" w:eastAsia="Times New Roman" w:hAnsi="Arial" w:cs="Arial"/>
                          <w:kern w:val="0"/>
                          <w:sz w:val="20"/>
                          <w:szCs w:val="20"/>
                          <w:lang w:val="en-US"/>
                          <w14:ligatures w14:val="none"/>
                        </w:rPr>
                        <w:t xml:space="preserve"> serve as a reference for the </w:t>
                      </w:r>
                      <w:r w:rsidR="00243838" w:rsidRPr="00243838">
                        <w:rPr>
                          <w:rFonts w:ascii="Arial" w:eastAsia="Times New Roman" w:hAnsi="Arial" w:cs="Arial"/>
                          <w:kern w:val="0"/>
                          <w:sz w:val="20"/>
                          <w:szCs w:val="20"/>
                          <w:lang w:val="en-US"/>
                          <w14:ligatures w14:val="none"/>
                        </w:rPr>
                        <w:t>Government of India</w:t>
                      </w:r>
                      <w:r w:rsidR="00ED6D92">
                        <w:rPr>
                          <w:rFonts w:ascii="Arial" w:eastAsia="Times New Roman" w:hAnsi="Arial" w:cs="Arial"/>
                          <w:kern w:val="0"/>
                          <w:sz w:val="20"/>
                          <w:szCs w:val="20"/>
                          <w:lang w:val="en-US"/>
                          <w14:ligatures w14:val="none"/>
                        </w:rPr>
                        <w:t>.</w:t>
                      </w:r>
                    </w:p>
                    <w:p w14:paraId="64C5A29F" w14:textId="77777777" w:rsidR="006B163B" w:rsidRPr="00CC4E89" w:rsidRDefault="006B163B" w:rsidP="006B163B">
                      <w:pPr>
                        <w:spacing w:line="276" w:lineRule="auto"/>
                        <w:jc w:val="both"/>
                        <w:rPr>
                          <w:rFonts w:ascii="Arial" w:hAnsi="Arial" w:cs="Arial"/>
                          <w:sz w:val="20"/>
                          <w:szCs w:val="20"/>
                        </w:rPr>
                      </w:pPr>
                      <w:r w:rsidRPr="00CC4E89">
                        <w:rPr>
                          <w:rFonts w:ascii="Arial" w:hAnsi="Arial" w:cs="Arial"/>
                          <w:b/>
                          <w:sz w:val="20"/>
                          <w:szCs w:val="20"/>
                        </w:rPr>
                        <w:t>Keywords</w:t>
                      </w:r>
                      <w:r w:rsidRPr="00CC4E89">
                        <w:rPr>
                          <w:rFonts w:ascii="Arial" w:hAnsi="Arial" w:cs="Arial"/>
                          <w:sz w:val="20"/>
                          <w:szCs w:val="20"/>
                        </w:rPr>
                        <w:t xml:space="preserve"> – Green Budgeting, climate change, climate finance, Green Budgeting in India, Green Budgeting framework, Green Budgeting Index</w:t>
                      </w:r>
                    </w:p>
                    <w:p w14:paraId="17D784FD" w14:textId="0CFC9085" w:rsidR="006B163B" w:rsidRPr="00CC4E89" w:rsidRDefault="006B163B" w:rsidP="006B163B">
                      <w:pPr>
                        <w:rPr>
                          <w:rFonts w:ascii="Arial" w:hAnsi="Arial" w:cs="Arial"/>
                          <w:sz w:val="20"/>
                          <w:szCs w:val="20"/>
                        </w:rPr>
                      </w:pPr>
                      <w:r w:rsidRPr="00CC4E89">
                        <w:rPr>
                          <w:rFonts w:ascii="Arial" w:hAnsi="Arial" w:cs="Arial"/>
                          <w:b/>
                          <w:sz w:val="20"/>
                          <w:szCs w:val="20"/>
                        </w:rPr>
                        <w:t>JEL Codes</w:t>
                      </w:r>
                      <w:r w:rsidRPr="00CC4E89">
                        <w:rPr>
                          <w:rFonts w:ascii="Arial" w:hAnsi="Arial" w:cs="Arial"/>
                          <w:sz w:val="20"/>
                          <w:szCs w:val="20"/>
                        </w:rPr>
                        <w:t xml:space="preserve"> – H23, H50, H72, Q28, Q38, Q58</w:t>
                      </w:r>
                    </w:p>
                  </w:txbxContent>
                </v:textbox>
                <w10:wrap anchorx="margin"/>
              </v:rect>
            </w:pict>
          </mc:Fallback>
        </mc:AlternateContent>
      </w:r>
    </w:p>
    <w:p w14:paraId="77E5AB69"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7DA072B2"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lang w:val="en-US"/>
          <w14:ligatures w14:val="none"/>
        </w:rPr>
      </w:pPr>
    </w:p>
    <w:p w14:paraId="02992516"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64150EE4"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0A23879A"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337DA525"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750E32EA"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4E2363BE"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75D16BB3"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52B04599"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5302E1A0"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1F043A36"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4784AC26"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1F82E6D0" w14:textId="77777777" w:rsidR="006B163B" w:rsidRPr="006E13CD" w:rsidRDefault="006B163B" w:rsidP="00936AF2">
      <w:pPr>
        <w:spacing w:before="100" w:beforeAutospacing="1" w:after="100" w:afterAutospacing="1" w:line="276" w:lineRule="auto"/>
        <w:jc w:val="both"/>
        <w:rPr>
          <w:rFonts w:asciiTheme="minorBidi" w:eastAsia="Times New Roman" w:hAnsiTheme="minorBidi"/>
          <w:kern w:val="0"/>
          <w14:ligatures w14:val="none"/>
        </w:rPr>
      </w:pPr>
    </w:p>
    <w:p w14:paraId="7AC951FD" w14:textId="6B781966" w:rsidR="006B163B" w:rsidRPr="006E13CD" w:rsidRDefault="00EB51BC" w:rsidP="00EB51BC">
      <w:pPr>
        <w:tabs>
          <w:tab w:val="left" w:pos="2260"/>
        </w:tabs>
        <w:spacing w:before="100" w:beforeAutospacing="1" w:after="100" w:afterAutospacing="1" w:line="276" w:lineRule="auto"/>
        <w:jc w:val="both"/>
        <w:rPr>
          <w:rFonts w:asciiTheme="minorBidi" w:eastAsia="Times New Roman" w:hAnsiTheme="minorBidi"/>
          <w:kern w:val="0"/>
          <w14:ligatures w14:val="none"/>
        </w:rPr>
      </w:pPr>
      <w:r>
        <w:rPr>
          <w:rFonts w:asciiTheme="minorBidi" w:eastAsia="Times New Roman" w:hAnsiTheme="minorBidi"/>
          <w:kern w:val="0"/>
          <w14:ligatures w14:val="none"/>
        </w:rPr>
        <w:tab/>
      </w:r>
    </w:p>
    <w:p w14:paraId="01FED2BC"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69BB1C73" w14:textId="070F876F" w:rsidR="009705AF" w:rsidRPr="006E13CD" w:rsidRDefault="009705AF" w:rsidP="00292EA6">
      <w:pPr>
        <w:spacing w:line="276" w:lineRule="auto"/>
        <w:jc w:val="both"/>
        <w:rPr>
          <w:rFonts w:asciiTheme="minorBidi" w:hAnsiTheme="minorBidi"/>
        </w:rPr>
      </w:pPr>
    </w:p>
    <w:p w14:paraId="70D21259" w14:textId="4B10EE56" w:rsidR="00CF7BE2" w:rsidRPr="00CC4E89" w:rsidRDefault="00CC4E89" w:rsidP="00827CF2">
      <w:pPr>
        <w:pStyle w:val="Heading1"/>
        <w:numPr>
          <w:ilvl w:val="0"/>
          <w:numId w:val="41"/>
        </w:numPr>
        <w:rPr>
          <w:rFonts w:asciiTheme="minorBidi" w:hAnsiTheme="minorBidi" w:cstheme="minorBidi"/>
          <w:sz w:val="22"/>
          <w:szCs w:val="22"/>
        </w:rPr>
      </w:pPr>
      <w:r w:rsidRPr="00CC4E89">
        <w:rPr>
          <w:rFonts w:asciiTheme="minorBidi" w:hAnsiTheme="minorBidi" w:cstheme="minorBidi"/>
          <w:bCs/>
          <w:sz w:val="22"/>
          <w:szCs w:val="22"/>
        </w:rPr>
        <w:lastRenderedPageBreak/>
        <w:t>INTRODUCTION</w:t>
      </w:r>
    </w:p>
    <w:p w14:paraId="54B67596" w14:textId="162B86BE" w:rsidR="00912A29" w:rsidRPr="00CC4E89" w:rsidRDefault="00912A29" w:rsidP="003C4976">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The global environment is under increasing strain as the effects of climate change intensify, posing significant threats to ecosystems, human well-being, and economic stability. Rising global temperatures—primarily driven by greenhouse gas (GHG) emissions from human activities—have contributed to a surge in extreme weather events, including wildfires, hurricanes, floods, and prolonged droughts. These climate-induced disruptions are </w:t>
      </w:r>
      <w:r w:rsidR="00261AB9">
        <w:rPr>
          <w:rFonts w:asciiTheme="minorBidi" w:eastAsia="Times New Roman" w:hAnsiTheme="minorBidi"/>
          <w:kern w:val="0"/>
          <w:sz w:val="20"/>
          <w:szCs w:val="20"/>
          <w:lang w:val="en-US"/>
          <w14:ligatures w14:val="none"/>
        </w:rPr>
        <w:t>harming natural ecosystems, threatening biodiversity, and exacerbating the scarcity of essential resources, including</w:t>
      </w:r>
      <w:r w:rsidRPr="00CC4E89">
        <w:rPr>
          <w:rFonts w:asciiTheme="minorBidi" w:eastAsia="Times New Roman" w:hAnsiTheme="minorBidi"/>
          <w:kern w:val="0"/>
          <w:sz w:val="20"/>
          <w:szCs w:val="20"/>
          <w:lang w:val="en-US"/>
          <w14:ligatures w14:val="none"/>
        </w:rPr>
        <w:t xml:space="preserve"> clean water, clean air, and food.</w:t>
      </w:r>
    </w:p>
    <w:p w14:paraId="76C9E43D" w14:textId="1EDCD242" w:rsidR="00912A29" w:rsidRPr="00CC4E89" w:rsidRDefault="00912A29" w:rsidP="003C4976">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If left unaddressed, these environmental trends are likely to accelerate, endangering both human and animal life and undermining the planet’s ecological balance.</w:t>
      </w:r>
    </w:p>
    <w:p w14:paraId="061B3114" w14:textId="1DC1B84B" w:rsidR="004D0C9A" w:rsidRPr="00CC4E89" w:rsidRDefault="004D0C9A" w:rsidP="007B3D33">
      <w:pPr>
        <w:pStyle w:val="Caption"/>
        <w:keepNext/>
        <w:spacing w:line="276" w:lineRule="auto"/>
        <w:jc w:val="both"/>
        <w:rPr>
          <w:rFonts w:asciiTheme="minorBidi" w:hAnsiTheme="minorBidi"/>
          <w:sz w:val="16"/>
          <w:szCs w:val="16"/>
        </w:rPr>
      </w:pPr>
      <w:r w:rsidRPr="00CC4E89">
        <w:rPr>
          <w:rFonts w:asciiTheme="minorBidi" w:hAnsiTheme="minorBidi"/>
          <w:sz w:val="20"/>
          <w:szCs w:val="20"/>
        </w:rPr>
        <w:t>F</w:t>
      </w:r>
      <w:r w:rsidR="00617BB8" w:rsidRPr="00CC4E89">
        <w:rPr>
          <w:rFonts w:asciiTheme="minorBidi" w:hAnsiTheme="minorBidi"/>
          <w:sz w:val="20"/>
          <w:szCs w:val="20"/>
        </w:rPr>
        <w:t>igure 1</w:t>
      </w:r>
      <w:r w:rsidR="00654998" w:rsidRPr="00CC4E89">
        <w:rPr>
          <w:rFonts w:asciiTheme="minorBidi" w:hAnsiTheme="minorBidi"/>
          <w:sz w:val="20"/>
          <w:szCs w:val="20"/>
        </w:rPr>
        <w:t>:</w:t>
      </w:r>
      <w:r w:rsidR="00617BB8" w:rsidRPr="00CC4E89">
        <w:rPr>
          <w:rFonts w:asciiTheme="minorBidi" w:hAnsiTheme="minorBidi"/>
          <w:sz w:val="20"/>
          <w:szCs w:val="20"/>
        </w:rPr>
        <w:t xml:space="preserve"> </w:t>
      </w:r>
      <w:r w:rsidR="00B00DDA" w:rsidRPr="00CC4E89">
        <w:rPr>
          <w:rFonts w:asciiTheme="minorBidi" w:hAnsiTheme="minorBidi"/>
          <w:sz w:val="20"/>
          <w:szCs w:val="20"/>
        </w:rPr>
        <w:t xml:space="preserve">Increasing incidence of </w:t>
      </w:r>
      <w:r w:rsidR="009E4528" w:rsidRPr="00CC4E89">
        <w:rPr>
          <w:rFonts w:asciiTheme="minorBidi" w:hAnsiTheme="minorBidi"/>
          <w:sz w:val="20"/>
          <w:szCs w:val="20"/>
        </w:rPr>
        <w:t>c</w:t>
      </w:r>
      <w:r w:rsidR="00B00DDA" w:rsidRPr="00CC4E89">
        <w:rPr>
          <w:rFonts w:asciiTheme="minorBidi" w:hAnsiTheme="minorBidi"/>
          <w:sz w:val="20"/>
          <w:szCs w:val="20"/>
        </w:rPr>
        <w:t>limate-related</w:t>
      </w:r>
      <w:r w:rsidR="00D228A4" w:rsidRPr="00CC4E89">
        <w:rPr>
          <w:rFonts w:asciiTheme="minorBidi" w:hAnsiTheme="minorBidi"/>
          <w:sz w:val="20"/>
          <w:szCs w:val="20"/>
        </w:rPr>
        <w:t xml:space="preserve"> disasters over the years</w:t>
      </w:r>
      <w:r w:rsidR="00B00DDA" w:rsidRPr="00CC4E89">
        <w:rPr>
          <w:rFonts w:asciiTheme="minorBidi" w:hAnsiTheme="minorBidi"/>
          <w:sz w:val="20"/>
          <w:szCs w:val="20"/>
        </w:rPr>
        <w:t xml:space="preserve"> </w:t>
      </w:r>
    </w:p>
    <w:p w14:paraId="186A7506" w14:textId="2605BBB7" w:rsidR="00402135" w:rsidRPr="006E13CD" w:rsidRDefault="001711A8" w:rsidP="003C4976">
      <w:pPr>
        <w:spacing w:before="100" w:beforeAutospacing="1" w:after="100" w:afterAutospacing="1" w:line="276" w:lineRule="auto"/>
        <w:jc w:val="both"/>
        <w:rPr>
          <w:rFonts w:asciiTheme="minorBidi" w:eastAsia="Times New Roman" w:hAnsiTheme="minorBidi"/>
          <w:kern w:val="0"/>
          <w:lang w:val="en-US"/>
          <w14:ligatures w14:val="none"/>
        </w:rPr>
      </w:pPr>
      <w:r w:rsidRPr="006E13CD">
        <w:rPr>
          <w:rFonts w:asciiTheme="minorBidi" w:hAnsiTheme="minorBidi"/>
          <w:noProof/>
          <w:lang w:eastAsia="en-IN"/>
        </w:rPr>
        <w:drawing>
          <wp:inline distT="0" distB="0" distL="0" distR="0" wp14:anchorId="412F0FA0" wp14:editId="2632E73A">
            <wp:extent cx="5730657" cy="2865120"/>
            <wp:effectExtent l="19050" t="19050" r="22860" b="11430"/>
            <wp:docPr id="9" name="Picture 7" descr="Secretary-General's Action Agenda on Internal Dis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retary-General's Action Agenda on Internal Displacement"/>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3178" cy="2866381"/>
                    </a:xfrm>
                    <a:prstGeom prst="rect">
                      <a:avLst/>
                    </a:prstGeom>
                    <a:noFill/>
                    <a:ln>
                      <a:solidFill>
                        <a:schemeClr val="accent1"/>
                      </a:solidFill>
                    </a:ln>
                  </pic:spPr>
                </pic:pic>
              </a:graphicData>
            </a:graphic>
          </wp:inline>
        </w:drawing>
      </w:r>
    </w:p>
    <w:p w14:paraId="72AB4AD6" w14:textId="4E090B31" w:rsidR="00402135" w:rsidRPr="00CC4E89" w:rsidRDefault="00A17F00" w:rsidP="003C4976">
      <w:pPr>
        <w:spacing w:before="100" w:beforeAutospacing="1" w:after="100" w:afterAutospacing="1" w:line="276" w:lineRule="auto"/>
        <w:jc w:val="both"/>
        <w:rPr>
          <w:rFonts w:asciiTheme="minorBidi" w:eastAsia="Times New Roman" w:hAnsiTheme="minorBidi"/>
          <w:i/>
          <w:kern w:val="0"/>
          <w:sz w:val="20"/>
          <w:szCs w:val="20"/>
          <w:lang w:val="en-US"/>
          <w14:ligatures w14:val="none"/>
        </w:rPr>
      </w:pPr>
      <w:r w:rsidRPr="00CC4E89">
        <w:rPr>
          <w:rFonts w:asciiTheme="minorBidi" w:eastAsia="Times New Roman" w:hAnsiTheme="minorBidi"/>
          <w:i/>
          <w:kern w:val="0"/>
          <w:sz w:val="20"/>
          <w:szCs w:val="20"/>
          <w:lang w:val="en-US"/>
          <w14:ligatures w14:val="none"/>
        </w:rPr>
        <w:t xml:space="preserve">Source - </w:t>
      </w:r>
      <w:r w:rsidR="00D51F58" w:rsidRPr="00CC4E89">
        <w:rPr>
          <w:rFonts w:asciiTheme="minorBidi" w:eastAsia="Times New Roman" w:hAnsiTheme="minorBidi"/>
          <w:i/>
          <w:kern w:val="0"/>
          <w:sz w:val="20"/>
          <w:szCs w:val="20"/>
          <w:lang w:val="en-US"/>
          <w14:ligatures w14:val="none"/>
        </w:rPr>
        <w:t>World Trade Organization/Center for Research on the Epidemiology of Disasters</w:t>
      </w:r>
    </w:p>
    <w:p w14:paraId="08D278A9" w14:textId="187B0067" w:rsidR="005B00D8" w:rsidRPr="00CC4E89" w:rsidRDefault="005B00D8" w:rsidP="000C0C45">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Recognizing the gravity of the climate crisis, governments are prioritizing environmental conservation, climate mitigation, and adaptation in policy agendas. However, a persistent gap in </w:t>
      </w:r>
      <w:r w:rsidR="00F745F7" w:rsidRPr="00CC4E89">
        <w:rPr>
          <w:rFonts w:asciiTheme="minorBidi" w:eastAsia="Times New Roman" w:hAnsiTheme="minorBidi"/>
          <w:kern w:val="0"/>
          <w:sz w:val="20"/>
          <w:szCs w:val="20"/>
          <w:lang w:val="en-US"/>
          <w14:ligatures w14:val="none"/>
        </w:rPr>
        <w:t>green</w:t>
      </w:r>
      <w:r w:rsidRPr="00CC4E89">
        <w:rPr>
          <w:rFonts w:asciiTheme="minorBidi" w:eastAsia="Times New Roman" w:hAnsiTheme="minorBidi"/>
          <w:kern w:val="0"/>
          <w:sz w:val="20"/>
          <w:szCs w:val="20"/>
          <w:lang w:val="en-US"/>
          <w14:ligatures w14:val="none"/>
        </w:rPr>
        <w:t xml:space="preserve"> finance </w:t>
      </w:r>
      <w:r w:rsidR="00012992">
        <w:rPr>
          <w:rFonts w:asciiTheme="minorBidi" w:eastAsia="Times New Roman" w:hAnsiTheme="minorBidi"/>
          <w:kern w:val="0"/>
          <w:sz w:val="20"/>
          <w:szCs w:val="20"/>
          <w:lang w:val="en-US"/>
          <w14:ligatures w14:val="none"/>
        </w:rPr>
        <w:t>persists, threatening the realization</w:t>
      </w:r>
      <w:r w:rsidRPr="00CC4E89">
        <w:rPr>
          <w:rFonts w:asciiTheme="minorBidi" w:eastAsia="Times New Roman" w:hAnsiTheme="minorBidi"/>
          <w:kern w:val="0"/>
          <w:sz w:val="20"/>
          <w:szCs w:val="20"/>
          <w:lang w:val="en-US"/>
          <w14:ligatures w14:val="none"/>
        </w:rPr>
        <w:t xml:space="preserve"> of these goals. Current levels of green and climate finance fall far short of what is required to meet global climate targets.</w:t>
      </w:r>
    </w:p>
    <w:p w14:paraId="0D6BAD43" w14:textId="656FA69B" w:rsidR="005B00D8" w:rsidRPr="00CC4E89" w:rsidRDefault="00D83DDB" w:rsidP="000C0C45">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For example, a</w:t>
      </w:r>
      <w:r w:rsidR="00937767" w:rsidRPr="00CC4E89">
        <w:rPr>
          <w:rFonts w:asciiTheme="minorBidi" w:eastAsia="Times New Roman" w:hAnsiTheme="minorBidi"/>
          <w:kern w:val="0"/>
          <w:sz w:val="20"/>
          <w:szCs w:val="20"/>
          <w:lang w:val="en-US"/>
          <w14:ligatures w14:val="none"/>
        </w:rPr>
        <w:t xml:space="preserve">round 1.2 trillion USD of </w:t>
      </w:r>
      <w:r w:rsidR="00F67D75" w:rsidRPr="00CC4E89">
        <w:rPr>
          <w:rFonts w:asciiTheme="minorBidi" w:eastAsia="Times New Roman" w:hAnsiTheme="minorBidi"/>
          <w:kern w:val="0"/>
          <w:sz w:val="20"/>
          <w:szCs w:val="20"/>
          <w:lang w:val="en-US"/>
          <w14:ligatures w14:val="none"/>
        </w:rPr>
        <w:t xml:space="preserve">annual </w:t>
      </w:r>
      <w:r w:rsidR="00937767" w:rsidRPr="00CC4E89">
        <w:rPr>
          <w:rFonts w:asciiTheme="minorBidi" w:eastAsia="Times New Roman" w:hAnsiTheme="minorBidi"/>
          <w:kern w:val="0"/>
          <w:sz w:val="20"/>
          <w:szCs w:val="20"/>
          <w:lang w:val="en-US"/>
          <w14:ligatures w14:val="none"/>
        </w:rPr>
        <w:t>climate finance was realized in 2021-22, which</w:t>
      </w:r>
      <w:r w:rsidR="00AE235A" w:rsidRPr="00CC4E89">
        <w:rPr>
          <w:rFonts w:asciiTheme="minorBidi" w:eastAsia="Times New Roman" w:hAnsiTheme="minorBidi"/>
          <w:kern w:val="0"/>
          <w:sz w:val="20"/>
          <w:szCs w:val="20"/>
          <w:lang w:val="en-US"/>
          <w14:ligatures w14:val="none"/>
        </w:rPr>
        <w:t xml:space="preserve"> falls </w:t>
      </w:r>
      <w:r w:rsidR="00164382">
        <w:rPr>
          <w:rFonts w:asciiTheme="minorBidi" w:eastAsia="Times New Roman" w:hAnsiTheme="minorBidi"/>
          <w:kern w:val="0"/>
          <w:sz w:val="20"/>
          <w:szCs w:val="20"/>
          <w:lang w:val="en-US"/>
          <w14:ligatures w14:val="none"/>
        </w:rPr>
        <w:t>significantly</w:t>
      </w:r>
      <w:r w:rsidR="00AE235A" w:rsidRPr="00CC4E89">
        <w:rPr>
          <w:rFonts w:asciiTheme="minorBidi" w:eastAsia="Times New Roman" w:hAnsiTheme="minorBidi"/>
          <w:kern w:val="0"/>
          <w:sz w:val="20"/>
          <w:szCs w:val="20"/>
          <w:lang w:val="en-US"/>
          <w14:ligatures w14:val="none"/>
        </w:rPr>
        <w:t xml:space="preserve"> short of the </w:t>
      </w:r>
      <w:r w:rsidR="00EA6396">
        <w:rPr>
          <w:rFonts w:asciiTheme="minorBidi" w:eastAsia="Times New Roman" w:hAnsiTheme="minorBidi"/>
          <w:kern w:val="0"/>
          <w:sz w:val="20"/>
          <w:szCs w:val="20"/>
          <w:lang w:val="en-US"/>
          <w14:ligatures w14:val="none"/>
        </w:rPr>
        <w:t>yearly</w:t>
      </w:r>
      <w:r w:rsidR="00EA6396" w:rsidRPr="00CC4E89">
        <w:rPr>
          <w:rFonts w:asciiTheme="minorBidi" w:eastAsia="Times New Roman" w:hAnsiTheme="minorBidi"/>
          <w:kern w:val="0"/>
          <w:sz w:val="20"/>
          <w:szCs w:val="20"/>
          <w:lang w:val="en-US"/>
          <w14:ligatures w14:val="none"/>
        </w:rPr>
        <w:t xml:space="preserve"> </w:t>
      </w:r>
      <w:r w:rsidR="00AE235A" w:rsidRPr="00CC4E89">
        <w:rPr>
          <w:rFonts w:asciiTheme="minorBidi" w:eastAsia="Times New Roman" w:hAnsiTheme="minorBidi"/>
          <w:kern w:val="0"/>
          <w:sz w:val="20"/>
          <w:szCs w:val="20"/>
          <w:lang w:val="en-US"/>
          <w14:ligatures w14:val="none"/>
        </w:rPr>
        <w:t>requirement</w:t>
      </w:r>
      <w:r w:rsidR="00E722C3" w:rsidRPr="00CC4E89">
        <w:rPr>
          <w:rFonts w:asciiTheme="minorBidi" w:eastAsia="Times New Roman" w:hAnsiTheme="minorBidi"/>
          <w:kern w:val="0"/>
          <w:sz w:val="20"/>
          <w:szCs w:val="20"/>
          <w:lang w:val="en-US"/>
          <w14:ligatures w14:val="none"/>
        </w:rPr>
        <w:t xml:space="preserve"> of more than </w:t>
      </w:r>
      <w:r w:rsidR="00436339" w:rsidRPr="00CC4E89">
        <w:rPr>
          <w:rFonts w:asciiTheme="minorBidi" w:eastAsia="Times New Roman" w:hAnsiTheme="minorBidi"/>
          <w:kern w:val="0"/>
          <w:sz w:val="20"/>
          <w:szCs w:val="20"/>
          <w:lang w:val="en-US"/>
          <w14:ligatures w14:val="none"/>
        </w:rPr>
        <w:t>8 trillion USD for the year</w:t>
      </w:r>
      <w:r w:rsidR="005B00D8" w:rsidRPr="00CC4E89">
        <w:rPr>
          <w:rFonts w:asciiTheme="minorBidi" w:eastAsia="Times New Roman" w:hAnsiTheme="minorBidi"/>
          <w:kern w:val="0"/>
          <w:sz w:val="20"/>
          <w:szCs w:val="20"/>
          <w:lang w:val="en-US"/>
          <w14:ligatures w14:val="none"/>
        </w:rPr>
        <w:t xml:space="preserve">. </w:t>
      </w:r>
      <w:r w:rsidR="007E4BCF" w:rsidRPr="00CC4E89">
        <w:rPr>
          <w:rFonts w:asciiTheme="minorBidi" w:eastAsia="Times New Roman" w:hAnsiTheme="minorBidi"/>
          <w:kern w:val="0"/>
          <w:sz w:val="20"/>
          <w:szCs w:val="20"/>
          <w:lang w:val="en-US"/>
          <w14:ligatures w14:val="none"/>
        </w:rPr>
        <w:t>The annual climate finance requirement is</w:t>
      </w:r>
      <w:r w:rsidR="00DA6CBA" w:rsidRPr="00CC4E89">
        <w:rPr>
          <w:rFonts w:asciiTheme="minorBidi" w:eastAsia="Times New Roman" w:hAnsiTheme="minorBidi"/>
          <w:kern w:val="0"/>
          <w:sz w:val="20"/>
          <w:szCs w:val="20"/>
          <w:lang w:val="en-US"/>
          <w14:ligatures w14:val="none"/>
        </w:rPr>
        <w:t xml:space="preserve"> estimated</w:t>
      </w:r>
      <w:r w:rsidR="007E4BCF" w:rsidRPr="00CC4E89">
        <w:rPr>
          <w:rFonts w:asciiTheme="minorBidi" w:eastAsia="Times New Roman" w:hAnsiTheme="minorBidi"/>
          <w:kern w:val="0"/>
          <w:sz w:val="20"/>
          <w:szCs w:val="20"/>
          <w:lang w:val="en-US"/>
          <w14:ligatures w14:val="none"/>
        </w:rPr>
        <w:t xml:space="preserve"> </w:t>
      </w:r>
      <w:r w:rsidR="006370A2" w:rsidRPr="00CC4E89">
        <w:rPr>
          <w:rFonts w:asciiTheme="minorBidi" w:eastAsia="Times New Roman" w:hAnsiTheme="minorBidi"/>
          <w:kern w:val="0"/>
          <w:sz w:val="20"/>
          <w:szCs w:val="20"/>
          <w:lang w:val="en-US"/>
          <w14:ligatures w14:val="none"/>
        </w:rPr>
        <w:t>to increase to more than 12 trillion USD per year by 20</w:t>
      </w:r>
      <w:r w:rsidR="00F67D75" w:rsidRPr="00CC4E89">
        <w:rPr>
          <w:rFonts w:asciiTheme="minorBidi" w:eastAsia="Times New Roman" w:hAnsiTheme="minorBidi"/>
          <w:kern w:val="0"/>
          <w:sz w:val="20"/>
          <w:szCs w:val="20"/>
          <w:lang w:val="en-US"/>
          <w14:ligatures w14:val="none"/>
        </w:rPr>
        <w:t xml:space="preserve">50. </w:t>
      </w:r>
      <w:r w:rsidR="005B00D8" w:rsidRPr="00CC4E89">
        <w:rPr>
          <w:rFonts w:asciiTheme="minorBidi" w:eastAsia="Times New Roman" w:hAnsiTheme="minorBidi"/>
          <w:kern w:val="0"/>
          <w:sz w:val="20"/>
          <w:szCs w:val="20"/>
          <w:lang w:val="en-US"/>
          <w14:ligatures w14:val="none"/>
        </w:rPr>
        <w:t>This requires a five-fold increase in annual climate finance to avoid the most severe impacts of climate change</w:t>
      </w:r>
      <w:r w:rsidR="00353CF2" w:rsidRPr="00CC4E89">
        <w:rPr>
          <w:rFonts w:asciiTheme="minorBidi" w:eastAsia="Times New Roman" w:hAnsiTheme="minorBidi"/>
          <w:kern w:val="0"/>
          <w:sz w:val="20"/>
          <w:szCs w:val="20"/>
          <w:lang w:val="en-US"/>
          <w14:ligatures w14:val="none"/>
        </w:rPr>
        <w:t xml:space="preserve"> (</w:t>
      </w:r>
      <w:r w:rsidR="00C85229">
        <w:rPr>
          <w:rFonts w:asciiTheme="minorBidi" w:eastAsia="Times New Roman" w:hAnsiTheme="minorBidi"/>
          <w:kern w:val="0"/>
          <w:sz w:val="20"/>
          <w:szCs w:val="20"/>
          <w:lang w:val="en-US"/>
          <w14:ligatures w14:val="none"/>
        </w:rPr>
        <w:t xml:space="preserve">Climate Policy Initiative </w:t>
      </w:r>
      <w:r w:rsidR="00235C5E">
        <w:rPr>
          <w:rFonts w:asciiTheme="minorBidi" w:eastAsia="Times New Roman" w:hAnsiTheme="minorBidi"/>
          <w:kern w:val="0"/>
          <w:sz w:val="20"/>
          <w:szCs w:val="20"/>
          <w:lang w:val="en-US"/>
          <w14:ligatures w14:val="none"/>
        </w:rPr>
        <w:t>(</w:t>
      </w:r>
      <w:r w:rsidR="00353CF2" w:rsidRPr="00CC4E89">
        <w:rPr>
          <w:rFonts w:asciiTheme="minorBidi" w:eastAsia="Times New Roman" w:hAnsiTheme="minorBidi"/>
          <w:kern w:val="0"/>
          <w:sz w:val="20"/>
          <w:szCs w:val="20"/>
          <w:lang w:val="en-US"/>
          <w14:ligatures w14:val="none"/>
        </w:rPr>
        <w:t>CPI</w:t>
      </w:r>
      <w:r w:rsidR="00235C5E">
        <w:rPr>
          <w:rFonts w:asciiTheme="minorBidi" w:eastAsia="Times New Roman" w:hAnsiTheme="minorBidi"/>
          <w:kern w:val="0"/>
          <w:sz w:val="20"/>
          <w:szCs w:val="20"/>
          <w:lang w:val="en-US"/>
          <w14:ligatures w14:val="none"/>
        </w:rPr>
        <w:t>)</w:t>
      </w:r>
      <w:r w:rsidR="00353CF2" w:rsidRPr="00CC4E89">
        <w:rPr>
          <w:rFonts w:asciiTheme="minorBidi" w:eastAsia="Times New Roman" w:hAnsiTheme="minorBidi"/>
          <w:kern w:val="0"/>
          <w:sz w:val="20"/>
          <w:szCs w:val="20"/>
          <w:lang w:val="en-US"/>
          <w14:ligatures w14:val="none"/>
        </w:rPr>
        <w:t>, 2023).</w:t>
      </w:r>
      <w:r w:rsidR="005B00D8" w:rsidRPr="00CC4E89">
        <w:rPr>
          <w:rFonts w:asciiTheme="minorBidi" w:eastAsia="Times New Roman" w:hAnsiTheme="minorBidi"/>
          <w:kern w:val="0"/>
          <w:sz w:val="20"/>
          <w:szCs w:val="20"/>
          <w:lang w:val="en-US"/>
          <w14:ligatures w14:val="none"/>
        </w:rPr>
        <w:t xml:space="preserve"> </w:t>
      </w:r>
    </w:p>
    <w:p w14:paraId="4449F66D" w14:textId="506A49D2" w:rsidR="0014581B" w:rsidRPr="00CC4E89" w:rsidRDefault="0014581B" w:rsidP="00F75549">
      <w:pPr>
        <w:pStyle w:val="Caption"/>
        <w:keepNext/>
        <w:spacing w:line="276" w:lineRule="auto"/>
        <w:jc w:val="both"/>
        <w:rPr>
          <w:rFonts w:asciiTheme="minorBidi" w:hAnsiTheme="minorBidi"/>
          <w:sz w:val="20"/>
          <w:szCs w:val="20"/>
        </w:rPr>
      </w:pPr>
      <w:r w:rsidRPr="00CC4E89">
        <w:rPr>
          <w:rFonts w:asciiTheme="minorBidi" w:hAnsiTheme="minorBidi"/>
          <w:sz w:val="20"/>
          <w:szCs w:val="20"/>
        </w:rPr>
        <w:lastRenderedPageBreak/>
        <w:t xml:space="preserve">Figure </w:t>
      </w:r>
      <w:r w:rsidR="00036028">
        <w:rPr>
          <w:rFonts w:asciiTheme="minorBidi" w:hAnsiTheme="minorBidi"/>
          <w:sz w:val="20"/>
          <w:szCs w:val="20"/>
        </w:rPr>
        <w:t>2</w:t>
      </w:r>
      <w:r w:rsidRPr="00CC4E89">
        <w:rPr>
          <w:rFonts w:asciiTheme="minorBidi" w:hAnsiTheme="minorBidi"/>
          <w:sz w:val="20"/>
          <w:szCs w:val="20"/>
        </w:rPr>
        <w:t>:</w:t>
      </w:r>
      <w:r w:rsidR="00CB605E" w:rsidRPr="00CC4E89">
        <w:rPr>
          <w:rFonts w:asciiTheme="minorBidi" w:hAnsiTheme="minorBidi"/>
          <w:sz w:val="20"/>
          <w:szCs w:val="20"/>
        </w:rPr>
        <w:t xml:space="preserve"> </w:t>
      </w:r>
      <w:r w:rsidRPr="00CC4E89">
        <w:rPr>
          <w:rFonts w:asciiTheme="minorBidi" w:hAnsiTheme="minorBidi"/>
          <w:sz w:val="20"/>
          <w:szCs w:val="20"/>
        </w:rPr>
        <w:t>Global tracked Climate Finance and average estimated annual needs through 2050</w:t>
      </w:r>
    </w:p>
    <w:p w14:paraId="059D7C37" w14:textId="02B78E1C" w:rsidR="00902194" w:rsidRPr="00CC4E89" w:rsidRDefault="00902194" w:rsidP="00F75549">
      <w:pPr>
        <w:spacing w:line="276" w:lineRule="auto"/>
        <w:jc w:val="both"/>
        <w:rPr>
          <w:rFonts w:asciiTheme="minorBidi" w:hAnsiTheme="minorBidi"/>
          <w:sz w:val="20"/>
          <w:szCs w:val="20"/>
        </w:rPr>
      </w:pPr>
      <w:r w:rsidRPr="00CC4E89">
        <w:rPr>
          <w:rFonts w:asciiTheme="minorBidi" w:hAnsiTheme="minorBidi"/>
          <w:noProof/>
          <w:sz w:val="20"/>
          <w:szCs w:val="20"/>
          <w:lang w:eastAsia="en-IN"/>
        </w:rPr>
        <w:drawing>
          <wp:inline distT="0" distB="0" distL="0" distR="0" wp14:anchorId="56D370DB" wp14:editId="49168A1C">
            <wp:extent cx="5731510" cy="3064510"/>
            <wp:effectExtent l="19050" t="19050" r="21590" b="21590"/>
            <wp:docPr id="162923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39965" name="Picture 1629239965"/>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064510"/>
                    </a:xfrm>
                    <a:prstGeom prst="rect">
                      <a:avLst/>
                    </a:prstGeom>
                    <a:ln>
                      <a:solidFill>
                        <a:schemeClr val="accent1"/>
                      </a:solidFill>
                    </a:ln>
                  </pic:spPr>
                </pic:pic>
              </a:graphicData>
            </a:graphic>
          </wp:inline>
        </w:drawing>
      </w:r>
    </w:p>
    <w:p w14:paraId="73BB24D0" w14:textId="55B95ED0" w:rsidR="00DA62D0" w:rsidRPr="00CC4E89" w:rsidRDefault="009B3629" w:rsidP="00F75549">
      <w:pPr>
        <w:spacing w:line="276" w:lineRule="auto"/>
        <w:jc w:val="both"/>
        <w:rPr>
          <w:rFonts w:asciiTheme="minorBidi" w:hAnsiTheme="minorBidi"/>
          <w:sz w:val="20"/>
          <w:szCs w:val="20"/>
        </w:rPr>
      </w:pPr>
      <w:r w:rsidRPr="00CC4E89">
        <w:rPr>
          <w:rFonts w:asciiTheme="minorBidi" w:hAnsiTheme="minorBidi"/>
          <w:i/>
          <w:sz w:val="20"/>
          <w:szCs w:val="20"/>
        </w:rPr>
        <w:t>Source - Global Landscape of Climate Finance 2023, CPI</w:t>
      </w:r>
      <w:r w:rsidR="00C92E51" w:rsidRPr="00CC4E89">
        <w:rPr>
          <w:rFonts w:asciiTheme="minorBidi" w:hAnsiTheme="minorBidi"/>
          <w:i/>
          <w:sz w:val="20"/>
          <w:szCs w:val="20"/>
        </w:rPr>
        <w:t xml:space="preserve"> (2023)</w:t>
      </w:r>
    </w:p>
    <w:p w14:paraId="3588AA2D" w14:textId="07577DCD" w:rsidR="0012653E" w:rsidRPr="00CC4E89" w:rsidRDefault="004E2412" w:rsidP="007A70CC">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One of the major </w:t>
      </w:r>
      <w:r w:rsidR="00DE0BFB" w:rsidRPr="00CC4E89">
        <w:rPr>
          <w:rFonts w:asciiTheme="minorBidi" w:eastAsia="Times New Roman" w:hAnsiTheme="minorBidi"/>
          <w:kern w:val="0"/>
          <w:sz w:val="20"/>
          <w:szCs w:val="20"/>
          <w:lang w:val="en-US"/>
          <w14:ligatures w14:val="none"/>
        </w:rPr>
        <w:t>so</w:t>
      </w:r>
      <w:r w:rsidR="001247C1" w:rsidRPr="00CC4E89">
        <w:rPr>
          <w:rFonts w:asciiTheme="minorBidi" w:eastAsia="Times New Roman" w:hAnsiTheme="minorBidi"/>
          <w:kern w:val="0"/>
          <w:sz w:val="20"/>
          <w:szCs w:val="20"/>
          <w:lang w:val="en-US"/>
          <w14:ligatures w14:val="none"/>
        </w:rPr>
        <w:t>urces</w:t>
      </w:r>
      <w:r w:rsidR="00D5090D" w:rsidRPr="00CC4E89">
        <w:rPr>
          <w:rFonts w:asciiTheme="minorBidi" w:eastAsia="Times New Roman" w:hAnsiTheme="minorBidi"/>
          <w:kern w:val="0"/>
          <w:sz w:val="20"/>
          <w:szCs w:val="20"/>
          <w:lang w:val="en-US"/>
          <w14:ligatures w14:val="none"/>
        </w:rPr>
        <w:t xml:space="preserve"> of climate finance</w:t>
      </w:r>
      <w:r w:rsidR="00C43A63" w:rsidRPr="00CC4E89">
        <w:rPr>
          <w:rFonts w:asciiTheme="minorBidi" w:eastAsia="Times New Roman" w:hAnsiTheme="minorBidi"/>
          <w:kern w:val="0"/>
          <w:sz w:val="20"/>
          <w:szCs w:val="20"/>
          <w:lang w:val="en-US"/>
          <w14:ligatures w14:val="none"/>
        </w:rPr>
        <w:t xml:space="preserve"> is </w:t>
      </w:r>
      <w:r w:rsidR="00246852" w:rsidRPr="00CC4E89">
        <w:rPr>
          <w:rFonts w:asciiTheme="minorBidi" w:eastAsia="Times New Roman" w:hAnsiTheme="minorBidi"/>
          <w:kern w:val="0"/>
          <w:sz w:val="20"/>
          <w:szCs w:val="20"/>
          <w:lang w:val="en-US"/>
          <w14:ligatures w14:val="none"/>
        </w:rPr>
        <w:t xml:space="preserve">government </w:t>
      </w:r>
      <w:r w:rsidR="00427382" w:rsidRPr="00CC4E89">
        <w:rPr>
          <w:rFonts w:asciiTheme="minorBidi" w:eastAsia="Times New Roman" w:hAnsiTheme="minorBidi"/>
          <w:kern w:val="0"/>
          <w:sz w:val="20"/>
          <w:szCs w:val="20"/>
          <w:lang w:val="en-US"/>
          <w14:ligatures w14:val="none"/>
        </w:rPr>
        <w:t>funding</w:t>
      </w:r>
      <w:r w:rsidR="00D20FF3" w:rsidRPr="00CC4E89">
        <w:rPr>
          <w:rFonts w:asciiTheme="minorBidi" w:eastAsia="Times New Roman" w:hAnsiTheme="minorBidi"/>
          <w:kern w:val="0"/>
          <w:sz w:val="20"/>
          <w:szCs w:val="20"/>
          <w:lang w:val="en-US"/>
          <w14:ligatures w14:val="none"/>
        </w:rPr>
        <w:t xml:space="preserve">. </w:t>
      </w:r>
      <w:r w:rsidR="00025366" w:rsidRPr="00CC4E89">
        <w:rPr>
          <w:rFonts w:asciiTheme="minorBidi" w:eastAsia="Times New Roman" w:hAnsiTheme="minorBidi"/>
          <w:kern w:val="0"/>
          <w:sz w:val="20"/>
          <w:szCs w:val="20"/>
          <w:lang w:val="en-US"/>
          <w14:ligatures w14:val="none"/>
        </w:rPr>
        <w:t>However, the fiscal space of many governments remains constrained, particularly in the aftermath of the COVID-19 pandemic, which significantly increased public expenditure and contributed to elevated levels of sovereign debt globally. In this context, the effective prioritization and allocation of limited public resources become all the more critical</w:t>
      </w:r>
      <w:r w:rsidR="00D2316D" w:rsidRPr="00CC4E89">
        <w:rPr>
          <w:rFonts w:asciiTheme="minorBidi" w:eastAsia="Times New Roman" w:hAnsiTheme="minorBidi"/>
          <w:kern w:val="0"/>
          <w:sz w:val="20"/>
          <w:szCs w:val="20"/>
          <w:lang w:val="en-US"/>
          <w14:ligatures w14:val="none"/>
        </w:rPr>
        <w:t xml:space="preserve"> to </w:t>
      </w:r>
      <w:r w:rsidR="003E7011" w:rsidRPr="00CC4E89">
        <w:rPr>
          <w:rFonts w:asciiTheme="minorBidi" w:eastAsia="Times New Roman" w:hAnsiTheme="minorBidi"/>
          <w:kern w:val="0"/>
          <w:sz w:val="20"/>
          <w:szCs w:val="20"/>
          <w:lang w:val="en-US"/>
          <w14:ligatures w14:val="none"/>
        </w:rPr>
        <w:t>achieve the best possible results. This</w:t>
      </w:r>
      <w:r w:rsidR="00A11C08" w:rsidRPr="00CC4E89">
        <w:rPr>
          <w:rFonts w:asciiTheme="minorBidi" w:eastAsia="Times New Roman" w:hAnsiTheme="minorBidi"/>
          <w:kern w:val="0"/>
          <w:sz w:val="20"/>
          <w:szCs w:val="20"/>
          <w:lang w:val="en-US"/>
          <w14:ligatures w14:val="none"/>
        </w:rPr>
        <w:t xml:space="preserve"> can be achieved through </w:t>
      </w:r>
      <w:r w:rsidR="00A11C08" w:rsidRPr="00CC4E89">
        <w:rPr>
          <w:rFonts w:asciiTheme="minorBidi" w:eastAsia="Times New Roman" w:hAnsiTheme="minorBidi"/>
          <w:b/>
          <w:kern w:val="0"/>
          <w:sz w:val="20"/>
          <w:szCs w:val="20"/>
          <w:lang w:val="en-US"/>
          <w14:ligatures w14:val="none"/>
        </w:rPr>
        <w:t>Green Budgeting</w:t>
      </w:r>
      <w:r w:rsidR="00ED65F2" w:rsidRPr="00CC4E89">
        <w:rPr>
          <w:rFonts w:asciiTheme="minorBidi" w:eastAsia="Times New Roman" w:hAnsiTheme="minorBidi"/>
          <w:kern w:val="0"/>
          <w:sz w:val="20"/>
          <w:szCs w:val="20"/>
          <w:lang w:val="en-US"/>
          <w14:ligatures w14:val="none"/>
        </w:rPr>
        <w:t>.</w:t>
      </w:r>
      <w:r w:rsidR="0095604F" w:rsidRPr="00CC4E89">
        <w:rPr>
          <w:rFonts w:asciiTheme="minorBidi" w:eastAsia="Times New Roman" w:hAnsiTheme="minorBidi"/>
          <w:kern w:val="0"/>
          <w:sz w:val="20"/>
          <w:szCs w:val="20"/>
          <w:lang w:val="en-US"/>
          <w14:ligatures w14:val="none"/>
        </w:rPr>
        <w:t xml:space="preserve"> </w:t>
      </w:r>
    </w:p>
    <w:p w14:paraId="6667A8F3" w14:textId="6A6165BB" w:rsidR="00EB4B7C" w:rsidRPr="004B0654" w:rsidRDefault="00194F21" w:rsidP="0012653E">
      <w:pPr>
        <w:pStyle w:val="Heading2"/>
        <w:numPr>
          <w:ilvl w:val="1"/>
          <w:numId w:val="27"/>
        </w:numPr>
        <w:spacing w:after="240"/>
        <w:rPr>
          <w:rFonts w:asciiTheme="minorBidi" w:hAnsiTheme="minorBidi" w:cstheme="minorBidi"/>
          <w:sz w:val="22"/>
          <w:szCs w:val="22"/>
        </w:rPr>
      </w:pPr>
      <w:r w:rsidRPr="004B0654">
        <w:rPr>
          <w:rFonts w:asciiTheme="minorBidi" w:hAnsiTheme="minorBidi" w:cstheme="minorBidi"/>
          <w:sz w:val="22"/>
          <w:szCs w:val="22"/>
        </w:rPr>
        <w:t>What is Green Budgeting</w:t>
      </w:r>
      <w:r w:rsidR="0081355D" w:rsidRPr="004B0654">
        <w:rPr>
          <w:rFonts w:asciiTheme="minorBidi" w:hAnsiTheme="minorBidi" w:cstheme="minorBidi"/>
          <w:sz w:val="22"/>
          <w:szCs w:val="22"/>
        </w:rPr>
        <w:t>?</w:t>
      </w:r>
    </w:p>
    <w:p w14:paraId="623D6281" w14:textId="38772885" w:rsidR="00731C47" w:rsidRPr="00CC4E89" w:rsidRDefault="00731C47" w:rsidP="00F75549">
      <w:pPr>
        <w:spacing w:line="276" w:lineRule="auto"/>
        <w:jc w:val="both"/>
        <w:rPr>
          <w:rFonts w:asciiTheme="minorBidi" w:hAnsiTheme="minorBidi"/>
          <w:sz w:val="20"/>
          <w:szCs w:val="20"/>
        </w:rPr>
      </w:pPr>
      <w:r w:rsidRPr="00CC4E89">
        <w:rPr>
          <w:rFonts w:asciiTheme="minorBidi" w:hAnsiTheme="minorBidi"/>
          <w:sz w:val="20"/>
          <w:szCs w:val="20"/>
        </w:rPr>
        <w:t xml:space="preserve">According to </w:t>
      </w:r>
      <w:r w:rsidR="000521AA" w:rsidRPr="00CC4E89">
        <w:rPr>
          <w:rFonts w:asciiTheme="minorBidi" w:hAnsiTheme="minorBidi"/>
          <w:sz w:val="20"/>
          <w:szCs w:val="20"/>
        </w:rPr>
        <w:t xml:space="preserve">the </w:t>
      </w:r>
      <w:r w:rsidR="00C17CE1" w:rsidRPr="00CC4E89">
        <w:rPr>
          <w:rFonts w:asciiTheme="minorBidi" w:hAnsiTheme="minorBidi"/>
          <w:sz w:val="20"/>
          <w:szCs w:val="20"/>
        </w:rPr>
        <w:t>Organization of Economic Cooperation and Development</w:t>
      </w:r>
      <w:r w:rsidR="000521AA" w:rsidRPr="00CC4E89">
        <w:rPr>
          <w:rFonts w:asciiTheme="minorBidi" w:hAnsiTheme="minorBidi"/>
          <w:sz w:val="20"/>
          <w:szCs w:val="20"/>
        </w:rPr>
        <w:t xml:space="preserve"> (OECD</w:t>
      </w:r>
      <w:r w:rsidR="00257AA1" w:rsidRPr="00CC4E89">
        <w:rPr>
          <w:rFonts w:asciiTheme="minorBidi" w:hAnsiTheme="minorBidi"/>
          <w:sz w:val="20"/>
          <w:szCs w:val="20"/>
        </w:rPr>
        <w:t>, 2021</w:t>
      </w:r>
      <w:r w:rsidR="000521AA" w:rsidRPr="00CC4E89">
        <w:rPr>
          <w:rFonts w:asciiTheme="minorBidi" w:hAnsiTheme="minorBidi"/>
          <w:sz w:val="20"/>
          <w:szCs w:val="20"/>
        </w:rPr>
        <w:t>)</w:t>
      </w:r>
      <w:r w:rsidRPr="00CC4E89">
        <w:rPr>
          <w:rFonts w:asciiTheme="minorBidi" w:hAnsiTheme="minorBidi"/>
          <w:sz w:val="20"/>
          <w:szCs w:val="20"/>
        </w:rPr>
        <w:t xml:space="preserve">, </w:t>
      </w:r>
      <w:r w:rsidR="00A3362D" w:rsidRPr="00CC4E89">
        <w:rPr>
          <w:rFonts w:asciiTheme="minorBidi" w:hAnsiTheme="minorBidi"/>
          <w:sz w:val="20"/>
          <w:szCs w:val="20"/>
        </w:rPr>
        <w:t>“</w:t>
      </w:r>
      <w:r w:rsidRPr="00CC4E89">
        <w:rPr>
          <w:rFonts w:asciiTheme="minorBidi" w:hAnsiTheme="minorBidi"/>
          <w:sz w:val="20"/>
          <w:szCs w:val="20"/>
        </w:rPr>
        <w:t xml:space="preserve">Green budgeting is a practice which uses the tools of budgetary </w:t>
      </w:r>
      <w:r w:rsidR="00B3079E" w:rsidRPr="00CC4E89">
        <w:rPr>
          <w:rFonts w:asciiTheme="minorBidi" w:hAnsiTheme="minorBidi"/>
          <w:sz w:val="20"/>
          <w:szCs w:val="20"/>
        </w:rPr>
        <w:t>policymaking</w:t>
      </w:r>
      <w:r w:rsidRPr="00CC4E89">
        <w:rPr>
          <w:rFonts w:asciiTheme="minorBidi" w:hAnsiTheme="minorBidi"/>
          <w:sz w:val="20"/>
          <w:szCs w:val="20"/>
        </w:rPr>
        <w:t xml:space="preserve"> to help achieve </w:t>
      </w:r>
      <w:r w:rsidR="00EA3215" w:rsidRPr="00CC4E89">
        <w:rPr>
          <w:rFonts w:asciiTheme="minorBidi" w:hAnsiTheme="minorBidi"/>
          <w:sz w:val="20"/>
          <w:szCs w:val="20"/>
        </w:rPr>
        <w:t>“</w:t>
      </w:r>
      <w:r w:rsidRPr="00CC4E89">
        <w:rPr>
          <w:rFonts w:asciiTheme="minorBidi" w:hAnsiTheme="minorBidi"/>
          <w:sz w:val="20"/>
          <w:szCs w:val="20"/>
        </w:rPr>
        <w:t>green” objectives, i.e., those relating to the climate and environmental dimensions. While by itself, green budgeting does not change existing policies, it provides decision-makers with a clearer understanding of the overall environmental and climate impacts of budgeting choices.</w:t>
      </w:r>
      <w:r w:rsidR="00902D22" w:rsidRPr="00CC4E89">
        <w:rPr>
          <w:rFonts w:asciiTheme="minorBidi" w:hAnsiTheme="minorBidi"/>
          <w:sz w:val="20"/>
          <w:szCs w:val="20"/>
        </w:rPr>
        <w:t>”</w:t>
      </w:r>
      <w:r w:rsidRPr="00CC4E89">
        <w:rPr>
          <w:rFonts w:asciiTheme="minorBidi" w:hAnsiTheme="minorBidi"/>
          <w:sz w:val="20"/>
          <w:szCs w:val="20"/>
        </w:rPr>
        <w:t xml:space="preserve"> </w:t>
      </w:r>
      <w:r w:rsidR="00902D22" w:rsidRPr="00CC4E89">
        <w:rPr>
          <w:rFonts w:asciiTheme="minorBidi" w:hAnsiTheme="minorBidi"/>
          <w:sz w:val="20"/>
          <w:szCs w:val="20"/>
        </w:rPr>
        <w:t xml:space="preserve"> At its core, Green Budgeting ensures that government actions, such as taxation, </w:t>
      </w:r>
      <w:r w:rsidR="00995EC8" w:rsidRPr="00CC4E89">
        <w:rPr>
          <w:rFonts w:asciiTheme="minorBidi" w:hAnsiTheme="minorBidi"/>
          <w:sz w:val="20"/>
          <w:szCs w:val="20"/>
        </w:rPr>
        <w:t>expenditure</w:t>
      </w:r>
      <w:r w:rsidR="00902D22" w:rsidRPr="00CC4E89">
        <w:rPr>
          <w:rFonts w:asciiTheme="minorBidi" w:hAnsiTheme="minorBidi"/>
          <w:sz w:val="20"/>
          <w:szCs w:val="20"/>
        </w:rPr>
        <w:t xml:space="preserve">, and investments, align with environmental objectives, including reducing GHG emissions, conserving natural resources, and promoting renewable energy. It systematically consolidates evidence to enable informed decision-making on optimizing revenue generation and resource allocation, thereby supporting the </w:t>
      </w:r>
      <w:r w:rsidR="00877A34" w:rsidRPr="00CC4E89">
        <w:rPr>
          <w:rFonts w:asciiTheme="minorBidi" w:hAnsiTheme="minorBidi"/>
          <w:sz w:val="20"/>
          <w:szCs w:val="20"/>
        </w:rPr>
        <w:t>fulfilment</w:t>
      </w:r>
      <w:r w:rsidR="00902D22" w:rsidRPr="00CC4E89">
        <w:rPr>
          <w:rFonts w:asciiTheme="minorBidi" w:hAnsiTheme="minorBidi"/>
          <w:sz w:val="20"/>
          <w:szCs w:val="20"/>
        </w:rPr>
        <w:t xml:space="preserve"> of national and international commitments on environmental sustainability and climate change.</w:t>
      </w:r>
    </w:p>
    <w:p w14:paraId="7FA266DA" w14:textId="516A914F" w:rsidR="001415DC" w:rsidRPr="004B0654" w:rsidRDefault="007545A0" w:rsidP="001760A8">
      <w:pPr>
        <w:pStyle w:val="Heading2"/>
        <w:numPr>
          <w:ilvl w:val="1"/>
          <w:numId w:val="27"/>
        </w:numPr>
        <w:spacing w:after="240"/>
        <w:rPr>
          <w:rFonts w:asciiTheme="minorBidi" w:hAnsiTheme="minorBidi" w:cstheme="minorBidi"/>
          <w:sz w:val="22"/>
          <w:szCs w:val="22"/>
        </w:rPr>
      </w:pPr>
      <w:r w:rsidRPr="004B0654">
        <w:rPr>
          <w:rFonts w:asciiTheme="minorBidi" w:hAnsiTheme="minorBidi" w:cstheme="minorBidi"/>
          <w:sz w:val="22"/>
          <w:szCs w:val="22"/>
        </w:rPr>
        <w:t>Difference between Green Budgeting and Climate Budgeting</w:t>
      </w:r>
    </w:p>
    <w:p w14:paraId="67F8DCEE" w14:textId="3CBF28E2" w:rsidR="00731C47" w:rsidRPr="00CC4E89" w:rsidRDefault="00731C47" w:rsidP="00F75549">
      <w:pPr>
        <w:spacing w:line="276" w:lineRule="auto"/>
        <w:jc w:val="both"/>
        <w:rPr>
          <w:rFonts w:asciiTheme="minorBidi" w:hAnsiTheme="minorBidi"/>
          <w:sz w:val="20"/>
          <w:szCs w:val="20"/>
        </w:rPr>
      </w:pPr>
      <w:r w:rsidRPr="00CC4E89">
        <w:rPr>
          <w:rFonts w:asciiTheme="minorBidi" w:hAnsiTheme="minorBidi"/>
          <w:sz w:val="20"/>
          <w:szCs w:val="20"/>
        </w:rPr>
        <w:t>Often</w:t>
      </w:r>
      <w:r w:rsidR="005E64E2">
        <w:rPr>
          <w:rFonts w:asciiTheme="minorBidi" w:hAnsiTheme="minorBidi"/>
          <w:sz w:val="20"/>
          <w:szCs w:val="20"/>
        </w:rPr>
        <w:t>, Green Budgeting and Climate Budgeting are used interchangeably,</w:t>
      </w:r>
      <w:r w:rsidRPr="00CC4E89">
        <w:rPr>
          <w:rFonts w:asciiTheme="minorBidi" w:hAnsiTheme="minorBidi"/>
          <w:sz w:val="20"/>
          <w:szCs w:val="20"/>
        </w:rPr>
        <w:t xml:space="preserve"> but there </w:t>
      </w:r>
      <w:r w:rsidR="002B16A6" w:rsidRPr="00CC4E89">
        <w:rPr>
          <w:rFonts w:asciiTheme="minorBidi" w:hAnsiTheme="minorBidi"/>
          <w:sz w:val="20"/>
          <w:szCs w:val="20"/>
        </w:rPr>
        <w:t>are</w:t>
      </w:r>
      <w:r w:rsidRPr="00CC4E89">
        <w:rPr>
          <w:rFonts w:asciiTheme="minorBidi" w:hAnsiTheme="minorBidi"/>
          <w:sz w:val="20"/>
          <w:szCs w:val="20"/>
        </w:rPr>
        <w:t xml:space="preserve"> </w:t>
      </w:r>
      <w:r w:rsidR="00487B78" w:rsidRPr="00CC4E89">
        <w:rPr>
          <w:rFonts w:asciiTheme="minorBidi" w:hAnsiTheme="minorBidi"/>
          <w:sz w:val="20"/>
          <w:szCs w:val="20"/>
        </w:rPr>
        <w:t xml:space="preserve">key conceptual </w:t>
      </w:r>
      <w:r w:rsidRPr="00CC4E89">
        <w:rPr>
          <w:rFonts w:asciiTheme="minorBidi" w:hAnsiTheme="minorBidi"/>
          <w:sz w:val="20"/>
          <w:szCs w:val="20"/>
        </w:rPr>
        <w:t>difference</w:t>
      </w:r>
      <w:r w:rsidR="002B16A6" w:rsidRPr="00CC4E89">
        <w:rPr>
          <w:rFonts w:asciiTheme="minorBidi" w:hAnsiTheme="minorBidi"/>
          <w:sz w:val="20"/>
          <w:szCs w:val="20"/>
        </w:rPr>
        <w:t>s</w:t>
      </w:r>
      <w:r w:rsidRPr="00CC4E89">
        <w:rPr>
          <w:rFonts w:asciiTheme="minorBidi" w:hAnsiTheme="minorBidi"/>
          <w:sz w:val="20"/>
          <w:szCs w:val="20"/>
        </w:rPr>
        <w:t xml:space="preserve"> in their scopes. While both </w:t>
      </w:r>
      <w:r w:rsidR="00AB0164" w:rsidRPr="00CC4E89">
        <w:rPr>
          <w:rFonts w:asciiTheme="minorBidi" w:hAnsiTheme="minorBidi"/>
          <w:sz w:val="20"/>
          <w:szCs w:val="20"/>
        </w:rPr>
        <w:t>G</w:t>
      </w:r>
      <w:r w:rsidRPr="00CC4E89">
        <w:rPr>
          <w:rFonts w:asciiTheme="minorBidi" w:hAnsiTheme="minorBidi"/>
          <w:sz w:val="20"/>
          <w:szCs w:val="20"/>
        </w:rPr>
        <w:t xml:space="preserve">reen </w:t>
      </w:r>
      <w:r w:rsidR="00AB0164" w:rsidRPr="00CC4E89">
        <w:rPr>
          <w:rFonts w:asciiTheme="minorBidi" w:hAnsiTheme="minorBidi"/>
          <w:sz w:val="20"/>
          <w:szCs w:val="20"/>
        </w:rPr>
        <w:t>B</w:t>
      </w:r>
      <w:r w:rsidRPr="00CC4E89">
        <w:rPr>
          <w:rFonts w:asciiTheme="minorBidi" w:hAnsiTheme="minorBidi"/>
          <w:sz w:val="20"/>
          <w:szCs w:val="20"/>
        </w:rPr>
        <w:t xml:space="preserve">udgeting and </w:t>
      </w:r>
      <w:r w:rsidR="00AB0164" w:rsidRPr="00CC4E89">
        <w:rPr>
          <w:rFonts w:asciiTheme="minorBidi" w:hAnsiTheme="minorBidi"/>
          <w:sz w:val="20"/>
          <w:szCs w:val="20"/>
        </w:rPr>
        <w:t>C</w:t>
      </w:r>
      <w:r w:rsidRPr="00CC4E89">
        <w:rPr>
          <w:rFonts w:asciiTheme="minorBidi" w:hAnsiTheme="minorBidi"/>
          <w:sz w:val="20"/>
          <w:szCs w:val="20"/>
        </w:rPr>
        <w:t xml:space="preserve">limate </w:t>
      </w:r>
      <w:r w:rsidR="00B670BF" w:rsidRPr="00CC4E89">
        <w:rPr>
          <w:rFonts w:asciiTheme="minorBidi" w:hAnsiTheme="minorBidi"/>
          <w:sz w:val="20"/>
          <w:szCs w:val="20"/>
        </w:rPr>
        <w:t>B</w:t>
      </w:r>
      <w:r w:rsidRPr="00CC4E89">
        <w:rPr>
          <w:rFonts w:asciiTheme="minorBidi" w:hAnsiTheme="minorBidi"/>
          <w:sz w:val="20"/>
          <w:szCs w:val="20"/>
        </w:rPr>
        <w:t>udgeting aim to integrate environmental and climate considerations into budgetary processes, Green Budgeting has a broader scope</w:t>
      </w:r>
      <w:r w:rsidR="00720B9F">
        <w:rPr>
          <w:rFonts w:asciiTheme="minorBidi" w:hAnsiTheme="minorBidi"/>
          <w:sz w:val="20"/>
          <w:szCs w:val="20"/>
        </w:rPr>
        <w:t>, encompassing various environmental issues, including biodiversity, air quality, water management, and resource efficiency,</w:t>
      </w:r>
      <w:r w:rsidRPr="00CC4E89">
        <w:rPr>
          <w:rFonts w:asciiTheme="minorBidi" w:hAnsiTheme="minorBidi"/>
          <w:sz w:val="20"/>
          <w:szCs w:val="20"/>
        </w:rPr>
        <w:t xml:space="preserve"> </w:t>
      </w:r>
      <w:r w:rsidR="00AE1F1E">
        <w:rPr>
          <w:rFonts w:asciiTheme="minorBidi" w:hAnsiTheme="minorBidi"/>
          <w:sz w:val="20"/>
          <w:szCs w:val="20"/>
        </w:rPr>
        <w:t>in addition to</w:t>
      </w:r>
      <w:r w:rsidRPr="00CC4E89">
        <w:rPr>
          <w:rFonts w:asciiTheme="minorBidi" w:hAnsiTheme="minorBidi"/>
          <w:sz w:val="20"/>
          <w:szCs w:val="20"/>
        </w:rPr>
        <w:t xml:space="preserve"> climate change</w:t>
      </w:r>
      <w:r w:rsidR="000D0559" w:rsidRPr="00CC4E89">
        <w:rPr>
          <w:rFonts w:asciiTheme="minorBidi" w:hAnsiTheme="minorBidi"/>
          <w:sz w:val="20"/>
          <w:szCs w:val="20"/>
        </w:rPr>
        <w:t>.</w:t>
      </w:r>
      <w:r w:rsidRPr="00CC4E89">
        <w:rPr>
          <w:rFonts w:asciiTheme="minorBidi" w:hAnsiTheme="minorBidi"/>
          <w:sz w:val="20"/>
          <w:szCs w:val="20"/>
        </w:rPr>
        <w:t xml:space="preserve"> Climate Budgeting specifically focuses on climate change mitigation and adaptation. Thus, Climate Budgeting is a subset of Green Budgeting.  </w:t>
      </w:r>
    </w:p>
    <w:p w14:paraId="3D881432" w14:textId="73D01DF1" w:rsidR="00152D43" w:rsidRPr="004B0654" w:rsidRDefault="002E793B" w:rsidP="001760A8">
      <w:pPr>
        <w:pStyle w:val="Heading2"/>
        <w:numPr>
          <w:ilvl w:val="1"/>
          <w:numId w:val="27"/>
        </w:numPr>
        <w:rPr>
          <w:rFonts w:asciiTheme="minorBidi" w:hAnsiTheme="minorBidi" w:cstheme="minorBidi"/>
          <w:sz w:val="22"/>
          <w:szCs w:val="22"/>
          <w:lang w:val="en-US"/>
        </w:rPr>
      </w:pPr>
      <w:r w:rsidRPr="004B0654">
        <w:rPr>
          <w:rFonts w:asciiTheme="minorBidi" w:hAnsiTheme="minorBidi" w:cstheme="minorBidi"/>
          <w:sz w:val="22"/>
          <w:szCs w:val="22"/>
          <w:lang w:val="en-US"/>
        </w:rPr>
        <w:lastRenderedPageBreak/>
        <w:t xml:space="preserve"> </w:t>
      </w:r>
      <w:r w:rsidR="00152D43" w:rsidRPr="004B0654">
        <w:rPr>
          <w:rFonts w:asciiTheme="minorBidi" w:hAnsiTheme="minorBidi" w:cstheme="minorBidi"/>
          <w:sz w:val="22"/>
          <w:szCs w:val="22"/>
          <w:lang w:val="en-US"/>
        </w:rPr>
        <w:t>The Evolution of Green Budgeting</w:t>
      </w:r>
    </w:p>
    <w:p w14:paraId="287B9CD4" w14:textId="0BC8CE57"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Over the past decade, interest in Green or Climate Budgeting has grown significantly, particularly among middle-</w:t>
      </w:r>
      <w:r w:rsidR="00775C3A" w:rsidRPr="00CC4E89">
        <w:rPr>
          <w:rFonts w:asciiTheme="minorBidi" w:eastAsia="Times New Roman" w:hAnsiTheme="minorBidi"/>
          <w:kern w:val="0"/>
          <w:sz w:val="20"/>
          <w:szCs w:val="20"/>
          <w:lang w:val="en-US"/>
          <w14:ligatures w14:val="none"/>
        </w:rPr>
        <w:t>income</w:t>
      </w:r>
      <w:r w:rsidRPr="00CC4E89">
        <w:rPr>
          <w:rFonts w:asciiTheme="minorBidi" w:eastAsia="Times New Roman" w:hAnsiTheme="minorBidi"/>
          <w:kern w:val="0"/>
          <w:sz w:val="20"/>
          <w:szCs w:val="20"/>
          <w:lang w:val="en-US"/>
          <w14:ligatures w14:val="none"/>
        </w:rPr>
        <w:t xml:space="preserve"> and low-income countries in the Asia-Pacific region, </w:t>
      </w:r>
      <w:r w:rsidR="004B4E80">
        <w:rPr>
          <w:rFonts w:asciiTheme="minorBidi" w:eastAsia="Times New Roman" w:hAnsiTheme="minorBidi"/>
          <w:kern w:val="0"/>
          <w:sz w:val="20"/>
          <w:szCs w:val="20"/>
          <w:lang w:val="en-US"/>
          <w14:ligatures w14:val="none"/>
        </w:rPr>
        <w:t xml:space="preserve">with support from institutions such as </w:t>
      </w:r>
      <w:r w:rsidR="00C27556">
        <w:rPr>
          <w:rFonts w:asciiTheme="minorBidi" w:eastAsia="Times New Roman" w:hAnsiTheme="minorBidi"/>
          <w:kern w:val="0"/>
          <w:sz w:val="20"/>
          <w:szCs w:val="20"/>
          <w:lang w:val="en-US"/>
          <w14:ligatures w14:val="none"/>
        </w:rPr>
        <w:t xml:space="preserve">the </w:t>
      </w:r>
      <w:r w:rsidR="00385286" w:rsidRPr="00CC4E89">
        <w:rPr>
          <w:rFonts w:asciiTheme="minorBidi" w:eastAsia="Times New Roman" w:hAnsiTheme="minorBidi"/>
          <w:kern w:val="0"/>
          <w:sz w:val="20"/>
          <w:szCs w:val="20"/>
          <w:lang w:val="en-US"/>
          <w14:ligatures w14:val="none"/>
        </w:rPr>
        <w:t xml:space="preserve">United Nations Development </w:t>
      </w:r>
      <w:proofErr w:type="spellStart"/>
      <w:r w:rsidR="00385286" w:rsidRPr="00CC4E89">
        <w:rPr>
          <w:rFonts w:asciiTheme="minorBidi" w:eastAsia="Times New Roman" w:hAnsiTheme="minorBidi"/>
          <w:kern w:val="0"/>
          <w:sz w:val="20"/>
          <w:szCs w:val="20"/>
          <w:lang w:val="en-US"/>
          <w14:ligatures w14:val="none"/>
        </w:rPr>
        <w:t>Programme</w:t>
      </w:r>
      <w:proofErr w:type="spellEnd"/>
      <w:r w:rsidR="00385286" w:rsidRPr="00CC4E89">
        <w:rPr>
          <w:rFonts w:asciiTheme="minorBidi" w:eastAsia="Times New Roman" w:hAnsiTheme="minorBidi"/>
          <w:kern w:val="0"/>
          <w:sz w:val="20"/>
          <w:szCs w:val="20"/>
          <w:lang w:val="en-US"/>
          <w14:ligatures w14:val="none"/>
        </w:rPr>
        <w:t xml:space="preserve"> </w:t>
      </w:r>
      <w:r w:rsidR="00432C38"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UNDP</w:t>
      </w:r>
      <w:r w:rsidR="00432C38"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 xml:space="preserve"> and </w:t>
      </w:r>
      <w:r w:rsidR="007F21DE" w:rsidRPr="00CC4E89">
        <w:rPr>
          <w:rFonts w:asciiTheme="minorBidi" w:eastAsia="Times New Roman" w:hAnsiTheme="minorBidi"/>
          <w:kern w:val="0"/>
          <w:sz w:val="20"/>
          <w:szCs w:val="20"/>
          <w:lang w:val="en-US"/>
          <w14:ligatures w14:val="none"/>
        </w:rPr>
        <w:t>multilateral</w:t>
      </w:r>
      <w:r w:rsidR="00E74436" w:rsidRPr="00CC4E89">
        <w:rPr>
          <w:rFonts w:asciiTheme="minorBidi" w:eastAsia="Times New Roman" w:hAnsiTheme="minorBidi"/>
          <w:kern w:val="0"/>
          <w:sz w:val="20"/>
          <w:szCs w:val="20"/>
          <w:lang w:val="en-US"/>
          <w14:ligatures w14:val="none"/>
        </w:rPr>
        <w:t xml:space="preserve"> </w:t>
      </w:r>
      <w:r w:rsidR="00063F1C">
        <w:rPr>
          <w:rFonts w:asciiTheme="minorBidi" w:eastAsia="Times New Roman" w:hAnsiTheme="minorBidi"/>
          <w:kern w:val="0"/>
          <w:sz w:val="20"/>
          <w:szCs w:val="20"/>
          <w:lang w:val="en-US"/>
          <w14:ligatures w14:val="none"/>
        </w:rPr>
        <w:t>organizations</w:t>
      </w:r>
      <w:r w:rsidR="004B4E80">
        <w:rPr>
          <w:rFonts w:asciiTheme="minorBidi" w:eastAsia="Times New Roman" w:hAnsiTheme="minorBidi"/>
          <w:kern w:val="0"/>
          <w:sz w:val="20"/>
          <w:szCs w:val="20"/>
          <w:lang w:val="en-US"/>
          <w14:ligatures w14:val="none"/>
        </w:rPr>
        <w:t xml:space="preserve"> like</w:t>
      </w:r>
      <w:r w:rsidR="002020E9" w:rsidRPr="00CC4E89">
        <w:rPr>
          <w:rFonts w:asciiTheme="minorBidi" w:eastAsia="Times New Roman" w:hAnsiTheme="minorBidi"/>
          <w:kern w:val="0"/>
          <w:sz w:val="20"/>
          <w:szCs w:val="20"/>
          <w:lang w:val="en-US"/>
          <w14:ligatures w14:val="none"/>
        </w:rPr>
        <w:t xml:space="preserve"> </w:t>
      </w:r>
      <w:r w:rsidRPr="00CC4E89">
        <w:rPr>
          <w:rFonts w:asciiTheme="minorBidi" w:eastAsia="Times New Roman" w:hAnsiTheme="minorBidi"/>
          <w:kern w:val="0"/>
          <w:sz w:val="20"/>
          <w:szCs w:val="20"/>
          <w:lang w:val="en-US"/>
          <w14:ligatures w14:val="none"/>
        </w:rPr>
        <w:t xml:space="preserve">the </w:t>
      </w:r>
      <w:r w:rsidR="00193BFE" w:rsidRPr="00CC4E89">
        <w:rPr>
          <w:rFonts w:asciiTheme="minorBidi" w:eastAsia="Times New Roman" w:hAnsiTheme="minorBidi"/>
          <w:kern w:val="0"/>
          <w:sz w:val="20"/>
          <w:szCs w:val="20"/>
          <w:lang w:val="en-US"/>
          <w14:ligatures w14:val="none"/>
        </w:rPr>
        <w:t>Asian Development</w:t>
      </w:r>
      <w:r w:rsidRPr="00CC4E89">
        <w:rPr>
          <w:rFonts w:asciiTheme="minorBidi" w:eastAsia="Times New Roman" w:hAnsiTheme="minorBidi"/>
          <w:kern w:val="0"/>
          <w:sz w:val="20"/>
          <w:szCs w:val="20"/>
          <w:lang w:val="en-US"/>
          <w14:ligatures w14:val="none"/>
        </w:rPr>
        <w:t xml:space="preserve"> Bank</w:t>
      </w:r>
      <w:r w:rsidR="00193BFE" w:rsidRPr="00CC4E89">
        <w:rPr>
          <w:rFonts w:asciiTheme="minorBidi" w:eastAsia="Times New Roman" w:hAnsiTheme="minorBidi"/>
          <w:kern w:val="0"/>
          <w:sz w:val="20"/>
          <w:szCs w:val="20"/>
          <w:lang w:val="en-US"/>
          <w14:ligatures w14:val="none"/>
        </w:rPr>
        <w:t xml:space="preserve"> (ADB)</w:t>
      </w:r>
      <w:r w:rsidR="000E2798" w:rsidRPr="00CC4E89">
        <w:rPr>
          <w:rFonts w:asciiTheme="minorBidi" w:eastAsia="Times New Roman" w:hAnsiTheme="minorBidi"/>
          <w:kern w:val="0"/>
          <w:sz w:val="20"/>
          <w:szCs w:val="20"/>
          <w:lang w:val="en-US"/>
          <w14:ligatures w14:val="none"/>
        </w:rPr>
        <w:t xml:space="preserve"> and </w:t>
      </w:r>
      <w:r w:rsidRPr="00CC4E89">
        <w:rPr>
          <w:rFonts w:asciiTheme="minorBidi" w:eastAsia="Times New Roman" w:hAnsiTheme="minorBidi"/>
          <w:kern w:val="0"/>
          <w:sz w:val="20"/>
          <w:szCs w:val="20"/>
          <w:lang w:val="en-US"/>
          <w14:ligatures w14:val="none"/>
        </w:rPr>
        <w:t>the World Bank. Initially focused on tagging climate-relevant expenditures to improve transparency and attract international climate finance, efforts have since evolved into full-fledged Green and Climate Budgets. Nepal’s publication of the first Climate Budget in 2013 was followed by countries such as Bangladesh,</w:t>
      </w:r>
      <w:r w:rsidR="00E15CF7" w:rsidRPr="00CC4E89">
        <w:rPr>
          <w:rFonts w:asciiTheme="minorBidi" w:eastAsia="Times New Roman" w:hAnsiTheme="minorBidi"/>
          <w:kern w:val="0"/>
          <w:sz w:val="20"/>
          <w:szCs w:val="20"/>
          <w:lang w:val="en-US"/>
          <w14:ligatures w14:val="none"/>
        </w:rPr>
        <w:t xml:space="preserve"> France</w:t>
      </w:r>
      <w:r w:rsidR="00F744CC"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 xml:space="preserve"> Indonesia, </w:t>
      </w:r>
      <w:r w:rsidR="00F744CC" w:rsidRPr="00CC4E89">
        <w:rPr>
          <w:rFonts w:asciiTheme="minorBidi" w:eastAsia="Times New Roman" w:hAnsiTheme="minorBidi"/>
          <w:kern w:val="0"/>
          <w:sz w:val="20"/>
          <w:szCs w:val="20"/>
          <w:lang w:val="en-US"/>
          <w14:ligatures w14:val="none"/>
        </w:rPr>
        <w:t xml:space="preserve">Kenya, </w:t>
      </w:r>
      <w:r w:rsidRPr="00CC4E89">
        <w:rPr>
          <w:rFonts w:asciiTheme="minorBidi" w:eastAsia="Times New Roman" w:hAnsiTheme="minorBidi"/>
          <w:kern w:val="0"/>
          <w:sz w:val="20"/>
          <w:szCs w:val="20"/>
          <w:lang w:val="en-US"/>
          <w14:ligatures w14:val="none"/>
        </w:rPr>
        <w:t>Moldova, Norway</w:t>
      </w:r>
      <w:r w:rsidR="009F0F16" w:rsidRPr="00CC4E89">
        <w:rPr>
          <w:rFonts w:asciiTheme="minorBidi" w:eastAsia="Times New Roman" w:hAnsiTheme="minorBidi"/>
          <w:kern w:val="0"/>
          <w:sz w:val="20"/>
          <w:szCs w:val="20"/>
          <w:lang w:val="en-US"/>
          <w14:ligatures w14:val="none"/>
        </w:rPr>
        <w:t xml:space="preserve"> and </w:t>
      </w:r>
      <w:r w:rsidRPr="00CC4E89">
        <w:rPr>
          <w:rFonts w:asciiTheme="minorBidi" w:eastAsia="Times New Roman" w:hAnsiTheme="minorBidi"/>
          <w:kern w:val="0"/>
          <w:sz w:val="20"/>
          <w:szCs w:val="20"/>
          <w:lang w:val="en-US"/>
          <w14:ligatures w14:val="none"/>
        </w:rPr>
        <w:t>Sweden (Petrie, 2021).</w:t>
      </w:r>
    </w:p>
    <w:p w14:paraId="293C429D" w14:textId="31A08A17"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The 2013 Fifth Assessment Report (AR5) of the Intergovernmental Panel on Climate Change (IPCC) affirmed that climate warming is “unequivocal</w:t>
      </w:r>
      <w:r w:rsidR="00667455"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 xml:space="preserve"> and many observed changes are “unprecedented.” While some countries began integrating climate action into national planning with the involvement of finance ministries, others lacked the institutional frameworks to do so.</w:t>
      </w:r>
    </w:p>
    <w:p w14:paraId="07D45376" w14:textId="77777777"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In response, the World Bank developed the </w:t>
      </w:r>
      <w:r w:rsidRPr="00CC4E89">
        <w:rPr>
          <w:rFonts w:asciiTheme="minorBidi" w:eastAsia="Times New Roman" w:hAnsiTheme="minorBidi"/>
          <w:b/>
          <w:kern w:val="0"/>
          <w:sz w:val="20"/>
          <w:szCs w:val="20"/>
          <w:lang w:val="en-US"/>
          <w14:ligatures w14:val="none"/>
        </w:rPr>
        <w:t>Climate Change Public Expenditure and Institutional Review (CCPEIR) Sourcebook</w:t>
      </w:r>
      <w:r w:rsidRPr="00CC4E89">
        <w:rPr>
          <w:rFonts w:asciiTheme="minorBidi" w:eastAsia="Times New Roman" w:hAnsiTheme="minorBidi"/>
          <w:kern w:val="0"/>
          <w:sz w:val="20"/>
          <w:szCs w:val="20"/>
          <w:lang w:val="en-US"/>
          <w14:ligatures w14:val="none"/>
        </w:rPr>
        <w:t xml:space="preserve"> in 2014, providing tools to guide the integration of climate-responsive practices into fiscal management.</w:t>
      </w:r>
    </w:p>
    <w:p w14:paraId="779281D9" w14:textId="76DE6DD1"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In 2017, the </w:t>
      </w:r>
      <w:r w:rsidRPr="00CC4E89">
        <w:rPr>
          <w:rFonts w:asciiTheme="minorBidi" w:eastAsia="Times New Roman" w:hAnsiTheme="minorBidi"/>
          <w:b/>
          <w:kern w:val="0"/>
          <w:sz w:val="20"/>
          <w:szCs w:val="20"/>
          <w:lang w:val="en-US"/>
          <w14:ligatures w14:val="none"/>
        </w:rPr>
        <w:t>OECD Paris Collaborative on Green Budgeting</w:t>
      </w:r>
      <w:r w:rsidRPr="00CC4E89">
        <w:rPr>
          <w:rFonts w:asciiTheme="minorBidi" w:eastAsia="Times New Roman" w:hAnsiTheme="minorBidi"/>
          <w:kern w:val="0"/>
          <w:sz w:val="20"/>
          <w:szCs w:val="20"/>
          <w:lang w:val="en-US"/>
          <w14:ligatures w14:val="none"/>
        </w:rPr>
        <w:t xml:space="preserve"> was launched to co-develop practical tools for aligning national budgets with environmental objectives. Momentum further increased in 2018, when 39 countries highlighted the role of finance ministers in tackling climate change. This led to the </w:t>
      </w:r>
      <w:r w:rsidR="00477D61" w:rsidRPr="00CC4E89">
        <w:rPr>
          <w:rFonts w:asciiTheme="minorBidi" w:eastAsia="Times New Roman" w:hAnsiTheme="minorBidi"/>
          <w:kern w:val="0"/>
          <w:sz w:val="20"/>
          <w:szCs w:val="20"/>
          <w:lang w:val="en-US"/>
          <w14:ligatures w14:val="none"/>
        </w:rPr>
        <w:t xml:space="preserve">debut </w:t>
      </w:r>
      <w:r w:rsidRPr="00CC4E89">
        <w:rPr>
          <w:rFonts w:asciiTheme="minorBidi" w:eastAsia="Times New Roman" w:hAnsiTheme="minorBidi"/>
          <w:kern w:val="0"/>
          <w:sz w:val="20"/>
          <w:szCs w:val="20"/>
          <w:lang w:val="en-US"/>
          <w14:ligatures w14:val="none"/>
        </w:rPr>
        <w:t xml:space="preserve">of the </w:t>
      </w:r>
      <w:r w:rsidRPr="00CC4E89">
        <w:rPr>
          <w:rFonts w:asciiTheme="minorBidi" w:eastAsia="Times New Roman" w:hAnsiTheme="minorBidi"/>
          <w:b/>
          <w:kern w:val="0"/>
          <w:sz w:val="20"/>
          <w:szCs w:val="20"/>
          <w:lang w:val="en-US"/>
          <w14:ligatures w14:val="none"/>
        </w:rPr>
        <w:t>Coalition of Finance Ministers for Climate Action</w:t>
      </w:r>
      <w:r w:rsidRPr="00CC4E89">
        <w:rPr>
          <w:rFonts w:asciiTheme="minorBidi" w:eastAsia="Times New Roman" w:hAnsiTheme="minorBidi"/>
          <w:kern w:val="0"/>
          <w:sz w:val="20"/>
          <w:szCs w:val="20"/>
          <w:lang w:val="en-US"/>
          <w14:ligatures w14:val="none"/>
        </w:rPr>
        <w:t xml:space="preserve"> in April 2019, now comprising over 90 countries committed to the </w:t>
      </w:r>
      <w:r w:rsidRPr="00CC4E89">
        <w:rPr>
          <w:rFonts w:asciiTheme="minorBidi" w:eastAsia="Times New Roman" w:hAnsiTheme="minorBidi"/>
          <w:b/>
          <w:kern w:val="0"/>
          <w:sz w:val="20"/>
          <w:szCs w:val="20"/>
          <w:lang w:val="en-US"/>
          <w14:ligatures w14:val="none"/>
        </w:rPr>
        <w:t>Helsinki Principles</w:t>
      </w:r>
      <w:r w:rsidRPr="00CC4E89">
        <w:rPr>
          <w:rFonts w:asciiTheme="minorBidi" w:eastAsia="Times New Roman" w:hAnsiTheme="minorBidi"/>
          <w:kern w:val="0"/>
          <w:sz w:val="20"/>
          <w:szCs w:val="20"/>
          <w:lang w:val="en-US"/>
          <w14:ligatures w14:val="none"/>
        </w:rPr>
        <w:t>, promoting climate-informed fiscal policy.</w:t>
      </w:r>
    </w:p>
    <w:p w14:paraId="4A8C5393" w14:textId="767FDC9C"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The introduction of the </w:t>
      </w:r>
      <w:r w:rsidR="00DF1286" w:rsidRPr="00CC4E89">
        <w:rPr>
          <w:rFonts w:asciiTheme="minorBidi" w:eastAsia="Times New Roman" w:hAnsiTheme="minorBidi"/>
          <w:b/>
          <w:kern w:val="0"/>
          <w:sz w:val="20"/>
          <w:szCs w:val="20"/>
          <w:lang w:val="en-US"/>
          <w14:ligatures w14:val="none"/>
        </w:rPr>
        <w:t xml:space="preserve">Public Expenditure and Financial </w:t>
      </w:r>
      <w:r w:rsidR="00377A52" w:rsidRPr="00CC4E89">
        <w:rPr>
          <w:rFonts w:asciiTheme="minorBidi" w:eastAsia="Times New Roman" w:hAnsiTheme="minorBidi"/>
          <w:b/>
          <w:kern w:val="0"/>
          <w:sz w:val="20"/>
          <w:szCs w:val="20"/>
          <w:lang w:val="en-US"/>
          <w14:ligatures w14:val="none"/>
        </w:rPr>
        <w:t>Accountability</w:t>
      </w:r>
      <w:r w:rsidR="00377A52" w:rsidRPr="00CC4E89">
        <w:rPr>
          <w:rFonts w:asciiTheme="minorBidi" w:eastAsia="Times New Roman" w:hAnsiTheme="minorBidi"/>
          <w:kern w:val="0"/>
          <w:sz w:val="20"/>
          <w:szCs w:val="20"/>
          <w:lang w:val="en-US"/>
          <w14:ligatures w14:val="none"/>
        </w:rPr>
        <w:t xml:space="preserve"> </w:t>
      </w:r>
      <w:r w:rsidR="00854D8D"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b/>
          <w:kern w:val="0"/>
          <w:sz w:val="20"/>
          <w:szCs w:val="20"/>
          <w:lang w:val="en-US"/>
          <w14:ligatures w14:val="none"/>
        </w:rPr>
        <w:t>PEFA</w:t>
      </w:r>
      <w:r w:rsidR="00854D8D" w:rsidRPr="00CC4E89">
        <w:rPr>
          <w:rFonts w:asciiTheme="minorBidi" w:eastAsia="Times New Roman" w:hAnsiTheme="minorBidi"/>
          <w:b/>
          <w:kern w:val="0"/>
          <w:sz w:val="20"/>
          <w:szCs w:val="20"/>
          <w:lang w:val="en-US"/>
          <w14:ligatures w14:val="none"/>
        </w:rPr>
        <w:t>)</w:t>
      </w:r>
      <w:r w:rsidRPr="00CC4E89">
        <w:rPr>
          <w:rFonts w:asciiTheme="minorBidi" w:eastAsia="Times New Roman" w:hAnsiTheme="minorBidi"/>
          <w:b/>
          <w:kern w:val="0"/>
          <w:sz w:val="20"/>
          <w:szCs w:val="20"/>
          <w:lang w:val="en-US"/>
          <w14:ligatures w14:val="none"/>
        </w:rPr>
        <w:t xml:space="preserve"> Climate Framework</w:t>
      </w:r>
      <w:r w:rsidRPr="00CC4E89">
        <w:rPr>
          <w:rFonts w:asciiTheme="minorBidi" w:eastAsia="Times New Roman" w:hAnsiTheme="minorBidi"/>
          <w:kern w:val="0"/>
          <w:sz w:val="20"/>
          <w:szCs w:val="20"/>
          <w:lang w:val="en-US"/>
          <w14:ligatures w14:val="none"/>
        </w:rPr>
        <w:t xml:space="preserve"> in 2020 marked another significant step, enabling countries to assess how climate considerations are embedded across the budget cycle, from planning to monitoring.</w:t>
      </w:r>
    </w:p>
    <w:p w14:paraId="046EFE0E" w14:textId="77777777"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As awareness of the importance of fiscal alignment with environmental goals has grown, several key methodologies have emerged, including:</w:t>
      </w:r>
    </w:p>
    <w:p w14:paraId="311515C9" w14:textId="177AF438" w:rsidR="00152D43" w:rsidRPr="00CC4E89" w:rsidRDefault="00152D43"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Green Budgeting Toolkit</w:t>
      </w:r>
      <w:r w:rsidRPr="00CC4E89">
        <w:rPr>
          <w:rFonts w:asciiTheme="minorBidi" w:eastAsia="Times New Roman" w:hAnsiTheme="minorBidi"/>
          <w:kern w:val="0"/>
          <w:sz w:val="20"/>
          <w:szCs w:val="20"/>
          <w:lang w:val="en-US"/>
          <w14:ligatures w14:val="none"/>
        </w:rPr>
        <w:t xml:space="preserve"> </w:t>
      </w:r>
      <w:r w:rsidR="007B618B" w:rsidRPr="00CC4E89">
        <w:rPr>
          <w:rFonts w:asciiTheme="minorBidi" w:eastAsia="Times New Roman" w:hAnsiTheme="minorBidi"/>
          <w:kern w:val="0"/>
          <w:sz w:val="20"/>
          <w:szCs w:val="20"/>
          <w:lang w:val="en-US"/>
          <w14:ligatures w14:val="none"/>
        </w:rPr>
        <w:t>by</w:t>
      </w:r>
      <w:r w:rsidR="007B618B" w:rsidRPr="00CC4E89">
        <w:rPr>
          <w:rFonts w:asciiTheme="minorBidi" w:hAnsiTheme="minorBidi"/>
          <w:sz w:val="20"/>
          <w:szCs w:val="20"/>
        </w:rPr>
        <w:t xml:space="preserve"> </w:t>
      </w:r>
      <w:r w:rsidR="007B618B" w:rsidRPr="00CC4E89">
        <w:rPr>
          <w:rFonts w:asciiTheme="minorBidi" w:eastAsia="Times New Roman" w:hAnsiTheme="minorBidi"/>
          <w:kern w:val="0"/>
          <w:sz w:val="20"/>
          <w:szCs w:val="20"/>
          <w:lang w:val="en-US"/>
          <w14:ligatures w14:val="none"/>
        </w:rPr>
        <w:t xml:space="preserve">The Association of Chartered Certified Accountants </w:t>
      </w:r>
      <w:r w:rsidRPr="00CC4E89">
        <w:rPr>
          <w:rFonts w:asciiTheme="minorBidi" w:eastAsia="Times New Roman" w:hAnsiTheme="minorBidi"/>
          <w:kern w:val="0"/>
          <w:sz w:val="20"/>
          <w:szCs w:val="20"/>
          <w:lang w:val="en-US"/>
          <w14:ligatures w14:val="none"/>
        </w:rPr>
        <w:t>(ACCA)</w:t>
      </w:r>
    </w:p>
    <w:p w14:paraId="10F18A6D" w14:textId="223F3D4B" w:rsidR="00152D43" w:rsidRPr="00CC4E89" w:rsidRDefault="00152D43"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OECD Green Budgeting Framework</w:t>
      </w:r>
      <w:r w:rsidRPr="00CC4E89">
        <w:rPr>
          <w:rFonts w:asciiTheme="minorBidi" w:eastAsia="Times New Roman" w:hAnsiTheme="minorBidi"/>
          <w:kern w:val="0"/>
          <w:sz w:val="20"/>
          <w:szCs w:val="20"/>
          <w:lang w:val="en-US"/>
          <w14:ligatures w14:val="none"/>
        </w:rPr>
        <w:t xml:space="preserve"> </w:t>
      </w:r>
    </w:p>
    <w:p w14:paraId="1D58393D" w14:textId="6F1F1A05" w:rsidR="00152D43" w:rsidRPr="00CC4E89" w:rsidRDefault="00152D43"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E</w:t>
      </w:r>
      <w:r w:rsidR="003C617F" w:rsidRPr="00CC4E89">
        <w:rPr>
          <w:rFonts w:asciiTheme="minorBidi" w:eastAsia="Times New Roman" w:hAnsiTheme="minorBidi"/>
          <w:i/>
          <w:kern w:val="0"/>
          <w:sz w:val="20"/>
          <w:szCs w:val="20"/>
          <w:lang w:val="en-US"/>
          <w14:ligatures w14:val="none"/>
        </w:rPr>
        <w:t>uropean Union</w:t>
      </w:r>
      <w:r w:rsidR="00516D47" w:rsidRPr="00CC4E89">
        <w:rPr>
          <w:rFonts w:asciiTheme="minorBidi" w:eastAsia="Times New Roman" w:hAnsiTheme="minorBidi"/>
          <w:i/>
          <w:kern w:val="0"/>
          <w:sz w:val="20"/>
          <w:szCs w:val="20"/>
          <w:lang w:val="en-US"/>
          <w14:ligatures w14:val="none"/>
        </w:rPr>
        <w:t xml:space="preserve"> (EU)</w:t>
      </w:r>
      <w:r w:rsidRPr="00CC4E89">
        <w:rPr>
          <w:rFonts w:asciiTheme="minorBidi" w:eastAsia="Times New Roman" w:hAnsiTheme="minorBidi"/>
          <w:i/>
          <w:kern w:val="0"/>
          <w:sz w:val="20"/>
          <w:szCs w:val="20"/>
          <w:lang w:val="en-US"/>
          <w14:ligatures w14:val="none"/>
        </w:rPr>
        <w:t xml:space="preserve"> Green Budgeting Reference Framework</w:t>
      </w:r>
    </w:p>
    <w:p w14:paraId="5C989121" w14:textId="7F1EF6C6" w:rsidR="00152D43" w:rsidRPr="00CC4E89" w:rsidRDefault="007B0690"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 xml:space="preserve">Climate Public Expenditure and Institutional Review </w:t>
      </w:r>
      <w:r w:rsidR="00BC2E43" w:rsidRPr="00CC4E89">
        <w:rPr>
          <w:rFonts w:asciiTheme="minorBidi" w:eastAsia="Times New Roman" w:hAnsiTheme="minorBidi"/>
          <w:i/>
          <w:kern w:val="0"/>
          <w:sz w:val="20"/>
          <w:szCs w:val="20"/>
          <w:lang w:val="en-US"/>
          <w14:ligatures w14:val="none"/>
        </w:rPr>
        <w:t>(</w:t>
      </w:r>
      <w:r w:rsidR="00152D43" w:rsidRPr="00CC4E89">
        <w:rPr>
          <w:rFonts w:asciiTheme="minorBidi" w:eastAsia="Times New Roman" w:hAnsiTheme="minorBidi"/>
          <w:i/>
          <w:kern w:val="0"/>
          <w:sz w:val="20"/>
          <w:szCs w:val="20"/>
          <w:lang w:val="en-US"/>
          <w14:ligatures w14:val="none"/>
        </w:rPr>
        <w:t>CPEIR</w:t>
      </w:r>
      <w:r w:rsidR="00BC2E43" w:rsidRPr="00CC4E89">
        <w:rPr>
          <w:rFonts w:asciiTheme="minorBidi" w:eastAsia="Times New Roman" w:hAnsiTheme="minorBidi"/>
          <w:i/>
          <w:kern w:val="0"/>
          <w:sz w:val="20"/>
          <w:szCs w:val="20"/>
          <w:lang w:val="en-US"/>
          <w14:ligatures w14:val="none"/>
        </w:rPr>
        <w:t>)</w:t>
      </w:r>
      <w:r w:rsidR="00152D43" w:rsidRPr="00CC4E89">
        <w:rPr>
          <w:rFonts w:asciiTheme="minorBidi" w:eastAsia="Times New Roman" w:hAnsiTheme="minorBidi"/>
          <w:kern w:val="0"/>
          <w:sz w:val="20"/>
          <w:szCs w:val="20"/>
          <w:lang w:val="en-US"/>
          <w14:ligatures w14:val="none"/>
        </w:rPr>
        <w:t xml:space="preserve"> by UNDP</w:t>
      </w:r>
    </w:p>
    <w:p w14:paraId="64049320" w14:textId="482FA305" w:rsidR="00152D43" w:rsidRPr="00CC4E89" w:rsidRDefault="00152D43"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Climate Change Financing Framework</w:t>
      </w:r>
      <w:r w:rsidRPr="00CC4E89">
        <w:rPr>
          <w:rFonts w:asciiTheme="minorBidi" w:eastAsia="Times New Roman" w:hAnsiTheme="minorBidi"/>
          <w:kern w:val="0"/>
          <w:sz w:val="20"/>
          <w:szCs w:val="20"/>
          <w:lang w:val="en-US"/>
          <w14:ligatures w14:val="none"/>
        </w:rPr>
        <w:t xml:space="preserve"> by </w:t>
      </w:r>
      <w:r w:rsidR="008E68BC">
        <w:rPr>
          <w:rFonts w:asciiTheme="minorBidi" w:eastAsia="Times New Roman" w:hAnsiTheme="minorBidi"/>
          <w:kern w:val="0"/>
          <w:sz w:val="20"/>
          <w:szCs w:val="20"/>
          <w:lang w:val="en-US"/>
          <w14:ligatures w14:val="none"/>
        </w:rPr>
        <w:t xml:space="preserve">the </w:t>
      </w:r>
      <w:r w:rsidR="00A94DD5" w:rsidRPr="00CC4E89">
        <w:rPr>
          <w:rFonts w:asciiTheme="minorBidi" w:eastAsia="Times New Roman" w:hAnsiTheme="minorBidi"/>
          <w:kern w:val="0"/>
          <w:sz w:val="20"/>
          <w:szCs w:val="20"/>
          <w:lang w:val="en-US"/>
          <w14:ligatures w14:val="none"/>
        </w:rPr>
        <w:t xml:space="preserve">Government of </w:t>
      </w:r>
      <w:r w:rsidRPr="00CC4E89">
        <w:rPr>
          <w:rFonts w:asciiTheme="minorBidi" w:eastAsia="Times New Roman" w:hAnsiTheme="minorBidi"/>
          <w:kern w:val="0"/>
          <w:sz w:val="20"/>
          <w:szCs w:val="20"/>
          <w:lang w:val="en-US"/>
          <w14:ligatures w14:val="none"/>
        </w:rPr>
        <w:t>Nepal</w:t>
      </w:r>
    </w:p>
    <w:p w14:paraId="1E8D214C" w14:textId="7B18F3B1" w:rsidR="00152D43" w:rsidRPr="00CC4E89" w:rsidRDefault="00152D43"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Primer on Green Budgeting</w:t>
      </w:r>
      <w:r w:rsidRPr="00CC4E89">
        <w:rPr>
          <w:rFonts w:asciiTheme="minorBidi" w:eastAsia="Times New Roman" w:hAnsiTheme="minorBidi"/>
          <w:kern w:val="0"/>
          <w:sz w:val="20"/>
          <w:szCs w:val="20"/>
          <w:lang w:val="en-US"/>
          <w14:ligatures w14:val="none"/>
        </w:rPr>
        <w:t xml:space="preserve"> by </w:t>
      </w:r>
      <w:r w:rsidR="006F3DCC" w:rsidRPr="00CC4E89">
        <w:rPr>
          <w:rFonts w:asciiTheme="minorBidi" w:eastAsia="Times New Roman" w:hAnsiTheme="minorBidi"/>
          <w:kern w:val="0"/>
          <w:sz w:val="20"/>
          <w:szCs w:val="20"/>
          <w:lang w:val="en-US"/>
          <w14:ligatures w14:val="none"/>
        </w:rPr>
        <w:t>The Energy and Resources Institute</w:t>
      </w:r>
      <w:r w:rsidRPr="00CC4E89">
        <w:rPr>
          <w:rFonts w:asciiTheme="minorBidi" w:eastAsia="Times New Roman" w:hAnsiTheme="minorBidi"/>
          <w:kern w:val="0"/>
          <w:sz w:val="20"/>
          <w:szCs w:val="20"/>
          <w:lang w:val="en-US"/>
          <w14:ligatures w14:val="none"/>
        </w:rPr>
        <w:t xml:space="preserve"> </w:t>
      </w:r>
      <w:r w:rsidR="007808A5"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TERI</w:t>
      </w:r>
      <w:r w:rsidR="007808A5"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 India</w:t>
      </w:r>
    </w:p>
    <w:p w14:paraId="27431EF4" w14:textId="77777777"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These tools provide guidance on institutional design, tagging methods, performance indicators, and integration into fiscal frameworks.</w:t>
      </w:r>
    </w:p>
    <w:p w14:paraId="55072EE9" w14:textId="384781BA" w:rsidR="00D72E8D"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The adoption of Green Budgeting is expanding rapidly. According to the OEC</w:t>
      </w:r>
      <w:r w:rsidR="00961C03">
        <w:rPr>
          <w:rFonts w:asciiTheme="minorBidi" w:eastAsia="Times New Roman" w:hAnsiTheme="minorBidi"/>
          <w:kern w:val="0"/>
          <w:sz w:val="20"/>
          <w:szCs w:val="20"/>
          <w:lang w:val="en-US"/>
          <w14:ligatures w14:val="none"/>
        </w:rPr>
        <w:t>D</w:t>
      </w:r>
      <w:r w:rsidRPr="00CC4E89">
        <w:rPr>
          <w:rFonts w:asciiTheme="minorBidi" w:eastAsia="Times New Roman" w:hAnsiTheme="minorBidi"/>
          <w:kern w:val="0"/>
          <w:sz w:val="20"/>
          <w:szCs w:val="20"/>
          <w:lang w:val="en-US"/>
          <w14:ligatures w14:val="none"/>
        </w:rPr>
        <w:t>, the number of countries implementing green budgeting practices rose from 14 in 2020 to 24 in 2022</w:t>
      </w:r>
      <w:r w:rsidR="00706C3B">
        <w:rPr>
          <w:rFonts w:asciiTheme="minorBidi" w:eastAsia="Times New Roman" w:hAnsiTheme="minorBidi"/>
          <w:kern w:val="0"/>
          <w:sz w:val="20"/>
          <w:szCs w:val="20"/>
          <w:lang w:val="en-US"/>
          <w14:ligatures w14:val="none"/>
        </w:rPr>
        <w:t xml:space="preserve"> (OECD, 2024</w:t>
      </w:r>
      <w:r w:rsidR="00861940">
        <w:rPr>
          <w:rFonts w:asciiTheme="minorBidi" w:eastAsia="Times New Roman" w:hAnsiTheme="minorBidi"/>
          <w:kern w:val="0"/>
          <w:sz w:val="20"/>
          <w:szCs w:val="20"/>
          <w:lang w:val="en-US"/>
          <w14:ligatures w14:val="none"/>
        </w:rPr>
        <w:t>)</w:t>
      </w:r>
      <w:r w:rsidR="00E5003A"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 xml:space="preserve"> </w:t>
      </w:r>
      <w:r w:rsidR="0052508B" w:rsidRPr="00CC4E89">
        <w:rPr>
          <w:rFonts w:asciiTheme="minorBidi" w:eastAsia="Times New Roman" w:hAnsiTheme="minorBidi"/>
          <w:kern w:val="0"/>
          <w:sz w:val="20"/>
          <w:szCs w:val="20"/>
          <w:lang w:val="en-US"/>
          <w14:ligatures w14:val="none"/>
        </w:rPr>
        <w:t>Around</w:t>
      </w:r>
      <w:r w:rsidR="004470B5" w:rsidRPr="00CC4E89">
        <w:rPr>
          <w:rFonts w:asciiTheme="minorBidi" w:eastAsia="Times New Roman" w:hAnsiTheme="minorBidi"/>
          <w:kern w:val="0"/>
          <w:sz w:val="20"/>
          <w:szCs w:val="20"/>
          <w:lang w:val="en-US"/>
          <w14:ligatures w14:val="none"/>
        </w:rPr>
        <w:t xml:space="preserve"> </w:t>
      </w:r>
      <w:r w:rsidR="00914F9B">
        <w:rPr>
          <w:rFonts w:asciiTheme="minorBidi" w:eastAsia="Times New Roman" w:hAnsiTheme="minorBidi"/>
          <w:kern w:val="0"/>
          <w:sz w:val="20"/>
          <w:szCs w:val="20"/>
          <w:lang w:val="en-US"/>
          <w14:ligatures w14:val="none"/>
        </w:rPr>
        <w:t>two-thirds</w:t>
      </w:r>
      <w:r w:rsidRPr="00CC4E89">
        <w:rPr>
          <w:rFonts w:asciiTheme="minorBidi" w:eastAsia="Times New Roman" w:hAnsiTheme="minorBidi"/>
          <w:kern w:val="0"/>
          <w:sz w:val="20"/>
          <w:szCs w:val="20"/>
          <w:lang w:val="en-US"/>
          <w14:ligatures w14:val="none"/>
        </w:rPr>
        <w:t xml:space="preserve"> of </w:t>
      </w:r>
      <w:r w:rsidR="00287F83" w:rsidRPr="00CC4E89">
        <w:rPr>
          <w:rFonts w:asciiTheme="minorBidi" w:eastAsia="Times New Roman" w:hAnsiTheme="minorBidi"/>
          <w:kern w:val="0"/>
          <w:sz w:val="20"/>
          <w:szCs w:val="20"/>
          <w:lang w:val="en-US"/>
          <w14:ligatures w14:val="none"/>
        </w:rPr>
        <w:t xml:space="preserve">the </w:t>
      </w:r>
      <w:r w:rsidRPr="00CC4E89">
        <w:rPr>
          <w:rFonts w:asciiTheme="minorBidi" w:eastAsia="Times New Roman" w:hAnsiTheme="minorBidi"/>
          <w:kern w:val="0"/>
          <w:sz w:val="20"/>
          <w:szCs w:val="20"/>
          <w:lang w:val="en-US"/>
          <w14:ligatures w14:val="none"/>
        </w:rPr>
        <w:t>EU Member States have adopted or are planning to adopt Green Budgeting (</w:t>
      </w:r>
      <w:r w:rsidR="001928CB" w:rsidRPr="00CC4E89">
        <w:rPr>
          <w:rFonts w:asciiTheme="minorBidi" w:eastAsia="Times New Roman" w:hAnsiTheme="minorBidi"/>
          <w:kern w:val="0"/>
          <w:sz w:val="20"/>
          <w:szCs w:val="20"/>
          <w:lang w:val="en-US"/>
          <w14:ligatures w14:val="none"/>
        </w:rPr>
        <w:t>The European Commission</w:t>
      </w:r>
      <w:r w:rsidRPr="00CC4E89">
        <w:rPr>
          <w:rFonts w:asciiTheme="minorBidi" w:eastAsia="Times New Roman" w:hAnsiTheme="minorBidi"/>
          <w:kern w:val="0"/>
          <w:sz w:val="20"/>
          <w:szCs w:val="20"/>
          <w:lang w:val="en-US"/>
          <w14:ligatures w14:val="none"/>
        </w:rPr>
        <w:t>, 2023), reflecting a growing global commitment to integrating environmental considerations into public finance.</w:t>
      </w:r>
    </w:p>
    <w:p w14:paraId="7B32783C" w14:textId="77777777" w:rsidR="00D72E8D" w:rsidRDefault="00D72E8D">
      <w:pPr>
        <w:rPr>
          <w:rFonts w:asciiTheme="minorBidi" w:eastAsia="Times New Roman" w:hAnsiTheme="minorBidi"/>
          <w:kern w:val="0"/>
          <w:sz w:val="20"/>
          <w:szCs w:val="20"/>
          <w:lang w:val="en-US"/>
          <w14:ligatures w14:val="none"/>
        </w:rPr>
      </w:pPr>
      <w:r>
        <w:rPr>
          <w:rFonts w:asciiTheme="minorBidi" w:eastAsia="Times New Roman" w:hAnsiTheme="minorBidi"/>
          <w:kern w:val="0"/>
          <w:sz w:val="20"/>
          <w:szCs w:val="20"/>
          <w:lang w:val="en-US"/>
          <w14:ligatures w14:val="none"/>
        </w:rPr>
        <w:br w:type="page"/>
      </w:r>
    </w:p>
    <w:p w14:paraId="60E7C96B" w14:textId="769748B9" w:rsidR="0058133D" w:rsidRPr="00827CF2" w:rsidRDefault="00C33473"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lastRenderedPageBreak/>
        <w:t>GREEN BUDGETING FRAMEWORKS USED ACROSS THE GLOBE</w:t>
      </w:r>
    </w:p>
    <w:p w14:paraId="3794D5F8" w14:textId="43D06C50" w:rsidR="00D01A31" w:rsidRPr="004B0654" w:rsidRDefault="00EC7215" w:rsidP="004B0654">
      <w:pPr>
        <w:spacing w:before="100" w:beforeAutospacing="1" w:after="100" w:afterAutospacing="1" w:line="276" w:lineRule="auto"/>
        <w:jc w:val="both"/>
        <w:rPr>
          <w:rFonts w:asciiTheme="minorBidi" w:hAnsiTheme="minorBidi"/>
        </w:rPr>
      </w:pPr>
      <w:r w:rsidRPr="00483B90">
        <w:rPr>
          <w:rFonts w:asciiTheme="minorBidi" w:hAnsiTheme="minorBidi"/>
          <w:sz w:val="20"/>
          <w:szCs w:val="20"/>
        </w:rPr>
        <w:t xml:space="preserve">There is no universally applicable model for Green Budgeting. Instead, each country must tailor its approach to align with its existing public financial management (PFM) framework, </w:t>
      </w:r>
      <w:r w:rsidR="004403CB" w:rsidRPr="00483B90">
        <w:rPr>
          <w:rFonts w:asciiTheme="minorBidi" w:hAnsiTheme="minorBidi"/>
          <w:sz w:val="20"/>
          <w:szCs w:val="20"/>
        </w:rPr>
        <w:t>considering</w:t>
      </w:r>
      <w:r w:rsidRPr="00483B90">
        <w:rPr>
          <w:rFonts w:asciiTheme="minorBidi" w:hAnsiTheme="minorBidi"/>
          <w:sz w:val="20"/>
          <w:szCs w:val="20"/>
        </w:rPr>
        <w:t xml:space="preserve"> institutional strengths and capacity constraints. Several countries have adopted diverse Green Budgeting frameworks, depending on their development context, environmental priorities, and administrative structures. This section outlines key international frameworks that have gained prominence globally.</w:t>
      </w:r>
    </w:p>
    <w:p w14:paraId="3814CBBE" w14:textId="77777777" w:rsidR="00EC2656" w:rsidRPr="003E1BCB" w:rsidRDefault="00EC2656" w:rsidP="003E1BCB">
      <w:pPr>
        <w:keepNext/>
        <w:keepLines/>
        <w:spacing w:before="40" w:after="240"/>
        <w:outlineLvl w:val="1"/>
        <w:rPr>
          <w:rFonts w:asciiTheme="minorBidi" w:eastAsiaTheme="majorEastAsia" w:hAnsiTheme="minorBidi"/>
          <w:vanish/>
          <w:color w:val="2F5496" w:themeColor="accent1" w:themeShade="BF"/>
        </w:rPr>
      </w:pPr>
    </w:p>
    <w:p w14:paraId="627CAB00" w14:textId="4B1AF714" w:rsidR="00EC7215" w:rsidRPr="004B0654" w:rsidRDefault="00EC7215" w:rsidP="00EC2656">
      <w:pPr>
        <w:pStyle w:val="Heading2"/>
        <w:numPr>
          <w:ilvl w:val="1"/>
          <w:numId w:val="38"/>
        </w:numPr>
        <w:spacing w:after="240"/>
        <w:rPr>
          <w:rFonts w:asciiTheme="minorBidi" w:hAnsiTheme="minorBidi" w:cstheme="minorBidi"/>
          <w:sz w:val="24"/>
          <w:szCs w:val="24"/>
        </w:rPr>
      </w:pPr>
      <w:r w:rsidRPr="004B0654">
        <w:rPr>
          <w:rFonts w:asciiTheme="minorBidi" w:hAnsiTheme="minorBidi" w:cstheme="minorBidi"/>
          <w:sz w:val="22"/>
          <w:szCs w:val="22"/>
        </w:rPr>
        <w:t>OECD Green Budgeting Framework</w:t>
      </w:r>
    </w:p>
    <w:p w14:paraId="63B91802" w14:textId="77777777" w:rsidR="00EC7215" w:rsidRPr="008F2183" w:rsidRDefault="00EC7215" w:rsidP="009E1B25">
      <w:pPr>
        <w:spacing w:before="100" w:beforeAutospacing="1" w:after="100" w:afterAutospacing="1" w:line="276" w:lineRule="auto"/>
        <w:jc w:val="both"/>
        <w:rPr>
          <w:rFonts w:asciiTheme="minorBidi" w:hAnsiTheme="minorBidi"/>
          <w:sz w:val="20"/>
          <w:szCs w:val="20"/>
        </w:rPr>
      </w:pPr>
      <w:r w:rsidRPr="008F2183">
        <w:rPr>
          <w:rFonts w:asciiTheme="minorBidi" w:hAnsiTheme="minorBidi"/>
          <w:sz w:val="20"/>
          <w:szCs w:val="20"/>
        </w:rPr>
        <w:t>The OECD Green Budgeting Framework provides a strategic structure for integrating environmental sustainability into budgetary processes. It is built around four core “building blocks”:</w:t>
      </w:r>
    </w:p>
    <w:p w14:paraId="4EDAEBFA" w14:textId="77777777" w:rsidR="00EC7215" w:rsidRPr="008F2183" w:rsidRDefault="00EC7215" w:rsidP="009E1B25">
      <w:pPr>
        <w:numPr>
          <w:ilvl w:val="0"/>
          <w:numId w:val="21"/>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Institutional Arrangements</w:t>
      </w:r>
      <w:r w:rsidRPr="008F2183">
        <w:rPr>
          <w:rFonts w:asciiTheme="minorBidi" w:hAnsiTheme="minorBidi"/>
          <w:sz w:val="20"/>
          <w:szCs w:val="20"/>
        </w:rPr>
        <w:t>: Establishing legal, procedural, and organizational mechanisms for Green Budgeting.</w:t>
      </w:r>
    </w:p>
    <w:p w14:paraId="3F9BBB33" w14:textId="77777777" w:rsidR="00EC7215" w:rsidRPr="008F2183" w:rsidRDefault="00EC7215" w:rsidP="009E1B25">
      <w:pPr>
        <w:numPr>
          <w:ilvl w:val="0"/>
          <w:numId w:val="21"/>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Methods and Tools</w:t>
      </w:r>
      <w:r w:rsidRPr="008F2183">
        <w:rPr>
          <w:rFonts w:asciiTheme="minorBidi" w:hAnsiTheme="minorBidi"/>
          <w:sz w:val="20"/>
          <w:szCs w:val="20"/>
        </w:rPr>
        <w:t>: Including budget tagging, environmental impact assessments, green spending reviews, and carbon pricing.</w:t>
      </w:r>
    </w:p>
    <w:p w14:paraId="54696426" w14:textId="77777777" w:rsidR="00EC7215" w:rsidRPr="008F2183" w:rsidRDefault="00EC7215" w:rsidP="009E1B25">
      <w:pPr>
        <w:numPr>
          <w:ilvl w:val="0"/>
          <w:numId w:val="21"/>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Accountability and Transparency</w:t>
      </w:r>
      <w:r w:rsidRPr="008F2183">
        <w:rPr>
          <w:rFonts w:asciiTheme="minorBidi" w:hAnsiTheme="minorBidi"/>
          <w:sz w:val="20"/>
          <w:szCs w:val="20"/>
        </w:rPr>
        <w:t>: Ensuring systematic scrutiny, reporting, and evaluation of environmental impacts.</w:t>
      </w:r>
    </w:p>
    <w:p w14:paraId="6A33F0BA" w14:textId="77777777" w:rsidR="00EC7215" w:rsidRPr="008F2183" w:rsidRDefault="00EC7215" w:rsidP="009E1B25">
      <w:pPr>
        <w:numPr>
          <w:ilvl w:val="0"/>
          <w:numId w:val="21"/>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Enabling Environment</w:t>
      </w:r>
      <w:r w:rsidRPr="008F2183">
        <w:rPr>
          <w:rFonts w:asciiTheme="minorBidi" w:hAnsiTheme="minorBidi"/>
          <w:sz w:val="20"/>
          <w:szCs w:val="20"/>
        </w:rPr>
        <w:t>: Supporting long-term institutionalization of Green Budgeting through capacity building and stakeholder engagement.</w:t>
      </w:r>
    </w:p>
    <w:p w14:paraId="0F6A6B46" w14:textId="2DD823D6" w:rsidR="00243A6D" w:rsidRPr="008F2183" w:rsidRDefault="00243A6D" w:rsidP="009E1B25">
      <w:pPr>
        <w:pStyle w:val="Caption"/>
        <w:keepNext/>
        <w:spacing w:line="276" w:lineRule="auto"/>
        <w:jc w:val="both"/>
        <w:rPr>
          <w:rFonts w:asciiTheme="minorBidi" w:hAnsiTheme="minorBidi"/>
          <w:sz w:val="20"/>
          <w:szCs w:val="20"/>
        </w:rPr>
      </w:pPr>
      <w:r w:rsidRPr="008F2183">
        <w:rPr>
          <w:rFonts w:asciiTheme="minorBidi" w:hAnsiTheme="minorBidi"/>
          <w:sz w:val="20"/>
          <w:szCs w:val="20"/>
        </w:rPr>
        <w:t xml:space="preserve">Figure </w:t>
      </w:r>
      <w:r w:rsidR="00912B72">
        <w:rPr>
          <w:rFonts w:asciiTheme="minorBidi" w:hAnsiTheme="minorBidi"/>
          <w:sz w:val="20"/>
          <w:szCs w:val="20"/>
        </w:rPr>
        <w:t>3</w:t>
      </w:r>
      <w:r w:rsidRPr="008F2183">
        <w:rPr>
          <w:rFonts w:asciiTheme="minorBidi" w:hAnsiTheme="minorBidi"/>
          <w:sz w:val="20"/>
          <w:szCs w:val="20"/>
        </w:rPr>
        <w:t>:</w:t>
      </w:r>
      <w:r w:rsidR="00CB605E" w:rsidRPr="008F2183">
        <w:rPr>
          <w:rFonts w:asciiTheme="minorBidi" w:hAnsiTheme="minorBidi"/>
          <w:sz w:val="20"/>
          <w:szCs w:val="20"/>
        </w:rPr>
        <w:t xml:space="preserve"> </w:t>
      </w:r>
      <w:r w:rsidRPr="008F2183">
        <w:rPr>
          <w:rFonts w:asciiTheme="minorBidi" w:hAnsiTheme="minorBidi"/>
          <w:sz w:val="20"/>
          <w:szCs w:val="20"/>
        </w:rPr>
        <w:t xml:space="preserve">Elements constituting each of the </w:t>
      </w:r>
      <w:r w:rsidR="00F42E07">
        <w:rPr>
          <w:rFonts w:asciiTheme="minorBidi" w:hAnsiTheme="minorBidi"/>
          <w:sz w:val="20"/>
          <w:szCs w:val="20"/>
        </w:rPr>
        <w:t>four</w:t>
      </w:r>
      <w:r w:rsidR="00F42E07" w:rsidRPr="008F2183">
        <w:rPr>
          <w:rFonts w:asciiTheme="minorBidi" w:hAnsiTheme="minorBidi"/>
          <w:sz w:val="20"/>
          <w:szCs w:val="20"/>
        </w:rPr>
        <w:t xml:space="preserve"> </w:t>
      </w:r>
      <w:r w:rsidRPr="008F2183">
        <w:rPr>
          <w:rFonts w:asciiTheme="minorBidi" w:hAnsiTheme="minorBidi"/>
          <w:sz w:val="20"/>
          <w:szCs w:val="20"/>
        </w:rPr>
        <w:t>building blocks of the OECD Green Budgeting Framework</w:t>
      </w:r>
    </w:p>
    <w:p w14:paraId="35562E39" w14:textId="44D12B0F" w:rsidR="003254AB" w:rsidRPr="006E13CD" w:rsidRDefault="00433130" w:rsidP="003254AB">
      <w:pPr>
        <w:rPr>
          <w:rFonts w:asciiTheme="minorBidi" w:hAnsiTheme="minorBidi"/>
        </w:rPr>
      </w:pPr>
      <w:r w:rsidRPr="006E13CD">
        <w:rPr>
          <w:rFonts w:asciiTheme="minorBidi" w:hAnsiTheme="minorBidi"/>
          <w:noProof/>
        </w:rPr>
        <w:t xml:space="preserve"> </w:t>
      </w:r>
      <w:r w:rsidRPr="006E13CD">
        <w:rPr>
          <w:rFonts w:asciiTheme="minorBidi" w:hAnsiTheme="minorBidi"/>
          <w:noProof/>
          <w:lang w:eastAsia="en-IN"/>
        </w:rPr>
        <w:drawing>
          <wp:inline distT="0" distB="0" distL="0" distR="0" wp14:anchorId="791F9AB2" wp14:editId="23B98D8E">
            <wp:extent cx="5836920" cy="1126490"/>
            <wp:effectExtent l="0" t="0" r="0" b="0"/>
            <wp:docPr id="13"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2465AF-2BF8-B378-5AAB-07DF865CF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2465AF-2BF8-B378-5AAB-07DF865CFBD4}"/>
                        </a:ext>
                      </a:extLst>
                    </pic:cNvPr>
                    <pic:cNvPicPr>
                      <a:picLocks noChangeAspect="1"/>
                    </pic:cNvPicPr>
                  </pic:nvPicPr>
                  <pic:blipFill>
                    <a:blip r:embed="rId13"/>
                    <a:stretch>
                      <a:fillRect/>
                    </a:stretch>
                  </pic:blipFill>
                  <pic:spPr>
                    <a:xfrm>
                      <a:off x="0" y="0"/>
                      <a:ext cx="5836920" cy="1126490"/>
                    </a:xfrm>
                    <a:prstGeom prst="rect">
                      <a:avLst/>
                    </a:prstGeom>
                  </pic:spPr>
                </pic:pic>
              </a:graphicData>
            </a:graphic>
          </wp:inline>
        </w:drawing>
      </w:r>
    </w:p>
    <w:p w14:paraId="24B78E08" w14:textId="5B7ACAE7" w:rsidR="00794312" w:rsidRPr="008F2183" w:rsidRDefault="00092C79" w:rsidP="003254AB">
      <w:pPr>
        <w:rPr>
          <w:rFonts w:asciiTheme="minorBidi" w:hAnsiTheme="minorBidi"/>
          <w:sz w:val="20"/>
          <w:szCs w:val="20"/>
        </w:rPr>
      </w:pPr>
      <w:r w:rsidRPr="008F2183">
        <w:rPr>
          <w:rFonts w:asciiTheme="minorBidi" w:hAnsiTheme="minorBidi"/>
          <w:i/>
          <w:sz w:val="20"/>
          <w:szCs w:val="20"/>
        </w:rPr>
        <w:t xml:space="preserve">Source </w:t>
      </w:r>
      <w:r w:rsidR="003C6129" w:rsidRPr="008F2183">
        <w:rPr>
          <w:rFonts w:asciiTheme="minorBidi" w:hAnsiTheme="minorBidi"/>
          <w:i/>
          <w:sz w:val="20"/>
          <w:szCs w:val="20"/>
        </w:rPr>
        <w:t>–</w:t>
      </w:r>
      <w:r w:rsidRPr="008F2183">
        <w:rPr>
          <w:rFonts w:asciiTheme="minorBidi" w:hAnsiTheme="minorBidi"/>
          <w:i/>
          <w:sz w:val="20"/>
          <w:szCs w:val="20"/>
        </w:rPr>
        <w:t xml:space="preserve"> </w:t>
      </w:r>
      <w:r w:rsidR="003C6129" w:rsidRPr="008F2183">
        <w:rPr>
          <w:rFonts w:asciiTheme="minorBidi" w:hAnsiTheme="minorBidi"/>
          <w:i/>
          <w:sz w:val="20"/>
          <w:szCs w:val="20"/>
        </w:rPr>
        <w:t xml:space="preserve">Green Budgeting in OECD </w:t>
      </w:r>
      <w:r w:rsidR="00FF5A06" w:rsidRPr="008F2183">
        <w:rPr>
          <w:rFonts w:asciiTheme="minorBidi" w:hAnsiTheme="minorBidi"/>
          <w:i/>
          <w:sz w:val="20"/>
          <w:szCs w:val="20"/>
        </w:rPr>
        <w:t>Countries 2024</w:t>
      </w:r>
      <w:r w:rsidR="00D84AB1" w:rsidRPr="008F2183">
        <w:rPr>
          <w:rFonts w:asciiTheme="minorBidi" w:hAnsiTheme="minorBidi"/>
          <w:i/>
          <w:sz w:val="20"/>
          <w:szCs w:val="20"/>
        </w:rPr>
        <w:t>, OECD (2024)</w:t>
      </w:r>
    </w:p>
    <w:p w14:paraId="50CA5C01" w14:textId="31E36063" w:rsidR="00137B59" w:rsidRPr="00C33473" w:rsidRDefault="00137B59" w:rsidP="00202BF3">
      <w:pPr>
        <w:pStyle w:val="Heading2"/>
        <w:numPr>
          <w:ilvl w:val="1"/>
          <w:numId w:val="38"/>
        </w:numPr>
        <w:spacing w:after="240"/>
        <w:rPr>
          <w:rFonts w:asciiTheme="minorBidi" w:hAnsiTheme="minorBidi" w:cstheme="minorBidi"/>
          <w:sz w:val="22"/>
          <w:szCs w:val="22"/>
        </w:rPr>
      </w:pPr>
      <w:r w:rsidRPr="00C33473">
        <w:rPr>
          <w:rFonts w:asciiTheme="minorBidi" w:hAnsiTheme="minorBidi" w:cstheme="minorBidi"/>
          <w:sz w:val="22"/>
          <w:szCs w:val="22"/>
        </w:rPr>
        <w:t>European Union (EU) Green Budgeting Reference Framework (GBRF)</w:t>
      </w:r>
    </w:p>
    <w:p w14:paraId="7E38786A" w14:textId="77777777" w:rsidR="00137B59" w:rsidRPr="008F2183" w:rsidRDefault="00137B59" w:rsidP="009E1B25">
      <w:pPr>
        <w:spacing w:before="100" w:beforeAutospacing="1" w:after="100" w:afterAutospacing="1" w:line="276" w:lineRule="auto"/>
        <w:jc w:val="both"/>
        <w:rPr>
          <w:rFonts w:asciiTheme="minorBidi" w:hAnsiTheme="minorBidi"/>
          <w:sz w:val="20"/>
          <w:szCs w:val="20"/>
        </w:rPr>
      </w:pPr>
      <w:r w:rsidRPr="008F2183">
        <w:rPr>
          <w:rFonts w:asciiTheme="minorBidi" w:hAnsiTheme="minorBidi"/>
          <w:sz w:val="20"/>
          <w:szCs w:val="20"/>
        </w:rPr>
        <w:t>Complementing the OECD framework, the EU GBRF offers a more operational, country-level implementation guide. It emphasizes five critical components:</w:t>
      </w:r>
    </w:p>
    <w:p w14:paraId="5770637B" w14:textId="77777777" w:rsidR="00137B59" w:rsidRPr="008F2183" w:rsidRDefault="00137B59" w:rsidP="009E1B25">
      <w:pPr>
        <w:numPr>
          <w:ilvl w:val="0"/>
          <w:numId w:val="22"/>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Coverage</w:t>
      </w:r>
      <w:r w:rsidRPr="008F2183">
        <w:rPr>
          <w:rFonts w:asciiTheme="minorBidi" w:hAnsiTheme="minorBidi"/>
          <w:sz w:val="20"/>
          <w:szCs w:val="20"/>
        </w:rPr>
        <w:t>: Extent of inclusion of environmental goals, budget items, and governance levels.</w:t>
      </w:r>
    </w:p>
    <w:p w14:paraId="0DA551F5" w14:textId="77777777" w:rsidR="00137B59" w:rsidRPr="008F2183" w:rsidRDefault="00137B59" w:rsidP="009E1B25">
      <w:pPr>
        <w:numPr>
          <w:ilvl w:val="0"/>
          <w:numId w:val="22"/>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Methodology</w:t>
      </w:r>
      <w:r w:rsidRPr="008F2183">
        <w:rPr>
          <w:rFonts w:asciiTheme="minorBidi" w:hAnsiTheme="minorBidi"/>
          <w:sz w:val="20"/>
          <w:szCs w:val="20"/>
        </w:rPr>
        <w:t>: Assessing policy coherence with long-term environmental goals.</w:t>
      </w:r>
    </w:p>
    <w:p w14:paraId="1A45E98A" w14:textId="77777777" w:rsidR="00137B59" w:rsidRPr="008F2183" w:rsidRDefault="00137B59" w:rsidP="009E1B25">
      <w:pPr>
        <w:numPr>
          <w:ilvl w:val="0"/>
          <w:numId w:val="22"/>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Deliverables</w:t>
      </w:r>
      <w:r w:rsidRPr="008F2183">
        <w:rPr>
          <w:rFonts w:asciiTheme="minorBidi" w:hAnsiTheme="minorBidi"/>
          <w:sz w:val="20"/>
          <w:szCs w:val="20"/>
        </w:rPr>
        <w:t>: Legal or administrative provisions specifying deliverables and timelines.</w:t>
      </w:r>
    </w:p>
    <w:p w14:paraId="071D1C31" w14:textId="77777777" w:rsidR="00137B59" w:rsidRPr="008F2183" w:rsidRDefault="00137B59" w:rsidP="009E1B25">
      <w:pPr>
        <w:numPr>
          <w:ilvl w:val="0"/>
          <w:numId w:val="22"/>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Governance</w:t>
      </w:r>
      <w:r w:rsidRPr="008F2183">
        <w:rPr>
          <w:rFonts w:asciiTheme="minorBidi" w:hAnsiTheme="minorBidi"/>
          <w:sz w:val="20"/>
          <w:szCs w:val="20"/>
        </w:rPr>
        <w:t>: Clarifying roles, responsibilities, and resource allocation.</w:t>
      </w:r>
    </w:p>
    <w:p w14:paraId="02CF3B1A" w14:textId="77777777" w:rsidR="00137B59" w:rsidRPr="008F2183" w:rsidRDefault="00137B59" w:rsidP="009E1B25">
      <w:pPr>
        <w:numPr>
          <w:ilvl w:val="0"/>
          <w:numId w:val="22"/>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Transparency and Accountability</w:t>
      </w:r>
      <w:r w:rsidRPr="008F2183">
        <w:rPr>
          <w:rFonts w:asciiTheme="minorBidi" w:hAnsiTheme="minorBidi"/>
          <w:sz w:val="20"/>
          <w:szCs w:val="20"/>
        </w:rPr>
        <w:t>: Public disclosure and expert review of methodologies.</w:t>
      </w:r>
    </w:p>
    <w:p w14:paraId="631B09DE" w14:textId="77777777" w:rsidR="00137B59" w:rsidRPr="008F2183" w:rsidRDefault="00137B59" w:rsidP="009E1B25">
      <w:pPr>
        <w:spacing w:before="100" w:beforeAutospacing="1" w:after="100" w:afterAutospacing="1" w:line="276" w:lineRule="auto"/>
        <w:jc w:val="both"/>
        <w:rPr>
          <w:rFonts w:asciiTheme="minorBidi" w:hAnsiTheme="minorBidi"/>
          <w:sz w:val="20"/>
          <w:szCs w:val="20"/>
        </w:rPr>
      </w:pPr>
      <w:r w:rsidRPr="008F2183">
        <w:rPr>
          <w:rFonts w:asciiTheme="minorBidi" w:hAnsiTheme="minorBidi"/>
          <w:sz w:val="20"/>
          <w:szCs w:val="20"/>
        </w:rPr>
        <w:t xml:space="preserve">The GBRF classifies Green Budgeting implementation across </w:t>
      </w:r>
      <w:r w:rsidRPr="008F2183">
        <w:rPr>
          <w:rStyle w:val="Strong"/>
          <w:rFonts w:asciiTheme="minorBidi" w:hAnsiTheme="minorBidi"/>
          <w:sz w:val="20"/>
          <w:szCs w:val="20"/>
        </w:rPr>
        <w:t>three maturity levels</w:t>
      </w:r>
      <w:r w:rsidRPr="008F2183">
        <w:rPr>
          <w:rFonts w:asciiTheme="minorBidi" w:hAnsiTheme="minorBidi"/>
          <w:sz w:val="20"/>
          <w:szCs w:val="20"/>
        </w:rPr>
        <w:t>—</w:t>
      </w:r>
      <w:r w:rsidRPr="008F2183">
        <w:rPr>
          <w:rStyle w:val="Strong"/>
          <w:rFonts w:asciiTheme="minorBidi" w:hAnsiTheme="minorBidi"/>
          <w:sz w:val="20"/>
          <w:szCs w:val="20"/>
        </w:rPr>
        <w:t>Essential</w:t>
      </w:r>
      <w:r w:rsidRPr="008F2183">
        <w:rPr>
          <w:rFonts w:asciiTheme="minorBidi" w:hAnsiTheme="minorBidi"/>
          <w:sz w:val="20"/>
          <w:szCs w:val="20"/>
        </w:rPr>
        <w:t xml:space="preserve">, </w:t>
      </w:r>
      <w:r w:rsidRPr="008F2183">
        <w:rPr>
          <w:rStyle w:val="Strong"/>
          <w:rFonts w:asciiTheme="minorBidi" w:hAnsiTheme="minorBidi"/>
          <w:sz w:val="20"/>
          <w:szCs w:val="20"/>
        </w:rPr>
        <w:t>Developed</w:t>
      </w:r>
      <w:r w:rsidRPr="008F2183">
        <w:rPr>
          <w:rFonts w:asciiTheme="minorBidi" w:hAnsiTheme="minorBidi"/>
          <w:sz w:val="20"/>
          <w:szCs w:val="20"/>
        </w:rPr>
        <w:t xml:space="preserve">, and </w:t>
      </w:r>
      <w:r w:rsidRPr="008F2183">
        <w:rPr>
          <w:rStyle w:val="Strong"/>
          <w:rFonts w:asciiTheme="minorBidi" w:hAnsiTheme="minorBidi"/>
          <w:sz w:val="20"/>
          <w:szCs w:val="20"/>
        </w:rPr>
        <w:t>Advanced</w:t>
      </w:r>
      <w:r w:rsidRPr="008F2183">
        <w:rPr>
          <w:rFonts w:asciiTheme="minorBidi" w:hAnsiTheme="minorBidi"/>
          <w:sz w:val="20"/>
          <w:szCs w:val="20"/>
        </w:rPr>
        <w:t>—allowing countries to align their practices with institutional readiness.</w:t>
      </w:r>
    </w:p>
    <w:p w14:paraId="29AE833E" w14:textId="0D748AAC" w:rsidR="008F4F58" w:rsidRPr="006E13CD" w:rsidRDefault="001B4353" w:rsidP="00F75549">
      <w:pPr>
        <w:spacing w:line="276" w:lineRule="auto"/>
        <w:jc w:val="both"/>
        <w:rPr>
          <w:rFonts w:asciiTheme="minorBidi" w:hAnsiTheme="minorBidi"/>
        </w:rPr>
      </w:pPr>
      <w:r w:rsidRPr="006E13CD">
        <w:rPr>
          <w:rFonts w:asciiTheme="minorBidi" w:hAnsiTheme="minorBidi"/>
        </w:rPr>
        <w:t xml:space="preserve"> </w:t>
      </w:r>
      <w:r w:rsidR="005C6781" w:rsidRPr="006E13CD">
        <w:rPr>
          <w:rFonts w:asciiTheme="minorBidi" w:hAnsiTheme="minorBidi"/>
        </w:rPr>
        <w:t xml:space="preserve">     </w:t>
      </w:r>
    </w:p>
    <w:p w14:paraId="6A7224DC" w14:textId="371100BC" w:rsidR="00137B59" w:rsidRPr="00C33473" w:rsidRDefault="00137B59" w:rsidP="00202BF3">
      <w:pPr>
        <w:pStyle w:val="Heading2"/>
        <w:numPr>
          <w:ilvl w:val="1"/>
          <w:numId w:val="38"/>
        </w:numPr>
        <w:spacing w:after="240"/>
        <w:rPr>
          <w:rFonts w:asciiTheme="minorBidi" w:hAnsiTheme="minorBidi" w:cstheme="minorBidi"/>
          <w:sz w:val="22"/>
          <w:szCs w:val="22"/>
        </w:rPr>
      </w:pPr>
      <w:r w:rsidRPr="00C33473">
        <w:rPr>
          <w:rFonts w:asciiTheme="minorBidi" w:hAnsiTheme="minorBidi" w:cstheme="minorBidi"/>
          <w:sz w:val="22"/>
          <w:szCs w:val="22"/>
        </w:rPr>
        <w:lastRenderedPageBreak/>
        <w:t>Climate Public Expenditure and Institutional Review (CPEIR)</w:t>
      </w:r>
    </w:p>
    <w:p w14:paraId="791F31CF" w14:textId="2EFED3B8" w:rsidR="00353D37" w:rsidRPr="008F2183" w:rsidRDefault="00082638" w:rsidP="00082638">
      <w:pPr>
        <w:spacing w:before="100" w:beforeAutospacing="1" w:after="100" w:afterAutospacing="1" w:line="276" w:lineRule="auto"/>
        <w:jc w:val="both"/>
        <w:rPr>
          <w:rFonts w:asciiTheme="minorBidi" w:hAnsiTheme="minorBidi"/>
          <w:sz w:val="20"/>
          <w:szCs w:val="20"/>
        </w:rPr>
      </w:pPr>
      <w:r w:rsidRPr="008F2183">
        <w:rPr>
          <w:rFonts w:asciiTheme="minorBidi" w:hAnsiTheme="minorBidi"/>
          <w:sz w:val="20"/>
          <w:szCs w:val="20"/>
        </w:rPr>
        <w:t xml:space="preserve">Developed with support from UNDP and the World Bank, the CPEIR serves as a diagnostic tool to assess the integration of climate considerations into public expenditure. It is structured around </w:t>
      </w:r>
      <w:r w:rsidR="00353D37" w:rsidRPr="008F2183">
        <w:rPr>
          <w:rFonts w:asciiTheme="minorBidi" w:hAnsiTheme="minorBidi"/>
          <w:sz w:val="20"/>
          <w:szCs w:val="20"/>
        </w:rPr>
        <w:t xml:space="preserve">the following </w:t>
      </w:r>
      <w:r w:rsidRPr="008F2183">
        <w:rPr>
          <w:rFonts w:asciiTheme="minorBidi" w:hAnsiTheme="minorBidi"/>
          <w:sz w:val="20"/>
          <w:szCs w:val="20"/>
        </w:rPr>
        <w:t>three core pillars</w:t>
      </w:r>
      <w:r w:rsidR="00353D37" w:rsidRPr="008F2183">
        <w:rPr>
          <w:rFonts w:asciiTheme="minorBidi" w:hAnsiTheme="minorBidi"/>
          <w:sz w:val="20"/>
          <w:szCs w:val="20"/>
        </w:rPr>
        <w:t xml:space="preserve"> – </w:t>
      </w:r>
    </w:p>
    <w:p w14:paraId="35E07196" w14:textId="4FB4CFAE" w:rsidR="00A7119D" w:rsidRPr="008F2183" w:rsidRDefault="00082638" w:rsidP="00082638">
      <w:pPr>
        <w:pStyle w:val="ListParagraph"/>
        <w:numPr>
          <w:ilvl w:val="0"/>
          <w:numId w:val="33"/>
        </w:numPr>
        <w:spacing w:before="100" w:beforeAutospacing="1" w:after="100" w:afterAutospacing="1" w:line="276" w:lineRule="auto"/>
        <w:jc w:val="both"/>
        <w:rPr>
          <w:rFonts w:asciiTheme="minorBidi" w:hAnsiTheme="minorBidi"/>
          <w:sz w:val="20"/>
          <w:szCs w:val="20"/>
        </w:rPr>
      </w:pPr>
      <w:r w:rsidRPr="008F2183">
        <w:rPr>
          <w:rFonts w:asciiTheme="minorBidi" w:hAnsiTheme="minorBidi"/>
          <w:b/>
          <w:sz w:val="20"/>
          <w:szCs w:val="20"/>
        </w:rPr>
        <w:t>Policy Analysis</w:t>
      </w:r>
      <w:r w:rsidRPr="008F2183">
        <w:rPr>
          <w:rFonts w:asciiTheme="minorBidi" w:hAnsiTheme="minorBidi"/>
          <w:sz w:val="20"/>
          <w:szCs w:val="20"/>
        </w:rPr>
        <w:t xml:space="preserve">: Evaluating climate policy frameworks and </w:t>
      </w:r>
      <w:r w:rsidR="00BD7745">
        <w:rPr>
          <w:rFonts w:asciiTheme="minorBidi" w:hAnsiTheme="minorBidi"/>
          <w:sz w:val="20"/>
          <w:szCs w:val="20"/>
        </w:rPr>
        <w:t>examining how these frameworks translate</w:t>
      </w:r>
      <w:r w:rsidRPr="008F2183">
        <w:rPr>
          <w:rFonts w:asciiTheme="minorBidi" w:hAnsiTheme="minorBidi"/>
          <w:sz w:val="20"/>
          <w:szCs w:val="20"/>
        </w:rPr>
        <w:t xml:space="preserve"> into programs and instruments.</w:t>
      </w:r>
    </w:p>
    <w:p w14:paraId="1F4E485C" w14:textId="77777777" w:rsidR="00A7119D" w:rsidRPr="008F2183" w:rsidRDefault="00082638" w:rsidP="00082638">
      <w:pPr>
        <w:pStyle w:val="ListParagraph"/>
        <w:numPr>
          <w:ilvl w:val="0"/>
          <w:numId w:val="33"/>
        </w:numPr>
        <w:spacing w:before="100" w:beforeAutospacing="1" w:after="100" w:afterAutospacing="1" w:line="276" w:lineRule="auto"/>
        <w:jc w:val="both"/>
        <w:rPr>
          <w:rFonts w:asciiTheme="minorBidi" w:hAnsiTheme="minorBidi"/>
          <w:sz w:val="20"/>
          <w:szCs w:val="20"/>
        </w:rPr>
      </w:pPr>
      <w:r w:rsidRPr="008F2183">
        <w:rPr>
          <w:rFonts w:asciiTheme="minorBidi" w:hAnsiTheme="minorBidi"/>
          <w:b/>
          <w:sz w:val="20"/>
          <w:szCs w:val="20"/>
        </w:rPr>
        <w:t>Institutional Analysis</w:t>
      </w:r>
      <w:r w:rsidRPr="008F2183">
        <w:rPr>
          <w:rFonts w:asciiTheme="minorBidi" w:hAnsiTheme="minorBidi"/>
          <w:sz w:val="20"/>
          <w:szCs w:val="20"/>
        </w:rPr>
        <w:t>: Assessing institutional mandates, coordination mechanisms, and implementation capacity.</w:t>
      </w:r>
    </w:p>
    <w:p w14:paraId="510169C3" w14:textId="669029B7" w:rsidR="00082638" w:rsidRPr="008F2183" w:rsidRDefault="00082638" w:rsidP="007D13F4">
      <w:pPr>
        <w:pStyle w:val="ListParagraph"/>
        <w:numPr>
          <w:ilvl w:val="0"/>
          <w:numId w:val="33"/>
        </w:numPr>
        <w:spacing w:before="100" w:beforeAutospacing="1" w:after="100" w:afterAutospacing="1" w:line="276" w:lineRule="auto"/>
        <w:jc w:val="both"/>
        <w:rPr>
          <w:rFonts w:asciiTheme="minorBidi" w:hAnsiTheme="minorBidi"/>
          <w:sz w:val="20"/>
          <w:szCs w:val="20"/>
        </w:rPr>
      </w:pPr>
      <w:r w:rsidRPr="008F2183">
        <w:rPr>
          <w:rFonts w:asciiTheme="minorBidi" w:hAnsiTheme="minorBidi"/>
          <w:b/>
          <w:sz w:val="20"/>
          <w:szCs w:val="20"/>
        </w:rPr>
        <w:t>Climate Public Expenditure Analysis</w:t>
      </w:r>
      <w:r w:rsidRPr="008F2183">
        <w:rPr>
          <w:rFonts w:asciiTheme="minorBidi" w:hAnsiTheme="minorBidi"/>
          <w:sz w:val="20"/>
          <w:szCs w:val="20"/>
        </w:rPr>
        <w:t xml:space="preserve">: Quantifying climate-related spending and </w:t>
      </w:r>
      <w:r w:rsidR="00560A32" w:rsidRPr="008F2183">
        <w:rPr>
          <w:rFonts w:asciiTheme="minorBidi" w:hAnsiTheme="minorBidi"/>
          <w:sz w:val="20"/>
          <w:szCs w:val="20"/>
        </w:rPr>
        <w:t>analysing</w:t>
      </w:r>
      <w:r w:rsidRPr="008F2183">
        <w:rPr>
          <w:rFonts w:asciiTheme="minorBidi" w:hAnsiTheme="minorBidi"/>
          <w:sz w:val="20"/>
          <w:szCs w:val="20"/>
        </w:rPr>
        <w:t xml:space="preserve"> fiscal policies relevant to climate change.</w:t>
      </w:r>
    </w:p>
    <w:p w14:paraId="15BDF690" w14:textId="3340F0C9" w:rsidR="002E6FA3" w:rsidRPr="008F2183" w:rsidRDefault="002E6FA3" w:rsidP="00F75549">
      <w:pPr>
        <w:pStyle w:val="Caption"/>
        <w:keepNext/>
        <w:spacing w:line="276" w:lineRule="auto"/>
        <w:jc w:val="both"/>
        <w:rPr>
          <w:rFonts w:asciiTheme="minorBidi" w:hAnsiTheme="minorBidi"/>
          <w:sz w:val="20"/>
          <w:szCs w:val="20"/>
        </w:rPr>
      </w:pPr>
      <w:r w:rsidRPr="008F2183">
        <w:rPr>
          <w:rFonts w:asciiTheme="minorBidi" w:hAnsiTheme="minorBidi"/>
          <w:sz w:val="20"/>
          <w:szCs w:val="20"/>
        </w:rPr>
        <w:t xml:space="preserve">Figure </w:t>
      </w:r>
      <w:r w:rsidR="00DD4385" w:rsidRPr="008F2183">
        <w:rPr>
          <w:rFonts w:asciiTheme="minorBidi" w:hAnsiTheme="minorBidi"/>
          <w:sz w:val="20"/>
          <w:szCs w:val="20"/>
        </w:rPr>
        <w:t>4</w:t>
      </w:r>
      <w:r w:rsidRPr="008F2183">
        <w:rPr>
          <w:rFonts w:asciiTheme="minorBidi" w:hAnsiTheme="minorBidi"/>
          <w:sz w:val="20"/>
          <w:szCs w:val="20"/>
        </w:rPr>
        <w:t>:</w:t>
      </w:r>
      <w:r w:rsidR="00DD4385" w:rsidRPr="008F2183">
        <w:rPr>
          <w:rFonts w:asciiTheme="minorBidi" w:hAnsiTheme="minorBidi"/>
          <w:sz w:val="20"/>
          <w:szCs w:val="20"/>
        </w:rPr>
        <w:t xml:space="preserve"> </w:t>
      </w:r>
      <w:r w:rsidRPr="008F2183">
        <w:rPr>
          <w:rFonts w:asciiTheme="minorBidi" w:hAnsiTheme="minorBidi"/>
          <w:sz w:val="20"/>
          <w:szCs w:val="20"/>
        </w:rPr>
        <w:t>Steps included under each of the 3 key pillars of CPEIR Analytical Framework</w:t>
      </w:r>
    </w:p>
    <w:p w14:paraId="05039072" w14:textId="2257C5B2" w:rsidR="00C86DBA" w:rsidRPr="006E13CD" w:rsidRDefault="003B40C9" w:rsidP="00F75549">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1C47F3FD" wp14:editId="3B75A11C">
            <wp:extent cx="5731510" cy="3846830"/>
            <wp:effectExtent l="0" t="0" r="2540" b="1270"/>
            <wp:docPr id="1726196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96369" name="Picture 1726196369"/>
                    <pic:cNvPicPr/>
                  </pic:nvPicPr>
                  <pic:blipFill>
                    <a:blip r:embed="rId14">
                      <a:extLst>
                        <a:ext uri="{28A0092B-C50C-407E-A947-70E740481C1C}">
                          <a14:useLocalDpi xmlns:a14="http://schemas.microsoft.com/office/drawing/2010/main" val="0"/>
                        </a:ext>
                      </a:extLst>
                    </a:blip>
                    <a:stretch>
                      <a:fillRect/>
                    </a:stretch>
                  </pic:blipFill>
                  <pic:spPr>
                    <a:xfrm>
                      <a:off x="0" y="0"/>
                      <a:ext cx="5731510" cy="3846830"/>
                    </a:xfrm>
                    <a:prstGeom prst="rect">
                      <a:avLst/>
                    </a:prstGeom>
                  </pic:spPr>
                </pic:pic>
              </a:graphicData>
            </a:graphic>
          </wp:inline>
        </w:drawing>
      </w:r>
    </w:p>
    <w:p w14:paraId="5C617A3F" w14:textId="08631770" w:rsidR="0041307D" w:rsidRPr="008F2183" w:rsidRDefault="0041307D" w:rsidP="00F75549">
      <w:pPr>
        <w:spacing w:line="276" w:lineRule="auto"/>
        <w:jc w:val="both"/>
        <w:rPr>
          <w:rFonts w:asciiTheme="minorBidi" w:hAnsiTheme="minorBidi"/>
          <w:i/>
          <w:sz w:val="20"/>
          <w:szCs w:val="20"/>
        </w:rPr>
      </w:pPr>
      <w:r w:rsidRPr="008F2183">
        <w:rPr>
          <w:rFonts w:asciiTheme="minorBidi" w:hAnsiTheme="minorBidi"/>
          <w:i/>
          <w:sz w:val="20"/>
          <w:szCs w:val="20"/>
        </w:rPr>
        <w:t xml:space="preserve">Source - </w:t>
      </w:r>
      <w:r w:rsidR="00440D78" w:rsidRPr="008F2183">
        <w:rPr>
          <w:rFonts w:asciiTheme="minorBidi" w:hAnsiTheme="minorBidi"/>
          <w:i/>
          <w:sz w:val="20"/>
          <w:szCs w:val="20"/>
        </w:rPr>
        <w:t>Methodological Guidebook: Climate Public Expenditure and Institutional Review (CPEIR), UNDP</w:t>
      </w:r>
      <w:r w:rsidR="00C92E51" w:rsidRPr="008F2183">
        <w:rPr>
          <w:rFonts w:asciiTheme="minorBidi" w:hAnsiTheme="minorBidi"/>
          <w:i/>
          <w:sz w:val="20"/>
          <w:szCs w:val="20"/>
        </w:rPr>
        <w:t xml:space="preserve"> (2015)</w:t>
      </w:r>
    </w:p>
    <w:p w14:paraId="6E6FA4CE" w14:textId="77E54AEE" w:rsidR="00DD10F8" w:rsidRDefault="00DD10F8">
      <w:pPr>
        <w:rPr>
          <w:rFonts w:asciiTheme="minorBidi" w:hAnsiTheme="minorBidi"/>
          <w:sz w:val="20"/>
          <w:szCs w:val="20"/>
        </w:rPr>
      </w:pPr>
      <w:r>
        <w:rPr>
          <w:rFonts w:asciiTheme="minorBidi" w:hAnsiTheme="minorBidi"/>
          <w:sz w:val="20"/>
          <w:szCs w:val="20"/>
        </w:rPr>
        <w:br w:type="page"/>
      </w:r>
    </w:p>
    <w:p w14:paraId="65DDF4B9" w14:textId="0F49D176" w:rsidR="008400DA" w:rsidRPr="00827CF2" w:rsidRDefault="00827CF2"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lastRenderedPageBreak/>
        <w:t>LITERATURE REVIEW</w:t>
      </w:r>
    </w:p>
    <w:p w14:paraId="35662B17" w14:textId="0418DB49"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 xml:space="preserve">Green Budgeting is a relatively recent concept in </w:t>
      </w:r>
      <w:r w:rsidR="00696035" w:rsidRPr="008F2183">
        <w:rPr>
          <w:rFonts w:asciiTheme="minorBidi" w:eastAsia="Times New Roman" w:hAnsiTheme="minorBidi"/>
          <w:kern w:val="0"/>
          <w:sz w:val="20"/>
          <w:szCs w:val="20"/>
          <w:lang w:val="en-US"/>
          <w14:ligatures w14:val="none"/>
        </w:rPr>
        <w:t>PFM</w:t>
      </w:r>
      <w:r w:rsidRPr="008F2183">
        <w:rPr>
          <w:rFonts w:asciiTheme="minorBidi" w:eastAsia="Times New Roman" w:hAnsiTheme="minorBidi"/>
          <w:kern w:val="0"/>
          <w:sz w:val="20"/>
          <w:szCs w:val="20"/>
          <w:lang w:val="en-US"/>
          <w14:ligatures w14:val="none"/>
        </w:rPr>
        <w:t>, but various institutions have already developed foundational guidelines and frameworks to support its effective implementation</w:t>
      </w:r>
      <w:r w:rsidR="00F54475">
        <w:rPr>
          <w:rFonts w:asciiTheme="minorBidi" w:eastAsia="Times New Roman" w:hAnsiTheme="minorBidi"/>
          <w:kern w:val="0"/>
          <w:sz w:val="20"/>
          <w:szCs w:val="20"/>
          <w:lang w:val="en-US"/>
          <w14:ligatures w14:val="none"/>
        </w:rPr>
        <w:t>,</w:t>
      </w:r>
      <w:r w:rsidR="006D6834" w:rsidRPr="008F2183">
        <w:rPr>
          <w:rFonts w:asciiTheme="minorBidi" w:eastAsia="Times New Roman" w:hAnsiTheme="minorBidi"/>
          <w:kern w:val="0"/>
          <w:sz w:val="20"/>
          <w:szCs w:val="20"/>
          <w:lang w:val="en-US"/>
          <w14:ligatures w14:val="none"/>
        </w:rPr>
        <w:t xml:space="preserve"> as discussed </w:t>
      </w:r>
      <w:r w:rsidR="00314ABB" w:rsidRPr="008F2183">
        <w:rPr>
          <w:rFonts w:asciiTheme="minorBidi" w:eastAsia="Times New Roman" w:hAnsiTheme="minorBidi"/>
          <w:kern w:val="0"/>
          <w:sz w:val="20"/>
          <w:szCs w:val="20"/>
          <w:lang w:val="en-US"/>
          <w14:ligatures w14:val="none"/>
        </w:rPr>
        <w:t>in the previous section</w:t>
      </w:r>
      <w:r w:rsidR="006D6834" w:rsidRPr="008F2183">
        <w:rPr>
          <w:rFonts w:asciiTheme="minorBidi" w:eastAsia="Times New Roman" w:hAnsiTheme="minorBidi"/>
          <w:kern w:val="0"/>
          <w:sz w:val="20"/>
          <w:szCs w:val="20"/>
          <w:lang w:val="en-US"/>
          <w14:ligatures w14:val="none"/>
        </w:rPr>
        <w:t xml:space="preserve">. </w:t>
      </w:r>
    </w:p>
    <w:p w14:paraId="2B8FD637" w14:textId="2E506E58"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 xml:space="preserve">Several studies have emphasized the multiple benefits of Green Budgeting. These include enhanced fiscal transparency, improved resource allocation, and alignment of public finances with climate goals. For example, </w:t>
      </w:r>
      <w:proofErr w:type="spellStart"/>
      <w:r w:rsidR="00151BD4" w:rsidRPr="008F2183">
        <w:rPr>
          <w:rFonts w:asciiTheme="minorBidi" w:eastAsia="Times New Roman" w:hAnsiTheme="minorBidi"/>
          <w:i/>
          <w:kern w:val="0"/>
          <w:sz w:val="20"/>
          <w:szCs w:val="20"/>
          <w:lang w:val="en-US"/>
          <w14:ligatures w14:val="none"/>
        </w:rPr>
        <w:t>Marinheiro</w:t>
      </w:r>
      <w:proofErr w:type="spellEnd"/>
      <w:r w:rsidR="00151BD4" w:rsidRPr="008F2183">
        <w:rPr>
          <w:rFonts w:asciiTheme="minorBidi" w:eastAsia="Times New Roman" w:hAnsiTheme="minorBidi"/>
          <w:i/>
          <w:kern w:val="0"/>
          <w:sz w:val="20"/>
          <w:szCs w:val="20"/>
          <w:lang w:val="en-US"/>
          <w14:ligatures w14:val="none"/>
        </w:rPr>
        <w:t>, C., Sousa, A. and Pinheiro, A. (2022)</w:t>
      </w:r>
      <w:r w:rsidR="00173594" w:rsidRPr="008F2183">
        <w:rPr>
          <w:rFonts w:asciiTheme="minorBidi" w:eastAsia="Times New Roman" w:hAnsiTheme="minorBidi"/>
          <w:kern w:val="0"/>
          <w:sz w:val="20"/>
          <w:szCs w:val="20"/>
          <w:lang w:val="en-US"/>
          <w14:ligatures w14:val="none"/>
        </w:rPr>
        <w:t xml:space="preserve"> </w:t>
      </w:r>
      <w:r w:rsidRPr="008F2183">
        <w:rPr>
          <w:rFonts w:asciiTheme="minorBidi" w:eastAsia="Times New Roman" w:hAnsiTheme="minorBidi"/>
          <w:kern w:val="0"/>
          <w:sz w:val="20"/>
          <w:szCs w:val="20"/>
          <w:lang w:val="en-US"/>
          <w14:ligatures w14:val="none"/>
        </w:rPr>
        <w:t>notes that Green Budgeting can serve as a pathway to issuing green bonds for climate-related projects</w:t>
      </w:r>
      <w:r w:rsidRPr="00504F0B">
        <w:rPr>
          <w:rFonts w:asciiTheme="minorBidi" w:eastAsia="Times New Roman" w:hAnsiTheme="minorBidi"/>
          <w:kern w:val="0"/>
          <w:sz w:val="20"/>
          <w:szCs w:val="20"/>
          <w:lang w:val="en-US"/>
          <w14:ligatures w14:val="none"/>
        </w:rPr>
        <w:t xml:space="preserve">. Similarly, </w:t>
      </w:r>
      <w:r w:rsidRPr="00504F0B">
        <w:rPr>
          <w:rFonts w:asciiTheme="minorBidi" w:eastAsia="Times New Roman" w:hAnsiTheme="minorBidi"/>
          <w:i/>
          <w:kern w:val="0"/>
          <w:sz w:val="20"/>
          <w:szCs w:val="20"/>
          <w:lang w:val="en-US"/>
          <w14:ligatures w14:val="none"/>
        </w:rPr>
        <w:t>Green Budgeting for a Green Recovery</w:t>
      </w:r>
      <w:r w:rsidRPr="00504F0B">
        <w:rPr>
          <w:rFonts w:asciiTheme="minorBidi" w:eastAsia="Times New Roman" w:hAnsiTheme="minorBidi"/>
          <w:kern w:val="0"/>
          <w:sz w:val="20"/>
          <w:szCs w:val="20"/>
          <w:lang w:val="en-US"/>
          <w14:ligatures w14:val="none"/>
        </w:rPr>
        <w:t xml:space="preserve"> highlights the potential of Green Budgeting to support post-pandemic economic recovery efforts in Asia-Pacific countries.</w:t>
      </w:r>
    </w:p>
    <w:p w14:paraId="4819D30C" w14:textId="682A3135"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Other studies stress that Green Budgeting enables policymakers to understand the environmental impact of budgetary decisions, prioritize natural resource conservation, and integrate environmental taxes into fiscal systems (</w:t>
      </w:r>
      <w:proofErr w:type="spellStart"/>
      <w:r w:rsidR="00D96ED7" w:rsidRPr="008F2183">
        <w:rPr>
          <w:rFonts w:asciiTheme="minorBidi" w:eastAsia="Times New Roman" w:hAnsiTheme="minorBidi"/>
          <w:kern w:val="0"/>
          <w:sz w:val="20"/>
          <w:szCs w:val="20"/>
          <w:lang w:val="en-US"/>
          <w14:ligatures w14:val="none"/>
        </w:rPr>
        <w:t>Aktaş</w:t>
      </w:r>
      <w:proofErr w:type="spellEnd"/>
      <w:r w:rsidR="00D96ED7" w:rsidRPr="008F2183">
        <w:rPr>
          <w:rFonts w:asciiTheme="minorBidi" w:eastAsia="Times New Roman" w:hAnsiTheme="minorBidi"/>
          <w:kern w:val="0"/>
          <w:sz w:val="20"/>
          <w:szCs w:val="20"/>
          <w:lang w:val="en-US"/>
          <w14:ligatures w14:val="none"/>
        </w:rPr>
        <w:t>, E. (2023)</w:t>
      </w:r>
      <w:r w:rsidRPr="008F2183">
        <w:rPr>
          <w:rFonts w:asciiTheme="minorBidi" w:eastAsia="Times New Roman" w:hAnsiTheme="minorBidi"/>
          <w:kern w:val="0"/>
          <w:sz w:val="20"/>
          <w:szCs w:val="20"/>
          <w:lang w:val="en-US"/>
          <w14:ligatures w14:val="none"/>
        </w:rPr>
        <w:t xml:space="preserve">). </w:t>
      </w:r>
    </w:p>
    <w:p w14:paraId="21C24FC0" w14:textId="70103AE9"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 xml:space="preserve">The literature also includes analyses of Green Budgeting implementation across various countries. </w:t>
      </w:r>
      <w:proofErr w:type="spellStart"/>
      <w:r w:rsidR="004C6A72" w:rsidRPr="008F2183">
        <w:rPr>
          <w:rFonts w:asciiTheme="minorBidi" w:eastAsia="Times New Roman" w:hAnsiTheme="minorBidi"/>
          <w:i/>
          <w:kern w:val="0"/>
          <w:sz w:val="20"/>
          <w:szCs w:val="20"/>
          <w:lang w:val="en-US"/>
          <w14:ligatures w14:val="none"/>
        </w:rPr>
        <w:t>Marinheiro</w:t>
      </w:r>
      <w:proofErr w:type="spellEnd"/>
      <w:r w:rsidR="004C6A72" w:rsidRPr="008F2183">
        <w:rPr>
          <w:rFonts w:asciiTheme="minorBidi" w:eastAsia="Times New Roman" w:hAnsiTheme="minorBidi"/>
          <w:i/>
          <w:kern w:val="0"/>
          <w:sz w:val="20"/>
          <w:szCs w:val="20"/>
          <w:lang w:val="en-US"/>
          <w14:ligatures w14:val="none"/>
        </w:rPr>
        <w:t>, C., Sousa, A. and Pinheiro, A. (2022)</w:t>
      </w:r>
      <w:r w:rsidR="004C6A72" w:rsidRPr="008F2183">
        <w:rPr>
          <w:rFonts w:asciiTheme="minorBidi" w:eastAsia="Times New Roman" w:hAnsiTheme="minorBidi"/>
          <w:kern w:val="0"/>
          <w:sz w:val="20"/>
          <w:szCs w:val="20"/>
          <w:lang w:val="en-US"/>
          <w14:ligatures w14:val="none"/>
        </w:rPr>
        <w:t xml:space="preserve"> </w:t>
      </w:r>
      <w:r w:rsidRPr="008F2183">
        <w:rPr>
          <w:rFonts w:asciiTheme="minorBidi" w:eastAsia="Times New Roman" w:hAnsiTheme="minorBidi"/>
          <w:kern w:val="0"/>
          <w:sz w:val="20"/>
          <w:szCs w:val="20"/>
          <w:lang w:val="en-US"/>
          <w14:ligatures w14:val="none"/>
        </w:rPr>
        <w:t xml:space="preserve">provides a roadmap for adopting Green Budgeting and reviews France’s experience. </w:t>
      </w:r>
      <w:proofErr w:type="spellStart"/>
      <w:r w:rsidR="003F0F90" w:rsidRPr="008F2183">
        <w:rPr>
          <w:rFonts w:asciiTheme="minorBidi" w:eastAsia="Times New Roman" w:hAnsiTheme="minorBidi"/>
          <w:i/>
          <w:kern w:val="0"/>
          <w:sz w:val="20"/>
          <w:szCs w:val="20"/>
          <w:lang w:val="en-US"/>
          <w14:ligatures w14:val="none"/>
        </w:rPr>
        <w:t>Pojar</w:t>
      </w:r>
      <w:proofErr w:type="spellEnd"/>
      <w:r w:rsidR="003F0F90" w:rsidRPr="008F2183">
        <w:rPr>
          <w:rFonts w:asciiTheme="minorBidi" w:eastAsia="Times New Roman" w:hAnsiTheme="minorBidi"/>
          <w:i/>
          <w:kern w:val="0"/>
          <w:sz w:val="20"/>
          <w:szCs w:val="20"/>
          <w:lang w:val="en-US"/>
          <w14:ligatures w14:val="none"/>
        </w:rPr>
        <w:t xml:space="preserve">, </w:t>
      </w:r>
      <w:r w:rsidR="00BE5761">
        <w:rPr>
          <w:rFonts w:asciiTheme="minorBidi" w:eastAsia="Times New Roman" w:hAnsiTheme="minorBidi"/>
          <w:i/>
          <w:kern w:val="0"/>
          <w:sz w:val="20"/>
          <w:szCs w:val="20"/>
          <w:lang w:val="en-US"/>
          <w14:ligatures w14:val="none"/>
        </w:rPr>
        <w:t>S.</w:t>
      </w:r>
      <w:r>
        <w:rPr>
          <w:rFonts w:asciiTheme="minorBidi" w:eastAsia="Times New Roman" w:hAnsiTheme="minorBidi"/>
          <w:i/>
          <w:kern w:val="0"/>
          <w:sz w:val="20"/>
          <w:szCs w:val="20"/>
          <w:lang w:val="en-US"/>
          <w14:ligatures w14:val="none"/>
        </w:rPr>
        <w:t xml:space="preserve"> </w:t>
      </w:r>
      <w:r w:rsidR="00856F23">
        <w:rPr>
          <w:rFonts w:asciiTheme="minorBidi" w:eastAsia="Times New Roman" w:hAnsiTheme="minorBidi"/>
          <w:i/>
          <w:kern w:val="0"/>
          <w:sz w:val="20"/>
          <w:szCs w:val="20"/>
          <w:lang w:val="en-US"/>
          <w14:ligatures w14:val="none"/>
        </w:rPr>
        <w:t>(2023) analyses the use of Green Budgeting tools by EU Member States, concluding that while the focus has so far been on improving transparency, there is a need to strengthen their</w:t>
      </w:r>
      <w:r w:rsidRPr="008F2183">
        <w:rPr>
          <w:rFonts w:asciiTheme="minorBidi" w:eastAsia="Times New Roman" w:hAnsiTheme="minorBidi"/>
          <w:kern w:val="0"/>
          <w:sz w:val="20"/>
          <w:szCs w:val="20"/>
          <w:lang w:val="en-US"/>
          <w14:ligatures w14:val="none"/>
        </w:rPr>
        <w:t xml:space="preserve"> role in influencing actual budgetary decisions. </w:t>
      </w:r>
      <w:proofErr w:type="spellStart"/>
      <w:r w:rsidR="00DA22EB" w:rsidRPr="008F2183">
        <w:rPr>
          <w:rFonts w:asciiTheme="minorBidi" w:eastAsia="Times New Roman" w:hAnsiTheme="minorBidi"/>
          <w:i/>
          <w:kern w:val="0"/>
          <w:sz w:val="20"/>
          <w:szCs w:val="20"/>
          <w:lang w:val="en-US"/>
          <w14:ligatures w14:val="none"/>
        </w:rPr>
        <w:t>Stanimirović</w:t>
      </w:r>
      <w:proofErr w:type="spellEnd"/>
      <w:r w:rsidR="00DA22EB" w:rsidRPr="008F2183">
        <w:rPr>
          <w:rFonts w:asciiTheme="minorBidi" w:eastAsia="Times New Roman" w:hAnsiTheme="minorBidi"/>
          <w:i/>
          <w:kern w:val="0"/>
          <w:sz w:val="20"/>
          <w:szCs w:val="20"/>
          <w:lang w:val="en-US"/>
          <w14:ligatures w14:val="none"/>
        </w:rPr>
        <w:t xml:space="preserve">, T., </w:t>
      </w:r>
      <w:proofErr w:type="spellStart"/>
      <w:r w:rsidR="00DA22EB" w:rsidRPr="008F2183">
        <w:rPr>
          <w:rFonts w:asciiTheme="minorBidi" w:eastAsia="Times New Roman" w:hAnsiTheme="minorBidi"/>
          <w:i/>
          <w:kern w:val="0"/>
          <w:sz w:val="20"/>
          <w:szCs w:val="20"/>
          <w:lang w:val="en-US"/>
          <w14:ligatures w14:val="none"/>
        </w:rPr>
        <w:t>Lah</w:t>
      </w:r>
      <w:proofErr w:type="spellEnd"/>
      <w:r w:rsidR="00DA22EB" w:rsidRPr="008F2183">
        <w:rPr>
          <w:rFonts w:asciiTheme="minorBidi" w:eastAsia="Times New Roman" w:hAnsiTheme="minorBidi"/>
          <w:i/>
          <w:kern w:val="0"/>
          <w:sz w:val="20"/>
          <w:szCs w:val="20"/>
          <w:lang w:val="en-US"/>
          <w14:ligatures w14:val="none"/>
        </w:rPr>
        <w:t xml:space="preserve">, L., </w:t>
      </w:r>
      <w:proofErr w:type="spellStart"/>
      <w:r w:rsidR="00DA22EB" w:rsidRPr="008F2183">
        <w:rPr>
          <w:rFonts w:asciiTheme="minorBidi" w:eastAsia="Times New Roman" w:hAnsiTheme="minorBidi"/>
          <w:i/>
          <w:kern w:val="0"/>
          <w:sz w:val="20"/>
          <w:szCs w:val="20"/>
          <w:lang w:val="en-US"/>
          <w14:ligatures w14:val="none"/>
        </w:rPr>
        <w:t>Kotnik</w:t>
      </w:r>
      <w:proofErr w:type="spellEnd"/>
      <w:r w:rsidR="00DA22EB" w:rsidRPr="008F2183">
        <w:rPr>
          <w:rFonts w:asciiTheme="minorBidi" w:eastAsia="Times New Roman" w:hAnsiTheme="minorBidi"/>
          <w:i/>
          <w:kern w:val="0"/>
          <w:sz w:val="20"/>
          <w:szCs w:val="20"/>
          <w:lang w:val="en-US"/>
          <w14:ligatures w14:val="none"/>
        </w:rPr>
        <w:t xml:space="preserve">, Z. and </w:t>
      </w:r>
      <w:proofErr w:type="spellStart"/>
      <w:r w:rsidR="00DA22EB" w:rsidRPr="008F2183">
        <w:rPr>
          <w:rFonts w:asciiTheme="minorBidi" w:eastAsia="Times New Roman" w:hAnsiTheme="minorBidi"/>
          <w:i/>
          <w:kern w:val="0"/>
          <w:sz w:val="20"/>
          <w:szCs w:val="20"/>
          <w:lang w:val="en-US"/>
          <w14:ligatures w14:val="none"/>
        </w:rPr>
        <w:t>Klun</w:t>
      </w:r>
      <w:proofErr w:type="spellEnd"/>
      <w:r w:rsidR="00DA22EB" w:rsidRPr="008F2183">
        <w:rPr>
          <w:rFonts w:asciiTheme="minorBidi" w:eastAsia="Times New Roman" w:hAnsiTheme="minorBidi"/>
          <w:i/>
          <w:kern w:val="0"/>
          <w:sz w:val="20"/>
          <w:szCs w:val="20"/>
          <w:lang w:val="en-US"/>
          <w14:ligatures w14:val="none"/>
        </w:rPr>
        <w:t>. M. (2023)</w:t>
      </w:r>
      <w:r w:rsidR="00DA22EB" w:rsidRPr="008F2183">
        <w:rPr>
          <w:rFonts w:asciiTheme="minorBidi" w:eastAsia="Times New Roman" w:hAnsiTheme="minorBidi"/>
          <w:kern w:val="0"/>
          <w:sz w:val="20"/>
          <w:szCs w:val="20"/>
          <w:lang w:val="en-US"/>
          <w14:ligatures w14:val="none"/>
        </w:rPr>
        <w:t xml:space="preserve"> </w:t>
      </w:r>
      <w:r w:rsidRPr="008F2183">
        <w:rPr>
          <w:rFonts w:asciiTheme="minorBidi" w:eastAsia="Times New Roman" w:hAnsiTheme="minorBidi"/>
          <w:kern w:val="0"/>
          <w:sz w:val="20"/>
          <w:szCs w:val="20"/>
          <w:lang w:val="en-US"/>
          <w14:ligatures w14:val="none"/>
        </w:rPr>
        <w:t>reviewed Slovenian budget documentation from 2018–2022 and found limited integration of green priorities, identifying the need for further research with evolving indicators and targets.</w:t>
      </w:r>
    </w:p>
    <w:p w14:paraId="367A2ACE" w14:textId="4B49C293"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 xml:space="preserve">In Indonesia, </w:t>
      </w:r>
      <w:proofErr w:type="spellStart"/>
      <w:r w:rsidR="00344B59" w:rsidRPr="008F2183">
        <w:rPr>
          <w:rFonts w:asciiTheme="minorBidi" w:eastAsia="Times New Roman" w:hAnsiTheme="minorBidi"/>
          <w:i/>
          <w:kern w:val="0"/>
          <w:sz w:val="20"/>
          <w:szCs w:val="20"/>
          <w:lang w:val="en-US"/>
          <w14:ligatures w14:val="none"/>
        </w:rPr>
        <w:t>Azzahra</w:t>
      </w:r>
      <w:proofErr w:type="spellEnd"/>
      <w:r w:rsidR="00344B59" w:rsidRPr="008F2183">
        <w:rPr>
          <w:rFonts w:asciiTheme="minorBidi" w:eastAsia="Times New Roman" w:hAnsiTheme="minorBidi"/>
          <w:i/>
          <w:kern w:val="0"/>
          <w:sz w:val="20"/>
          <w:szCs w:val="20"/>
          <w:lang w:val="en-US"/>
          <w14:ligatures w14:val="none"/>
        </w:rPr>
        <w:t xml:space="preserve">, L., </w:t>
      </w:r>
      <w:proofErr w:type="spellStart"/>
      <w:r w:rsidR="00344B59" w:rsidRPr="008F2183">
        <w:rPr>
          <w:rFonts w:asciiTheme="minorBidi" w:eastAsia="Times New Roman" w:hAnsiTheme="minorBidi"/>
          <w:i/>
          <w:kern w:val="0"/>
          <w:sz w:val="20"/>
          <w:szCs w:val="20"/>
          <w:lang w:val="en-US"/>
          <w14:ligatures w14:val="none"/>
        </w:rPr>
        <w:t>Pamungkas</w:t>
      </w:r>
      <w:proofErr w:type="spellEnd"/>
      <w:r w:rsidR="00344B59" w:rsidRPr="008F2183">
        <w:rPr>
          <w:rFonts w:asciiTheme="minorBidi" w:eastAsia="Times New Roman" w:hAnsiTheme="minorBidi"/>
          <w:i/>
          <w:kern w:val="0"/>
          <w:sz w:val="20"/>
          <w:szCs w:val="20"/>
          <w:lang w:val="en-US"/>
          <w14:ligatures w14:val="none"/>
        </w:rPr>
        <w:t xml:space="preserve">, P. and </w:t>
      </w:r>
      <w:proofErr w:type="spellStart"/>
      <w:r w:rsidR="0016396B" w:rsidRPr="008F2183">
        <w:rPr>
          <w:rFonts w:asciiTheme="minorBidi" w:eastAsia="Times New Roman" w:hAnsiTheme="minorBidi"/>
          <w:i/>
          <w:kern w:val="0"/>
          <w:sz w:val="20"/>
          <w:szCs w:val="20"/>
          <w:lang w:val="en-US"/>
          <w14:ligatures w14:val="none"/>
        </w:rPr>
        <w:t>Trinarningsih</w:t>
      </w:r>
      <w:proofErr w:type="spellEnd"/>
      <w:r w:rsidR="0016396B" w:rsidRPr="008F2183">
        <w:rPr>
          <w:rFonts w:asciiTheme="minorBidi" w:eastAsia="Times New Roman" w:hAnsiTheme="minorBidi"/>
          <w:i/>
          <w:kern w:val="0"/>
          <w:sz w:val="20"/>
          <w:szCs w:val="20"/>
          <w:lang w:val="en-US"/>
          <w14:ligatures w14:val="none"/>
        </w:rPr>
        <w:t>, W.</w:t>
      </w:r>
      <w:r w:rsidR="00344B59" w:rsidRPr="008F2183">
        <w:rPr>
          <w:rFonts w:asciiTheme="minorBidi" w:eastAsia="Times New Roman" w:hAnsiTheme="minorBidi"/>
          <w:i/>
          <w:kern w:val="0"/>
          <w:sz w:val="20"/>
          <w:szCs w:val="20"/>
          <w:lang w:val="en-US"/>
          <w14:ligatures w14:val="none"/>
        </w:rPr>
        <w:t xml:space="preserve"> (2022)</w:t>
      </w:r>
      <w:r w:rsidR="00344B59" w:rsidRPr="008F2183">
        <w:rPr>
          <w:rFonts w:asciiTheme="minorBidi" w:eastAsia="Times New Roman" w:hAnsiTheme="minorBidi"/>
          <w:kern w:val="0"/>
          <w:sz w:val="20"/>
          <w:szCs w:val="20"/>
          <w:lang w:val="en-US"/>
          <w14:ligatures w14:val="none"/>
        </w:rPr>
        <w:t xml:space="preserve"> </w:t>
      </w:r>
      <w:r w:rsidRPr="008F2183">
        <w:rPr>
          <w:rFonts w:asciiTheme="minorBidi" w:eastAsia="Times New Roman" w:hAnsiTheme="minorBidi"/>
          <w:kern w:val="0"/>
          <w:sz w:val="20"/>
          <w:szCs w:val="20"/>
          <w:lang w:val="en-US"/>
          <w14:ligatures w14:val="none"/>
        </w:rPr>
        <w:t xml:space="preserve">examined local government budgets in Central Java and found that while Green Budgeting practices exist, they are hampered by limited understanding at the local level, insufficient data, and weak political commitment. Similarly, </w:t>
      </w:r>
      <w:r w:rsidR="001E4D27" w:rsidRPr="00483B90">
        <w:rPr>
          <w:rFonts w:asciiTheme="minorBidi" w:eastAsia="Times New Roman" w:hAnsiTheme="minorBidi"/>
          <w:i/>
          <w:iCs/>
          <w:kern w:val="0"/>
          <w:sz w:val="20"/>
          <w:szCs w:val="20"/>
          <w:lang w:val="en-US"/>
          <w14:ligatures w14:val="none"/>
        </w:rPr>
        <w:t>Jin, I. (2025)</w:t>
      </w:r>
      <w:r w:rsidR="001E4D27">
        <w:rPr>
          <w:rFonts w:asciiTheme="minorBidi" w:eastAsia="Times New Roman" w:hAnsiTheme="minorBidi"/>
          <w:kern w:val="0"/>
          <w:sz w:val="20"/>
          <w:szCs w:val="20"/>
          <w:lang w:val="en-US"/>
          <w14:ligatures w14:val="none"/>
        </w:rPr>
        <w:t xml:space="preserve"> </w:t>
      </w:r>
      <w:r w:rsidRPr="008F2183">
        <w:rPr>
          <w:rFonts w:asciiTheme="minorBidi" w:eastAsia="Times New Roman" w:hAnsiTheme="minorBidi"/>
          <w:kern w:val="0"/>
          <w:sz w:val="20"/>
          <w:szCs w:val="20"/>
          <w:lang w:val="en-US"/>
          <w14:ligatures w14:val="none"/>
        </w:rPr>
        <w:t>assessed South Korea’s introduction of the Greenhouse Gas Reduction Cognitive Budget (GRCB), applying the OECD framework to highlight implementation challenges.</w:t>
      </w:r>
    </w:p>
    <w:p w14:paraId="07C8E134" w14:textId="67BA667A"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 xml:space="preserve">In the Indian context, the literature remains limited due to the relatively nascent adoption of Green Budgeting </w:t>
      </w:r>
      <w:r w:rsidR="00071F5B" w:rsidRPr="008F2183">
        <w:rPr>
          <w:rFonts w:asciiTheme="minorBidi" w:eastAsia="Times New Roman" w:hAnsiTheme="minorBidi"/>
          <w:kern w:val="0"/>
          <w:sz w:val="20"/>
          <w:szCs w:val="20"/>
          <w:lang w:val="en-US"/>
          <w14:ligatures w14:val="none"/>
        </w:rPr>
        <w:t>in India</w:t>
      </w:r>
      <w:r w:rsidRPr="008F2183">
        <w:rPr>
          <w:rFonts w:asciiTheme="minorBidi" w:eastAsia="Times New Roman" w:hAnsiTheme="minorBidi"/>
          <w:kern w:val="0"/>
          <w:sz w:val="20"/>
          <w:szCs w:val="20"/>
          <w:lang w:val="en-US"/>
          <w14:ligatures w14:val="none"/>
        </w:rPr>
        <w:t>. One notable contribution is</w:t>
      </w:r>
      <w:r w:rsidR="0099078C" w:rsidRPr="008F2183">
        <w:rPr>
          <w:rFonts w:asciiTheme="minorBidi" w:eastAsia="Times New Roman" w:hAnsiTheme="minorBidi"/>
          <w:kern w:val="0"/>
          <w:sz w:val="20"/>
          <w:szCs w:val="20"/>
          <w:lang w:val="en-US"/>
          <w14:ligatures w14:val="none"/>
        </w:rPr>
        <w:t xml:space="preserve"> </w:t>
      </w:r>
      <w:proofErr w:type="spellStart"/>
      <w:r w:rsidR="0099078C" w:rsidRPr="008F2183">
        <w:rPr>
          <w:rFonts w:asciiTheme="minorBidi" w:eastAsia="Times New Roman" w:hAnsiTheme="minorBidi"/>
          <w:i/>
          <w:kern w:val="0"/>
          <w:sz w:val="20"/>
          <w:szCs w:val="20"/>
          <w:lang w:val="en-US"/>
          <w14:ligatures w14:val="none"/>
        </w:rPr>
        <w:t>Agarwala</w:t>
      </w:r>
      <w:proofErr w:type="spellEnd"/>
      <w:r w:rsidR="0099078C" w:rsidRPr="008F2183">
        <w:rPr>
          <w:rFonts w:asciiTheme="minorBidi" w:eastAsia="Times New Roman" w:hAnsiTheme="minorBidi"/>
          <w:i/>
          <w:kern w:val="0"/>
          <w:sz w:val="20"/>
          <w:szCs w:val="20"/>
          <w:lang w:val="en-US"/>
          <w14:ligatures w14:val="none"/>
        </w:rPr>
        <w:t>, T. (2022)</w:t>
      </w:r>
      <w:r w:rsidRPr="008F2183">
        <w:rPr>
          <w:rFonts w:asciiTheme="minorBidi" w:eastAsia="Times New Roman" w:hAnsiTheme="minorBidi"/>
          <w:kern w:val="0"/>
          <w:sz w:val="20"/>
          <w:szCs w:val="20"/>
          <w:lang w:val="en-US"/>
          <w14:ligatures w14:val="none"/>
        </w:rPr>
        <w:t>, which reviewed climate-responsive</w:t>
      </w:r>
      <w:r w:rsidR="00071F5B" w:rsidRPr="008F2183">
        <w:rPr>
          <w:rFonts w:asciiTheme="minorBidi" w:eastAsia="Times New Roman" w:hAnsiTheme="minorBidi"/>
          <w:kern w:val="0"/>
          <w:sz w:val="20"/>
          <w:szCs w:val="20"/>
          <w:lang w:val="en-US"/>
          <w14:ligatures w14:val="none"/>
        </w:rPr>
        <w:t>/green</w:t>
      </w:r>
      <w:r w:rsidRPr="008F2183">
        <w:rPr>
          <w:rFonts w:asciiTheme="minorBidi" w:eastAsia="Times New Roman" w:hAnsiTheme="minorBidi"/>
          <w:kern w:val="0"/>
          <w:sz w:val="20"/>
          <w:szCs w:val="20"/>
          <w:lang w:val="en-US"/>
          <w14:ligatures w14:val="none"/>
        </w:rPr>
        <w:t xml:space="preserve"> budgeting</w:t>
      </w:r>
      <w:r w:rsidR="00071F5B" w:rsidRPr="008F2183">
        <w:rPr>
          <w:rFonts w:asciiTheme="minorBidi" w:eastAsia="Times New Roman" w:hAnsiTheme="minorBidi"/>
          <w:kern w:val="0"/>
          <w:sz w:val="20"/>
          <w:szCs w:val="20"/>
          <w:lang w:val="en-US"/>
          <w14:ligatures w14:val="none"/>
        </w:rPr>
        <w:t xml:space="preserve"> frameworks</w:t>
      </w:r>
      <w:r w:rsidRPr="008F2183">
        <w:rPr>
          <w:rFonts w:asciiTheme="minorBidi" w:eastAsia="Times New Roman" w:hAnsiTheme="minorBidi"/>
          <w:kern w:val="0"/>
          <w:sz w:val="20"/>
          <w:szCs w:val="20"/>
          <w:lang w:val="en-US"/>
          <w14:ligatures w14:val="none"/>
        </w:rPr>
        <w:t xml:space="preserve"> in Odisha and Bihar and proposed a common framework for state-level implementation. However, the report predates many recent developments in India and globally and does not fully assess the limitations of existing state-level approaches.</w:t>
      </w:r>
    </w:p>
    <w:p w14:paraId="34698E2D" w14:textId="77777777" w:rsidR="00DD10F8" w:rsidRDefault="00DD10F8">
      <w:pPr>
        <w:rPr>
          <w:rFonts w:asciiTheme="minorBidi" w:eastAsiaTheme="majorEastAsia" w:hAnsiTheme="minorBidi"/>
          <w:bCs/>
          <w:color w:val="2F5496" w:themeColor="accent1" w:themeShade="BF"/>
        </w:rPr>
      </w:pPr>
      <w:r>
        <w:rPr>
          <w:rFonts w:asciiTheme="minorBidi" w:hAnsiTheme="minorBidi"/>
          <w:bCs/>
        </w:rPr>
        <w:br w:type="page"/>
      </w:r>
    </w:p>
    <w:p w14:paraId="40743C7E" w14:textId="1DF3CEE4" w:rsidR="00F43ABA" w:rsidRPr="006E13CD" w:rsidRDefault="00827CF2" w:rsidP="00827CF2">
      <w:pPr>
        <w:pStyle w:val="Heading1"/>
        <w:numPr>
          <w:ilvl w:val="0"/>
          <w:numId w:val="41"/>
        </w:numPr>
        <w:rPr>
          <w:rFonts w:asciiTheme="minorBidi" w:eastAsia="Times New Roman" w:hAnsiTheme="minorBidi" w:cstheme="minorBidi"/>
          <w:kern w:val="0"/>
          <w:sz w:val="28"/>
          <w:szCs w:val="28"/>
          <w:lang w:val="en-US"/>
          <w14:ligatures w14:val="none"/>
        </w:rPr>
      </w:pPr>
      <w:r w:rsidRPr="00827CF2">
        <w:rPr>
          <w:rFonts w:asciiTheme="minorBidi" w:hAnsiTheme="minorBidi" w:cstheme="minorBidi"/>
          <w:bCs/>
          <w:sz w:val="22"/>
          <w:szCs w:val="22"/>
        </w:rPr>
        <w:lastRenderedPageBreak/>
        <w:t>RESEARCH GAPS</w:t>
      </w:r>
    </w:p>
    <w:p w14:paraId="582DC40A" w14:textId="63FEDD01" w:rsidR="00F43ABA" w:rsidRPr="00827CF2"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This paper aims to address</w:t>
      </w:r>
      <w:r w:rsidR="00A10DEA" w:rsidRPr="00827CF2">
        <w:rPr>
          <w:rFonts w:asciiTheme="minorBidi" w:eastAsia="Times New Roman" w:hAnsiTheme="minorBidi"/>
          <w:kern w:val="0"/>
          <w:sz w:val="20"/>
          <w:szCs w:val="20"/>
          <w:lang w:val="en-US"/>
          <w14:ligatures w14:val="none"/>
        </w:rPr>
        <w:t xml:space="preserve"> the </w:t>
      </w:r>
      <w:r w:rsidR="00CB4575" w:rsidRPr="00827CF2">
        <w:rPr>
          <w:rFonts w:asciiTheme="minorBidi" w:eastAsia="Times New Roman" w:hAnsiTheme="minorBidi"/>
          <w:kern w:val="0"/>
          <w:sz w:val="20"/>
          <w:szCs w:val="20"/>
          <w:lang w:val="en-US"/>
          <w14:ligatures w14:val="none"/>
        </w:rPr>
        <w:t>gap in</w:t>
      </w:r>
      <w:r w:rsidR="00A10DEA" w:rsidRPr="00827CF2">
        <w:rPr>
          <w:rFonts w:asciiTheme="minorBidi" w:eastAsia="Times New Roman" w:hAnsiTheme="minorBidi"/>
          <w:kern w:val="0"/>
          <w:sz w:val="20"/>
          <w:szCs w:val="20"/>
          <w:lang w:val="en-US"/>
          <w14:ligatures w14:val="none"/>
        </w:rPr>
        <w:t xml:space="preserve"> </w:t>
      </w:r>
      <w:r w:rsidR="002D3305" w:rsidRPr="00827CF2">
        <w:rPr>
          <w:rFonts w:asciiTheme="minorBidi" w:eastAsia="Times New Roman" w:hAnsiTheme="minorBidi"/>
          <w:kern w:val="0"/>
          <w:sz w:val="20"/>
          <w:szCs w:val="20"/>
          <w:lang w:val="en-US"/>
          <w14:ligatures w14:val="none"/>
        </w:rPr>
        <w:t xml:space="preserve">research on Green Budgeting in </w:t>
      </w:r>
      <w:r w:rsidR="00811802" w:rsidRPr="00827CF2">
        <w:rPr>
          <w:rFonts w:asciiTheme="minorBidi" w:eastAsia="Times New Roman" w:hAnsiTheme="minorBidi"/>
          <w:kern w:val="0"/>
          <w:sz w:val="20"/>
          <w:szCs w:val="20"/>
          <w:lang w:val="en-US"/>
          <w14:ligatures w14:val="none"/>
        </w:rPr>
        <w:t>the context of Indian states</w:t>
      </w:r>
      <w:r w:rsidRPr="00827CF2">
        <w:rPr>
          <w:rFonts w:asciiTheme="minorBidi" w:eastAsia="Times New Roman" w:hAnsiTheme="minorBidi"/>
          <w:kern w:val="0"/>
          <w:sz w:val="20"/>
          <w:szCs w:val="20"/>
          <w:lang w:val="en-US"/>
          <w14:ligatures w14:val="none"/>
        </w:rPr>
        <w:t xml:space="preserve"> </w:t>
      </w:r>
      <w:r w:rsidR="00893202" w:rsidRPr="00827CF2">
        <w:rPr>
          <w:rFonts w:asciiTheme="minorBidi" w:eastAsia="Times New Roman" w:hAnsiTheme="minorBidi"/>
          <w:kern w:val="0"/>
          <w:sz w:val="20"/>
          <w:szCs w:val="20"/>
          <w:lang w:val="en-US"/>
          <w14:ligatures w14:val="none"/>
        </w:rPr>
        <w:t>and has</w:t>
      </w:r>
      <w:r w:rsidRPr="00827CF2">
        <w:rPr>
          <w:rFonts w:asciiTheme="minorBidi" w:eastAsia="Times New Roman" w:hAnsiTheme="minorBidi"/>
          <w:kern w:val="0"/>
          <w:sz w:val="20"/>
          <w:szCs w:val="20"/>
          <w:lang w:val="en-US"/>
          <w14:ligatures w14:val="none"/>
        </w:rPr>
        <w:t xml:space="preserve"> the following objectives:</w:t>
      </w:r>
    </w:p>
    <w:p w14:paraId="514836F9" w14:textId="10A4333D" w:rsidR="00F43ABA" w:rsidRPr="00827CF2" w:rsidRDefault="002E65CD" w:rsidP="00F75549">
      <w:pPr>
        <w:numPr>
          <w:ilvl w:val="0"/>
          <w:numId w:val="19"/>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 xml:space="preserve">Identifying the shortcomings in </w:t>
      </w:r>
      <w:r w:rsidR="00F43ABA" w:rsidRPr="00827CF2">
        <w:rPr>
          <w:rFonts w:asciiTheme="minorBidi" w:eastAsia="Times New Roman" w:hAnsiTheme="minorBidi"/>
          <w:b/>
          <w:kern w:val="0"/>
          <w:sz w:val="20"/>
          <w:szCs w:val="20"/>
          <w:lang w:val="en-US"/>
          <w14:ligatures w14:val="none"/>
        </w:rPr>
        <w:t xml:space="preserve">the Green/Climate Budgeting methodologies adopted by the Indian states and </w:t>
      </w:r>
      <w:r w:rsidR="007751E1" w:rsidRPr="00827CF2">
        <w:rPr>
          <w:rFonts w:asciiTheme="minorBidi" w:eastAsia="Times New Roman" w:hAnsiTheme="minorBidi"/>
          <w:b/>
          <w:kern w:val="0"/>
          <w:sz w:val="20"/>
          <w:szCs w:val="20"/>
          <w:lang w:val="en-US"/>
          <w14:ligatures w14:val="none"/>
        </w:rPr>
        <w:t>U</w:t>
      </w:r>
      <w:r w:rsidR="00F43ABA" w:rsidRPr="00827CF2">
        <w:rPr>
          <w:rFonts w:asciiTheme="minorBidi" w:eastAsia="Times New Roman" w:hAnsiTheme="minorBidi"/>
          <w:b/>
          <w:kern w:val="0"/>
          <w:sz w:val="20"/>
          <w:szCs w:val="20"/>
          <w:lang w:val="en-US"/>
          <w14:ligatures w14:val="none"/>
        </w:rPr>
        <w:t xml:space="preserve">nion </w:t>
      </w:r>
      <w:r w:rsidR="00F43ABA" w:rsidRPr="00827CF2" w:rsidDel="006F19A4">
        <w:rPr>
          <w:rFonts w:asciiTheme="minorBidi" w:eastAsia="Times New Roman" w:hAnsiTheme="minorBidi"/>
          <w:b/>
          <w:kern w:val="0"/>
          <w:sz w:val="20"/>
          <w:szCs w:val="20"/>
          <w:lang w:val="en-US"/>
          <w14:ligatures w14:val="none"/>
        </w:rPr>
        <w:t>T</w:t>
      </w:r>
      <w:r w:rsidR="00F43ABA" w:rsidRPr="00827CF2">
        <w:rPr>
          <w:rFonts w:asciiTheme="minorBidi" w:eastAsia="Times New Roman" w:hAnsiTheme="minorBidi"/>
          <w:b/>
          <w:kern w:val="0"/>
          <w:sz w:val="20"/>
          <w:szCs w:val="20"/>
          <w:lang w:val="en-US"/>
          <w14:ligatures w14:val="none"/>
        </w:rPr>
        <w:t>erritories</w:t>
      </w:r>
      <w:r w:rsidR="006F19A4" w:rsidRPr="00827CF2">
        <w:rPr>
          <w:rFonts w:asciiTheme="minorBidi" w:eastAsia="Times New Roman" w:hAnsiTheme="minorBidi"/>
          <w:b/>
          <w:kern w:val="0"/>
          <w:sz w:val="20"/>
          <w:szCs w:val="20"/>
          <w:lang w:val="en-US"/>
          <w14:ligatures w14:val="none"/>
        </w:rPr>
        <w:t xml:space="preserve"> (UTs)</w:t>
      </w:r>
      <w:r w:rsidR="00F43ABA" w:rsidRPr="00827CF2">
        <w:rPr>
          <w:rFonts w:asciiTheme="minorBidi" w:eastAsia="Times New Roman" w:hAnsiTheme="minorBidi"/>
          <w:b/>
          <w:kern w:val="0"/>
          <w:sz w:val="20"/>
          <w:szCs w:val="20"/>
          <w:lang w:val="en-US"/>
          <w14:ligatures w14:val="none"/>
        </w:rPr>
        <w:t>.</w:t>
      </w:r>
    </w:p>
    <w:p w14:paraId="5A71DEC6" w14:textId="082F7DC7" w:rsidR="00F43ABA" w:rsidRPr="00827CF2" w:rsidRDefault="00F43ABA" w:rsidP="00F75549">
      <w:pPr>
        <w:numPr>
          <w:ilvl w:val="0"/>
          <w:numId w:val="19"/>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 xml:space="preserve">Proposing </w:t>
      </w:r>
      <w:r w:rsidR="00E41348" w:rsidRPr="00827CF2">
        <w:rPr>
          <w:rFonts w:asciiTheme="minorBidi" w:eastAsia="Times New Roman" w:hAnsiTheme="minorBidi"/>
          <w:b/>
          <w:kern w:val="0"/>
          <w:sz w:val="20"/>
          <w:szCs w:val="20"/>
          <w:lang w:val="en-US"/>
          <w14:ligatures w14:val="none"/>
        </w:rPr>
        <w:t>the key elements</w:t>
      </w:r>
      <w:r w:rsidR="00856455" w:rsidRPr="00827CF2">
        <w:rPr>
          <w:rFonts w:asciiTheme="minorBidi" w:eastAsia="Times New Roman" w:hAnsiTheme="minorBidi"/>
          <w:b/>
          <w:kern w:val="0"/>
          <w:sz w:val="20"/>
          <w:szCs w:val="20"/>
          <w:lang w:val="en-US"/>
          <w14:ligatures w14:val="none"/>
        </w:rPr>
        <w:t xml:space="preserve"> that may be considered </w:t>
      </w:r>
      <w:r w:rsidR="0015204F" w:rsidRPr="00827CF2">
        <w:rPr>
          <w:rFonts w:asciiTheme="minorBidi" w:eastAsia="Times New Roman" w:hAnsiTheme="minorBidi"/>
          <w:b/>
          <w:kern w:val="0"/>
          <w:sz w:val="20"/>
          <w:szCs w:val="20"/>
          <w:lang w:val="en-US"/>
          <w14:ligatures w14:val="none"/>
        </w:rPr>
        <w:t xml:space="preserve">for the </w:t>
      </w:r>
      <w:r w:rsidRPr="00827CF2">
        <w:rPr>
          <w:rFonts w:asciiTheme="minorBidi" w:eastAsia="Times New Roman" w:hAnsiTheme="minorBidi"/>
          <w:b/>
          <w:kern w:val="0"/>
          <w:sz w:val="20"/>
          <w:szCs w:val="20"/>
          <w:lang w:val="en-US"/>
          <w14:ligatures w14:val="none"/>
        </w:rPr>
        <w:t xml:space="preserve">Green Budgeting framework </w:t>
      </w:r>
      <w:r w:rsidR="0015204F" w:rsidRPr="00827CF2">
        <w:rPr>
          <w:rFonts w:asciiTheme="minorBidi" w:eastAsia="Times New Roman" w:hAnsiTheme="minorBidi"/>
          <w:b/>
          <w:kern w:val="0"/>
          <w:sz w:val="20"/>
          <w:szCs w:val="20"/>
          <w:lang w:val="en-US"/>
          <w14:ligatures w14:val="none"/>
        </w:rPr>
        <w:t>in India</w:t>
      </w:r>
      <w:r w:rsidR="009D6D82" w:rsidRPr="00827CF2">
        <w:rPr>
          <w:rFonts w:asciiTheme="minorBidi" w:eastAsia="Times New Roman" w:hAnsiTheme="minorBidi"/>
          <w:b/>
          <w:kern w:val="0"/>
          <w:sz w:val="20"/>
          <w:szCs w:val="20"/>
          <w:lang w:val="en-US"/>
          <w14:ligatures w14:val="none"/>
        </w:rPr>
        <w:t>,</w:t>
      </w:r>
      <w:r w:rsidRPr="00827CF2">
        <w:rPr>
          <w:rFonts w:asciiTheme="minorBidi" w:eastAsia="Times New Roman" w:hAnsiTheme="minorBidi"/>
          <w:b/>
          <w:kern w:val="0"/>
          <w:sz w:val="20"/>
          <w:szCs w:val="20"/>
          <w:lang w:val="en-US"/>
          <w14:ligatures w14:val="none"/>
        </w:rPr>
        <w:t xml:space="preserve"> for adoption across both the Central and State Governments.</w:t>
      </w:r>
    </w:p>
    <w:p w14:paraId="2DA10CEA" w14:textId="34B4431A" w:rsidR="002B294C" w:rsidRPr="00827CF2" w:rsidRDefault="00B21A01" w:rsidP="00F75549">
      <w:pPr>
        <w:numPr>
          <w:ilvl w:val="0"/>
          <w:numId w:val="19"/>
        </w:numPr>
        <w:spacing w:before="100" w:beforeAutospacing="1" w:after="100" w:afterAutospacing="1" w:line="276" w:lineRule="auto"/>
        <w:jc w:val="both"/>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Proposing a Green Budgeting Index</w:t>
      </w:r>
      <w:r w:rsidR="00514CB8" w:rsidRPr="00827CF2">
        <w:rPr>
          <w:rFonts w:asciiTheme="minorBidi" w:eastAsia="Times New Roman" w:hAnsiTheme="minorBidi"/>
          <w:b/>
          <w:kern w:val="0"/>
          <w:sz w:val="20"/>
          <w:szCs w:val="20"/>
          <w:lang w:val="en-US"/>
          <w14:ligatures w14:val="none"/>
        </w:rPr>
        <w:t xml:space="preserve"> for assessing the implementation of Green Bud</w:t>
      </w:r>
      <w:r w:rsidR="003F3DAD" w:rsidRPr="00827CF2">
        <w:rPr>
          <w:rFonts w:asciiTheme="minorBidi" w:eastAsia="Times New Roman" w:hAnsiTheme="minorBidi"/>
          <w:b/>
          <w:kern w:val="0"/>
          <w:sz w:val="20"/>
          <w:szCs w:val="20"/>
          <w:lang w:val="en-US"/>
          <w14:ligatures w14:val="none"/>
        </w:rPr>
        <w:t>geting by the Indian states</w:t>
      </w:r>
      <w:r w:rsidR="00653DB6" w:rsidRPr="00827CF2">
        <w:rPr>
          <w:rFonts w:asciiTheme="minorBidi" w:eastAsia="Times New Roman" w:hAnsiTheme="minorBidi"/>
          <w:b/>
          <w:kern w:val="0"/>
          <w:sz w:val="20"/>
          <w:szCs w:val="20"/>
          <w:lang w:val="en-US"/>
          <w14:ligatures w14:val="none"/>
        </w:rPr>
        <w:t>.</w:t>
      </w:r>
    </w:p>
    <w:p w14:paraId="6D90E6D0" w14:textId="43070227" w:rsidR="00DD10F8" w:rsidRDefault="001D5850" w:rsidP="00483B90">
      <w:pPr>
        <w:spacing w:before="100" w:beforeAutospacing="1" w:after="100" w:afterAutospacing="1" w:line="276" w:lineRule="auto"/>
        <w:jc w:val="both"/>
        <w:rPr>
          <w:rFonts w:asciiTheme="minorBidi" w:eastAsiaTheme="majorEastAsia" w:hAnsiTheme="minorBidi"/>
          <w:bCs/>
          <w:color w:val="2F5496" w:themeColor="accent1" w:themeShade="BF"/>
        </w:rPr>
      </w:pPr>
      <w:r w:rsidRPr="00827CF2">
        <w:rPr>
          <w:rFonts w:asciiTheme="minorBidi" w:eastAsia="Times New Roman" w:hAnsiTheme="minorBidi"/>
          <w:kern w:val="0"/>
          <w:sz w:val="20"/>
          <w:szCs w:val="20"/>
          <w:lang w:val="en-US"/>
          <w14:ligatures w14:val="none"/>
        </w:rPr>
        <w:t>The</w:t>
      </w:r>
      <w:r w:rsidR="00F43ABA" w:rsidRPr="00827CF2">
        <w:rPr>
          <w:rFonts w:asciiTheme="minorBidi" w:eastAsia="Times New Roman" w:hAnsiTheme="minorBidi"/>
          <w:kern w:val="0"/>
          <w:sz w:val="20"/>
          <w:szCs w:val="20"/>
          <w:lang w:val="en-US"/>
          <w14:ligatures w14:val="none"/>
        </w:rPr>
        <w:t xml:space="preserve"> study </w:t>
      </w:r>
      <w:r w:rsidR="00DF4A2E">
        <w:rPr>
          <w:rFonts w:asciiTheme="minorBidi" w:eastAsia="Times New Roman" w:hAnsiTheme="minorBidi"/>
          <w:kern w:val="0"/>
          <w:sz w:val="20"/>
          <w:szCs w:val="20"/>
          <w:lang w:val="en-US"/>
          <w14:ligatures w14:val="none"/>
        </w:rPr>
        <w:t xml:space="preserve">aims to provide practical insights into how Green Budgeting can be </w:t>
      </w:r>
      <w:r w:rsidR="00BD23BD">
        <w:rPr>
          <w:rFonts w:asciiTheme="minorBidi" w:eastAsia="Times New Roman" w:hAnsiTheme="minorBidi"/>
          <w:kern w:val="0"/>
          <w:sz w:val="20"/>
          <w:szCs w:val="20"/>
          <w:lang w:val="en-US"/>
          <w14:ligatures w14:val="none"/>
        </w:rPr>
        <w:t>standardized</w:t>
      </w:r>
      <w:r w:rsidR="00F43ABA" w:rsidRPr="00827CF2">
        <w:rPr>
          <w:rFonts w:asciiTheme="minorBidi" w:eastAsia="Times New Roman" w:hAnsiTheme="minorBidi"/>
          <w:kern w:val="0"/>
          <w:sz w:val="20"/>
          <w:szCs w:val="20"/>
          <w:lang w:val="en-US"/>
          <w14:ligatures w14:val="none"/>
        </w:rPr>
        <w:t>, scaled, and made more effective in India and similar emerging economies.</w:t>
      </w:r>
      <w:r w:rsidR="00DD10F8">
        <w:rPr>
          <w:rFonts w:asciiTheme="minorBidi" w:hAnsiTheme="minorBidi"/>
          <w:bCs/>
        </w:rPr>
        <w:br w:type="page"/>
      </w:r>
    </w:p>
    <w:p w14:paraId="335C011E" w14:textId="76F7F2FA" w:rsidR="007943F0" w:rsidRPr="00827CF2" w:rsidRDefault="00827CF2"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lastRenderedPageBreak/>
        <w:t>GREEN BUDGETING LANDSCAPE IN INDIA</w:t>
      </w:r>
    </w:p>
    <w:p w14:paraId="339CD220" w14:textId="6C04EC96" w:rsidR="006846CC" w:rsidRPr="00827CF2" w:rsidRDefault="00E24A2D" w:rsidP="00F75549">
      <w:pPr>
        <w:spacing w:line="276" w:lineRule="auto"/>
        <w:jc w:val="both"/>
        <w:rPr>
          <w:rFonts w:asciiTheme="minorBidi" w:hAnsiTheme="minorBidi"/>
          <w:sz w:val="20"/>
          <w:szCs w:val="20"/>
        </w:rPr>
      </w:pPr>
      <w:r w:rsidRPr="00FF25EC">
        <w:rPr>
          <w:rFonts w:asciiTheme="minorBidi" w:hAnsiTheme="minorBidi"/>
          <w:sz w:val="20"/>
          <w:szCs w:val="20"/>
        </w:rPr>
        <w:t>According to the World Bank, India ranks among the top 10 economies globally in terms of vulnerability to climate-related risks</w:t>
      </w:r>
      <w:r w:rsidRPr="00827CF2">
        <w:rPr>
          <w:rFonts w:asciiTheme="minorBidi" w:hAnsiTheme="minorBidi"/>
          <w:sz w:val="20"/>
          <w:szCs w:val="20"/>
        </w:rPr>
        <w:t xml:space="preserve">. </w:t>
      </w:r>
      <w:r w:rsidR="00F90E57">
        <w:rPr>
          <w:rFonts w:asciiTheme="minorBidi" w:hAnsiTheme="minorBidi"/>
          <w:sz w:val="20"/>
          <w:szCs w:val="20"/>
        </w:rPr>
        <w:t xml:space="preserve">According to </w:t>
      </w:r>
      <w:r w:rsidR="00C1054B">
        <w:rPr>
          <w:rFonts w:asciiTheme="minorBidi" w:hAnsiTheme="minorBidi"/>
          <w:sz w:val="20"/>
          <w:szCs w:val="20"/>
        </w:rPr>
        <w:t>the Global</w:t>
      </w:r>
      <w:r w:rsidR="00F90E57">
        <w:rPr>
          <w:rFonts w:asciiTheme="minorBidi" w:hAnsiTheme="minorBidi"/>
          <w:sz w:val="20"/>
          <w:szCs w:val="20"/>
        </w:rPr>
        <w:t xml:space="preserve"> Climate Risk Index</w:t>
      </w:r>
      <w:r w:rsidR="00CC6BFD">
        <w:rPr>
          <w:rFonts w:asciiTheme="minorBidi" w:hAnsiTheme="minorBidi"/>
          <w:sz w:val="20"/>
          <w:szCs w:val="20"/>
        </w:rPr>
        <w:t xml:space="preserve"> (CRI)</w:t>
      </w:r>
      <w:r w:rsidR="00973DCA">
        <w:rPr>
          <w:rFonts w:asciiTheme="minorBidi" w:hAnsiTheme="minorBidi"/>
          <w:sz w:val="20"/>
          <w:szCs w:val="20"/>
        </w:rPr>
        <w:t>, India was the 7</w:t>
      </w:r>
      <w:r w:rsidR="00973DCA" w:rsidRPr="00483B90">
        <w:rPr>
          <w:rFonts w:asciiTheme="minorBidi" w:hAnsiTheme="minorBidi"/>
          <w:sz w:val="20"/>
          <w:szCs w:val="20"/>
          <w:vertAlign w:val="superscript"/>
        </w:rPr>
        <w:t>th</w:t>
      </w:r>
      <w:r w:rsidR="00973DCA">
        <w:rPr>
          <w:rFonts w:asciiTheme="minorBidi" w:hAnsiTheme="minorBidi"/>
          <w:sz w:val="20"/>
          <w:szCs w:val="20"/>
        </w:rPr>
        <w:t xml:space="preserve"> worst-hit</w:t>
      </w:r>
      <w:r w:rsidR="00B100FF">
        <w:rPr>
          <w:rFonts w:asciiTheme="minorBidi" w:hAnsiTheme="minorBidi"/>
          <w:sz w:val="20"/>
          <w:szCs w:val="20"/>
        </w:rPr>
        <w:t xml:space="preserve"> country</w:t>
      </w:r>
      <w:r w:rsidR="00F24218">
        <w:rPr>
          <w:rFonts w:asciiTheme="minorBidi" w:hAnsiTheme="minorBidi"/>
          <w:sz w:val="20"/>
          <w:szCs w:val="20"/>
        </w:rPr>
        <w:t xml:space="preserve"> due to extreme</w:t>
      </w:r>
      <w:r w:rsidRPr="00827CF2">
        <w:rPr>
          <w:rFonts w:asciiTheme="minorBidi" w:hAnsiTheme="minorBidi"/>
          <w:sz w:val="20"/>
          <w:szCs w:val="20"/>
        </w:rPr>
        <w:t xml:space="preserve"> </w:t>
      </w:r>
      <w:r w:rsidR="00E45B6B">
        <w:rPr>
          <w:rFonts w:asciiTheme="minorBidi" w:hAnsiTheme="minorBidi"/>
          <w:sz w:val="20"/>
          <w:szCs w:val="20"/>
        </w:rPr>
        <w:t>weather events in 2019</w:t>
      </w:r>
      <w:r w:rsidRPr="00827CF2">
        <w:rPr>
          <w:rFonts w:asciiTheme="minorBidi" w:hAnsiTheme="minorBidi"/>
          <w:sz w:val="20"/>
          <w:szCs w:val="20"/>
        </w:rPr>
        <w:t xml:space="preserve"> </w:t>
      </w:r>
      <w:r w:rsidR="00B87DDB">
        <w:rPr>
          <w:rFonts w:asciiTheme="minorBidi" w:hAnsiTheme="minorBidi"/>
          <w:sz w:val="20"/>
          <w:szCs w:val="20"/>
        </w:rPr>
        <w:t>(</w:t>
      </w:r>
      <w:proofErr w:type="spellStart"/>
      <w:r w:rsidR="00B87DDB">
        <w:rPr>
          <w:rFonts w:asciiTheme="minorBidi" w:hAnsiTheme="minorBidi"/>
          <w:sz w:val="20"/>
          <w:szCs w:val="20"/>
        </w:rPr>
        <w:t>Germanwatch</w:t>
      </w:r>
      <w:proofErr w:type="spellEnd"/>
      <w:r w:rsidR="00B87DDB">
        <w:rPr>
          <w:rFonts w:asciiTheme="minorBidi" w:hAnsiTheme="minorBidi"/>
          <w:sz w:val="20"/>
          <w:szCs w:val="20"/>
        </w:rPr>
        <w:t>, 2021).</w:t>
      </w:r>
      <w:r w:rsidRPr="00827CF2">
        <w:rPr>
          <w:rFonts w:asciiTheme="minorBidi" w:hAnsiTheme="minorBidi"/>
          <w:sz w:val="20"/>
          <w:szCs w:val="20"/>
        </w:rPr>
        <w:t xml:space="preserve"> </w:t>
      </w:r>
      <w:r w:rsidR="006C6E9A" w:rsidRPr="00827CF2">
        <w:rPr>
          <w:rFonts w:asciiTheme="minorBidi" w:hAnsiTheme="minorBidi"/>
          <w:sz w:val="20"/>
          <w:szCs w:val="20"/>
        </w:rPr>
        <w:t xml:space="preserve">India experienced </w:t>
      </w:r>
      <w:r w:rsidR="001B5EBB" w:rsidRPr="00827CF2">
        <w:rPr>
          <w:rFonts w:asciiTheme="minorBidi" w:hAnsiTheme="minorBidi"/>
          <w:sz w:val="20"/>
          <w:szCs w:val="20"/>
        </w:rPr>
        <w:t>extreme weather events on 322 out of 366 days in 2024, including heatwaves, floods, and cyclones, resulting in over 3,200 deaths and affecting 3.2 million hectares of crops</w:t>
      </w:r>
      <w:r w:rsidR="002F6F3E">
        <w:rPr>
          <w:rFonts w:asciiTheme="minorBidi" w:hAnsiTheme="minorBidi"/>
          <w:sz w:val="20"/>
          <w:szCs w:val="20"/>
        </w:rPr>
        <w:t xml:space="preserve"> </w:t>
      </w:r>
      <w:r w:rsidR="005B606D" w:rsidRPr="00827CF2">
        <w:rPr>
          <w:rFonts w:asciiTheme="minorBidi" w:hAnsiTheme="minorBidi"/>
          <w:sz w:val="20"/>
          <w:szCs w:val="20"/>
        </w:rPr>
        <w:t>(</w:t>
      </w:r>
      <w:r w:rsidR="00F653EB" w:rsidRPr="00827CF2">
        <w:rPr>
          <w:rFonts w:asciiTheme="minorBidi" w:hAnsiTheme="minorBidi"/>
          <w:sz w:val="20"/>
          <w:szCs w:val="20"/>
        </w:rPr>
        <w:t xml:space="preserve">Centre for Science and Environment, </w:t>
      </w:r>
      <w:r w:rsidR="0018463A" w:rsidRPr="00827CF2">
        <w:rPr>
          <w:rFonts w:asciiTheme="minorBidi" w:hAnsiTheme="minorBidi"/>
          <w:sz w:val="20"/>
          <w:szCs w:val="20"/>
        </w:rPr>
        <w:t>2024)</w:t>
      </w:r>
      <w:r w:rsidR="002F6F3E">
        <w:rPr>
          <w:rFonts w:asciiTheme="minorBidi" w:hAnsiTheme="minorBidi"/>
          <w:sz w:val="20"/>
          <w:szCs w:val="20"/>
        </w:rPr>
        <w:t>.</w:t>
      </w:r>
      <w:r w:rsidR="00517508" w:rsidRPr="00827CF2">
        <w:rPr>
          <w:rFonts w:asciiTheme="minorBidi" w:hAnsiTheme="minorBidi"/>
          <w:sz w:val="20"/>
          <w:szCs w:val="20"/>
        </w:rPr>
        <w:t xml:space="preserve"> </w:t>
      </w:r>
      <w:r w:rsidRPr="00827CF2">
        <w:rPr>
          <w:rFonts w:asciiTheme="minorBidi" w:hAnsiTheme="minorBidi"/>
          <w:sz w:val="20"/>
          <w:szCs w:val="20"/>
        </w:rPr>
        <w:t xml:space="preserve">As </w:t>
      </w:r>
      <w:r w:rsidR="004C3AFA" w:rsidRPr="00827CF2">
        <w:rPr>
          <w:rFonts w:asciiTheme="minorBidi" w:hAnsiTheme="minorBidi"/>
          <w:sz w:val="20"/>
          <w:szCs w:val="20"/>
        </w:rPr>
        <w:t xml:space="preserve">the scale and frequency of these extreme weather events </w:t>
      </w:r>
      <w:r w:rsidR="00F221F2">
        <w:rPr>
          <w:rFonts w:asciiTheme="minorBidi" w:hAnsiTheme="minorBidi"/>
          <w:sz w:val="20"/>
          <w:szCs w:val="20"/>
        </w:rPr>
        <w:t>increase</w:t>
      </w:r>
      <w:r w:rsidR="004C3AFA" w:rsidRPr="00827CF2">
        <w:rPr>
          <w:rFonts w:asciiTheme="minorBidi" w:hAnsiTheme="minorBidi"/>
          <w:sz w:val="20"/>
          <w:szCs w:val="20"/>
        </w:rPr>
        <w:t>,</w:t>
      </w:r>
      <w:r w:rsidRPr="00827CF2">
        <w:rPr>
          <w:rFonts w:asciiTheme="minorBidi" w:hAnsiTheme="minorBidi"/>
          <w:sz w:val="20"/>
          <w:szCs w:val="20"/>
        </w:rPr>
        <w:t xml:space="preserve"> the broader macroeconomic and social impacts are expected to be significant. </w:t>
      </w:r>
      <w:r w:rsidRPr="003C59A2">
        <w:rPr>
          <w:rFonts w:asciiTheme="minorBidi" w:hAnsiTheme="minorBidi"/>
          <w:sz w:val="20"/>
          <w:szCs w:val="20"/>
        </w:rPr>
        <w:t xml:space="preserve">The Reserve Bank of India has estimated that by 2030, up to 4.5% of India’s </w:t>
      </w:r>
      <w:r w:rsidR="00B14AB4" w:rsidRPr="003C59A2">
        <w:rPr>
          <w:rFonts w:asciiTheme="minorBidi" w:hAnsiTheme="minorBidi"/>
          <w:sz w:val="20"/>
          <w:szCs w:val="20"/>
        </w:rPr>
        <w:t>Gross Domestic Product (</w:t>
      </w:r>
      <w:r w:rsidRPr="003C59A2">
        <w:rPr>
          <w:rFonts w:asciiTheme="minorBidi" w:hAnsiTheme="minorBidi"/>
          <w:sz w:val="20"/>
          <w:szCs w:val="20"/>
        </w:rPr>
        <w:t>GDP</w:t>
      </w:r>
      <w:r w:rsidR="00B14AB4" w:rsidRPr="003C59A2">
        <w:rPr>
          <w:rFonts w:asciiTheme="minorBidi" w:hAnsiTheme="minorBidi"/>
          <w:sz w:val="20"/>
          <w:szCs w:val="20"/>
        </w:rPr>
        <w:t>)</w:t>
      </w:r>
      <w:r w:rsidRPr="003C59A2">
        <w:rPr>
          <w:rFonts w:asciiTheme="minorBidi" w:hAnsiTheme="minorBidi"/>
          <w:sz w:val="20"/>
          <w:szCs w:val="20"/>
        </w:rPr>
        <w:t xml:space="preserve"> could be at risk due to lost labour hours caused by extreme heat and humidity</w:t>
      </w:r>
      <w:r w:rsidR="005C3129">
        <w:rPr>
          <w:rFonts w:asciiTheme="minorBidi" w:hAnsiTheme="minorBidi"/>
          <w:sz w:val="20"/>
          <w:szCs w:val="20"/>
        </w:rPr>
        <w:t xml:space="preserve"> (</w:t>
      </w:r>
      <w:r w:rsidR="003C59A2">
        <w:rPr>
          <w:rFonts w:asciiTheme="minorBidi" w:hAnsiTheme="minorBidi"/>
          <w:sz w:val="20"/>
          <w:szCs w:val="20"/>
        </w:rPr>
        <w:t>RBI, 2023)</w:t>
      </w:r>
      <w:r w:rsidRPr="00827CF2">
        <w:rPr>
          <w:rFonts w:asciiTheme="minorBidi" w:hAnsiTheme="minorBidi"/>
          <w:sz w:val="20"/>
          <w:szCs w:val="20"/>
        </w:rPr>
        <w:t>. Without effective climate change mitigation and adaptation strategies, India could face annual GDP losses of 3% to 10% by 2100, with the potential to severely reduce living standards for nearly half of its population by 2050</w:t>
      </w:r>
      <w:r w:rsidR="009649BE">
        <w:rPr>
          <w:rFonts w:asciiTheme="minorBidi" w:hAnsiTheme="minorBidi"/>
          <w:sz w:val="20"/>
          <w:szCs w:val="20"/>
        </w:rPr>
        <w:t xml:space="preserve"> </w:t>
      </w:r>
      <w:r w:rsidR="007E4D25" w:rsidRPr="00827CF2">
        <w:rPr>
          <w:rFonts w:asciiTheme="minorBidi" w:hAnsiTheme="minorBidi"/>
          <w:sz w:val="20"/>
          <w:szCs w:val="20"/>
        </w:rPr>
        <w:t>(</w:t>
      </w:r>
      <w:proofErr w:type="spellStart"/>
      <w:r w:rsidR="007E4D25" w:rsidRPr="00827CF2">
        <w:rPr>
          <w:rFonts w:asciiTheme="minorBidi" w:hAnsiTheme="minorBidi"/>
          <w:sz w:val="20"/>
          <w:szCs w:val="20"/>
        </w:rPr>
        <w:t>Kompas</w:t>
      </w:r>
      <w:proofErr w:type="spellEnd"/>
      <w:r w:rsidR="0071464B" w:rsidRPr="0071464B">
        <w:rPr>
          <w:rFonts w:asciiTheme="minorBidi" w:hAnsiTheme="minorBidi"/>
          <w:sz w:val="20"/>
          <w:szCs w:val="20"/>
        </w:rPr>
        <w:t>, Pham</w:t>
      </w:r>
      <w:r w:rsidR="00833458">
        <w:rPr>
          <w:rFonts w:asciiTheme="minorBidi" w:hAnsiTheme="minorBidi"/>
          <w:sz w:val="20"/>
          <w:szCs w:val="20"/>
        </w:rPr>
        <w:t xml:space="preserve"> </w:t>
      </w:r>
      <w:r w:rsidR="0071464B" w:rsidRPr="0071464B">
        <w:rPr>
          <w:rFonts w:asciiTheme="minorBidi" w:hAnsiTheme="minorBidi"/>
          <w:sz w:val="20"/>
          <w:szCs w:val="20"/>
        </w:rPr>
        <w:t xml:space="preserve">and </w:t>
      </w:r>
      <w:proofErr w:type="spellStart"/>
      <w:r w:rsidR="0071464B" w:rsidRPr="0071464B">
        <w:rPr>
          <w:rFonts w:asciiTheme="minorBidi" w:hAnsiTheme="minorBidi"/>
          <w:sz w:val="20"/>
          <w:szCs w:val="20"/>
        </w:rPr>
        <w:t>Che</w:t>
      </w:r>
      <w:proofErr w:type="spellEnd"/>
      <w:r w:rsidR="0071464B" w:rsidRPr="0071464B">
        <w:rPr>
          <w:rFonts w:asciiTheme="minorBidi" w:hAnsiTheme="minorBidi"/>
          <w:sz w:val="20"/>
          <w:szCs w:val="20"/>
        </w:rPr>
        <w:t>,</w:t>
      </w:r>
      <w:r w:rsidR="00833458">
        <w:rPr>
          <w:rFonts w:asciiTheme="minorBidi" w:hAnsiTheme="minorBidi"/>
          <w:sz w:val="20"/>
          <w:szCs w:val="20"/>
        </w:rPr>
        <w:t xml:space="preserve"> </w:t>
      </w:r>
      <w:r w:rsidR="007E4D25" w:rsidRPr="00827CF2">
        <w:rPr>
          <w:rFonts w:asciiTheme="minorBidi" w:hAnsiTheme="minorBidi"/>
          <w:sz w:val="20"/>
          <w:szCs w:val="20"/>
        </w:rPr>
        <w:t>2018;</w:t>
      </w:r>
      <w:r w:rsidR="009C51D9" w:rsidRPr="009C51D9">
        <w:t xml:space="preserve"> </w:t>
      </w:r>
      <w:proofErr w:type="spellStart"/>
      <w:r w:rsidR="009C51D9" w:rsidRPr="009C51D9">
        <w:rPr>
          <w:rFonts w:asciiTheme="minorBidi" w:hAnsiTheme="minorBidi"/>
          <w:sz w:val="20"/>
          <w:szCs w:val="20"/>
        </w:rPr>
        <w:t>Picciariello</w:t>
      </w:r>
      <w:proofErr w:type="spellEnd"/>
      <w:r w:rsidR="009C51D9" w:rsidRPr="009C51D9">
        <w:rPr>
          <w:rFonts w:asciiTheme="minorBidi" w:hAnsiTheme="minorBidi"/>
          <w:sz w:val="20"/>
          <w:szCs w:val="20"/>
        </w:rPr>
        <w:t xml:space="preserve">, </w:t>
      </w:r>
      <w:proofErr w:type="spellStart"/>
      <w:r w:rsidR="009C51D9" w:rsidRPr="009C51D9">
        <w:rPr>
          <w:rFonts w:asciiTheme="minorBidi" w:hAnsiTheme="minorBidi"/>
          <w:sz w:val="20"/>
          <w:szCs w:val="20"/>
        </w:rPr>
        <w:t>Colenbrander</w:t>
      </w:r>
      <w:proofErr w:type="spellEnd"/>
      <w:r w:rsidR="009C51D9" w:rsidRPr="009C51D9">
        <w:rPr>
          <w:rFonts w:asciiTheme="minorBidi" w:hAnsiTheme="minorBidi"/>
          <w:sz w:val="20"/>
          <w:szCs w:val="20"/>
        </w:rPr>
        <w:t xml:space="preserve">, </w:t>
      </w:r>
      <w:proofErr w:type="spellStart"/>
      <w:r w:rsidR="009C51D9" w:rsidRPr="009C51D9">
        <w:rPr>
          <w:rFonts w:asciiTheme="minorBidi" w:hAnsiTheme="minorBidi"/>
          <w:sz w:val="20"/>
          <w:szCs w:val="20"/>
        </w:rPr>
        <w:t>Bazaz</w:t>
      </w:r>
      <w:proofErr w:type="spellEnd"/>
      <w:r w:rsidR="009C51D9">
        <w:rPr>
          <w:rFonts w:asciiTheme="minorBidi" w:hAnsiTheme="minorBidi"/>
          <w:sz w:val="20"/>
          <w:szCs w:val="20"/>
        </w:rPr>
        <w:t xml:space="preserve"> </w:t>
      </w:r>
      <w:r w:rsidR="009C51D9" w:rsidRPr="009C51D9">
        <w:rPr>
          <w:rFonts w:asciiTheme="minorBidi" w:hAnsiTheme="minorBidi"/>
          <w:sz w:val="20"/>
          <w:szCs w:val="20"/>
        </w:rPr>
        <w:t>and Roy</w:t>
      </w:r>
      <w:r w:rsidR="00C108EC">
        <w:rPr>
          <w:rFonts w:asciiTheme="minorBidi" w:hAnsiTheme="minorBidi"/>
          <w:sz w:val="20"/>
          <w:szCs w:val="20"/>
        </w:rPr>
        <w:t>,</w:t>
      </w:r>
      <w:r w:rsidR="007E4D25" w:rsidRPr="00827CF2">
        <w:rPr>
          <w:rFonts w:asciiTheme="minorBidi" w:hAnsiTheme="minorBidi"/>
          <w:sz w:val="20"/>
          <w:szCs w:val="20"/>
        </w:rPr>
        <w:t xml:space="preserve"> 2021).</w:t>
      </w:r>
    </w:p>
    <w:p w14:paraId="69A1E716" w14:textId="6BCE4930" w:rsidR="007F6608" w:rsidRPr="00827CF2" w:rsidRDefault="00F22B5D" w:rsidP="00F75549">
      <w:pPr>
        <w:spacing w:line="276" w:lineRule="auto"/>
        <w:jc w:val="both"/>
        <w:rPr>
          <w:rFonts w:asciiTheme="minorBidi" w:hAnsiTheme="minorBidi"/>
          <w:sz w:val="20"/>
          <w:szCs w:val="20"/>
        </w:rPr>
      </w:pPr>
      <w:r w:rsidRPr="00827CF2">
        <w:rPr>
          <w:rFonts w:asciiTheme="minorBidi" w:hAnsiTheme="minorBidi"/>
          <w:sz w:val="20"/>
          <w:szCs w:val="20"/>
        </w:rPr>
        <w:t xml:space="preserve">In terms of air quality, </w:t>
      </w:r>
      <w:r w:rsidR="0034031D" w:rsidRPr="00827CF2">
        <w:rPr>
          <w:rFonts w:asciiTheme="minorBidi" w:hAnsiTheme="minorBidi"/>
          <w:sz w:val="20"/>
          <w:szCs w:val="20"/>
        </w:rPr>
        <w:t xml:space="preserve">India </w:t>
      </w:r>
      <w:r w:rsidRPr="00827CF2">
        <w:rPr>
          <w:rFonts w:asciiTheme="minorBidi" w:hAnsiTheme="minorBidi"/>
          <w:sz w:val="20"/>
          <w:szCs w:val="20"/>
        </w:rPr>
        <w:t>ranks among the world's most polluted countries, with an average PM2.5 concentration of 50.6 µg/m³—over 10 times the WHO guideline of 5 µg/m³</w:t>
      </w:r>
      <w:r w:rsidR="00763A9C" w:rsidRPr="00827CF2">
        <w:rPr>
          <w:rFonts w:asciiTheme="minorBidi" w:hAnsiTheme="minorBidi"/>
          <w:sz w:val="20"/>
          <w:szCs w:val="20"/>
        </w:rPr>
        <w:t xml:space="preserve">. </w:t>
      </w:r>
      <w:r w:rsidR="00F45D1A" w:rsidRPr="00827CF2">
        <w:rPr>
          <w:rFonts w:asciiTheme="minorBidi" w:hAnsiTheme="minorBidi"/>
          <w:sz w:val="20"/>
          <w:szCs w:val="20"/>
        </w:rPr>
        <w:t>$95 billion (3.3% of India’s GDP) was lost in 2019 due to lost productivity, healthcare costs, and premature mortality from air pollution. (</w:t>
      </w:r>
      <w:r w:rsidR="00A5693B" w:rsidRPr="00827CF2">
        <w:rPr>
          <w:rFonts w:asciiTheme="minorBidi" w:hAnsiTheme="minorBidi"/>
          <w:sz w:val="20"/>
          <w:szCs w:val="20"/>
        </w:rPr>
        <w:t>Confederation of Indian Industry</w:t>
      </w:r>
      <w:r w:rsidR="008D56F9" w:rsidRPr="00827CF2">
        <w:rPr>
          <w:rFonts w:asciiTheme="minorBidi" w:hAnsiTheme="minorBidi"/>
          <w:sz w:val="20"/>
          <w:szCs w:val="20"/>
        </w:rPr>
        <w:t xml:space="preserve">, Clean Air Fund and Dalberg, </w:t>
      </w:r>
      <w:r w:rsidR="008A4562" w:rsidRPr="00827CF2">
        <w:rPr>
          <w:rFonts w:asciiTheme="minorBidi" w:hAnsiTheme="minorBidi"/>
          <w:sz w:val="20"/>
          <w:szCs w:val="20"/>
        </w:rPr>
        <w:t>2021)</w:t>
      </w:r>
    </w:p>
    <w:p w14:paraId="04FC1EA5" w14:textId="09791F99" w:rsidR="0034031D" w:rsidRPr="00827CF2" w:rsidRDefault="00763A9C" w:rsidP="00F75549">
      <w:pPr>
        <w:spacing w:line="276" w:lineRule="auto"/>
        <w:jc w:val="both"/>
        <w:rPr>
          <w:rFonts w:asciiTheme="minorBidi" w:hAnsiTheme="minorBidi"/>
          <w:sz w:val="20"/>
          <w:szCs w:val="20"/>
        </w:rPr>
      </w:pPr>
      <w:r w:rsidRPr="00827CF2">
        <w:rPr>
          <w:rFonts w:asciiTheme="minorBidi" w:hAnsiTheme="minorBidi"/>
          <w:sz w:val="20"/>
          <w:szCs w:val="20"/>
        </w:rPr>
        <w:t xml:space="preserve">As the world’s most populous country, India </w:t>
      </w:r>
      <w:r w:rsidR="0005143A" w:rsidRPr="00827CF2">
        <w:rPr>
          <w:rFonts w:asciiTheme="minorBidi" w:hAnsiTheme="minorBidi"/>
          <w:sz w:val="20"/>
          <w:szCs w:val="20"/>
        </w:rPr>
        <w:t>is</w:t>
      </w:r>
      <w:r w:rsidRPr="00827CF2">
        <w:rPr>
          <w:rFonts w:asciiTheme="minorBidi" w:hAnsiTheme="minorBidi"/>
          <w:sz w:val="20"/>
          <w:szCs w:val="20"/>
        </w:rPr>
        <w:t xml:space="preserve"> the third-largest contributor to global GHG emissions. With energy demand expected to rise rapidly, India is projected to surpass the United States as the second-largest emitter by 2035. These trends underscore the urgency of mainstreaming environmental and climate considerations into national and subnational policy and fiscal frameworks</w:t>
      </w:r>
      <w:r w:rsidR="003A5F5A" w:rsidRPr="00827CF2">
        <w:rPr>
          <w:rFonts w:asciiTheme="minorBidi" w:hAnsiTheme="minorBidi"/>
          <w:sz w:val="20"/>
          <w:szCs w:val="20"/>
        </w:rPr>
        <w:t xml:space="preserve"> </w:t>
      </w:r>
      <w:r w:rsidR="004C498D" w:rsidRPr="007D182B">
        <w:rPr>
          <w:rFonts w:asciiTheme="minorBidi" w:hAnsiTheme="minorBidi"/>
          <w:sz w:val="20"/>
          <w:szCs w:val="20"/>
        </w:rPr>
        <w:t>(Statista, 2023)</w:t>
      </w:r>
      <w:r w:rsidRPr="007D182B">
        <w:rPr>
          <w:rFonts w:asciiTheme="minorBidi" w:hAnsiTheme="minorBidi"/>
          <w:sz w:val="20"/>
          <w:szCs w:val="20"/>
        </w:rPr>
        <w:t>.</w:t>
      </w:r>
    </w:p>
    <w:p w14:paraId="143B3C6D" w14:textId="28D16C12" w:rsidR="00CA7C9A" w:rsidRPr="00827CF2" w:rsidRDefault="00554C7D" w:rsidP="00554C7D">
      <w:pPr>
        <w:pStyle w:val="Caption"/>
        <w:keepNext/>
        <w:spacing w:line="276" w:lineRule="auto"/>
        <w:jc w:val="both"/>
        <w:rPr>
          <w:rFonts w:asciiTheme="minorBidi" w:hAnsiTheme="minorBidi"/>
          <w:sz w:val="20"/>
          <w:szCs w:val="20"/>
        </w:rPr>
      </w:pPr>
      <w:r w:rsidRPr="00827CF2">
        <w:rPr>
          <w:rFonts w:asciiTheme="minorBidi" w:hAnsiTheme="minorBidi"/>
          <w:sz w:val="20"/>
          <w:szCs w:val="20"/>
        </w:rPr>
        <w:lastRenderedPageBreak/>
        <w:t xml:space="preserve">Figure </w:t>
      </w:r>
      <w:r w:rsidR="00107626" w:rsidRPr="00827CF2">
        <w:rPr>
          <w:rFonts w:asciiTheme="minorBidi" w:hAnsiTheme="minorBidi"/>
          <w:sz w:val="20"/>
          <w:szCs w:val="20"/>
        </w:rPr>
        <w:t>5</w:t>
      </w:r>
      <w:r w:rsidRPr="00827CF2">
        <w:rPr>
          <w:rFonts w:asciiTheme="minorBidi" w:hAnsiTheme="minorBidi"/>
          <w:sz w:val="20"/>
          <w:szCs w:val="20"/>
        </w:rPr>
        <w:t>:</w:t>
      </w:r>
      <w:r w:rsidR="00107626" w:rsidRPr="00827CF2">
        <w:rPr>
          <w:rFonts w:asciiTheme="minorBidi" w:hAnsiTheme="minorBidi"/>
          <w:sz w:val="20"/>
          <w:szCs w:val="20"/>
        </w:rPr>
        <w:t xml:space="preserve"> </w:t>
      </w:r>
      <w:r w:rsidRPr="00827CF2">
        <w:rPr>
          <w:rFonts w:asciiTheme="minorBidi" w:hAnsiTheme="minorBidi"/>
          <w:sz w:val="20"/>
          <w:szCs w:val="20"/>
        </w:rPr>
        <w:t>Risks due to Climate Change in different part</w:t>
      </w:r>
      <w:r w:rsidR="003F4171" w:rsidRPr="00827CF2">
        <w:rPr>
          <w:rFonts w:asciiTheme="minorBidi" w:hAnsiTheme="minorBidi"/>
          <w:sz w:val="20"/>
          <w:szCs w:val="20"/>
        </w:rPr>
        <w:t>s</w:t>
      </w:r>
      <w:r w:rsidRPr="00827CF2">
        <w:rPr>
          <w:rFonts w:asciiTheme="minorBidi" w:hAnsiTheme="minorBidi"/>
          <w:sz w:val="20"/>
          <w:szCs w:val="20"/>
        </w:rPr>
        <w:t xml:space="preserve"> of India</w:t>
      </w:r>
      <w:r w:rsidR="00897368" w:rsidRPr="00827CF2">
        <w:rPr>
          <w:rFonts w:asciiTheme="minorBidi" w:hAnsiTheme="minorBidi"/>
          <w:sz w:val="16"/>
          <w:szCs w:val="16"/>
        </w:rPr>
        <w:t xml:space="preserve">                               </w:t>
      </w:r>
    </w:p>
    <w:p w14:paraId="18B1CFD8" w14:textId="780415F3" w:rsidR="00AD0D41" w:rsidRPr="006E13CD" w:rsidRDefault="00E21E16" w:rsidP="00F75549">
      <w:pPr>
        <w:spacing w:line="276" w:lineRule="auto"/>
        <w:jc w:val="both"/>
        <w:rPr>
          <w:rFonts w:asciiTheme="minorBidi" w:hAnsiTheme="minorBidi"/>
        </w:rPr>
      </w:pPr>
      <w:r w:rsidRPr="006E13CD">
        <w:rPr>
          <w:rFonts w:asciiTheme="minorBidi" w:hAnsiTheme="minorBidi"/>
          <w:noProof/>
          <w:lang w:eastAsia="en-IN"/>
        </w:rPr>
        <mc:AlternateContent>
          <mc:Choice Requires="wps">
            <w:drawing>
              <wp:anchor distT="0" distB="0" distL="114300" distR="114300" simplePos="0" relativeHeight="251658240" behindDoc="0" locked="0" layoutInCell="1" allowOverlap="1" wp14:anchorId="4FCB052F" wp14:editId="021CD054">
                <wp:simplePos x="0" y="0"/>
                <wp:positionH relativeFrom="column">
                  <wp:posOffset>60960</wp:posOffset>
                </wp:positionH>
                <wp:positionV relativeFrom="paragraph">
                  <wp:posOffset>7620</wp:posOffset>
                </wp:positionV>
                <wp:extent cx="5554980" cy="0"/>
                <wp:effectExtent l="0" t="0" r="0" b="0"/>
                <wp:wrapNone/>
                <wp:docPr id="1196885682" name="Straight Connector 3"/>
                <wp:cNvGraphicFramePr/>
                <a:graphic xmlns:a="http://schemas.openxmlformats.org/drawingml/2006/main">
                  <a:graphicData uri="http://schemas.microsoft.com/office/word/2010/wordprocessingShape">
                    <wps:wsp>
                      <wps:cNvCnPr/>
                      <wps:spPr>
                        <a:xfrm>
                          <a:off x="0" y="0"/>
                          <a:ext cx="555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437818"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8pt,.6pt" to="442.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28sgEAANQDAAAOAAAAZHJzL2Uyb0RvYy54bWysU8Fu2zAMvQ/YPwi6L3KKZeiMOD206C7D&#10;VmzrB6gyFQuQREHSYufvRymJXWwDhhW90CLF90g+0dubyVl2gJgM+o6vVw1n4BX2xu87/vjj/t01&#10;ZylL30uLHjp+hMRvdm/fbMfQwhUOaHuIjEh8asfQ8SHn0AqR1ABOphUG8HSpMTqZyY170Uc5Eruz&#10;4qppPogRYx8iKkiJonenS76r/FqDyl+1TpCZ7Tj1lquN1T4VK3Zb2e6jDINR5zbkC7pw0ngqOlPd&#10;ySzZz2j+oHJGRUyo80qhE6i1UVBnoGnWzW/TfB9kgDoLiZPCLFN6PVr15XDrHyLJMIbUpvAQyxST&#10;jq58qT82VbGOs1gwZaYouNls3n+8Jk3V5U4swBBT/gToWDl03Bpf5pCtPHxOmYpR6iWlhK0vNqE1&#10;/b2xtjplA+DWRnaQ9HZ5Wpe3ItyzLPIKUiyt11M+WjixfgPNTE/Nrmv1ulULp1QKfL7wWk/ZBaap&#10;gxnY/Bt4zi9QqBv3P+AZUSujzzPYGY/xb9UXKfQp/6LAae4iwRP2x/qoVRpanarcec3Lbj73K3z5&#10;GXe/AAAA//8DAFBLAwQUAAYACAAAACEAwSfeJ9oAAAAFAQAADwAAAGRycy9kb3ducmV2LnhtbEyO&#10;zUrDQBSF94LvMFzBjdiJtYYYMykS6MaFYCPF5TRzmwlm7oTMtEnf3qsbuzw/nPMV69n14oRj6Dwp&#10;eFgkIJAabzpqFXzWm/sMRIiajO49oYIzBliX11eFzo2f6ANP29gKHqGQawU2xiGXMjQWnQ4LPyBx&#10;dvCj05Hl2Eoz6onHXS+XSZJKpzviB6sHrCw239ujU/DV3j1udjXVUxXfD6mdz7u3p0qp25v59QVE&#10;xDn+l+EXn9GhZKa9P5IJolfwnHKR7SUITrNstQKx/9OyLOQlffkDAAD//wMAUEsBAi0AFAAGAAgA&#10;AAAhALaDOJL+AAAA4QEAABMAAAAAAAAAAAAAAAAAAAAAAFtDb250ZW50X1R5cGVzXS54bWxQSwEC&#10;LQAUAAYACAAAACEAOP0h/9YAAACUAQAACwAAAAAAAAAAAAAAAAAvAQAAX3JlbHMvLnJlbHNQSwEC&#10;LQAUAAYACAAAACEA261dvLIBAADUAwAADgAAAAAAAAAAAAAAAAAuAgAAZHJzL2Uyb0RvYy54bWxQ&#10;SwECLQAUAAYACAAAACEAwSfeJ9oAAAAFAQAADwAAAAAAAAAAAAAAAAAMBAAAZHJzL2Rvd25yZXYu&#10;eG1sUEsFBgAAAAAEAAQA8wAAABMFAAAAAA==&#10;" strokecolor="black [3213]" strokeweight=".5pt">
                <v:stroke joinstyle="miter"/>
              </v:line>
            </w:pict>
          </mc:Fallback>
        </mc:AlternateContent>
      </w:r>
      <w:r w:rsidR="00F03747" w:rsidRPr="006E13CD">
        <w:rPr>
          <w:rFonts w:asciiTheme="minorBidi" w:hAnsiTheme="minorBidi"/>
          <w:noProof/>
          <w:lang w:eastAsia="en-IN"/>
        </w:rPr>
        <w:drawing>
          <wp:inline distT="0" distB="0" distL="0" distR="0" wp14:anchorId="6B87F215" wp14:editId="5FA65A4C">
            <wp:extent cx="5730875" cy="6187440"/>
            <wp:effectExtent l="0" t="0" r="3175" b="3810"/>
            <wp:docPr id="2" name="Picture 1" descr="Climate Change Could Seriously Hamper India's Progress by 2030 - S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 Change Could Seriously Hamper India's Progress by 2030 - Sify"/>
                    <pic:cNvPicPr>
                      <a:picLocks noChangeAspect="1" noChangeArrowheads="1"/>
                    </pic:cNvPicPr>
                  </pic:nvPicPr>
                  <pic:blipFill rotWithShape="1">
                    <a:blip r:embed="rId15">
                      <a:extLst>
                        <a:ext uri="{28A0092B-C50C-407E-A947-70E740481C1C}">
                          <a14:useLocalDpi xmlns:a14="http://schemas.microsoft.com/office/drawing/2010/main" val="0"/>
                        </a:ext>
                      </a:extLst>
                    </a:blip>
                    <a:srcRect t="8314"/>
                    <a:stretch/>
                  </pic:blipFill>
                  <pic:spPr bwMode="auto">
                    <a:xfrm>
                      <a:off x="0" y="0"/>
                      <a:ext cx="5731523" cy="6188140"/>
                    </a:xfrm>
                    <a:prstGeom prst="rect">
                      <a:avLst/>
                    </a:prstGeom>
                    <a:noFill/>
                    <a:ln>
                      <a:noFill/>
                    </a:ln>
                    <a:extLst>
                      <a:ext uri="{53640926-AAD7-44D8-BBD7-CCE9431645EC}">
                        <a14:shadowObscured xmlns:a14="http://schemas.microsoft.com/office/drawing/2010/main"/>
                      </a:ext>
                    </a:extLst>
                  </pic:spPr>
                </pic:pic>
              </a:graphicData>
            </a:graphic>
          </wp:inline>
        </w:drawing>
      </w:r>
    </w:p>
    <w:p w14:paraId="60CBD9CC" w14:textId="124CE63D" w:rsidR="00382898" w:rsidRPr="00827CF2" w:rsidRDefault="00131178" w:rsidP="00F75549">
      <w:pPr>
        <w:spacing w:line="276" w:lineRule="auto"/>
        <w:jc w:val="both"/>
        <w:rPr>
          <w:rFonts w:asciiTheme="minorBidi" w:hAnsiTheme="minorBidi"/>
          <w:i/>
          <w:sz w:val="20"/>
          <w:szCs w:val="20"/>
        </w:rPr>
      </w:pPr>
      <w:r w:rsidRPr="006E13CD">
        <w:rPr>
          <w:rFonts w:asciiTheme="minorBidi" w:hAnsiTheme="minorBidi"/>
          <w:i/>
        </w:rPr>
        <w:t xml:space="preserve">  </w:t>
      </w:r>
      <w:r w:rsidR="00F15EF9" w:rsidRPr="00827CF2">
        <w:rPr>
          <w:rFonts w:asciiTheme="minorBidi" w:hAnsiTheme="minorBidi"/>
          <w:i/>
          <w:sz w:val="20"/>
          <w:szCs w:val="20"/>
        </w:rPr>
        <w:t xml:space="preserve">Source </w:t>
      </w:r>
      <w:r w:rsidR="000B31FE" w:rsidRPr="00827CF2">
        <w:rPr>
          <w:rFonts w:asciiTheme="minorBidi" w:hAnsiTheme="minorBidi"/>
          <w:i/>
          <w:sz w:val="20"/>
          <w:szCs w:val="20"/>
        </w:rPr>
        <w:t>–</w:t>
      </w:r>
      <w:r w:rsidR="00F15EF9" w:rsidRPr="00827CF2">
        <w:rPr>
          <w:rFonts w:asciiTheme="minorBidi" w:hAnsiTheme="minorBidi"/>
          <w:i/>
          <w:sz w:val="20"/>
          <w:szCs w:val="20"/>
        </w:rPr>
        <w:t xml:space="preserve"> </w:t>
      </w:r>
      <w:r w:rsidR="000B31FE" w:rsidRPr="00827CF2">
        <w:rPr>
          <w:rFonts w:asciiTheme="minorBidi" w:hAnsiTheme="minorBidi"/>
          <w:i/>
          <w:sz w:val="20"/>
          <w:szCs w:val="20"/>
        </w:rPr>
        <w:t xml:space="preserve">How climate change can impact GDP and jobs, </w:t>
      </w:r>
      <w:r w:rsidR="002C39CB" w:rsidRPr="00827CF2">
        <w:rPr>
          <w:rFonts w:asciiTheme="minorBidi" w:hAnsiTheme="minorBidi"/>
          <w:i/>
          <w:sz w:val="20"/>
          <w:szCs w:val="20"/>
        </w:rPr>
        <w:t>Forbes India</w:t>
      </w:r>
      <w:r w:rsidR="00874CD8" w:rsidRPr="00827CF2">
        <w:rPr>
          <w:rFonts w:asciiTheme="minorBidi" w:hAnsiTheme="minorBidi"/>
          <w:i/>
          <w:sz w:val="20"/>
          <w:szCs w:val="20"/>
        </w:rPr>
        <w:t xml:space="preserve"> (2023)</w:t>
      </w:r>
    </w:p>
    <w:p w14:paraId="02C33A4E" w14:textId="3CD38F5E" w:rsidR="0040650C" w:rsidRPr="00827CF2" w:rsidRDefault="0040650C" w:rsidP="00382898">
      <w:pPr>
        <w:pStyle w:val="Caption"/>
        <w:keepNext/>
        <w:spacing w:line="276" w:lineRule="auto"/>
        <w:jc w:val="both"/>
        <w:rPr>
          <w:rFonts w:asciiTheme="minorBidi" w:hAnsiTheme="minorBidi"/>
          <w:sz w:val="16"/>
          <w:szCs w:val="16"/>
        </w:rPr>
      </w:pPr>
      <w:r w:rsidRPr="00827CF2">
        <w:rPr>
          <w:rFonts w:asciiTheme="minorBidi" w:hAnsiTheme="minorBidi"/>
          <w:sz w:val="20"/>
          <w:szCs w:val="20"/>
        </w:rPr>
        <w:lastRenderedPageBreak/>
        <w:t>Figure</w:t>
      </w:r>
      <w:r w:rsidR="00382898" w:rsidRPr="00827CF2">
        <w:rPr>
          <w:rFonts w:asciiTheme="minorBidi" w:hAnsiTheme="minorBidi"/>
          <w:sz w:val="20"/>
          <w:szCs w:val="20"/>
        </w:rPr>
        <w:t xml:space="preserve"> </w:t>
      </w:r>
      <w:r w:rsidR="00107626" w:rsidRPr="00827CF2">
        <w:rPr>
          <w:rFonts w:asciiTheme="minorBidi" w:hAnsiTheme="minorBidi"/>
          <w:sz w:val="20"/>
          <w:szCs w:val="20"/>
        </w:rPr>
        <w:t>6</w:t>
      </w:r>
      <w:r w:rsidR="00003D56" w:rsidRPr="00827CF2">
        <w:rPr>
          <w:rFonts w:asciiTheme="minorBidi" w:hAnsiTheme="minorBidi"/>
          <w:sz w:val="20"/>
          <w:szCs w:val="20"/>
        </w:rPr>
        <w:t xml:space="preserve">: </w:t>
      </w:r>
      <w:r w:rsidR="00A15FB2" w:rsidRPr="00827CF2">
        <w:rPr>
          <w:rFonts w:asciiTheme="minorBidi" w:hAnsiTheme="minorBidi"/>
          <w:sz w:val="20"/>
          <w:szCs w:val="20"/>
        </w:rPr>
        <w:t>Climate Change-related disaster frequency</w:t>
      </w:r>
      <w:r w:rsidR="00E04771" w:rsidRPr="00827CF2">
        <w:rPr>
          <w:rFonts w:asciiTheme="minorBidi" w:hAnsiTheme="minorBidi"/>
          <w:sz w:val="20"/>
          <w:szCs w:val="20"/>
        </w:rPr>
        <w:t xml:space="preserve"> in different countries</w:t>
      </w:r>
      <w:r w:rsidR="00D95B68" w:rsidRPr="00827CF2">
        <w:rPr>
          <w:rFonts w:asciiTheme="minorBidi" w:hAnsiTheme="minorBidi"/>
          <w:sz w:val="20"/>
          <w:szCs w:val="20"/>
        </w:rPr>
        <w:t xml:space="preserve"> </w:t>
      </w:r>
      <w:r w:rsidR="00D15706" w:rsidRPr="00827CF2">
        <w:rPr>
          <w:rFonts w:asciiTheme="minorBidi" w:hAnsiTheme="minorBidi"/>
          <w:sz w:val="20"/>
          <w:szCs w:val="20"/>
        </w:rPr>
        <w:t>has steadily increased in India over the years</w:t>
      </w:r>
    </w:p>
    <w:p w14:paraId="1F71B9DD" w14:textId="1A36B2DE" w:rsidR="0040650C" w:rsidRPr="006E13CD" w:rsidRDefault="0040650C" w:rsidP="00F75549">
      <w:pPr>
        <w:spacing w:line="276" w:lineRule="auto"/>
        <w:jc w:val="both"/>
        <w:rPr>
          <w:rFonts w:asciiTheme="minorBidi" w:hAnsiTheme="minorBidi"/>
        </w:rPr>
      </w:pPr>
      <w:r w:rsidRPr="006E13CD">
        <w:rPr>
          <w:rFonts w:asciiTheme="minorBidi" w:hAnsiTheme="minorBidi"/>
        </w:rPr>
        <w:t xml:space="preserve">      </w:t>
      </w:r>
      <w:r w:rsidRPr="006E13CD">
        <w:rPr>
          <w:rFonts w:asciiTheme="minorBidi" w:hAnsiTheme="minorBidi"/>
          <w:noProof/>
          <w:lang w:eastAsia="en-IN"/>
        </w:rPr>
        <w:drawing>
          <wp:inline distT="0" distB="0" distL="0" distR="0" wp14:anchorId="7B2EAFF6" wp14:editId="59E48390">
            <wp:extent cx="5375356" cy="2811780"/>
            <wp:effectExtent l="19050" t="19050" r="15875" b="26670"/>
            <wp:docPr id="8392605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60576" name="Picture 839260576"/>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b="7364"/>
                    <a:stretch/>
                  </pic:blipFill>
                  <pic:spPr bwMode="auto">
                    <a:xfrm>
                      <a:off x="0" y="0"/>
                      <a:ext cx="5409075" cy="282941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BC029BB" w14:textId="18A8690E" w:rsidR="0040650C" w:rsidRPr="00827CF2" w:rsidRDefault="0040650C" w:rsidP="00F75549">
      <w:pPr>
        <w:spacing w:line="276" w:lineRule="auto"/>
        <w:jc w:val="both"/>
        <w:rPr>
          <w:rFonts w:asciiTheme="minorBidi" w:hAnsiTheme="minorBidi"/>
          <w:i/>
          <w:sz w:val="20"/>
          <w:szCs w:val="20"/>
        </w:rPr>
      </w:pPr>
      <w:r w:rsidRPr="00827CF2">
        <w:rPr>
          <w:rFonts w:asciiTheme="minorBidi" w:hAnsiTheme="minorBidi"/>
          <w:i/>
          <w:sz w:val="20"/>
          <w:szCs w:val="20"/>
        </w:rPr>
        <w:t>Source - How climate change can impact GDP and jobs, Forbes India</w:t>
      </w:r>
      <w:r w:rsidR="007348B5" w:rsidRPr="00827CF2">
        <w:rPr>
          <w:rFonts w:asciiTheme="minorBidi" w:hAnsiTheme="minorBidi"/>
          <w:i/>
          <w:sz w:val="20"/>
          <w:szCs w:val="20"/>
        </w:rPr>
        <w:t xml:space="preserve"> (2023)</w:t>
      </w:r>
    </w:p>
    <w:p w14:paraId="7E49F5D3" w14:textId="1B2FCF95" w:rsidR="007943F0" w:rsidRPr="00827CF2" w:rsidRDefault="0016296A" w:rsidP="00F75549">
      <w:pPr>
        <w:spacing w:line="276" w:lineRule="auto"/>
        <w:jc w:val="both"/>
        <w:rPr>
          <w:rFonts w:asciiTheme="minorBidi" w:hAnsiTheme="minorBidi"/>
          <w:sz w:val="20"/>
          <w:szCs w:val="20"/>
        </w:rPr>
      </w:pPr>
      <w:r w:rsidRPr="00827CF2">
        <w:rPr>
          <w:rFonts w:asciiTheme="minorBidi" w:hAnsiTheme="minorBidi"/>
          <w:sz w:val="20"/>
          <w:szCs w:val="20"/>
        </w:rPr>
        <w:t>To overcome these challenges</w:t>
      </w:r>
      <w:r w:rsidR="00EB4A87" w:rsidRPr="00827CF2">
        <w:rPr>
          <w:rFonts w:asciiTheme="minorBidi" w:hAnsiTheme="minorBidi"/>
          <w:sz w:val="20"/>
          <w:szCs w:val="20"/>
        </w:rPr>
        <w:t xml:space="preserve">, </w:t>
      </w:r>
      <w:r w:rsidR="007943F0" w:rsidRPr="00827CF2">
        <w:rPr>
          <w:rFonts w:asciiTheme="minorBidi" w:hAnsiTheme="minorBidi"/>
          <w:sz w:val="20"/>
          <w:szCs w:val="20"/>
        </w:rPr>
        <w:t>India has taken significant strides in environment</w:t>
      </w:r>
      <w:r w:rsidR="005E07B4" w:rsidRPr="00827CF2">
        <w:rPr>
          <w:rFonts w:asciiTheme="minorBidi" w:hAnsiTheme="minorBidi"/>
          <w:sz w:val="20"/>
          <w:szCs w:val="20"/>
        </w:rPr>
        <w:t xml:space="preserve"> and climate-related</w:t>
      </w:r>
      <w:r w:rsidR="007943F0" w:rsidRPr="00827CF2">
        <w:rPr>
          <w:rFonts w:asciiTheme="minorBidi" w:hAnsiTheme="minorBidi"/>
          <w:sz w:val="20"/>
          <w:szCs w:val="20"/>
        </w:rPr>
        <w:t xml:space="preserve"> initiatives with innovative policies like Lifestyle for Environment (</w:t>
      </w:r>
      <w:proofErr w:type="spellStart"/>
      <w:r w:rsidR="007943F0" w:rsidRPr="00827CF2">
        <w:rPr>
          <w:rFonts w:asciiTheme="minorBidi" w:hAnsiTheme="minorBidi"/>
          <w:sz w:val="20"/>
          <w:szCs w:val="20"/>
        </w:rPr>
        <w:t>LiFE</w:t>
      </w:r>
      <w:proofErr w:type="spellEnd"/>
      <w:r w:rsidR="007943F0" w:rsidRPr="00827CF2">
        <w:rPr>
          <w:rFonts w:asciiTheme="minorBidi" w:hAnsiTheme="minorBidi"/>
          <w:sz w:val="20"/>
          <w:szCs w:val="20"/>
        </w:rPr>
        <w:t>), National Clean Energy Fund, Joint Forest Management, Atal Mission for Rejuvenation and Urban Transformation (AMRUT)</w:t>
      </w:r>
      <w:r w:rsidR="001A4E26" w:rsidRPr="00827CF2">
        <w:rPr>
          <w:rFonts w:asciiTheme="minorBidi" w:hAnsiTheme="minorBidi"/>
          <w:sz w:val="20"/>
          <w:szCs w:val="20"/>
        </w:rPr>
        <w:t xml:space="preserve">, </w:t>
      </w:r>
      <w:r w:rsidR="007943F0" w:rsidRPr="00827CF2">
        <w:rPr>
          <w:rFonts w:asciiTheme="minorBidi" w:hAnsiTheme="minorBidi"/>
          <w:sz w:val="20"/>
          <w:szCs w:val="20"/>
        </w:rPr>
        <w:t>Faster Adoption and Manufacturing of Hybrid and Electric Vehicles (FAME)</w:t>
      </w:r>
      <w:r w:rsidR="0036629A" w:rsidRPr="00827CF2">
        <w:rPr>
          <w:rFonts w:asciiTheme="minorBidi" w:hAnsiTheme="minorBidi"/>
          <w:sz w:val="20"/>
          <w:szCs w:val="20"/>
        </w:rPr>
        <w:t xml:space="preserve"> and </w:t>
      </w:r>
      <w:r w:rsidR="00831692" w:rsidRPr="00827CF2">
        <w:rPr>
          <w:rFonts w:asciiTheme="minorBidi" w:hAnsiTheme="minorBidi"/>
          <w:sz w:val="20"/>
          <w:szCs w:val="20"/>
        </w:rPr>
        <w:t>“</w:t>
      </w:r>
      <w:proofErr w:type="spellStart"/>
      <w:r w:rsidR="00FD7D36" w:rsidRPr="00827CF2">
        <w:rPr>
          <w:rFonts w:asciiTheme="minorBidi" w:hAnsiTheme="minorBidi"/>
          <w:sz w:val="20"/>
          <w:szCs w:val="20"/>
        </w:rPr>
        <w:t>Pancha</w:t>
      </w:r>
      <w:r w:rsidR="00B831FA" w:rsidRPr="00827CF2">
        <w:rPr>
          <w:rFonts w:asciiTheme="minorBidi" w:hAnsiTheme="minorBidi"/>
          <w:sz w:val="20"/>
          <w:szCs w:val="20"/>
        </w:rPr>
        <w:t>mrit</w:t>
      </w:r>
      <w:proofErr w:type="spellEnd"/>
      <w:r w:rsidR="00445168" w:rsidRPr="00827CF2">
        <w:rPr>
          <w:rFonts w:asciiTheme="minorBidi" w:hAnsiTheme="minorBidi"/>
          <w:sz w:val="20"/>
          <w:szCs w:val="20"/>
        </w:rPr>
        <w:t>”</w:t>
      </w:r>
      <w:r w:rsidR="00632870" w:rsidRPr="00827CF2">
        <w:rPr>
          <w:rFonts w:asciiTheme="minorBidi" w:hAnsiTheme="minorBidi"/>
          <w:sz w:val="20"/>
          <w:szCs w:val="20"/>
        </w:rPr>
        <w:t xml:space="preserve"> which</w:t>
      </w:r>
      <w:r w:rsidR="00452AB7" w:rsidRPr="00827CF2">
        <w:rPr>
          <w:rFonts w:asciiTheme="minorBidi" w:hAnsiTheme="minorBidi"/>
          <w:sz w:val="20"/>
          <w:szCs w:val="20"/>
        </w:rPr>
        <w:t xml:space="preserve"> is a </w:t>
      </w:r>
      <w:r w:rsidR="00B6676E" w:rsidRPr="00827CF2">
        <w:rPr>
          <w:rFonts w:asciiTheme="minorBidi" w:hAnsiTheme="minorBidi"/>
          <w:sz w:val="20"/>
          <w:szCs w:val="20"/>
        </w:rPr>
        <w:t>five-point</w:t>
      </w:r>
      <w:r w:rsidR="001300FA" w:rsidRPr="00827CF2">
        <w:rPr>
          <w:rFonts w:asciiTheme="minorBidi" w:hAnsiTheme="minorBidi"/>
          <w:sz w:val="20"/>
          <w:szCs w:val="20"/>
        </w:rPr>
        <w:t xml:space="preserve"> action plan t</w:t>
      </w:r>
      <w:r w:rsidR="00A250DC" w:rsidRPr="00827CF2">
        <w:rPr>
          <w:rFonts w:asciiTheme="minorBidi" w:hAnsiTheme="minorBidi"/>
          <w:sz w:val="20"/>
          <w:szCs w:val="20"/>
        </w:rPr>
        <w:t>o comba</w:t>
      </w:r>
      <w:r w:rsidR="00ED5F2A" w:rsidRPr="00827CF2">
        <w:rPr>
          <w:rFonts w:asciiTheme="minorBidi" w:hAnsiTheme="minorBidi"/>
          <w:sz w:val="20"/>
          <w:szCs w:val="20"/>
        </w:rPr>
        <w:t>t climate change,</w:t>
      </w:r>
      <w:r w:rsidR="007943F0" w:rsidRPr="00827CF2">
        <w:rPr>
          <w:rFonts w:asciiTheme="minorBidi" w:hAnsiTheme="minorBidi"/>
          <w:sz w:val="20"/>
          <w:szCs w:val="20"/>
        </w:rPr>
        <w:t xml:space="preserve"> among many others</w:t>
      </w:r>
      <w:r w:rsidR="007D17A9" w:rsidRPr="00827CF2">
        <w:rPr>
          <w:rFonts w:asciiTheme="minorBidi" w:hAnsiTheme="minorBidi"/>
          <w:sz w:val="20"/>
          <w:szCs w:val="20"/>
        </w:rPr>
        <w:t>.</w:t>
      </w:r>
      <w:r w:rsidR="007943F0" w:rsidRPr="00827CF2">
        <w:rPr>
          <w:rFonts w:asciiTheme="minorBidi" w:hAnsiTheme="minorBidi"/>
          <w:sz w:val="20"/>
          <w:szCs w:val="20"/>
        </w:rPr>
        <w:t xml:space="preserve"> </w:t>
      </w:r>
    </w:p>
    <w:p w14:paraId="3F80F48C" w14:textId="6E90CC05" w:rsidR="00F91A22" w:rsidRPr="00827CF2" w:rsidRDefault="00774A3A" w:rsidP="00F75549">
      <w:pPr>
        <w:spacing w:line="276" w:lineRule="auto"/>
        <w:jc w:val="both"/>
        <w:rPr>
          <w:rFonts w:asciiTheme="minorBidi" w:hAnsiTheme="minorBidi"/>
          <w:sz w:val="20"/>
          <w:szCs w:val="20"/>
        </w:rPr>
      </w:pPr>
      <w:r w:rsidRPr="00827CF2">
        <w:rPr>
          <w:rFonts w:asciiTheme="minorBidi" w:hAnsiTheme="minorBidi"/>
          <w:sz w:val="20"/>
          <w:szCs w:val="20"/>
        </w:rPr>
        <w:t xml:space="preserve">An important turning point </w:t>
      </w:r>
      <w:r w:rsidR="00A039E0" w:rsidRPr="00827CF2">
        <w:rPr>
          <w:rFonts w:asciiTheme="minorBidi" w:hAnsiTheme="minorBidi"/>
          <w:sz w:val="20"/>
          <w:szCs w:val="20"/>
        </w:rPr>
        <w:t xml:space="preserve">in India’s environmental and climate change efforts was the adoption of the National Action Plan on Climate Change (NAPCC) on 30th June 2008. Given India’s federal structure, the states play </w:t>
      </w:r>
      <w:r w:rsidR="00FD2DDD">
        <w:rPr>
          <w:rFonts w:asciiTheme="minorBidi" w:hAnsiTheme="minorBidi"/>
          <w:sz w:val="20"/>
          <w:szCs w:val="20"/>
        </w:rPr>
        <w:t>a crucial role in managing sectors critical to climate change action, including</w:t>
      </w:r>
      <w:r w:rsidR="00A039E0" w:rsidRPr="00827CF2">
        <w:rPr>
          <w:rFonts w:asciiTheme="minorBidi" w:hAnsiTheme="minorBidi"/>
          <w:sz w:val="20"/>
          <w:szCs w:val="20"/>
        </w:rPr>
        <w:t xml:space="preserve"> natural resources, infrastructure, and industry. To support the </w:t>
      </w:r>
      <w:r w:rsidR="00FD2DDD">
        <w:rPr>
          <w:rFonts w:asciiTheme="minorBidi" w:hAnsiTheme="minorBidi"/>
          <w:sz w:val="20"/>
          <w:szCs w:val="20"/>
        </w:rPr>
        <w:t>implementation of the NAPCC, subnational climate planning is crucial</w:t>
      </w:r>
      <w:r w:rsidR="00A039E0" w:rsidRPr="00827CF2">
        <w:rPr>
          <w:rFonts w:asciiTheme="minorBidi" w:hAnsiTheme="minorBidi"/>
          <w:sz w:val="20"/>
          <w:szCs w:val="20"/>
        </w:rPr>
        <w:t xml:space="preserve">. In 2009, </w:t>
      </w:r>
      <w:r w:rsidR="000B3114" w:rsidRPr="00827CF2">
        <w:rPr>
          <w:rFonts w:asciiTheme="minorBidi" w:hAnsiTheme="minorBidi"/>
          <w:sz w:val="20"/>
          <w:szCs w:val="20"/>
        </w:rPr>
        <w:t xml:space="preserve">all </w:t>
      </w:r>
      <w:r w:rsidR="00A039E0" w:rsidRPr="00827CF2">
        <w:rPr>
          <w:rFonts w:asciiTheme="minorBidi" w:hAnsiTheme="minorBidi"/>
          <w:sz w:val="20"/>
          <w:szCs w:val="20"/>
        </w:rPr>
        <w:t xml:space="preserve">state governments </w:t>
      </w:r>
      <w:r w:rsidR="000B3114" w:rsidRPr="00827CF2">
        <w:rPr>
          <w:rFonts w:asciiTheme="minorBidi" w:hAnsiTheme="minorBidi"/>
          <w:sz w:val="20"/>
          <w:szCs w:val="20"/>
        </w:rPr>
        <w:t xml:space="preserve">were asked </w:t>
      </w:r>
      <w:r w:rsidR="00A039E0" w:rsidRPr="00827CF2">
        <w:rPr>
          <w:rFonts w:asciiTheme="minorBidi" w:hAnsiTheme="minorBidi"/>
          <w:sz w:val="20"/>
          <w:szCs w:val="20"/>
        </w:rPr>
        <w:t xml:space="preserve">to develop a State Action Plan on Climate Change (SAPCC), which would align with the national framework while addressing state-specific vulnerabilities. As a result, </w:t>
      </w:r>
      <w:r w:rsidR="007F43B8" w:rsidRPr="00827CF2">
        <w:rPr>
          <w:rFonts w:asciiTheme="minorBidi" w:hAnsiTheme="minorBidi"/>
          <w:sz w:val="20"/>
          <w:szCs w:val="20"/>
        </w:rPr>
        <w:t>34</w:t>
      </w:r>
      <w:r w:rsidR="00A039E0" w:rsidRPr="00827CF2">
        <w:rPr>
          <w:rFonts w:asciiTheme="minorBidi" w:hAnsiTheme="minorBidi"/>
          <w:sz w:val="20"/>
          <w:szCs w:val="20"/>
        </w:rPr>
        <w:t xml:space="preserve"> states and </w:t>
      </w:r>
      <w:r w:rsidR="00A66765" w:rsidRPr="00827CF2">
        <w:rPr>
          <w:rFonts w:asciiTheme="minorBidi" w:hAnsiTheme="minorBidi"/>
          <w:sz w:val="20"/>
          <w:szCs w:val="20"/>
        </w:rPr>
        <w:t>UTs</w:t>
      </w:r>
      <w:r w:rsidR="00A039E0" w:rsidRPr="00827CF2">
        <w:rPr>
          <w:rFonts w:asciiTheme="minorBidi" w:hAnsiTheme="minorBidi"/>
          <w:sz w:val="20"/>
          <w:szCs w:val="20"/>
        </w:rPr>
        <w:t xml:space="preserve"> have already </w:t>
      </w:r>
      <w:r w:rsidR="00B67B61" w:rsidRPr="00827CF2">
        <w:rPr>
          <w:rFonts w:asciiTheme="minorBidi" w:hAnsiTheme="minorBidi"/>
          <w:sz w:val="20"/>
          <w:szCs w:val="20"/>
        </w:rPr>
        <w:t>prepared</w:t>
      </w:r>
      <w:r w:rsidR="00532F96" w:rsidRPr="00827CF2">
        <w:rPr>
          <w:rFonts w:asciiTheme="minorBidi" w:hAnsiTheme="minorBidi"/>
          <w:sz w:val="20"/>
          <w:szCs w:val="20"/>
        </w:rPr>
        <w:t xml:space="preserve"> </w:t>
      </w:r>
      <w:r w:rsidR="00A039E0" w:rsidRPr="00827CF2">
        <w:rPr>
          <w:rFonts w:asciiTheme="minorBidi" w:hAnsiTheme="minorBidi"/>
          <w:sz w:val="20"/>
          <w:szCs w:val="20"/>
        </w:rPr>
        <w:t>their SAPCCs</w:t>
      </w:r>
      <w:r w:rsidR="00A047D0" w:rsidRPr="00827CF2">
        <w:rPr>
          <w:rFonts w:asciiTheme="minorBidi" w:hAnsiTheme="minorBidi"/>
          <w:sz w:val="20"/>
          <w:szCs w:val="20"/>
        </w:rPr>
        <w:t xml:space="preserve"> (</w:t>
      </w:r>
      <w:r w:rsidR="00FE21EB" w:rsidRPr="00827CF2">
        <w:rPr>
          <w:rFonts w:asciiTheme="minorBidi" w:hAnsiTheme="minorBidi"/>
          <w:sz w:val="20"/>
          <w:szCs w:val="20"/>
        </w:rPr>
        <w:t>till</w:t>
      </w:r>
      <w:r w:rsidR="00A047D0" w:rsidRPr="00827CF2">
        <w:rPr>
          <w:rFonts w:asciiTheme="minorBidi" w:hAnsiTheme="minorBidi"/>
          <w:sz w:val="20"/>
          <w:szCs w:val="20"/>
        </w:rPr>
        <w:t xml:space="preserve"> </w:t>
      </w:r>
      <w:r w:rsidR="00FE21EB" w:rsidRPr="00827CF2">
        <w:rPr>
          <w:rFonts w:asciiTheme="minorBidi" w:hAnsiTheme="minorBidi"/>
          <w:sz w:val="20"/>
          <w:szCs w:val="20"/>
        </w:rPr>
        <w:t>February</w:t>
      </w:r>
      <w:r w:rsidR="00A047D0" w:rsidRPr="00827CF2">
        <w:rPr>
          <w:rFonts w:asciiTheme="minorBidi" w:hAnsiTheme="minorBidi"/>
          <w:sz w:val="20"/>
          <w:szCs w:val="20"/>
        </w:rPr>
        <w:t xml:space="preserve"> 2023)</w:t>
      </w:r>
      <w:r w:rsidR="00A039E0" w:rsidRPr="00827CF2">
        <w:rPr>
          <w:rFonts w:asciiTheme="minorBidi" w:hAnsiTheme="minorBidi"/>
          <w:sz w:val="20"/>
          <w:szCs w:val="20"/>
        </w:rPr>
        <w:t>.</w:t>
      </w:r>
      <w:r w:rsidR="00465515" w:rsidRPr="00827CF2">
        <w:rPr>
          <w:rFonts w:asciiTheme="minorBidi" w:hAnsiTheme="minorBidi"/>
          <w:sz w:val="20"/>
          <w:szCs w:val="20"/>
        </w:rPr>
        <w:t xml:space="preserve"> </w:t>
      </w:r>
    </w:p>
    <w:p w14:paraId="68202D8B" w14:textId="1DB431E8" w:rsidR="00BA3F49" w:rsidRPr="00827CF2" w:rsidRDefault="000C5E7F" w:rsidP="00F75549">
      <w:pPr>
        <w:spacing w:line="276" w:lineRule="auto"/>
        <w:jc w:val="both"/>
        <w:rPr>
          <w:rFonts w:asciiTheme="minorBidi" w:hAnsiTheme="minorBidi"/>
          <w:sz w:val="20"/>
          <w:szCs w:val="20"/>
        </w:rPr>
      </w:pPr>
      <w:r w:rsidRPr="00827CF2">
        <w:rPr>
          <w:rFonts w:asciiTheme="minorBidi" w:hAnsiTheme="minorBidi"/>
          <w:sz w:val="20"/>
          <w:szCs w:val="20"/>
        </w:rPr>
        <w:t xml:space="preserve">In October 2015, the Government of India </w:t>
      </w:r>
      <w:r w:rsidR="00331C02" w:rsidRPr="00827CF2">
        <w:rPr>
          <w:rFonts w:asciiTheme="minorBidi" w:hAnsiTheme="minorBidi"/>
          <w:sz w:val="20"/>
          <w:szCs w:val="20"/>
        </w:rPr>
        <w:t>(GOI)</w:t>
      </w:r>
      <w:r w:rsidRPr="00827CF2">
        <w:rPr>
          <w:rFonts w:asciiTheme="minorBidi" w:hAnsiTheme="minorBidi"/>
          <w:sz w:val="20"/>
          <w:szCs w:val="20"/>
        </w:rPr>
        <w:t xml:space="preserve"> submitted its Intended Nationally Determined Contribution (INDC), committing to reduce the carbon intensity of its economy, in anticipation of the international climate negotiations in Paris later that year.</w:t>
      </w:r>
    </w:p>
    <w:p w14:paraId="2B098A4D" w14:textId="79F56653" w:rsidR="00016068" w:rsidRPr="00827CF2" w:rsidRDefault="00016068" w:rsidP="00F75549">
      <w:pPr>
        <w:spacing w:line="276" w:lineRule="auto"/>
        <w:jc w:val="both"/>
        <w:rPr>
          <w:rFonts w:asciiTheme="minorBidi" w:hAnsiTheme="minorBidi"/>
          <w:sz w:val="20"/>
          <w:szCs w:val="20"/>
        </w:rPr>
      </w:pPr>
      <w:r w:rsidRPr="00827CF2">
        <w:rPr>
          <w:rFonts w:asciiTheme="minorBidi" w:hAnsiTheme="minorBidi"/>
          <w:sz w:val="20"/>
          <w:szCs w:val="20"/>
        </w:rPr>
        <w:t>However, all-encompassing strategies and innovative policies are of limited use without sufficient funds to effectively implement them</w:t>
      </w:r>
      <w:r w:rsidR="00FD2DDD">
        <w:rPr>
          <w:rFonts w:asciiTheme="minorBidi" w:hAnsiTheme="minorBidi"/>
          <w:sz w:val="20"/>
          <w:szCs w:val="20"/>
        </w:rPr>
        <w:t>,</w:t>
      </w:r>
      <w:r w:rsidRPr="00827CF2">
        <w:rPr>
          <w:rFonts w:asciiTheme="minorBidi" w:hAnsiTheme="minorBidi"/>
          <w:sz w:val="20"/>
          <w:szCs w:val="20"/>
        </w:rPr>
        <w:t xml:space="preserve"> and this is where India is </w:t>
      </w:r>
      <w:r w:rsidR="00B36B9E" w:rsidRPr="00827CF2">
        <w:rPr>
          <w:rFonts w:asciiTheme="minorBidi" w:hAnsiTheme="minorBidi"/>
          <w:sz w:val="20"/>
          <w:szCs w:val="20"/>
        </w:rPr>
        <w:t>lagging</w:t>
      </w:r>
      <w:r w:rsidRPr="00827CF2">
        <w:rPr>
          <w:rFonts w:asciiTheme="minorBidi" w:hAnsiTheme="minorBidi"/>
          <w:sz w:val="20"/>
          <w:szCs w:val="20"/>
        </w:rPr>
        <w:t xml:space="preserve">. India will </w:t>
      </w:r>
      <w:r w:rsidR="00FD2DDD">
        <w:rPr>
          <w:rFonts w:asciiTheme="minorBidi" w:hAnsiTheme="minorBidi"/>
          <w:sz w:val="20"/>
          <w:szCs w:val="20"/>
        </w:rPr>
        <w:t>require substantial financial resources to meet its environmental needs</w:t>
      </w:r>
      <w:r w:rsidRPr="00827CF2">
        <w:rPr>
          <w:rFonts w:asciiTheme="minorBidi" w:hAnsiTheme="minorBidi"/>
          <w:sz w:val="20"/>
          <w:szCs w:val="20"/>
        </w:rPr>
        <w:t>.</w:t>
      </w:r>
      <w:r w:rsidR="00F823CF" w:rsidRPr="00827CF2">
        <w:rPr>
          <w:rFonts w:asciiTheme="minorBidi" w:hAnsiTheme="minorBidi"/>
          <w:sz w:val="20"/>
          <w:szCs w:val="20"/>
        </w:rPr>
        <w:t xml:space="preserve"> Thus, it is imperative for India to adopt Green Budgeting at the national and sub-national levels to achieve its environment and climate change objectives and commitments.</w:t>
      </w:r>
    </w:p>
    <w:p w14:paraId="167DAA7A" w14:textId="7362D97F" w:rsidR="00AE1E23" w:rsidRPr="00827CF2" w:rsidRDefault="004A27C1" w:rsidP="00C532A6">
      <w:pPr>
        <w:pStyle w:val="Caption"/>
        <w:keepNext/>
        <w:spacing w:line="276" w:lineRule="auto"/>
        <w:jc w:val="both"/>
        <w:rPr>
          <w:rFonts w:asciiTheme="minorBidi" w:hAnsiTheme="minorBidi"/>
          <w:sz w:val="20"/>
          <w:szCs w:val="20"/>
        </w:rPr>
      </w:pPr>
      <w:r w:rsidRPr="00827CF2">
        <w:rPr>
          <w:rFonts w:asciiTheme="minorBidi" w:hAnsiTheme="minorBidi"/>
          <w:sz w:val="20"/>
          <w:szCs w:val="20"/>
        </w:rPr>
        <w:lastRenderedPageBreak/>
        <w:t>Figure</w:t>
      </w:r>
      <w:r w:rsidR="00C532A6" w:rsidRPr="00827CF2">
        <w:rPr>
          <w:rFonts w:asciiTheme="minorBidi" w:hAnsiTheme="minorBidi"/>
          <w:sz w:val="20"/>
          <w:szCs w:val="20"/>
        </w:rPr>
        <w:t xml:space="preserve"> </w:t>
      </w:r>
      <w:r w:rsidR="00107626" w:rsidRPr="00827CF2">
        <w:rPr>
          <w:rFonts w:asciiTheme="minorBidi" w:hAnsiTheme="minorBidi"/>
          <w:sz w:val="20"/>
          <w:szCs w:val="20"/>
        </w:rPr>
        <w:t>7</w:t>
      </w:r>
      <w:r w:rsidR="00BC140F" w:rsidRPr="00827CF2">
        <w:rPr>
          <w:rFonts w:asciiTheme="minorBidi" w:hAnsiTheme="minorBidi"/>
          <w:sz w:val="20"/>
          <w:szCs w:val="20"/>
        </w:rPr>
        <w:t>:</w:t>
      </w:r>
      <w:r w:rsidRPr="00827CF2">
        <w:rPr>
          <w:rFonts w:asciiTheme="minorBidi" w:hAnsiTheme="minorBidi"/>
          <w:sz w:val="20"/>
          <w:szCs w:val="20"/>
        </w:rPr>
        <w:t xml:space="preserve"> </w:t>
      </w:r>
      <w:r w:rsidR="00393724" w:rsidRPr="00827CF2">
        <w:rPr>
          <w:rFonts w:asciiTheme="minorBidi" w:hAnsiTheme="minorBidi"/>
          <w:sz w:val="20"/>
          <w:szCs w:val="20"/>
        </w:rPr>
        <w:t xml:space="preserve">Tracked green investment </w:t>
      </w:r>
      <w:r w:rsidR="00E95FE5" w:rsidRPr="00827CF2">
        <w:rPr>
          <w:rFonts w:asciiTheme="minorBidi" w:hAnsiTheme="minorBidi"/>
          <w:sz w:val="20"/>
          <w:szCs w:val="20"/>
        </w:rPr>
        <w:t xml:space="preserve">vs </w:t>
      </w:r>
      <w:r w:rsidR="00573FD1" w:rsidRPr="00827CF2">
        <w:rPr>
          <w:rFonts w:asciiTheme="minorBidi" w:hAnsiTheme="minorBidi"/>
          <w:sz w:val="20"/>
          <w:szCs w:val="20"/>
        </w:rPr>
        <w:t xml:space="preserve">the </w:t>
      </w:r>
      <w:r w:rsidR="00393724" w:rsidRPr="00827CF2">
        <w:rPr>
          <w:rFonts w:asciiTheme="minorBidi" w:hAnsiTheme="minorBidi"/>
          <w:sz w:val="20"/>
          <w:szCs w:val="20"/>
        </w:rPr>
        <w:t>estimated requirements to meet current NDC (INR bn)</w:t>
      </w:r>
    </w:p>
    <w:p w14:paraId="0FC25096" w14:textId="399DEC93" w:rsidR="00BA3F49" w:rsidRPr="006E13CD" w:rsidRDefault="00AE1E23" w:rsidP="00F75549">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7A8985C9" wp14:editId="66E16B4E">
            <wp:extent cx="5731510" cy="3694430"/>
            <wp:effectExtent l="19050" t="19050" r="21590" b="20320"/>
            <wp:docPr id="894271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71218" name="Picture 894271218"/>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3694430"/>
                    </a:xfrm>
                    <a:prstGeom prst="rect">
                      <a:avLst/>
                    </a:prstGeom>
                    <a:ln>
                      <a:solidFill>
                        <a:schemeClr val="accent1"/>
                      </a:solidFill>
                    </a:ln>
                  </pic:spPr>
                </pic:pic>
              </a:graphicData>
            </a:graphic>
          </wp:inline>
        </w:drawing>
      </w:r>
    </w:p>
    <w:p w14:paraId="421A5162" w14:textId="7692CA1C" w:rsidR="00DD10F8" w:rsidRDefault="00A354A1" w:rsidP="00F75549">
      <w:pPr>
        <w:spacing w:line="276" w:lineRule="auto"/>
        <w:jc w:val="both"/>
        <w:rPr>
          <w:rFonts w:asciiTheme="minorBidi" w:hAnsiTheme="minorBidi"/>
          <w:i/>
          <w:sz w:val="20"/>
          <w:szCs w:val="20"/>
        </w:rPr>
      </w:pPr>
      <w:r w:rsidRPr="00827CF2">
        <w:rPr>
          <w:rFonts w:asciiTheme="minorBidi" w:hAnsiTheme="minorBidi"/>
          <w:i/>
          <w:sz w:val="20"/>
          <w:szCs w:val="20"/>
        </w:rPr>
        <w:t xml:space="preserve">Source - </w:t>
      </w:r>
      <w:r w:rsidR="00666647" w:rsidRPr="00827CF2">
        <w:rPr>
          <w:rFonts w:asciiTheme="minorBidi" w:hAnsiTheme="minorBidi"/>
          <w:i/>
          <w:sz w:val="20"/>
          <w:szCs w:val="20"/>
        </w:rPr>
        <w:t>Landscape of Green Finance in India 2024, CPI</w:t>
      </w:r>
      <w:r w:rsidR="003075E6" w:rsidRPr="00827CF2">
        <w:rPr>
          <w:rFonts w:asciiTheme="minorBidi" w:hAnsiTheme="minorBidi"/>
          <w:i/>
          <w:sz w:val="20"/>
          <w:szCs w:val="20"/>
        </w:rPr>
        <w:t xml:space="preserve"> (2024)</w:t>
      </w:r>
    </w:p>
    <w:p w14:paraId="6B17A128" w14:textId="77777777" w:rsidR="00DD10F8" w:rsidRDefault="00DD10F8">
      <w:pPr>
        <w:rPr>
          <w:rFonts w:asciiTheme="minorBidi" w:hAnsiTheme="minorBidi"/>
          <w:i/>
          <w:sz w:val="20"/>
          <w:szCs w:val="20"/>
        </w:rPr>
      </w:pPr>
      <w:r>
        <w:rPr>
          <w:rFonts w:asciiTheme="minorBidi" w:hAnsiTheme="minorBidi"/>
          <w:i/>
          <w:sz w:val="20"/>
          <w:szCs w:val="20"/>
        </w:rPr>
        <w:br w:type="page"/>
      </w:r>
    </w:p>
    <w:p w14:paraId="1DD9DD28" w14:textId="65BFC271" w:rsidR="00824CF3" w:rsidRPr="00827CF2" w:rsidRDefault="00827CF2"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lastRenderedPageBreak/>
        <w:t>ASSESSMENT OF STATE-LEVEL GREEN BUDGETING PRACTICES IN INDIA</w:t>
      </w:r>
    </w:p>
    <w:p w14:paraId="1F168ABA" w14:textId="75C4F890" w:rsidR="00D0015F" w:rsidRPr="00827CF2" w:rsidRDefault="009602EF" w:rsidP="00F52789">
      <w:pPr>
        <w:spacing w:line="276" w:lineRule="auto"/>
        <w:jc w:val="both"/>
        <w:rPr>
          <w:rFonts w:asciiTheme="minorBidi" w:hAnsiTheme="minorBidi"/>
          <w:sz w:val="20"/>
          <w:szCs w:val="20"/>
        </w:rPr>
      </w:pPr>
      <w:r>
        <w:rPr>
          <w:rFonts w:asciiTheme="minorBidi" w:hAnsiTheme="minorBidi"/>
          <w:sz w:val="20"/>
          <w:szCs w:val="20"/>
        </w:rPr>
        <w:t>Currently, green budgeting is largely absent in India, both at the national and state levels</w:t>
      </w:r>
      <w:r w:rsidR="007A59C2" w:rsidRPr="00827CF2">
        <w:rPr>
          <w:rFonts w:asciiTheme="minorBidi" w:hAnsiTheme="minorBidi"/>
          <w:sz w:val="20"/>
          <w:szCs w:val="20"/>
        </w:rPr>
        <w:t>. The Union government of India has not yet adopted Green Budgeting</w:t>
      </w:r>
      <w:r w:rsidR="00270BD0">
        <w:rPr>
          <w:rFonts w:asciiTheme="minorBidi" w:hAnsiTheme="minorBidi"/>
          <w:sz w:val="20"/>
          <w:szCs w:val="20"/>
        </w:rPr>
        <w:t>,</w:t>
      </w:r>
      <w:r w:rsidR="007A59C2" w:rsidRPr="00827CF2">
        <w:rPr>
          <w:rFonts w:asciiTheme="minorBidi" w:hAnsiTheme="minorBidi"/>
          <w:sz w:val="20"/>
          <w:szCs w:val="20"/>
        </w:rPr>
        <w:t xml:space="preserve"> and </w:t>
      </w:r>
      <w:r w:rsidR="00270BD0">
        <w:rPr>
          <w:rFonts w:asciiTheme="minorBidi" w:hAnsiTheme="minorBidi"/>
          <w:sz w:val="20"/>
          <w:szCs w:val="20"/>
        </w:rPr>
        <w:t>till now,</w:t>
      </w:r>
      <w:r w:rsidR="007A59C2" w:rsidRPr="00827CF2">
        <w:rPr>
          <w:rFonts w:asciiTheme="minorBidi" w:hAnsiTheme="minorBidi"/>
          <w:sz w:val="20"/>
          <w:szCs w:val="20"/>
        </w:rPr>
        <w:t xml:space="preserve"> only 8 out of the 36 states and UTs in India have implemented Green/Climate Budgeting. Odisha achieved a milestone by becoming the first Indian state to implement Climate Budgeting in 2019-20. This was followed by Bihar, releasing its first Green Budget in 2020-21. Assam, Meghalaya, and </w:t>
      </w:r>
      <w:r w:rsidR="00870C4C">
        <w:rPr>
          <w:rFonts w:asciiTheme="minorBidi" w:hAnsiTheme="minorBidi"/>
          <w:sz w:val="20"/>
          <w:szCs w:val="20"/>
        </w:rPr>
        <w:t>Puducherry</w:t>
      </w:r>
      <w:r w:rsidR="007A59C2" w:rsidRPr="00827CF2">
        <w:rPr>
          <w:rFonts w:asciiTheme="minorBidi" w:hAnsiTheme="minorBidi"/>
          <w:sz w:val="20"/>
          <w:szCs w:val="20"/>
        </w:rPr>
        <w:t xml:space="preserve"> followed the league in 2023-24. Kerala and Uttar Pradesh implemented Green Budgeting in 2024-25</w:t>
      </w:r>
      <w:r w:rsidR="00DD44E8">
        <w:rPr>
          <w:rFonts w:asciiTheme="minorBidi" w:hAnsiTheme="minorBidi"/>
          <w:sz w:val="20"/>
          <w:szCs w:val="20"/>
        </w:rPr>
        <w:t>,</w:t>
      </w:r>
      <w:r w:rsidR="007A59C2" w:rsidRPr="00827CF2">
        <w:rPr>
          <w:rFonts w:asciiTheme="minorBidi" w:hAnsiTheme="minorBidi"/>
          <w:sz w:val="20"/>
          <w:szCs w:val="20"/>
        </w:rPr>
        <w:t xml:space="preserve"> and in the latest 2025-26 budget, Rajasthan also joined the league. However, since there is </w:t>
      </w:r>
      <w:r w:rsidR="007A59C2" w:rsidRPr="00827CF2">
        <w:rPr>
          <w:rFonts w:asciiTheme="minorBidi" w:hAnsiTheme="minorBidi"/>
          <w:b/>
          <w:sz w:val="20"/>
          <w:szCs w:val="20"/>
        </w:rPr>
        <w:t>no uniform</w:t>
      </w:r>
      <w:r w:rsidR="00AE3DAC">
        <w:rPr>
          <w:rFonts w:asciiTheme="minorBidi" w:hAnsiTheme="minorBidi"/>
          <w:b/>
          <w:sz w:val="20"/>
          <w:szCs w:val="20"/>
        </w:rPr>
        <w:t>, nationally determined Green Budgeting framework in India, different states are using various frameworks and methodologies to frame their Green/Climate Budgets, resulting in</w:t>
      </w:r>
      <w:r w:rsidR="007A59C2" w:rsidRPr="00827CF2">
        <w:rPr>
          <w:rFonts w:asciiTheme="minorBidi" w:hAnsiTheme="minorBidi"/>
          <w:sz w:val="20"/>
          <w:szCs w:val="20"/>
        </w:rPr>
        <w:t xml:space="preserve"> discrepancies. Some states have aligned their Green/Climate Budget with their SAPCC</w:t>
      </w:r>
      <w:r w:rsidR="00C92DEE">
        <w:rPr>
          <w:rFonts w:asciiTheme="minorBidi" w:hAnsiTheme="minorBidi"/>
          <w:sz w:val="20"/>
          <w:szCs w:val="20"/>
        </w:rPr>
        <w:t>,</w:t>
      </w:r>
      <w:r w:rsidR="007A59C2" w:rsidRPr="00827CF2">
        <w:rPr>
          <w:rFonts w:asciiTheme="minorBidi" w:hAnsiTheme="minorBidi"/>
          <w:sz w:val="20"/>
          <w:szCs w:val="20"/>
        </w:rPr>
        <w:t xml:space="preserve"> while others have not</w:t>
      </w:r>
      <w:r w:rsidR="00D964B6">
        <w:rPr>
          <w:rFonts w:asciiTheme="minorBidi" w:hAnsiTheme="minorBidi"/>
          <w:sz w:val="20"/>
          <w:szCs w:val="20"/>
        </w:rPr>
        <w:t>. Some</w:t>
      </w:r>
      <w:r w:rsidR="007A59C2" w:rsidRPr="00827CF2">
        <w:rPr>
          <w:rFonts w:asciiTheme="minorBidi" w:hAnsiTheme="minorBidi"/>
          <w:sz w:val="20"/>
          <w:szCs w:val="20"/>
        </w:rPr>
        <w:t xml:space="preserve"> have </w:t>
      </w:r>
      <w:r w:rsidR="00E277F7">
        <w:rPr>
          <w:rFonts w:asciiTheme="minorBidi" w:hAnsiTheme="minorBidi"/>
          <w:sz w:val="20"/>
          <w:szCs w:val="20"/>
        </w:rPr>
        <w:t xml:space="preserve">employed scientific methodologies to identify schemes with green components and determine their weightage, while others have followed a </w:t>
      </w:r>
      <w:r w:rsidR="00625A07">
        <w:rPr>
          <w:rFonts w:asciiTheme="minorBidi" w:hAnsiTheme="minorBidi"/>
          <w:sz w:val="20"/>
          <w:szCs w:val="20"/>
        </w:rPr>
        <w:t>simpler approach. Some have used Rio Markers or CPEIR methodology to categorise the green schemes and colour code them,</w:t>
      </w:r>
      <w:r w:rsidR="007A59C2" w:rsidRPr="00827CF2">
        <w:rPr>
          <w:rFonts w:asciiTheme="minorBidi" w:hAnsiTheme="minorBidi"/>
          <w:sz w:val="20"/>
          <w:szCs w:val="20"/>
        </w:rPr>
        <w:t xml:space="preserve"> while others have not</w:t>
      </w:r>
      <w:r w:rsidR="005A02E8" w:rsidRPr="00827CF2">
        <w:rPr>
          <w:rFonts w:asciiTheme="minorBidi" w:hAnsiTheme="minorBidi"/>
          <w:sz w:val="20"/>
          <w:szCs w:val="20"/>
        </w:rPr>
        <w:t xml:space="preserve">. </w:t>
      </w:r>
    </w:p>
    <w:p w14:paraId="0168FE08" w14:textId="22F06F68" w:rsidR="00D0015F" w:rsidRPr="00827CF2" w:rsidRDefault="006C3CE4" w:rsidP="00F52789">
      <w:pPr>
        <w:spacing w:line="276" w:lineRule="auto"/>
        <w:jc w:val="both"/>
        <w:rPr>
          <w:rFonts w:asciiTheme="minorBidi" w:hAnsiTheme="minorBidi"/>
          <w:sz w:val="20"/>
          <w:szCs w:val="20"/>
        </w:rPr>
      </w:pPr>
      <w:r w:rsidRPr="00827CF2">
        <w:rPr>
          <w:rStyle w:val="Strong"/>
          <w:rFonts w:asciiTheme="minorBidi" w:hAnsiTheme="minorBidi"/>
          <w:sz w:val="20"/>
          <w:szCs w:val="20"/>
        </w:rPr>
        <w:t>Sustainable Development Goal (</w:t>
      </w:r>
      <w:r w:rsidR="00D0015F" w:rsidRPr="00827CF2">
        <w:rPr>
          <w:rStyle w:val="Strong"/>
          <w:rFonts w:asciiTheme="minorBidi" w:hAnsiTheme="minorBidi"/>
          <w:sz w:val="20"/>
          <w:szCs w:val="20"/>
        </w:rPr>
        <w:t>SDG</w:t>
      </w:r>
      <w:r w:rsidRPr="00827CF2">
        <w:rPr>
          <w:rStyle w:val="Strong"/>
          <w:rFonts w:asciiTheme="minorBidi" w:hAnsiTheme="minorBidi"/>
          <w:sz w:val="20"/>
          <w:szCs w:val="20"/>
        </w:rPr>
        <w:t>)</w:t>
      </w:r>
      <w:r w:rsidR="00D0015F" w:rsidRPr="00827CF2">
        <w:rPr>
          <w:rStyle w:val="Strong"/>
          <w:rFonts w:asciiTheme="minorBidi" w:hAnsiTheme="minorBidi"/>
          <w:sz w:val="20"/>
          <w:szCs w:val="20"/>
        </w:rPr>
        <w:t xml:space="preserve"> </w:t>
      </w:r>
      <w:r w:rsidR="003B30F4" w:rsidRPr="00827CF2">
        <w:rPr>
          <w:rStyle w:val="Strong"/>
          <w:rFonts w:asciiTheme="minorBidi" w:hAnsiTheme="minorBidi"/>
          <w:sz w:val="20"/>
          <w:szCs w:val="20"/>
        </w:rPr>
        <w:t>mapping</w:t>
      </w:r>
      <w:r w:rsidR="00D0015F" w:rsidRPr="00827CF2">
        <w:rPr>
          <w:rFonts w:asciiTheme="minorBidi" w:hAnsiTheme="minorBidi"/>
          <w:sz w:val="20"/>
          <w:szCs w:val="20"/>
        </w:rPr>
        <w:t xml:space="preserve"> is largely absent across state budgets. Linking Green Budgeting with SDG tracking enables better assessment of budget gaps and supports integrated planning and financing. </w:t>
      </w:r>
      <w:r w:rsidR="007C4792" w:rsidRPr="00827CF2">
        <w:rPr>
          <w:rFonts w:asciiTheme="minorBidi" w:hAnsiTheme="minorBidi"/>
          <w:sz w:val="20"/>
          <w:szCs w:val="20"/>
        </w:rPr>
        <w:t xml:space="preserve">For example, Bihar has </w:t>
      </w:r>
      <w:r w:rsidR="00264B92" w:rsidRPr="00827CF2">
        <w:rPr>
          <w:rFonts w:asciiTheme="minorBidi" w:hAnsiTheme="minorBidi"/>
          <w:sz w:val="20"/>
          <w:szCs w:val="20"/>
        </w:rPr>
        <w:t xml:space="preserve">included SDG </w:t>
      </w:r>
      <w:r w:rsidR="009E44EB" w:rsidRPr="00827CF2">
        <w:rPr>
          <w:rFonts w:asciiTheme="minorBidi" w:hAnsiTheme="minorBidi"/>
          <w:sz w:val="20"/>
          <w:szCs w:val="20"/>
        </w:rPr>
        <w:t>mapping</w:t>
      </w:r>
      <w:r w:rsidR="00264B92" w:rsidRPr="00827CF2">
        <w:rPr>
          <w:rFonts w:asciiTheme="minorBidi" w:hAnsiTheme="minorBidi"/>
          <w:sz w:val="20"/>
          <w:szCs w:val="20"/>
        </w:rPr>
        <w:t xml:space="preserve"> of its green expenditures</w:t>
      </w:r>
      <w:r w:rsidR="00D0015F" w:rsidRPr="00827CF2">
        <w:rPr>
          <w:rFonts w:asciiTheme="minorBidi" w:hAnsiTheme="minorBidi"/>
          <w:sz w:val="20"/>
          <w:szCs w:val="20"/>
        </w:rPr>
        <w:t xml:space="preserve"> </w:t>
      </w:r>
      <w:r w:rsidR="008723DA" w:rsidRPr="00827CF2">
        <w:rPr>
          <w:rFonts w:asciiTheme="minorBidi" w:hAnsiTheme="minorBidi"/>
          <w:sz w:val="20"/>
          <w:szCs w:val="20"/>
        </w:rPr>
        <w:t xml:space="preserve">in </w:t>
      </w:r>
      <w:r w:rsidR="00A551EB" w:rsidRPr="00827CF2">
        <w:rPr>
          <w:rFonts w:asciiTheme="minorBidi" w:hAnsiTheme="minorBidi"/>
          <w:sz w:val="20"/>
          <w:szCs w:val="20"/>
        </w:rPr>
        <w:t>the Green Budget.</w:t>
      </w:r>
      <w:r w:rsidR="00D0015F" w:rsidRPr="00827CF2">
        <w:rPr>
          <w:rFonts w:asciiTheme="minorBidi" w:hAnsiTheme="minorBidi"/>
          <w:sz w:val="20"/>
          <w:szCs w:val="20"/>
        </w:rPr>
        <w:t xml:space="preserve"> </w:t>
      </w:r>
      <w:r w:rsidR="00D43120" w:rsidRPr="00827CF2">
        <w:rPr>
          <w:rFonts w:asciiTheme="minorBidi" w:hAnsiTheme="minorBidi"/>
          <w:sz w:val="20"/>
          <w:szCs w:val="20"/>
        </w:rPr>
        <w:t xml:space="preserve">Incorporating </w:t>
      </w:r>
      <w:r w:rsidR="00361AF3">
        <w:rPr>
          <w:rFonts w:asciiTheme="minorBidi" w:hAnsiTheme="minorBidi"/>
          <w:sz w:val="20"/>
          <w:szCs w:val="20"/>
        </w:rPr>
        <w:t>a gender dimension into green budgeting is crucial,</w:t>
      </w:r>
      <w:r w:rsidR="00CE15B4" w:rsidRPr="00827CF2">
        <w:rPr>
          <w:rFonts w:asciiTheme="minorBidi" w:hAnsiTheme="minorBidi"/>
          <w:sz w:val="20"/>
          <w:szCs w:val="20"/>
        </w:rPr>
        <w:t xml:space="preserve"> a</w:t>
      </w:r>
      <w:r w:rsidR="00D0015F" w:rsidRPr="00827CF2">
        <w:rPr>
          <w:rFonts w:asciiTheme="minorBidi" w:hAnsiTheme="minorBidi"/>
          <w:sz w:val="20"/>
          <w:szCs w:val="20"/>
        </w:rPr>
        <w:t xml:space="preserve">s climate risks disproportionately affect women, </w:t>
      </w:r>
      <w:r w:rsidR="00417E50" w:rsidRPr="00827CF2">
        <w:rPr>
          <w:rFonts w:asciiTheme="minorBidi" w:hAnsiTheme="minorBidi"/>
          <w:sz w:val="20"/>
          <w:szCs w:val="20"/>
        </w:rPr>
        <w:t>thereby</w:t>
      </w:r>
      <w:r w:rsidR="00D0015F" w:rsidRPr="00827CF2">
        <w:rPr>
          <w:rFonts w:asciiTheme="minorBidi" w:hAnsiTheme="minorBidi"/>
          <w:sz w:val="20"/>
          <w:szCs w:val="20"/>
        </w:rPr>
        <w:t xml:space="preserve"> enhanc</w:t>
      </w:r>
      <w:r w:rsidR="00C12CE1" w:rsidRPr="00827CF2">
        <w:rPr>
          <w:rFonts w:asciiTheme="minorBidi" w:hAnsiTheme="minorBidi"/>
          <w:sz w:val="20"/>
          <w:szCs w:val="20"/>
        </w:rPr>
        <w:t>ing</w:t>
      </w:r>
      <w:r w:rsidR="00D0015F" w:rsidRPr="00827CF2">
        <w:rPr>
          <w:rFonts w:asciiTheme="minorBidi" w:hAnsiTheme="minorBidi"/>
          <w:sz w:val="20"/>
          <w:szCs w:val="20"/>
        </w:rPr>
        <w:t xml:space="preserve"> equity and resilience. The </w:t>
      </w:r>
      <w:proofErr w:type="spellStart"/>
      <w:r w:rsidR="00D0015F" w:rsidRPr="00827CF2">
        <w:rPr>
          <w:rFonts w:asciiTheme="minorBidi" w:hAnsiTheme="minorBidi"/>
          <w:sz w:val="20"/>
          <w:szCs w:val="20"/>
        </w:rPr>
        <w:t>Pradhan</w:t>
      </w:r>
      <w:proofErr w:type="spellEnd"/>
      <w:r w:rsidR="00D0015F" w:rsidRPr="00827CF2">
        <w:rPr>
          <w:rFonts w:asciiTheme="minorBidi" w:hAnsiTheme="minorBidi"/>
          <w:sz w:val="20"/>
          <w:szCs w:val="20"/>
        </w:rPr>
        <w:t xml:space="preserve"> </w:t>
      </w:r>
      <w:proofErr w:type="spellStart"/>
      <w:r w:rsidR="00D0015F" w:rsidRPr="00827CF2">
        <w:rPr>
          <w:rFonts w:asciiTheme="minorBidi" w:hAnsiTheme="minorBidi"/>
          <w:sz w:val="20"/>
          <w:szCs w:val="20"/>
        </w:rPr>
        <w:t>Mantri</w:t>
      </w:r>
      <w:proofErr w:type="spellEnd"/>
      <w:r w:rsidR="00D0015F" w:rsidRPr="00827CF2">
        <w:rPr>
          <w:rFonts w:asciiTheme="minorBidi" w:hAnsiTheme="minorBidi"/>
          <w:sz w:val="20"/>
          <w:szCs w:val="20"/>
        </w:rPr>
        <w:t xml:space="preserve"> </w:t>
      </w:r>
      <w:proofErr w:type="spellStart"/>
      <w:r w:rsidR="00D0015F" w:rsidRPr="00827CF2">
        <w:rPr>
          <w:rFonts w:asciiTheme="minorBidi" w:hAnsiTheme="minorBidi"/>
          <w:sz w:val="20"/>
          <w:szCs w:val="20"/>
        </w:rPr>
        <w:t>Ujjwala</w:t>
      </w:r>
      <w:proofErr w:type="spellEnd"/>
      <w:r w:rsidR="00D0015F" w:rsidRPr="00827CF2">
        <w:rPr>
          <w:rFonts w:asciiTheme="minorBidi" w:hAnsiTheme="minorBidi"/>
          <w:sz w:val="20"/>
          <w:szCs w:val="20"/>
        </w:rPr>
        <w:t xml:space="preserve"> </w:t>
      </w:r>
      <w:proofErr w:type="spellStart"/>
      <w:r w:rsidR="00D0015F" w:rsidRPr="00827CF2">
        <w:rPr>
          <w:rFonts w:asciiTheme="minorBidi" w:hAnsiTheme="minorBidi"/>
          <w:sz w:val="20"/>
          <w:szCs w:val="20"/>
        </w:rPr>
        <w:t>Yojana</w:t>
      </w:r>
      <w:proofErr w:type="spellEnd"/>
      <w:r w:rsidR="00D0015F" w:rsidRPr="00827CF2">
        <w:rPr>
          <w:rFonts w:asciiTheme="minorBidi" w:hAnsiTheme="minorBidi"/>
          <w:sz w:val="20"/>
          <w:szCs w:val="20"/>
        </w:rPr>
        <w:t xml:space="preserve"> is a notable example </w:t>
      </w:r>
      <w:r w:rsidR="004B01F6">
        <w:rPr>
          <w:rFonts w:asciiTheme="minorBidi" w:hAnsiTheme="minorBidi"/>
          <w:sz w:val="20"/>
          <w:szCs w:val="20"/>
        </w:rPr>
        <w:t>that addresses</w:t>
      </w:r>
      <w:r w:rsidR="00D0015F" w:rsidRPr="00827CF2">
        <w:rPr>
          <w:rFonts w:asciiTheme="minorBidi" w:hAnsiTheme="minorBidi"/>
          <w:sz w:val="20"/>
          <w:szCs w:val="20"/>
        </w:rPr>
        <w:t xml:space="preserve"> both gender and environmental objectives.</w:t>
      </w:r>
    </w:p>
    <w:p w14:paraId="7C5B3879" w14:textId="6691A29B" w:rsidR="00126718" w:rsidRPr="00827CF2" w:rsidRDefault="00284F54" w:rsidP="00F52789">
      <w:pPr>
        <w:spacing w:line="276" w:lineRule="auto"/>
        <w:jc w:val="both"/>
        <w:rPr>
          <w:rFonts w:asciiTheme="minorBidi" w:hAnsiTheme="minorBidi"/>
          <w:sz w:val="20"/>
          <w:szCs w:val="20"/>
        </w:rPr>
      </w:pPr>
      <w:r w:rsidRPr="00827CF2">
        <w:rPr>
          <w:rStyle w:val="Strong"/>
          <w:rFonts w:asciiTheme="minorBidi" w:hAnsiTheme="minorBidi"/>
          <w:sz w:val="20"/>
          <w:szCs w:val="20"/>
        </w:rPr>
        <w:t>Capacity building and institutional readiness</w:t>
      </w:r>
      <w:r w:rsidRPr="00827CF2">
        <w:rPr>
          <w:rFonts w:asciiTheme="minorBidi" w:hAnsiTheme="minorBidi"/>
          <w:sz w:val="20"/>
          <w:szCs w:val="20"/>
        </w:rPr>
        <w:t xml:space="preserve"> remain major challenges. Most states have limited technical know-how, with little emphasis on training, research, or peer learning. Moreover, Green Budgets often account only for programs with direct environmental benefits, overlooking schemes with </w:t>
      </w:r>
      <w:r w:rsidRPr="00827CF2">
        <w:rPr>
          <w:rStyle w:val="Strong"/>
          <w:rFonts w:asciiTheme="minorBidi" w:hAnsiTheme="minorBidi"/>
          <w:sz w:val="20"/>
          <w:szCs w:val="20"/>
        </w:rPr>
        <w:t>negative or indirect environmental impacts</w:t>
      </w:r>
      <w:r w:rsidRPr="00827CF2">
        <w:rPr>
          <w:rFonts w:asciiTheme="minorBidi" w:hAnsiTheme="minorBidi"/>
          <w:sz w:val="20"/>
          <w:szCs w:val="20"/>
        </w:rPr>
        <w:t xml:space="preserve">. This narrows the policy lens and prevents </w:t>
      </w:r>
      <w:r w:rsidR="00AC22E0">
        <w:rPr>
          <w:rFonts w:asciiTheme="minorBidi" w:hAnsiTheme="minorBidi"/>
          <w:sz w:val="20"/>
          <w:szCs w:val="20"/>
        </w:rPr>
        <w:t xml:space="preserve">a </w:t>
      </w:r>
      <w:r w:rsidRPr="00827CF2">
        <w:rPr>
          <w:rFonts w:asciiTheme="minorBidi" w:hAnsiTheme="minorBidi"/>
          <w:sz w:val="20"/>
          <w:szCs w:val="20"/>
        </w:rPr>
        <w:t>comprehensive environmental assessment. For example, fossil fuel subsidies—harmful to the environment—are typically excluded</w:t>
      </w:r>
      <w:r w:rsidR="00D56E58">
        <w:rPr>
          <w:rFonts w:asciiTheme="minorBidi" w:hAnsiTheme="minorBidi"/>
          <w:sz w:val="20"/>
          <w:szCs w:val="20"/>
        </w:rPr>
        <w:t xml:space="preserve"> from consideration</w:t>
      </w:r>
      <w:r w:rsidRPr="00827CF2">
        <w:rPr>
          <w:rFonts w:asciiTheme="minorBidi" w:hAnsiTheme="minorBidi"/>
          <w:sz w:val="20"/>
          <w:szCs w:val="20"/>
        </w:rPr>
        <w:t>.</w:t>
      </w:r>
    </w:p>
    <w:p w14:paraId="465E8D30" w14:textId="4DC4CE87" w:rsidR="00F52789" w:rsidRPr="00827CF2" w:rsidRDefault="002B46C5" w:rsidP="00E857DF">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Most states in India still </w:t>
      </w:r>
      <w:r w:rsidR="00226745" w:rsidRPr="00827CF2">
        <w:rPr>
          <w:rFonts w:asciiTheme="minorBidi" w:eastAsia="Times New Roman" w:hAnsiTheme="minorBidi"/>
          <w:kern w:val="0"/>
          <w:sz w:val="20"/>
          <w:szCs w:val="20"/>
          <w:lang w:val="en-US"/>
          <w14:ligatures w14:val="none"/>
        </w:rPr>
        <w:t xml:space="preserve">concentrate on the traditional sources of </w:t>
      </w:r>
      <w:r w:rsidR="00F00B78" w:rsidRPr="00827CF2">
        <w:rPr>
          <w:rFonts w:asciiTheme="minorBidi" w:eastAsia="Times New Roman" w:hAnsiTheme="minorBidi"/>
          <w:kern w:val="0"/>
          <w:sz w:val="20"/>
          <w:szCs w:val="20"/>
          <w:lang w:val="en-US"/>
          <w14:ligatures w14:val="none"/>
        </w:rPr>
        <w:t>climate finance</w:t>
      </w:r>
      <w:r w:rsidR="00AA783F" w:rsidRPr="00827CF2">
        <w:rPr>
          <w:rFonts w:asciiTheme="minorBidi" w:eastAsia="Times New Roman" w:hAnsiTheme="minorBidi"/>
          <w:kern w:val="0"/>
          <w:sz w:val="20"/>
          <w:szCs w:val="20"/>
          <w:lang w:val="en-US"/>
          <w14:ligatures w14:val="none"/>
        </w:rPr>
        <w:t>. States</w:t>
      </w:r>
      <w:r w:rsidR="00522609" w:rsidRPr="00827CF2">
        <w:rPr>
          <w:rFonts w:asciiTheme="minorBidi" w:eastAsia="Times New Roman" w:hAnsiTheme="minorBidi"/>
          <w:kern w:val="0"/>
          <w:sz w:val="20"/>
          <w:szCs w:val="20"/>
          <w:lang w:val="en-US"/>
          <w14:ligatures w14:val="none"/>
        </w:rPr>
        <w:t xml:space="preserve"> should explore </w:t>
      </w:r>
      <w:r w:rsidR="005B3A2C">
        <w:rPr>
          <w:rFonts w:asciiTheme="minorBidi" w:eastAsia="Times New Roman" w:hAnsiTheme="minorBidi"/>
          <w:kern w:val="0"/>
          <w:sz w:val="20"/>
          <w:szCs w:val="20"/>
          <w:lang w:val="en-US"/>
          <w14:ligatures w14:val="none"/>
        </w:rPr>
        <w:t>new climate financing approaches, such as public-private partnerships (PPPs) and international cooperation. Green Budgets can be leveraged for this purpose,</w:t>
      </w:r>
      <w:r w:rsidR="003B2EFC" w:rsidRPr="00827CF2">
        <w:rPr>
          <w:rFonts w:asciiTheme="minorBidi" w:eastAsia="Times New Roman" w:hAnsiTheme="minorBidi"/>
          <w:kern w:val="0"/>
          <w:sz w:val="20"/>
          <w:szCs w:val="20"/>
          <w:lang w:val="en-US"/>
          <w14:ligatures w14:val="none"/>
        </w:rPr>
        <w:t xml:space="preserve"> as they promote tr</w:t>
      </w:r>
      <w:r w:rsidR="004759B5" w:rsidRPr="00827CF2">
        <w:rPr>
          <w:rFonts w:asciiTheme="minorBidi" w:eastAsia="Times New Roman" w:hAnsiTheme="minorBidi"/>
          <w:kern w:val="0"/>
          <w:sz w:val="20"/>
          <w:szCs w:val="20"/>
          <w:lang w:val="en-US"/>
          <w14:ligatures w14:val="none"/>
        </w:rPr>
        <w:t xml:space="preserve">ansparency </w:t>
      </w:r>
      <w:r w:rsidR="0090243A" w:rsidRPr="00827CF2">
        <w:rPr>
          <w:rFonts w:asciiTheme="minorBidi" w:eastAsia="Times New Roman" w:hAnsiTheme="minorBidi"/>
          <w:kern w:val="0"/>
          <w:sz w:val="20"/>
          <w:szCs w:val="20"/>
          <w:lang w:val="en-US"/>
          <w14:ligatures w14:val="none"/>
        </w:rPr>
        <w:t>and accountability</w:t>
      </w:r>
      <w:r w:rsidR="00A252F0" w:rsidRPr="00827CF2">
        <w:rPr>
          <w:rFonts w:asciiTheme="minorBidi" w:eastAsia="Times New Roman" w:hAnsiTheme="minorBidi"/>
          <w:kern w:val="0"/>
          <w:sz w:val="20"/>
          <w:szCs w:val="20"/>
          <w:lang w:val="en-US"/>
          <w14:ligatures w14:val="none"/>
        </w:rPr>
        <w:t xml:space="preserve">. For instance, </w:t>
      </w:r>
      <w:r w:rsidR="00F52789" w:rsidRPr="00827CF2">
        <w:rPr>
          <w:rFonts w:asciiTheme="minorBidi" w:eastAsia="Times New Roman" w:hAnsiTheme="minorBidi"/>
          <w:kern w:val="0"/>
          <w:sz w:val="20"/>
          <w:szCs w:val="20"/>
          <w:lang w:val="en-US"/>
          <w14:ligatures w14:val="none"/>
        </w:rPr>
        <w:t xml:space="preserve">Odisha’s </w:t>
      </w:r>
      <w:r w:rsidR="003C31CC" w:rsidRPr="00827CF2">
        <w:rPr>
          <w:rFonts w:asciiTheme="minorBidi" w:eastAsia="Times New Roman" w:hAnsiTheme="minorBidi"/>
          <w:kern w:val="0"/>
          <w:sz w:val="20"/>
          <w:szCs w:val="20"/>
          <w:lang w:val="en-US"/>
          <w14:ligatures w14:val="none"/>
        </w:rPr>
        <w:t>Climate</w:t>
      </w:r>
      <w:r w:rsidR="00F52789" w:rsidRPr="00827CF2">
        <w:rPr>
          <w:rFonts w:asciiTheme="minorBidi" w:eastAsia="Times New Roman" w:hAnsiTheme="minorBidi"/>
          <w:kern w:val="0"/>
          <w:sz w:val="20"/>
          <w:szCs w:val="20"/>
          <w:lang w:val="en-US"/>
          <w14:ligatures w14:val="none"/>
        </w:rPr>
        <w:t xml:space="preserve"> Budget promotes </w:t>
      </w:r>
      <w:r w:rsidR="00F52789" w:rsidRPr="00827CF2">
        <w:rPr>
          <w:rFonts w:asciiTheme="minorBidi" w:eastAsia="Times New Roman" w:hAnsiTheme="minorBidi"/>
          <w:b/>
          <w:kern w:val="0"/>
          <w:sz w:val="20"/>
          <w:szCs w:val="20"/>
          <w:lang w:val="en-US"/>
          <w14:ligatures w14:val="none"/>
        </w:rPr>
        <w:t>PPPs and international cooperation</w:t>
      </w:r>
      <w:r w:rsidR="00F52789" w:rsidRPr="00827CF2">
        <w:rPr>
          <w:rFonts w:asciiTheme="minorBidi" w:eastAsia="Times New Roman" w:hAnsiTheme="minorBidi"/>
          <w:kern w:val="0"/>
          <w:sz w:val="20"/>
          <w:szCs w:val="20"/>
          <w:lang w:val="en-US"/>
          <w14:ligatures w14:val="none"/>
        </w:rPr>
        <w:t xml:space="preserve"> for climate finance. </w:t>
      </w:r>
    </w:p>
    <w:p w14:paraId="345B4BB2" w14:textId="769B0B1D" w:rsidR="00F52789" w:rsidRPr="00827CF2" w:rsidRDefault="00F52789" w:rsidP="00D650B0">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Finally, a </w:t>
      </w:r>
      <w:r w:rsidRPr="00827CF2">
        <w:rPr>
          <w:rFonts w:asciiTheme="minorBidi" w:eastAsia="Times New Roman" w:hAnsiTheme="minorBidi"/>
          <w:b/>
          <w:kern w:val="0"/>
          <w:sz w:val="20"/>
          <w:szCs w:val="20"/>
          <w:lang w:val="en-US"/>
          <w14:ligatures w14:val="none"/>
        </w:rPr>
        <w:t>national oversight mechanism</w:t>
      </w:r>
      <w:r w:rsidR="00EA3D37" w:rsidRPr="00827CF2">
        <w:rPr>
          <w:rFonts w:asciiTheme="minorBidi" w:eastAsia="Times New Roman" w:hAnsiTheme="minorBidi"/>
          <w:b/>
          <w:kern w:val="0"/>
          <w:sz w:val="20"/>
          <w:szCs w:val="20"/>
          <w:lang w:val="en-US"/>
          <w14:ligatures w14:val="none"/>
        </w:rPr>
        <w:t xml:space="preserve"> </w:t>
      </w:r>
      <w:r w:rsidRPr="00827CF2">
        <w:rPr>
          <w:rFonts w:asciiTheme="minorBidi" w:eastAsia="Times New Roman" w:hAnsiTheme="minorBidi"/>
          <w:kern w:val="0"/>
          <w:sz w:val="20"/>
          <w:szCs w:val="20"/>
          <w:lang w:val="en-US"/>
          <w14:ligatures w14:val="none"/>
        </w:rPr>
        <w:t xml:space="preserve">to monitor </w:t>
      </w:r>
      <w:r w:rsidR="001F60AD">
        <w:rPr>
          <w:rFonts w:asciiTheme="minorBidi" w:eastAsia="Times New Roman" w:hAnsiTheme="minorBidi"/>
          <w:kern w:val="0"/>
          <w:sz w:val="20"/>
          <w:szCs w:val="20"/>
          <w:lang w:val="en-US"/>
          <w14:ligatures w14:val="none"/>
        </w:rPr>
        <w:t xml:space="preserve">the implementation of Green Budgeting </w:t>
      </w:r>
      <w:r w:rsidR="0036190C" w:rsidRPr="00827CF2">
        <w:rPr>
          <w:rFonts w:asciiTheme="minorBidi" w:eastAsia="Times New Roman" w:hAnsiTheme="minorBidi"/>
          <w:kern w:val="0"/>
          <w:sz w:val="20"/>
          <w:szCs w:val="20"/>
          <w:lang w:val="en-US"/>
          <w14:ligatures w14:val="none"/>
        </w:rPr>
        <w:t>is largely</w:t>
      </w:r>
      <w:r w:rsidR="00554E4A" w:rsidRPr="00827CF2">
        <w:rPr>
          <w:rFonts w:asciiTheme="minorBidi" w:eastAsia="Times New Roman" w:hAnsiTheme="minorBidi"/>
          <w:kern w:val="0"/>
          <w:sz w:val="20"/>
          <w:szCs w:val="20"/>
          <w:lang w:val="en-US"/>
          <w14:ligatures w14:val="none"/>
        </w:rPr>
        <w:t xml:space="preserve"> absent</w:t>
      </w:r>
      <w:r w:rsidR="00857F0E" w:rsidRPr="00827CF2">
        <w:rPr>
          <w:rFonts w:asciiTheme="minorBidi" w:eastAsia="Times New Roman" w:hAnsiTheme="minorBidi"/>
          <w:kern w:val="0"/>
          <w:sz w:val="20"/>
          <w:szCs w:val="20"/>
          <w:lang w:val="en-US"/>
          <w14:ligatures w14:val="none"/>
        </w:rPr>
        <w:t xml:space="preserve"> in India</w:t>
      </w:r>
      <w:r w:rsidR="009C7092" w:rsidRPr="00827CF2">
        <w:rPr>
          <w:rFonts w:asciiTheme="minorBidi" w:eastAsia="Times New Roman" w:hAnsiTheme="minorBidi"/>
          <w:kern w:val="0"/>
          <w:sz w:val="20"/>
          <w:szCs w:val="20"/>
          <w:lang w:val="en-US"/>
          <w14:ligatures w14:val="none"/>
        </w:rPr>
        <w:t>. However</w:t>
      </w:r>
      <w:r w:rsidR="00DD5B77" w:rsidRPr="00827CF2">
        <w:rPr>
          <w:rFonts w:asciiTheme="minorBidi" w:eastAsia="Times New Roman" w:hAnsiTheme="minorBidi"/>
          <w:kern w:val="0"/>
          <w:sz w:val="20"/>
          <w:szCs w:val="20"/>
          <w:lang w:val="en-US"/>
          <w14:ligatures w14:val="none"/>
        </w:rPr>
        <w:t>,</w:t>
      </w:r>
      <w:r w:rsidR="009C7092" w:rsidRPr="00827CF2">
        <w:rPr>
          <w:rFonts w:asciiTheme="minorBidi" w:eastAsia="Times New Roman" w:hAnsiTheme="minorBidi"/>
          <w:kern w:val="0"/>
          <w:sz w:val="20"/>
          <w:szCs w:val="20"/>
          <w:lang w:val="en-US"/>
          <w14:ligatures w14:val="none"/>
        </w:rPr>
        <w:t xml:space="preserve"> it is essential </w:t>
      </w:r>
      <w:r w:rsidR="00332B1B" w:rsidRPr="00827CF2">
        <w:rPr>
          <w:rFonts w:asciiTheme="minorBidi" w:eastAsia="Times New Roman" w:hAnsiTheme="minorBidi"/>
          <w:kern w:val="0"/>
          <w:sz w:val="20"/>
          <w:szCs w:val="20"/>
          <w:lang w:val="en-US"/>
          <w14:ligatures w14:val="none"/>
        </w:rPr>
        <w:t xml:space="preserve">to </w:t>
      </w:r>
      <w:r w:rsidRPr="00827CF2">
        <w:rPr>
          <w:rFonts w:asciiTheme="minorBidi" w:eastAsia="Times New Roman" w:hAnsiTheme="minorBidi"/>
          <w:kern w:val="0"/>
          <w:sz w:val="20"/>
          <w:szCs w:val="20"/>
          <w:lang w:val="en-US"/>
          <w14:ligatures w14:val="none"/>
        </w:rPr>
        <w:t>ensure consistency</w:t>
      </w:r>
      <w:r w:rsidR="00AD133B" w:rsidRPr="00827CF2">
        <w:rPr>
          <w:rFonts w:asciiTheme="minorBidi" w:eastAsia="Times New Roman" w:hAnsiTheme="minorBidi"/>
          <w:kern w:val="0"/>
          <w:sz w:val="20"/>
          <w:szCs w:val="20"/>
          <w:lang w:val="en-US"/>
          <w14:ligatures w14:val="none"/>
        </w:rPr>
        <w:t xml:space="preserve"> </w:t>
      </w:r>
      <w:r w:rsidR="004D21C1">
        <w:rPr>
          <w:rFonts w:asciiTheme="minorBidi" w:eastAsia="Times New Roman" w:hAnsiTheme="minorBidi"/>
          <w:kern w:val="0"/>
          <w:sz w:val="20"/>
          <w:szCs w:val="20"/>
          <w:lang w:val="en-US"/>
          <w14:ligatures w14:val="none"/>
        </w:rPr>
        <w:t>and promote best practices;</w:t>
      </w:r>
      <w:r w:rsidR="00AD133B"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kern w:val="0"/>
          <w:sz w:val="20"/>
          <w:szCs w:val="20"/>
          <w:lang w:val="en-US"/>
          <w14:ligatures w14:val="none"/>
        </w:rPr>
        <w:t>many OECD countries</w:t>
      </w:r>
      <w:r w:rsidR="00AD133B" w:rsidRPr="00827CF2">
        <w:rPr>
          <w:rFonts w:asciiTheme="minorBidi" w:eastAsia="Times New Roman" w:hAnsiTheme="minorBidi"/>
          <w:kern w:val="0"/>
          <w:sz w:val="20"/>
          <w:szCs w:val="20"/>
          <w:lang w:val="en-US"/>
          <w14:ligatures w14:val="none"/>
        </w:rPr>
        <w:t xml:space="preserve"> have </w:t>
      </w:r>
      <w:r w:rsidR="008F47A5" w:rsidRPr="00827CF2">
        <w:rPr>
          <w:rFonts w:asciiTheme="minorBidi" w:eastAsia="Times New Roman" w:hAnsiTheme="minorBidi"/>
          <w:kern w:val="0"/>
          <w:sz w:val="20"/>
          <w:szCs w:val="20"/>
          <w:lang w:val="en-US"/>
          <w14:ligatures w14:val="none"/>
        </w:rPr>
        <w:t>implemented this</w:t>
      </w:r>
      <w:r w:rsidRPr="00827CF2">
        <w:rPr>
          <w:rFonts w:asciiTheme="minorBidi" w:eastAsia="Times New Roman" w:hAnsiTheme="minorBidi"/>
          <w:kern w:val="0"/>
          <w:sz w:val="20"/>
          <w:szCs w:val="20"/>
          <w:lang w:val="en-US"/>
          <w14:ligatures w14:val="none"/>
        </w:rPr>
        <w:t>.</w:t>
      </w:r>
    </w:p>
    <w:p w14:paraId="51D324DE" w14:textId="04A326D6" w:rsidR="000604E8" w:rsidRPr="00827CF2" w:rsidRDefault="00DA3313" w:rsidP="0069075E">
      <w:pPr>
        <w:pStyle w:val="Caption"/>
        <w:keepNext/>
        <w:spacing w:line="276" w:lineRule="auto"/>
        <w:jc w:val="both"/>
        <w:rPr>
          <w:rFonts w:asciiTheme="minorBidi" w:hAnsiTheme="minorBidi"/>
          <w:sz w:val="16"/>
          <w:szCs w:val="16"/>
        </w:rPr>
      </w:pPr>
      <w:r w:rsidRPr="00827CF2">
        <w:rPr>
          <w:rFonts w:asciiTheme="minorBidi" w:hAnsiTheme="minorBidi"/>
          <w:sz w:val="20"/>
          <w:szCs w:val="20"/>
        </w:rPr>
        <w:t>Figure</w:t>
      </w:r>
      <w:r w:rsidR="002A6C48" w:rsidRPr="00827CF2">
        <w:rPr>
          <w:rFonts w:asciiTheme="minorBidi" w:hAnsiTheme="minorBidi"/>
          <w:sz w:val="20"/>
          <w:szCs w:val="20"/>
        </w:rPr>
        <w:t xml:space="preserve"> 8:</w:t>
      </w:r>
      <w:r w:rsidRPr="00827CF2">
        <w:rPr>
          <w:rFonts w:asciiTheme="minorBidi" w:hAnsiTheme="minorBidi"/>
          <w:sz w:val="20"/>
          <w:szCs w:val="20"/>
        </w:rPr>
        <w:t xml:space="preserve"> Snapshot of </w:t>
      </w:r>
      <w:r w:rsidR="00F64523" w:rsidRPr="00827CF2">
        <w:rPr>
          <w:rFonts w:asciiTheme="minorBidi" w:hAnsiTheme="minorBidi"/>
          <w:sz w:val="20"/>
          <w:szCs w:val="20"/>
        </w:rPr>
        <w:t xml:space="preserve">key elements of </w:t>
      </w:r>
      <w:r w:rsidR="004D21C1">
        <w:rPr>
          <w:rFonts w:asciiTheme="minorBidi" w:hAnsiTheme="minorBidi"/>
          <w:sz w:val="20"/>
          <w:szCs w:val="20"/>
        </w:rPr>
        <w:t xml:space="preserve">the </w:t>
      </w:r>
      <w:r w:rsidRPr="00827CF2">
        <w:rPr>
          <w:rFonts w:asciiTheme="minorBidi" w:hAnsiTheme="minorBidi"/>
          <w:sz w:val="20"/>
          <w:szCs w:val="20"/>
        </w:rPr>
        <w:t>Green Budget in Indian States</w:t>
      </w:r>
      <w:r w:rsidR="00667726" w:rsidRPr="00827CF2">
        <w:rPr>
          <w:rFonts w:asciiTheme="minorBidi" w:hAnsiTheme="minorBidi"/>
          <w:sz w:val="20"/>
          <w:szCs w:val="20"/>
        </w:rPr>
        <w:t>/UTs</w:t>
      </w:r>
    </w:p>
    <w:tbl>
      <w:tblPr>
        <w:tblStyle w:val="PlainTable2"/>
        <w:tblW w:w="5000" w:type="pct"/>
        <w:tblLayout w:type="fixed"/>
        <w:tblLook w:val="04A0" w:firstRow="1" w:lastRow="0" w:firstColumn="1" w:lastColumn="0" w:noHBand="0" w:noVBand="1"/>
      </w:tblPr>
      <w:tblGrid>
        <w:gridCol w:w="1587"/>
        <w:gridCol w:w="1702"/>
        <w:gridCol w:w="1688"/>
        <w:gridCol w:w="1566"/>
        <w:gridCol w:w="1013"/>
        <w:gridCol w:w="1686"/>
      </w:tblGrid>
      <w:tr w:rsidR="00E264C4" w:rsidRPr="00827CF2" w14:paraId="09495DC3" w14:textId="77777777" w:rsidTr="00E264C4">
        <w:trPr>
          <w:cnfStyle w:val="100000000000" w:firstRow="1" w:lastRow="0" w:firstColumn="0" w:lastColumn="0" w:oddVBand="0" w:evenVBand="0" w:oddHBand="0"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859" w:type="pct"/>
            <w:shd w:val="clear" w:color="auto" w:fill="D9E2F3" w:themeFill="accent1" w:themeFillTint="33"/>
            <w:hideMark/>
          </w:tcPr>
          <w:p w14:paraId="7591537B"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Indian State/Union Territory</w:t>
            </w:r>
          </w:p>
        </w:tc>
        <w:tc>
          <w:tcPr>
            <w:tcW w:w="921" w:type="pct"/>
            <w:shd w:val="clear" w:color="auto" w:fill="D9E2F3" w:themeFill="accent1" w:themeFillTint="33"/>
            <w:hideMark/>
          </w:tcPr>
          <w:p w14:paraId="633C90CA" w14:textId="77777777" w:rsidR="00DE7EF6" w:rsidRPr="00827CF2" w:rsidRDefault="00DE7EF6" w:rsidP="00DE7EF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Presence of a defined strategy/action plan for climate change</w:t>
            </w:r>
          </w:p>
        </w:tc>
        <w:tc>
          <w:tcPr>
            <w:tcW w:w="913" w:type="pct"/>
            <w:shd w:val="clear" w:color="auto" w:fill="D9E2F3" w:themeFill="accent1" w:themeFillTint="33"/>
            <w:hideMark/>
          </w:tcPr>
          <w:p w14:paraId="258B8002" w14:textId="23F587FA" w:rsidR="00DE7EF6" w:rsidRPr="00827CF2" w:rsidRDefault="00DE7EF6" w:rsidP="00DE7EF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SDG mapping of Green Expenditures</w:t>
            </w:r>
          </w:p>
        </w:tc>
        <w:tc>
          <w:tcPr>
            <w:tcW w:w="847" w:type="pct"/>
            <w:shd w:val="clear" w:color="auto" w:fill="D9E2F3" w:themeFill="accent1" w:themeFillTint="33"/>
            <w:hideMark/>
          </w:tcPr>
          <w:p w14:paraId="73BA9268" w14:textId="77777777" w:rsidR="00DE7EF6" w:rsidRPr="00827CF2" w:rsidRDefault="00DE7EF6" w:rsidP="00DE7EF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Making Green Budget Gender Responsive</w:t>
            </w:r>
          </w:p>
        </w:tc>
        <w:tc>
          <w:tcPr>
            <w:tcW w:w="548" w:type="pct"/>
            <w:shd w:val="clear" w:color="auto" w:fill="D9E2F3" w:themeFill="accent1" w:themeFillTint="33"/>
            <w:hideMark/>
          </w:tcPr>
          <w:p w14:paraId="578F9D23" w14:textId="26571FB9" w:rsidR="00DE7EF6" w:rsidRPr="00827CF2" w:rsidRDefault="00DE7EF6" w:rsidP="00DE7EF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Encouraging </w:t>
            </w:r>
            <w:r w:rsidR="00266711">
              <w:rPr>
                <w:rFonts w:asciiTheme="minorBidi" w:eastAsia="Times New Roman" w:hAnsiTheme="minorBidi"/>
                <w:kern w:val="0"/>
                <w:sz w:val="20"/>
                <w:szCs w:val="20"/>
                <w:lang w:val="en-US"/>
                <w14:ligatures w14:val="none"/>
              </w:rPr>
              <w:t>Public-Private</w:t>
            </w:r>
            <w:r w:rsidRPr="00827CF2">
              <w:rPr>
                <w:rFonts w:asciiTheme="minorBidi" w:eastAsia="Times New Roman" w:hAnsiTheme="minorBidi"/>
                <w:kern w:val="0"/>
                <w:sz w:val="20"/>
                <w:szCs w:val="20"/>
                <w:lang w:val="en-US"/>
                <w14:ligatures w14:val="none"/>
              </w:rPr>
              <w:t xml:space="preserve"> Participation</w:t>
            </w:r>
          </w:p>
        </w:tc>
        <w:tc>
          <w:tcPr>
            <w:tcW w:w="912" w:type="pct"/>
            <w:shd w:val="clear" w:color="auto" w:fill="D9E2F3" w:themeFill="accent1" w:themeFillTint="33"/>
            <w:hideMark/>
          </w:tcPr>
          <w:p w14:paraId="3B8C1D35" w14:textId="1D6E4855" w:rsidR="00DE7EF6" w:rsidRPr="00827CF2" w:rsidRDefault="00DE7EF6" w:rsidP="00DE7EF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Dedicated </w:t>
            </w:r>
            <w:r w:rsidR="002766E2" w:rsidRPr="00827CF2">
              <w:rPr>
                <w:rFonts w:asciiTheme="minorBidi" w:eastAsia="Times New Roman" w:hAnsiTheme="minorBidi"/>
                <w:kern w:val="0"/>
                <w:sz w:val="20"/>
                <w:szCs w:val="20"/>
                <w:lang w:val="en-US"/>
                <w14:ligatures w14:val="none"/>
              </w:rPr>
              <w:t>Inter</w:t>
            </w:r>
            <w:r w:rsidR="00C15EBC" w:rsidRPr="00827CF2">
              <w:rPr>
                <w:rFonts w:asciiTheme="minorBidi" w:eastAsia="Times New Roman" w:hAnsiTheme="minorBidi"/>
                <w:kern w:val="0"/>
                <w:sz w:val="20"/>
                <w:szCs w:val="20"/>
                <w:lang w:val="en-US"/>
                <w14:ligatures w14:val="none"/>
              </w:rPr>
              <w:t xml:space="preserve">-departmental </w:t>
            </w:r>
            <w:r w:rsidRPr="00827CF2">
              <w:rPr>
                <w:rFonts w:asciiTheme="minorBidi" w:eastAsia="Times New Roman" w:hAnsiTheme="minorBidi"/>
                <w:kern w:val="0"/>
                <w:sz w:val="20"/>
                <w:szCs w:val="20"/>
                <w:lang w:val="en-US"/>
                <w14:ligatures w14:val="none"/>
              </w:rPr>
              <w:t xml:space="preserve">Institutional Coordination Mechanism </w:t>
            </w:r>
          </w:p>
        </w:tc>
      </w:tr>
      <w:tr w:rsidR="00E264C4" w:rsidRPr="00827CF2" w14:paraId="74CD9E74" w14:textId="77777777" w:rsidTr="00202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9" w:type="pct"/>
            <w:noWrap/>
            <w:hideMark/>
          </w:tcPr>
          <w:p w14:paraId="5E9EBDB5"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Assam</w:t>
            </w:r>
          </w:p>
        </w:tc>
        <w:tc>
          <w:tcPr>
            <w:tcW w:w="921" w:type="pct"/>
            <w:noWrap/>
            <w:hideMark/>
          </w:tcPr>
          <w:p w14:paraId="0AE0A79E"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678B0A39"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5C1424E4"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0BD82628"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7E3C9283"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61ED708C" w14:textId="77777777" w:rsidTr="00202BF3">
        <w:trPr>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0F44B384"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Bihar</w:t>
            </w:r>
          </w:p>
        </w:tc>
        <w:tc>
          <w:tcPr>
            <w:tcW w:w="921" w:type="pct"/>
            <w:noWrap/>
            <w:hideMark/>
          </w:tcPr>
          <w:p w14:paraId="59A78DAB"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0BF2B43D"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847" w:type="pct"/>
            <w:noWrap/>
            <w:hideMark/>
          </w:tcPr>
          <w:p w14:paraId="78F936D6"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0BB9B62B"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6E8E3E00"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654CBFE5" w14:textId="77777777" w:rsidTr="00202BF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6D039016"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Kerala</w:t>
            </w:r>
          </w:p>
        </w:tc>
        <w:tc>
          <w:tcPr>
            <w:tcW w:w="921" w:type="pct"/>
            <w:noWrap/>
            <w:hideMark/>
          </w:tcPr>
          <w:p w14:paraId="3CBB850B"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00EBC3F4"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6FC909A8"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0E845DB5"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070BA886"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15BFB807" w14:textId="77777777" w:rsidTr="00202BF3">
        <w:trPr>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4C6A9C44"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Meghalaya</w:t>
            </w:r>
          </w:p>
        </w:tc>
        <w:tc>
          <w:tcPr>
            <w:tcW w:w="921" w:type="pct"/>
            <w:noWrap/>
            <w:hideMark/>
          </w:tcPr>
          <w:p w14:paraId="30F9C202"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78949061"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7673C847"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52D7537D"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29AABA74"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1ACB9D87" w14:textId="77777777" w:rsidTr="00202BF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7703ADBF"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lastRenderedPageBreak/>
              <w:t>Odisha</w:t>
            </w:r>
          </w:p>
        </w:tc>
        <w:tc>
          <w:tcPr>
            <w:tcW w:w="921" w:type="pct"/>
            <w:noWrap/>
            <w:hideMark/>
          </w:tcPr>
          <w:p w14:paraId="632D63FB"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5F618E17"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3C94F680"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39C166CA"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2" w:type="pct"/>
            <w:noWrap/>
            <w:hideMark/>
          </w:tcPr>
          <w:p w14:paraId="4B912880"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1374C003" w14:textId="77777777" w:rsidTr="00202BF3">
        <w:trPr>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10671485"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Puducherry</w:t>
            </w:r>
          </w:p>
        </w:tc>
        <w:tc>
          <w:tcPr>
            <w:tcW w:w="921" w:type="pct"/>
            <w:noWrap/>
            <w:hideMark/>
          </w:tcPr>
          <w:p w14:paraId="5D8AE8F0"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351728FD"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847" w:type="pct"/>
            <w:noWrap/>
            <w:hideMark/>
          </w:tcPr>
          <w:p w14:paraId="548C37AB"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22407915"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1E71EBEE"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57B9BB02" w14:textId="77777777" w:rsidTr="00202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9" w:type="pct"/>
            <w:noWrap/>
            <w:hideMark/>
          </w:tcPr>
          <w:p w14:paraId="00F6EF90"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Rajasthan</w:t>
            </w:r>
          </w:p>
        </w:tc>
        <w:tc>
          <w:tcPr>
            <w:tcW w:w="921" w:type="pct"/>
            <w:noWrap/>
            <w:hideMark/>
          </w:tcPr>
          <w:p w14:paraId="1C510AD5"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6C19449A"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2069A845"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1069128C"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29F9302B"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42408AF4" w14:textId="77777777" w:rsidTr="00202BF3">
        <w:trPr>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0B483052"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Uttar Pradesh</w:t>
            </w:r>
          </w:p>
        </w:tc>
        <w:tc>
          <w:tcPr>
            <w:tcW w:w="921" w:type="pct"/>
            <w:noWrap/>
            <w:hideMark/>
          </w:tcPr>
          <w:p w14:paraId="6B725F2D"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1DBA33B1"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0B5DC7F9"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27CD578D"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0BA489A1"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71C9F252" w14:textId="77777777" w:rsidTr="00202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9" w:type="pct"/>
            <w:noWrap/>
            <w:hideMark/>
          </w:tcPr>
          <w:p w14:paraId="411F8596"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Total</w:t>
            </w:r>
          </w:p>
        </w:tc>
        <w:tc>
          <w:tcPr>
            <w:tcW w:w="921" w:type="pct"/>
            <w:noWrap/>
            <w:hideMark/>
          </w:tcPr>
          <w:p w14:paraId="7154A840"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8</w:t>
            </w:r>
          </w:p>
        </w:tc>
        <w:tc>
          <w:tcPr>
            <w:tcW w:w="913" w:type="pct"/>
            <w:noWrap/>
            <w:hideMark/>
          </w:tcPr>
          <w:p w14:paraId="57C79A82"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2</w:t>
            </w:r>
          </w:p>
        </w:tc>
        <w:tc>
          <w:tcPr>
            <w:tcW w:w="847" w:type="pct"/>
            <w:noWrap/>
            <w:hideMark/>
          </w:tcPr>
          <w:p w14:paraId="1F7F3F6D"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0</w:t>
            </w:r>
          </w:p>
        </w:tc>
        <w:tc>
          <w:tcPr>
            <w:tcW w:w="548" w:type="pct"/>
            <w:noWrap/>
            <w:hideMark/>
          </w:tcPr>
          <w:p w14:paraId="6FB0F609"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1</w:t>
            </w:r>
          </w:p>
        </w:tc>
        <w:tc>
          <w:tcPr>
            <w:tcW w:w="912" w:type="pct"/>
            <w:noWrap/>
            <w:hideMark/>
          </w:tcPr>
          <w:p w14:paraId="72DBB55F"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0</w:t>
            </w:r>
          </w:p>
        </w:tc>
      </w:tr>
    </w:tbl>
    <w:p w14:paraId="04A951ED" w14:textId="2AD9956F" w:rsidR="002A6C48" w:rsidRPr="00827CF2" w:rsidRDefault="002A6C48" w:rsidP="00D650B0">
      <w:pPr>
        <w:spacing w:before="100" w:beforeAutospacing="1" w:after="100" w:afterAutospacing="1" w:line="276" w:lineRule="auto"/>
        <w:jc w:val="both"/>
        <w:rPr>
          <w:rFonts w:asciiTheme="minorBidi" w:eastAsia="Times New Roman" w:hAnsiTheme="minorBidi"/>
          <w:i/>
          <w:kern w:val="0"/>
          <w:sz w:val="20"/>
          <w:szCs w:val="20"/>
          <w:lang w:val="en-US"/>
          <w14:ligatures w14:val="none"/>
        </w:rPr>
      </w:pPr>
      <w:r w:rsidRPr="00827CF2">
        <w:rPr>
          <w:rFonts w:asciiTheme="minorBidi" w:eastAsia="Times New Roman" w:hAnsiTheme="minorBidi"/>
          <w:i/>
          <w:kern w:val="0"/>
          <w:sz w:val="20"/>
          <w:szCs w:val="20"/>
          <w:lang w:val="en-US"/>
          <w14:ligatures w14:val="none"/>
        </w:rPr>
        <w:t>Source – Author’s analysis</w:t>
      </w:r>
      <w:r w:rsidR="009960F4" w:rsidRPr="00827CF2">
        <w:rPr>
          <w:rFonts w:asciiTheme="minorBidi" w:eastAsia="Times New Roman" w:hAnsiTheme="minorBidi"/>
          <w:i/>
          <w:kern w:val="0"/>
          <w:sz w:val="20"/>
          <w:szCs w:val="20"/>
          <w:lang w:val="en-US"/>
          <w14:ligatures w14:val="none"/>
        </w:rPr>
        <w:t xml:space="preserve"> based on</w:t>
      </w:r>
      <w:r w:rsidR="00A953E5" w:rsidRPr="00827CF2">
        <w:rPr>
          <w:rFonts w:asciiTheme="minorBidi" w:eastAsia="Times New Roman" w:hAnsiTheme="minorBidi"/>
          <w:i/>
          <w:kern w:val="0"/>
          <w:sz w:val="20"/>
          <w:szCs w:val="20"/>
          <w:lang w:val="en-US"/>
          <w14:ligatures w14:val="none"/>
        </w:rPr>
        <w:t xml:space="preserve"> </w:t>
      </w:r>
      <w:r w:rsidR="0099094E" w:rsidRPr="00827CF2">
        <w:rPr>
          <w:rFonts w:asciiTheme="minorBidi" w:eastAsia="Times New Roman" w:hAnsiTheme="minorBidi"/>
          <w:i/>
          <w:kern w:val="0"/>
          <w:sz w:val="20"/>
          <w:szCs w:val="20"/>
          <w:lang w:val="en-US"/>
          <w14:ligatures w14:val="none"/>
        </w:rPr>
        <w:t xml:space="preserve">information from </w:t>
      </w:r>
      <w:r w:rsidR="00AD3CE4" w:rsidRPr="00827CF2">
        <w:rPr>
          <w:rFonts w:asciiTheme="minorBidi" w:eastAsia="Times New Roman" w:hAnsiTheme="minorBidi"/>
          <w:i/>
          <w:kern w:val="0"/>
          <w:sz w:val="20"/>
          <w:szCs w:val="20"/>
          <w:lang w:val="en-US"/>
          <w14:ligatures w14:val="none"/>
        </w:rPr>
        <w:t>Green/Climate Budget reports of various states/UTs</w:t>
      </w:r>
    </w:p>
    <w:p w14:paraId="3BBE7177" w14:textId="303B4C04" w:rsidR="00DD10F8" w:rsidRDefault="00DD10F8">
      <w:pPr>
        <w:rPr>
          <w:rFonts w:asciiTheme="minorBidi" w:hAnsiTheme="minorBidi"/>
          <w:b/>
          <w:sz w:val="20"/>
          <w:szCs w:val="20"/>
        </w:rPr>
      </w:pPr>
      <w:r>
        <w:rPr>
          <w:rFonts w:asciiTheme="minorBidi" w:hAnsiTheme="minorBidi"/>
          <w:b/>
          <w:sz w:val="20"/>
          <w:szCs w:val="20"/>
        </w:rPr>
        <w:br w:type="page"/>
      </w:r>
    </w:p>
    <w:p w14:paraId="76F00ABC" w14:textId="09BD1DC3" w:rsidR="00465703" w:rsidRPr="006E13CD" w:rsidRDefault="00827CF2" w:rsidP="00827CF2">
      <w:pPr>
        <w:pStyle w:val="Heading1"/>
        <w:numPr>
          <w:ilvl w:val="0"/>
          <w:numId w:val="41"/>
        </w:numPr>
        <w:rPr>
          <w:rFonts w:asciiTheme="minorBidi" w:hAnsiTheme="minorBidi" w:cstheme="minorBidi"/>
          <w:sz w:val="28"/>
          <w:szCs w:val="28"/>
        </w:rPr>
      </w:pPr>
      <w:r w:rsidRPr="00827CF2">
        <w:rPr>
          <w:rFonts w:asciiTheme="minorBidi" w:hAnsiTheme="minorBidi" w:cstheme="minorBidi"/>
          <w:bCs/>
          <w:sz w:val="22"/>
          <w:szCs w:val="22"/>
        </w:rPr>
        <w:lastRenderedPageBreak/>
        <w:t>PROPOSED APPROACH FOR GREEN BUDGETING FOR INDIA</w:t>
      </w:r>
    </w:p>
    <w:p w14:paraId="6F22A8E7" w14:textId="7768C915" w:rsidR="00314587" w:rsidRPr="00827CF2" w:rsidRDefault="00270139" w:rsidP="00E332FB">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Considering</w:t>
      </w:r>
      <w:r w:rsidR="00314587" w:rsidRPr="00827CF2">
        <w:rPr>
          <w:rFonts w:asciiTheme="minorBidi" w:eastAsia="Times New Roman" w:hAnsiTheme="minorBidi"/>
          <w:kern w:val="0"/>
          <w:sz w:val="20"/>
          <w:szCs w:val="20"/>
          <w:lang w:val="en-US"/>
          <w14:ligatures w14:val="none"/>
        </w:rPr>
        <w:t xml:space="preserve"> the challenges identified in </w:t>
      </w:r>
      <w:r w:rsidR="00AF36DB">
        <w:rPr>
          <w:rFonts w:asciiTheme="minorBidi" w:eastAsia="Times New Roman" w:hAnsiTheme="minorBidi"/>
          <w:kern w:val="0"/>
          <w:sz w:val="20"/>
          <w:szCs w:val="20"/>
          <w:lang w:val="en-US"/>
          <w14:ligatures w14:val="none"/>
        </w:rPr>
        <w:t>the</w:t>
      </w:r>
      <w:r w:rsidR="00314587" w:rsidRPr="00827CF2">
        <w:rPr>
          <w:rFonts w:asciiTheme="minorBidi" w:eastAsia="Times New Roman" w:hAnsiTheme="minorBidi"/>
          <w:kern w:val="0"/>
          <w:sz w:val="20"/>
          <w:szCs w:val="20"/>
          <w:lang w:val="en-US"/>
          <w14:ligatures w14:val="none"/>
        </w:rPr>
        <w:t xml:space="preserve"> Green Budgeting approach across Indian states, it is imperative to establish a </w:t>
      </w:r>
      <w:r w:rsidR="00314587" w:rsidRPr="00827CF2">
        <w:rPr>
          <w:rFonts w:asciiTheme="minorBidi" w:eastAsia="Times New Roman" w:hAnsiTheme="minorBidi"/>
          <w:b/>
          <w:kern w:val="0"/>
          <w:sz w:val="20"/>
          <w:szCs w:val="20"/>
          <w:lang w:val="en-US"/>
          <w14:ligatures w14:val="none"/>
        </w:rPr>
        <w:t>uniform Green Budgeting framework</w:t>
      </w:r>
      <w:r w:rsidR="00314587" w:rsidRPr="00827CF2">
        <w:rPr>
          <w:rFonts w:asciiTheme="minorBidi" w:eastAsia="Times New Roman" w:hAnsiTheme="minorBidi"/>
          <w:kern w:val="0"/>
          <w:sz w:val="20"/>
          <w:szCs w:val="20"/>
          <w:lang w:val="en-US"/>
          <w14:ligatures w14:val="none"/>
        </w:rPr>
        <w:t xml:space="preserve"> that can be adopted by both the Union and state governments. A harmonized framework will enable consistent methodology, facilitate inter-state comparisons, and improve the quality, transparency, and effectiveness of green fiscal planning.</w:t>
      </w:r>
      <w:r w:rsidR="0001041E" w:rsidRPr="00827CF2">
        <w:rPr>
          <w:rFonts w:asciiTheme="minorBidi" w:hAnsiTheme="minorBidi"/>
          <w:sz w:val="20"/>
          <w:szCs w:val="20"/>
        </w:rPr>
        <w:t xml:space="preserve"> </w:t>
      </w:r>
      <w:r w:rsidR="0001041E" w:rsidRPr="00827CF2">
        <w:rPr>
          <w:rFonts w:asciiTheme="minorBidi" w:eastAsia="Times New Roman" w:hAnsiTheme="minorBidi"/>
          <w:kern w:val="0"/>
          <w:sz w:val="20"/>
          <w:szCs w:val="20"/>
          <w:lang w:val="en-US"/>
          <w14:ligatures w14:val="none"/>
        </w:rPr>
        <w:t>For successful implementation of Green Budgeting, strong political commitment is essential, as it underpins the institutionalization of climate-responsive public finance</w:t>
      </w:r>
      <w:r w:rsidR="00BD05F5" w:rsidRPr="00827CF2">
        <w:rPr>
          <w:rFonts w:asciiTheme="minorBidi" w:eastAsia="Times New Roman" w:hAnsiTheme="minorBidi"/>
          <w:kern w:val="0"/>
          <w:sz w:val="20"/>
          <w:szCs w:val="20"/>
          <w:lang w:val="en-US"/>
          <w14:ligatures w14:val="none"/>
        </w:rPr>
        <w:t>.</w:t>
      </w:r>
    </w:p>
    <w:p w14:paraId="2F2D3888" w14:textId="20D0AC11" w:rsidR="001839D8" w:rsidRPr="004C78F5" w:rsidRDefault="00314587" w:rsidP="00483B90">
      <w:pPr>
        <w:spacing w:before="100" w:beforeAutospacing="1" w:after="100" w:afterAutospacing="1" w:line="276" w:lineRule="auto"/>
        <w:jc w:val="both"/>
      </w:pPr>
      <w:r w:rsidRPr="00827CF2">
        <w:rPr>
          <w:rFonts w:asciiTheme="minorBidi" w:eastAsia="Times New Roman" w:hAnsiTheme="minorBidi"/>
          <w:kern w:val="0"/>
          <w:sz w:val="20"/>
          <w:szCs w:val="20"/>
          <w:lang w:val="en-US"/>
          <w14:ligatures w14:val="none"/>
        </w:rPr>
        <w:t xml:space="preserve">The key elements of </w:t>
      </w:r>
      <w:r w:rsidR="00094225" w:rsidRPr="00827CF2">
        <w:rPr>
          <w:rFonts w:asciiTheme="minorBidi" w:eastAsia="Times New Roman" w:hAnsiTheme="minorBidi"/>
          <w:kern w:val="0"/>
          <w:sz w:val="20"/>
          <w:szCs w:val="20"/>
          <w:lang w:val="en-US"/>
          <w14:ligatures w14:val="none"/>
        </w:rPr>
        <w:t>that should be included</w:t>
      </w:r>
      <w:r w:rsidR="0029471E" w:rsidRPr="00827CF2">
        <w:rPr>
          <w:rFonts w:asciiTheme="minorBidi" w:eastAsia="Times New Roman" w:hAnsiTheme="minorBidi"/>
          <w:kern w:val="0"/>
          <w:sz w:val="20"/>
          <w:szCs w:val="20"/>
          <w:lang w:val="en-US"/>
          <w14:ligatures w14:val="none"/>
        </w:rPr>
        <w:t xml:space="preserve"> in the</w:t>
      </w:r>
      <w:r w:rsidRPr="00827CF2">
        <w:rPr>
          <w:rFonts w:asciiTheme="minorBidi" w:eastAsia="Times New Roman" w:hAnsiTheme="minorBidi"/>
          <w:kern w:val="0"/>
          <w:sz w:val="20"/>
          <w:szCs w:val="20"/>
          <w:lang w:val="en-US"/>
          <w14:ligatures w14:val="none"/>
        </w:rPr>
        <w:t xml:space="preserve"> Green Budgeting framework, along with the sequential steps for its operationalization, are outlined in the following section.</w:t>
      </w:r>
    </w:p>
    <w:p w14:paraId="7AF6F279" w14:textId="6480759F" w:rsidR="00465703" w:rsidRPr="001839D8" w:rsidRDefault="00465703"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Legal Basis of Green Budgeting/</w:t>
      </w:r>
      <w:r w:rsidR="00283E12" w:rsidRPr="004B0654">
        <w:rPr>
          <w:rFonts w:asciiTheme="minorBidi" w:hAnsiTheme="minorBidi" w:cstheme="minorBidi"/>
          <w:sz w:val="22"/>
          <w:szCs w:val="22"/>
        </w:rPr>
        <w:t xml:space="preserve"> </w:t>
      </w:r>
      <w:r w:rsidRPr="004B0654">
        <w:rPr>
          <w:rFonts w:asciiTheme="minorBidi" w:hAnsiTheme="minorBidi" w:cstheme="minorBidi"/>
          <w:sz w:val="22"/>
          <w:szCs w:val="22"/>
        </w:rPr>
        <w:t>Institutionalization of Green Budgeting</w:t>
      </w:r>
    </w:p>
    <w:p w14:paraId="6EC112E6" w14:textId="32707737"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The first </w:t>
      </w:r>
      <w:r w:rsidR="00DB64D4">
        <w:rPr>
          <w:rFonts w:asciiTheme="minorBidi" w:hAnsiTheme="minorBidi"/>
          <w:sz w:val="20"/>
          <w:szCs w:val="20"/>
        </w:rPr>
        <w:t>and most important step would be to legally mandate that the Union government and all state governments adopt Green Budgeting every year, in order to institutionalise</w:t>
      </w:r>
      <w:r w:rsidRPr="00827CF2">
        <w:rPr>
          <w:rFonts w:asciiTheme="minorBidi" w:hAnsiTheme="minorBidi"/>
          <w:sz w:val="20"/>
          <w:szCs w:val="20"/>
        </w:rPr>
        <w:t xml:space="preserve"> it. This may be done through mandating the publication of Green Budgets in the Budget Call Circulars because it provides more flexibility than legislation, if changes need to be made from one year to the next, especially in the initial stages of green budget preparation</w:t>
      </w:r>
      <w:r w:rsidR="00515EF8">
        <w:rPr>
          <w:rFonts w:asciiTheme="minorBidi" w:hAnsiTheme="minorBidi"/>
          <w:sz w:val="20"/>
          <w:szCs w:val="20"/>
        </w:rPr>
        <w:t>,</w:t>
      </w:r>
      <w:r w:rsidRPr="00827CF2">
        <w:rPr>
          <w:rFonts w:asciiTheme="minorBidi" w:hAnsiTheme="minorBidi"/>
          <w:sz w:val="20"/>
          <w:szCs w:val="20"/>
        </w:rPr>
        <w:t xml:space="preserve"> when governments are still figuring out the best possible approach. In the future, the Green Budgeting framework can be made permanent by </w:t>
      </w:r>
      <w:r w:rsidR="00F757FF">
        <w:rPr>
          <w:rFonts w:asciiTheme="minorBidi" w:hAnsiTheme="minorBidi"/>
          <w:sz w:val="20"/>
          <w:szCs w:val="20"/>
        </w:rPr>
        <w:t>incorporating it into</w:t>
      </w:r>
      <w:r w:rsidRPr="00827CF2">
        <w:rPr>
          <w:rFonts w:asciiTheme="minorBidi" w:hAnsiTheme="minorBidi"/>
          <w:sz w:val="20"/>
          <w:szCs w:val="20"/>
        </w:rPr>
        <w:t xml:space="preserve"> legislation.</w:t>
      </w:r>
    </w:p>
    <w:p w14:paraId="58064D6A" w14:textId="46533996" w:rsidR="008F6893" w:rsidRPr="00827CF2" w:rsidRDefault="002C2C3D" w:rsidP="00F75549">
      <w:pPr>
        <w:spacing w:line="276" w:lineRule="auto"/>
        <w:jc w:val="both"/>
        <w:rPr>
          <w:rFonts w:asciiTheme="minorBidi" w:hAnsiTheme="minorBidi"/>
          <w:sz w:val="20"/>
          <w:szCs w:val="20"/>
        </w:rPr>
      </w:pPr>
      <w:r w:rsidRPr="00827CF2">
        <w:rPr>
          <w:rFonts w:asciiTheme="minorBidi" w:hAnsiTheme="minorBidi"/>
          <w:sz w:val="20"/>
          <w:szCs w:val="20"/>
        </w:rPr>
        <w:t>Based on the 2022 data, the OECD noted that countries preferred to implement green budgeting through administrative practices, such as budget circulars, which provided more flexibility than legislation if changes were necessary from one year to the next (21 out of 24 countries, 88%) compared to other legislation (14 out of 24, 58%) and budget law (11 out of 24, 46%). In 2022, six countries, namely Austria, Chile, Italy, Mexico, the Slovak Republic, and Sweden, implemented green budgeting through all three instruments</w:t>
      </w:r>
      <w:r w:rsidR="00EB2046" w:rsidRPr="00827CF2">
        <w:rPr>
          <w:rFonts w:asciiTheme="minorBidi" w:hAnsiTheme="minorBidi"/>
          <w:sz w:val="20"/>
          <w:szCs w:val="20"/>
        </w:rPr>
        <w:t xml:space="preserve"> </w:t>
      </w:r>
      <w:r w:rsidR="00240701" w:rsidRPr="00827CF2">
        <w:rPr>
          <w:rFonts w:asciiTheme="minorBidi" w:hAnsiTheme="minorBidi"/>
          <w:sz w:val="20"/>
          <w:szCs w:val="20"/>
        </w:rPr>
        <w:t>–</w:t>
      </w:r>
      <w:r w:rsidR="00EB2046" w:rsidRPr="00827CF2">
        <w:rPr>
          <w:rFonts w:asciiTheme="minorBidi" w:hAnsiTheme="minorBidi"/>
          <w:sz w:val="20"/>
          <w:szCs w:val="20"/>
        </w:rPr>
        <w:t xml:space="preserve"> </w:t>
      </w:r>
      <w:r w:rsidR="00240701" w:rsidRPr="00827CF2">
        <w:rPr>
          <w:rFonts w:asciiTheme="minorBidi" w:hAnsiTheme="minorBidi"/>
          <w:sz w:val="20"/>
          <w:szCs w:val="20"/>
        </w:rPr>
        <w:t>budget</w:t>
      </w:r>
      <w:r w:rsidRPr="00827CF2">
        <w:rPr>
          <w:rFonts w:asciiTheme="minorBidi" w:hAnsiTheme="minorBidi"/>
          <w:sz w:val="20"/>
          <w:szCs w:val="20"/>
        </w:rPr>
        <w:t xml:space="preserve"> law, other legislation, and administrative practice</w:t>
      </w:r>
      <w:r w:rsidR="002512CA" w:rsidRPr="00827CF2">
        <w:rPr>
          <w:rFonts w:asciiTheme="minorBidi" w:hAnsiTheme="minorBidi"/>
          <w:sz w:val="20"/>
          <w:szCs w:val="20"/>
        </w:rPr>
        <w:t xml:space="preserve"> (OECD, 2024). </w:t>
      </w:r>
    </w:p>
    <w:p w14:paraId="7720997F" w14:textId="77777777" w:rsidR="00AD48AC" w:rsidRPr="00827CF2" w:rsidRDefault="00AD48AC" w:rsidP="00F75549">
      <w:pPr>
        <w:spacing w:line="276" w:lineRule="auto"/>
        <w:jc w:val="both"/>
        <w:rPr>
          <w:rFonts w:asciiTheme="minorBidi" w:hAnsiTheme="minorBidi"/>
          <w:sz w:val="20"/>
          <w:szCs w:val="20"/>
        </w:rPr>
      </w:pPr>
    </w:p>
    <w:p w14:paraId="75BC782B" w14:textId="0D1C4131" w:rsidR="00465703" w:rsidRPr="004B0654" w:rsidRDefault="00465703"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Alignment with NAPCC and SAPCC</w:t>
      </w:r>
    </w:p>
    <w:p w14:paraId="5A5AFC7C" w14:textId="15AA39B9"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Next, a National Strategy on Climate and Environment is necessary to form the basis of the Green Budget framework. India </w:t>
      </w:r>
      <w:r w:rsidR="003003DC" w:rsidRPr="00827CF2">
        <w:rPr>
          <w:rFonts w:asciiTheme="minorBidi" w:hAnsiTheme="minorBidi"/>
          <w:sz w:val="20"/>
          <w:szCs w:val="20"/>
        </w:rPr>
        <w:t>already</w:t>
      </w:r>
      <w:r w:rsidRPr="00827CF2">
        <w:rPr>
          <w:rFonts w:asciiTheme="minorBidi" w:hAnsiTheme="minorBidi"/>
          <w:sz w:val="20"/>
          <w:szCs w:val="20"/>
        </w:rPr>
        <w:t xml:space="preserve"> has the NAPCC in place</w:t>
      </w:r>
      <w:r w:rsidR="005F3279">
        <w:rPr>
          <w:rFonts w:asciiTheme="minorBidi" w:hAnsiTheme="minorBidi"/>
          <w:sz w:val="20"/>
          <w:szCs w:val="20"/>
        </w:rPr>
        <w:t xml:space="preserve">, and the Green Budget of the Union government should be aligned with the </w:t>
      </w:r>
      <w:r w:rsidRPr="00827CF2">
        <w:rPr>
          <w:rFonts w:asciiTheme="minorBidi" w:hAnsiTheme="minorBidi"/>
          <w:sz w:val="20"/>
          <w:szCs w:val="20"/>
        </w:rPr>
        <w:t xml:space="preserve">NAPCC. Similarly, the Green Budgets of all the states should be aligned </w:t>
      </w:r>
      <w:r w:rsidR="00F775A6">
        <w:rPr>
          <w:rFonts w:asciiTheme="minorBidi" w:hAnsiTheme="minorBidi"/>
          <w:sz w:val="20"/>
          <w:szCs w:val="20"/>
        </w:rPr>
        <w:t>with</w:t>
      </w:r>
      <w:r w:rsidR="00F775A6" w:rsidRPr="00827CF2">
        <w:rPr>
          <w:rFonts w:asciiTheme="minorBidi" w:hAnsiTheme="minorBidi"/>
          <w:sz w:val="20"/>
          <w:szCs w:val="20"/>
        </w:rPr>
        <w:t xml:space="preserve"> </w:t>
      </w:r>
      <w:r w:rsidRPr="00827CF2">
        <w:rPr>
          <w:rFonts w:asciiTheme="minorBidi" w:hAnsiTheme="minorBidi"/>
          <w:sz w:val="20"/>
          <w:szCs w:val="20"/>
        </w:rPr>
        <w:t>their respective SAPCC</w:t>
      </w:r>
      <w:r w:rsidR="008E11FA" w:rsidRPr="00827CF2">
        <w:rPr>
          <w:rFonts w:asciiTheme="minorBidi" w:hAnsiTheme="minorBidi"/>
          <w:sz w:val="20"/>
          <w:szCs w:val="20"/>
        </w:rPr>
        <w:t>s</w:t>
      </w:r>
      <w:r w:rsidRPr="00827CF2">
        <w:rPr>
          <w:rFonts w:asciiTheme="minorBidi" w:hAnsiTheme="minorBidi"/>
          <w:sz w:val="20"/>
          <w:szCs w:val="20"/>
        </w:rPr>
        <w:t xml:space="preserve">. The NAPCC and SAPCCs should be updated every five years to accommodate the changes in the environment and climate change scenario. </w:t>
      </w:r>
    </w:p>
    <w:p w14:paraId="7CB3D93F" w14:textId="20673EEC" w:rsidR="003F775D" w:rsidRPr="00827CF2" w:rsidRDefault="003F775D" w:rsidP="00F75549">
      <w:pPr>
        <w:spacing w:line="276" w:lineRule="auto"/>
        <w:jc w:val="both"/>
        <w:rPr>
          <w:rFonts w:asciiTheme="minorBidi" w:hAnsiTheme="minorBidi"/>
          <w:sz w:val="20"/>
          <w:szCs w:val="20"/>
        </w:rPr>
      </w:pPr>
      <w:r w:rsidRPr="00827CF2">
        <w:rPr>
          <w:rFonts w:asciiTheme="minorBidi" w:hAnsiTheme="minorBidi"/>
          <w:sz w:val="20"/>
          <w:szCs w:val="20"/>
        </w:rPr>
        <w:t xml:space="preserve">In 2022, 20 out of 24 OECD countries that </w:t>
      </w:r>
      <w:r w:rsidR="00E94E1B">
        <w:rPr>
          <w:rFonts w:asciiTheme="minorBidi" w:hAnsiTheme="minorBidi"/>
          <w:sz w:val="20"/>
          <w:szCs w:val="20"/>
        </w:rPr>
        <w:t>implemented green budgeting had a national climate or environmental strategy to inform their green budgeting efforts</w:t>
      </w:r>
      <w:r w:rsidRPr="00827CF2">
        <w:rPr>
          <w:rFonts w:asciiTheme="minorBidi" w:hAnsiTheme="minorBidi"/>
          <w:sz w:val="20"/>
          <w:szCs w:val="20"/>
        </w:rPr>
        <w:t xml:space="preserve">. Sixteen of these strategies were </w:t>
      </w:r>
      <w:r w:rsidR="008118DF">
        <w:rPr>
          <w:rFonts w:asciiTheme="minorBidi" w:hAnsiTheme="minorBidi"/>
          <w:sz w:val="20"/>
          <w:szCs w:val="20"/>
        </w:rPr>
        <w:t>specifically aligned with Nationally Determined Contributions, as required under the Paris Agreement (OECD,</w:t>
      </w:r>
      <w:r w:rsidR="003A0131" w:rsidRPr="00827CF2">
        <w:rPr>
          <w:rFonts w:asciiTheme="minorBidi" w:hAnsiTheme="minorBidi"/>
          <w:sz w:val="20"/>
          <w:szCs w:val="20"/>
        </w:rPr>
        <w:t xml:space="preserve"> 2024). </w:t>
      </w:r>
      <w:r w:rsidR="0089672D" w:rsidRPr="00827CF2">
        <w:rPr>
          <w:rFonts w:asciiTheme="minorBidi" w:hAnsiTheme="minorBidi"/>
          <w:sz w:val="20"/>
          <w:szCs w:val="20"/>
        </w:rPr>
        <w:t xml:space="preserve">  In the </w:t>
      </w:r>
      <w:r w:rsidR="009444E3" w:rsidRPr="00827CF2">
        <w:rPr>
          <w:rFonts w:asciiTheme="minorBidi" w:hAnsiTheme="minorBidi"/>
          <w:sz w:val="20"/>
          <w:szCs w:val="20"/>
        </w:rPr>
        <w:t>EU</w:t>
      </w:r>
      <w:r w:rsidR="0089672D" w:rsidRPr="00827CF2">
        <w:rPr>
          <w:rFonts w:asciiTheme="minorBidi" w:hAnsiTheme="minorBidi"/>
          <w:sz w:val="20"/>
          <w:szCs w:val="20"/>
        </w:rPr>
        <w:t xml:space="preserve">, all countries </w:t>
      </w:r>
      <w:r w:rsidR="0029019D">
        <w:rPr>
          <w:rFonts w:asciiTheme="minorBidi" w:hAnsiTheme="minorBidi"/>
          <w:sz w:val="20"/>
          <w:szCs w:val="20"/>
        </w:rPr>
        <w:t>that have undertaken</w:t>
      </w:r>
      <w:r w:rsidR="0089672D" w:rsidRPr="00827CF2">
        <w:rPr>
          <w:rFonts w:asciiTheme="minorBidi" w:hAnsiTheme="minorBidi"/>
          <w:sz w:val="20"/>
          <w:szCs w:val="20"/>
        </w:rPr>
        <w:t xml:space="preserve"> green budget tagging—except Portugal—have aligned their tagging efforts with a comprehensive set of environmental objectives. Several of these countries have further refined their approach by incorporating more detailed elements that reflect their specific national green agenda</w:t>
      </w:r>
      <w:r w:rsidR="00A24DA7" w:rsidRPr="00827CF2">
        <w:rPr>
          <w:rFonts w:asciiTheme="minorBidi" w:hAnsiTheme="minorBidi"/>
          <w:sz w:val="20"/>
          <w:szCs w:val="20"/>
        </w:rPr>
        <w:t xml:space="preserve"> </w:t>
      </w:r>
      <w:r w:rsidR="00AB31A3" w:rsidRPr="00827CF2">
        <w:rPr>
          <w:rFonts w:asciiTheme="minorBidi" w:hAnsiTheme="minorBidi"/>
          <w:sz w:val="20"/>
          <w:szCs w:val="20"/>
        </w:rPr>
        <w:t>(</w:t>
      </w:r>
      <w:r w:rsidR="00B01898">
        <w:rPr>
          <w:rFonts w:asciiTheme="minorBidi" w:hAnsiTheme="minorBidi"/>
          <w:sz w:val="20"/>
          <w:szCs w:val="20"/>
        </w:rPr>
        <w:t xml:space="preserve">The European Commission, </w:t>
      </w:r>
      <w:r w:rsidR="00AB31A3" w:rsidRPr="00827CF2">
        <w:rPr>
          <w:rFonts w:asciiTheme="minorBidi" w:hAnsiTheme="minorBidi"/>
          <w:sz w:val="20"/>
          <w:szCs w:val="20"/>
        </w:rPr>
        <w:t xml:space="preserve">2023). </w:t>
      </w:r>
    </w:p>
    <w:p w14:paraId="5AB3E95F" w14:textId="77777777" w:rsidR="00CE072E" w:rsidRPr="00827CF2" w:rsidRDefault="00CE072E" w:rsidP="00F75549">
      <w:pPr>
        <w:spacing w:line="276" w:lineRule="auto"/>
        <w:jc w:val="both"/>
        <w:rPr>
          <w:rFonts w:asciiTheme="minorBidi" w:hAnsiTheme="minorBidi"/>
          <w:sz w:val="20"/>
          <w:szCs w:val="20"/>
        </w:rPr>
      </w:pPr>
    </w:p>
    <w:p w14:paraId="6F950C6B" w14:textId="17051D9B" w:rsidR="00465703" w:rsidRPr="004B0654" w:rsidRDefault="00465703"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 xml:space="preserve">Gradually incorporating all departments in </w:t>
      </w:r>
      <w:r w:rsidR="00FB0E7A">
        <w:rPr>
          <w:rFonts w:asciiTheme="minorBidi" w:hAnsiTheme="minorBidi" w:cstheme="minorBidi"/>
          <w:sz w:val="22"/>
          <w:szCs w:val="22"/>
        </w:rPr>
        <w:t xml:space="preserve">the </w:t>
      </w:r>
      <w:r w:rsidRPr="004B0654">
        <w:rPr>
          <w:rFonts w:asciiTheme="minorBidi" w:hAnsiTheme="minorBidi" w:cstheme="minorBidi"/>
          <w:sz w:val="22"/>
          <w:szCs w:val="22"/>
        </w:rPr>
        <w:t>Green Budget</w:t>
      </w:r>
    </w:p>
    <w:p w14:paraId="440A49E0" w14:textId="0A038300"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In the long run, it is always recommended that all departments be incorporated into the </w:t>
      </w:r>
      <w:r w:rsidR="00501347" w:rsidRPr="00827CF2">
        <w:rPr>
          <w:rFonts w:asciiTheme="minorBidi" w:hAnsiTheme="minorBidi"/>
          <w:sz w:val="20"/>
          <w:szCs w:val="20"/>
        </w:rPr>
        <w:t>G</w:t>
      </w:r>
      <w:r w:rsidRPr="00827CF2">
        <w:rPr>
          <w:rFonts w:asciiTheme="minorBidi" w:hAnsiTheme="minorBidi"/>
          <w:sz w:val="20"/>
          <w:szCs w:val="20"/>
        </w:rPr>
        <w:t xml:space="preserve">reen </w:t>
      </w:r>
      <w:r w:rsidR="00501347" w:rsidRPr="00827CF2">
        <w:rPr>
          <w:rFonts w:asciiTheme="minorBidi" w:hAnsiTheme="minorBidi"/>
          <w:sz w:val="20"/>
          <w:szCs w:val="20"/>
        </w:rPr>
        <w:t>B</w:t>
      </w:r>
      <w:r w:rsidRPr="00827CF2">
        <w:rPr>
          <w:rFonts w:asciiTheme="minorBidi" w:hAnsiTheme="minorBidi"/>
          <w:sz w:val="20"/>
          <w:szCs w:val="20"/>
        </w:rPr>
        <w:t xml:space="preserve">udgeting accounting. However, to start with, it is advisable to identify key government departments to be included in </w:t>
      </w:r>
      <w:r w:rsidR="001C0712">
        <w:rPr>
          <w:rFonts w:asciiTheme="minorBidi" w:hAnsiTheme="minorBidi"/>
          <w:sz w:val="20"/>
          <w:szCs w:val="20"/>
        </w:rPr>
        <w:t xml:space="preserve">the </w:t>
      </w:r>
      <w:r w:rsidR="00501347" w:rsidRPr="00827CF2">
        <w:rPr>
          <w:rFonts w:asciiTheme="minorBidi" w:hAnsiTheme="minorBidi"/>
          <w:sz w:val="20"/>
          <w:szCs w:val="20"/>
        </w:rPr>
        <w:t>G</w:t>
      </w:r>
      <w:r w:rsidRPr="00827CF2">
        <w:rPr>
          <w:rFonts w:asciiTheme="minorBidi" w:hAnsiTheme="minorBidi"/>
          <w:sz w:val="20"/>
          <w:szCs w:val="20"/>
        </w:rPr>
        <w:t xml:space="preserve">reen </w:t>
      </w:r>
      <w:r w:rsidR="00501347" w:rsidRPr="00827CF2">
        <w:rPr>
          <w:rFonts w:asciiTheme="minorBidi" w:hAnsiTheme="minorBidi"/>
          <w:sz w:val="20"/>
          <w:szCs w:val="20"/>
        </w:rPr>
        <w:t>B</w:t>
      </w:r>
      <w:r w:rsidRPr="00827CF2">
        <w:rPr>
          <w:rFonts w:asciiTheme="minorBidi" w:hAnsiTheme="minorBidi"/>
          <w:sz w:val="20"/>
          <w:szCs w:val="20"/>
        </w:rPr>
        <w:t xml:space="preserve">udget. Initially, the departments inclined to the key sectors and themes </w:t>
      </w:r>
      <w:r w:rsidRPr="00827CF2">
        <w:rPr>
          <w:rFonts w:asciiTheme="minorBidi" w:hAnsiTheme="minorBidi"/>
          <w:sz w:val="20"/>
          <w:szCs w:val="20"/>
        </w:rPr>
        <w:lastRenderedPageBreak/>
        <w:t xml:space="preserve">identified in the NAPCC/SAPCC can be included in the green budget. In the future, other departments can </w:t>
      </w:r>
      <w:r w:rsidR="00DB628F">
        <w:rPr>
          <w:rFonts w:asciiTheme="minorBidi" w:hAnsiTheme="minorBidi"/>
          <w:sz w:val="20"/>
          <w:szCs w:val="20"/>
        </w:rPr>
        <w:t>also be</w:t>
      </w:r>
      <w:r w:rsidR="00505C2C">
        <w:rPr>
          <w:rFonts w:asciiTheme="minorBidi" w:hAnsiTheme="minorBidi"/>
          <w:sz w:val="20"/>
          <w:szCs w:val="20"/>
        </w:rPr>
        <w:t xml:space="preserve"> gradually included</w:t>
      </w:r>
      <w:r w:rsidRPr="00827CF2">
        <w:rPr>
          <w:rFonts w:asciiTheme="minorBidi" w:hAnsiTheme="minorBidi"/>
          <w:sz w:val="20"/>
          <w:szCs w:val="20"/>
        </w:rPr>
        <w:t xml:space="preserve">. </w:t>
      </w:r>
    </w:p>
    <w:p w14:paraId="59C0EA85" w14:textId="77777777" w:rsidR="00465703" w:rsidRPr="00827CF2" w:rsidRDefault="00465703" w:rsidP="00F75549">
      <w:pPr>
        <w:spacing w:line="276" w:lineRule="auto"/>
        <w:jc w:val="both"/>
        <w:rPr>
          <w:rFonts w:asciiTheme="minorBidi" w:hAnsiTheme="minorBidi"/>
          <w:sz w:val="20"/>
          <w:szCs w:val="20"/>
        </w:rPr>
      </w:pPr>
    </w:p>
    <w:p w14:paraId="256CF1F5" w14:textId="41C5F83E" w:rsidR="00465703" w:rsidRPr="004B0654" w:rsidRDefault="00465703"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 xml:space="preserve">Forming </w:t>
      </w:r>
      <w:r w:rsidR="00505C2C">
        <w:rPr>
          <w:rFonts w:asciiTheme="minorBidi" w:hAnsiTheme="minorBidi" w:cstheme="minorBidi"/>
          <w:sz w:val="22"/>
          <w:szCs w:val="22"/>
        </w:rPr>
        <w:t>the</w:t>
      </w:r>
      <w:r w:rsidRPr="004B0654">
        <w:rPr>
          <w:rFonts w:asciiTheme="minorBidi" w:hAnsiTheme="minorBidi" w:cstheme="minorBidi"/>
          <w:sz w:val="22"/>
          <w:szCs w:val="22"/>
        </w:rPr>
        <w:t xml:space="preserve"> National Green Budget Council at the Centre and State Green Budget Council for each state</w:t>
      </w:r>
    </w:p>
    <w:p w14:paraId="2565EB05" w14:textId="77777777" w:rsidR="00C0353D" w:rsidRPr="00827CF2" w:rsidRDefault="00C0353D" w:rsidP="00C0353D">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Effective Green Budgeting requires strong coordination between the </w:t>
      </w:r>
      <w:r w:rsidRPr="00827CF2">
        <w:rPr>
          <w:rFonts w:asciiTheme="minorBidi" w:eastAsia="Times New Roman" w:hAnsiTheme="minorBidi"/>
          <w:b/>
          <w:kern w:val="0"/>
          <w:sz w:val="20"/>
          <w:szCs w:val="20"/>
          <w:lang w:val="en-US"/>
          <w14:ligatures w14:val="none"/>
        </w:rPr>
        <w:t>Finance Department</w:t>
      </w:r>
      <w:r w:rsidRPr="00827CF2">
        <w:rPr>
          <w:rFonts w:asciiTheme="minorBidi" w:eastAsia="Times New Roman" w:hAnsiTheme="minorBidi"/>
          <w:kern w:val="0"/>
          <w:sz w:val="20"/>
          <w:szCs w:val="20"/>
          <w:lang w:val="en-US"/>
          <w14:ligatures w14:val="none"/>
        </w:rPr>
        <w:t xml:space="preserve"> and the </w:t>
      </w:r>
      <w:r w:rsidRPr="00827CF2">
        <w:rPr>
          <w:rFonts w:asciiTheme="minorBidi" w:eastAsia="Times New Roman" w:hAnsiTheme="minorBidi"/>
          <w:b/>
          <w:kern w:val="0"/>
          <w:sz w:val="20"/>
          <w:szCs w:val="20"/>
          <w:lang w:val="en-US"/>
          <w14:ligatures w14:val="none"/>
        </w:rPr>
        <w:t>Environment Department</w:t>
      </w:r>
      <w:r w:rsidRPr="00827CF2">
        <w:rPr>
          <w:rFonts w:asciiTheme="minorBidi" w:eastAsia="Times New Roman" w:hAnsiTheme="minorBidi"/>
          <w:kern w:val="0"/>
          <w:sz w:val="20"/>
          <w:szCs w:val="20"/>
          <w:lang w:val="en-US"/>
          <w14:ligatures w14:val="none"/>
        </w:rPr>
        <w:t>. The Environment Department provides technical guidance, develops methodologies, and leads capacity-building efforts. The Finance Department ensures cross-departmental coordination and consolidates information into the Green Budget.</w:t>
      </w:r>
    </w:p>
    <w:p w14:paraId="51F5D2F7" w14:textId="548AE98D" w:rsidR="00C0353D" w:rsidRPr="00827CF2" w:rsidRDefault="00C0353D" w:rsidP="00C0353D">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In most </w:t>
      </w:r>
      <w:r w:rsidRPr="00827CF2">
        <w:rPr>
          <w:rFonts w:asciiTheme="minorBidi" w:eastAsia="Times New Roman" w:hAnsiTheme="minorBidi"/>
          <w:b/>
          <w:kern w:val="0"/>
          <w:sz w:val="20"/>
          <w:szCs w:val="20"/>
          <w:lang w:val="en-US"/>
          <w14:ligatures w14:val="none"/>
        </w:rPr>
        <w:t>OECD countries</w:t>
      </w:r>
      <w:r w:rsidRPr="00827CF2">
        <w:rPr>
          <w:rFonts w:asciiTheme="minorBidi" w:eastAsia="Times New Roman" w:hAnsiTheme="minorBidi"/>
          <w:kern w:val="0"/>
          <w:sz w:val="20"/>
          <w:szCs w:val="20"/>
          <w:lang w:val="en-US"/>
          <w14:ligatures w14:val="none"/>
        </w:rPr>
        <w:t>, Green Budgeting governance is centralized under the Ministry of Finance, with technical support from line ministries and specialized agencies. As of 2022, 14 OECD countries established inter-ministerial bodies to support coordinated implementation</w:t>
      </w:r>
      <w:r w:rsidR="00EB1B70" w:rsidRPr="00827CF2">
        <w:rPr>
          <w:rFonts w:asciiTheme="minorBidi" w:eastAsia="Times New Roman" w:hAnsiTheme="minorBidi"/>
          <w:kern w:val="0"/>
          <w:sz w:val="20"/>
          <w:szCs w:val="20"/>
          <w:lang w:val="en-US"/>
          <w14:ligatures w14:val="none"/>
        </w:rPr>
        <w:t xml:space="preserve"> (OECD, 2024).</w:t>
      </w:r>
    </w:p>
    <w:p w14:paraId="5EAB37C1" w14:textId="32A3E57A" w:rsidR="00C0353D" w:rsidRPr="00827CF2" w:rsidRDefault="00C0353D" w:rsidP="00C0353D">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Drawing on international experience</w:t>
      </w:r>
      <w:r w:rsidRPr="00827CF2">
        <w:rPr>
          <w:rFonts w:asciiTheme="minorBidi" w:eastAsia="Times New Roman" w:hAnsiTheme="minorBidi"/>
          <w:kern w:val="0"/>
          <w:sz w:val="20"/>
          <w:szCs w:val="20"/>
          <w:lang w:val="en-US"/>
          <w14:ligatures w14:val="none"/>
        </w:rPr>
        <w:t xml:space="preserve">, it is recommended </w:t>
      </w:r>
      <w:r w:rsidR="001571D3">
        <w:rPr>
          <w:rFonts w:asciiTheme="minorBidi" w:eastAsia="Times New Roman" w:hAnsiTheme="minorBidi"/>
          <w:kern w:val="0"/>
          <w:sz w:val="20"/>
          <w:szCs w:val="20"/>
          <w:lang w:val="en-US"/>
          <w14:ligatures w14:val="none"/>
        </w:rPr>
        <w:t xml:space="preserve">that a National Green Budget Council be established </w:t>
      </w:r>
      <w:r w:rsidRPr="00827CF2">
        <w:rPr>
          <w:rFonts w:asciiTheme="minorBidi" w:eastAsia="Times New Roman" w:hAnsiTheme="minorBidi"/>
          <w:kern w:val="0"/>
          <w:sz w:val="20"/>
          <w:szCs w:val="20"/>
          <w:lang w:val="en-US"/>
          <w14:ligatures w14:val="none"/>
        </w:rPr>
        <w:t xml:space="preserve">at the central level and </w:t>
      </w:r>
      <w:r w:rsidRPr="00827CF2">
        <w:rPr>
          <w:rFonts w:asciiTheme="minorBidi" w:eastAsia="Times New Roman" w:hAnsiTheme="minorBidi"/>
          <w:b/>
          <w:kern w:val="0"/>
          <w:sz w:val="20"/>
          <w:szCs w:val="20"/>
          <w:lang w:val="en-US"/>
          <w14:ligatures w14:val="none"/>
        </w:rPr>
        <w:t>State Green Budget Councils</w:t>
      </w:r>
      <w:r w:rsidRPr="00827CF2">
        <w:rPr>
          <w:rFonts w:asciiTheme="minorBidi" w:eastAsia="Times New Roman" w:hAnsiTheme="minorBidi"/>
          <w:kern w:val="0"/>
          <w:sz w:val="20"/>
          <w:szCs w:val="20"/>
          <w:lang w:val="en-US"/>
          <w14:ligatures w14:val="none"/>
        </w:rPr>
        <w:t xml:space="preserve"> at the subnational level. These multi-stakeholder bodies would include representatives from the Finance and Environment Departments, as well as independent experts from academia and civil society.</w:t>
      </w:r>
    </w:p>
    <w:p w14:paraId="6986C1C6" w14:textId="00EFAAD3" w:rsidR="00C0353D" w:rsidRPr="00827CF2" w:rsidRDefault="00C0353D" w:rsidP="00C0353D">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 xml:space="preserve">Key functions of the Councils </w:t>
      </w:r>
      <w:r w:rsidR="00156683" w:rsidRPr="00827CF2">
        <w:rPr>
          <w:rFonts w:asciiTheme="minorBidi" w:eastAsia="Times New Roman" w:hAnsiTheme="minorBidi"/>
          <w:b/>
          <w:kern w:val="0"/>
          <w:sz w:val="20"/>
          <w:szCs w:val="20"/>
          <w:lang w:val="en-US"/>
          <w14:ligatures w14:val="none"/>
        </w:rPr>
        <w:t xml:space="preserve">may </w:t>
      </w:r>
      <w:r w:rsidRPr="00827CF2">
        <w:rPr>
          <w:rFonts w:asciiTheme="minorBidi" w:eastAsia="Times New Roman" w:hAnsiTheme="minorBidi"/>
          <w:b/>
          <w:kern w:val="0"/>
          <w:sz w:val="20"/>
          <w:szCs w:val="20"/>
          <w:lang w:val="en-US"/>
          <w14:ligatures w14:val="none"/>
        </w:rPr>
        <w:t>include</w:t>
      </w:r>
      <w:r w:rsidRPr="00827CF2">
        <w:rPr>
          <w:rFonts w:asciiTheme="minorBidi" w:eastAsia="Times New Roman" w:hAnsiTheme="minorBidi"/>
          <w:kern w:val="0"/>
          <w:sz w:val="20"/>
          <w:szCs w:val="20"/>
          <w:lang w:val="en-US"/>
          <w14:ligatures w14:val="none"/>
        </w:rPr>
        <w:t>:</w:t>
      </w:r>
    </w:p>
    <w:p w14:paraId="71C4C0E3"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Coordinating Green Budgeting implementation across departments.</w:t>
      </w:r>
    </w:p>
    <w:p w14:paraId="2428BD40"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Addressing technical issues and ensuring consistency in approach.</w:t>
      </w:r>
    </w:p>
    <w:p w14:paraId="49F11299"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Conducting regular training and capacity-building activities.</w:t>
      </w:r>
    </w:p>
    <w:p w14:paraId="406342F6"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Reviewing Green Budgets for quality, identifying gaps, and providing recommendations.</w:t>
      </w:r>
    </w:p>
    <w:p w14:paraId="3B0CA6DE"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Creating an online knowledge platform for guidance materials, tools, and shared experiences.</w:t>
      </w:r>
    </w:p>
    <w:p w14:paraId="6F6A61C5"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Monitoring compliance with the national Green Budgeting framework at all levels of government.</w:t>
      </w:r>
    </w:p>
    <w:p w14:paraId="089907D5" w14:textId="77777777" w:rsidR="004C4985" w:rsidRPr="00827CF2" w:rsidRDefault="004C4985" w:rsidP="00EF7C2D">
      <w:pPr>
        <w:pStyle w:val="ListParagraph"/>
        <w:spacing w:line="276" w:lineRule="auto"/>
        <w:jc w:val="both"/>
        <w:rPr>
          <w:rFonts w:asciiTheme="minorBidi" w:hAnsiTheme="minorBidi"/>
          <w:sz w:val="20"/>
          <w:szCs w:val="20"/>
        </w:rPr>
      </w:pPr>
    </w:p>
    <w:p w14:paraId="71BEBC7F" w14:textId="2FDBEDC0" w:rsidR="00535F61" w:rsidRPr="001839D8" w:rsidRDefault="00465703"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 xml:space="preserve">Green Budgeting should be integrated across all </w:t>
      </w:r>
      <w:r w:rsidR="00535F61" w:rsidRPr="004B0654">
        <w:rPr>
          <w:rFonts w:asciiTheme="minorBidi" w:hAnsiTheme="minorBidi" w:cstheme="minorBidi"/>
          <w:sz w:val="22"/>
          <w:szCs w:val="22"/>
        </w:rPr>
        <w:t>important decision-making processes</w:t>
      </w:r>
    </w:p>
    <w:p w14:paraId="69A3EDBE" w14:textId="77777777" w:rsidR="007223BE" w:rsidRPr="00827CF2" w:rsidRDefault="007223BE" w:rsidP="00202BF3">
      <w:pPr>
        <w:rPr>
          <w:rFonts w:asciiTheme="minorBidi" w:hAnsiTheme="minorBidi"/>
          <w:sz w:val="20"/>
          <w:szCs w:val="20"/>
        </w:rPr>
      </w:pPr>
    </w:p>
    <w:p w14:paraId="25509367" w14:textId="714A5253" w:rsidR="00465703" w:rsidRPr="00827CF2" w:rsidRDefault="00DD7538" w:rsidP="00F75549">
      <w:pPr>
        <w:spacing w:line="276" w:lineRule="auto"/>
        <w:jc w:val="both"/>
        <w:rPr>
          <w:rFonts w:asciiTheme="minorBidi" w:hAnsiTheme="minorBidi"/>
          <w:sz w:val="20"/>
          <w:szCs w:val="20"/>
        </w:rPr>
      </w:pPr>
      <w:r w:rsidRPr="00827CF2">
        <w:rPr>
          <w:rFonts w:asciiTheme="minorBidi" w:hAnsiTheme="minorBidi"/>
          <w:sz w:val="20"/>
          <w:szCs w:val="20"/>
        </w:rPr>
        <w:t xml:space="preserve">Green Budgeting should not be restricted to </w:t>
      </w:r>
      <w:r w:rsidR="00605070">
        <w:rPr>
          <w:rFonts w:asciiTheme="minorBidi" w:hAnsiTheme="minorBidi"/>
          <w:sz w:val="20"/>
          <w:szCs w:val="20"/>
        </w:rPr>
        <w:t xml:space="preserve">simply tagging </w:t>
      </w:r>
      <w:r w:rsidR="00336964" w:rsidRPr="00827CF2">
        <w:rPr>
          <w:rFonts w:asciiTheme="minorBidi" w:hAnsiTheme="minorBidi"/>
          <w:sz w:val="20"/>
          <w:szCs w:val="20"/>
        </w:rPr>
        <w:t>budget line</w:t>
      </w:r>
      <w:r w:rsidR="000C6CE4" w:rsidRPr="00827CF2">
        <w:rPr>
          <w:rFonts w:asciiTheme="minorBidi" w:hAnsiTheme="minorBidi"/>
          <w:sz w:val="20"/>
          <w:szCs w:val="20"/>
        </w:rPr>
        <w:t xml:space="preserve"> items</w:t>
      </w:r>
      <w:r w:rsidR="001718AB" w:rsidRPr="00827CF2">
        <w:rPr>
          <w:rFonts w:asciiTheme="minorBidi" w:hAnsiTheme="minorBidi"/>
          <w:sz w:val="20"/>
          <w:szCs w:val="20"/>
        </w:rPr>
        <w:t xml:space="preserve"> (head of accounts)</w:t>
      </w:r>
      <w:r w:rsidR="000F39E4" w:rsidRPr="00827CF2">
        <w:rPr>
          <w:rFonts w:asciiTheme="minorBidi" w:hAnsiTheme="minorBidi"/>
          <w:sz w:val="20"/>
          <w:szCs w:val="20"/>
        </w:rPr>
        <w:t xml:space="preserve">, which is an </w:t>
      </w:r>
      <w:r w:rsidRPr="00827CF2">
        <w:rPr>
          <w:rFonts w:asciiTheme="minorBidi" w:hAnsiTheme="minorBidi"/>
          <w:sz w:val="20"/>
          <w:szCs w:val="20"/>
        </w:rPr>
        <w:t>accounting exercise. It</w:t>
      </w:r>
      <w:r w:rsidR="00465703" w:rsidRPr="00827CF2">
        <w:rPr>
          <w:rFonts w:asciiTheme="minorBidi" w:hAnsiTheme="minorBidi"/>
          <w:sz w:val="20"/>
          <w:szCs w:val="20"/>
        </w:rPr>
        <w:t xml:space="preserve"> should be integrated across all public policy requirements</w:t>
      </w:r>
      <w:r w:rsidR="00595A50" w:rsidRPr="00827CF2">
        <w:rPr>
          <w:rFonts w:asciiTheme="minorBidi" w:hAnsiTheme="minorBidi"/>
          <w:sz w:val="20"/>
          <w:szCs w:val="20"/>
        </w:rPr>
        <w:t xml:space="preserve"> so that </w:t>
      </w:r>
      <w:r w:rsidR="0013284D">
        <w:rPr>
          <w:rFonts w:asciiTheme="minorBidi" w:hAnsiTheme="minorBidi"/>
          <w:sz w:val="20"/>
          <w:szCs w:val="20"/>
        </w:rPr>
        <w:t>policymaking</w:t>
      </w:r>
      <w:r w:rsidR="00F26BDA">
        <w:rPr>
          <w:rFonts w:asciiTheme="minorBidi" w:hAnsiTheme="minorBidi"/>
          <w:sz w:val="20"/>
          <w:szCs w:val="20"/>
        </w:rPr>
        <w:t>, budget allocation,</w:t>
      </w:r>
      <w:r w:rsidR="00B0733B" w:rsidRPr="00827CF2">
        <w:rPr>
          <w:rFonts w:asciiTheme="minorBidi" w:hAnsiTheme="minorBidi"/>
          <w:sz w:val="20"/>
          <w:szCs w:val="20"/>
        </w:rPr>
        <w:t xml:space="preserve"> and </w:t>
      </w:r>
      <w:r w:rsidR="002B6B6A" w:rsidRPr="00827CF2">
        <w:rPr>
          <w:rFonts w:asciiTheme="minorBidi" w:hAnsiTheme="minorBidi"/>
          <w:sz w:val="20"/>
          <w:szCs w:val="20"/>
        </w:rPr>
        <w:t xml:space="preserve">prioritisation of </w:t>
      </w:r>
      <w:r w:rsidR="00A862BD" w:rsidRPr="00827CF2">
        <w:rPr>
          <w:rFonts w:asciiTheme="minorBidi" w:hAnsiTheme="minorBidi"/>
          <w:sz w:val="20"/>
          <w:szCs w:val="20"/>
        </w:rPr>
        <w:t>capital expenditure can</w:t>
      </w:r>
      <w:r w:rsidR="002B6B6A" w:rsidRPr="00827CF2">
        <w:rPr>
          <w:rFonts w:asciiTheme="minorBidi" w:hAnsiTheme="minorBidi"/>
          <w:sz w:val="20"/>
          <w:szCs w:val="20"/>
        </w:rPr>
        <w:t xml:space="preserve"> be done in an informed manner</w:t>
      </w:r>
      <w:r w:rsidR="00571F5C" w:rsidRPr="00827CF2">
        <w:rPr>
          <w:rFonts w:asciiTheme="minorBidi" w:hAnsiTheme="minorBidi"/>
          <w:sz w:val="20"/>
          <w:szCs w:val="20"/>
        </w:rPr>
        <w:t>.</w:t>
      </w:r>
      <w:r w:rsidR="00465703" w:rsidRPr="00827CF2">
        <w:rPr>
          <w:rFonts w:asciiTheme="minorBidi" w:hAnsiTheme="minorBidi"/>
          <w:sz w:val="20"/>
          <w:szCs w:val="20"/>
        </w:rPr>
        <w:t xml:space="preserve"> </w:t>
      </w:r>
    </w:p>
    <w:p w14:paraId="600C65C2" w14:textId="54E9EB1B" w:rsidR="006B2795" w:rsidRPr="00827CF2" w:rsidRDefault="006B2795" w:rsidP="00F75549">
      <w:pPr>
        <w:pStyle w:val="Caption"/>
        <w:keepNext/>
        <w:spacing w:line="276" w:lineRule="auto"/>
        <w:jc w:val="both"/>
        <w:rPr>
          <w:rFonts w:asciiTheme="minorBidi" w:hAnsiTheme="minorBidi"/>
          <w:sz w:val="20"/>
          <w:szCs w:val="20"/>
        </w:rPr>
      </w:pPr>
      <w:r w:rsidRPr="00827CF2">
        <w:rPr>
          <w:rFonts w:asciiTheme="minorBidi" w:hAnsiTheme="minorBidi"/>
          <w:sz w:val="20"/>
          <w:szCs w:val="20"/>
        </w:rPr>
        <w:lastRenderedPageBreak/>
        <w:t>Figure</w:t>
      </w:r>
      <w:r w:rsidR="00E576B1" w:rsidRPr="00827CF2">
        <w:rPr>
          <w:rFonts w:asciiTheme="minorBidi" w:hAnsiTheme="minorBidi"/>
          <w:sz w:val="20"/>
          <w:szCs w:val="20"/>
        </w:rPr>
        <w:t xml:space="preserve"> </w:t>
      </w:r>
      <w:r w:rsidR="00CA784B" w:rsidRPr="00827CF2">
        <w:rPr>
          <w:rFonts w:asciiTheme="minorBidi" w:hAnsiTheme="minorBidi"/>
          <w:sz w:val="20"/>
          <w:szCs w:val="20"/>
        </w:rPr>
        <w:t>9</w:t>
      </w:r>
      <w:r w:rsidR="00E507D1" w:rsidRPr="00827CF2">
        <w:rPr>
          <w:rFonts w:asciiTheme="minorBidi" w:hAnsiTheme="minorBidi"/>
          <w:sz w:val="20"/>
          <w:szCs w:val="20"/>
        </w:rPr>
        <w:t>: Integration</w:t>
      </w:r>
      <w:r w:rsidRPr="00827CF2">
        <w:rPr>
          <w:rFonts w:asciiTheme="minorBidi" w:hAnsiTheme="minorBidi"/>
          <w:sz w:val="20"/>
          <w:szCs w:val="20"/>
        </w:rPr>
        <w:t xml:space="preserve"> of Green budgeting in important decision-making processes in OECD Countries, 2022</w:t>
      </w:r>
    </w:p>
    <w:p w14:paraId="2E4DBEDC" w14:textId="483F5B5E" w:rsidR="00BD5AF5" w:rsidRPr="006E13CD" w:rsidRDefault="00BD5AF5" w:rsidP="00F75549">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41A10488" wp14:editId="6BAC14F5">
            <wp:extent cx="5731510" cy="2827020"/>
            <wp:effectExtent l="19050" t="19050" r="21590" b="11430"/>
            <wp:docPr id="1553961758" name="Picture 4"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61758" name="Picture 4" descr="A comparison of a graph&#10;&#10;AI-generated content may be incorrect."/>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2827020"/>
                    </a:xfrm>
                    <a:prstGeom prst="rect">
                      <a:avLst/>
                    </a:prstGeom>
                    <a:ln>
                      <a:solidFill>
                        <a:schemeClr val="accent1"/>
                      </a:solidFill>
                    </a:ln>
                  </pic:spPr>
                </pic:pic>
              </a:graphicData>
            </a:graphic>
          </wp:inline>
        </w:drawing>
      </w:r>
    </w:p>
    <w:p w14:paraId="1F3399EE" w14:textId="07F18012" w:rsidR="00465703" w:rsidRPr="00827CF2" w:rsidRDefault="00BB11E2" w:rsidP="00F75549">
      <w:pPr>
        <w:spacing w:line="276" w:lineRule="auto"/>
        <w:jc w:val="both"/>
        <w:rPr>
          <w:rFonts w:asciiTheme="minorBidi" w:hAnsiTheme="minorBidi"/>
          <w:i/>
          <w:sz w:val="20"/>
          <w:szCs w:val="20"/>
        </w:rPr>
      </w:pPr>
      <w:r w:rsidRPr="00827CF2">
        <w:rPr>
          <w:rFonts w:asciiTheme="minorBidi" w:hAnsiTheme="minorBidi"/>
          <w:i/>
          <w:sz w:val="20"/>
          <w:szCs w:val="20"/>
        </w:rPr>
        <w:t>Source – Green Budgeting in OECD Countries</w:t>
      </w:r>
      <w:r w:rsidR="00CE74F6" w:rsidRPr="00827CF2">
        <w:rPr>
          <w:rFonts w:asciiTheme="minorBidi" w:hAnsiTheme="minorBidi"/>
          <w:i/>
          <w:sz w:val="20"/>
          <w:szCs w:val="20"/>
        </w:rPr>
        <w:t xml:space="preserve">, </w:t>
      </w:r>
      <w:r w:rsidR="00685EAD" w:rsidRPr="00827CF2">
        <w:rPr>
          <w:rFonts w:asciiTheme="minorBidi" w:hAnsiTheme="minorBidi"/>
          <w:i/>
          <w:sz w:val="20"/>
          <w:szCs w:val="20"/>
        </w:rPr>
        <w:t>OECD (</w:t>
      </w:r>
      <w:r w:rsidR="00CE74F6" w:rsidRPr="00827CF2">
        <w:rPr>
          <w:rFonts w:asciiTheme="minorBidi" w:hAnsiTheme="minorBidi"/>
          <w:i/>
          <w:sz w:val="20"/>
          <w:szCs w:val="20"/>
        </w:rPr>
        <w:t>2024</w:t>
      </w:r>
      <w:r w:rsidR="00685EAD" w:rsidRPr="00827CF2">
        <w:rPr>
          <w:rFonts w:asciiTheme="minorBidi" w:hAnsiTheme="minorBidi"/>
          <w:i/>
          <w:sz w:val="20"/>
          <w:szCs w:val="20"/>
        </w:rPr>
        <w:t>)</w:t>
      </w:r>
    </w:p>
    <w:p w14:paraId="3F2F471F" w14:textId="51A0DF59" w:rsidR="00CA78CF" w:rsidRPr="001839D8" w:rsidRDefault="000D5A31"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 xml:space="preserve">Choosing the right </w:t>
      </w:r>
      <w:r w:rsidR="00CF05B2" w:rsidRPr="004B0654">
        <w:rPr>
          <w:rFonts w:asciiTheme="minorBidi" w:hAnsiTheme="minorBidi" w:cstheme="minorBidi"/>
          <w:sz w:val="22"/>
          <w:szCs w:val="22"/>
        </w:rPr>
        <w:t>tools to use for Green Budgeting</w:t>
      </w:r>
    </w:p>
    <w:p w14:paraId="0D3F6D43" w14:textId="77777777" w:rsidR="007E44B8" w:rsidRPr="00827CF2" w:rsidRDefault="007E44B8" w:rsidP="00E93B68">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Countries employ a range of Green Budgeting tools, including </w:t>
      </w:r>
      <w:r w:rsidRPr="00827CF2">
        <w:rPr>
          <w:rFonts w:asciiTheme="minorBidi" w:eastAsia="Times New Roman" w:hAnsiTheme="minorBidi"/>
          <w:b/>
          <w:kern w:val="0"/>
          <w:sz w:val="20"/>
          <w:szCs w:val="20"/>
          <w:lang w:val="en-US"/>
          <w14:ligatures w14:val="none"/>
        </w:rPr>
        <w:t>ex-ante and ex-post environmental impact assessments</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green budget tagging</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environmental cost-benefit analysis</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carbon assessment</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carbon pricing instruments</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shadow carbon pricing</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environmental tax reforms</w:t>
      </w:r>
      <w:r w:rsidRPr="00827CF2">
        <w:rPr>
          <w:rFonts w:asciiTheme="minorBidi" w:eastAsia="Times New Roman" w:hAnsiTheme="minorBidi"/>
          <w:kern w:val="0"/>
          <w:sz w:val="20"/>
          <w:szCs w:val="20"/>
          <w:lang w:val="en-US"/>
          <w14:ligatures w14:val="none"/>
        </w:rPr>
        <w:t xml:space="preserve">, and </w:t>
      </w:r>
      <w:r w:rsidRPr="00827CF2">
        <w:rPr>
          <w:rFonts w:asciiTheme="minorBidi" w:eastAsia="Times New Roman" w:hAnsiTheme="minorBidi"/>
          <w:b/>
          <w:kern w:val="0"/>
          <w:sz w:val="20"/>
          <w:szCs w:val="20"/>
          <w:lang w:val="en-US"/>
          <w14:ligatures w14:val="none"/>
        </w:rPr>
        <w:t>green spending reviews</w:t>
      </w:r>
      <w:r w:rsidRPr="00827CF2">
        <w:rPr>
          <w:rFonts w:asciiTheme="minorBidi" w:eastAsia="Times New Roman" w:hAnsiTheme="minorBidi"/>
          <w:kern w:val="0"/>
          <w:sz w:val="20"/>
          <w:szCs w:val="20"/>
          <w:lang w:val="en-US"/>
          <w14:ligatures w14:val="none"/>
        </w:rPr>
        <w:t>.</w:t>
      </w:r>
    </w:p>
    <w:p w14:paraId="554F5CE2" w14:textId="77777777" w:rsidR="007E44B8" w:rsidRPr="00827CF2" w:rsidRDefault="007E44B8" w:rsidP="00E93B68">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The choice of tool depends on the policy objective. For example:</w:t>
      </w:r>
    </w:p>
    <w:p w14:paraId="60AB371F" w14:textId="77777777" w:rsidR="007E44B8" w:rsidRPr="00827CF2" w:rsidRDefault="007E44B8" w:rsidP="00E93B68">
      <w:pPr>
        <w:numPr>
          <w:ilvl w:val="0"/>
          <w:numId w:val="3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Environmental impact assessments</w:t>
      </w:r>
      <w:r w:rsidRPr="00827CF2">
        <w:rPr>
          <w:rFonts w:asciiTheme="minorBidi" w:eastAsia="Times New Roman" w:hAnsiTheme="minorBidi"/>
          <w:kern w:val="0"/>
          <w:sz w:val="20"/>
          <w:szCs w:val="20"/>
          <w:lang w:val="en-US"/>
          <w14:ligatures w14:val="none"/>
        </w:rPr>
        <w:t xml:space="preserve"> help identify environmental externalities in policy proposals.</w:t>
      </w:r>
    </w:p>
    <w:p w14:paraId="236E851E" w14:textId="77777777" w:rsidR="007E44B8" w:rsidRPr="00827CF2" w:rsidRDefault="007E44B8" w:rsidP="00E93B68">
      <w:pPr>
        <w:numPr>
          <w:ilvl w:val="0"/>
          <w:numId w:val="3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Green budget tagging</w:t>
      </w:r>
      <w:r w:rsidRPr="00827CF2">
        <w:rPr>
          <w:rFonts w:asciiTheme="minorBidi" w:eastAsia="Times New Roman" w:hAnsiTheme="minorBidi"/>
          <w:kern w:val="0"/>
          <w:sz w:val="20"/>
          <w:szCs w:val="20"/>
          <w:lang w:val="en-US"/>
          <w14:ligatures w14:val="none"/>
        </w:rPr>
        <w:t xml:space="preserve"> supports expenditure tracking but does not measure impact.</w:t>
      </w:r>
    </w:p>
    <w:p w14:paraId="61F5961B" w14:textId="77777777" w:rsidR="007E44B8" w:rsidRPr="00827CF2" w:rsidRDefault="007E44B8" w:rsidP="00E93B68">
      <w:pPr>
        <w:numPr>
          <w:ilvl w:val="0"/>
          <w:numId w:val="3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Carbon assessments</w:t>
      </w:r>
      <w:r w:rsidRPr="00827CF2">
        <w:rPr>
          <w:rFonts w:asciiTheme="minorBidi" w:eastAsia="Times New Roman" w:hAnsiTheme="minorBidi"/>
          <w:kern w:val="0"/>
          <w:sz w:val="20"/>
          <w:szCs w:val="20"/>
          <w:lang w:val="en-US"/>
          <w14:ligatures w14:val="none"/>
        </w:rPr>
        <w:t xml:space="preserve"> link fiscal measures to emissions outcomes.</w:t>
      </w:r>
    </w:p>
    <w:p w14:paraId="258C6B38" w14:textId="77777777" w:rsidR="007E44B8" w:rsidRPr="00827CF2" w:rsidRDefault="007E44B8" w:rsidP="00E93B68">
      <w:pPr>
        <w:numPr>
          <w:ilvl w:val="0"/>
          <w:numId w:val="3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Macro-fiscal integration</w:t>
      </w:r>
      <w:r w:rsidRPr="00827CF2">
        <w:rPr>
          <w:rFonts w:asciiTheme="minorBidi" w:eastAsia="Times New Roman" w:hAnsiTheme="minorBidi"/>
          <w:kern w:val="0"/>
          <w:sz w:val="20"/>
          <w:szCs w:val="20"/>
          <w:lang w:val="en-US"/>
          <w14:ligatures w14:val="none"/>
        </w:rPr>
        <w:t xml:space="preserve"> and </w:t>
      </w:r>
      <w:r w:rsidRPr="00827CF2">
        <w:rPr>
          <w:rFonts w:asciiTheme="minorBidi" w:eastAsia="Times New Roman" w:hAnsiTheme="minorBidi"/>
          <w:b/>
          <w:kern w:val="0"/>
          <w:sz w:val="20"/>
          <w:szCs w:val="20"/>
          <w:lang w:val="en-US"/>
          <w14:ligatures w14:val="none"/>
        </w:rPr>
        <w:t>fiscal risk analysis</w:t>
      </w:r>
      <w:r w:rsidRPr="00827CF2">
        <w:rPr>
          <w:rFonts w:asciiTheme="minorBidi" w:eastAsia="Times New Roman" w:hAnsiTheme="minorBidi"/>
          <w:kern w:val="0"/>
          <w:sz w:val="20"/>
          <w:szCs w:val="20"/>
          <w:lang w:val="en-US"/>
          <w14:ligatures w14:val="none"/>
        </w:rPr>
        <w:t xml:space="preserve"> account for climate-related risks in budget planning.</w:t>
      </w:r>
    </w:p>
    <w:p w14:paraId="16F9FBEB" w14:textId="2CED3B95" w:rsidR="007E44B8" w:rsidRPr="00827CF2" w:rsidRDefault="007E44B8" w:rsidP="00E93B68">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Most OECD countries use a </w:t>
      </w:r>
      <w:r w:rsidRPr="00827CF2">
        <w:rPr>
          <w:rFonts w:asciiTheme="minorBidi" w:eastAsia="Times New Roman" w:hAnsiTheme="minorBidi"/>
          <w:b/>
          <w:kern w:val="0"/>
          <w:sz w:val="20"/>
          <w:szCs w:val="20"/>
          <w:lang w:val="en-US"/>
          <w14:ligatures w14:val="none"/>
        </w:rPr>
        <w:t>combinatorial approach</w:t>
      </w:r>
      <w:r w:rsidRPr="00827CF2">
        <w:rPr>
          <w:rFonts w:asciiTheme="minorBidi" w:eastAsia="Times New Roman" w:hAnsiTheme="minorBidi"/>
          <w:kern w:val="0"/>
          <w:sz w:val="20"/>
          <w:szCs w:val="20"/>
          <w:lang w:val="en-US"/>
          <w14:ligatures w14:val="none"/>
        </w:rPr>
        <w:t>. Ireland and the UK use over 14 tools each, followed by Norway (11), France (10), Denmark (9), New Zealand (9), and Sweden (9), illustrating the value of multi-tool strategies for comprehensive green budgeting</w:t>
      </w:r>
      <w:r w:rsidR="00CE74F6" w:rsidRPr="00827CF2">
        <w:rPr>
          <w:rFonts w:asciiTheme="minorBidi" w:eastAsia="Times New Roman" w:hAnsiTheme="minorBidi"/>
          <w:kern w:val="0"/>
          <w:sz w:val="20"/>
          <w:szCs w:val="20"/>
          <w:lang w:val="en-US"/>
          <w14:ligatures w14:val="none"/>
        </w:rPr>
        <w:t xml:space="preserve"> (OECD, 2024).</w:t>
      </w:r>
    </w:p>
    <w:p w14:paraId="7635944B" w14:textId="77777777" w:rsidR="0098082B" w:rsidRPr="00827CF2" w:rsidRDefault="0098082B" w:rsidP="00F75549">
      <w:pPr>
        <w:spacing w:line="276" w:lineRule="auto"/>
        <w:jc w:val="both"/>
        <w:rPr>
          <w:rFonts w:asciiTheme="minorBidi" w:hAnsiTheme="minorBidi"/>
          <w:sz w:val="20"/>
          <w:szCs w:val="20"/>
        </w:rPr>
      </w:pPr>
    </w:p>
    <w:p w14:paraId="5FDB76CD" w14:textId="241395A1" w:rsidR="006B2795" w:rsidRPr="00827CF2" w:rsidRDefault="006B2795" w:rsidP="00F75549">
      <w:pPr>
        <w:pStyle w:val="Caption"/>
        <w:keepNext/>
        <w:spacing w:line="276" w:lineRule="auto"/>
        <w:jc w:val="both"/>
        <w:rPr>
          <w:rFonts w:asciiTheme="minorBidi" w:hAnsiTheme="minorBidi"/>
          <w:sz w:val="20"/>
          <w:szCs w:val="20"/>
        </w:rPr>
      </w:pPr>
      <w:r w:rsidRPr="00827CF2">
        <w:rPr>
          <w:rFonts w:asciiTheme="minorBidi" w:hAnsiTheme="minorBidi"/>
          <w:sz w:val="20"/>
          <w:szCs w:val="20"/>
        </w:rPr>
        <w:lastRenderedPageBreak/>
        <w:t>Figure</w:t>
      </w:r>
      <w:r w:rsidR="00E576B1" w:rsidRPr="00827CF2">
        <w:rPr>
          <w:rFonts w:asciiTheme="minorBidi" w:hAnsiTheme="minorBidi"/>
          <w:sz w:val="20"/>
          <w:szCs w:val="20"/>
        </w:rPr>
        <w:t xml:space="preserve"> </w:t>
      </w:r>
      <w:r w:rsidR="00CA784B" w:rsidRPr="00827CF2">
        <w:rPr>
          <w:rFonts w:asciiTheme="minorBidi" w:hAnsiTheme="minorBidi"/>
          <w:sz w:val="20"/>
          <w:szCs w:val="20"/>
        </w:rPr>
        <w:t>10</w:t>
      </w:r>
      <w:r w:rsidRPr="00827CF2">
        <w:rPr>
          <w:rFonts w:asciiTheme="minorBidi" w:hAnsiTheme="minorBidi"/>
          <w:sz w:val="20"/>
          <w:szCs w:val="20"/>
        </w:rPr>
        <w:t>:</w:t>
      </w:r>
      <w:r w:rsidR="00BC140F" w:rsidRPr="00827CF2">
        <w:rPr>
          <w:rFonts w:asciiTheme="minorBidi" w:hAnsiTheme="minorBidi"/>
          <w:sz w:val="20"/>
          <w:szCs w:val="20"/>
        </w:rPr>
        <w:t xml:space="preserve"> </w:t>
      </w:r>
      <w:r w:rsidRPr="00827CF2">
        <w:rPr>
          <w:rFonts w:asciiTheme="minorBidi" w:hAnsiTheme="minorBidi"/>
          <w:sz w:val="20"/>
          <w:szCs w:val="20"/>
        </w:rPr>
        <w:t>Green Budgeting tools used by OECD Countries, 2022</w:t>
      </w:r>
    </w:p>
    <w:p w14:paraId="553FCD16" w14:textId="525ADEA7" w:rsidR="00C13313" w:rsidRPr="006E13CD" w:rsidRDefault="00C13313" w:rsidP="00F75549">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031C9366" wp14:editId="0AFF5706">
            <wp:extent cx="5731510" cy="4879975"/>
            <wp:effectExtent l="0" t="0" r="2540" b="0"/>
            <wp:docPr id="905995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95278" name="Picture 905995278"/>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4879975"/>
                    </a:xfrm>
                    <a:prstGeom prst="rect">
                      <a:avLst/>
                    </a:prstGeom>
                  </pic:spPr>
                </pic:pic>
              </a:graphicData>
            </a:graphic>
          </wp:inline>
        </w:drawing>
      </w:r>
    </w:p>
    <w:p w14:paraId="7CE9F5EA" w14:textId="1E5FF471" w:rsidR="007F6983" w:rsidRPr="00827CF2" w:rsidRDefault="007F6983" w:rsidP="00F75549">
      <w:pPr>
        <w:spacing w:line="276" w:lineRule="auto"/>
        <w:jc w:val="both"/>
        <w:rPr>
          <w:rFonts w:asciiTheme="minorBidi" w:hAnsiTheme="minorBidi"/>
          <w:i/>
          <w:sz w:val="20"/>
          <w:szCs w:val="20"/>
        </w:rPr>
      </w:pPr>
      <w:r w:rsidRPr="00827CF2">
        <w:rPr>
          <w:rFonts w:asciiTheme="minorBidi" w:hAnsiTheme="minorBidi"/>
          <w:i/>
          <w:sz w:val="20"/>
          <w:szCs w:val="20"/>
        </w:rPr>
        <w:t>Source – Green Budgeting in OECD Countries</w:t>
      </w:r>
      <w:r w:rsidR="00685EAD" w:rsidRPr="00827CF2">
        <w:rPr>
          <w:rFonts w:asciiTheme="minorBidi" w:hAnsiTheme="minorBidi"/>
          <w:i/>
          <w:sz w:val="20"/>
          <w:szCs w:val="20"/>
        </w:rPr>
        <w:t>, OECD (</w:t>
      </w:r>
      <w:r w:rsidRPr="00827CF2">
        <w:rPr>
          <w:rFonts w:asciiTheme="minorBidi" w:hAnsiTheme="minorBidi"/>
          <w:i/>
          <w:sz w:val="20"/>
          <w:szCs w:val="20"/>
        </w:rPr>
        <w:t>2024</w:t>
      </w:r>
      <w:r w:rsidR="00685EAD" w:rsidRPr="00827CF2">
        <w:rPr>
          <w:rFonts w:asciiTheme="minorBidi" w:hAnsiTheme="minorBidi"/>
          <w:i/>
          <w:sz w:val="20"/>
          <w:szCs w:val="20"/>
        </w:rPr>
        <w:t>)</w:t>
      </w:r>
    </w:p>
    <w:p w14:paraId="60A4D009" w14:textId="4B45399B" w:rsidR="009E7D10" w:rsidRPr="00827CF2" w:rsidRDefault="001C7F0A" w:rsidP="00F75549">
      <w:pPr>
        <w:spacing w:line="276" w:lineRule="auto"/>
        <w:jc w:val="both"/>
        <w:rPr>
          <w:rFonts w:asciiTheme="minorBidi" w:hAnsiTheme="minorBidi"/>
          <w:sz w:val="20"/>
          <w:szCs w:val="20"/>
        </w:rPr>
      </w:pPr>
      <w:r w:rsidRPr="00827CF2">
        <w:rPr>
          <w:rFonts w:asciiTheme="minorBidi" w:hAnsiTheme="minorBidi"/>
          <w:sz w:val="20"/>
          <w:szCs w:val="20"/>
        </w:rPr>
        <w:t xml:space="preserve">The choice of tools </w:t>
      </w:r>
      <w:r w:rsidR="00271415" w:rsidRPr="00827CF2">
        <w:rPr>
          <w:rFonts w:asciiTheme="minorBidi" w:hAnsiTheme="minorBidi"/>
          <w:sz w:val="20"/>
          <w:szCs w:val="20"/>
        </w:rPr>
        <w:t xml:space="preserve">for Green Budgeting </w:t>
      </w:r>
      <w:r w:rsidRPr="00827CF2">
        <w:rPr>
          <w:rFonts w:asciiTheme="minorBidi" w:hAnsiTheme="minorBidi"/>
          <w:sz w:val="20"/>
          <w:szCs w:val="20"/>
        </w:rPr>
        <w:t>should be guided by the strengths of the existing budgetary framework and the institutional capacity already in place to support the implementation of environmental policies</w:t>
      </w:r>
      <w:r w:rsidR="008946FA" w:rsidRPr="00827CF2">
        <w:rPr>
          <w:rFonts w:asciiTheme="minorBidi" w:hAnsiTheme="minorBidi"/>
          <w:sz w:val="20"/>
          <w:szCs w:val="20"/>
        </w:rPr>
        <w:t xml:space="preserve">. </w:t>
      </w:r>
      <w:r w:rsidR="009F1144" w:rsidRPr="00827CF2">
        <w:rPr>
          <w:rFonts w:asciiTheme="minorBidi" w:hAnsiTheme="minorBidi"/>
          <w:sz w:val="20"/>
          <w:szCs w:val="20"/>
        </w:rPr>
        <w:t xml:space="preserve">After careful consideration, Green Budget Tagging has been deemed the best-suited tool for India. Moreover, all </w:t>
      </w:r>
      <w:r w:rsidR="00692DB8">
        <w:rPr>
          <w:rFonts w:asciiTheme="minorBidi" w:hAnsiTheme="minorBidi"/>
          <w:sz w:val="20"/>
          <w:szCs w:val="20"/>
        </w:rPr>
        <w:t>eight Indian states/UTs that have implemented Green Budgeting so far</w:t>
      </w:r>
      <w:r w:rsidR="009F1144" w:rsidRPr="00827CF2">
        <w:rPr>
          <w:rFonts w:asciiTheme="minorBidi" w:hAnsiTheme="minorBidi"/>
          <w:sz w:val="20"/>
          <w:szCs w:val="20"/>
        </w:rPr>
        <w:t xml:space="preserve"> have used this tool.</w:t>
      </w:r>
      <w:r w:rsidR="00CF4608" w:rsidRPr="00827CF2">
        <w:rPr>
          <w:rFonts w:asciiTheme="minorBidi" w:hAnsiTheme="minorBidi"/>
          <w:sz w:val="20"/>
          <w:szCs w:val="20"/>
        </w:rPr>
        <w:t xml:space="preserve"> </w:t>
      </w:r>
      <w:r w:rsidR="00815554" w:rsidRPr="00827CF2">
        <w:rPr>
          <w:rFonts w:asciiTheme="minorBidi" w:hAnsiTheme="minorBidi"/>
          <w:sz w:val="20"/>
          <w:szCs w:val="20"/>
        </w:rPr>
        <w:t xml:space="preserve">Initially, India </w:t>
      </w:r>
      <w:r w:rsidR="00B96B62" w:rsidRPr="00827CF2">
        <w:rPr>
          <w:rFonts w:asciiTheme="minorBidi" w:hAnsiTheme="minorBidi"/>
          <w:sz w:val="20"/>
          <w:szCs w:val="20"/>
        </w:rPr>
        <w:t>may</w:t>
      </w:r>
      <w:r w:rsidR="00815554" w:rsidRPr="00827CF2">
        <w:rPr>
          <w:rFonts w:asciiTheme="minorBidi" w:hAnsiTheme="minorBidi"/>
          <w:sz w:val="20"/>
          <w:szCs w:val="20"/>
        </w:rPr>
        <w:t xml:space="preserve"> start with Green Budget Tagging</w:t>
      </w:r>
      <w:r w:rsidR="004212A6" w:rsidRPr="00827CF2">
        <w:rPr>
          <w:rFonts w:asciiTheme="minorBidi" w:hAnsiTheme="minorBidi"/>
          <w:sz w:val="20"/>
          <w:szCs w:val="20"/>
        </w:rPr>
        <w:t xml:space="preserve"> </w:t>
      </w:r>
      <w:r w:rsidR="00142AD2" w:rsidRPr="00827CF2">
        <w:rPr>
          <w:rFonts w:asciiTheme="minorBidi" w:hAnsiTheme="minorBidi"/>
          <w:sz w:val="20"/>
          <w:szCs w:val="20"/>
        </w:rPr>
        <w:t xml:space="preserve">and then </w:t>
      </w:r>
      <w:r w:rsidR="00556318" w:rsidRPr="00827CF2">
        <w:rPr>
          <w:rFonts w:asciiTheme="minorBidi" w:hAnsiTheme="minorBidi"/>
          <w:sz w:val="20"/>
          <w:szCs w:val="20"/>
        </w:rPr>
        <w:t>gradually</w:t>
      </w:r>
      <w:r w:rsidR="00DA7F57" w:rsidRPr="00827CF2">
        <w:rPr>
          <w:rFonts w:asciiTheme="minorBidi" w:hAnsiTheme="minorBidi"/>
          <w:sz w:val="20"/>
          <w:szCs w:val="20"/>
        </w:rPr>
        <w:t xml:space="preserve"> </w:t>
      </w:r>
      <w:r w:rsidR="002D67BF" w:rsidRPr="00827CF2">
        <w:rPr>
          <w:rFonts w:asciiTheme="minorBidi" w:hAnsiTheme="minorBidi"/>
          <w:sz w:val="20"/>
          <w:szCs w:val="20"/>
        </w:rPr>
        <w:t>incorporate other tools</w:t>
      </w:r>
      <w:r w:rsidR="001B059D" w:rsidRPr="00827CF2">
        <w:rPr>
          <w:rFonts w:asciiTheme="minorBidi" w:hAnsiTheme="minorBidi"/>
          <w:sz w:val="20"/>
          <w:szCs w:val="20"/>
        </w:rPr>
        <w:t xml:space="preserve"> as well</w:t>
      </w:r>
      <w:r w:rsidR="00781124">
        <w:rPr>
          <w:rFonts w:asciiTheme="minorBidi" w:hAnsiTheme="minorBidi"/>
          <w:sz w:val="20"/>
          <w:szCs w:val="20"/>
        </w:rPr>
        <w:t>,</w:t>
      </w:r>
      <w:r w:rsidR="002D67BF" w:rsidRPr="00827CF2">
        <w:rPr>
          <w:rFonts w:asciiTheme="minorBidi" w:hAnsiTheme="minorBidi"/>
          <w:sz w:val="20"/>
          <w:szCs w:val="20"/>
        </w:rPr>
        <w:t xml:space="preserve"> </w:t>
      </w:r>
      <w:r w:rsidR="00E640CF" w:rsidRPr="00827CF2">
        <w:rPr>
          <w:rFonts w:asciiTheme="minorBidi" w:hAnsiTheme="minorBidi"/>
          <w:sz w:val="20"/>
          <w:szCs w:val="20"/>
        </w:rPr>
        <w:t>like the OECD countries have done.</w:t>
      </w:r>
    </w:p>
    <w:p w14:paraId="19A50C31" w14:textId="276720D8" w:rsidR="00465703" w:rsidRPr="001839D8" w:rsidRDefault="00465703"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Methodology for Green Budget Tagging</w:t>
      </w:r>
    </w:p>
    <w:p w14:paraId="6D72187A" w14:textId="77777777" w:rsidR="00E12C5E" w:rsidRPr="00827CF2" w:rsidRDefault="00E12C5E" w:rsidP="006D6213">
      <w:pPr>
        <w:spacing w:before="100" w:beforeAutospacing="1" w:after="100" w:afterAutospacing="1" w:line="276" w:lineRule="auto"/>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A structured approach to Green Budget Tagging (GBT) involves the following key steps:</w:t>
      </w:r>
    </w:p>
    <w:p w14:paraId="369FDAD3" w14:textId="77777777" w:rsidR="00B05AFE" w:rsidRPr="00827CF2" w:rsidRDefault="00E12C5E" w:rsidP="00202BF3">
      <w:pPr>
        <w:numPr>
          <w:ilvl w:val="0"/>
          <w:numId w:val="36"/>
        </w:numPr>
        <w:spacing w:before="100" w:beforeAutospacing="1" w:after="0"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Defining “Green”</w:t>
      </w:r>
    </w:p>
    <w:p w14:paraId="4D21F3C9" w14:textId="18934A85" w:rsidR="00E12C5E" w:rsidRPr="00827CF2" w:rsidRDefault="00E12C5E"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Establish a working definition of “green,” aligned with NAPCC/SAPCC priorities and international climate and sustainability commitments.</w:t>
      </w:r>
    </w:p>
    <w:p w14:paraId="490E5567" w14:textId="659E90E7" w:rsidR="00B05AFE" w:rsidRPr="00827CF2" w:rsidRDefault="00E12C5E" w:rsidP="00B009A7">
      <w:pPr>
        <w:numPr>
          <w:ilvl w:val="0"/>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 xml:space="preserve">Selection of Budget </w:t>
      </w:r>
      <w:r w:rsidR="00D32CA3" w:rsidRPr="00827CF2">
        <w:rPr>
          <w:rFonts w:asciiTheme="minorBidi" w:eastAsia="Times New Roman" w:hAnsiTheme="minorBidi"/>
          <w:b/>
          <w:kern w:val="0"/>
          <w:sz w:val="20"/>
          <w:szCs w:val="20"/>
          <w:lang w:val="en-US"/>
          <w14:ligatures w14:val="none"/>
        </w:rPr>
        <w:t>items</w:t>
      </w:r>
    </w:p>
    <w:p w14:paraId="2A923C6A" w14:textId="30377681" w:rsidR="00E12C5E" w:rsidRPr="00827CF2" w:rsidRDefault="00E12C5E"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lastRenderedPageBreak/>
        <w:t xml:space="preserve">Identify relevant budgetary items—both recurrent and capital—for tagging. Begin with key departments aligned with climate priorities, expanding to all departments and subnational levels, including local governments. Tag any expenditure </w:t>
      </w:r>
      <w:r w:rsidR="008035DA">
        <w:rPr>
          <w:rFonts w:asciiTheme="minorBidi" w:eastAsia="Times New Roman" w:hAnsiTheme="minorBidi"/>
          <w:kern w:val="0"/>
          <w:sz w:val="20"/>
          <w:szCs w:val="20"/>
          <w:lang w:val="en-US"/>
          <w14:ligatures w14:val="none"/>
        </w:rPr>
        <w:t xml:space="preserve">that may have potential positive or negative environmental impacts, whether </w:t>
      </w:r>
      <w:r w:rsidRPr="00827CF2">
        <w:rPr>
          <w:rFonts w:asciiTheme="minorBidi" w:eastAsia="Times New Roman" w:hAnsiTheme="minorBidi"/>
          <w:kern w:val="0"/>
          <w:sz w:val="20"/>
          <w:szCs w:val="20"/>
          <w:lang w:val="en-US"/>
          <w14:ligatures w14:val="none"/>
        </w:rPr>
        <w:t>direct or indirect.</w:t>
      </w:r>
    </w:p>
    <w:p w14:paraId="79F0BDC2" w14:textId="77777777" w:rsidR="00B05AFE" w:rsidRPr="00827CF2" w:rsidRDefault="00E12C5E" w:rsidP="00202BF3">
      <w:pPr>
        <w:numPr>
          <w:ilvl w:val="0"/>
          <w:numId w:val="36"/>
        </w:numPr>
        <w:spacing w:before="100" w:beforeAutospacing="1" w:after="0"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Classification of Expenditures</w:t>
      </w:r>
    </w:p>
    <w:p w14:paraId="4724728B" w14:textId="542E4920" w:rsidR="00E12C5E" w:rsidRPr="00827CF2" w:rsidRDefault="00A54106"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C</w:t>
      </w:r>
      <w:r w:rsidR="00082F47" w:rsidRPr="00827CF2">
        <w:rPr>
          <w:rFonts w:asciiTheme="minorBidi" w:eastAsia="Times New Roman" w:hAnsiTheme="minorBidi"/>
          <w:kern w:val="0"/>
          <w:sz w:val="20"/>
          <w:szCs w:val="20"/>
          <w:lang w:val="en-US"/>
          <w14:ligatures w14:val="none"/>
        </w:rPr>
        <w:t xml:space="preserve">ategorize tagged expenditures by their degree of environmental relevance, based on the definition of “green.” Given the diverse ecological contexts across Indian states, each state should identify its own set of medium-term environmental priorities under the SAPCC, informed by local vulnerabilities and climate risks. Each green scheme or </w:t>
      </w:r>
      <w:proofErr w:type="spellStart"/>
      <w:r w:rsidR="00082F47" w:rsidRPr="00827CF2">
        <w:rPr>
          <w:rFonts w:asciiTheme="minorBidi" w:eastAsia="Times New Roman" w:hAnsiTheme="minorBidi"/>
          <w:kern w:val="0"/>
          <w:sz w:val="20"/>
          <w:szCs w:val="20"/>
          <w:lang w:val="en-US"/>
          <w14:ligatures w14:val="none"/>
        </w:rPr>
        <w:t>programme</w:t>
      </w:r>
      <w:proofErr w:type="spellEnd"/>
      <w:r w:rsidR="00082F47" w:rsidRPr="00827CF2">
        <w:rPr>
          <w:rFonts w:asciiTheme="minorBidi" w:eastAsia="Times New Roman" w:hAnsiTheme="minorBidi"/>
          <w:kern w:val="0"/>
          <w:sz w:val="20"/>
          <w:szCs w:val="20"/>
          <w:lang w:val="en-US"/>
          <w14:ligatures w14:val="none"/>
        </w:rPr>
        <w:t xml:space="preserve"> is then mapped to the specific environmental objective it supports. This allows for systematic tracking of budget allocations across priority areas, facilitating the identification of funding gaps, over-allocations, and areas requiring enhanced resource mobilization.</w:t>
      </w:r>
    </w:p>
    <w:p w14:paraId="754AD08F" w14:textId="77777777" w:rsidR="00B05AFE" w:rsidRPr="00827CF2" w:rsidRDefault="00E12C5E" w:rsidP="00202BF3">
      <w:pPr>
        <w:numPr>
          <w:ilvl w:val="0"/>
          <w:numId w:val="36"/>
        </w:numPr>
        <w:spacing w:before="100" w:beforeAutospacing="1" w:after="0"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Integration with SDG and Gender Budgeting</w:t>
      </w:r>
    </w:p>
    <w:p w14:paraId="5C4B15A3" w14:textId="13DD6C7F" w:rsidR="00E12C5E" w:rsidRPr="00827CF2" w:rsidRDefault="00560F02"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Map</w:t>
      </w:r>
      <w:r w:rsidR="00E12C5E" w:rsidRPr="00827CF2">
        <w:rPr>
          <w:rFonts w:asciiTheme="minorBidi" w:eastAsia="Times New Roman" w:hAnsiTheme="minorBidi"/>
          <w:kern w:val="0"/>
          <w:sz w:val="20"/>
          <w:szCs w:val="20"/>
          <w:lang w:val="en-US"/>
          <w14:ligatures w14:val="none"/>
        </w:rPr>
        <w:t xml:space="preserve"> green expenditures against relevant SDGs and gender objectives to maximize policy synergies. </w:t>
      </w:r>
      <w:r w:rsidR="009868D6" w:rsidRPr="00827CF2">
        <w:rPr>
          <w:rFonts w:asciiTheme="minorBidi" w:eastAsia="Times New Roman" w:hAnsiTheme="minorBidi"/>
          <w:kern w:val="0"/>
          <w:sz w:val="20"/>
          <w:szCs w:val="20"/>
          <w:lang w:val="en-US"/>
          <w14:ligatures w14:val="none"/>
        </w:rPr>
        <w:t xml:space="preserve">Since most of the State Governments in India have published </w:t>
      </w:r>
      <w:r w:rsidR="009B6E68" w:rsidRPr="00827CF2">
        <w:rPr>
          <w:rFonts w:asciiTheme="minorBidi" w:eastAsia="Times New Roman" w:hAnsiTheme="minorBidi"/>
          <w:kern w:val="0"/>
          <w:sz w:val="20"/>
          <w:szCs w:val="20"/>
          <w:lang w:val="en-US"/>
          <w14:ligatures w14:val="none"/>
        </w:rPr>
        <w:t xml:space="preserve">their </w:t>
      </w:r>
      <w:r w:rsidR="00E12C5E" w:rsidRPr="00827CF2">
        <w:rPr>
          <w:rFonts w:asciiTheme="minorBidi" w:eastAsia="Times New Roman" w:hAnsiTheme="minorBidi"/>
          <w:kern w:val="0"/>
          <w:sz w:val="20"/>
          <w:szCs w:val="20"/>
          <w:lang w:val="en-US"/>
          <w14:ligatures w14:val="none"/>
        </w:rPr>
        <w:t>Gender Budget</w:t>
      </w:r>
      <w:r w:rsidR="009868D6" w:rsidRPr="00827CF2">
        <w:rPr>
          <w:rFonts w:asciiTheme="minorBidi" w:eastAsia="Times New Roman" w:hAnsiTheme="minorBidi"/>
          <w:kern w:val="0"/>
          <w:sz w:val="20"/>
          <w:szCs w:val="20"/>
          <w:lang w:val="en-US"/>
          <w14:ligatures w14:val="none"/>
        </w:rPr>
        <w:t>s</w:t>
      </w:r>
      <w:r w:rsidR="008206B0" w:rsidRPr="00827CF2">
        <w:rPr>
          <w:rFonts w:asciiTheme="minorBidi" w:eastAsia="Times New Roman" w:hAnsiTheme="minorBidi"/>
          <w:kern w:val="0"/>
          <w:sz w:val="20"/>
          <w:szCs w:val="20"/>
          <w:lang w:val="en-US"/>
          <w14:ligatures w14:val="none"/>
        </w:rPr>
        <w:t xml:space="preserve">, </w:t>
      </w:r>
      <w:r w:rsidR="00DE3FE3" w:rsidRPr="00827CF2">
        <w:rPr>
          <w:rFonts w:asciiTheme="minorBidi" w:eastAsia="Times New Roman" w:hAnsiTheme="minorBidi"/>
          <w:kern w:val="0"/>
          <w:sz w:val="20"/>
          <w:szCs w:val="20"/>
          <w:lang w:val="en-US"/>
          <w14:ligatures w14:val="none"/>
        </w:rPr>
        <w:t xml:space="preserve">integration of </w:t>
      </w:r>
      <w:r w:rsidR="00A43478">
        <w:rPr>
          <w:rFonts w:asciiTheme="minorBidi" w:eastAsia="Times New Roman" w:hAnsiTheme="minorBidi"/>
          <w:kern w:val="0"/>
          <w:sz w:val="20"/>
          <w:szCs w:val="20"/>
          <w:lang w:val="en-US"/>
          <w14:ligatures w14:val="none"/>
        </w:rPr>
        <w:t>the Green Budget with the Gender Budget</w:t>
      </w:r>
      <w:r w:rsidR="00DE3FE3" w:rsidRPr="00827CF2">
        <w:rPr>
          <w:rFonts w:asciiTheme="minorBidi" w:eastAsia="Times New Roman" w:hAnsiTheme="minorBidi"/>
          <w:kern w:val="0"/>
          <w:sz w:val="20"/>
          <w:szCs w:val="20"/>
          <w:lang w:val="en-US"/>
          <w14:ligatures w14:val="none"/>
        </w:rPr>
        <w:t xml:space="preserve"> </w:t>
      </w:r>
      <w:r w:rsidR="000734C4" w:rsidRPr="00827CF2">
        <w:rPr>
          <w:rFonts w:asciiTheme="minorBidi" w:eastAsia="Times New Roman" w:hAnsiTheme="minorBidi"/>
          <w:kern w:val="0"/>
          <w:sz w:val="20"/>
          <w:szCs w:val="20"/>
          <w:lang w:val="en-US"/>
          <w14:ligatures w14:val="none"/>
        </w:rPr>
        <w:t>can be done</w:t>
      </w:r>
      <w:r w:rsidR="00E12C5E" w:rsidRPr="00827CF2">
        <w:rPr>
          <w:rFonts w:asciiTheme="minorBidi" w:eastAsia="Times New Roman" w:hAnsiTheme="minorBidi"/>
          <w:kern w:val="0"/>
          <w:sz w:val="20"/>
          <w:szCs w:val="20"/>
          <w:lang w:val="en-US"/>
          <w14:ligatures w14:val="none"/>
        </w:rPr>
        <w:t>.</w:t>
      </w:r>
    </w:p>
    <w:p w14:paraId="7B3BD65F" w14:textId="77777777" w:rsidR="00B05AFE" w:rsidRPr="00827CF2" w:rsidRDefault="00E12C5E" w:rsidP="00202BF3">
      <w:pPr>
        <w:numPr>
          <w:ilvl w:val="0"/>
          <w:numId w:val="36"/>
        </w:numPr>
        <w:spacing w:before="100" w:beforeAutospacing="1" w:after="0"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Weighting and Categorization</w:t>
      </w:r>
    </w:p>
    <w:p w14:paraId="4789F192" w14:textId="240305B7" w:rsidR="00E12C5E" w:rsidRPr="00827CF2" w:rsidRDefault="00E12C5E"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Assign weights using a simplified scale (e.g., Rio Marker approach) to reflect the degree of alignment with green objectives. An </w:t>
      </w:r>
      <w:r w:rsidRPr="00827CF2">
        <w:rPr>
          <w:rFonts w:asciiTheme="minorBidi" w:eastAsia="Times New Roman" w:hAnsiTheme="minorBidi"/>
          <w:b/>
          <w:kern w:val="0"/>
          <w:sz w:val="20"/>
          <w:szCs w:val="20"/>
          <w:lang w:val="en-US"/>
          <w14:ligatures w14:val="none"/>
        </w:rPr>
        <w:t>input-based</w:t>
      </w:r>
      <w:r w:rsidRPr="00827CF2">
        <w:rPr>
          <w:rFonts w:asciiTheme="minorBidi" w:eastAsia="Times New Roman" w:hAnsiTheme="minorBidi"/>
          <w:kern w:val="0"/>
          <w:sz w:val="20"/>
          <w:szCs w:val="20"/>
          <w:lang w:val="en-US"/>
          <w14:ligatures w14:val="none"/>
        </w:rPr>
        <w:t xml:space="preserve"> method is recommended for consistency. Proposed categories include:</w:t>
      </w:r>
    </w:p>
    <w:p w14:paraId="12054256"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Fully Dedicated (90–100%)</w:t>
      </w:r>
    </w:p>
    <w:p w14:paraId="6ECE9DFA"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Very High (75–90%)</w:t>
      </w:r>
    </w:p>
    <w:p w14:paraId="078F7DA1"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High (50–75%)</w:t>
      </w:r>
    </w:p>
    <w:p w14:paraId="26D33C11"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Medium (25–50%)</w:t>
      </w:r>
    </w:p>
    <w:p w14:paraId="10B422F5"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Low (5–25%)</w:t>
      </w:r>
    </w:p>
    <w:p w14:paraId="69ADCF1E"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Marginal (0–5%)</w:t>
      </w:r>
    </w:p>
    <w:p w14:paraId="4BEFA1FE"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Detrimental (Negative weight)</w:t>
      </w:r>
    </w:p>
    <w:p w14:paraId="43265CEC" w14:textId="30980ACC" w:rsidR="00E12C5E" w:rsidRPr="00827CF2" w:rsidRDefault="00E12C5E"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Use a standardized, </w:t>
      </w:r>
      <w:proofErr w:type="spellStart"/>
      <w:r w:rsidR="00D479C2">
        <w:rPr>
          <w:rFonts w:asciiTheme="minorBidi" w:eastAsia="Times New Roman" w:hAnsiTheme="minorBidi"/>
          <w:kern w:val="0"/>
          <w:sz w:val="20"/>
          <w:szCs w:val="20"/>
          <w:lang w:val="en-US"/>
          <w14:ligatures w14:val="none"/>
        </w:rPr>
        <w:t>colour</w:t>
      </w:r>
      <w:proofErr w:type="spellEnd"/>
      <w:r w:rsidR="00D479C2">
        <w:rPr>
          <w:rFonts w:asciiTheme="minorBidi" w:eastAsia="Times New Roman" w:hAnsiTheme="minorBidi"/>
          <w:kern w:val="0"/>
          <w:sz w:val="20"/>
          <w:szCs w:val="20"/>
          <w:lang w:val="en-US"/>
          <w14:ligatures w14:val="none"/>
        </w:rPr>
        <w:t>-coded</w:t>
      </w:r>
      <w:r w:rsidRPr="00827CF2">
        <w:rPr>
          <w:rFonts w:asciiTheme="minorBidi" w:eastAsia="Times New Roman" w:hAnsiTheme="minorBidi"/>
          <w:kern w:val="0"/>
          <w:sz w:val="20"/>
          <w:szCs w:val="20"/>
          <w:lang w:val="en-US"/>
          <w14:ligatures w14:val="none"/>
        </w:rPr>
        <w:t xml:space="preserve"> system for ease of reporting. A national guidance note should be developed to ensure consistency in assigning weightages.</w:t>
      </w:r>
    </w:p>
    <w:p w14:paraId="5D9A79F6" w14:textId="77777777" w:rsidR="00B05AFE" w:rsidRPr="00827CF2" w:rsidRDefault="00E12C5E" w:rsidP="00202BF3">
      <w:pPr>
        <w:numPr>
          <w:ilvl w:val="0"/>
          <w:numId w:val="36"/>
        </w:numPr>
        <w:spacing w:before="100" w:beforeAutospacing="1" w:after="0"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Timing of Tagging</w:t>
      </w:r>
    </w:p>
    <w:p w14:paraId="31C7A6CC" w14:textId="22FEFDFF" w:rsidR="00E12C5E" w:rsidRPr="00827CF2" w:rsidRDefault="00E12C5E" w:rsidP="00202BF3">
      <w:pPr>
        <w:spacing w:before="100" w:beforeAutospacing="1" w:after="0"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Apply GBT both </w:t>
      </w:r>
      <w:r w:rsidRPr="00827CF2">
        <w:rPr>
          <w:rFonts w:asciiTheme="minorBidi" w:eastAsia="Times New Roman" w:hAnsiTheme="minorBidi"/>
          <w:b/>
          <w:kern w:val="0"/>
          <w:sz w:val="20"/>
          <w:szCs w:val="20"/>
          <w:lang w:val="en-US"/>
          <w14:ligatures w14:val="none"/>
        </w:rPr>
        <w:t>ex-ante</w:t>
      </w:r>
      <w:r w:rsidRPr="00827CF2">
        <w:rPr>
          <w:rFonts w:asciiTheme="minorBidi" w:eastAsia="Times New Roman" w:hAnsiTheme="minorBidi"/>
          <w:kern w:val="0"/>
          <w:sz w:val="20"/>
          <w:szCs w:val="20"/>
          <w:lang w:val="en-US"/>
          <w14:ligatures w14:val="none"/>
        </w:rPr>
        <w:t xml:space="preserve"> (during budget formulation) and </w:t>
      </w:r>
      <w:r w:rsidRPr="00827CF2">
        <w:rPr>
          <w:rFonts w:asciiTheme="minorBidi" w:eastAsia="Times New Roman" w:hAnsiTheme="minorBidi"/>
          <w:b/>
          <w:kern w:val="0"/>
          <w:sz w:val="20"/>
          <w:szCs w:val="20"/>
          <w:lang w:val="en-US"/>
          <w14:ligatures w14:val="none"/>
        </w:rPr>
        <w:t>ex-post</w:t>
      </w:r>
      <w:r w:rsidRPr="00827CF2">
        <w:rPr>
          <w:rFonts w:asciiTheme="minorBidi" w:eastAsia="Times New Roman" w:hAnsiTheme="minorBidi"/>
          <w:kern w:val="0"/>
          <w:sz w:val="20"/>
          <w:szCs w:val="20"/>
          <w:lang w:val="en-US"/>
          <w14:ligatures w14:val="none"/>
        </w:rPr>
        <w:t xml:space="preserve"> (post-execution). While ex-ante tagging supports strategic planning, ex-post tagging enhances review and accountability. A combined approach—as adopted in the Philippines—enables comprehensive oversight of both planned and actual green expenditures.</w:t>
      </w:r>
    </w:p>
    <w:p w14:paraId="57E0288D" w14:textId="615163EF" w:rsidR="00465703" w:rsidRPr="00827CF2" w:rsidRDefault="00465703" w:rsidP="001B6BF5">
      <w:pPr>
        <w:spacing w:line="276" w:lineRule="auto"/>
        <w:jc w:val="both"/>
        <w:rPr>
          <w:rFonts w:asciiTheme="minorBidi" w:hAnsiTheme="minorBidi"/>
          <w:sz w:val="20"/>
          <w:szCs w:val="20"/>
        </w:rPr>
      </w:pPr>
    </w:p>
    <w:p w14:paraId="5F8B0C4F" w14:textId="5EFC5B29" w:rsidR="00465703" w:rsidRPr="001839D8" w:rsidRDefault="00465703"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Measures taken to uphold the Accountability and Transparency of Green Budgeting</w:t>
      </w:r>
    </w:p>
    <w:p w14:paraId="1A42C07A" w14:textId="77777777" w:rsidR="005077DF" w:rsidRPr="006E13CD" w:rsidRDefault="005077DF" w:rsidP="00202BF3">
      <w:pPr>
        <w:rPr>
          <w:rFonts w:asciiTheme="minorBidi" w:hAnsiTheme="minorBidi"/>
        </w:rPr>
      </w:pPr>
    </w:p>
    <w:p w14:paraId="553C797A" w14:textId="53E2F299"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Regarding the accountability and transparency of the Green Budgeting exercise, the Union government and all </w:t>
      </w:r>
      <w:r w:rsidR="009D5EC2">
        <w:rPr>
          <w:rFonts w:asciiTheme="minorBidi" w:hAnsiTheme="minorBidi"/>
          <w:sz w:val="20"/>
          <w:szCs w:val="20"/>
        </w:rPr>
        <w:t xml:space="preserve">state governments must publish detailed Green Budget reports annually as a </w:t>
      </w:r>
      <w:r w:rsidR="009D5EC2">
        <w:rPr>
          <w:rFonts w:asciiTheme="minorBidi" w:hAnsiTheme="minorBidi"/>
          <w:sz w:val="20"/>
          <w:szCs w:val="20"/>
        </w:rPr>
        <w:lastRenderedPageBreak/>
        <w:t>separate supplementary document alongside the other budget documents, making them</w:t>
      </w:r>
      <w:r w:rsidRPr="00827CF2">
        <w:rPr>
          <w:rFonts w:asciiTheme="minorBidi" w:hAnsiTheme="minorBidi"/>
          <w:sz w:val="20"/>
          <w:szCs w:val="20"/>
        </w:rPr>
        <w:t xml:space="preserve"> publicly available and easily accessible. </w:t>
      </w:r>
      <w:r w:rsidR="006B644F" w:rsidRPr="00827CF2">
        <w:rPr>
          <w:rFonts w:asciiTheme="minorBidi" w:hAnsiTheme="minorBidi"/>
          <w:sz w:val="20"/>
          <w:szCs w:val="20"/>
        </w:rPr>
        <w:t xml:space="preserve">The Green Budget reports should </w:t>
      </w:r>
      <w:r w:rsidR="001C01B7" w:rsidRPr="00827CF2">
        <w:rPr>
          <w:rFonts w:asciiTheme="minorBidi" w:hAnsiTheme="minorBidi"/>
          <w:sz w:val="20"/>
          <w:szCs w:val="20"/>
        </w:rPr>
        <w:t xml:space="preserve">include </w:t>
      </w:r>
      <w:r w:rsidR="00A73139" w:rsidRPr="00827CF2">
        <w:rPr>
          <w:rFonts w:asciiTheme="minorBidi" w:hAnsiTheme="minorBidi"/>
          <w:sz w:val="20"/>
          <w:szCs w:val="20"/>
        </w:rPr>
        <w:t>an overview of the environment and climate change-related</w:t>
      </w:r>
      <w:r w:rsidRPr="00827CF2" w:rsidDel="006B644F">
        <w:rPr>
          <w:rFonts w:asciiTheme="minorBidi" w:hAnsiTheme="minorBidi"/>
          <w:sz w:val="20"/>
          <w:szCs w:val="20"/>
        </w:rPr>
        <w:t xml:space="preserve"> </w:t>
      </w:r>
      <w:r w:rsidR="0014377E" w:rsidRPr="00827CF2">
        <w:rPr>
          <w:rFonts w:asciiTheme="minorBidi" w:hAnsiTheme="minorBidi"/>
          <w:sz w:val="20"/>
          <w:szCs w:val="20"/>
        </w:rPr>
        <w:t xml:space="preserve">challenges faced, </w:t>
      </w:r>
      <w:r w:rsidR="00C4350B" w:rsidRPr="00827CF2">
        <w:rPr>
          <w:rFonts w:asciiTheme="minorBidi" w:hAnsiTheme="minorBidi"/>
          <w:sz w:val="20"/>
          <w:szCs w:val="20"/>
        </w:rPr>
        <w:t xml:space="preserve">NAPCC/SAPCC along with </w:t>
      </w:r>
      <w:r w:rsidR="00417A57" w:rsidRPr="00827CF2">
        <w:rPr>
          <w:rFonts w:asciiTheme="minorBidi" w:hAnsiTheme="minorBidi"/>
          <w:sz w:val="20"/>
          <w:szCs w:val="20"/>
        </w:rPr>
        <w:t xml:space="preserve">medium-term and long-term environmental objectives, </w:t>
      </w:r>
      <w:r w:rsidR="004F0B6E" w:rsidRPr="00827CF2">
        <w:rPr>
          <w:rFonts w:asciiTheme="minorBidi" w:hAnsiTheme="minorBidi"/>
          <w:sz w:val="20"/>
          <w:szCs w:val="20"/>
        </w:rPr>
        <w:t xml:space="preserve">explanation of the </w:t>
      </w:r>
      <w:r w:rsidR="00F87AE9" w:rsidRPr="00827CF2">
        <w:rPr>
          <w:rFonts w:asciiTheme="minorBidi" w:hAnsiTheme="minorBidi"/>
          <w:sz w:val="20"/>
          <w:szCs w:val="20"/>
        </w:rPr>
        <w:t>methodology used for identifying the schemes</w:t>
      </w:r>
      <w:r w:rsidR="00DB396A" w:rsidRPr="00827CF2">
        <w:rPr>
          <w:rFonts w:asciiTheme="minorBidi" w:hAnsiTheme="minorBidi"/>
          <w:sz w:val="20"/>
          <w:szCs w:val="20"/>
        </w:rPr>
        <w:t xml:space="preserve"> to be included</w:t>
      </w:r>
      <w:r w:rsidR="00F87AE9" w:rsidRPr="00827CF2">
        <w:rPr>
          <w:rFonts w:asciiTheme="minorBidi" w:hAnsiTheme="minorBidi"/>
          <w:sz w:val="20"/>
          <w:szCs w:val="20"/>
        </w:rPr>
        <w:t xml:space="preserve"> and al</w:t>
      </w:r>
      <w:r w:rsidR="006A3B54" w:rsidRPr="00827CF2">
        <w:rPr>
          <w:rFonts w:asciiTheme="minorBidi" w:hAnsiTheme="minorBidi"/>
          <w:sz w:val="20"/>
          <w:szCs w:val="20"/>
        </w:rPr>
        <w:t xml:space="preserve">lotting </w:t>
      </w:r>
      <w:r w:rsidR="00BF12B8" w:rsidRPr="00827CF2">
        <w:rPr>
          <w:rFonts w:asciiTheme="minorBidi" w:hAnsiTheme="minorBidi"/>
          <w:sz w:val="20"/>
          <w:szCs w:val="20"/>
        </w:rPr>
        <w:t>their green weightage</w:t>
      </w:r>
      <w:r w:rsidRPr="00827CF2" w:rsidDel="006B644F">
        <w:rPr>
          <w:rFonts w:asciiTheme="minorBidi" w:hAnsiTheme="minorBidi"/>
          <w:sz w:val="20"/>
          <w:szCs w:val="20"/>
        </w:rPr>
        <w:t xml:space="preserve"> </w:t>
      </w:r>
      <w:r w:rsidR="0089148D" w:rsidRPr="00827CF2">
        <w:rPr>
          <w:rFonts w:asciiTheme="minorBidi" w:hAnsiTheme="minorBidi"/>
          <w:sz w:val="20"/>
          <w:szCs w:val="20"/>
        </w:rPr>
        <w:t>and how it aligns with NAPCC/SAPCC</w:t>
      </w:r>
      <w:r w:rsidR="00ED7882" w:rsidRPr="00827CF2">
        <w:rPr>
          <w:rFonts w:asciiTheme="minorBidi" w:hAnsiTheme="minorBidi"/>
          <w:sz w:val="20"/>
          <w:szCs w:val="20"/>
        </w:rPr>
        <w:t>, assessment</w:t>
      </w:r>
      <w:r w:rsidRPr="00827CF2" w:rsidDel="006B644F">
        <w:rPr>
          <w:rFonts w:asciiTheme="minorBidi" w:hAnsiTheme="minorBidi"/>
          <w:sz w:val="20"/>
          <w:szCs w:val="20"/>
        </w:rPr>
        <w:t xml:space="preserve"> </w:t>
      </w:r>
      <w:r w:rsidR="00716368" w:rsidRPr="00827CF2">
        <w:rPr>
          <w:rFonts w:asciiTheme="minorBidi" w:hAnsiTheme="minorBidi"/>
          <w:sz w:val="20"/>
          <w:szCs w:val="20"/>
        </w:rPr>
        <w:t>of environmental impact</w:t>
      </w:r>
      <w:r w:rsidRPr="00827CF2" w:rsidDel="006B644F">
        <w:rPr>
          <w:rFonts w:asciiTheme="minorBidi" w:hAnsiTheme="minorBidi"/>
          <w:sz w:val="20"/>
          <w:szCs w:val="20"/>
        </w:rPr>
        <w:t xml:space="preserve"> </w:t>
      </w:r>
      <w:r w:rsidR="00624D69" w:rsidRPr="00827CF2">
        <w:rPr>
          <w:rFonts w:asciiTheme="minorBidi" w:hAnsiTheme="minorBidi"/>
          <w:sz w:val="20"/>
          <w:szCs w:val="20"/>
        </w:rPr>
        <w:t>and green budget</w:t>
      </w:r>
      <w:r w:rsidRPr="00827CF2" w:rsidDel="006B644F">
        <w:rPr>
          <w:rFonts w:asciiTheme="minorBidi" w:hAnsiTheme="minorBidi"/>
          <w:sz w:val="20"/>
          <w:szCs w:val="20"/>
        </w:rPr>
        <w:t xml:space="preserve"> </w:t>
      </w:r>
      <w:r w:rsidR="002A5139" w:rsidRPr="00827CF2">
        <w:rPr>
          <w:rFonts w:asciiTheme="minorBidi" w:hAnsiTheme="minorBidi"/>
          <w:sz w:val="20"/>
          <w:szCs w:val="20"/>
        </w:rPr>
        <w:t>statements</w:t>
      </w:r>
      <w:r w:rsidRPr="00827CF2" w:rsidDel="006B644F">
        <w:rPr>
          <w:rFonts w:asciiTheme="minorBidi" w:hAnsiTheme="minorBidi"/>
          <w:sz w:val="20"/>
          <w:szCs w:val="20"/>
        </w:rPr>
        <w:t xml:space="preserve"> </w:t>
      </w:r>
      <w:r w:rsidR="003B0D0E" w:rsidRPr="00827CF2">
        <w:rPr>
          <w:rFonts w:asciiTheme="minorBidi" w:hAnsiTheme="minorBidi"/>
          <w:sz w:val="20"/>
          <w:szCs w:val="20"/>
        </w:rPr>
        <w:t>at the end listing all the included budget heads</w:t>
      </w:r>
      <w:r w:rsidRPr="00827CF2" w:rsidDel="006B644F">
        <w:rPr>
          <w:rFonts w:asciiTheme="minorBidi" w:hAnsiTheme="minorBidi"/>
          <w:sz w:val="20"/>
          <w:szCs w:val="20"/>
        </w:rPr>
        <w:t xml:space="preserve"> </w:t>
      </w:r>
      <w:r w:rsidR="00555BF0" w:rsidRPr="00827CF2">
        <w:rPr>
          <w:rFonts w:asciiTheme="minorBidi" w:hAnsiTheme="minorBidi"/>
          <w:sz w:val="20"/>
          <w:szCs w:val="20"/>
        </w:rPr>
        <w:t xml:space="preserve">with their respective weightage, SDG </w:t>
      </w:r>
      <w:r w:rsidR="00F63FE2" w:rsidRPr="00827CF2">
        <w:rPr>
          <w:rFonts w:asciiTheme="minorBidi" w:hAnsiTheme="minorBidi"/>
          <w:sz w:val="20"/>
          <w:szCs w:val="20"/>
        </w:rPr>
        <w:t>mapping</w:t>
      </w:r>
      <w:r w:rsidR="00555BF0" w:rsidRPr="00827CF2">
        <w:rPr>
          <w:rFonts w:asciiTheme="minorBidi" w:hAnsiTheme="minorBidi"/>
          <w:sz w:val="20"/>
          <w:szCs w:val="20"/>
        </w:rPr>
        <w:t xml:space="preserve"> and gender </w:t>
      </w:r>
      <w:r w:rsidR="00370853" w:rsidRPr="00827CF2">
        <w:rPr>
          <w:rFonts w:asciiTheme="minorBidi" w:hAnsiTheme="minorBidi"/>
          <w:sz w:val="20"/>
          <w:szCs w:val="20"/>
        </w:rPr>
        <w:t>responsiveness</w:t>
      </w:r>
      <w:r w:rsidR="00555BF0" w:rsidRPr="00827CF2">
        <w:rPr>
          <w:rFonts w:asciiTheme="minorBidi" w:hAnsiTheme="minorBidi"/>
          <w:sz w:val="20"/>
          <w:szCs w:val="20"/>
        </w:rPr>
        <w:t xml:space="preserve">. </w:t>
      </w:r>
    </w:p>
    <w:p w14:paraId="7E7B0424" w14:textId="4481C427" w:rsidR="008A1CC0" w:rsidRPr="00827CF2" w:rsidRDefault="00642B9D" w:rsidP="00F75549">
      <w:pPr>
        <w:spacing w:line="276" w:lineRule="auto"/>
        <w:jc w:val="both"/>
        <w:rPr>
          <w:rFonts w:asciiTheme="minorBidi" w:hAnsiTheme="minorBidi"/>
          <w:sz w:val="20"/>
          <w:szCs w:val="20"/>
        </w:rPr>
      </w:pPr>
      <w:r w:rsidRPr="00827CF2">
        <w:rPr>
          <w:rFonts w:asciiTheme="minorBidi" w:hAnsiTheme="minorBidi"/>
          <w:sz w:val="20"/>
          <w:szCs w:val="20"/>
        </w:rPr>
        <w:t>I</w:t>
      </w:r>
      <w:r w:rsidR="008A1CC0" w:rsidRPr="00827CF2">
        <w:rPr>
          <w:rFonts w:asciiTheme="minorBidi" w:hAnsiTheme="minorBidi"/>
          <w:sz w:val="20"/>
          <w:szCs w:val="20"/>
        </w:rPr>
        <w:t xml:space="preserve">n Chile, France, Ireland, Korea, and Norway, the ministries of </w:t>
      </w:r>
      <w:r w:rsidR="00BF6FAD" w:rsidRPr="00827CF2">
        <w:rPr>
          <w:rFonts w:asciiTheme="minorBidi" w:hAnsiTheme="minorBidi"/>
          <w:sz w:val="20"/>
          <w:szCs w:val="20"/>
        </w:rPr>
        <w:t>F</w:t>
      </w:r>
      <w:r w:rsidR="008A1CC0" w:rsidRPr="00827CF2">
        <w:rPr>
          <w:rFonts w:asciiTheme="minorBidi" w:hAnsiTheme="minorBidi"/>
          <w:sz w:val="20"/>
          <w:szCs w:val="20"/>
        </w:rPr>
        <w:t xml:space="preserve">inance prepared </w:t>
      </w:r>
      <w:r w:rsidR="0006511B" w:rsidRPr="00827CF2">
        <w:rPr>
          <w:rFonts w:asciiTheme="minorBidi" w:hAnsiTheme="minorBidi"/>
          <w:sz w:val="20"/>
          <w:szCs w:val="20"/>
        </w:rPr>
        <w:t xml:space="preserve">separate </w:t>
      </w:r>
      <w:r w:rsidR="00E83B20" w:rsidRPr="00827CF2">
        <w:rPr>
          <w:rFonts w:asciiTheme="minorBidi" w:hAnsiTheme="minorBidi"/>
          <w:sz w:val="20"/>
          <w:szCs w:val="20"/>
        </w:rPr>
        <w:t>G</w:t>
      </w:r>
      <w:r w:rsidR="008A1CC0" w:rsidRPr="00827CF2">
        <w:rPr>
          <w:rFonts w:asciiTheme="minorBidi" w:hAnsiTheme="minorBidi"/>
          <w:sz w:val="20"/>
          <w:szCs w:val="20"/>
        </w:rPr>
        <w:t xml:space="preserve">reen </w:t>
      </w:r>
      <w:r w:rsidR="00E83B20" w:rsidRPr="00827CF2">
        <w:rPr>
          <w:rFonts w:asciiTheme="minorBidi" w:hAnsiTheme="minorBidi"/>
          <w:sz w:val="20"/>
          <w:szCs w:val="20"/>
        </w:rPr>
        <w:t>B</w:t>
      </w:r>
      <w:r w:rsidR="008A1CC0" w:rsidRPr="00827CF2">
        <w:rPr>
          <w:rFonts w:asciiTheme="minorBidi" w:hAnsiTheme="minorBidi"/>
          <w:sz w:val="20"/>
          <w:szCs w:val="20"/>
        </w:rPr>
        <w:t xml:space="preserve">udget </w:t>
      </w:r>
      <w:r w:rsidR="00554B71" w:rsidRPr="00827CF2">
        <w:rPr>
          <w:rFonts w:asciiTheme="minorBidi" w:hAnsiTheme="minorBidi"/>
          <w:sz w:val="20"/>
          <w:szCs w:val="20"/>
        </w:rPr>
        <w:t>reports</w:t>
      </w:r>
      <w:r w:rsidR="008A1CC0" w:rsidRPr="00827CF2">
        <w:rPr>
          <w:rFonts w:asciiTheme="minorBidi" w:hAnsiTheme="minorBidi"/>
          <w:sz w:val="20"/>
          <w:szCs w:val="20"/>
        </w:rPr>
        <w:t>.</w:t>
      </w:r>
      <w:r w:rsidR="00F82D5A" w:rsidRPr="00827CF2">
        <w:rPr>
          <w:rFonts w:asciiTheme="minorBidi" w:hAnsiTheme="minorBidi"/>
          <w:sz w:val="20"/>
          <w:szCs w:val="20"/>
        </w:rPr>
        <w:t xml:space="preserve"> In 2022, 15 OECD countries made information on </w:t>
      </w:r>
      <w:r w:rsidR="00E83B20" w:rsidRPr="00827CF2">
        <w:rPr>
          <w:rFonts w:asciiTheme="minorBidi" w:hAnsiTheme="minorBidi"/>
          <w:sz w:val="20"/>
          <w:szCs w:val="20"/>
        </w:rPr>
        <w:t>G</w:t>
      </w:r>
      <w:r w:rsidR="00F82D5A" w:rsidRPr="00827CF2">
        <w:rPr>
          <w:rFonts w:asciiTheme="minorBidi" w:hAnsiTheme="minorBidi"/>
          <w:sz w:val="20"/>
          <w:szCs w:val="20"/>
        </w:rPr>
        <w:t xml:space="preserve">reen </w:t>
      </w:r>
      <w:r w:rsidR="00E83B20" w:rsidRPr="00827CF2">
        <w:rPr>
          <w:rFonts w:asciiTheme="minorBidi" w:hAnsiTheme="minorBidi"/>
          <w:sz w:val="20"/>
          <w:szCs w:val="20"/>
        </w:rPr>
        <w:t>B</w:t>
      </w:r>
      <w:r w:rsidR="00F82D5A" w:rsidRPr="00827CF2">
        <w:rPr>
          <w:rFonts w:asciiTheme="minorBidi" w:hAnsiTheme="minorBidi"/>
          <w:sz w:val="20"/>
          <w:szCs w:val="20"/>
        </w:rPr>
        <w:t xml:space="preserve">udgeting available and easily accessible to the public using press releases, social </w:t>
      </w:r>
      <w:r w:rsidR="00847B99">
        <w:rPr>
          <w:rFonts w:asciiTheme="minorBidi" w:hAnsiTheme="minorBidi"/>
          <w:sz w:val="20"/>
          <w:szCs w:val="20"/>
        </w:rPr>
        <w:t>media</w:t>
      </w:r>
      <w:r w:rsidR="00F82D5A" w:rsidRPr="00827CF2">
        <w:rPr>
          <w:rFonts w:asciiTheme="minorBidi" w:hAnsiTheme="minorBidi"/>
          <w:sz w:val="20"/>
          <w:szCs w:val="20"/>
        </w:rPr>
        <w:t>, and online publications</w:t>
      </w:r>
      <w:r w:rsidR="003F7E18" w:rsidRPr="00827CF2">
        <w:rPr>
          <w:rFonts w:asciiTheme="minorBidi" w:hAnsiTheme="minorBidi"/>
          <w:sz w:val="20"/>
          <w:szCs w:val="20"/>
        </w:rPr>
        <w:t xml:space="preserve"> (OECD, 2024).</w:t>
      </w:r>
      <w:r w:rsidR="00F82D5A" w:rsidRPr="00827CF2">
        <w:rPr>
          <w:rFonts w:asciiTheme="minorBidi" w:hAnsiTheme="minorBidi"/>
          <w:sz w:val="20"/>
          <w:szCs w:val="20"/>
        </w:rPr>
        <w:t xml:space="preserve"> </w:t>
      </w:r>
    </w:p>
    <w:p w14:paraId="0C0D1BBC" w14:textId="0534DBAC"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The </w:t>
      </w:r>
      <w:r w:rsidR="003077B6" w:rsidRPr="00827CF2">
        <w:rPr>
          <w:rFonts w:asciiTheme="minorBidi" w:hAnsiTheme="minorBidi"/>
          <w:sz w:val="20"/>
          <w:szCs w:val="20"/>
        </w:rPr>
        <w:t>proposed</w:t>
      </w:r>
      <w:r w:rsidRPr="00827CF2">
        <w:rPr>
          <w:rFonts w:asciiTheme="minorBidi" w:hAnsiTheme="minorBidi"/>
          <w:sz w:val="20"/>
          <w:szCs w:val="20"/>
        </w:rPr>
        <w:t xml:space="preserve"> National and State Green Budget Councils </w:t>
      </w:r>
      <w:r w:rsidR="00604A86" w:rsidRPr="00827CF2">
        <w:rPr>
          <w:rFonts w:asciiTheme="minorBidi" w:hAnsiTheme="minorBidi"/>
          <w:sz w:val="20"/>
          <w:szCs w:val="20"/>
        </w:rPr>
        <w:t>can</w:t>
      </w:r>
      <w:r w:rsidRPr="00827CF2">
        <w:rPr>
          <w:rFonts w:asciiTheme="minorBidi" w:hAnsiTheme="minorBidi"/>
          <w:sz w:val="20"/>
          <w:szCs w:val="20"/>
        </w:rPr>
        <w:t xml:space="preserve"> act as monitoring bodies</w:t>
      </w:r>
      <w:r w:rsidR="00604A86" w:rsidRPr="00827CF2">
        <w:rPr>
          <w:rFonts w:asciiTheme="minorBidi" w:hAnsiTheme="minorBidi"/>
          <w:sz w:val="20"/>
          <w:szCs w:val="20"/>
        </w:rPr>
        <w:t xml:space="preserve"> in India</w:t>
      </w:r>
      <w:r w:rsidRPr="00827CF2">
        <w:rPr>
          <w:rFonts w:asciiTheme="minorBidi" w:hAnsiTheme="minorBidi"/>
          <w:sz w:val="20"/>
          <w:szCs w:val="20"/>
        </w:rPr>
        <w:t xml:space="preserve">, as mentioned earlier. In addition to these councils, independent oversight institutions such as independent fiscal institutions, auditory bodies and think tanks will be involved in assessing and scrutinizing the Green Budgets. The scrutiny performed by oversight institutions helps to ensure an informed parliament and public in relation to the fiscal outlook that is contained in budgets and forecasts. </w:t>
      </w:r>
      <w:r w:rsidR="008918D9" w:rsidRPr="00827CF2">
        <w:rPr>
          <w:rFonts w:asciiTheme="minorBidi" w:hAnsiTheme="minorBidi"/>
          <w:sz w:val="20"/>
          <w:szCs w:val="20"/>
        </w:rPr>
        <w:t xml:space="preserve">For instance, in France, the national Court of Audit </w:t>
      </w:r>
      <w:r w:rsidR="00AE4208" w:rsidRPr="00827CF2">
        <w:rPr>
          <w:rFonts w:asciiTheme="minorBidi" w:hAnsiTheme="minorBidi"/>
          <w:sz w:val="20"/>
          <w:szCs w:val="20"/>
        </w:rPr>
        <w:t>monitors the G</w:t>
      </w:r>
      <w:r w:rsidR="008918D9" w:rsidRPr="00827CF2">
        <w:rPr>
          <w:rFonts w:asciiTheme="minorBidi" w:hAnsiTheme="minorBidi"/>
          <w:sz w:val="20"/>
          <w:szCs w:val="20"/>
        </w:rPr>
        <w:t xml:space="preserve">reen </w:t>
      </w:r>
      <w:r w:rsidR="00AE4208" w:rsidRPr="00827CF2">
        <w:rPr>
          <w:rFonts w:asciiTheme="minorBidi" w:hAnsiTheme="minorBidi"/>
          <w:sz w:val="20"/>
          <w:szCs w:val="20"/>
        </w:rPr>
        <w:t>B</w:t>
      </w:r>
      <w:r w:rsidR="008918D9" w:rsidRPr="00827CF2">
        <w:rPr>
          <w:rFonts w:asciiTheme="minorBidi" w:hAnsiTheme="minorBidi"/>
          <w:sz w:val="20"/>
          <w:szCs w:val="20"/>
        </w:rPr>
        <w:t>udgeting methodology</w:t>
      </w:r>
      <w:r w:rsidR="00AE4208" w:rsidRPr="00827CF2">
        <w:rPr>
          <w:rFonts w:asciiTheme="minorBidi" w:hAnsiTheme="minorBidi"/>
          <w:sz w:val="20"/>
          <w:szCs w:val="20"/>
        </w:rPr>
        <w:t>.</w:t>
      </w:r>
    </w:p>
    <w:p w14:paraId="6DEDA9AD" w14:textId="414EED93"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The participation of civil society in the green budgeting process is a practice that can strengthen the credibility and social acceptability of green budgeting. There are various means to integrate civil society into budget processes, such as </w:t>
      </w:r>
      <w:r w:rsidR="00702551">
        <w:rPr>
          <w:rFonts w:asciiTheme="minorBidi" w:hAnsiTheme="minorBidi"/>
          <w:sz w:val="20"/>
          <w:szCs w:val="20"/>
        </w:rPr>
        <w:t>citizens'</w:t>
      </w:r>
      <w:r w:rsidR="00702551" w:rsidRPr="00827CF2">
        <w:rPr>
          <w:rFonts w:asciiTheme="minorBidi" w:hAnsiTheme="minorBidi"/>
          <w:sz w:val="20"/>
          <w:szCs w:val="20"/>
        </w:rPr>
        <w:t xml:space="preserve"> </w:t>
      </w:r>
      <w:r w:rsidRPr="00827CF2">
        <w:rPr>
          <w:rFonts w:asciiTheme="minorBidi" w:hAnsiTheme="minorBidi"/>
          <w:sz w:val="20"/>
          <w:szCs w:val="20"/>
        </w:rPr>
        <w:t xml:space="preserve">commissions, public inquiries, and collaborative procedures. </w:t>
      </w:r>
    </w:p>
    <w:p w14:paraId="614C109F" w14:textId="1C34C9C5" w:rsidR="003251AA" w:rsidRPr="00827CF2" w:rsidRDefault="003251AA" w:rsidP="00F75549">
      <w:pPr>
        <w:spacing w:line="276" w:lineRule="auto"/>
        <w:jc w:val="both"/>
        <w:rPr>
          <w:rFonts w:asciiTheme="minorBidi" w:hAnsiTheme="minorBidi"/>
          <w:sz w:val="20"/>
          <w:szCs w:val="20"/>
        </w:rPr>
      </w:pPr>
      <w:r w:rsidRPr="00827CF2">
        <w:rPr>
          <w:rFonts w:asciiTheme="minorBidi" w:hAnsiTheme="minorBidi"/>
          <w:sz w:val="20"/>
          <w:szCs w:val="20"/>
        </w:rPr>
        <w:t xml:space="preserve">The participation of civil society in the green budgeting process has increased from 5 OECD countries in 2020 to 12 OECD countries in 2022. </w:t>
      </w:r>
      <w:r w:rsidR="00BD1888" w:rsidRPr="00827CF2">
        <w:rPr>
          <w:rFonts w:asciiTheme="minorBidi" w:hAnsiTheme="minorBidi"/>
          <w:sz w:val="20"/>
          <w:szCs w:val="20"/>
        </w:rPr>
        <w:t>For instance, in Denmark</w:t>
      </w:r>
      <w:r w:rsidR="003E1C7A" w:rsidRPr="00827CF2">
        <w:rPr>
          <w:rFonts w:asciiTheme="minorBidi" w:hAnsiTheme="minorBidi"/>
          <w:sz w:val="20"/>
          <w:szCs w:val="20"/>
        </w:rPr>
        <w:t xml:space="preserve"> t</w:t>
      </w:r>
      <w:r w:rsidR="00BD1888" w:rsidRPr="00827CF2">
        <w:rPr>
          <w:rFonts w:asciiTheme="minorBidi" w:hAnsiTheme="minorBidi"/>
          <w:sz w:val="20"/>
          <w:szCs w:val="20"/>
        </w:rPr>
        <w:t>he Danish “</w:t>
      </w:r>
      <w:proofErr w:type="spellStart"/>
      <w:r w:rsidR="00BD1888" w:rsidRPr="00827CF2">
        <w:rPr>
          <w:rFonts w:asciiTheme="minorBidi" w:hAnsiTheme="minorBidi"/>
          <w:sz w:val="20"/>
          <w:szCs w:val="20"/>
        </w:rPr>
        <w:t>borgerting</w:t>
      </w:r>
      <w:proofErr w:type="spellEnd"/>
      <w:r w:rsidR="00BD1888" w:rsidRPr="00827CF2">
        <w:rPr>
          <w:rFonts w:asciiTheme="minorBidi" w:hAnsiTheme="minorBidi"/>
          <w:sz w:val="20"/>
          <w:szCs w:val="20"/>
        </w:rPr>
        <w:t>” was established within the Climate Act as a body that has 99</w:t>
      </w:r>
      <w:r w:rsidR="003E1C7A" w:rsidRPr="00827CF2">
        <w:rPr>
          <w:rFonts w:asciiTheme="minorBidi" w:hAnsiTheme="minorBidi"/>
          <w:sz w:val="20"/>
          <w:szCs w:val="20"/>
        </w:rPr>
        <w:t xml:space="preserve"> </w:t>
      </w:r>
      <w:r w:rsidR="00BD1888" w:rsidRPr="00827CF2">
        <w:rPr>
          <w:rFonts w:asciiTheme="minorBidi" w:hAnsiTheme="minorBidi"/>
          <w:sz w:val="20"/>
          <w:szCs w:val="20"/>
        </w:rPr>
        <w:t>members who are to be representative of the Danish population</w:t>
      </w:r>
      <w:r w:rsidR="006A21F7" w:rsidRPr="00827CF2">
        <w:rPr>
          <w:rFonts w:asciiTheme="minorBidi" w:hAnsiTheme="minorBidi"/>
          <w:sz w:val="20"/>
          <w:szCs w:val="20"/>
        </w:rPr>
        <w:t xml:space="preserve"> and in Sweden all major decisions are preceded by public inquiries which are tasked with consulting those concerned central authorities, the business community and civil society</w:t>
      </w:r>
      <w:r w:rsidR="00700FA1" w:rsidRPr="00827CF2">
        <w:rPr>
          <w:rFonts w:asciiTheme="minorBidi" w:hAnsiTheme="minorBidi"/>
          <w:sz w:val="20"/>
          <w:szCs w:val="20"/>
        </w:rPr>
        <w:t xml:space="preserve"> (OECD, 2024).</w:t>
      </w:r>
    </w:p>
    <w:p w14:paraId="5303FF5B" w14:textId="33D70D90" w:rsidR="00AB1E56" w:rsidRPr="004B0654" w:rsidRDefault="00906AB6"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Establishing an Enabling Environment for Green Budgeting</w:t>
      </w:r>
    </w:p>
    <w:p w14:paraId="128DD5C6" w14:textId="77777777" w:rsidR="005077DF" w:rsidRPr="00827CF2" w:rsidRDefault="005077DF" w:rsidP="00202BF3">
      <w:pPr>
        <w:rPr>
          <w:rFonts w:asciiTheme="minorBidi" w:hAnsiTheme="minorBidi"/>
          <w:sz w:val="20"/>
          <w:szCs w:val="20"/>
        </w:rPr>
      </w:pPr>
    </w:p>
    <w:p w14:paraId="594CBC8C" w14:textId="0BFCFF57" w:rsidR="007D4762" w:rsidRPr="00827CF2" w:rsidRDefault="002B196F" w:rsidP="00F75549">
      <w:pPr>
        <w:spacing w:line="276" w:lineRule="auto"/>
        <w:jc w:val="both"/>
        <w:rPr>
          <w:rFonts w:asciiTheme="minorBidi" w:hAnsiTheme="minorBidi"/>
          <w:sz w:val="20"/>
          <w:szCs w:val="20"/>
        </w:rPr>
      </w:pPr>
      <w:r w:rsidRPr="00827CF2">
        <w:rPr>
          <w:rFonts w:asciiTheme="minorBidi" w:hAnsiTheme="minorBidi"/>
          <w:sz w:val="20"/>
          <w:szCs w:val="20"/>
        </w:rPr>
        <w:t xml:space="preserve">A conducive enabling environment is essential to ensure the sustainability and continuous improvement of Green Budgeting efforts. Key components include the provision of targeted training and capacity development, </w:t>
      </w:r>
      <w:r w:rsidR="008B5341">
        <w:rPr>
          <w:rFonts w:asciiTheme="minorBidi" w:hAnsiTheme="minorBidi"/>
          <w:sz w:val="20"/>
          <w:szCs w:val="20"/>
        </w:rPr>
        <w:t>the establishment of effective coordination mechanisms among ministries and stakeholders, and the availability of clear, practical guidance for implementing</w:t>
      </w:r>
      <w:r w:rsidRPr="00827CF2">
        <w:rPr>
          <w:rFonts w:asciiTheme="minorBidi" w:hAnsiTheme="minorBidi"/>
          <w:sz w:val="20"/>
          <w:szCs w:val="20"/>
        </w:rPr>
        <w:t xml:space="preserve"> green budgeting tools.</w:t>
      </w:r>
      <w:r w:rsidR="001E29DE" w:rsidRPr="00827CF2">
        <w:rPr>
          <w:rFonts w:asciiTheme="minorBidi" w:hAnsiTheme="minorBidi"/>
          <w:sz w:val="20"/>
          <w:szCs w:val="20"/>
        </w:rPr>
        <w:t xml:space="preserve"> </w:t>
      </w:r>
      <w:r w:rsidR="00423B70" w:rsidRPr="00827CF2">
        <w:rPr>
          <w:rFonts w:asciiTheme="minorBidi" w:hAnsiTheme="minorBidi"/>
          <w:sz w:val="20"/>
          <w:szCs w:val="20"/>
        </w:rPr>
        <w:t xml:space="preserve">These fall under the responsibilities of the Central and State Green Budget Councils, as previously mentioned. </w:t>
      </w:r>
    </w:p>
    <w:p w14:paraId="27A3E375" w14:textId="302D4D54" w:rsidR="00D644AA" w:rsidRPr="00827CF2" w:rsidRDefault="00D644AA" w:rsidP="00F75549">
      <w:pPr>
        <w:spacing w:line="276" w:lineRule="auto"/>
        <w:jc w:val="both"/>
        <w:rPr>
          <w:rFonts w:asciiTheme="minorBidi" w:hAnsiTheme="minorBidi"/>
          <w:sz w:val="20"/>
          <w:szCs w:val="20"/>
        </w:rPr>
      </w:pPr>
      <w:r w:rsidRPr="00827CF2">
        <w:rPr>
          <w:rFonts w:asciiTheme="minorBidi" w:hAnsiTheme="minorBidi"/>
          <w:sz w:val="20"/>
          <w:szCs w:val="20"/>
        </w:rPr>
        <w:t>In 2022, 13 OECD countries implemented training and skills development. The most common components supporting the implementation of green budgeting were training and skills development within line ministries (10 countries). Moreover, eight countries had specific training programmes for finance ministries</w:t>
      </w:r>
      <w:r w:rsidR="00A77890" w:rsidRPr="00827CF2">
        <w:rPr>
          <w:rFonts w:asciiTheme="minorBidi" w:hAnsiTheme="minorBidi"/>
          <w:sz w:val="20"/>
          <w:szCs w:val="20"/>
        </w:rPr>
        <w:t xml:space="preserve"> (OECD, 2024).</w:t>
      </w:r>
    </w:p>
    <w:p w14:paraId="51933C65" w14:textId="77777777" w:rsidR="00465703" w:rsidRPr="006E13CD" w:rsidRDefault="00465703" w:rsidP="00F75549">
      <w:pPr>
        <w:spacing w:line="276" w:lineRule="auto"/>
        <w:jc w:val="both"/>
        <w:rPr>
          <w:rFonts w:asciiTheme="minorBidi" w:hAnsiTheme="minorBidi"/>
        </w:rPr>
      </w:pPr>
    </w:p>
    <w:p w14:paraId="1880D3EC" w14:textId="642D35D7" w:rsidR="00465703" w:rsidRPr="001839D8" w:rsidRDefault="00465703"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Assessing the impact of Green Budgeting on the Environment</w:t>
      </w:r>
    </w:p>
    <w:p w14:paraId="2CE8DE1B" w14:textId="77777777" w:rsidR="005077DF" w:rsidRPr="00827CF2" w:rsidRDefault="005077DF" w:rsidP="00202BF3">
      <w:pPr>
        <w:rPr>
          <w:rFonts w:asciiTheme="minorBidi" w:hAnsiTheme="minorBidi"/>
          <w:sz w:val="20"/>
          <w:szCs w:val="20"/>
        </w:rPr>
      </w:pPr>
    </w:p>
    <w:p w14:paraId="214EC76C" w14:textId="03DC6568"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Lastly, the government</w:t>
      </w:r>
      <w:r w:rsidR="00A27F99">
        <w:rPr>
          <w:rFonts w:asciiTheme="minorBidi" w:hAnsiTheme="minorBidi"/>
          <w:sz w:val="20"/>
          <w:szCs w:val="20"/>
        </w:rPr>
        <w:t>,</w:t>
      </w:r>
      <w:r w:rsidRPr="00827CF2">
        <w:rPr>
          <w:rFonts w:asciiTheme="minorBidi" w:hAnsiTheme="minorBidi"/>
          <w:sz w:val="20"/>
          <w:szCs w:val="20"/>
        </w:rPr>
        <w:t xml:space="preserve"> with the help of the National Green Budget Council and the State Green Budget Councils</w:t>
      </w:r>
      <w:r w:rsidR="00156413">
        <w:rPr>
          <w:rFonts w:asciiTheme="minorBidi" w:hAnsiTheme="minorBidi"/>
          <w:sz w:val="20"/>
          <w:szCs w:val="20"/>
        </w:rPr>
        <w:t>,</w:t>
      </w:r>
      <w:r w:rsidRPr="00827CF2">
        <w:rPr>
          <w:rFonts w:asciiTheme="minorBidi" w:hAnsiTheme="minorBidi"/>
          <w:sz w:val="20"/>
          <w:szCs w:val="20"/>
        </w:rPr>
        <w:t xml:space="preserve"> needs to identify environmental performance indicators whose trends can be </w:t>
      </w:r>
      <w:r w:rsidRPr="00827CF2">
        <w:rPr>
          <w:rFonts w:asciiTheme="minorBidi" w:hAnsiTheme="minorBidi"/>
          <w:sz w:val="20"/>
          <w:szCs w:val="20"/>
        </w:rPr>
        <w:lastRenderedPageBreak/>
        <w:t xml:space="preserve">tracked to assess the impact of Green Budgeting on the environment and whether Green Budgeting is successful in achieving its </w:t>
      </w:r>
      <w:r w:rsidR="000D1239">
        <w:rPr>
          <w:rFonts w:asciiTheme="minorBidi" w:hAnsiTheme="minorBidi"/>
          <w:sz w:val="20"/>
          <w:szCs w:val="20"/>
        </w:rPr>
        <w:t>primary</w:t>
      </w:r>
      <w:r w:rsidR="000D1239" w:rsidRPr="00827CF2">
        <w:rPr>
          <w:rFonts w:asciiTheme="minorBidi" w:hAnsiTheme="minorBidi"/>
          <w:sz w:val="20"/>
          <w:szCs w:val="20"/>
        </w:rPr>
        <w:t xml:space="preserve"> </w:t>
      </w:r>
      <w:r w:rsidRPr="00827CF2">
        <w:rPr>
          <w:rFonts w:asciiTheme="minorBidi" w:hAnsiTheme="minorBidi"/>
          <w:sz w:val="20"/>
          <w:szCs w:val="20"/>
        </w:rPr>
        <w:t>objectives of environmental conservation, climate change mitigation and adaptation.</w:t>
      </w:r>
    </w:p>
    <w:p w14:paraId="73E7785E" w14:textId="404601F4" w:rsidR="008C0AFD" w:rsidRPr="00827CF2" w:rsidRDefault="00320322" w:rsidP="00F75549">
      <w:pPr>
        <w:spacing w:line="276" w:lineRule="auto"/>
        <w:jc w:val="both"/>
        <w:rPr>
          <w:rFonts w:asciiTheme="minorBidi" w:hAnsiTheme="minorBidi"/>
          <w:sz w:val="20"/>
          <w:szCs w:val="20"/>
        </w:rPr>
      </w:pPr>
      <w:r w:rsidRPr="00827CF2">
        <w:rPr>
          <w:rFonts w:asciiTheme="minorBidi" w:hAnsiTheme="minorBidi"/>
          <w:sz w:val="20"/>
          <w:szCs w:val="20"/>
        </w:rPr>
        <w:t>As of 2022, 11 OECD countries had introduced climate and environmental variables to monitor the execution of some or all budget programmes</w:t>
      </w:r>
      <w:r w:rsidR="00CB38A0" w:rsidRPr="00827CF2">
        <w:rPr>
          <w:rFonts w:asciiTheme="minorBidi" w:hAnsiTheme="minorBidi"/>
          <w:sz w:val="20"/>
          <w:szCs w:val="20"/>
        </w:rPr>
        <w:t xml:space="preserve"> (OECD, 2024).</w:t>
      </w:r>
    </w:p>
    <w:p w14:paraId="3405BFEB" w14:textId="77777777" w:rsidR="003E0760" w:rsidRPr="00827CF2" w:rsidRDefault="003E0760" w:rsidP="00F75549">
      <w:pPr>
        <w:spacing w:line="276" w:lineRule="auto"/>
        <w:jc w:val="both"/>
        <w:rPr>
          <w:rFonts w:asciiTheme="minorBidi" w:hAnsiTheme="minorBidi"/>
          <w:sz w:val="20"/>
          <w:szCs w:val="20"/>
        </w:rPr>
      </w:pPr>
    </w:p>
    <w:p w14:paraId="45AAD38E" w14:textId="674B4D6C" w:rsidR="008C0AFD" w:rsidRPr="001839D8" w:rsidRDefault="005667FA"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t>Formulating an Index</w:t>
      </w:r>
      <w:r w:rsidR="00147D8E" w:rsidRPr="004B0654">
        <w:rPr>
          <w:rFonts w:asciiTheme="minorBidi" w:hAnsiTheme="minorBidi" w:cstheme="minorBidi"/>
          <w:sz w:val="22"/>
          <w:szCs w:val="22"/>
        </w:rPr>
        <w:t xml:space="preserve"> to a</w:t>
      </w:r>
      <w:r w:rsidR="00A130F2" w:rsidRPr="004B0654">
        <w:rPr>
          <w:rFonts w:asciiTheme="minorBidi" w:hAnsiTheme="minorBidi" w:cstheme="minorBidi"/>
          <w:sz w:val="22"/>
          <w:szCs w:val="22"/>
        </w:rPr>
        <w:t>ss</w:t>
      </w:r>
      <w:r w:rsidR="00147D8E" w:rsidRPr="004B0654">
        <w:rPr>
          <w:rFonts w:asciiTheme="minorBidi" w:hAnsiTheme="minorBidi" w:cstheme="minorBidi"/>
          <w:sz w:val="22"/>
          <w:szCs w:val="22"/>
        </w:rPr>
        <w:t xml:space="preserve">ess the </w:t>
      </w:r>
      <w:r w:rsidR="00B73F9B" w:rsidRPr="004B0654">
        <w:rPr>
          <w:rFonts w:asciiTheme="minorBidi" w:hAnsiTheme="minorBidi" w:cstheme="minorBidi"/>
          <w:sz w:val="22"/>
          <w:szCs w:val="22"/>
        </w:rPr>
        <w:t>implementation of Green Budgeting</w:t>
      </w:r>
    </w:p>
    <w:p w14:paraId="21299EBB" w14:textId="77777777" w:rsidR="005077DF" w:rsidRPr="00827CF2" w:rsidRDefault="005077DF" w:rsidP="00202BF3">
      <w:pPr>
        <w:rPr>
          <w:rFonts w:asciiTheme="minorBidi" w:hAnsiTheme="minorBidi"/>
          <w:sz w:val="20"/>
          <w:szCs w:val="20"/>
        </w:rPr>
      </w:pPr>
    </w:p>
    <w:p w14:paraId="40B9A4F6" w14:textId="26492997" w:rsidR="00422F34" w:rsidRPr="00827CF2" w:rsidRDefault="00153E21" w:rsidP="00B23920">
      <w:pPr>
        <w:spacing w:line="276" w:lineRule="auto"/>
        <w:jc w:val="both"/>
        <w:rPr>
          <w:rFonts w:asciiTheme="minorBidi" w:hAnsiTheme="minorBidi"/>
          <w:sz w:val="20"/>
          <w:szCs w:val="20"/>
        </w:rPr>
      </w:pPr>
      <w:r w:rsidRPr="00827CF2">
        <w:rPr>
          <w:rFonts w:asciiTheme="minorBidi" w:hAnsiTheme="minorBidi"/>
          <w:sz w:val="20"/>
          <w:szCs w:val="20"/>
        </w:rPr>
        <w:t xml:space="preserve">The </w:t>
      </w:r>
      <w:r w:rsidR="0059248F" w:rsidRPr="00827CF2">
        <w:rPr>
          <w:rFonts w:asciiTheme="minorBidi" w:hAnsiTheme="minorBidi"/>
          <w:sz w:val="20"/>
          <w:szCs w:val="20"/>
        </w:rPr>
        <w:t xml:space="preserve">OECD has developed a Green Budgeting Index to assess the implementation of Green Budgeting across </w:t>
      </w:r>
      <w:r w:rsidRPr="00827CF2">
        <w:rPr>
          <w:rFonts w:asciiTheme="minorBidi" w:hAnsiTheme="minorBidi"/>
          <w:sz w:val="20"/>
          <w:szCs w:val="20"/>
        </w:rPr>
        <w:t>its member</w:t>
      </w:r>
      <w:r w:rsidR="0059248F" w:rsidRPr="00827CF2">
        <w:rPr>
          <w:rFonts w:asciiTheme="minorBidi" w:hAnsiTheme="minorBidi"/>
          <w:sz w:val="20"/>
          <w:szCs w:val="20"/>
        </w:rPr>
        <w:t xml:space="preserve"> countries</w:t>
      </w:r>
      <w:r w:rsidRPr="00827CF2">
        <w:rPr>
          <w:rFonts w:asciiTheme="minorBidi" w:hAnsiTheme="minorBidi"/>
          <w:sz w:val="20"/>
          <w:szCs w:val="20"/>
        </w:rPr>
        <w:t>. This index quantifies</w:t>
      </w:r>
      <w:r w:rsidR="0059248F" w:rsidRPr="00827CF2">
        <w:rPr>
          <w:rFonts w:asciiTheme="minorBidi" w:hAnsiTheme="minorBidi"/>
          <w:sz w:val="20"/>
          <w:szCs w:val="20"/>
        </w:rPr>
        <w:t xml:space="preserve"> the measures in place across each of the four building blocks </w:t>
      </w:r>
      <w:r w:rsidRPr="00827CF2">
        <w:rPr>
          <w:rFonts w:asciiTheme="minorBidi" w:hAnsiTheme="minorBidi"/>
          <w:sz w:val="20"/>
          <w:szCs w:val="20"/>
        </w:rPr>
        <w:t>of</w:t>
      </w:r>
      <w:r w:rsidR="0059248F" w:rsidRPr="00827CF2">
        <w:rPr>
          <w:rFonts w:asciiTheme="minorBidi" w:hAnsiTheme="minorBidi"/>
          <w:sz w:val="20"/>
          <w:szCs w:val="20"/>
        </w:rPr>
        <w:t xml:space="preserve"> the OECD Green Budgeting Framework.</w:t>
      </w:r>
      <w:r w:rsidR="00B44DE6" w:rsidRPr="00827CF2">
        <w:rPr>
          <w:rFonts w:asciiTheme="minorBidi" w:hAnsiTheme="minorBidi"/>
          <w:sz w:val="20"/>
          <w:szCs w:val="20"/>
        </w:rPr>
        <w:t xml:space="preserve"> </w:t>
      </w:r>
      <w:r w:rsidR="00F03D92" w:rsidRPr="00827CF2">
        <w:rPr>
          <w:rFonts w:asciiTheme="minorBidi" w:hAnsiTheme="minorBidi"/>
          <w:sz w:val="20"/>
          <w:szCs w:val="20"/>
        </w:rPr>
        <w:t>By conducting an</w:t>
      </w:r>
      <w:r w:rsidRPr="00827CF2">
        <w:rPr>
          <w:rFonts w:asciiTheme="minorBidi" w:hAnsiTheme="minorBidi"/>
          <w:sz w:val="20"/>
          <w:szCs w:val="20"/>
        </w:rPr>
        <w:t xml:space="preserve"> empirical</w:t>
      </w:r>
      <w:r w:rsidR="00B44DE6" w:rsidRPr="00827CF2">
        <w:rPr>
          <w:rFonts w:asciiTheme="minorBidi" w:hAnsiTheme="minorBidi"/>
          <w:sz w:val="20"/>
          <w:szCs w:val="20"/>
        </w:rPr>
        <w:t xml:space="preserve"> trend analysis</w:t>
      </w:r>
      <w:r w:rsidRPr="00827CF2">
        <w:rPr>
          <w:rFonts w:asciiTheme="minorBidi" w:hAnsiTheme="minorBidi"/>
          <w:sz w:val="20"/>
          <w:szCs w:val="20"/>
        </w:rPr>
        <w:t xml:space="preserve">, </w:t>
      </w:r>
      <w:r w:rsidR="001E7E72" w:rsidRPr="00827CF2">
        <w:rPr>
          <w:rFonts w:asciiTheme="minorBidi" w:hAnsiTheme="minorBidi"/>
          <w:sz w:val="20"/>
          <w:szCs w:val="20"/>
        </w:rPr>
        <w:t>we have</w:t>
      </w:r>
      <w:r w:rsidRPr="00827CF2">
        <w:rPr>
          <w:rFonts w:asciiTheme="minorBidi" w:hAnsiTheme="minorBidi"/>
          <w:sz w:val="20"/>
          <w:szCs w:val="20"/>
        </w:rPr>
        <w:t xml:space="preserve"> observed that </w:t>
      </w:r>
      <w:r w:rsidR="000C203B" w:rsidRPr="00827CF2">
        <w:rPr>
          <w:rFonts w:asciiTheme="minorBidi" w:hAnsiTheme="minorBidi"/>
          <w:sz w:val="20"/>
          <w:szCs w:val="20"/>
        </w:rPr>
        <w:t xml:space="preserve">countries </w:t>
      </w:r>
      <w:r w:rsidRPr="00827CF2">
        <w:rPr>
          <w:rFonts w:asciiTheme="minorBidi" w:hAnsiTheme="minorBidi"/>
          <w:sz w:val="20"/>
          <w:szCs w:val="20"/>
        </w:rPr>
        <w:t>performing</w:t>
      </w:r>
      <w:r w:rsidR="000C203B" w:rsidRPr="00827CF2">
        <w:rPr>
          <w:rFonts w:asciiTheme="minorBidi" w:hAnsiTheme="minorBidi"/>
          <w:sz w:val="20"/>
          <w:szCs w:val="20"/>
        </w:rPr>
        <w:t xml:space="preserve"> well </w:t>
      </w:r>
      <w:r w:rsidRPr="00827CF2">
        <w:rPr>
          <w:rFonts w:asciiTheme="minorBidi" w:hAnsiTheme="minorBidi"/>
          <w:sz w:val="20"/>
          <w:szCs w:val="20"/>
        </w:rPr>
        <w:t>on</w:t>
      </w:r>
      <w:r w:rsidR="00DB12BF" w:rsidRPr="00827CF2">
        <w:rPr>
          <w:rFonts w:asciiTheme="minorBidi" w:hAnsiTheme="minorBidi"/>
          <w:sz w:val="20"/>
          <w:szCs w:val="20"/>
        </w:rPr>
        <w:t xml:space="preserve"> the </w:t>
      </w:r>
      <w:r w:rsidR="00D84519" w:rsidRPr="00827CF2">
        <w:rPr>
          <w:rFonts w:asciiTheme="minorBidi" w:hAnsiTheme="minorBidi"/>
          <w:sz w:val="20"/>
          <w:szCs w:val="20"/>
        </w:rPr>
        <w:t xml:space="preserve">OECD </w:t>
      </w:r>
      <w:r w:rsidR="00DB12BF" w:rsidRPr="00827CF2">
        <w:rPr>
          <w:rFonts w:asciiTheme="minorBidi" w:hAnsiTheme="minorBidi"/>
          <w:sz w:val="20"/>
          <w:szCs w:val="20"/>
        </w:rPr>
        <w:t xml:space="preserve">Green Budgeting Index </w:t>
      </w:r>
      <w:r w:rsidRPr="00827CF2">
        <w:rPr>
          <w:rFonts w:asciiTheme="minorBidi" w:hAnsiTheme="minorBidi"/>
          <w:sz w:val="20"/>
          <w:szCs w:val="20"/>
        </w:rPr>
        <w:t>(Good Performers) have seen</w:t>
      </w:r>
      <w:r w:rsidR="00792BD9" w:rsidRPr="00827CF2">
        <w:rPr>
          <w:rFonts w:asciiTheme="minorBidi" w:hAnsiTheme="minorBidi"/>
          <w:sz w:val="20"/>
          <w:szCs w:val="20"/>
        </w:rPr>
        <w:t xml:space="preserve"> </w:t>
      </w:r>
      <w:r w:rsidR="009F2052" w:rsidRPr="00827CF2">
        <w:rPr>
          <w:rFonts w:asciiTheme="minorBidi" w:hAnsiTheme="minorBidi"/>
          <w:sz w:val="20"/>
          <w:szCs w:val="20"/>
        </w:rPr>
        <w:t>greater improvements in their environmental indicators</w:t>
      </w:r>
      <w:r w:rsidR="00981CE4" w:rsidRPr="00827CF2">
        <w:rPr>
          <w:rFonts w:asciiTheme="minorBidi" w:hAnsiTheme="minorBidi"/>
          <w:sz w:val="20"/>
          <w:szCs w:val="20"/>
        </w:rPr>
        <w:t xml:space="preserve"> </w:t>
      </w:r>
      <w:r w:rsidRPr="00827CF2">
        <w:rPr>
          <w:rFonts w:asciiTheme="minorBidi" w:hAnsiTheme="minorBidi"/>
          <w:sz w:val="20"/>
          <w:szCs w:val="20"/>
        </w:rPr>
        <w:t xml:space="preserve">compared to </w:t>
      </w:r>
      <w:r w:rsidR="00981CE4" w:rsidRPr="00827CF2">
        <w:rPr>
          <w:rFonts w:asciiTheme="minorBidi" w:hAnsiTheme="minorBidi"/>
          <w:sz w:val="20"/>
          <w:szCs w:val="20"/>
        </w:rPr>
        <w:t>countries</w:t>
      </w:r>
      <w:r w:rsidR="009D3D01" w:rsidRPr="00827CF2">
        <w:rPr>
          <w:rFonts w:asciiTheme="minorBidi" w:hAnsiTheme="minorBidi"/>
          <w:sz w:val="20"/>
          <w:szCs w:val="20"/>
        </w:rPr>
        <w:t xml:space="preserve"> </w:t>
      </w:r>
      <w:r w:rsidRPr="00827CF2">
        <w:rPr>
          <w:rFonts w:asciiTheme="minorBidi" w:hAnsiTheme="minorBidi"/>
          <w:sz w:val="20"/>
          <w:szCs w:val="20"/>
        </w:rPr>
        <w:t xml:space="preserve">with </w:t>
      </w:r>
      <w:r w:rsidR="00492002" w:rsidRPr="00827CF2">
        <w:rPr>
          <w:rFonts w:asciiTheme="minorBidi" w:hAnsiTheme="minorBidi"/>
          <w:sz w:val="20"/>
          <w:szCs w:val="20"/>
        </w:rPr>
        <w:t>poor</w:t>
      </w:r>
      <w:r w:rsidRPr="00827CF2">
        <w:rPr>
          <w:rFonts w:asciiTheme="minorBidi" w:hAnsiTheme="minorBidi"/>
          <w:sz w:val="20"/>
          <w:szCs w:val="20"/>
        </w:rPr>
        <w:t xml:space="preserve"> performance on the index (Bad Performers).</w:t>
      </w:r>
    </w:p>
    <w:p w14:paraId="02893C2A" w14:textId="58C5CA1A" w:rsidR="00224AAF" w:rsidRPr="00827CF2" w:rsidRDefault="00224AAF" w:rsidP="0072171E">
      <w:pPr>
        <w:pStyle w:val="Caption"/>
        <w:keepNext/>
        <w:spacing w:line="276" w:lineRule="auto"/>
        <w:jc w:val="both"/>
        <w:rPr>
          <w:rFonts w:asciiTheme="minorBidi" w:hAnsiTheme="minorBidi"/>
          <w:sz w:val="20"/>
          <w:szCs w:val="20"/>
        </w:rPr>
      </w:pPr>
      <w:r w:rsidRPr="00827CF2">
        <w:rPr>
          <w:rFonts w:asciiTheme="minorBidi" w:hAnsiTheme="minorBidi"/>
          <w:sz w:val="20"/>
          <w:szCs w:val="20"/>
        </w:rPr>
        <w:t xml:space="preserve">Figure </w:t>
      </w:r>
      <w:r w:rsidR="00CA784B" w:rsidRPr="00827CF2">
        <w:rPr>
          <w:rFonts w:asciiTheme="minorBidi" w:hAnsiTheme="minorBidi"/>
          <w:sz w:val="20"/>
          <w:szCs w:val="20"/>
        </w:rPr>
        <w:t>11</w:t>
      </w:r>
      <w:r w:rsidR="00E0062F" w:rsidRPr="00827CF2">
        <w:rPr>
          <w:rFonts w:asciiTheme="minorBidi" w:hAnsiTheme="minorBidi"/>
          <w:sz w:val="20"/>
          <w:szCs w:val="20"/>
        </w:rPr>
        <w:t xml:space="preserve">: </w:t>
      </w:r>
      <w:r w:rsidR="0072171E" w:rsidRPr="00827CF2">
        <w:rPr>
          <w:rFonts w:asciiTheme="minorBidi" w:hAnsiTheme="minorBidi"/>
          <w:sz w:val="20"/>
          <w:szCs w:val="20"/>
        </w:rPr>
        <w:t>Results of the Trend Analysis</w:t>
      </w:r>
    </w:p>
    <w:p w14:paraId="3419B856" w14:textId="59C19D06" w:rsidR="0072171E" w:rsidRPr="006E13CD" w:rsidRDefault="0072171E" w:rsidP="0072171E">
      <w:pPr>
        <w:rPr>
          <w:rFonts w:asciiTheme="minorBidi" w:hAnsiTheme="minorBidi"/>
        </w:rPr>
      </w:pPr>
      <w:r w:rsidRPr="006E13CD">
        <w:rPr>
          <w:rFonts w:asciiTheme="minorBidi" w:hAnsiTheme="minorBidi"/>
          <w:noProof/>
          <w:lang w:eastAsia="en-IN"/>
        </w:rPr>
        <w:drawing>
          <wp:inline distT="0" distB="0" distL="0" distR="0" wp14:anchorId="73B1CA97" wp14:editId="06B5F3C7">
            <wp:extent cx="5593080" cy="3246120"/>
            <wp:effectExtent l="19050" t="19050" r="26670" b="11430"/>
            <wp:docPr id="110673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080" cy="3246120"/>
                    </a:xfrm>
                    <a:prstGeom prst="rect">
                      <a:avLst/>
                    </a:prstGeom>
                    <a:noFill/>
                    <a:ln>
                      <a:solidFill>
                        <a:srgbClr val="4472C4"/>
                      </a:solidFill>
                    </a:ln>
                  </pic:spPr>
                </pic:pic>
              </a:graphicData>
            </a:graphic>
          </wp:inline>
        </w:drawing>
      </w:r>
    </w:p>
    <w:p w14:paraId="42EDF1C2" w14:textId="36E726D4" w:rsidR="0070012D" w:rsidRPr="00827CF2" w:rsidRDefault="0072171E" w:rsidP="0016116B">
      <w:pPr>
        <w:spacing w:line="276" w:lineRule="auto"/>
        <w:jc w:val="both"/>
        <w:rPr>
          <w:rFonts w:asciiTheme="minorBidi" w:hAnsiTheme="minorBidi"/>
          <w:sz w:val="20"/>
          <w:szCs w:val="20"/>
        </w:rPr>
      </w:pPr>
      <w:r w:rsidRPr="00827CF2">
        <w:rPr>
          <w:rFonts w:asciiTheme="minorBidi" w:hAnsiTheme="minorBidi"/>
          <w:sz w:val="20"/>
          <w:szCs w:val="20"/>
        </w:rPr>
        <w:t xml:space="preserve"> </w:t>
      </w:r>
      <w:r w:rsidRPr="00827CF2">
        <w:rPr>
          <w:rFonts w:asciiTheme="minorBidi" w:hAnsiTheme="minorBidi"/>
          <w:i/>
          <w:sz w:val="20"/>
          <w:szCs w:val="20"/>
        </w:rPr>
        <w:t xml:space="preserve">Source </w:t>
      </w:r>
      <w:r w:rsidR="0016116B" w:rsidRPr="00827CF2">
        <w:rPr>
          <w:rFonts w:asciiTheme="minorBidi" w:hAnsiTheme="minorBidi"/>
          <w:i/>
          <w:sz w:val="20"/>
          <w:szCs w:val="20"/>
        </w:rPr>
        <w:t>–</w:t>
      </w:r>
      <w:r w:rsidRPr="00827CF2">
        <w:rPr>
          <w:rFonts w:asciiTheme="minorBidi" w:hAnsiTheme="minorBidi"/>
          <w:i/>
          <w:sz w:val="20"/>
          <w:szCs w:val="20"/>
        </w:rPr>
        <w:t xml:space="preserve"> </w:t>
      </w:r>
      <w:r w:rsidR="0016116B" w:rsidRPr="00827CF2">
        <w:rPr>
          <w:rFonts w:asciiTheme="minorBidi" w:hAnsiTheme="minorBidi"/>
          <w:i/>
          <w:sz w:val="20"/>
          <w:szCs w:val="20"/>
        </w:rPr>
        <w:t>Author’s calculations</w:t>
      </w:r>
      <w:r w:rsidR="0070012D" w:rsidRPr="00827CF2">
        <w:rPr>
          <w:rFonts w:asciiTheme="minorBidi" w:hAnsiTheme="minorBidi"/>
          <w:sz w:val="20"/>
          <w:szCs w:val="20"/>
        </w:rPr>
        <w:t xml:space="preserve">, </w:t>
      </w:r>
      <w:r w:rsidR="0070012D" w:rsidRPr="00827CF2">
        <w:rPr>
          <w:rFonts w:asciiTheme="minorBidi" w:hAnsiTheme="minorBidi"/>
          <w:i/>
          <w:sz w:val="20"/>
          <w:szCs w:val="20"/>
        </w:rPr>
        <w:t>Data source - Emissions Database for Global Atmospheric Research (E</w:t>
      </w:r>
      <w:r w:rsidR="000A0B3C" w:rsidRPr="00827CF2">
        <w:rPr>
          <w:rFonts w:asciiTheme="minorBidi" w:hAnsiTheme="minorBidi"/>
          <w:i/>
          <w:sz w:val="20"/>
          <w:szCs w:val="20"/>
        </w:rPr>
        <w:t>DGAR</w:t>
      </w:r>
      <w:r w:rsidR="0082120C" w:rsidRPr="00827CF2">
        <w:rPr>
          <w:rFonts w:asciiTheme="minorBidi" w:hAnsiTheme="minorBidi"/>
          <w:i/>
          <w:sz w:val="20"/>
          <w:szCs w:val="20"/>
        </w:rPr>
        <w:t>)</w:t>
      </w:r>
      <w:r w:rsidR="0016116B" w:rsidRPr="00827CF2" w:rsidDel="00EF3774">
        <w:rPr>
          <w:rFonts w:asciiTheme="minorBidi" w:hAnsiTheme="minorBidi"/>
          <w:sz w:val="20"/>
          <w:szCs w:val="20"/>
        </w:rPr>
        <w:t xml:space="preserve"> </w:t>
      </w:r>
      <w:hyperlink r:id="rId25" w:anchor="data_download" w:history="1">
        <w:r w:rsidR="00146EFA" w:rsidRPr="00827CF2">
          <w:rPr>
            <w:rStyle w:val="Hyperlink"/>
            <w:rFonts w:asciiTheme="minorBidi" w:hAnsiTheme="minorBidi"/>
            <w:sz w:val="20"/>
            <w:szCs w:val="20"/>
          </w:rPr>
          <w:t>https://edgar.jrc.ec.europa.eu/report_2024?vis=co2tot#data_download</w:t>
        </w:r>
      </w:hyperlink>
    </w:p>
    <w:p w14:paraId="3F845950" w14:textId="6413C543" w:rsidR="001B6D6E" w:rsidRPr="00827CF2" w:rsidRDefault="0082109C" w:rsidP="00AD4450">
      <w:pPr>
        <w:spacing w:line="276" w:lineRule="auto"/>
        <w:jc w:val="both"/>
        <w:rPr>
          <w:rFonts w:asciiTheme="minorBidi" w:hAnsiTheme="minorBidi"/>
          <w:sz w:val="20"/>
          <w:szCs w:val="20"/>
        </w:rPr>
      </w:pPr>
      <w:r w:rsidRPr="00827CF2">
        <w:rPr>
          <w:rFonts w:asciiTheme="minorBidi" w:hAnsiTheme="minorBidi"/>
          <w:sz w:val="20"/>
          <w:szCs w:val="20"/>
        </w:rPr>
        <w:t>In this paper, we propose a</w:t>
      </w:r>
      <w:r w:rsidR="002A180C" w:rsidRPr="00827CF2">
        <w:rPr>
          <w:rFonts w:asciiTheme="minorBidi" w:hAnsiTheme="minorBidi"/>
          <w:sz w:val="20"/>
          <w:szCs w:val="20"/>
        </w:rPr>
        <w:t xml:space="preserve"> </w:t>
      </w:r>
      <w:r w:rsidR="00D42240" w:rsidRPr="00827CF2">
        <w:rPr>
          <w:rFonts w:asciiTheme="minorBidi" w:hAnsiTheme="minorBidi"/>
          <w:sz w:val="20"/>
          <w:szCs w:val="20"/>
        </w:rPr>
        <w:t>Green Budgeting Index</w:t>
      </w:r>
      <w:r w:rsidR="00AC24FE" w:rsidRPr="00827CF2">
        <w:rPr>
          <w:rFonts w:asciiTheme="minorBidi" w:hAnsiTheme="minorBidi"/>
          <w:sz w:val="20"/>
          <w:szCs w:val="20"/>
        </w:rPr>
        <w:t xml:space="preserve"> </w:t>
      </w:r>
      <w:r w:rsidR="00026A76">
        <w:rPr>
          <w:rFonts w:asciiTheme="minorBidi" w:hAnsiTheme="minorBidi"/>
          <w:sz w:val="20"/>
          <w:szCs w:val="20"/>
        </w:rPr>
        <w:t>tailored to the Indian context, drawing inspiration from the OECD's</w:t>
      </w:r>
      <w:r w:rsidR="002A180C" w:rsidRPr="00827CF2">
        <w:rPr>
          <w:rFonts w:asciiTheme="minorBidi" w:hAnsiTheme="minorBidi"/>
          <w:sz w:val="20"/>
          <w:szCs w:val="20"/>
        </w:rPr>
        <w:t xml:space="preserve"> Green Budgeting Index</w:t>
      </w:r>
      <w:r w:rsidR="007703CB" w:rsidRPr="00827CF2">
        <w:rPr>
          <w:rFonts w:asciiTheme="minorBidi" w:hAnsiTheme="minorBidi"/>
          <w:sz w:val="20"/>
          <w:szCs w:val="20"/>
        </w:rPr>
        <w:t>.</w:t>
      </w:r>
      <w:r w:rsidR="00DF4087" w:rsidRPr="00827CF2">
        <w:rPr>
          <w:rFonts w:asciiTheme="minorBidi" w:hAnsiTheme="minorBidi"/>
          <w:sz w:val="20"/>
          <w:szCs w:val="20"/>
        </w:rPr>
        <w:t xml:space="preserve"> </w:t>
      </w:r>
      <w:r w:rsidR="0080351A" w:rsidRPr="00827CF2">
        <w:rPr>
          <w:rFonts w:asciiTheme="minorBidi" w:hAnsiTheme="minorBidi"/>
          <w:sz w:val="20"/>
          <w:szCs w:val="20"/>
        </w:rPr>
        <w:t xml:space="preserve">This index would </w:t>
      </w:r>
      <w:r w:rsidR="008B4D63" w:rsidRPr="00827CF2">
        <w:rPr>
          <w:rFonts w:asciiTheme="minorBidi" w:hAnsiTheme="minorBidi"/>
          <w:sz w:val="20"/>
          <w:szCs w:val="20"/>
        </w:rPr>
        <w:t>facilitate the evaluation of state governments in India in terms of their performance in implementing Green Budgetin</w:t>
      </w:r>
      <w:r w:rsidR="00887934" w:rsidRPr="00827CF2">
        <w:rPr>
          <w:rFonts w:asciiTheme="minorBidi" w:hAnsiTheme="minorBidi"/>
          <w:sz w:val="20"/>
          <w:szCs w:val="20"/>
        </w:rPr>
        <w:t>g</w:t>
      </w:r>
      <w:r w:rsidR="007562EE" w:rsidRPr="00827CF2">
        <w:rPr>
          <w:rFonts w:asciiTheme="minorBidi" w:hAnsiTheme="minorBidi"/>
          <w:sz w:val="20"/>
          <w:szCs w:val="20"/>
        </w:rPr>
        <w:t>.</w:t>
      </w:r>
      <w:r w:rsidR="00587C2B" w:rsidRPr="00827CF2">
        <w:rPr>
          <w:rFonts w:asciiTheme="minorBidi" w:hAnsiTheme="minorBidi"/>
          <w:sz w:val="20"/>
          <w:szCs w:val="20"/>
        </w:rPr>
        <w:t xml:space="preserve"> </w:t>
      </w:r>
      <w:r w:rsidR="00584562" w:rsidRPr="00827CF2">
        <w:rPr>
          <w:rFonts w:asciiTheme="minorBidi" w:hAnsiTheme="minorBidi"/>
          <w:sz w:val="20"/>
          <w:szCs w:val="20"/>
        </w:rPr>
        <w:t xml:space="preserve">It would also serve as a self-assessment tool to examine results at the building block level and identify areas for further improvement. Additionally, the index could enable cross-state comparisons and encourage healthy competition by ranking states based on their performance. Ultimately, the introduction of this index could drive greater improvements in environmental outcomes by ensuring that the Green Budgeting exercise adopted by both the Union and State governments are robust and aligned with best practices. </w:t>
      </w:r>
    </w:p>
    <w:p w14:paraId="2FC63C89" w14:textId="6787EDEA" w:rsidR="009C517F" w:rsidRPr="00827CF2" w:rsidRDefault="00A255D5" w:rsidP="00AD4450">
      <w:pPr>
        <w:spacing w:line="276" w:lineRule="auto"/>
        <w:jc w:val="both"/>
        <w:rPr>
          <w:rFonts w:asciiTheme="minorBidi" w:hAnsiTheme="minorBidi"/>
          <w:sz w:val="20"/>
          <w:szCs w:val="20"/>
        </w:rPr>
      </w:pPr>
      <w:r w:rsidRPr="00827CF2">
        <w:rPr>
          <w:rFonts w:asciiTheme="minorBidi" w:hAnsiTheme="minorBidi"/>
          <w:sz w:val="20"/>
          <w:szCs w:val="20"/>
        </w:rPr>
        <w:lastRenderedPageBreak/>
        <w:t xml:space="preserve">The </w:t>
      </w:r>
      <w:r w:rsidR="00BA200E" w:rsidRPr="00827CF2">
        <w:rPr>
          <w:rFonts w:asciiTheme="minorBidi" w:hAnsiTheme="minorBidi"/>
          <w:sz w:val="20"/>
          <w:szCs w:val="20"/>
        </w:rPr>
        <w:t>Index</w:t>
      </w:r>
      <w:r w:rsidRPr="00827CF2">
        <w:rPr>
          <w:rFonts w:asciiTheme="minorBidi" w:hAnsiTheme="minorBidi"/>
          <w:sz w:val="20"/>
          <w:szCs w:val="20"/>
        </w:rPr>
        <w:t xml:space="preserve"> </w:t>
      </w:r>
      <w:r w:rsidR="00AC24FE" w:rsidRPr="00827CF2">
        <w:rPr>
          <w:rFonts w:asciiTheme="minorBidi" w:hAnsiTheme="minorBidi"/>
          <w:sz w:val="20"/>
          <w:szCs w:val="20"/>
        </w:rPr>
        <w:t>ranges</w:t>
      </w:r>
      <w:r w:rsidRPr="00827CF2">
        <w:rPr>
          <w:rFonts w:asciiTheme="minorBidi" w:hAnsiTheme="minorBidi"/>
          <w:sz w:val="20"/>
          <w:szCs w:val="20"/>
        </w:rPr>
        <w:t xml:space="preserve"> from 0 (</w:t>
      </w:r>
      <w:r w:rsidR="00AC24FE" w:rsidRPr="00827CF2">
        <w:rPr>
          <w:rFonts w:asciiTheme="minorBidi" w:hAnsiTheme="minorBidi"/>
          <w:sz w:val="20"/>
          <w:szCs w:val="20"/>
        </w:rPr>
        <w:t>no implementation</w:t>
      </w:r>
      <w:r w:rsidRPr="00827CF2">
        <w:rPr>
          <w:rFonts w:asciiTheme="minorBidi" w:hAnsiTheme="minorBidi"/>
          <w:sz w:val="20"/>
          <w:szCs w:val="20"/>
        </w:rPr>
        <w:t xml:space="preserve">) to 1 (high level of </w:t>
      </w:r>
      <w:r w:rsidR="00AC24FE" w:rsidRPr="00827CF2">
        <w:rPr>
          <w:rFonts w:asciiTheme="minorBidi" w:hAnsiTheme="minorBidi"/>
          <w:sz w:val="20"/>
          <w:szCs w:val="20"/>
        </w:rPr>
        <w:t xml:space="preserve">implementation of </w:t>
      </w:r>
      <w:r w:rsidRPr="00827CF2">
        <w:rPr>
          <w:rFonts w:asciiTheme="minorBidi" w:hAnsiTheme="minorBidi"/>
          <w:sz w:val="20"/>
          <w:szCs w:val="20"/>
        </w:rPr>
        <w:t xml:space="preserve">green budgeting practices). </w:t>
      </w:r>
      <w:r w:rsidR="00AC24FE" w:rsidRPr="00827CF2">
        <w:rPr>
          <w:rFonts w:asciiTheme="minorBidi" w:hAnsiTheme="minorBidi"/>
          <w:sz w:val="20"/>
          <w:szCs w:val="20"/>
        </w:rPr>
        <w:t>Each state’s</w:t>
      </w:r>
      <w:r w:rsidR="005A658E" w:rsidRPr="00827CF2">
        <w:rPr>
          <w:rFonts w:asciiTheme="minorBidi" w:hAnsiTheme="minorBidi"/>
          <w:sz w:val="20"/>
          <w:szCs w:val="20"/>
        </w:rPr>
        <w:t xml:space="preserve"> score </w:t>
      </w:r>
      <w:r w:rsidR="00AC24FE" w:rsidRPr="00827CF2">
        <w:rPr>
          <w:rFonts w:asciiTheme="minorBidi" w:hAnsiTheme="minorBidi"/>
          <w:sz w:val="20"/>
          <w:szCs w:val="20"/>
        </w:rPr>
        <w:t>is calculated by aggregating</w:t>
      </w:r>
      <w:r w:rsidRPr="00827CF2">
        <w:rPr>
          <w:rFonts w:asciiTheme="minorBidi" w:hAnsiTheme="minorBidi"/>
          <w:sz w:val="20"/>
          <w:szCs w:val="20"/>
        </w:rPr>
        <w:t xml:space="preserve"> the weighted scores of </w:t>
      </w:r>
      <w:r w:rsidR="00AC24FE" w:rsidRPr="00827CF2">
        <w:rPr>
          <w:rFonts w:asciiTheme="minorBidi" w:hAnsiTheme="minorBidi"/>
          <w:sz w:val="20"/>
          <w:szCs w:val="20"/>
        </w:rPr>
        <w:t>multiple dimensions, each ranging</w:t>
      </w:r>
      <w:r w:rsidRPr="00827CF2">
        <w:rPr>
          <w:rFonts w:asciiTheme="minorBidi" w:hAnsiTheme="minorBidi"/>
          <w:sz w:val="20"/>
          <w:szCs w:val="20"/>
        </w:rPr>
        <w:t xml:space="preserve"> from 0 to 1.</w:t>
      </w:r>
      <w:r w:rsidR="007C2161" w:rsidRPr="00827CF2">
        <w:rPr>
          <w:rFonts w:asciiTheme="minorBidi" w:hAnsiTheme="minorBidi"/>
          <w:sz w:val="20"/>
          <w:szCs w:val="20"/>
        </w:rPr>
        <w:t xml:space="preserve"> The </w:t>
      </w:r>
      <w:r w:rsidR="0099368E" w:rsidRPr="00827CF2">
        <w:rPr>
          <w:rFonts w:asciiTheme="minorBidi" w:hAnsiTheme="minorBidi"/>
          <w:sz w:val="20"/>
          <w:szCs w:val="20"/>
        </w:rPr>
        <w:t xml:space="preserve">Index is based on a survey </w:t>
      </w:r>
      <w:r w:rsidR="00B35F3E" w:rsidRPr="00827CF2">
        <w:rPr>
          <w:rFonts w:asciiTheme="minorBidi" w:hAnsiTheme="minorBidi"/>
          <w:sz w:val="20"/>
          <w:szCs w:val="20"/>
        </w:rPr>
        <w:t xml:space="preserve">questionnaire, </w:t>
      </w:r>
      <w:r w:rsidR="00E2465A" w:rsidRPr="00827CF2">
        <w:rPr>
          <w:rFonts w:asciiTheme="minorBidi" w:hAnsiTheme="minorBidi"/>
          <w:sz w:val="20"/>
          <w:szCs w:val="20"/>
        </w:rPr>
        <w:t xml:space="preserve">where the </w:t>
      </w:r>
      <w:r w:rsidR="003E211F" w:rsidRPr="00827CF2">
        <w:rPr>
          <w:rFonts w:asciiTheme="minorBidi" w:hAnsiTheme="minorBidi"/>
          <w:sz w:val="20"/>
          <w:szCs w:val="20"/>
        </w:rPr>
        <w:t xml:space="preserve">qualitative </w:t>
      </w:r>
      <w:r w:rsidR="00E2465A" w:rsidRPr="00827CF2">
        <w:rPr>
          <w:rFonts w:asciiTheme="minorBidi" w:hAnsiTheme="minorBidi"/>
          <w:sz w:val="20"/>
          <w:szCs w:val="20"/>
        </w:rPr>
        <w:t>answer options are translated into quantitative</w:t>
      </w:r>
      <w:r w:rsidR="00425418" w:rsidRPr="00827CF2">
        <w:rPr>
          <w:rFonts w:asciiTheme="minorBidi" w:hAnsiTheme="minorBidi"/>
          <w:sz w:val="20"/>
          <w:szCs w:val="20"/>
        </w:rPr>
        <w:t xml:space="preserve"> indicators</w:t>
      </w:r>
      <w:r w:rsidR="000B6143" w:rsidRPr="00827CF2">
        <w:rPr>
          <w:rFonts w:asciiTheme="minorBidi" w:hAnsiTheme="minorBidi"/>
          <w:sz w:val="20"/>
          <w:szCs w:val="20"/>
        </w:rPr>
        <w:t>, varying from 0 to 1</w:t>
      </w:r>
      <w:r w:rsidR="002B19D9" w:rsidRPr="00827CF2">
        <w:rPr>
          <w:rFonts w:asciiTheme="minorBidi" w:hAnsiTheme="minorBidi"/>
          <w:sz w:val="20"/>
          <w:szCs w:val="20"/>
        </w:rPr>
        <w:t>.</w:t>
      </w:r>
      <w:r w:rsidR="00186F50" w:rsidRPr="00827CF2">
        <w:rPr>
          <w:rFonts w:asciiTheme="minorBidi" w:hAnsiTheme="minorBidi"/>
          <w:sz w:val="20"/>
          <w:szCs w:val="20"/>
        </w:rPr>
        <w:t xml:space="preserve"> </w:t>
      </w:r>
      <w:r w:rsidR="00C66CD6" w:rsidRPr="00827CF2">
        <w:rPr>
          <w:rFonts w:asciiTheme="minorBidi" w:hAnsiTheme="minorBidi"/>
          <w:sz w:val="20"/>
          <w:szCs w:val="20"/>
        </w:rPr>
        <w:t>The</w:t>
      </w:r>
      <w:r w:rsidR="00A447DC" w:rsidRPr="00827CF2">
        <w:rPr>
          <w:rFonts w:asciiTheme="minorBidi" w:hAnsiTheme="minorBidi"/>
          <w:sz w:val="20"/>
          <w:szCs w:val="20"/>
        </w:rPr>
        <w:t xml:space="preserve"> method for calculating the </w:t>
      </w:r>
      <w:r w:rsidR="0035024F" w:rsidRPr="00827CF2">
        <w:rPr>
          <w:rFonts w:asciiTheme="minorBidi" w:hAnsiTheme="minorBidi"/>
          <w:sz w:val="20"/>
          <w:szCs w:val="20"/>
        </w:rPr>
        <w:t xml:space="preserve">Index score is as follows – </w:t>
      </w:r>
    </w:p>
    <w:p w14:paraId="6CF8F26D" w14:textId="3D43E726" w:rsidR="008A6F8F" w:rsidRPr="00827CF2" w:rsidRDefault="002750E0" w:rsidP="003045DD">
      <w:pPr>
        <w:pStyle w:val="ListParagraph"/>
        <w:numPr>
          <w:ilvl w:val="0"/>
          <w:numId w:val="39"/>
        </w:numPr>
        <w:spacing w:line="276" w:lineRule="auto"/>
        <w:jc w:val="both"/>
        <w:rPr>
          <w:rFonts w:asciiTheme="minorBidi" w:hAnsiTheme="minorBidi"/>
          <w:sz w:val="20"/>
          <w:szCs w:val="20"/>
        </w:rPr>
      </w:pPr>
      <w:r w:rsidRPr="00827CF2">
        <w:rPr>
          <w:rFonts w:asciiTheme="minorBidi" w:hAnsiTheme="minorBidi"/>
          <w:sz w:val="20"/>
          <w:szCs w:val="20"/>
        </w:rPr>
        <w:t xml:space="preserve">Index score for each </w:t>
      </w:r>
      <w:r w:rsidR="001C1992" w:rsidRPr="00827CF2">
        <w:rPr>
          <w:rFonts w:asciiTheme="minorBidi" w:hAnsiTheme="minorBidi"/>
          <w:sz w:val="20"/>
          <w:szCs w:val="20"/>
        </w:rPr>
        <w:t>question</w:t>
      </w:r>
      <w:r w:rsidR="00251387" w:rsidRPr="00827CF2">
        <w:rPr>
          <w:rFonts w:asciiTheme="minorBidi" w:hAnsiTheme="minorBidi"/>
          <w:sz w:val="20"/>
          <w:szCs w:val="20"/>
        </w:rPr>
        <w:t xml:space="preserve"> = </w:t>
      </w:r>
      <m:oMath>
        <m:r>
          <w:rPr>
            <w:rFonts w:ascii="Cambria Math" w:hAnsi="Cambria Math" w:cs="Arial"/>
            <w:sz w:val="20"/>
            <w:szCs w:val="20"/>
          </w:rPr>
          <m:t>(A*B*C)</m:t>
        </m:r>
      </m:oMath>
      <w:r w:rsidR="00AF5D67" w:rsidRPr="00827CF2">
        <w:rPr>
          <w:rFonts w:asciiTheme="minorBidi" w:hAnsiTheme="minorBidi"/>
          <w:sz w:val="20"/>
          <w:szCs w:val="20"/>
        </w:rPr>
        <w:t>; w</w:t>
      </w:r>
      <w:r w:rsidR="00141805" w:rsidRPr="00827CF2">
        <w:rPr>
          <w:rFonts w:asciiTheme="minorBidi" w:hAnsiTheme="minorBidi"/>
          <w:sz w:val="20"/>
          <w:szCs w:val="20"/>
        </w:rPr>
        <w:t>here, A =</w:t>
      </w:r>
      <w:r w:rsidR="00552FD5" w:rsidRPr="00827CF2">
        <w:rPr>
          <w:rFonts w:asciiTheme="minorBidi" w:hAnsiTheme="minorBidi"/>
          <w:sz w:val="20"/>
          <w:szCs w:val="20"/>
        </w:rPr>
        <w:t xml:space="preserve"> </w:t>
      </w:r>
      <w:r w:rsidR="001803F9" w:rsidRPr="00827CF2">
        <w:rPr>
          <w:rFonts w:asciiTheme="minorBidi" w:hAnsiTheme="minorBidi"/>
          <w:sz w:val="20"/>
          <w:szCs w:val="20"/>
        </w:rPr>
        <w:t xml:space="preserve">building block weightage, </w:t>
      </w:r>
      <w:r w:rsidR="00066A39" w:rsidRPr="00827CF2">
        <w:rPr>
          <w:rFonts w:asciiTheme="minorBidi" w:hAnsiTheme="minorBidi"/>
          <w:sz w:val="20"/>
          <w:szCs w:val="20"/>
        </w:rPr>
        <w:t xml:space="preserve">B = </w:t>
      </w:r>
      <w:r w:rsidR="00695702" w:rsidRPr="00827CF2">
        <w:rPr>
          <w:rFonts w:asciiTheme="minorBidi" w:hAnsiTheme="minorBidi"/>
          <w:sz w:val="20"/>
          <w:szCs w:val="20"/>
        </w:rPr>
        <w:t>variable weightage and C</w:t>
      </w:r>
      <w:r w:rsidR="00141805" w:rsidRPr="00827CF2">
        <w:rPr>
          <w:rFonts w:asciiTheme="minorBidi" w:hAnsiTheme="minorBidi"/>
          <w:sz w:val="20"/>
          <w:szCs w:val="20"/>
        </w:rPr>
        <w:t xml:space="preserve"> </w:t>
      </w:r>
      <w:r w:rsidR="00265AF5" w:rsidRPr="00827CF2">
        <w:rPr>
          <w:rFonts w:asciiTheme="minorBidi" w:hAnsiTheme="minorBidi"/>
          <w:sz w:val="20"/>
          <w:szCs w:val="20"/>
        </w:rPr>
        <w:t xml:space="preserve">= </w:t>
      </w:r>
      <w:r w:rsidR="00D65373" w:rsidRPr="00827CF2">
        <w:rPr>
          <w:rFonts w:asciiTheme="minorBidi" w:hAnsiTheme="minorBidi"/>
          <w:sz w:val="20"/>
          <w:szCs w:val="20"/>
        </w:rPr>
        <w:t>index score per variable</w:t>
      </w:r>
      <w:r w:rsidR="00141805" w:rsidRPr="00827CF2">
        <w:rPr>
          <w:rFonts w:asciiTheme="minorBidi" w:hAnsiTheme="minorBidi"/>
          <w:sz w:val="20"/>
          <w:szCs w:val="20"/>
        </w:rPr>
        <w:t xml:space="preserve"> </w:t>
      </w:r>
    </w:p>
    <w:p w14:paraId="50EFEB3A" w14:textId="449132CF" w:rsidR="006B4BE7" w:rsidRPr="00827CF2" w:rsidRDefault="00FD60EF" w:rsidP="00202BF3">
      <w:pPr>
        <w:pStyle w:val="ListParagraph"/>
        <w:numPr>
          <w:ilvl w:val="0"/>
          <w:numId w:val="39"/>
        </w:numPr>
        <w:spacing w:line="276" w:lineRule="auto"/>
        <w:jc w:val="both"/>
        <w:rPr>
          <w:rFonts w:asciiTheme="minorBidi" w:hAnsiTheme="minorBidi"/>
          <w:sz w:val="20"/>
          <w:szCs w:val="20"/>
        </w:rPr>
      </w:pPr>
      <w:r w:rsidRPr="00827CF2">
        <w:rPr>
          <w:rFonts w:asciiTheme="minorBidi" w:hAnsiTheme="minorBidi"/>
          <w:sz w:val="20"/>
          <w:szCs w:val="20"/>
        </w:rPr>
        <w:t xml:space="preserve">Index score for each variable = </w:t>
      </w:r>
      <w:r w:rsidR="004F7342" w:rsidRPr="00827CF2">
        <w:rPr>
          <w:rFonts w:asciiTheme="minorBidi" w:hAnsiTheme="minorBidi"/>
          <w:sz w:val="20"/>
          <w:szCs w:val="20"/>
        </w:rPr>
        <w:t xml:space="preserve">sum of </w:t>
      </w:r>
      <w:r w:rsidR="008059EE" w:rsidRPr="00827CF2">
        <w:rPr>
          <w:rFonts w:asciiTheme="minorBidi" w:hAnsiTheme="minorBidi"/>
          <w:sz w:val="20"/>
          <w:szCs w:val="20"/>
        </w:rPr>
        <w:t>score</w:t>
      </w:r>
      <w:r w:rsidR="00230F82" w:rsidRPr="00827CF2">
        <w:rPr>
          <w:rFonts w:asciiTheme="minorBidi" w:hAnsiTheme="minorBidi"/>
          <w:sz w:val="20"/>
          <w:szCs w:val="20"/>
        </w:rPr>
        <w:t xml:space="preserve">s of all questions </w:t>
      </w:r>
      <w:r w:rsidR="00012FB4" w:rsidRPr="00827CF2">
        <w:rPr>
          <w:rFonts w:asciiTheme="minorBidi" w:hAnsiTheme="minorBidi"/>
          <w:sz w:val="20"/>
          <w:szCs w:val="20"/>
        </w:rPr>
        <w:t xml:space="preserve">included under </w:t>
      </w:r>
      <w:r w:rsidR="008F5331" w:rsidRPr="00827CF2">
        <w:rPr>
          <w:rFonts w:asciiTheme="minorBidi" w:hAnsiTheme="minorBidi"/>
          <w:sz w:val="20"/>
          <w:szCs w:val="20"/>
        </w:rPr>
        <w:t>the variable</w:t>
      </w:r>
    </w:p>
    <w:p w14:paraId="41356C86" w14:textId="5F1445A4" w:rsidR="00892B7C" w:rsidRPr="00827CF2" w:rsidRDefault="00C60E46" w:rsidP="00202BF3">
      <w:pPr>
        <w:pStyle w:val="ListParagraph"/>
        <w:numPr>
          <w:ilvl w:val="0"/>
          <w:numId w:val="39"/>
        </w:numPr>
        <w:spacing w:line="276" w:lineRule="auto"/>
        <w:jc w:val="both"/>
        <w:rPr>
          <w:rFonts w:asciiTheme="minorBidi" w:hAnsiTheme="minorBidi"/>
          <w:sz w:val="20"/>
          <w:szCs w:val="20"/>
        </w:rPr>
      </w:pPr>
      <w:r w:rsidRPr="00827CF2">
        <w:rPr>
          <w:rFonts w:asciiTheme="minorBidi" w:hAnsiTheme="minorBidi"/>
          <w:sz w:val="20"/>
          <w:szCs w:val="20"/>
        </w:rPr>
        <w:t>Index score for each building block = sum of scores of all variables included under the building block</w:t>
      </w:r>
    </w:p>
    <w:p w14:paraId="663DF204" w14:textId="77D7B0BA" w:rsidR="00C60E46" w:rsidRPr="00827CF2" w:rsidRDefault="00414FA1" w:rsidP="00202BF3">
      <w:pPr>
        <w:pStyle w:val="ListParagraph"/>
        <w:numPr>
          <w:ilvl w:val="0"/>
          <w:numId w:val="39"/>
        </w:numPr>
        <w:spacing w:line="276" w:lineRule="auto"/>
        <w:jc w:val="both"/>
        <w:rPr>
          <w:rFonts w:asciiTheme="minorBidi" w:hAnsiTheme="minorBidi"/>
          <w:sz w:val="20"/>
          <w:szCs w:val="20"/>
        </w:rPr>
      </w:pPr>
      <w:r w:rsidRPr="00827CF2">
        <w:rPr>
          <w:rFonts w:asciiTheme="minorBidi" w:hAnsiTheme="minorBidi"/>
          <w:sz w:val="20"/>
          <w:szCs w:val="20"/>
        </w:rPr>
        <w:t>Green Budget Index score (aggregate) = sum of scores of all 4 building blocks</w:t>
      </w:r>
    </w:p>
    <w:p w14:paraId="4D2A7527" w14:textId="600034D4" w:rsidR="00A255D5" w:rsidRPr="00827CF2" w:rsidRDefault="00186F50" w:rsidP="00AD4450">
      <w:pPr>
        <w:spacing w:line="276" w:lineRule="auto"/>
        <w:jc w:val="both"/>
        <w:rPr>
          <w:rFonts w:asciiTheme="minorBidi" w:hAnsiTheme="minorBidi"/>
          <w:sz w:val="20"/>
          <w:szCs w:val="20"/>
        </w:rPr>
      </w:pPr>
      <w:r w:rsidRPr="00827CF2">
        <w:rPr>
          <w:rFonts w:asciiTheme="minorBidi" w:hAnsiTheme="minorBidi"/>
          <w:sz w:val="20"/>
          <w:szCs w:val="20"/>
        </w:rPr>
        <w:t xml:space="preserve">The </w:t>
      </w:r>
      <w:r w:rsidR="006722ED" w:rsidRPr="00827CF2">
        <w:rPr>
          <w:rFonts w:asciiTheme="minorBidi" w:hAnsiTheme="minorBidi"/>
          <w:sz w:val="20"/>
          <w:szCs w:val="20"/>
        </w:rPr>
        <w:t>detailed</w:t>
      </w:r>
      <w:r w:rsidRPr="00827CF2">
        <w:rPr>
          <w:rFonts w:asciiTheme="minorBidi" w:hAnsiTheme="minorBidi"/>
          <w:sz w:val="20"/>
          <w:szCs w:val="20"/>
        </w:rPr>
        <w:t xml:space="preserve"> methodology </w:t>
      </w:r>
      <w:r w:rsidR="00D338AF" w:rsidRPr="00827CF2">
        <w:rPr>
          <w:rFonts w:asciiTheme="minorBidi" w:hAnsiTheme="minorBidi"/>
          <w:sz w:val="20"/>
          <w:szCs w:val="20"/>
        </w:rPr>
        <w:t>(along with the questionnaire)</w:t>
      </w:r>
      <w:r w:rsidRPr="00827CF2">
        <w:rPr>
          <w:rFonts w:asciiTheme="minorBidi" w:hAnsiTheme="minorBidi"/>
          <w:sz w:val="20"/>
          <w:szCs w:val="20"/>
        </w:rPr>
        <w:t xml:space="preserve"> for the proposed Green Budgeting Index for assessing the implementation of Green Budgeting by the Indian states is given in the tables below.</w:t>
      </w:r>
    </w:p>
    <w:p w14:paraId="1BF2AE4C" w14:textId="5355DEEC" w:rsidR="00D46C1C" w:rsidRPr="00827CF2" w:rsidRDefault="00D46C1C">
      <w:pPr>
        <w:rPr>
          <w:rFonts w:asciiTheme="minorBidi" w:hAnsiTheme="minorBidi"/>
          <w:sz w:val="20"/>
          <w:szCs w:val="20"/>
        </w:rPr>
      </w:pPr>
      <w:r w:rsidRPr="00827CF2">
        <w:rPr>
          <w:rFonts w:asciiTheme="minorBidi" w:hAnsiTheme="minorBidi"/>
          <w:sz w:val="20"/>
          <w:szCs w:val="20"/>
        </w:rPr>
        <w:br w:type="page"/>
      </w:r>
    </w:p>
    <w:p w14:paraId="28268CB8" w14:textId="3617E149" w:rsidR="00180FFA" w:rsidRPr="00827CF2" w:rsidRDefault="00C270A1" w:rsidP="00AD4450">
      <w:pPr>
        <w:spacing w:line="276" w:lineRule="auto"/>
        <w:jc w:val="both"/>
        <w:rPr>
          <w:rFonts w:asciiTheme="minorBidi" w:hAnsiTheme="minorBidi"/>
          <w:sz w:val="20"/>
          <w:szCs w:val="20"/>
        </w:rPr>
      </w:pPr>
      <w:r w:rsidRPr="00827CF2">
        <w:rPr>
          <w:rFonts w:asciiTheme="minorBidi" w:hAnsiTheme="minorBidi"/>
          <w:i/>
          <w:color w:val="44546A" w:themeColor="text2"/>
          <w:sz w:val="20"/>
          <w:szCs w:val="20"/>
        </w:rPr>
        <w:lastRenderedPageBreak/>
        <w:t>Table 1</w:t>
      </w:r>
      <w:r w:rsidR="00A5646C" w:rsidRPr="00827CF2">
        <w:rPr>
          <w:rFonts w:asciiTheme="minorBidi" w:hAnsiTheme="minorBidi"/>
          <w:i/>
          <w:color w:val="44546A" w:themeColor="text2"/>
          <w:sz w:val="20"/>
          <w:szCs w:val="20"/>
        </w:rPr>
        <w:t xml:space="preserve">: </w:t>
      </w:r>
      <w:r w:rsidR="00804BB6" w:rsidRPr="00827CF2">
        <w:rPr>
          <w:rFonts w:asciiTheme="minorBidi" w:hAnsiTheme="minorBidi"/>
          <w:i/>
          <w:color w:val="44546A" w:themeColor="text2"/>
          <w:sz w:val="20"/>
          <w:szCs w:val="20"/>
        </w:rPr>
        <w:t>Methodology for Institutional Arrangements</w:t>
      </w:r>
    </w:p>
    <w:p w14:paraId="668BFC56" w14:textId="0B003755" w:rsidR="008E793F" w:rsidRDefault="00573BAA" w:rsidP="00AD4450">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0AE5673B" wp14:editId="501F0E9C">
            <wp:extent cx="5731510" cy="7291705"/>
            <wp:effectExtent l="0" t="0" r="2540" b="4445"/>
            <wp:docPr id="460336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291705"/>
                    </a:xfrm>
                    <a:prstGeom prst="rect">
                      <a:avLst/>
                    </a:prstGeom>
                    <a:noFill/>
                    <a:ln>
                      <a:noFill/>
                    </a:ln>
                  </pic:spPr>
                </pic:pic>
              </a:graphicData>
            </a:graphic>
          </wp:inline>
        </w:drawing>
      </w:r>
    </w:p>
    <w:p w14:paraId="515F6D44" w14:textId="77777777" w:rsidR="00220786" w:rsidRDefault="00220786" w:rsidP="00AD4450">
      <w:pPr>
        <w:spacing w:line="276" w:lineRule="auto"/>
        <w:jc w:val="both"/>
        <w:rPr>
          <w:rFonts w:asciiTheme="minorBidi" w:hAnsiTheme="minorBidi"/>
        </w:rPr>
      </w:pPr>
    </w:p>
    <w:p w14:paraId="4AFD1DEC" w14:textId="77777777" w:rsidR="00220786" w:rsidRDefault="00220786" w:rsidP="00AD4450">
      <w:pPr>
        <w:spacing w:line="276" w:lineRule="auto"/>
        <w:jc w:val="both"/>
        <w:rPr>
          <w:rFonts w:asciiTheme="minorBidi" w:hAnsiTheme="minorBidi"/>
        </w:rPr>
      </w:pPr>
    </w:p>
    <w:p w14:paraId="751DF6D1" w14:textId="77777777" w:rsidR="00220786" w:rsidRDefault="00220786" w:rsidP="00AD4450">
      <w:pPr>
        <w:spacing w:line="276" w:lineRule="auto"/>
        <w:jc w:val="both"/>
        <w:rPr>
          <w:rFonts w:asciiTheme="minorBidi" w:hAnsiTheme="minorBidi"/>
        </w:rPr>
      </w:pPr>
    </w:p>
    <w:p w14:paraId="121C2929" w14:textId="77777777" w:rsidR="00220786" w:rsidRPr="006E13CD" w:rsidRDefault="00220786" w:rsidP="00AD4450">
      <w:pPr>
        <w:spacing w:line="276" w:lineRule="auto"/>
        <w:jc w:val="both"/>
        <w:rPr>
          <w:rFonts w:asciiTheme="minorBidi" w:hAnsiTheme="minorBidi"/>
        </w:rPr>
      </w:pPr>
    </w:p>
    <w:p w14:paraId="41D691C2" w14:textId="60EBFCC3" w:rsidR="008C2FCB" w:rsidRPr="00827CF2" w:rsidRDefault="008C2FCB" w:rsidP="00AD4450">
      <w:pPr>
        <w:spacing w:line="276" w:lineRule="auto"/>
        <w:jc w:val="both"/>
        <w:rPr>
          <w:rFonts w:asciiTheme="minorBidi" w:hAnsiTheme="minorBidi"/>
          <w:i/>
          <w:color w:val="44546A" w:themeColor="text2"/>
          <w:sz w:val="20"/>
          <w:szCs w:val="20"/>
        </w:rPr>
      </w:pPr>
      <w:r w:rsidRPr="00827CF2">
        <w:rPr>
          <w:rFonts w:asciiTheme="minorBidi" w:hAnsiTheme="minorBidi"/>
          <w:i/>
          <w:color w:val="44546A" w:themeColor="text2"/>
          <w:sz w:val="20"/>
          <w:szCs w:val="20"/>
        </w:rPr>
        <w:lastRenderedPageBreak/>
        <w:t>Table 2: Methodology</w:t>
      </w:r>
      <w:r w:rsidR="00680D3B" w:rsidRPr="00827CF2">
        <w:rPr>
          <w:rFonts w:asciiTheme="minorBidi" w:hAnsiTheme="minorBidi"/>
          <w:i/>
          <w:color w:val="44546A" w:themeColor="text2"/>
          <w:sz w:val="20"/>
          <w:szCs w:val="20"/>
        </w:rPr>
        <w:t xml:space="preserve"> </w:t>
      </w:r>
      <w:r w:rsidR="00B9622A" w:rsidRPr="00827CF2">
        <w:rPr>
          <w:rFonts w:asciiTheme="minorBidi" w:hAnsiTheme="minorBidi"/>
          <w:i/>
          <w:color w:val="44546A" w:themeColor="text2"/>
          <w:sz w:val="20"/>
          <w:szCs w:val="20"/>
        </w:rPr>
        <w:t>for Methods and Tools</w:t>
      </w:r>
    </w:p>
    <w:p w14:paraId="64A7B3DF" w14:textId="0E247158" w:rsidR="00997695" w:rsidRPr="006E13CD" w:rsidRDefault="00EE5516" w:rsidP="00474D50">
      <w:pPr>
        <w:spacing w:line="276" w:lineRule="auto"/>
        <w:jc w:val="both"/>
        <w:rPr>
          <w:rFonts w:asciiTheme="minorBidi" w:hAnsiTheme="minorBidi"/>
          <w:i/>
          <w:color w:val="44546A" w:themeColor="text2"/>
        </w:rPr>
      </w:pPr>
      <w:r w:rsidRPr="006E13CD">
        <w:rPr>
          <w:rFonts w:asciiTheme="minorBidi" w:hAnsiTheme="minorBidi"/>
          <w:i/>
          <w:noProof/>
          <w:color w:val="44546A" w:themeColor="text2"/>
          <w:lang w:eastAsia="en-IN"/>
        </w:rPr>
        <w:drawing>
          <wp:inline distT="0" distB="0" distL="0" distR="0" wp14:anchorId="506989AD" wp14:editId="28D00C63">
            <wp:extent cx="5730240" cy="8477250"/>
            <wp:effectExtent l="0" t="0" r="3810" b="0"/>
            <wp:docPr id="1466014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8477250"/>
                    </a:xfrm>
                    <a:prstGeom prst="rect">
                      <a:avLst/>
                    </a:prstGeom>
                    <a:noFill/>
                    <a:ln>
                      <a:noFill/>
                    </a:ln>
                  </pic:spPr>
                </pic:pic>
              </a:graphicData>
            </a:graphic>
          </wp:inline>
        </w:drawing>
      </w:r>
    </w:p>
    <w:p w14:paraId="69D83DF3" w14:textId="3941BD76" w:rsidR="00B9622A" w:rsidRPr="00827CF2" w:rsidRDefault="00B9622A" w:rsidP="00AD4450">
      <w:pPr>
        <w:spacing w:line="276" w:lineRule="auto"/>
        <w:jc w:val="both"/>
        <w:rPr>
          <w:rFonts w:asciiTheme="minorBidi" w:hAnsiTheme="minorBidi"/>
          <w:sz w:val="20"/>
          <w:szCs w:val="20"/>
        </w:rPr>
      </w:pPr>
      <w:r w:rsidRPr="00827CF2">
        <w:rPr>
          <w:rFonts w:asciiTheme="minorBidi" w:hAnsiTheme="minorBidi"/>
          <w:i/>
          <w:color w:val="44546A" w:themeColor="text2"/>
          <w:sz w:val="20"/>
          <w:szCs w:val="20"/>
        </w:rPr>
        <w:lastRenderedPageBreak/>
        <w:t>Table 3: Methodology for Accountability and Transparency</w:t>
      </w:r>
    </w:p>
    <w:p w14:paraId="16338E65" w14:textId="3EA00880" w:rsidR="00745A24" w:rsidRPr="006E13CD" w:rsidRDefault="00AC44B7" w:rsidP="00AD4450">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2E186A07" wp14:editId="5804F3F4">
            <wp:extent cx="5814060" cy="5589905"/>
            <wp:effectExtent l="0" t="0" r="0" b="0"/>
            <wp:docPr id="693654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4060" cy="5589905"/>
                    </a:xfrm>
                    <a:prstGeom prst="rect">
                      <a:avLst/>
                    </a:prstGeom>
                    <a:noFill/>
                    <a:ln>
                      <a:noFill/>
                    </a:ln>
                  </pic:spPr>
                </pic:pic>
              </a:graphicData>
            </a:graphic>
          </wp:inline>
        </w:drawing>
      </w:r>
    </w:p>
    <w:p w14:paraId="6F51353B" w14:textId="77777777" w:rsidR="00B9622A" w:rsidRPr="006E13CD" w:rsidRDefault="00B9622A" w:rsidP="00AD4450">
      <w:pPr>
        <w:spacing w:line="276" w:lineRule="auto"/>
        <w:jc w:val="both"/>
        <w:rPr>
          <w:rFonts w:asciiTheme="minorBidi" w:hAnsiTheme="minorBidi"/>
        </w:rPr>
      </w:pPr>
    </w:p>
    <w:p w14:paraId="7B805B2D" w14:textId="77777777" w:rsidR="005D6115" w:rsidRPr="006E13CD" w:rsidRDefault="005D6115" w:rsidP="00AD4450">
      <w:pPr>
        <w:spacing w:line="276" w:lineRule="auto"/>
        <w:jc w:val="both"/>
        <w:rPr>
          <w:rFonts w:asciiTheme="minorBidi" w:hAnsiTheme="minorBidi"/>
        </w:rPr>
      </w:pPr>
    </w:p>
    <w:p w14:paraId="043E2FF6" w14:textId="77777777" w:rsidR="005D6115" w:rsidRPr="006E13CD" w:rsidRDefault="005D6115" w:rsidP="00AD4450">
      <w:pPr>
        <w:spacing w:line="276" w:lineRule="auto"/>
        <w:jc w:val="both"/>
        <w:rPr>
          <w:rFonts w:asciiTheme="minorBidi" w:hAnsiTheme="minorBidi"/>
        </w:rPr>
      </w:pPr>
    </w:p>
    <w:p w14:paraId="40598F09" w14:textId="77777777" w:rsidR="005D6115" w:rsidRPr="006E13CD" w:rsidRDefault="005D6115" w:rsidP="00AD4450">
      <w:pPr>
        <w:spacing w:line="276" w:lineRule="auto"/>
        <w:jc w:val="both"/>
        <w:rPr>
          <w:rFonts w:asciiTheme="minorBidi" w:hAnsiTheme="minorBidi"/>
        </w:rPr>
      </w:pPr>
    </w:p>
    <w:p w14:paraId="17B6A166" w14:textId="77777777" w:rsidR="005D6115" w:rsidRPr="006E13CD" w:rsidRDefault="005D6115" w:rsidP="00AD4450">
      <w:pPr>
        <w:spacing w:line="276" w:lineRule="auto"/>
        <w:jc w:val="both"/>
        <w:rPr>
          <w:rFonts w:asciiTheme="minorBidi" w:hAnsiTheme="minorBidi"/>
        </w:rPr>
      </w:pPr>
    </w:p>
    <w:p w14:paraId="3E0A1D91" w14:textId="77777777" w:rsidR="005D6115" w:rsidRPr="006E13CD" w:rsidRDefault="005D6115" w:rsidP="00AD4450">
      <w:pPr>
        <w:spacing w:line="276" w:lineRule="auto"/>
        <w:jc w:val="both"/>
        <w:rPr>
          <w:rFonts w:asciiTheme="minorBidi" w:hAnsiTheme="minorBidi"/>
        </w:rPr>
      </w:pPr>
    </w:p>
    <w:p w14:paraId="71472440" w14:textId="77777777" w:rsidR="005D6115" w:rsidRPr="006E13CD" w:rsidRDefault="005D6115" w:rsidP="00AD4450">
      <w:pPr>
        <w:spacing w:line="276" w:lineRule="auto"/>
        <w:jc w:val="both"/>
        <w:rPr>
          <w:rFonts w:asciiTheme="minorBidi" w:hAnsiTheme="minorBidi"/>
        </w:rPr>
      </w:pPr>
    </w:p>
    <w:p w14:paraId="12CA0351" w14:textId="77777777" w:rsidR="005D6115" w:rsidRPr="006E13CD" w:rsidRDefault="005D6115" w:rsidP="00AD4450">
      <w:pPr>
        <w:spacing w:line="276" w:lineRule="auto"/>
        <w:jc w:val="both"/>
        <w:rPr>
          <w:rFonts w:asciiTheme="minorBidi" w:hAnsiTheme="minorBidi"/>
        </w:rPr>
      </w:pPr>
    </w:p>
    <w:p w14:paraId="05EE3757" w14:textId="77777777" w:rsidR="005D6115" w:rsidRPr="006E13CD" w:rsidRDefault="005D6115" w:rsidP="00AD4450">
      <w:pPr>
        <w:spacing w:line="276" w:lineRule="auto"/>
        <w:jc w:val="both"/>
        <w:rPr>
          <w:rFonts w:asciiTheme="minorBidi" w:hAnsiTheme="minorBidi"/>
        </w:rPr>
      </w:pPr>
    </w:p>
    <w:p w14:paraId="02D2AFF1" w14:textId="1A994B66" w:rsidR="00FF09B2" w:rsidRPr="00827CF2" w:rsidRDefault="006F5DF9" w:rsidP="0069075E">
      <w:pPr>
        <w:pStyle w:val="Caption"/>
        <w:keepNext/>
        <w:spacing w:line="276" w:lineRule="auto"/>
        <w:jc w:val="both"/>
        <w:rPr>
          <w:rFonts w:asciiTheme="minorBidi" w:hAnsiTheme="minorBidi"/>
          <w:sz w:val="16"/>
          <w:szCs w:val="16"/>
        </w:rPr>
      </w:pPr>
      <w:r w:rsidRPr="00827CF2">
        <w:rPr>
          <w:rFonts w:asciiTheme="minorBidi" w:hAnsiTheme="minorBidi"/>
          <w:sz w:val="20"/>
          <w:szCs w:val="20"/>
        </w:rPr>
        <w:lastRenderedPageBreak/>
        <w:t>Table 4</w:t>
      </w:r>
      <w:r w:rsidR="00E8481C" w:rsidRPr="00827CF2">
        <w:rPr>
          <w:rFonts w:asciiTheme="minorBidi" w:hAnsiTheme="minorBidi"/>
          <w:sz w:val="20"/>
          <w:szCs w:val="20"/>
        </w:rPr>
        <w:t>: Methodology for Enabling Environment</w:t>
      </w:r>
    </w:p>
    <w:p w14:paraId="1F7F42D6" w14:textId="1E94A769" w:rsidR="00657350" w:rsidRPr="006E13CD" w:rsidRDefault="00965102" w:rsidP="00AD4450">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666A58F5" wp14:editId="645AA340">
            <wp:extent cx="5791200" cy="8232775"/>
            <wp:effectExtent l="0" t="0" r="0" b="0"/>
            <wp:docPr id="416789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1200" cy="8232775"/>
                    </a:xfrm>
                    <a:prstGeom prst="rect">
                      <a:avLst/>
                    </a:prstGeom>
                    <a:noFill/>
                    <a:ln>
                      <a:noFill/>
                    </a:ln>
                  </pic:spPr>
                </pic:pic>
              </a:graphicData>
            </a:graphic>
          </wp:inline>
        </w:drawing>
      </w:r>
    </w:p>
    <w:p w14:paraId="3F95B8E8" w14:textId="26A46125" w:rsidR="00E21606" w:rsidRPr="001839D8" w:rsidRDefault="00B62568" w:rsidP="00483B90">
      <w:pPr>
        <w:pStyle w:val="Heading2"/>
        <w:numPr>
          <w:ilvl w:val="1"/>
          <w:numId w:val="43"/>
        </w:numPr>
        <w:spacing w:after="240"/>
        <w:rPr>
          <w:rFonts w:asciiTheme="minorBidi" w:hAnsiTheme="minorBidi" w:cstheme="minorBidi"/>
          <w:sz w:val="22"/>
          <w:szCs w:val="22"/>
        </w:rPr>
      </w:pPr>
      <w:r w:rsidRPr="004B0654">
        <w:rPr>
          <w:rFonts w:asciiTheme="minorBidi" w:hAnsiTheme="minorBidi" w:cstheme="minorBidi"/>
          <w:sz w:val="22"/>
          <w:szCs w:val="22"/>
        </w:rPr>
        <w:lastRenderedPageBreak/>
        <w:t>Integrating the Elements of Green Budgeting in the Budget Cycle</w:t>
      </w:r>
    </w:p>
    <w:p w14:paraId="1F2CC0EB" w14:textId="77777777" w:rsidR="005077DF" w:rsidRPr="00386AF8" w:rsidRDefault="005077DF" w:rsidP="00202BF3">
      <w:pPr>
        <w:rPr>
          <w:rFonts w:asciiTheme="minorBidi" w:hAnsiTheme="minorBidi"/>
          <w:sz w:val="20"/>
          <w:szCs w:val="20"/>
        </w:rPr>
      </w:pPr>
    </w:p>
    <w:p w14:paraId="00D83C6A" w14:textId="6C69D8CA" w:rsidR="00950AF5" w:rsidRPr="00386AF8" w:rsidRDefault="00BB5DB0" w:rsidP="00F75549">
      <w:pPr>
        <w:spacing w:line="276" w:lineRule="auto"/>
        <w:jc w:val="both"/>
        <w:rPr>
          <w:rFonts w:asciiTheme="minorBidi" w:hAnsiTheme="minorBidi"/>
          <w:sz w:val="20"/>
          <w:szCs w:val="20"/>
        </w:rPr>
      </w:pPr>
      <w:r w:rsidRPr="00386AF8">
        <w:rPr>
          <w:rFonts w:asciiTheme="minorBidi" w:hAnsiTheme="minorBidi"/>
          <w:sz w:val="20"/>
          <w:szCs w:val="20"/>
        </w:rPr>
        <w:t>The integration of Green Budgeting elements within India's existing budget cycle is essential for systematic and sustained implementation. The figure below outlines the key entry points across various stages of the budget process, illustrating how each step of the proposed Green Budgeting framework can be embedded.</w:t>
      </w:r>
      <w:r w:rsidR="007A2856" w:rsidRPr="00386AF8">
        <w:rPr>
          <w:rFonts w:asciiTheme="minorBidi" w:hAnsiTheme="minorBidi"/>
          <w:sz w:val="20"/>
          <w:szCs w:val="20"/>
        </w:rPr>
        <w:t xml:space="preserve"> </w:t>
      </w:r>
    </w:p>
    <w:p w14:paraId="510C5FE6" w14:textId="3D1BF795" w:rsidR="003E1DB8" w:rsidRPr="00386AF8" w:rsidRDefault="007A2856" w:rsidP="00DF7AAE">
      <w:pPr>
        <w:pStyle w:val="Caption"/>
        <w:keepNext/>
        <w:spacing w:line="276" w:lineRule="auto"/>
        <w:jc w:val="both"/>
        <w:rPr>
          <w:rFonts w:asciiTheme="minorBidi" w:hAnsiTheme="minorBidi"/>
          <w:sz w:val="20"/>
          <w:szCs w:val="20"/>
        </w:rPr>
      </w:pPr>
      <w:r w:rsidRPr="00386AF8">
        <w:rPr>
          <w:rFonts w:asciiTheme="minorBidi" w:hAnsiTheme="minorBidi"/>
          <w:sz w:val="20"/>
          <w:szCs w:val="20"/>
        </w:rPr>
        <w:t>Figure</w:t>
      </w:r>
      <w:r w:rsidR="00DF7AAE" w:rsidRPr="00386AF8">
        <w:rPr>
          <w:rFonts w:asciiTheme="minorBidi" w:hAnsiTheme="minorBidi"/>
          <w:sz w:val="20"/>
          <w:szCs w:val="20"/>
        </w:rPr>
        <w:t xml:space="preserve"> </w:t>
      </w:r>
      <w:r w:rsidR="00CA784B" w:rsidRPr="00386AF8">
        <w:rPr>
          <w:rFonts w:asciiTheme="minorBidi" w:hAnsiTheme="minorBidi"/>
          <w:sz w:val="20"/>
          <w:szCs w:val="20"/>
        </w:rPr>
        <w:t>12</w:t>
      </w:r>
      <w:r w:rsidR="004B5B02" w:rsidRPr="00386AF8">
        <w:rPr>
          <w:rFonts w:asciiTheme="minorBidi" w:hAnsiTheme="minorBidi"/>
          <w:sz w:val="20"/>
          <w:szCs w:val="20"/>
        </w:rPr>
        <w:t>:</w:t>
      </w:r>
      <w:r w:rsidR="005B572C" w:rsidRPr="00386AF8">
        <w:rPr>
          <w:rFonts w:asciiTheme="minorBidi" w:hAnsiTheme="minorBidi"/>
          <w:sz w:val="20"/>
          <w:szCs w:val="20"/>
        </w:rPr>
        <w:t xml:space="preserve"> </w:t>
      </w:r>
      <w:r w:rsidRPr="00386AF8">
        <w:rPr>
          <w:rFonts w:asciiTheme="minorBidi" w:hAnsiTheme="minorBidi"/>
          <w:sz w:val="20"/>
          <w:szCs w:val="20"/>
        </w:rPr>
        <w:t>Integrating the Elements of Green Budgeting in India’s Budget Cycle</w:t>
      </w:r>
    </w:p>
    <w:p w14:paraId="2830C43E" w14:textId="231BF679" w:rsidR="00094DFB" w:rsidRDefault="00094DFB" w:rsidP="00F75549">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12B6EFDB" wp14:editId="4BB8BF66">
            <wp:extent cx="6004560" cy="3794760"/>
            <wp:effectExtent l="0" t="0" r="0" b="0"/>
            <wp:docPr id="11990986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8684" name=""/>
                    <pic:cNvPicPr/>
                  </pic:nvPicPr>
                  <pic:blipFill>
                    <a:blip r:embed="rId30">
                      <a:extLs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6004560" cy="3794760"/>
                    </a:xfrm>
                    <a:prstGeom prst="rect">
                      <a:avLst/>
                    </a:prstGeom>
                  </pic:spPr>
                </pic:pic>
              </a:graphicData>
            </a:graphic>
          </wp:inline>
        </w:drawing>
      </w:r>
    </w:p>
    <w:p w14:paraId="46BC9E91" w14:textId="2EFBCC28" w:rsidR="00DD10F8" w:rsidRDefault="00DD10F8">
      <w:pPr>
        <w:rPr>
          <w:rFonts w:asciiTheme="minorBidi" w:hAnsiTheme="minorBidi"/>
        </w:rPr>
      </w:pPr>
      <w:r>
        <w:rPr>
          <w:rFonts w:asciiTheme="minorBidi" w:hAnsiTheme="minorBidi"/>
        </w:rPr>
        <w:br w:type="page"/>
      </w:r>
    </w:p>
    <w:p w14:paraId="326B28FD" w14:textId="3D0DC419" w:rsidR="004F6BDB" w:rsidRPr="00827CF2" w:rsidRDefault="00827CF2"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lastRenderedPageBreak/>
        <w:t>CONCLUSION</w:t>
      </w:r>
    </w:p>
    <w:p w14:paraId="5C60E379" w14:textId="77777777" w:rsidR="005F2407" w:rsidRPr="00386AF8" w:rsidRDefault="005F2407" w:rsidP="00202BF3">
      <w:pPr>
        <w:rPr>
          <w:rFonts w:asciiTheme="minorBidi" w:hAnsiTheme="minorBidi"/>
          <w:sz w:val="20"/>
          <w:szCs w:val="20"/>
        </w:rPr>
      </w:pPr>
    </w:p>
    <w:p w14:paraId="246F5FD0" w14:textId="65837FAB" w:rsidR="00415C67" w:rsidRPr="00386AF8" w:rsidRDefault="00415C67" w:rsidP="00415C67">
      <w:pPr>
        <w:spacing w:line="276" w:lineRule="auto"/>
        <w:jc w:val="both"/>
        <w:rPr>
          <w:rFonts w:asciiTheme="minorBidi" w:hAnsiTheme="minorBidi"/>
          <w:sz w:val="20"/>
          <w:szCs w:val="20"/>
        </w:rPr>
      </w:pPr>
      <w:r w:rsidRPr="00386AF8">
        <w:rPr>
          <w:rFonts w:asciiTheme="minorBidi" w:hAnsiTheme="minorBidi"/>
          <w:sz w:val="20"/>
          <w:szCs w:val="20"/>
        </w:rPr>
        <w:t xml:space="preserve">This paper highlights the significant potential of Green Budgeting as a strategic tool for advancing climate action, which is the need of the hour. However, the effectiveness of Green Budgeting is contingent upon the establishment of a sound framework and robust methodologies. As a relatively new concept, countries worldwide are still figuring out what the best approach is, though </w:t>
      </w:r>
      <w:r w:rsidR="00FF2113">
        <w:rPr>
          <w:rFonts w:asciiTheme="minorBidi" w:hAnsiTheme="minorBidi"/>
          <w:sz w:val="20"/>
          <w:szCs w:val="20"/>
        </w:rPr>
        <w:t>international institutions have developed a few frameworks based on best practices</w:t>
      </w:r>
      <w:r w:rsidRPr="00386AF8">
        <w:rPr>
          <w:rFonts w:asciiTheme="minorBidi" w:hAnsiTheme="minorBidi"/>
          <w:sz w:val="20"/>
          <w:szCs w:val="20"/>
        </w:rPr>
        <w:t xml:space="preserve">. Moreover, there is no one-size-fits-all for </w:t>
      </w:r>
      <w:r w:rsidR="00060BBA">
        <w:rPr>
          <w:rFonts w:asciiTheme="minorBidi" w:hAnsiTheme="minorBidi"/>
          <w:sz w:val="20"/>
          <w:szCs w:val="20"/>
        </w:rPr>
        <w:t>the</w:t>
      </w:r>
      <w:r w:rsidRPr="00386AF8">
        <w:rPr>
          <w:rFonts w:asciiTheme="minorBidi" w:hAnsiTheme="minorBidi"/>
          <w:sz w:val="20"/>
          <w:szCs w:val="20"/>
        </w:rPr>
        <w:t xml:space="preserve"> Green Budgeting framework</w:t>
      </w:r>
      <w:r w:rsidR="00454815">
        <w:rPr>
          <w:rFonts w:asciiTheme="minorBidi" w:hAnsiTheme="minorBidi"/>
          <w:sz w:val="20"/>
          <w:szCs w:val="20"/>
        </w:rPr>
        <w:t>,</w:t>
      </w:r>
      <w:r w:rsidRPr="00386AF8">
        <w:rPr>
          <w:rFonts w:asciiTheme="minorBidi" w:hAnsiTheme="minorBidi"/>
          <w:sz w:val="20"/>
          <w:szCs w:val="20"/>
        </w:rPr>
        <w:t xml:space="preserve"> and each country must adapt the available frameworks according to their unique requirements and public finance systems.</w:t>
      </w:r>
    </w:p>
    <w:p w14:paraId="383BCB4A" w14:textId="79C4548A" w:rsidR="00415C67" w:rsidRPr="00386AF8" w:rsidRDefault="00415C67" w:rsidP="00415C67">
      <w:pPr>
        <w:spacing w:line="276" w:lineRule="auto"/>
        <w:jc w:val="both"/>
        <w:rPr>
          <w:rFonts w:asciiTheme="minorBidi" w:hAnsiTheme="minorBidi"/>
          <w:sz w:val="20"/>
          <w:szCs w:val="20"/>
        </w:rPr>
      </w:pPr>
      <w:r w:rsidRPr="00386AF8">
        <w:rPr>
          <w:rFonts w:asciiTheme="minorBidi" w:hAnsiTheme="minorBidi"/>
          <w:sz w:val="20"/>
          <w:szCs w:val="20"/>
        </w:rPr>
        <w:t xml:space="preserve">Countries face several challenges in implementing Green Budgeting, with the main ones being </w:t>
      </w:r>
      <w:r w:rsidR="002A0AC0">
        <w:rPr>
          <w:rFonts w:asciiTheme="minorBidi" w:hAnsiTheme="minorBidi"/>
          <w:sz w:val="20"/>
          <w:szCs w:val="20"/>
        </w:rPr>
        <w:t xml:space="preserve">a </w:t>
      </w:r>
      <w:r w:rsidRPr="00386AF8">
        <w:rPr>
          <w:rFonts w:asciiTheme="minorBidi" w:hAnsiTheme="minorBidi"/>
          <w:sz w:val="20"/>
          <w:szCs w:val="20"/>
        </w:rPr>
        <w:t xml:space="preserve">lack of resources, </w:t>
      </w:r>
      <w:r w:rsidR="0045691E">
        <w:rPr>
          <w:rFonts w:asciiTheme="minorBidi" w:hAnsiTheme="minorBidi"/>
          <w:sz w:val="20"/>
          <w:szCs w:val="20"/>
        </w:rPr>
        <w:t xml:space="preserve">a </w:t>
      </w:r>
      <w:r w:rsidRPr="00386AF8">
        <w:rPr>
          <w:rFonts w:asciiTheme="minorBidi" w:hAnsiTheme="minorBidi"/>
          <w:sz w:val="20"/>
          <w:szCs w:val="20"/>
        </w:rPr>
        <w:t>lack of relevant knowledge and technical expertise, poor availability of green disaggregated data and a lack of established methodologies for assessing results and impacts of Green Budgeting. Addressing these challenges is critical to fully harness the benefits of Green Budgeting. In the current formative stage, it is essential for governments to invest in research, capacity development, and institutional strengthening to support the long-term success of this initiative.</w:t>
      </w:r>
    </w:p>
    <w:p w14:paraId="403B0A2A" w14:textId="00C5A548" w:rsidR="00415C67" w:rsidRPr="00386AF8" w:rsidRDefault="00415C67" w:rsidP="00415C67">
      <w:pPr>
        <w:spacing w:line="276" w:lineRule="auto"/>
        <w:jc w:val="both"/>
        <w:rPr>
          <w:rFonts w:asciiTheme="minorBidi" w:hAnsiTheme="minorBidi"/>
          <w:sz w:val="20"/>
          <w:szCs w:val="20"/>
        </w:rPr>
      </w:pPr>
      <w:r w:rsidRPr="00386AF8">
        <w:rPr>
          <w:rFonts w:asciiTheme="minorBidi" w:hAnsiTheme="minorBidi"/>
          <w:sz w:val="20"/>
          <w:szCs w:val="20"/>
        </w:rPr>
        <w:t xml:space="preserve">In India, Green Budgeting remains at a </w:t>
      </w:r>
      <w:r w:rsidR="00ED55A9" w:rsidRPr="00386AF8">
        <w:rPr>
          <w:rFonts w:asciiTheme="minorBidi" w:hAnsiTheme="minorBidi"/>
          <w:sz w:val="20"/>
          <w:szCs w:val="20"/>
        </w:rPr>
        <w:t>nascent</w:t>
      </w:r>
      <w:r w:rsidRPr="00386AF8">
        <w:rPr>
          <w:rFonts w:asciiTheme="minorBidi" w:hAnsiTheme="minorBidi"/>
          <w:sz w:val="20"/>
          <w:szCs w:val="20"/>
        </w:rPr>
        <w:t xml:space="preserve"> stage. While there is no formal initiative at the Union level, only 8 out of 36 states and </w:t>
      </w:r>
      <w:r w:rsidR="00987013" w:rsidRPr="00386AF8">
        <w:rPr>
          <w:rFonts w:asciiTheme="minorBidi" w:hAnsiTheme="minorBidi"/>
          <w:sz w:val="20"/>
          <w:szCs w:val="20"/>
        </w:rPr>
        <w:t>UTs</w:t>
      </w:r>
      <w:r w:rsidRPr="00386AF8">
        <w:rPr>
          <w:rFonts w:asciiTheme="minorBidi" w:hAnsiTheme="minorBidi"/>
          <w:sz w:val="20"/>
          <w:szCs w:val="20"/>
        </w:rPr>
        <w:t xml:space="preserve"> have introduced Green or Climate Budgeting. However, in the absence of a standardized national framework, these efforts vary widely in their structure and approach, limiting comparability and effectiveness. Our study has also </w:t>
      </w:r>
      <w:r w:rsidR="00890726" w:rsidRPr="00386AF8">
        <w:rPr>
          <w:rFonts w:asciiTheme="minorBidi" w:hAnsiTheme="minorBidi"/>
          <w:sz w:val="20"/>
          <w:szCs w:val="20"/>
        </w:rPr>
        <w:t>analysed</w:t>
      </w:r>
      <w:r w:rsidR="007D7AC0" w:rsidRPr="00386AF8">
        <w:rPr>
          <w:rFonts w:asciiTheme="minorBidi" w:hAnsiTheme="minorBidi"/>
          <w:sz w:val="20"/>
          <w:szCs w:val="20"/>
        </w:rPr>
        <w:t xml:space="preserve"> the </w:t>
      </w:r>
      <w:r w:rsidR="008F08B7" w:rsidRPr="00386AF8">
        <w:rPr>
          <w:rFonts w:asciiTheme="minorBidi" w:hAnsiTheme="minorBidi"/>
          <w:sz w:val="20"/>
          <w:szCs w:val="20"/>
        </w:rPr>
        <w:t>Green/Climate</w:t>
      </w:r>
      <w:r w:rsidR="007D7AC0" w:rsidRPr="00386AF8">
        <w:rPr>
          <w:rFonts w:asciiTheme="minorBidi" w:hAnsiTheme="minorBidi"/>
          <w:sz w:val="20"/>
          <w:szCs w:val="20"/>
        </w:rPr>
        <w:t xml:space="preserve"> </w:t>
      </w:r>
      <w:r w:rsidR="003236AD" w:rsidRPr="00386AF8">
        <w:rPr>
          <w:rFonts w:asciiTheme="minorBidi" w:hAnsiTheme="minorBidi"/>
          <w:sz w:val="20"/>
          <w:szCs w:val="20"/>
        </w:rPr>
        <w:t xml:space="preserve">Budgets of the Indian states </w:t>
      </w:r>
      <w:r w:rsidR="00FA24B0" w:rsidRPr="00386AF8">
        <w:rPr>
          <w:rFonts w:asciiTheme="minorBidi" w:hAnsiTheme="minorBidi"/>
          <w:sz w:val="20"/>
          <w:szCs w:val="20"/>
        </w:rPr>
        <w:t>and</w:t>
      </w:r>
      <w:r w:rsidRPr="00386AF8">
        <w:rPr>
          <w:rFonts w:asciiTheme="minorBidi" w:hAnsiTheme="minorBidi"/>
          <w:sz w:val="20"/>
          <w:szCs w:val="20"/>
        </w:rPr>
        <w:t xml:space="preserve"> identified several gaps and inconsistencies in the existing state-level </w:t>
      </w:r>
      <w:r w:rsidR="00FE1D55" w:rsidRPr="00386AF8">
        <w:rPr>
          <w:rFonts w:asciiTheme="minorBidi" w:hAnsiTheme="minorBidi"/>
          <w:sz w:val="20"/>
          <w:szCs w:val="20"/>
        </w:rPr>
        <w:t>methodologies</w:t>
      </w:r>
      <w:r w:rsidRPr="00386AF8">
        <w:rPr>
          <w:rFonts w:asciiTheme="minorBidi" w:hAnsiTheme="minorBidi"/>
          <w:sz w:val="20"/>
          <w:szCs w:val="20"/>
        </w:rPr>
        <w:t>, which could hinder the achievement of Green Budgeting’s full potential.</w:t>
      </w:r>
    </w:p>
    <w:p w14:paraId="445C6EF3" w14:textId="53E3FDE1" w:rsidR="00415C67" w:rsidRPr="00386AF8" w:rsidRDefault="00415C67" w:rsidP="00415C67">
      <w:pPr>
        <w:spacing w:line="276" w:lineRule="auto"/>
        <w:jc w:val="both"/>
        <w:rPr>
          <w:rFonts w:asciiTheme="minorBidi" w:hAnsiTheme="minorBidi"/>
          <w:sz w:val="20"/>
          <w:szCs w:val="20"/>
        </w:rPr>
      </w:pPr>
      <w:r w:rsidRPr="00386AF8">
        <w:rPr>
          <w:rFonts w:asciiTheme="minorBidi" w:hAnsiTheme="minorBidi"/>
          <w:sz w:val="20"/>
          <w:szCs w:val="20"/>
        </w:rPr>
        <w:t xml:space="preserve">Given this context, there is a clear need for the </w:t>
      </w:r>
      <w:proofErr w:type="spellStart"/>
      <w:r w:rsidRPr="00386AF8">
        <w:rPr>
          <w:rFonts w:asciiTheme="minorBidi" w:hAnsiTheme="minorBidi"/>
          <w:sz w:val="20"/>
          <w:szCs w:val="20"/>
        </w:rPr>
        <w:t>GoI</w:t>
      </w:r>
      <w:proofErr w:type="spellEnd"/>
      <w:r w:rsidRPr="00386AF8">
        <w:rPr>
          <w:rFonts w:asciiTheme="minorBidi" w:hAnsiTheme="minorBidi"/>
          <w:sz w:val="20"/>
          <w:szCs w:val="20"/>
        </w:rPr>
        <w:t xml:space="preserve"> to develop a unified Green Budgeting framework, tailored to India’s fiscal context, environmental challenges, and long-term development goals. Such a framework should be adopted at both the Union and state levels to ensure coherence and comparability across jurisdictions.</w:t>
      </w:r>
    </w:p>
    <w:p w14:paraId="4CFE387E" w14:textId="52081B89" w:rsidR="00155339" w:rsidRDefault="00415C67" w:rsidP="00EF7C2D">
      <w:pPr>
        <w:jc w:val="both"/>
        <w:rPr>
          <w:rFonts w:asciiTheme="minorBidi" w:hAnsiTheme="minorBidi"/>
          <w:sz w:val="20"/>
          <w:szCs w:val="20"/>
        </w:rPr>
      </w:pPr>
      <w:r w:rsidRPr="00386AF8">
        <w:rPr>
          <w:rFonts w:asciiTheme="minorBidi" w:hAnsiTheme="minorBidi"/>
          <w:sz w:val="20"/>
          <w:szCs w:val="20"/>
        </w:rPr>
        <w:t xml:space="preserve">This paper proposes </w:t>
      </w:r>
      <w:r w:rsidR="00405E1C" w:rsidRPr="00386AF8">
        <w:rPr>
          <w:rFonts w:asciiTheme="minorBidi" w:hAnsiTheme="minorBidi"/>
          <w:sz w:val="20"/>
          <w:szCs w:val="20"/>
        </w:rPr>
        <w:t>the key</w:t>
      </w:r>
      <w:r w:rsidR="007B2F23" w:rsidRPr="00386AF8">
        <w:rPr>
          <w:rFonts w:asciiTheme="minorBidi" w:hAnsiTheme="minorBidi"/>
          <w:sz w:val="20"/>
          <w:szCs w:val="20"/>
        </w:rPr>
        <w:t xml:space="preserve"> elements that may be considered for </w:t>
      </w:r>
      <w:r w:rsidR="00724E46" w:rsidRPr="00386AF8">
        <w:rPr>
          <w:rFonts w:asciiTheme="minorBidi" w:hAnsiTheme="minorBidi"/>
          <w:sz w:val="20"/>
          <w:szCs w:val="20"/>
        </w:rPr>
        <w:t xml:space="preserve">a </w:t>
      </w:r>
      <w:r w:rsidRPr="00386AF8">
        <w:rPr>
          <w:rFonts w:asciiTheme="minorBidi" w:hAnsiTheme="minorBidi"/>
          <w:sz w:val="20"/>
          <w:szCs w:val="20"/>
        </w:rPr>
        <w:t>comprehensive Green Budgeting</w:t>
      </w:r>
      <w:r w:rsidR="007F2F8D" w:rsidRPr="00386AF8">
        <w:rPr>
          <w:rFonts w:asciiTheme="minorBidi" w:hAnsiTheme="minorBidi"/>
          <w:sz w:val="20"/>
          <w:szCs w:val="20"/>
        </w:rPr>
        <w:t xml:space="preserve"> </w:t>
      </w:r>
      <w:r w:rsidRPr="00386AF8">
        <w:rPr>
          <w:rFonts w:asciiTheme="minorBidi" w:hAnsiTheme="minorBidi"/>
          <w:sz w:val="20"/>
          <w:szCs w:val="20"/>
        </w:rPr>
        <w:t xml:space="preserve">framework </w:t>
      </w:r>
      <w:r w:rsidR="00724E46" w:rsidRPr="00386AF8">
        <w:rPr>
          <w:rFonts w:asciiTheme="minorBidi" w:hAnsiTheme="minorBidi"/>
          <w:sz w:val="20"/>
          <w:szCs w:val="20"/>
        </w:rPr>
        <w:t>in</w:t>
      </w:r>
      <w:r w:rsidRPr="00386AF8">
        <w:rPr>
          <w:rFonts w:asciiTheme="minorBidi" w:hAnsiTheme="minorBidi"/>
          <w:sz w:val="20"/>
          <w:szCs w:val="20"/>
        </w:rPr>
        <w:t xml:space="preserve"> India, which may serve as a reference for the </w:t>
      </w:r>
      <w:proofErr w:type="spellStart"/>
      <w:r w:rsidRPr="00386AF8">
        <w:rPr>
          <w:rFonts w:asciiTheme="minorBidi" w:hAnsiTheme="minorBidi"/>
          <w:sz w:val="20"/>
          <w:szCs w:val="20"/>
        </w:rPr>
        <w:t>GoI</w:t>
      </w:r>
      <w:proofErr w:type="spellEnd"/>
      <w:r w:rsidRPr="00386AF8">
        <w:rPr>
          <w:rFonts w:asciiTheme="minorBidi" w:hAnsiTheme="minorBidi"/>
          <w:sz w:val="20"/>
          <w:szCs w:val="20"/>
        </w:rPr>
        <w:t xml:space="preserve">. However, this was only a theoretical exercise, and the </w:t>
      </w:r>
      <w:proofErr w:type="spellStart"/>
      <w:r w:rsidRPr="00386AF8">
        <w:rPr>
          <w:rFonts w:asciiTheme="minorBidi" w:hAnsiTheme="minorBidi"/>
          <w:sz w:val="20"/>
          <w:szCs w:val="20"/>
        </w:rPr>
        <w:t>G</w:t>
      </w:r>
      <w:r w:rsidR="00AA5DB5" w:rsidRPr="00386AF8">
        <w:rPr>
          <w:rFonts w:asciiTheme="minorBidi" w:hAnsiTheme="minorBidi"/>
          <w:sz w:val="20"/>
          <w:szCs w:val="20"/>
        </w:rPr>
        <w:t>o</w:t>
      </w:r>
      <w:r w:rsidRPr="00386AF8">
        <w:rPr>
          <w:rFonts w:asciiTheme="minorBidi" w:hAnsiTheme="minorBidi"/>
          <w:sz w:val="20"/>
          <w:szCs w:val="20"/>
        </w:rPr>
        <w:t>I</w:t>
      </w:r>
      <w:proofErr w:type="spellEnd"/>
      <w:r w:rsidRPr="00386AF8" w:rsidDel="007F2F8D">
        <w:rPr>
          <w:rFonts w:asciiTheme="minorBidi" w:hAnsiTheme="minorBidi"/>
          <w:sz w:val="20"/>
          <w:szCs w:val="20"/>
        </w:rPr>
        <w:t xml:space="preserve"> </w:t>
      </w:r>
      <w:r w:rsidRPr="00386AF8">
        <w:rPr>
          <w:rFonts w:asciiTheme="minorBidi" w:hAnsiTheme="minorBidi"/>
          <w:sz w:val="20"/>
          <w:szCs w:val="20"/>
        </w:rPr>
        <w:t xml:space="preserve">must conduct further empirical research and practical analysis to assess its feasibility and guide its implementation at the national and subnational levels. </w:t>
      </w:r>
      <w:r w:rsidR="00632278" w:rsidRPr="00386AF8">
        <w:rPr>
          <w:rFonts w:asciiTheme="minorBidi" w:hAnsiTheme="minorBidi"/>
          <w:sz w:val="20"/>
          <w:szCs w:val="20"/>
        </w:rPr>
        <w:t>This</w:t>
      </w:r>
      <w:r w:rsidR="00A17544" w:rsidRPr="00386AF8">
        <w:rPr>
          <w:rFonts w:asciiTheme="minorBidi" w:hAnsiTheme="minorBidi"/>
          <w:sz w:val="20"/>
          <w:szCs w:val="20"/>
        </w:rPr>
        <w:t xml:space="preserve"> paper also </w:t>
      </w:r>
      <w:r w:rsidR="003D05B6" w:rsidRPr="00386AF8">
        <w:rPr>
          <w:rFonts w:asciiTheme="minorBidi" w:hAnsiTheme="minorBidi"/>
          <w:sz w:val="20"/>
          <w:szCs w:val="20"/>
        </w:rPr>
        <w:t>addresses</w:t>
      </w:r>
      <w:r w:rsidR="00A17544" w:rsidRPr="00386AF8">
        <w:rPr>
          <w:rFonts w:asciiTheme="minorBidi" w:hAnsiTheme="minorBidi"/>
          <w:sz w:val="20"/>
          <w:szCs w:val="20"/>
        </w:rPr>
        <w:t xml:space="preserve"> </w:t>
      </w:r>
      <w:r w:rsidR="00146489" w:rsidRPr="00386AF8">
        <w:rPr>
          <w:rFonts w:asciiTheme="minorBidi" w:hAnsiTheme="minorBidi"/>
          <w:sz w:val="20"/>
          <w:szCs w:val="20"/>
        </w:rPr>
        <w:t>the</w:t>
      </w:r>
      <w:r w:rsidR="001A67EB" w:rsidRPr="00386AF8">
        <w:rPr>
          <w:rFonts w:asciiTheme="minorBidi" w:hAnsiTheme="minorBidi"/>
          <w:sz w:val="20"/>
          <w:szCs w:val="20"/>
        </w:rPr>
        <w:t xml:space="preserve"> need</w:t>
      </w:r>
      <w:r w:rsidR="00FB6685" w:rsidRPr="00386AF8">
        <w:rPr>
          <w:rFonts w:asciiTheme="minorBidi" w:hAnsiTheme="minorBidi"/>
          <w:sz w:val="20"/>
          <w:szCs w:val="20"/>
        </w:rPr>
        <w:t xml:space="preserve"> of assessing </w:t>
      </w:r>
      <w:r w:rsidR="00D654B6" w:rsidRPr="00386AF8">
        <w:rPr>
          <w:rFonts w:asciiTheme="minorBidi" w:hAnsiTheme="minorBidi"/>
          <w:sz w:val="20"/>
          <w:szCs w:val="20"/>
        </w:rPr>
        <w:t xml:space="preserve">the state-wise implementation of Green Budgeting </w:t>
      </w:r>
      <w:r w:rsidR="0049677D" w:rsidRPr="00386AF8">
        <w:rPr>
          <w:rFonts w:asciiTheme="minorBidi" w:hAnsiTheme="minorBidi"/>
          <w:sz w:val="20"/>
          <w:szCs w:val="20"/>
        </w:rPr>
        <w:t>in India</w:t>
      </w:r>
      <w:r w:rsidR="00D654B6" w:rsidRPr="00386AF8">
        <w:rPr>
          <w:rFonts w:asciiTheme="minorBidi" w:hAnsiTheme="minorBidi"/>
          <w:sz w:val="20"/>
          <w:szCs w:val="20"/>
        </w:rPr>
        <w:t xml:space="preserve"> by </w:t>
      </w:r>
      <w:r w:rsidR="008B0D72" w:rsidRPr="00386AF8">
        <w:rPr>
          <w:rFonts w:asciiTheme="minorBidi" w:hAnsiTheme="minorBidi"/>
          <w:sz w:val="20"/>
          <w:szCs w:val="20"/>
        </w:rPr>
        <w:t>proposing</w:t>
      </w:r>
      <w:r w:rsidRPr="00386AF8">
        <w:rPr>
          <w:rFonts w:asciiTheme="minorBidi" w:hAnsiTheme="minorBidi"/>
          <w:sz w:val="20"/>
          <w:szCs w:val="20"/>
        </w:rPr>
        <w:t xml:space="preserve"> </w:t>
      </w:r>
      <w:r w:rsidR="00024205" w:rsidRPr="00386AF8">
        <w:rPr>
          <w:rFonts w:asciiTheme="minorBidi" w:hAnsiTheme="minorBidi"/>
          <w:sz w:val="20"/>
          <w:szCs w:val="20"/>
        </w:rPr>
        <w:t>a Green Budgetin</w:t>
      </w:r>
      <w:r w:rsidR="00011E49" w:rsidRPr="00386AF8">
        <w:rPr>
          <w:rFonts w:asciiTheme="minorBidi" w:hAnsiTheme="minorBidi"/>
          <w:sz w:val="20"/>
          <w:szCs w:val="20"/>
        </w:rPr>
        <w:t>g</w:t>
      </w:r>
      <w:r w:rsidRPr="00386AF8">
        <w:rPr>
          <w:rFonts w:asciiTheme="minorBidi" w:hAnsiTheme="minorBidi"/>
          <w:sz w:val="20"/>
          <w:szCs w:val="20"/>
        </w:rPr>
        <w:t xml:space="preserve"> </w:t>
      </w:r>
      <w:r w:rsidR="006C1B15" w:rsidRPr="00386AF8">
        <w:rPr>
          <w:rFonts w:asciiTheme="minorBidi" w:hAnsiTheme="minorBidi"/>
          <w:sz w:val="20"/>
          <w:szCs w:val="20"/>
        </w:rPr>
        <w:t>Index</w:t>
      </w:r>
      <w:r w:rsidR="00525271" w:rsidRPr="00386AF8">
        <w:rPr>
          <w:rFonts w:asciiTheme="minorBidi" w:hAnsiTheme="minorBidi"/>
          <w:sz w:val="20"/>
          <w:szCs w:val="20"/>
        </w:rPr>
        <w:t xml:space="preserve"> for this purpose</w:t>
      </w:r>
      <w:r w:rsidR="007B08FA" w:rsidRPr="00386AF8">
        <w:rPr>
          <w:rFonts w:asciiTheme="minorBidi" w:hAnsiTheme="minorBidi"/>
          <w:sz w:val="20"/>
          <w:szCs w:val="20"/>
        </w:rPr>
        <w:t>.</w:t>
      </w:r>
      <w:r w:rsidRPr="00386AF8">
        <w:rPr>
          <w:rFonts w:asciiTheme="minorBidi" w:hAnsiTheme="minorBidi"/>
          <w:sz w:val="20"/>
          <w:szCs w:val="20"/>
        </w:rPr>
        <w:t xml:space="preserve"> As a developing country in Asia, India stands to benefit significantly from an effective Green Budgeting system, both by optimizing the allocation of limited public resources for climate and environmental priorities and by leveraging additional green finance. To this end, sustained investment in the development and operationalization of a robust Green Budgeting </w:t>
      </w:r>
      <w:r w:rsidR="00986B27" w:rsidRPr="00386AF8">
        <w:rPr>
          <w:rFonts w:asciiTheme="minorBidi" w:hAnsiTheme="minorBidi"/>
          <w:sz w:val="20"/>
          <w:szCs w:val="20"/>
        </w:rPr>
        <w:t>process</w:t>
      </w:r>
      <w:r w:rsidRPr="00386AF8">
        <w:rPr>
          <w:rFonts w:asciiTheme="minorBidi" w:hAnsiTheme="minorBidi"/>
          <w:sz w:val="20"/>
          <w:szCs w:val="20"/>
        </w:rPr>
        <w:t xml:space="preserve"> should be a strategic priority for the </w:t>
      </w:r>
      <w:proofErr w:type="spellStart"/>
      <w:r w:rsidR="00CE6D4D" w:rsidRPr="00386AF8">
        <w:rPr>
          <w:rFonts w:asciiTheme="minorBidi" w:hAnsiTheme="minorBidi"/>
          <w:sz w:val="20"/>
          <w:szCs w:val="20"/>
        </w:rPr>
        <w:t>GoI</w:t>
      </w:r>
      <w:proofErr w:type="spellEnd"/>
      <w:r w:rsidRPr="00386AF8">
        <w:rPr>
          <w:rFonts w:asciiTheme="minorBidi" w:hAnsiTheme="minorBidi"/>
          <w:sz w:val="20"/>
          <w:szCs w:val="20"/>
        </w:rPr>
        <w:t xml:space="preserve"> in the coming years.</w:t>
      </w:r>
      <w:r w:rsidR="00684E3D" w:rsidRPr="00386AF8">
        <w:rPr>
          <w:rFonts w:asciiTheme="minorBidi" w:hAnsiTheme="minorBidi"/>
          <w:sz w:val="20"/>
          <w:szCs w:val="20"/>
        </w:rPr>
        <w:t xml:space="preserve"> </w:t>
      </w:r>
    </w:p>
    <w:p w14:paraId="30A2EC89" w14:textId="77777777" w:rsidR="00890965" w:rsidRDefault="00890965" w:rsidP="00EF7C2D">
      <w:pPr>
        <w:jc w:val="both"/>
        <w:rPr>
          <w:rFonts w:asciiTheme="minorBidi" w:hAnsiTheme="minorBidi"/>
          <w:sz w:val="20"/>
          <w:szCs w:val="20"/>
        </w:rPr>
      </w:pPr>
    </w:p>
    <w:p w14:paraId="62D0098B" w14:textId="77777777" w:rsidR="00586EA1" w:rsidRPr="00483B90" w:rsidRDefault="00586EA1" w:rsidP="00586EA1">
      <w:r w:rsidRPr="00483B90">
        <w:t>Disclaimer (Artificial intelligence)</w:t>
      </w:r>
    </w:p>
    <w:p w14:paraId="08B6BB06" w14:textId="77777777" w:rsidR="00586EA1" w:rsidRPr="00483B90" w:rsidRDefault="00586EA1" w:rsidP="00586EA1">
      <w:r w:rsidRPr="00483B90">
        <w:t>Author(s) hereby declare that NO generative AI technologies such as Large Language Models (</w:t>
      </w:r>
      <w:proofErr w:type="spellStart"/>
      <w:r w:rsidRPr="00483B90">
        <w:t>ChatGPT</w:t>
      </w:r>
      <w:proofErr w:type="spellEnd"/>
      <w:r w:rsidRPr="00483B90">
        <w:t xml:space="preserve">, COPILOT, etc.) and text-to-image generators have been used during the writing or editing of this manuscript. </w:t>
      </w:r>
    </w:p>
    <w:p w14:paraId="09C3B82F" w14:textId="77777777" w:rsidR="00DD10F8" w:rsidRDefault="00DD10F8">
      <w:pPr>
        <w:rPr>
          <w:highlight w:val="yellow"/>
        </w:rPr>
      </w:pPr>
      <w:r>
        <w:rPr>
          <w:highlight w:val="yellow"/>
        </w:rPr>
        <w:br w:type="page"/>
      </w:r>
    </w:p>
    <w:p w14:paraId="23CA58B6" w14:textId="5DD01441" w:rsidR="009C593C" w:rsidRPr="00827CF2" w:rsidRDefault="00827CF2"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lastRenderedPageBreak/>
        <w:t>REFERENCES</w:t>
      </w:r>
    </w:p>
    <w:p w14:paraId="05F57898" w14:textId="77777777" w:rsidR="00CA379C" w:rsidRPr="00386AF8" w:rsidRDefault="00CA379C" w:rsidP="00006EA7">
      <w:pPr>
        <w:spacing w:line="276" w:lineRule="auto"/>
        <w:rPr>
          <w:rFonts w:asciiTheme="minorBidi" w:hAnsiTheme="minorBidi"/>
          <w:color w:val="000000"/>
          <w:kern w:val="0"/>
          <w:sz w:val="20"/>
          <w:szCs w:val="20"/>
        </w:rPr>
      </w:pPr>
    </w:p>
    <w:p w14:paraId="0768DC03" w14:textId="09B43DC0"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ADB (2023)</w:t>
      </w:r>
      <w:r w:rsidR="00363C4B">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Climate Change and Climate Finance – Current Experience and Future Directions</w:t>
      </w:r>
      <w:r w:rsidR="00363C4B">
        <w:rPr>
          <w:rFonts w:ascii="Arial" w:eastAsia="Calibri" w:hAnsi="Arial" w:cs="Arial"/>
          <w:kern w:val="0"/>
          <w:sz w:val="20"/>
          <w:szCs w:val="20"/>
        </w:rPr>
        <w:t>.</w:t>
      </w:r>
      <w:r w:rsidRPr="008910A5">
        <w:rPr>
          <w:rFonts w:ascii="Arial" w:eastAsia="Calibri" w:hAnsi="Arial" w:cs="Arial"/>
          <w:kern w:val="0"/>
          <w:sz w:val="20"/>
          <w:szCs w:val="20"/>
        </w:rPr>
        <w:t xml:space="preserve"> </w:t>
      </w:r>
      <w:hyperlink r:id="rId32" w:history="1">
        <w:r w:rsidRPr="008910A5">
          <w:rPr>
            <w:rStyle w:val="Hyperlink"/>
            <w:rFonts w:ascii="Arial" w:eastAsia="Calibri" w:hAnsi="Arial" w:cs="Arial"/>
            <w:kern w:val="0"/>
            <w:sz w:val="20"/>
            <w:szCs w:val="20"/>
          </w:rPr>
          <w:t>https://www.adb.org/sites/default/files/publication/908751/climate-change-climate-finance-experience-directions.pdf</w:t>
        </w:r>
      </w:hyperlink>
    </w:p>
    <w:p w14:paraId="5CCD1FD4"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kern w:val="0"/>
          <w:sz w:val="20"/>
          <w:szCs w:val="20"/>
        </w:rPr>
      </w:pPr>
    </w:p>
    <w:p w14:paraId="444ADF75" w14:textId="75391974"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roofErr w:type="spellStart"/>
      <w:r w:rsidRPr="008910A5">
        <w:rPr>
          <w:rFonts w:ascii="Arial" w:eastAsia="Calibri" w:hAnsi="Arial" w:cs="Arial"/>
          <w:kern w:val="0"/>
          <w:sz w:val="20"/>
          <w:szCs w:val="20"/>
        </w:rPr>
        <w:t>Agarwala</w:t>
      </w:r>
      <w:proofErr w:type="spellEnd"/>
      <w:r w:rsidRPr="008910A5">
        <w:rPr>
          <w:rFonts w:ascii="Arial" w:eastAsia="Calibri" w:hAnsi="Arial" w:cs="Arial"/>
          <w:kern w:val="0"/>
          <w:sz w:val="20"/>
          <w:szCs w:val="20"/>
        </w:rPr>
        <w:t>, T. (2022)</w:t>
      </w:r>
      <w:r w:rsidR="00363C4B">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Assessment of the Climate Responsive Budgeting Framework adopted by States in India</w:t>
      </w:r>
      <w:r w:rsidR="00363C4B">
        <w:rPr>
          <w:rFonts w:ascii="Arial" w:eastAsia="Calibri" w:hAnsi="Arial" w:cs="Arial"/>
          <w:i/>
          <w:kern w:val="0"/>
          <w:sz w:val="20"/>
          <w:szCs w:val="20"/>
        </w:rPr>
        <w:t>.</w:t>
      </w:r>
      <w:r w:rsidRPr="008910A5">
        <w:rPr>
          <w:rFonts w:ascii="Arial" w:eastAsia="Calibri" w:hAnsi="Arial" w:cs="Arial"/>
          <w:i/>
          <w:kern w:val="0"/>
          <w:sz w:val="20"/>
          <w:szCs w:val="20"/>
        </w:rPr>
        <w:t xml:space="preserve"> </w:t>
      </w:r>
      <w:r w:rsidRPr="008910A5">
        <w:rPr>
          <w:rFonts w:ascii="Arial" w:eastAsia="Calibri" w:hAnsi="Arial" w:cs="Arial"/>
          <w:kern w:val="0"/>
          <w:sz w:val="20"/>
          <w:szCs w:val="20"/>
        </w:rPr>
        <w:t>Centre for Budget and Governance Accountability (CBGA)</w:t>
      </w:r>
      <w:r w:rsidR="00791CF0">
        <w:rPr>
          <w:rFonts w:ascii="Arial" w:eastAsia="Calibri" w:hAnsi="Arial" w:cs="Arial"/>
          <w:kern w:val="0"/>
          <w:sz w:val="20"/>
          <w:szCs w:val="20"/>
        </w:rPr>
        <w:t>.</w:t>
      </w:r>
    </w:p>
    <w:p w14:paraId="076B645F" w14:textId="77777777" w:rsidR="008910A5" w:rsidRPr="008910A5" w:rsidRDefault="008910A5" w:rsidP="008910A5">
      <w:pPr>
        <w:ind w:left="720"/>
        <w:contextualSpacing/>
        <w:rPr>
          <w:rFonts w:ascii="Arial" w:eastAsia="Calibri" w:hAnsi="Arial" w:cs="Arial"/>
          <w:kern w:val="0"/>
          <w:sz w:val="20"/>
          <w:szCs w:val="20"/>
        </w:rPr>
      </w:pPr>
    </w:p>
    <w:p w14:paraId="2E0DB664" w14:textId="2012365E"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roofErr w:type="spellStart"/>
      <w:r w:rsidRPr="008910A5">
        <w:rPr>
          <w:rFonts w:ascii="Arial" w:eastAsia="Calibri" w:hAnsi="Arial" w:cs="Arial"/>
          <w:kern w:val="0"/>
          <w:sz w:val="20"/>
          <w:szCs w:val="20"/>
        </w:rPr>
        <w:t>Aktaş</w:t>
      </w:r>
      <w:proofErr w:type="spellEnd"/>
      <w:r w:rsidRPr="008910A5">
        <w:rPr>
          <w:rFonts w:ascii="Arial" w:eastAsia="Calibri" w:hAnsi="Arial" w:cs="Arial"/>
          <w:kern w:val="0"/>
          <w:sz w:val="20"/>
          <w:szCs w:val="20"/>
        </w:rPr>
        <w:t>, E. (2023)</w:t>
      </w:r>
      <w:r w:rsidR="004A54AA">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Cs/>
          <w:kern w:val="0"/>
          <w:sz w:val="20"/>
          <w:szCs w:val="20"/>
        </w:rPr>
        <w:t>Green Budgeting and Long-Term Fiscal Sustainability</w:t>
      </w:r>
      <w:r w:rsidR="001C6685">
        <w:rPr>
          <w:rFonts w:ascii="Arial" w:eastAsia="Calibri" w:hAnsi="Arial" w:cs="Arial"/>
          <w:iCs/>
          <w:kern w:val="0"/>
          <w:sz w:val="20"/>
          <w:szCs w:val="20"/>
        </w:rPr>
        <w:t>.</w:t>
      </w:r>
      <w:r w:rsidRPr="008910A5">
        <w:rPr>
          <w:rFonts w:ascii="Arial" w:eastAsia="Calibri" w:hAnsi="Arial" w:cs="Arial"/>
          <w:iCs/>
          <w:kern w:val="0"/>
          <w:sz w:val="20"/>
          <w:szCs w:val="20"/>
        </w:rPr>
        <w:t xml:space="preserve"> </w:t>
      </w:r>
      <w:r w:rsidRPr="00483B90">
        <w:rPr>
          <w:rFonts w:ascii="Arial" w:eastAsia="Calibri" w:hAnsi="Arial" w:cs="Arial"/>
          <w:i/>
          <w:kern w:val="0"/>
          <w:sz w:val="20"/>
          <w:szCs w:val="20"/>
        </w:rPr>
        <w:t>Issues on Sustainability</w:t>
      </w:r>
      <w:r w:rsidR="001C6685" w:rsidRPr="00483B90">
        <w:rPr>
          <w:rFonts w:ascii="Arial" w:eastAsia="Calibri" w:hAnsi="Arial" w:cs="Arial"/>
          <w:i/>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iCs/>
          <w:kern w:val="0"/>
          <w:sz w:val="20"/>
          <w:szCs w:val="20"/>
        </w:rPr>
        <w:t xml:space="preserve">Economics and History, </w:t>
      </w:r>
      <w:r w:rsidRPr="00483B90">
        <w:rPr>
          <w:rFonts w:ascii="Arial" w:eastAsia="Calibri" w:hAnsi="Arial" w:cs="Arial"/>
          <w:kern w:val="0"/>
          <w:sz w:val="20"/>
          <w:szCs w:val="20"/>
        </w:rPr>
        <w:t xml:space="preserve">First Edition, </w:t>
      </w:r>
      <w:r w:rsidR="007424F9" w:rsidRPr="007424F9">
        <w:rPr>
          <w:rFonts w:ascii="Arial" w:eastAsia="Calibri" w:hAnsi="Arial" w:cs="Arial"/>
          <w:kern w:val="0"/>
          <w:sz w:val="20"/>
          <w:szCs w:val="20"/>
        </w:rPr>
        <w:t>pp 31-48</w:t>
      </w:r>
      <w:r w:rsidR="00764394">
        <w:rPr>
          <w:rFonts w:ascii="Arial" w:eastAsia="Calibri" w:hAnsi="Arial" w:cs="Arial"/>
          <w:kern w:val="0"/>
          <w:sz w:val="20"/>
          <w:szCs w:val="20"/>
        </w:rPr>
        <w:t>.</w:t>
      </w:r>
      <w:r w:rsidR="000211FF">
        <w:rPr>
          <w:rFonts w:ascii="Arial" w:eastAsia="Calibri" w:hAnsi="Arial" w:cs="Arial"/>
          <w:kern w:val="0"/>
          <w:sz w:val="20"/>
          <w:szCs w:val="20"/>
        </w:rPr>
        <w:t xml:space="preserve"> </w:t>
      </w:r>
      <w:r w:rsidRPr="00483B90">
        <w:rPr>
          <w:rFonts w:ascii="Arial" w:eastAsia="Calibri" w:hAnsi="Arial" w:cs="Arial"/>
          <w:kern w:val="0"/>
          <w:sz w:val="20"/>
          <w:szCs w:val="20"/>
        </w:rPr>
        <w:t>IJOPEC Publication Limited</w:t>
      </w:r>
      <w:r w:rsidRPr="008910A5">
        <w:rPr>
          <w:rFonts w:ascii="Arial" w:eastAsia="Calibri" w:hAnsi="Arial" w:cs="Arial"/>
          <w:kern w:val="0"/>
          <w:sz w:val="20"/>
          <w:szCs w:val="20"/>
        </w:rPr>
        <w:t>.</w:t>
      </w:r>
    </w:p>
    <w:p w14:paraId="5F1AE3AE"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kern w:val="0"/>
          <w:sz w:val="20"/>
          <w:szCs w:val="20"/>
        </w:rPr>
      </w:pPr>
    </w:p>
    <w:p w14:paraId="259D83BF" w14:textId="11824E61" w:rsidR="008910A5" w:rsidRDefault="008910A5" w:rsidP="000F4F54">
      <w:pPr>
        <w:autoSpaceDE w:val="0"/>
        <w:autoSpaceDN w:val="0"/>
        <w:adjustRightInd w:val="0"/>
        <w:spacing w:after="0" w:line="240" w:lineRule="auto"/>
        <w:ind w:left="833" w:hanging="720"/>
        <w:contextualSpacing/>
        <w:jc w:val="both"/>
        <w:rPr>
          <w:rFonts w:ascii="Arial" w:eastAsia="Calibri" w:hAnsi="Arial" w:cs="Arial"/>
          <w:i/>
          <w:iCs/>
          <w:kern w:val="0"/>
          <w:sz w:val="20"/>
          <w:szCs w:val="20"/>
        </w:rPr>
      </w:pPr>
      <w:proofErr w:type="spellStart"/>
      <w:r w:rsidRPr="008910A5">
        <w:rPr>
          <w:rFonts w:ascii="Arial" w:eastAsia="Calibri" w:hAnsi="Arial" w:cs="Arial"/>
          <w:kern w:val="0"/>
          <w:sz w:val="20"/>
          <w:szCs w:val="20"/>
        </w:rPr>
        <w:t>Azzahra</w:t>
      </w:r>
      <w:proofErr w:type="spellEnd"/>
      <w:r w:rsidRPr="008910A5">
        <w:rPr>
          <w:rFonts w:ascii="Arial" w:eastAsia="Calibri" w:hAnsi="Arial" w:cs="Arial"/>
          <w:kern w:val="0"/>
          <w:sz w:val="20"/>
          <w:szCs w:val="20"/>
        </w:rPr>
        <w:t xml:space="preserve">, L., </w:t>
      </w:r>
      <w:proofErr w:type="spellStart"/>
      <w:r w:rsidRPr="008910A5">
        <w:rPr>
          <w:rFonts w:ascii="Arial" w:eastAsia="Calibri" w:hAnsi="Arial" w:cs="Arial"/>
          <w:kern w:val="0"/>
          <w:sz w:val="20"/>
          <w:szCs w:val="20"/>
        </w:rPr>
        <w:t>Pamungkas</w:t>
      </w:r>
      <w:proofErr w:type="spellEnd"/>
      <w:r w:rsidRPr="008910A5">
        <w:rPr>
          <w:rFonts w:ascii="Arial" w:eastAsia="Calibri" w:hAnsi="Arial" w:cs="Arial"/>
          <w:kern w:val="0"/>
          <w:sz w:val="20"/>
          <w:szCs w:val="20"/>
        </w:rPr>
        <w:t xml:space="preserve">, P. and </w:t>
      </w:r>
      <w:proofErr w:type="spellStart"/>
      <w:r w:rsidR="002F4FE0" w:rsidRPr="008910A5">
        <w:rPr>
          <w:rFonts w:ascii="Arial" w:eastAsia="Calibri" w:hAnsi="Arial" w:cs="Arial"/>
          <w:kern w:val="0"/>
          <w:sz w:val="20"/>
          <w:szCs w:val="20"/>
        </w:rPr>
        <w:t>Trinarningsih</w:t>
      </w:r>
      <w:proofErr w:type="spellEnd"/>
      <w:r w:rsidR="002F4FE0" w:rsidRPr="008910A5">
        <w:rPr>
          <w:rFonts w:ascii="Arial" w:eastAsia="Calibri" w:hAnsi="Arial" w:cs="Arial"/>
          <w:kern w:val="0"/>
          <w:sz w:val="20"/>
          <w:szCs w:val="20"/>
        </w:rPr>
        <w:t>, W.</w:t>
      </w:r>
      <w:r w:rsidRPr="008910A5">
        <w:rPr>
          <w:rFonts w:ascii="Arial" w:eastAsia="Calibri" w:hAnsi="Arial" w:cs="Arial"/>
          <w:kern w:val="0"/>
          <w:sz w:val="20"/>
          <w:szCs w:val="20"/>
        </w:rPr>
        <w:t xml:space="preserve"> (2022)</w:t>
      </w:r>
      <w:r w:rsidR="0077576A">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iCs/>
          <w:kern w:val="0"/>
          <w:sz w:val="20"/>
          <w:szCs w:val="20"/>
        </w:rPr>
        <w:t>Application of green budgeting in finance and development policy</w:t>
      </w:r>
      <w:r w:rsidR="0077576A">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i/>
          <w:iCs/>
          <w:kern w:val="0"/>
          <w:sz w:val="20"/>
          <w:szCs w:val="20"/>
        </w:rPr>
        <w:t xml:space="preserve">IOP Conference </w:t>
      </w:r>
      <w:r w:rsidR="003B6427" w:rsidRPr="00483B90">
        <w:rPr>
          <w:rFonts w:ascii="Arial" w:eastAsia="Calibri" w:hAnsi="Arial" w:cs="Arial"/>
          <w:i/>
          <w:iCs/>
          <w:kern w:val="0"/>
          <w:sz w:val="20"/>
          <w:szCs w:val="20"/>
        </w:rPr>
        <w:t>Series:</w:t>
      </w:r>
      <w:r w:rsidRPr="00483B90">
        <w:rPr>
          <w:rFonts w:ascii="Arial" w:eastAsia="Calibri" w:hAnsi="Arial" w:cs="Arial"/>
          <w:i/>
          <w:iCs/>
          <w:kern w:val="0"/>
          <w:sz w:val="20"/>
          <w:szCs w:val="20"/>
        </w:rPr>
        <w:t xml:space="preserve"> Earth and Environmental Science 1114 012101</w:t>
      </w:r>
      <w:r w:rsidR="00487F91">
        <w:rPr>
          <w:rFonts w:ascii="Arial" w:eastAsia="Calibri" w:hAnsi="Arial" w:cs="Arial"/>
          <w:i/>
          <w:iCs/>
          <w:kern w:val="0"/>
          <w:sz w:val="20"/>
          <w:szCs w:val="20"/>
        </w:rPr>
        <w:t xml:space="preserve">. </w:t>
      </w:r>
      <w:hyperlink r:id="rId33" w:history="1">
        <w:r w:rsidR="0098148B" w:rsidRPr="00957C24">
          <w:rPr>
            <w:rStyle w:val="Hyperlink"/>
            <w:rFonts w:ascii="Arial" w:eastAsia="Calibri" w:hAnsi="Arial" w:cs="Arial"/>
            <w:i/>
            <w:iCs/>
            <w:kern w:val="0"/>
            <w:sz w:val="20"/>
            <w:szCs w:val="20"/>
          </w:rPr>
          <w:t>https://doi.org/10.1088/1755-1315/1114/1/012101</w:t>
        </w:r>
      </w:hyperlink>
    </w:p>
    <w:p w14:paraId="74E36794" w14:textId="77777777"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
    <w:p w14:paraId="0E39DDA1" w14:textId="559AF57F"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Buchner, B. et al (2023)</w:t>
      </w:r>
      <w:r w:rsidR="00B41B1B">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Global Landscape of Climate Finance 2023</w:t>
      </w:r>
      <w:r w:rsidR="00B41B1B">
        <w:rPr>
          <w:rFonts w:ascii="Arial" w:eastAsia="Calibri" w:hAnsi="Arial" w:cs="Arial"/>
          <w:kern w:val="0"/>
          <w:sz w:val="20"/>
          <w:szCs w:val="20"/>
        </w:rPr>
        <w:t>.</w:t>
      </w:r>
      <w:r w:rsidRPr="008910A5">
        <w:rPr>
          <w:rFonts w:ascii="Arial" w:eastAsia="Calibri" w:hAnsi="Arial" w:cs="Arial"/>
          <w:kern w:val="0"/>
          <w:sz w:val="20"/>
          <w:szCs w:val="20"/>
        </w:rPr>
        <w:t xml:space="preserve"> Climate Policy Initiative (CPI)</w:t>
      </w:r>
      <w:r w:rsidR="00F91D09">
        <w:rPr>
          <w:rFonts w:ascii="Arial" w:eastAsia="Calibri" w:hAnsi="Arial" w:cs="Arial"/>
          <w:kern w:val="0"/>
          <w:sz w:val="20"/>
          <w:szCs w:val="20"/>
        </w:rPr>
        <w:t xml:space="preserve">. </w:t>
      </w:r>
      <w:hyperlink r:id="rId34" w:history="1">
        <w:r w:rsidR="001229D7" w:rsidRPr="00957C24">
          <w:rPr>
            <w:rStyle w:val="Hyperlink"/>
            <w:rFonts w:ascii="Arial" w:eastAsia="Calibri" w:hAnsi="Arial" w:cs="Arial"/>
            <w:kern w:val="0"/>
            <w:sz w:val="20"/>
            <w:szCs w:val="20"/>
          </w:rPr>
          <w:t>https://www.climatepolicyinitiative.org/publication/global-landscape-of-climate-finance-2023/</w:t>
        </w:r>
      </w:hyperlink>
    </w:p>
    <w:p w14:paraId="47ED4380" w14:textId="77777777" w:rsidR="006532D0" w:rsidRDefault="006532D0" w:rsidP="001229D7">
      <w:pPr>
        <w:autoSpaceDE w:val="0"/>
        <w:autoSpaceDN w:val="0"/>
        <w:adjustRightInd w:val="0"/>
        <w:spacing w:after="0" w:line="240" w:lineRule="auto"/>
        <w:ind w:left="833" w:hanging="720"/>
        <w:contextualSpacing/>
        <w:jc w:val="both"/>
        <w:rPr>
          <w:rFonts w:ascii="Arial" w:eastAsia="Calibri" w:hAnsi="Arial" w:cs="Arial"/>
          <w:kern w:val="0"/>
          <w:sz w:val="20"/>
          <w:szCs w:val="20"/>
        </w:rPr>
      </w:pPr>
    </w:p>
    <w:p w14:paraId="3459AE77" w14:textId="1FBA5CD1" w:rsidR="008910A5" w:rsidRPr="00483B90" w:rsidRDefault="008910A5" w:rsidP="00483B90">
      <w:pPr>
        <w:autoSpaceDE w:val="0"/>
        <w:autoSpaceDN w:val="0"/>
        <w:adjustRightInd w:val="0"/>
        <w:spacing w:after="0" w:line="240" w:lineRule="auto"/>
        <w:ind w:left="833" w:hanging="720"/>
        <w:contextualSpacing/>
        <w:rPr>
          <w:rFonts w:ascii="Arial" w:eastAsia="Calibri" w:hAnsi="Arial" w:cs="Arial"/>
          <w:iCs/>
          <w:sz w:val="20"/>
          <w:szCs w:val="20"/>
        </w:rPr>
      </w:pPr>
      <w:r w:rsidRPr="008910A5">
        <w:rPr>
          <w:rFonts w:ascii="Arial" w:eastAsia="Calibri" w:hAnsi="Arial" w:cs="Arial"/>
          <w:sz w:val="20"/>
          <w:szCs w:val="20"/>
        </w:rPr>
        <w:t>Centre for Science and Environment (2024)</w:t>
      </w:r>
      <w:r w:rsidR="00B41B1B">
        <w:rPr>
          <w:rFonts w:ascii="Arial" w:eastAsia="Calibri" w:hAnsi="Arial" w:cs="Arial"/>
          <w:sz w:val="20"/>
          <w:szCs w:val="20"/>
        </w:rPr>
        <w:t>.</w:t>
      </w:r>
      <w:r w:rsidRPr="008910A5">
        <w:rPr>
          <w:rFonts w:ascii="Arial" w:eastAsia="Calibri" w:hAnsi="Arial" w:cs="Arial"/>
          <w:sz w:val="20"/>
          <w:szCs w:val="20"/>
        </w:rPr>
        <w:t xml:space="preserve"> </w:t>
      </w:r>
      <w:r w:rsidRPr="008910A5">
        <w:rPr>
          <w:rFonts w:ascii="Arial" w:eastAsia="Calibri" w:hAnsi="Arial" w:cs="Arial"/>
          <w:i/>
          <w:sz w:val="20"/>
          <w:szCs w:val="20"/>
        </w:rPr>
        <w:t>Climate India 2024: An assessment of extreme weather events January – September.</w:t>
      </w:r>
      <w:r w:rsidR="00BE13FD">
        <w:rPr>
          <w:rFonts w:ascii="Arial" w:eastAsia="Calibri" w:hAnsi="Arial" w:cs="Arial"/>
          <w:i/>
          <w:sz w:val="20"/>
          <w:szCs w:val="20"/>
        </w:rPr>
        <w:t xml:space="preserve"> </w:t>
      </w:r>
      <w:r w:rsidR="00BE13FD" w:rsidRPr="00483B90">
        <w:rPr>
          <w:rFonts w:ascii="Arial" w:eastAsia="Calibri" w:hAnsi="Arial" w:cs="Arial"/>
          <w:iCs/>
          <w:sz w:val="20"/>
          <w:szCs w:val="20"/>
        </w:rPr>
        <w:t>New Delhi</w:t>
      </w:r>
      <w:r w:rsidR="0098142F" w:rsidRPr="00483B90">
        <w:rPr>
          <w:rFonts w:ascii="Arial" w:eastAsia="Calibri" w:hAnsi="Arial" w:cs="Arial"/>
          <w:iCs/>
          <w:sz w:val="20"/>
          <w:szCs w:val="20"/>
        </w:rPr>
        <w:t>: CSE.</w:t>
      </w:r>
      <w:r w:rsidR="0098142F">
        <w:rPr>
          <w:rFonts w:ascii="Arial" w:eastAsia="Calibri" w:hAnsi="Arial" w:cs="Arial"/>
          <w:i/>
          <w:sz w:val="20"/>
          <w:szCs w:val="20"/>
        </w:rPr>
        <w:t xml:space="preserve"> </w:t>
      </w:r>
      <w:r w:rsidR="00525E04" w:rsidRPr="00483B90">
        <w:rPr>
          <w:rFonts w:ascii="Arial" w:eastAsia="Calibri" w:hAnsi="Arial" w:cs="Arial"/>
          <w:iCs/>
          <w:sz w:val="20"/>
          <w:szCs w:val="20"/>
        </w:rPr>
        <w:t>https://www.cseindia.org/climate-india-2024-an-assessment-of-extreme-weather-events-12460</w:t>
      </w:r>
    </w:p>
    <w:p w14:paraId="4716B048" w14:textId="77777777" w:rsidR="008910A5" w:rsidRPr="008910A5" w:rsidRDefault="008910A5" w:rsidP="008910A5">
      <w:pPr>
        <w:ind w:left="720"/>
        <w:contextualSpacing/>
        <w:rPr>
          <w:rFonts w:ascii="Arial" w:eastAsia="Calibri" w:hAnsi="Arial" w:cs="Arial"/>
          <w:i/>
          <w:sz w:val="20"/>
          <w:szCs w:val="20"/>
        </w:rPr>
      </w:pPr>
    </w:p>
    <w:p w14:paraId="7AE0A3FD" w14:textId="410FD241" w:rsidR="008910A5" w:rsidRPr="008910A5" w:rsidRDefault="008910A5" w:rsidP="000F4F54">
      <w:pPr>
        <w:autoSpaceDE w:val="0"/>
        <w:autoSpaceDN w:val="0"/>
        <w:adjustRightInd w:val="0"/>
        <w:spacing w:after="0" w:line="240" w:lineRule="auto"/>
        <w:ind w:left="833" w:hanging="720"/>
        <w:contextualSpacing/>
        <w:rPr>
          <w:rFonts w:ascii="Arial" w:eastAsia="Calibri" w:hAnsi="Arial" w:cs="Arial"/>
          <w:i/>
          <w:kern w:val="0"/>
          <w:sz w:val="20"/>
          <w:szCs w:val="20"/>
        </w:rPr>
      </w:pPr>
      <w:r w:rsidRPr="008910A5">
        <w:rPr>
          <w:rFonts w:ascii="Arial" w:eastAsia="Calibri" w:hAnsi="Arial" w:cs="Arial"/>
          <w:sz w:val="20"/>
          <w:szCs w:val="20"/>
        </w:rPr>
        <w:t>Confederation of Indian Industry, Clean Air Fund</w:t>
      </w:r>
      <w:r w:rsidR="007B0A7C">
        <w:rPr>
          <w:rFonts w:ascii="Arial" w:eastAsia="Calibri" w:hAnsi="Arial" w:cs="Arial"/>
          <w:sz w:val="20"/>
          <w:szCs w:val="20"/>
        </w:rPr>
        <w:t>,</w:t>
      </w:r>
      <w:r w:rsidRPr="008910A5">
        <w:rPr>
          <w:rFonts w:ascii="Arial" w:eastAsia="Calibri" w:hAnsi="Arial" w:cs="Arial"/>
          <w:sz w:val="20"/>
          <w:szCs w:val="20"/>
        </w:rPr>
        <w:t xml:space="preserve"> and Dalberg (2021)</w:t>
      </w:r>
      <w:r w:rsidR="00F22B7F">
        <w:rPr>
          <w:rFonts w:ascii="Arial" w:eastAsia="Calibri" w:hAnsi="Arial" w:cs="Arial"/>
          <w:sz w:val="20"/>
          <w:szCs w:val="20"/>
        </w:rPr>
        <w:t>.</w:t>
      </w:r>
      <w:r w:rsidRPr="008910A5">
        <w:rPr>
          <w:rFonts w:ascii="Arial" w:eastAsia="Calibri" w:hAnsi="Arial" w:cs="Arial"/>
          <w:sz w:val="20"/>
          <w:szCs w:val="20"/>
        </w:rPr>
        <w:t xml:space="preserve"> </w:t>
      </w:r>
      <w:r w:rsidRPr="008910A5">
        <w:rPr>
          <w:rFonts w:ascii="Arial" w:eastAsia="Calibri" w:hAnsi="Arial" w:cs="Arial"/>
          <w:i/>
          <w:sz w:val="20"/>
          <w:szCs w:val="20"/>
        </w:rPr>
        <w:t>Air Pollution and its impact on business – The silent pandemic</w:t>
      </w:r>
      <w:r w:rsidR="00F22B7F">
        <w:rPr>
          <w:rFonts w:ascii="Arial" w:eastAsia="Calibri" w:hAnsi="Arial" w:cs="Arial"/>
          <w:i/>
          <w:sz w:val="20"/>
          <w:szCs w:val="20"/>
        </w:rPr>
        <w:t>.</w:t>
      </w:r>
      <w:r w:rsidR="001B3508">
        <w:rPr>
          <w:rFonts w:ascii="Arial" w:eastAsia="Calibri" w:hAnsi="Arial" w:cs="Arial"/>
          <w:i/>
          <w:sz w:val="20"/>
          <w:szCs w:val="20"/>
        </w:rPr>
        <w:t xml:space="preserve"> </w:t>
      </w:r>
      <w:hyperlink r:id="rId35" w:history="1">
        <w:r w:rsidR="002E5E4A" w:rsidRPr="00957C24">
          <w:rPr>
            <w:rStyle w:val="Hyperlink"/>
            <w:rFonts w:ascii="Arial" w:eastAsia="Calibri" w:hAnsi="Arial" w:cs="Arial"/>
            <w:i/>
            <w:kern w:val="0"/>
            <w:sz w:val="20"/>
            <w:szCs w:val="20"/>
          </w:rPr>
          <w:t>https://www.cleanairfund.org/wp-content/uploads/01042021_Business-Cost-of-Air-Pollution_Long-Form-Report.pdf</w:t>
        </w:r>
      </w:hyperlink>
    </w:p>
    <w:p w14:paraId="4AE329A1" w14:textId="77777777" w:rsidR="002E5E4A" w:rsidRPr="00483B90" w:rsidRDefault="002E5E4A" w:rsidP="00483B90">
      <w:pPr>
        <w:autoSpaceDE w:val="0"/>
        <w:autoSpaceDN w:val="0"/>
        <w:adjustRightInd w:val="0"/>
        <w:spacing w:after="0" w:line="240" w:lineRule="auto"/>
        <w:ind w:left="833" w:hanging="720"/>
        <w:contextualSpacing/>
        <w:rPr>
          <w:rFonts w:ascii="Arial" w:eastAsia="Calibri" w:hAnsi="Arial" w:cs="Arial"/>
          <w:iCs/>
          <w:kern w:val="0"/>
          <w:sz w:val="20"/>
          <w:szCs w:val="20"/>
        </w:rPr>
      </w:pPr>
    </w:p>
    <w:p w14:paraId="170026CF" w14:textId="5A96FB2C" w:rsidR="008910A5" w:rsidRPr="008910A5" w:rsidRDefault="008910A5" w:rsidP="00483B90">
      <w:pPr>
        <w:autoSpaceDE w:val="0"/>
        <w:autoSpaceDN w:val="0"/>
        <w:adjustRightInd w:val="0"/>
        <w:spacing w:after="0" w:line="240" w:lineRule="auto"/>
        <w:ind w:left="113"/>
        <w:contextualSpacing/>
        <w:jc w:val="both"/>
        <w:rPr>
          <w:rFonts w:ascii="Arial" w:eastAsia="Calibri" w:hAnsi="Arial" w:cs="Arial"/>
          <w:i/>
          <w:color w:val="4D4D4F"/>
          <w:kern w:val="0"/>
          <w:sz w:val="20"/>
          <w:szCs w:val="20"/>
        </w:rPr>
      </w:pPr>
      <w:r w:rsidRPr="00483B90">
        <w:rPr>
          <w:rFonts w:ascii="Arial" w:eastAsia="Calibri" w:hAnsi="Arial" w:cs="Arial"/>
          <w:kern w:val="0"/>
          <w:sz w:val="20"/>
          <w:szCs w:val="20"/>
        </w:rPr>
        <w:t>CPI (2024)</w:t>
      </w:r>
      <w:r w:rsidR="00060658" w:rsidRPr="00483B90">
        <w:rPr>
          <w:rFonts w:ascii="Arial" w:eastAsia="Calibri" w:hAnsi="Arial" w:cs="Arial"/>
          <w:kern w:val="0"/>
          <w:sz w:val="20"/>
          <w:szCs w:val="20"/>
        </w:rPr>
        <w:t>.</w:t>
      </w:r>
      <w:r w:rsidRPr="00483B90">
        <w:rPr>
          <w:rFonts w:ascii="Arial" w:eastAsia="Calibri" w:hAnsi="Arial" w:cs="Arial"/>
          <w:kern w:val="0"/>
          <w:sz w:val="20"/>
          <w:szCs w:val="20"/>
        </w:rPr>
        <w:t xml:space="preserve"> </w:t>
      </w:r>
      <w:r w:rsidRPr="00483B90">
        <w:rPr>
          <w:rFonts w:ascii="Arial" w:eastAsia="Calibri" w:hAnsi="Arial" w:cs="Arial"/>
          <w:i/>
          <w:kern w:val="0"/>
          <w:sz w:val="20"/>
          <w:szCs w:val="20"/>
        </w:rPr>
        <w:t>Landscape of Green Finance in India</w:t>
      </w:r>
      <w:r w:rsidRPr="00483B90">
        <w:rPr>
          <w:rFonts w:ascii="Arial" w:eastAsia="Calibri" w:hAnsi="Arial" w:cs="Arial"/>
          <w:kern w:val="0"/>
          <w:sz w:val="20"/>
          <w:szCs w:val="20"/>
        </w:rPr>
        <w:t xml:space="preserve">, </w:t>
      </w:r>
      <w:hyperlink r:id="rId36" w:history="1">
        <w:r w:rsidRPr="008910A5">
          <w:rPr>
            <w:rFonts w:ascii="Arial" w:eastAsia="Calibri" w:hAnsi="Arial" w:cs="Arial"/>
            <w:color w:val="0563C1"/>
            <w:kern w:val="0"/>
            <w:sz w:val="20"/>
            <w:szCs w:val="20"/>
            <w:u w:val="single"/>
          </w:rPr>
          <w:t>https://www.climatepolicyinitiative.org/wp-content/uploads/2024/12/Landscape-of-Green-Finance-in-India-2024.pdf</w:t>
        </w:r>
      </w:hyperlink>
    </w:p>
    <w:p w14:paraId="7FEE4533"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i/>
          <w:color w:val="4D4D4F"/>
          <w:kern w:val="0"/>
          <w:sz w:val="20"/>
          <w:szCs w:val="20"/>
        </w:rPr>
      </w:pPr>
    </w:p>
    <w:p w14:paraId="72E1C29D" w14:textId="3E985377"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Finance Department and Department of Science, Technology and Environment, Government of Puducherry and TERI (2023)</w:t>
      </w:r>
      <w:r w:rsidR="00060658">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kern w:val="0"/>
          <w:sz w:val="20"/>
          <w:szCs w:val="20"/>
        </w:rPr>
        <w:t>Puducherry Green Budget 2023-24</w:t>
      </w:r>
      <w:r w:rsidR="00060658" w:rsidRPr="00483B90">
        <w:rPr>
          <w:rFonts w:ascii="Arial" w:eastAsia="Calibri" w:hAnsi="Arial" w:cs="Arial"/>
          <w:kern w:val="0"/>
          <w:sz w:val="20"/>
          <w:szCs w:val="20"/>
        </w:rPr>
        <w:t>.</w:t>
      </w:r>
      <w:r w:rsidRPr="008910A5">
        <w:rPr>
          <w:rFonts w:ascii="Arial" w:eastAsia="Calibri" w:hAnsi="Arial" w:cs="Arial"/>
          <w:kern w:val="0"/>
          <w:sz w:val="20"/>
          <w:szCs w:val="20"/>
        </w:rPr>
        <w:t xml:space="preserve"> </w:t>
      </w:r>
    </w:p>
    <w:p w14:paraId="59F4026F"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kern w:val="0"/>
          <w:sz w:val="20"/>
          <w:szCs w:val="20"/>
        </w:rPr>
      </w:pPr>
    </w:p>
    <w:p w14:paraId="010E50D8" w14:textId="1C25E06A"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Finance Department, Government of Assam (2025)</w:t>
      </w:r>
      <w:r w:rsidR="00060658">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kern w:val="0"/>
          <w:sz w:val="20"/>
          <w:szCs w:val="20"/>
        </w:rPr>
        <w:t>Green Budget 2025-26</w:t>
      </w:r>
      <w:r w:rsidR="00060658" w:rsidRPr="00483B90">
        <w:rPr>
          <w:rFonts w:ascii="Arial" w:eastAsia="Calibri" w:hAnsi="Arial" w:cs="Arial"/>
          <w:kern w:val="0"/>
          <w:sz w:val="20"/>
          <w:szCs w:val="20"/>
        </w:rPr>
        <w:t>.</w:t>
      </w:r>
    </w:p>
    <w:p w14:paraId="1D400CE4" w14:textId="77777777"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
    <w:p w14:paraId="2882AE1C" w14:textId="064C93DA"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Finance Department, Government of Bihar (2024)</w:t>
      </w:r>
      <w:r w:rsidR="00060658">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kern w:val="0"/>
          <w:sz w:val="20"/>
          <w:szCs w:val="20"/>
        </w:rPr>
        <w:t>Green Budget 2024-25</w:t>
      </w:r>
      <w:r w:rsidR="00060658" w:rsidRPr="00483B90">
        <w:rPr>
          <w:rFonts w:ascii="Arial" w:eastAsia="Calibri" w:hAnsi="Arial" w:cs="Arial"/>
          <w:kern w:val="0"/>
          <w:sz w:val="20"/>
          <w:szCs w:val="20"/>
        </w:rPr>
        <w:t>.</w:t>
      </w:r>
    </w:p>
    <w:p w14:paraId="385E2876" w14:textId="77777777"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
    <w:p w14:paraId="0F430ADD" w14:textId="3B6E344A"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Finance Department, Government of Kerala (2025)</w:t>
      </w:r>
      <w:r w:rsidR="00060658">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kern w:val="0"/>
          <w:sz w:val="20"/>
          <w:szCs w:val="20"/>
        </w:rPr>
        <w:t>Environment Budget 2025-26</w:t>
      </w:r>
      <w:r w:rsidR="00060658" w:rsidRPr="00483B90">
        <w:rPr>
          <w:rFonts w:ascii="Arial" w:eastAsia="Calibri" w:hAnsi="Arial" w:cs="Arial"/>
          <w:kern w:val="0"/>
          <w:sz w:val="20"/>
          <w:szCs w:val="20"/>
        </w:rPr>
        <w:t>.</w:t>
      </w:r>
    </w:p>
    <w:p w14:paraId="1A048B84" w14:textId="77777777"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
    <w:p w14:paraId="47788752" w14:textId="2091CB06"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Finance Department, Government of Meghalaya (2024)</w:t>
      </w:r>
      <w:r w:rsidR="00060658">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kern w:val="0"/>
          <w:sz w:val="20"/>
          <w:szCs w:val="20"/>
        </w:rPr>
        <w:t>Climate Action Budget 2024-25</w:t>
      </w:r>
      <w:r w:rsidR="00060658" w:rsidRPr="00483B90">
        <w:rPr>
          <w:rFonts w:ascii="Arial" w:eastAsia="Calibri" w:hAnsi="Arial" w:cs="Arial"/>
          <w:kern w:val="0"/>
          <w:sz w:val="20"/>
          <w:szCs w:val="20"/>
        </w:rPr>
        <w:t>.</w:t>
      </w:r>
    </w:p>
    <w:p w14:paraId="75EC26AF" w14:textId="77777777"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
    <w:p w14:paraId="7F94F5DD" w14:textId="27AB86A3"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Finance Department, Government of Odisha (2025)</w:t>
      </w:r>
      <w:r w:rsidR="00060658">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kern w:val="0"/>
          <w:sz w:val="20"/>
          <w:szCs w:val="20"/>
        </w:rPr>
        <w:t>Climate Budget 2025-26</w:t>
      </w:r>
      <w:r w:rsidR="00060658" w:rsidRPr="00483B90">
        <w:rPr>
          <w:rFonts w:ascii="Arial" w:eastAsia="Calibri" w:hAnsi="Arial" w:cs="Arial"/>
          <w:kern w:val="0"/>
          <w:sz w:val="20"/>
          <w:szCs w:val="20"/>
        </w:rPr>
        <w:t>.</w:t>
      </w:r>
    </w:p>
    <w:p w14:paraId="10A92DE0" w14:textId="77777777"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
    <w:p w14:paraId="4551B754" w14:textId="77777777"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
    <w:p w14:paraId="6AF2D9E5" w14:textId="596BC260"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Finance Department, Government of Rajasthan (2025)</w:t>
      </w:r>
      <w:r w:rsidR="00060658">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kern w:val="0"/>
          <w:sz w:val="20"/>
          <w:szCs w:val="20"/>
        </w:rPr>
        <w:t>Green Budget 2025-26</w:t>
      </w:r>
      <w:r w:rsidR="00060658" w:rsidRPr="00483B90">
        <w:rPr>
          <w:rFonts w:ascii="Arial" w:eastAsia="Calibri" w:hAnsi="Arial" w:cs="Arial"/>
          <w:kern w:val="0"/>
          <w:sz w:val="20"/>
          <w:szCs w:val="20"/>
        </w:rPr>
        <w:t>.</w:t>
      </w:r>
    </w:p>
    <w:p w14:paraId="019E11DE" w14:textId="77777777"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
    <w:p w14:paraId="282025E0" w14:textId="29876023"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Finance Department, Government of Uttar Pradesh (2024)</w:t>
      </w:r>
      <w:r w:rsidR="00060658">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kern w:val="0"/>
          <w:sz w:val="20"/>
          <w:szCs w:val="20"/>
        </w:rPr>
        <w:t>Green Budget for a Sustainable Future – Uttar Pradesh’s Commitment to Greener Growth 2024-25</w:t>
      </w:r>
      <w:r w:rsidR="00060658" w:rsidRPr="00483B90">
        <w:rPr>
          <w:rFonts w:ascii="Arial" w:eastAsia="Calibri" w:hAnsi="Arial" w:cs="Arial"/>
          <w:kern w:val="0"/>
          <w:sz w:val="20"/>
          <w:szCs w:val="20"/>
        </w:rPr>
        <w:t>.</w:t>
      </w:r>
    </w:p>
    <w:p w14:paraId="7459CD00" w14:textId="77777777" w:rsidR="008910A5" w:rsidRPr="008910A5" w:rsidRDefault="008910A5" w:rsidP="008910A5">
      <w:pPr>
        <w:ind w:left="720"/>
        <w:contextualSpacing/>
        <w:rPr>
          <w:rFonts w:ascii="Arial" w:eastAsia="Calibri" w:hAnsi="Arial" w:cs="Arial"/>
          <w:i/>
          <w:kern w:val="0"/>
          <w:sz w:val="20"/>
          <w:szCs w:val="20"/>
        </w:rPr>
      </w:pPr>
    </w:p>
    <w:p w14:paraId="77E35383" w14:textId="7FFF7343"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Forbes India (2023)</w:t>
      </w:r>
      <w:r w:rsidR="00060658">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 xml:space="preserve"> How climate change can impact GDP and jobs</w:t>
      </w:r>
      <w:r w:rsidR="004232F9">
        <w:rPr>
          <w:rFonts w:ascii="Arial" w:eastAsia="Calibri" w:hAnsi="Arial" w:cs="Arial"/>
          <w:i/>
          <w:kern w:val="0"/>
          <w:sz w:val="20"/>
          <w:szCs w:val="20"/>
        </w:rPr>
        <w:t>.</w:t>
      </w:r>
      <w:r w:rsidRPr="008910A5">
        <w:rPr>
          <w:rFonts w:ascii="Arial" w:eastAsia="Calibri" w:hAnsi="Arial" w:cs="Arial"/>
          <w:i/>
          <w:kern w:val="0"/>
          <w:sz w:val="20"/>
          <w:szCs w:val="20"/>
        </w:rPr>
        <w:t xml:space="preserve"> </w:t>
      </w:r>
      <w:hyperlink r:id="rId37" w:history="1">
        <w:r w:rsidRPr="00483B90">
          <w:rPr>
            <w:rFonts w:ascii="Arial" w:eastAsia="Calibri" w:hAnsi="Arial" w:cs="Arial"/>
            <w:color w:val="0563C1"/>
            <w:kern w:val="0"/>
            <w:sz w:val="20"/>
            <w:szCs w:val="20"/>
            <w:u w:val="single"/>
          </w:rPr>
          <w:t>https://www.forbesindia.com/article/take-one-big-story-of-the-day/how-climate-change-can-impact-gdp-and-jobs/87673/1</w:t>
        </w:r>
      </w:hyperlink>
    </w:p>
    <w:p w14:paraId="6707B589" w14:textId="77777777" w:rsidR="008910A5" w:rsidRPr="00483B90" w:rsidRDefault="008910A5" w:rsidP="008910A5">
      <w:pPr>
        <w:autoSpaceDE w:val="0"/>
        <w:autoSpaceDN w:val="0"/>
        <w:adjustRightInd w:val="0"/>
        <w:spacing w:after="0" w:line="240" w:lineRule="auto"/>
        <w:ind w:left="720"/>
        <w:contextualSpacing/>
        <w:jc w:val="both"/>
        <w:rPr>
          <w:rFonts w:ascii="Arial" w:eastAsia="Calibri" w:hAnsi="Arial" w:cs="Arial"/>
          <w:kern w:val="0"/>
          <w:sz w:val="20"/>
          <w:szCs w:val="20"/>
        </w:rPr>
      </w:pPr>
    </w:p>
    <w:p w14:paraId="2DCC26CE" w14:textId="4F059BB4"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i/>
          <w:kern w:val="0"/>
          <w:sz w:val="20"/>
          <w:szCs w:val="20"/>
        </w:rPr>
      </w:pPr>
      <w:proofErr w:type="spellStart"/>
      <w:r w:rsidRPr="008910A5">
        <w:rPr>
          <w:rFonts w:ascii="Arial" w:eastAsia="Calibri" w:hAnsi="Arial" w:cs="Arial"/>
          <w:iCs/>
          <w:kern w:val="0"/>
          <w:sz w:val="20"/>
          <w:szCs w:val="20"/>
        </w:rPr>
        <w:t>Germanwatch</w:t>
      </w:r>
      <w:proofErr w:type="spellEnd"/>
      <w:r w:rsidRPr="008910A5">
        <w:rPr>
          <w:rFonts w:ascii="Arial" w:eastAsia="Calibri" w:hAnsi="Arial" w:cs="Arial"/>
          <w:iCs/>
          <w:kern w:val="0"/>
          <w:sz w:val="20"/>
          <w:szCs w:val="20"/>
        </w:rPr>
        <w:t xml:space="preserve"> (2021)</w:t>
      </w:r>
      <w:r w:rsidR="00060658">
        <w:rPr>
          <w:rFonts w:ascii="Arial" w:eastAsia="Calibri" w:hAnsi="Arial" w:cs="Arial"/>
          <w:iCs/>
          <w:kern w:val="0"/>
          <w:sz w:val="20"/>
          <w:szCs w:val="20"/>
        </w:rPr>
        <w:t>.</w:t>
      </w:r>
      <w:r w:rsidRPr="008910A5">
        <w:rPr>
          <w:rFonts w:ascii="Arial" w:eastAsia="Calibri" w:hAnsi="Arial" w:cs="Arial"/>
          <w:iCs/>
          <w:kern w:val="0"/>
          <w:sz w:val="20"/>
          <w:szCs w:val="20"/>
        </w:rPr>
        <w:t xml:space="preserve"> </w:t>
      </w:r>
      <w:r w:rsidRPr="008910A5">
        <w:rPr>
          <w:rFonts w:ascii="Arial" w:eastAsia="Calibri" w:hAnsi="Arial" w:cs="Arial"/>
          <w:i/>
          <w:kern w:val="0"/>
          <w:sz w:val="20"/>
          <w:szCs w:val="20"/>
        </w:rPr>
        <w:t>Global Climate Risk Index, 2021: Who Suffers Most from Extreme Weather Events? Weather-Related Loss Events in 2019 and 2000-2019</w:t>
      </w:r>
      <w:r w:rsidR="004232F9">
        <w:rPr>
          <w:rFonts w:ascii="Arial" w:eastAsia="Calibri" w:hAnsi="Arial" w:cs="Arial"/>
          <w:iCs/>
          <w:kern w:val="0"/>
          <w:sz w:val="20"/>
          <w:szCs w:val="20"/>
        </w:rPr>
        <w:t>.</w:t>
      </w:r>
      <w:r w:rsidRPr="008910A5">
        <w:rPr>
          <w:rFonts w:ascii="Arial" w:eastAsia="Calibri" w:hAnsi="Arial" w:cs="Arial"/>
          <w:iCs/>
          <w:kern w:val="0"/>
          <w:sz w:val="20"/>
          <w:szCs w:val="20"/>
        </w:rPr>
        <w:t xml:space="preserve"> </w:t>
      </w:r>
      <w:hyperlink r:id="rId38" w:history="1">
        <w:r w:rsidRPr="008910A5">
          <w:rPr>
            <w:rFonts w:ascii="Arial" w:eastAsia="Calibri" w:hAnsi="Arial" w:cs="Arial"/>
            <w:iCs/>
            <w:color w:val="467886"/>
            <w:kern w:val="0"/>
            <w:sz w:val="20"/>
            <w:szCs w:val="20"/>
            <w:u w:val="single"/>
          </w:rPr>
          <w:t>https://www.germanwatch.org/sites/default/files/Global%20Climate%20Risk%20Index%202021_2.pdf</w:t>
        </w:r>
      </w:hyperlink>
    </w:p>
    <w:p w14:paraId="0BF9851B" w14:textId="77777777" w:rsidR="008910A5" w:rsidRPr="008910A5" w:rsidRDefault="008910A5" w:rsidP="008910A5">
      <w:pPr>
        <w:ind w:left="720"/>
        <w:contextualSpacing/>
        <w:rPr>
          <w:rFonts w:ascii="Arial" w:eastAsia="Calibri" w:hAnsi="Arial" w:cs="Arial"/>
          <w:i/>
          <w:kern w:val="0"/>
          <w:sz w:val="20"/>
          <w:szCs w:val="20"/>
        </w:rPr>
      </w:pPr>
    </w:p>
    <w:p w14:paraId="45795400" w14:textId="362A958C" w:rsidR="008910A5" w:rsidRPr="008910A5" w:rsidRDefault="00472C66" w:rsidP="00D76AFC">
      <w:pPr>
        <w:autoSpaceDE w:val="0"/>
        <w:autoSpaceDN w:val="0"/>
        <w:adjustRightInd w:val="0"/>
        <w:spacing w:after="0" w:line="240" w:lineRule="auto"/>
        <w:ind w:left="833" w:hanging="720"/>
        <w:contextualSpacing/>
        <w:jc w:val="both"/>
        <w:rPr>
          <w:rFonts w:ascii="Arial" w:eastAsia="Calibri" w:hAnsi="Arial" w:cs="Arial"/>
          <w:i/>
          <w:kern w:val="0"/>
          <w:sz w:val="20"/>
          <w:szCs w:val="20"/>
        </w:rPr>
      </w:pPr>
      <w:r w:rsidRPr="00483B90">
        <w:rPr>
          <w:rFonts w:ascii="Arial" w:eastAsia="Calibri" w:hAnsi="Arial" w:cs="Arial"/>
          <w:iCs/>
          <w:kern w:val="0"/>
          <w:sz w:val="20"/>
          <w:szCs w:val="20"/>
        </w:rPr>
        <w:lastRenderedPageBreak/>
        <w:t>Jin, I. (2025).</w:t>
      </w:r>
      <w:r w:rsidRPr="00822D27">
        <w:rPr>
          <w:rFonts w:ascii="Arial" w:eastAsia="Calibri" w:hAnsi="Arial" w:cs="Arial"/>
          <w:kern w:val="0"/>
          <w:sz w:val="20"/>
          <w:szCs w:val="20"/>
        </w:rPr>
        <w:t xml:space="preserve"> </w:t>
      </w:r>
      <w:r w:rsidRPr="00483B90">
        <w:rPr>
          <w:rFonts w:ascii="Arial" w:eastAsia="Calibri" w:hAnsi="Arial" w:cs="Arial"/>
          <w:iCs/>
          <w:kern w:val="0"/>
          <w:sz w:val="20"/>
          <w:szCs w:val="20"/>
        </w:rPr>
        <w:t>Aligning green budgeting with nationally determined contributions</w:t>
      </w:r>
      <w:r w:rsidRPr="00472C66">
        <w:rPr>
          <w:rFonts w:ascii="Arial" w:eastAsia="Calibri" w:hAnsi="Arial" w:cs="Arial"/>
          <w:i/>
          <w:kern w:val="0"/>
          <w:sz w:val="20"/>
          <w:szCs w:val="20"/>
        </w:rPr>
        <w:t xml:space="preserve">. Climate Policy, 1–14. </w:t>
      </w:r>
      <w:hyperlink r:id="rId39" w:history="1">
        <w:r w:rsidR="00E86218" w:rsidRPr="00957C24">
          <w:rPr>
            <w:rStyle w:val="Hyperlink"/>
            <w:rFonts w:ascii="Arial" w:eastAsia="Calibri" w:hAnsi="Arial" w:cs="Arial"/>
            <w:i/>
            <w:kern w:val="0"/>
            <w:sz w:val="20"/>
            <w:szCs w:val="20"/>
          </w:rPr>
          <w:t>https://doi.org/10.1080/14693062.2025.2502108</w:t>
        </w:r>
      </w:hyperlink>
      <w:r w:rsidR="00FC237B">
        <w:rPr>
          <w:rFonts w:ascii="Arial" w:eastAsia="Calibri" w:hAnsi="Arial" w:cs="Arial"/>
          <w:i/>
          <w:kern w:val="0"/>
          <w:sz w:val="20"/>
          <w:szCs w:val="20"/>
        </w:rPr>
        <w:t>.</w:t>
      </w:r>
    </w:p>
    <w:p w14:paraId="72A34278" w14:textId="77777777" w:rsidR="00E86218" w:rsidRPr="008910A5" w:rsidRDefault="00E86218" w:rsidP="00483B90">
      <w:pPr>
        <w:autoSpaceDE w:val="0"/>
        <w:autoSpaceDN w:val="0"/>
        <w:adjustRightInd w:val="0"/>
        <w:spacing w:after="0" w:line="240" w:lineRule="auto"/>
        <w:ind w:left="833" w:hanging="720"/>
        <w:contextualSpacing/>
        <w:jc w:val="both"/>
        <w:rPr>
          <w:rFonts w:ascii="Arial" w:eastAsia="Calibri" w:hAnsi="Arial" w:cs="Arial"/>
          <w:i/>
          <w:kern w:val="0"/>
          <w:sz w:val="20"/>
          <w:szCs w:val="20"/>
        </w:rPr>
      </w:pPr>
    </w:p>
    <w:p w14:paraId="5A9870B8"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i/>
          <w:kern w:val="0"/>
          <w:sz w:val="20"/>
          <w:szCs w:val="20"/>
        </w:rPr>
      </w:pPr>
    </w:p>
    <w:p w14:paraId="25293230" w14:textId="35B75DB9"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iCs/>
          <w:kern w:val="0"/>
          <w:sz w:val="20"/>
          <w:szCs w:val="20"/>
        </w:rPr>
      </w:pPr>
      <w:r w:rsidRPr="008910A5">
        <w:rPr>
          <w:rFonts w:ascii="Arial" w:eastAsia="Calibri" w:hAnsi="Arial" w:cs="Arial"/>
          <w:iCs/>
          <w:kern w:val="0"/>
          <w:sz w:val="20"/>
          <w:szCs w:val="20"/>
        </w:rPr>
        <w:t>IPCC (2013)</w:t>
      </w:r>
      <w:r w:rsidR="00C258D5">
        <w:rPr>
          <w:rFonts w:ascii="Arial" w:eastAsia="Calibri" w:hAnsi="Arial" w:cs="Arial"/>
          <w:iCs/>
          <w:kern w:val="0"/>
          <w:sz w:val="20"/>
          <w:szCs w:val="20"/>
        </w:rPr>
        <w:t>.</w:t>
      </w:r>
      <w:r w:rsidRPr="008910A5">
        <w:rPr>
          <w:rFonts w:ascii="Arial" w:eastAsia="Calibri" w:hAnsi="Arial" w:cs="Arial"/>
          <w:iCs/>
          <w:kern w:val="0"/>
          <w:sz w:val="20"/>
          <w:szCs w:val="20"/>
        </w:rPr>
        <w:t xml:space="preserve"> </w:t>
      </w:r>
      <w:r w:rsidRPr="008910A5">
        <w:rPr>
          <w:rFonts w:ascii="Arial" w:eastAsia="Calibri" w:hAnsi="Arial" w:cs="Arial"/>
          <w:i/>
          <w:kern w:val="0"/>
          <w:sz w:val="20"/>
          <w:szCs w:val="20"/>
        </w:rPr>
        <w:t>Climate Change 2013: The Physical Science Basis. Contribution of Working Group I to the Fifth Assessment Report of the Intergovernmental Panel on Climate Change</w:t>
      </w:r>
      <w:r w:rsidR="00C258D5">
        <w:rPr>
          <w:rFonts w:ascii="Arial" w:eastAsia="Calibri" w:hAnsi="Arial" w:cs="Arial"/>
          <w:iCs/>
          <w:kern w:val="0"/>
          <w:sz w:val="20"/>
          <w:szCs w:val="20"/>
        </w:rPr>
        <w:t>.</w:t>
      </w:r>
      <w:r w:rsidRPr="008910A5">
        <w:rPr>
          <w:rFonts w:ascii="Arial" w:eastAsia="Calibri" w:hAnsi="Arial" w:cs="Arial"/>
          <w:iCs/>
          <w:kern w:val="0"/>
          <w:sz w:val="20"/>
          <w:szCs w:val="20"/>
        </w:rPr>
        <w:t xml:space="preserve"> </w:t>
      </w:r>
      <w:hyperlink r:id="rId40" w:history="1">
        <w:r w:rsidRPr="008910A5">
          <w:rPr>
            <w:rFonts w:ascii="Arial" w:eastAsia="Calibri" w:hAnsi="Arial" w:cs="Arial"/>
            <w:iCs/>
            <w:color w:val="467886"/>
            <w:kern w:val="0"/>
            <w:sz w:val="20"/>
            <w:szCs w:val="20"/>
            <w:u w:val="single"/>
          </w:rPr>
          <w:t>https://www.ipcc.ch/report/ar5/wg1/</w:t>
        </w:r>
      </w:hyperlink>
    </w:p>
    <w:p w14:paraId="38773221" w14:textId="77777777" w:rsidR="008910A5" w:rsidRPr="008910A5" w:rsidRDefault="008910A5" w:rsidP="008910A5">
      <w:pPr>
        <w:ind w:left="720"/>
        <w:contextualSpacing/>
        <w:rPr>
          <w:rFonts w:ascii="Arial" w:eastAsia="Calibri" w:hAnsi="Arial" w:cs="Arial"/>
          <w:iCs/>
          <w:kern w:val="0"/>
          <w:sz w:val="20"/>
          <w:szCs w:val="20"/>
        </w:rPr>
      </w:pPr>
    </w:p>
    <w:p w14:paraId="392E6D36" w14:textId="1FBB7178"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roofErr w:type="spellStart"/>
      <w:r w:rsidRPr="008910A5">
        <w:rPr>
          <w:rFonts w:ascii="Arial" w:eastAsia="Calibri" w:hAnsi="Arial" w:cs="Arial"/>
          <w:kern w:val="0"/>
          <w:sz w:val="20"/>
          <w:szCs w:val="20"/>
        </w:rPr>
        <w:t>Kompas</w:t>
      </w:r>
      <w:proofErr w:type="spellEnd"/>
      <w:r w:rsidRPr="008910A5">
        <w:rPr>
          <w:rFonts w:ascii="Arial" w:eastAsia="Calibri" w:hAnsi="Arial" w:cs="Arial"/>
          <w:kern w:val="0"/>
          <w:sz w:val="20"/>
          <w:szCs w:val="20"/>
        </w:rPr>
        <w:t>, T., Pham, V. and Che, T. (2018)</w:t>
      </w:r>
      <w:r w:rsidR="00C258D5">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iCs/>
          <w:kern w:val="0"/>
          <w:sz w:val="20"/>
          <w:szCs w:val="20"/>
        </w:rPr>
        <w:t>The Effects of Climate Change on GDP by Country and the Global Economic Gains from Complying with the Paris Climate Accord</w:t>
      </w:r>
      <w:r w:rsidR="00C258D5">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i/>
          <w:iCs/>
          <w:kern w:val="0"/>
          <w:sz w:val="20"/>
          <w:szCs w:val="20"/>
        </w:rPr>
        <w:t>Earth’s Future, Volume 6, Issue 8, pp 1153-1173</w:t>
      </w:r>
      <w:r w:rsidRPr="008910A5">
        <w:rPr>
          <w:rFonts w:ascii="Arial" w:eastAsia="Calibri" w:hAnsi="Arial" w:cs="Arial"/>
          <w:kern w:val="0"/>
          <w:sz w:val="20"/>
          <w:szCs w:val="20"/>
        </w:rPr>
        <w:t>.</w:t>
      </w:r>
    </w:p>
    <w:p w14:paraId="45209578"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kern w:val="0"/>
          <w:sz w:val="20"/>
          <w:szCs w:val="20"/>
        </w:rPr>
      </w:pPr>
    </w:p>
    <w:p w14:paraId="0E13092B" w14:textId="7509C3CB"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roofErr w:type="spellStart"/>
      <w:r w:rsidRPr="008910A5">
        <w:rPr>
          <w:rFonts w:ascii="Arial" w:eastAsia="Calibri" w:hAnsi="Arial" w:cs="Arial"/>
          <w:kern w:val="0"/>
          <w:sz w:val="20"/>
          <w:szCs w:val="20"/>
        </w:rPr>
        <w:t>Marinheiro</w:t>
      </w:r>
      <w:proofErr w:type="spellEnd"/>
      <w:r w:rsidRPr="008910A5">
        <w:rPr>
          <w:rFonts w:ascii="Arial" w:eastAsia="Calibri" w:hAnsi="Arial" w:cs="Arial"/>
          <w:kern w:val="0"/>
          <w:sz w:val="20"/>
          <w:szCs w:val="20"/>
        </w:rPr>
        <w:t>, C., Sousa, A. and Pinheiro, A. (2022)</w:t>
      </w:r>
      <w:r w:rsidR="00C258D5">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The climate dimension of fiscal policy sustainability: best practices in Green Budgeting and lessons for Portugal</w:t>
      </w:r>
      <w:r w:rsidR="00C258D5">
        <w:rPr>
          <w:rFonts w:ascii="Arial" w:eastAsia="Calibri" w:hAnsi="Arial" w:cs="Arial"/>
          <w:i/>
          <w:kern w:val="0"/>
          <w:sz w:val="20"/>
          <w:szCs w:val="20"/>
        </w:rPr>
        <w:t>.</w:t>
      </w:r>
      <w:r w:rsidRPr="008910A5">
        <w:rPr>
          <w:rFonts w:ascii="Arial" w:eastAsia="Calibri" w:hAnsi="Arial" w:cs="Arial"/>
          <w:i/>
          <w:kern w:val="0"/>
          <w:sz w:val="20"/>
          <w:szCs w:val="20"/>
        </w:rPr>
        <w:t xml:space="preserve"> </w:t>
      </w:r>
      <w:r w:rsidRPr="008910A5">
        <w:rPr>
          <w:rFonts w:ascii="Arial" w:eastAsia="Calibri" w:hAnsi="Arial" w:cs="Arial"/>
          <w:kern w:val="0"/>
          <w:sz w:val="20"/>
          <w:szCs w:val="20"/>
        </w:rPr>
        <w:t>Portuguese Public Finance Council (CFP)</w:t>
      </w:r>
      <w:r w:rsidR="00C258D5">
        <w:rPr>
          <w:rFonts w:ascii="Arial" w:eastAsia="Calibri" w:hAnsi="Arial" w:cs="Arial"/>
          <w:kern w:val="0"/>
          <w:sz w:val="20"/>
          <w:szCs w:val="20"/>
        </w:rPr>
        <w:t>.</w:t>
      </w:r>
    </w:p>
    <w:p w14:paraId="65FDC035" w14:textId="77777777" w:rsidR="00FE10EC" w:rsidRPr="008910A5" w:rsidRDefault="00FE10EC" w:rsidP="00483B90">
      <w:pPr>
        <w:autoSpaceDE w:val="0"/>
        <w:autoSpaceDN w:val="0"/>
        <w:adjustRightInd w:val="0"/>
        <w:spacing w:after="0" w:line="240" w:lineRule="auto"/>
        <w:contextualSpacing/>
        <w:jc w:val="both"/>
        <w:rPr>
          <w:rFonts w:ascii="Arial" w:eastAsia="Calibri" w:hAnsi="Arial" w:cs="Arial"/>
          <w:kern w:val="0"/>
          <w:sz w:val="20"/>
          <w:szCs w:val="20"/>
        </w:rPr>
      </w:pPr>
    </w:p>
    <w:p w14:paraId="0B5371AB" w14:textId="3BBAAD4C"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iCs/>
          <w:kern w:val="0"/>
          <w:sz w:val="20"/>
          <w:szCs w:val="20"/>
        </w:rPr>
      </w:pPr>
      <w:r w:rsidRPr="008910A5">
        <w:rPr>
          <w:rFonts w:ascii="Arial" w:eastAsia="Calibri" w:hAnsi="Arial" w:cs="Arial"/>
          <w:iCs/>
          <w:kern w:val="0"/>
          <w:sz w:val="20"/>
          <w:szCs w:val="20"/>
        </w:rPr>
        <w:t>Ministry of Finance, Government of Nepal (2017)</w:t>
      </w:r>
      <w:r w:rsidR="00C258D5">
        <w:rPr>
          <w:rFonts w:ascii="Arial" w:eastAsia="Calibri" w:hAnsi="Arial" w:cs="Arial"/>
          <w:iCs/>
          <w:kern w:val="0"/>
          <w:sz w:val="20"/>
          <w:szCs w:val="20"/>
        </w:rPr>
        <w:t>.</w:t>
      </w:r>
      <w:r w:rsidRPr="008910A5">
        <w:rPr>
          <w:rFonts w:ascii="Arial" w:eastAsia="Calibri" w:hAnsi="Arial" w:cs="Arial"/>
          <w:iCs/>
          <w:kern w:val="0"/>
          <w:sz w:val="20"/>
          <w:szCs w:val="20"/>
        </w:rPr>
        <w:t xml:space="preserve"> </w:t>
      </w:r>
      <w:r w:rsidRPr="008910A5">
        <w:rPr>
          <w:rFonts w:ascii="Arial" w:eastAsia="Calibri" w:hAnsi="Arial" w:cs="Arial"/>
          <w:i/>
          <w:kern w:val="0"/>
          <w:sz w:val="20"/>
          <w:szCs w:val="20"/>
        </w:rPr>
        <w:t>Climate Change Financing Framework: A roadmap to systematically strengthen climate change mainstreaming into planning and budgeting</w:t>
      </w:r>
      <w:r w:rsidR="00C258D5">
        <w:rPr>
          <w:rFonts w:ascii="Arial" w:eastAsia="Calibri" w:hAnsi="Arial" w:cs="Arial"/>
          <w:iCs/>
          <w:kern w:val="0"/>
          <w:sz w:val="20"/>
          <w:szCs w:val="20"/>
        </w:rPr>
        <w:t>.</w:t>
      </w:r>
      <w:r w:rsidR="003407F6">
        <w:rPr>
          <w:rFonts w:ascii="Arial" w:eastAsia="Calibri" w:hAnsi="Arial" w:cs="Arial"/>
          <w:iCs/>
          <w:kern w:val="0"/>
          <w:sz w:val="20"/>
          <w:szCs w:val="20"/>
        </w:rPr>
        <w:t xml:space="preserve"> </w:t>
      </w:r>
      <w:hyperlink r:id="rId41" w:history="1">
        <w:r w:rsidR="005C654D" w:rsidRPr="00957C24">
          <w:rPr>
            <w:rStyle w:val="Hyperlink"/>
            <w:rFonts w:ascii="Arial" w:eastAsia="Calibri" w:hAnsi="Arial" w:cs="Arial"/>
            <w:iCs/>
            <w:kern w:val="0"/>
            <w:sz w:val="20"/>
            <w:szCs w:val="20"/>
          </w:rPr>
          <w:t>https://www.undp.org/sites/g/files/zskgke326/files/2024-06/climate_chnage_financing_framework-2017.pdf</w:t>
        </w:r>
      </w:hyperlink>
    </w:p>
    <w:p w14:paraId="1B3C65B2"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iCs/>
          <w:kern w:val="0"/>
          <w:sz w:val="20"/>
          <w:szCs w:val="20"/>
        </w:rPr>
      </w:pPr>
    </w:p>
    <w:p w14:paraId="77161675" w14:textId="69AF694A"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OECD (2021)</w:t>
      </w:r>
      <w:r w:rsidR="005C654D">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Green Budget Tagging: Introductory Guidance &amp; Principles</w:t>
      </w:r>
      <w:r w:rsidR="005C654D">
        <w:rPr>
          <w:rFonts w:ascii="Arial" w:eastAsia="Calibri" w:hAnsi="Arial" w:cs="Arial"/>
          <w:kern w:val="0"/>
          <w:sz w:val="20"/>
          <w:szCs w:val="20"/>
        </w:rPr>
        <w:t>.</w:t>
      </w:r>
      <w:r w:rsidRPr="008910A5">
        <w:rPr>
          <w:rFonts w:ascii="Arial" w:eastAsia="Calibri" w:hAnsi="Arial" w:cs="Arial"/>
          <w:kern w:val="0"/>
          <w:sz w:val="20"/>
          <w:szCs w:val="20"/>
        </w:rPr>
        <w:t xml:space="preserve"> OECD Publishing, Paris, </w:t>
      </w:r>
      <w:hyperlink r:id="rId42" w:history="1">
        <w:r w:rsidRPr="008910A5">
          <w:rPr>
            <w:rFonts w:ascii="Arial" w:eastAsia="Calibri" w:hAnsi="Arial" w:cs="Arial"/>
            <w:i/>
            <w:color w:val="0563C1"/>
            <w:kern w:val="0"/>
            <w:sz w:val="20"/>
            <w:szCs w:val="20"/>
            <w:u w:val="single"/>
          </w:rPr>
          <w:t>https://doi.org/10.1787/fe7bfcc4-en</w:t>
        </w:r>
      </w:hyperlink>
      <w:r w:rsidRPr="008910A5">
        <w:rPr>
          <w:rFonts w:ascii="Arial" w:eastAsia="Calibri" w:hAnsi="Arial" w:cs="Arial"/>
          <w:kern w:val="0"/>
          <w:sz w:val="20"/>
          <w:szCs w:val="20"/>
        </w:rPr>
        <w:t>.</w:t>
      </w:r>
    </w:p>
    <w:p w14:paraId="3432F474"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kern w:val="0"/>
          <w:sz w:val="20"/>
          <w:szCs w:val="20"/>
        </w:rPr>
      </w:pPr>
    </w:p>
    <w:p w14:paraId="21D8CF93" w14:textId="7F31CA9F" w:rsidR="008910A5" w:rsidRPr="008910A5" w:rsidRDefault="008910A5" w:rsidP="00483B90">
      <w:pPr>
        <w:spacing w:line="276"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OECD (2021)</w:t>
      </w:r>
      <w:r w:rsidR="005C654D">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Green Budgeting in OECD Countries</w:t>
      </w:r>
      <w:r w:rsidR="005C654D">
        <w:rPr>
          <w:rFonts w:ascii="Arial" w:eastAsia="Calibri" w:hAnsi="Arial" w:cs="Arial"/>
          <w:kern w:val="0"/>
          <w:sz w:val="20"/>
          <w:szCs w:val="20"/>
        </w:rPr>
        <w:t>.</w:t>
      </w:r>
      <w:r w:rsidRPr="008910A5">
        <w:rPr>
          <w:rFonts w:ascii="Arial" w:eastAsia="Calibri" w:hAnsi="Arial" w:cs="Arial"/>
          <w:kern w:val="0"/>
          <w:sz w:val="20"/>
          <w:szCs w:val="20"/>
        </w:rPr>
        <w:t xml:space="preserve"> OECD Publishing, Paris, </w:t>
      </w:r>
      <w:hyperlink r:id="rId43" w:history="1">
        <w:r w:rsidRPr="008910A5">
          <w:rPr>
            <w:rFonts w:ascii="Arial" w:eastAsia="Calibri" w:hAnsi="Arial" w:cs="Arial"/>
            <w:i/>
            <w:color w:val="0563C1"/>
            <w:kern w:val="0"/>
            <w:sz w:val="20"/>
            <w:szCs w:val="20"/>
            <w:u w:val="single"/>
          </w:rPr>
          <w:t>https://doi.org/10.1787/acf5d047-en</w:t>
        </w:r>
      </w:hyperlink>
      <w:r w:rsidRPr="008910A5">
        <w:rPr>
          <w:rFonts w:ascii="Arial" w:eastAsia="Calibri" w:hAnsi="Arial" w:cs="Arial"/>
          <w:kern w:val="0"/>
          <w:sz w:val="20"/>
          <w:szCs w:val="20"/>
        </w:rPr>
        <w:t>.</w:t>
      </w:r>
    </w:p>
    <w:p w14:paraId="159FEE2E" w14:textId="77777777" w:rsidR="008910A5" w:rsidRPr="008910A5" w:rsidRDefault="008910A5" w:rsidP="008910A5">
      <w:pPr>
        <w:spacing w:line="276" w:lineRule="auto"/>
        <w:ind w:left="720"/>
        <w:contextualSpacing/>
        <w:jc w:val="both"/>
        <w:rPr>
          <w:rFonts w:ascii="Arial" w:eastAsia="Calibri" w:hAnsi="Arial" w:cs="Arial"/>
          <w:kern w:val="0"/>
          <w:sz w:val="20"/>
          <w:szCs w:val="20"/>
        </w:rPr>
      </w:pPr>
    </w:p>
    <w:p w14:paraId="338121E5" w14:textId="747FFB49" w:rsidR="008910A5" w:rsidRPr="008910A5" w:rsidRDefault="008910A5" w:rsidP="00483B90">
      <w:pPr>
        <w:spacing w:line="276" w:lineRule="auto"/>
        <w:ind w:left="833" w:hanging="720"/>
        <w:contextualSpacing/>
        <w:jc w:val="both"/>
        <w:rPr>
          <w:rFonts w:ascii="Arial" w:eastAsia="Calibri" w:hAnsi="Arial" w:cs="Arial"/>
          <w:color w:val="000000"/>
          <w:kern w:val="0"/>
          <w:sz w:val="20"/>
          <w:szCs w:val="20"/>
        </w:rPr>
      </w:pPr>
      <w:r w:rsidRPr="008910A5">
        <w:rPr>
          <w:rFonts w:ascii="Arial" w:eastAsia="Calibri" w:hAnsi="Arial" w:cs="Arial"/>
          <w:color w:val="000000"/>
          <w:kern w:val="0"/>
          <w:sz w:val="20"/>
          <w:szCs w:val="20"/>
        </w:rPr>
        <w:t>OECD (2024)</w:t>
      </w:r>
      <w:r w:rsidR="005C654D">
        <w:rPr>
          <w:rFonts w:ascii="Arial" w:eastAsia="Calibri" w:hAnsi="Arial" w:cs="Arial"/>
          <w:color w:val="000000"/>
          <w:kern w:val="0"/>
          <w:sz w:val="20"/>
          <w:szCs w:val="20"/>
        </w:rPr>
        <w:t>.</w:t>
      </w:r>
      <w:r w:rsidRPr="008910A5">
        <w:rPr>
          <w:rFonts w:ascii="Arial" w:eastAsia="Calibri" w:hAnsi="Arial" w:cs="Arial"/>
          <w:color w:val="000000"/>
          <w:kern w:val="0"/>
          <w:sz w:val="20"/>
          <w:szCs w:val="20"/>
        </w:rPr>
        <w:t xml:space="preserve"> </w:t>
      </w:r>
      <w:r w:rsidRPr="008910A5">
        <w:rPr>
          <w:rFonts w:ascii="Arial" w:eastAsia="Calibri" w:hAnsi="Arial" w:cs="Arial"/>
          <w:i/>
          <w:color w:val="000000"/>
          <w:kern w:val="0"/>
          <w:sz w:val="20"/>
          <w:szCs w:val="20"/>
        </w:rPr>
        <w:t>Green Budgeting in OECD Countries 2024</w:t>
      </w:r>
      <w:r w:rsidR="006D5154">
        <w:rPr>
          <w:rFonts w:ascii="Arial" w:eastAsia="Calibri" w:hAnsi="Arial" w:cs="Arial"/>
          <w:color w:val="000000"/>
          <w:kern w:val="0"/>
          <w:sz w:val="20"/>
          <w:szCs w:val="20"/>
        </w:rPr>
        <w:t>.</w:t>
      </w:r>
      <w:r w:rsidRPr="008910A5">
        <w:rPr>
          <w:rFonts w:ascii="Arial" w:eastAsia="Calibri" w:hAnsi="Arial" w:cs="Arial"/>
          <w:color w:val="000000"/>
          <w:kern w:val="0"/>
          <w:sz w:val="20"/>
          <w:szCs w:val="20"/>
        </w:rPr>
        <w:t xml:space="preserve"> OECD Publishing, Paris, </w:t>
      </w:r>
      <w:hyperlink r:id="rId44" w:history="1">
        <w:r w:rsidRPr="008910A5">
          <w:rPr>
            <w:rFonts w:ascii="Arial" w:eastAsia="Calibri" w:hAnsi="Arial" w:cs="Arial"/>
            <w:color w:val="0563C1"/>
            <w:kern w:val="0"/>
            <w:sz w:val="20"/>
            <w:szCs w:val="20"/>
            <w:u w:val="single"/>
          </w:rPr>
          <w:t>https://doi.org/10.1787/9aea61f0-en</w:t>
        </w:r>
      </w:hyperlink>
      <w:r w:rsidRPr="008910A5">
        <w:rPr>
          <w:rFonts w:ascii="Arial" w:eastAsia="Calibri" w:hAnsi="Arial" w:cs="Arial"/>
          <w:color w:val="000000"/>
          <w:kern w:val="0"/>
          <w:sz w:val="20"/>
          <w:szCs w:val="20"/>
        </w:rPr>
        <w:t>.</w:t>
      </w:r>
    </w:p>
    <w:p w14:paraId="7BFE1718" w14:textId="77777777" w:rsidR="008910A5" w:rsidRPr="008910A5" w:rsidRDefault="008910A5" w:rsidP="008910A5">
      <w:pPr>
        <w:ind w:left="720"/>
        <w:contextualSpacing/>
        <w:rPr>
          <w:rFonts w:ascii="Arial" w:eastAsia="Calibri" w:hAnsi="Arial" w:cs="Arial"/>
          <w:color w:val="000000"/>
          <w:kern w:val="0"/>
          <w:sz w:val="20"/>
          <w:szCs w:val="20"/>
        </w:rPr>
      </w:pPr>
    </w:p>
    <w:p w14:paraId="7FBE67DD" w14:textId="7B8ABD70"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iCs/>
          <w:kern w:val="0"/>
          <w:sz w:val="20"/>
          <w:szCs w:val="20"/>
        </w:rPr>
      </w:pPr>
      <w:r w:rsidRPr="008910A5">
        <w:rPr>
          <w:rFonts w:ascii="Arial" w:eastAsia="Calibri" w:hAnsi="Arial" w:cs="Arial"/>
          <w:iCs/>
          <w:kern w:val="0"/>
          <w:sz w:val="20"/>
          <w:szCs w:val="20"/>
        </w:rPr>
        <w:t>PEFA (2024)</w:t>
      </w:r>
      <w:r w:rsidR="006D5154">
        <w:rPr>
          <w:rFonts w:ascii="Arial" w:eastAsia="Calibri" w:hAnsi="Arial" w:cs="Arial"/>
          <w:iCs/>
          <w:kern w:val="0"/>
          <w:sz w:val="20"/>
          <w:szCs w:val="20"/>
        </w:rPr>
        <w:t>.</w:t>
      </w:r>
      <w:r w:rsidRPr="008910A5">
        <w:rPr>
          <w:rFonts w:ascii="Arial" w:eastAsia="Calibri" w:hAnsi="Arial" w:cs="Arial"/>
          <w:iCs/>
          <w:kern w:val="0"/>
          <w:sz w:val="20"/>
          <w:szCs w:val="20"/>
        </w:rPr>
        <w:t xml:space="preserve"> </w:t>
      </w:r>
      <w:r w:rsidRPr="008910A5">
        <w:rPr>
          <w:rFonts w:ascii="Arial" w:eastAsia="Calibri" w:hAnsi="Arial" w:cs="Arial"/>
          <w:i/>
          <w:kern w:val="0"/>
          <w:sz w:val="20"/>
          <w:szCs w:val="20"/>
        </w:rPr>
        <w:t>Supplementary Framework for Assessing Climate Responsive Public Financial Management</w:t>
      </w:r>
      <w:r w:rsidR="006D5154">
        <w:rPr>
          <w:rFonts w:ascii="Arial" w:eastAsia="Calibri" w:hAnsi="Arial" w:cs="Arial"/>
          <w:iCs/>
          <w:kern w:val="0"/>
          <w:sz w:val="20"/>
          <w:szCs w:val="20"/>
        </w:rPr>
        <w:t>.</w:t>
      </w:r>
      <w:r w:rsidRPr="008910A5">
        <w:rPr>
          <w:rFonts w:ascii="Arial" w:eastAsia="Calibri" w:hAnsi="Arial" w:cs="Arial"/>
          <w:iCs/>
          <w:kern w:val="0"/>
          <w:sz w:val="20"/>
          <w:szCs w:val="20"/>
        </w:rPr>
        <w:t xml:space="preserve"> </w:t>
      </w:r>
      <w:hyperlink r:id="rId45" w:history="1">
        <w:r w:rsidRPr="008910A5">
          <w:rPr>
            <w:rFonts w:ascii="Arial" w:eastAsia="Calibri" w:hAnsi="Arial" w:cs="Arial"/>
            <w:iCs/>
            <w:color w:val="467886"/>
            <w:kern w:val="0"/>
            <w:sz w:val="20"/>
            <w:szCs w:val="20"/>
            <w:u w:val="single"/>
          </w:rPr>
          <w:t>https://www.pefa.org/resources/supplementary-framework-assessing-climate-responsive-public-financial-management</w:t>
        </w:r>
      </w:hyperlink>
    </w:p>
    <w:p w14:paraId="46A375EE"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iCs/>
          <w:kern w:val="0"/>
          <w:sz w:val="20"/>
          <w:szCs w:val="20"/>
        </w:rPr>
      </w:pPr>
    </w:p>
    <w:p w14:paraId="07F013FD" w14:textId="3EECAAB1"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Petrie, M. (2021)</w:t>
      </w:r>
      <w:r w:rsidR="006D5154">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i/>
          <w:iCs/>
          <w:kern w:val="0"/>
          <w:sz w:val="20"/>
          <w:szCs w:val="20"/>
        </w:rPr>
        <w:t>The Evolution of Green Budgeting, Environmental Governance and Greening Fiscal Policy</w:t>
      </w:r>
      <w:r w:rsidR="00AD03BE">
        <w:rPr>
          <w:rFonts w:ascii="Arial" w:eastAsia="Calibri" w:hAnsi="Arial" w:cs="Arial"/>
          <w:kern w:val="0"/>
          <w:sz w:val="20"/>
          <w:szCs w:val="20"/>
        </w:rPr>
        <w:t>.</w:t>
      </w:r>
      <w:r w:rsidR="00AD03BE">
        <w:t xml:space="preserve"> </w:t>
      </w:r>
      <w:r w:rsidR="00AD03BE" w:rsidRPr="00AD03BE">
        <w:rPr>
          <w:rFonts w:ascii="Arial" w:eastAsia="Calibri" w:hAnsi="Arial" w:cs="Arial"/>
          <w:kern w:val="0"/>
          <w:sz w:val="20"/>
          <w:szCs w:val="20"/>
        </w:rPr>
        <w:t>pp 61-108</w:t>
      </w:r>
      <w:r w:rsidR="009C3FB0">
        <w:rPr>
          <w:rFonts w:ascii="Arial" w:eastAsia="Calibri" w:hAnsi="Arial" w:cs="Arial"/>
          <w:kern w:val="0"/>
          <w:sz w:val="20"/>
          <w:szCs w:val="20"/>
        </w:rPr>
        <w:t>.</w:t>
      </w:r>
      <w:r w:rsidRPr="008910A5">
        <w:rPr>
          <w:rFonts w:ascii="Arial" w:eastAsia="Calibri" w:hAnsi="Arial" w:cs="Arial"/>
          <w:kern w:val="0"/>
          <w:sz w:val="20"/>
          <w:szCs w:val="20"/>
        </w:rPr>
        <w:t xml:space="preserve"> Palgrave Macmillan. </w:t>
      </w:r>
    </w:p>
    <w:p w14:paraId="203B934D" w14:textId="77777777" w:rsidR="008910A5" w:rsidRPr="008910A5" w:rsidRDefault="008910A5" w:rsidP="008910A5">
      <w:pPr>
        <w:ind w:left="720"/>
        <w:contextualSpacing/>
        <w:rPr>
          <w:rFonts w:ascii="Arial" w:eastAsia="Calibri" w:hAnsi="Arial" w:cs="Arial"/>
          <w:kern w:val="0"/>
          <w:sz w:val="20"/>
          <w:szCs w:val="20"/>
        </w:rPr>
      </w:pPr>
    </w:p>
    <w:p w14:paraId="02E5E5DA" w14:textId="5C04863D"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Petrie, M. (2024)</w:t>
      </w:r>
      <w:r w:rsidR="009C3FB0">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Climate-smart and green budgeting</w:t>
      </w:r>
      <w:r w:rsidR="00965F6C">
        <w:rPr>
          <w:rFonts w:ascii="Arial" w:eastAsia="Calibri" w:hAnsi="Arial" w:cs="Arial"/>
          <w:i/>
          <w:kern w:val="0"/>
          <w:sz w:val="20"/>
          <w:szCs w:val="20"/>
        </w:rPr>
        <w:t>.</w:t>
      </w:r>
      <w:r w:rsidRPr="008910A5">
        <w:rPr>
          <w:rFonts w:ascii="Arial" w:eastAsia="Calibri" w:hAnsi="Arial" w:cs="Arial"/>
          <w:i/>
          <w:kern w:val="0"/>
          <w:sz w:val="20"/>
          <w:szCs w:val="20"/>
        </w:rPr>
        <w:t xml:space="preserve"> </w:t>
      </w:r>
      <w:r w:rsidRPr="008910A5">
        <w:rPr>
          <w:rFonts w:ascii="Arial" w:eastAsia="Calibri" w:hAnsi="Arial" w:cs="Arial"/>
          <w:kern w:val="0"/>
          <w:sz w:val="20"/>
          <w:szCs w:val="20"/>
        </w:rPr>
        <w:t>Climate-smart Public Financial Management MENA Conference, Cairo, Egypt, The World Bank</w:t>
      </w:r>
      <w:r w:rsidR="00021CA4">
        <w:rPr>
          <w:rFonts w:ascii="Arial" w:eastAsia="Calibri" w:hAnsi="Arial" w:cs="Arial"/>
          <w:kern w:val="0"/>
          <w:sz w:val="20"/>
          <w:szCs w:val="20"/>
        </w:rPr>
        <w:t>.</w:t>
      </w:r>
      <w:r w:rsidRPr="008910A5">
        <w:rPr>
          <w:rFonts w:ascii="Arial" w:eastAsia="Calibri" w:hAnsi="Arial" w:cs="Arial"/>
          <w:kern w:val="0"/>
          <w:sz w:val="20"/>
          <w:szCs w:val="20"/>
        </w:rPr>
        <w:t xml:space="preserve"> </w:t>
      </w:r>
      <w:hyperlink r:id="rId46" w:history="1">
        <w:r w:rsidRPr="008910A5">
          <w:rPr>
            <w:rFonts w:ascii="Arial" w:eastAsia="Calibri" w:hAnsi="Arial" w:cs="Arial"/>
            <w:color w:val="0563C1"/>
            <w:kern w:val="0"/>
            <w:sz w:val="20"/>
            <w:szCs w:val="20"/>
            <w:u w:val="single"/>
          </w:rPr>
          <w:t>https://thedocs.worldbank.org/en/doc/6b3c0248bc9617882434d7eb9a573031-0350012024/related/Session-4-Murray-Petrie.pdf</w:t>
        </w:r>
      </w:hyperlink>
    </w:p>
    <w:p w14:paraId="48AF81E2"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kern w:val="0"/>
          <w:sz w:val="20"/>
          <w:szCs w:val="20"/>
        </w:rPr>
      </w:pPr>
    </w:p>
    <w:p w14:paraId="1016A2F5" w14:textId="42AF694A"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483B90">
        <w:rPr>
          <w:rFonts w:ascii="Arial" w:eastAsia="Aptos" w:hAnsi="Arial" w:cs="Arial"/>
          <w:sz w:val="20"/>
          <w:szCs w:val="20"/>
          <w:lang w:val="it-IT"/>
        </w:rPr>
        <w:t>Picciariello, A., Colenbrander, S., Bazaz, A. and Roy, R. (2021)</w:t>
      </w:r>
      <w:r w:rsidR="00021CA4" w:rsidRPr="00483B90">
        <w:rPr>
          <w:rFonts w:ascii="Arial" w:eastAsia="Aptos" w:hAnsi="Arial" w:cs="Arial"/>
          <w:sz w:val="20"/>
          <w:szCs w:val="20"/>
          <w:lang w:val="it-IT"/>
        </w:rPr>
        <w:t>.</w:t>
      </w:r>
      <w:r w:rsidRPr="00483B90">
        <w:rPr>
          <w:rFonts w:ascii="Arial" w:eastAsia="Aptos" w:hAnsi="Arial" w:cs="Arial"/>
          <w:sz w:val="20"/>
          <w:szCs w:val="20"/>
          <w:lang w:val="it-IT"/>
        </w:rPr>
        <w:t xml:space="preserve"> </w:t>
      </w:r>
      <w:r w:rsidRPr="008910A5">
        <w:rPr>
          <w:rFonts w:ascii="Arial" w:eastAsia="Aptos" w:hAnsi="Arial" w:cs="Arial"/>
          <w:i/>
          <w:iCs/>
          <w:sz w:val="20"/>
          <w:szCs w:val="20"/>
        </w:rPr>
        <w:t>The costs of climate change in India: a review of the climate-related risks facing India, and their economic and social costs</w:t>
      </w:r>
      <w:r w:rsidR="00021CA4">
        <w:rPr>
          <w:rFonts w:ascii="Arial" w:eastAsia="Aptos" w:hAnsi="Arial" w:cs="Arial"/>
          <w:sz w:val="20"/>
          <w:szCs w:val="20"/>
        </w:rPr>
        <w:t>.</w:t>
      </w:r>
      <w:r w:rsidRPr="008910A5">
        <w:rPr>
          <w:rFonts w:ascii="Arial" w:eastAsia="Aptos" w:hAnsi="Arial" w:cs="Arial"/>
          <w:sz w:val="20"/>
          <w:szCs w:val="20"/>
        </w:rPr>
        <w:t xml:space="preserve"> ODI Literature review. </w:t>
      </w:r>
      <w:r w:rsidRPr="00483B90">
        <w:rPr>
          <w:rFonts w:ascii="Arial" w:eastAsia="Aptos" w:hAnsi="Arial" w:cs="Arial"/>
          <w:sz w:val="20"/>
          <w:szCs w:val="20"/>
        </w:rPr>
        <w:t xml:space="preserve">London: ODI, </w:t>
      </w:r>
      <w:hyperlink r:id="rId47" w:history="1">
        <w:r w:rsidRPr="00483B90">
          <w:rPr>
            <w:rFonts w:ascii="Arial" w:eastAsia="Aptos" w:hAnsi="Arial" w:cs="Arial"/>
            <w:color w:val="467886"/>
            <w:sz w:val="20"/>
            <w:szCs w:val="20"/>
            <w:u w:val="single"/>
          </w:rPr>
          <w:t>www.odi.org/en/publications/the-costs-of-climate-change-inindia-a-review-of-the-climate-related-risks-facing-india-and-their-economic-and-social-costs</w:t>
        </w:r>
      </w:hyperlink>
    </w:p>
    <w:p w14:paraId="4F76520B" w14:textId="77777777" w:rsidR="008910A5" w:rsidRPr="00483B90" w:rsidRDefault="008910A5" w:rsidP="008910A5">
      <w:pPr>
        <w:ind w:left="720"/>
        <w:contextualSpacing/>
        <w:rPr>
          <w:rFonts w:ascii="Arial" w:eastAsia="Calibri" w:hAnsi="Arial" w:cs="Arial"/>
          <w:kern w:val="0"/>
          <w:sz w:val="20"/>
          <w:szCs w:val="20"/>
        </w:rPr>
      </w:pPr>
    </w:p>
    <w:p w14:paraId="00CCFEAA" w14:textId="598B070D"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roofErr w:type="spellStart"/>
      <w:r w:rsidRPr="008910A5">
        <w:rPr>
          <w:rFonts w:ascii="Arial" w:eastAsia="Calibri" w:hAnsi="Arial" w:cs="Arial"/>
          <w:kern w:val="0"/>
          <w:sz w:val="20"/>
          <w:szCs w:val="20"/>
        </w:rPr>
        <w:t>Pojar</w:t>
      </w:r>
      <w:proofErr w:type="spellEnd"/>
      <w:r w:rsidRPr="008910A5">
        <w:rPr>
          <w:rFonts w:ascii="Arial" w:eastAsia="Calibri" w:hAnsi="Arial" w:cs="Arial"/>
          <w:kern w:val="0"/>
          <w:sz w:val="20"/>
          <w:szCs w:val="20"/>
        </w:rPr>
        <w:t>, S. (2023)</w:t>
      </w:r>
      <w:r w:rsidR="00FF6D4C">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How Green Budgeting is Embedded in National Budget Processes</w:t>
      </w:r>
      <w:r w:rsidR="00FF6D4C">
        <w:rPr>
          <w:rFonts w:ascii="Arial" w:eastAsia="Calibri" w:hAnsi="Arial" w:cs="Arial"/>
          <w:i/>
          <w:kern w:val="0"/>
          <w:sz w:val="20"/>
          <w:szCs w:val="20"/>
        </w:rPr>
        <w:t>.</w:t>
      </w:r>
      <w:r w:rsidRPr="008910A5">
        <w:rPr>
          <w:rFonts w:ascii="Arial" w:eastAsia="Calibri" w:hAnsi="Arial" w:cs="Arial"/>
          <w:i/>
          <w:kern w:val="0"/>
          <w:sz w:val="20"/>
          <w:szCs w:val="20"/>
        </w:rPr>
        <w:t xml:space="preserve"> </w:t>
      </w:r>
      <w:r w:rsidRPr="008910A5">
        <w:rPr>
          <w:rFonts w:ascii="Arial" w:eastAsia="Calibri" w:hAnsi="Arial" w:cs="Arial"/>
          <w:kern w:val="0"/>
          <w:sz w:val="20"/>
          <w:szCs w:val="20"/>
        </w:rPr>
        <w:t>The European Commission, Discussion Paper 196, ISSN 2443-8022</w:t>
      </w:r>
      <w:r w:rsidR="00FF6D4C">
        <w:rPr>
          <w:rFonts w:ascii="Arial" w:eastAsia="Calibri" w:hAnsi="Arial" w:cs="Arial"/>
          <w:kern w:val="0"/>
          <w:sz w:val="20"/>
          <w:szCs w:val="20"/>
        </w:rPr>
        <w:t>.</w:t>
      </w:r>
    </w:p>
    <w:p w14:paraId="53525EB4"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kern w:val="0"/>
          <w:sz w:val="20"/>
          <w:szCs w:val="20"/>
        </w:rPr>
      </w:pPr>
    </w:p>
    <w:p w14:paraId="1A07F9E8" w14:textId="33AE24E6"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iCs/>
          <w:kern w:val="0"/>
          <w:sz w:val="20"/>
          <w:szCs w:val="20"/>
        </w:rPr>
      </w:pPr>
      <w:r w:rsidRPr="008910A5">
        <w:rPr>
          <w:rFonts w:ascii="Arial" w:eastAsia="Calibri" w:hAnsi="Arial" w:cs="Arial"/>
          <w:iCs/>
          <w:kern w:val="0"/>
          <w:sz w:val="20"/>
          <w:szCs w:val="20"/>
        </w:rPr>
        <w:t>Prime Minister’s Council on Climate Change, Government of India (2008)</w:t>
      </w:r>
      <w:r w:rsidR="00FF6D4C">
        <w:rPr>
          <w:rFonts w:ascii="Arial" w:eastAsia="Calibri" w:hAnsi="Arial" w:cs="Arial"/>
          <w:iCs/>
          <w:kern w:val="0"/>
          <w:sz w:val="20"/>
          <w:szCs w:val="20"/>
        </w:rPr>
        <w:t>.</w:t>
      </w:r>
      <w:r w:rsidRPr="008910A5">
        <w:rPr>
          <w:rFonts w:ascii="Arial" w:eastAsia="Calibri" w:hAnsi="Arial" w:cs="Arial"/>
          <w:iCs/>
          <w:kern w:val="0"/>
          <w:sz w:val="20"/>
          <w:szCs w:val="20"/>
        </w:rPr>
        <w:t xml:space="preserve"> </w:t>
      </w:r>
      <w:r w:rsidRPr="008910A5">
        <w:rPr>
          <w:rFonts w:ascii="Arial" w:eastAsia="Calibri" w:hAnsi="Arial" w:cs="Arial"/>
          <w:i/>
          <w:kern w:val="0"/>
          <w:sz w:val="20"/>
          <w:szCs w:val="20"/>
        </w:rPr>
        <w:t>National Action Plan on Climate Change (NAPCC)</w:t>
      </w:r>
      <w:r w:rsidR="00FF6D4C">
        <w:rPr>
          <w:rFonts w:ascii="Arial" w:eastAsia="Calibri" w:hAnsi="Arial" w:cs="Arial"/>
          <w:iCs/>
          <w:kern w:val="0"/>
          <w:sz w:val="20"/>
          <w:szCs w:val="20"/>
        </w:rPr>
        <w:t>.</w:t>
      </w:r>
      <w:r w:rsidRPr="008910A5">
        <w:rPr>
          <w:rFonts w:ascii="Arial" w:eastAsia="Calibri" w:hAnsi="Arial" w:cs="Arial"/>
          <w:iCs/>
          <w:kern w:val="0"/>
          <w:sz w:val="20"/>
          <w:szCs w:val="20"/>
        </w:rPr>
        <w:t xml:space="preserve"> </w:t>
      </w:r>
      <w:hyperlink r:id="rId48" w:history="1">
        <w:r w:rsidRPr="008910A5">
          <w:rPr>
            <w:rFonts w:ascii="Arial" w:eastAsia="Calibri" w:hAnsi="Arial" w:cs="Arial"/>
            <w:iCs/>
            <w:color w:val="467886"/>
            <w:kern w:val="0"/>
            <w:sz w:val="20"/>
            <w:szCs w:val="20"/>
            <w:u w:val="single"/>
          </w:rPr>
          <w:t>https://cdn.climatepolicyradar.org/navigator/IND/2008/national-action-plan-on-climate-change_e519421f95914b49614d76d4d62f2456.pdf</w:t>
        </w:r>
      </w:hyperlink>
    </w:p>
    <w:p w14:paraId="3F0B0868" w14:textId="77777777" w:rsidR="008910A5" w:rsidRPr="008910A5" w:rsidRDefault="008910A5" w:rsidP="008910A5">
      <w:pPr>
        <w:ind w:left="720"/>
        <w:contextualSpacing/>
        <w:rPr>
          <w:rFonts w:ascii="Arial" w:eastAsia="Calibri" w:hAnsi="Arial" w:cs="Arial"/>
          <w:iCs/>
          <w:kern w:val="0"/>
          <w:sz w:val="20"/>
          <w:szCs w:val="20"/>
        </w:rPr>
      </w:pPr>
    </w:p>
    <w:p w14:paraId="48704CD9" w14:textId="0D460856"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iCs/>
          <w:kern w:val="0"/>
          <w:sz w:val="20"/>
          <w:szCs w:val="20"/>
        </w:rPr>
      </w:pPr>
      <w:r w:rsidRPr="008910A5">
        <w:rPr>
          <w:rFonts w:ascii="Arial" w:eastAsia="Calibri" w:hAnsi="Arial" w:cs="Arial"/>
          <w:iCs/>
          <w:kern w:val="0"/>
          <w:sz w:val="20"/>
          <w:szCs w:val="20"/>
        </w:rPr>
        <w:t>RBI (2023)</w:t>
      </w:r>
      <w:r w:rsidR="001A5372">
        <w:rPr>
          <w:rFonts w:ascii="Arial" w:eastAsia="Calibri" w:hAnsi="Arial" w:cs="Arial"/>
          <w:iCs/>
          <w:kern w:val="0"/>
          <w:sz w:val="20"/>
          <w:szCs w:val="20"/>
        </w:rPr>
        <w:t>.</w:t>
      </w:r>
      <w:r w:rsidRPr="008910A5">
        <w:rPr>
          <w:rFonts w:ascii="Arial" w:eastAsia="Calibri" w:hAnsi="Arial" w:cs="Arial"/>
          <w:iCs/>
          <w:kern w:val="0"/>
          <w:sz w:val="20"/>
          <w:szCs w:val="20"/>
        </w:rPr>
        <w:t xml:space="preserve"> </w:t>
      </w:r>
      <w:r w:rsidRPr="008910A5">
        <w:rPr>
          <w:rFonts w:ascii="Arial" w:eastAsia="Calibri" w:hAnsi="Arial" w:cs="Arial"/>
          <w:i/>
          <w:kern w:val="0"/>
          <w:sz w:val="20"/>
          <w:szCs w:val="20"/>
        </w:rPr>
        <w:t>Report on Currency and Finance 2022-</w:t>
      </w:r>
      <w:proofErr w:type="gramStart"/>
      <w:r w:rsidRPr="008910A5">
        <w:rPr>
          <w:rFonts w:ascii="Arial" w:eastAsia="Calibri" w:hAnsi="Arial" w:cs="Arial"/>
          <w:i/>
          <w:kern w:val="0"/>
          <w:sz w:val="20"/>
          <w:szCs w:val="20"/>
        </w:rPr>
        <w:t>23 :</w:t>
      </w:r>
      <w:proofErr w:type="gramEnd"/>
      <w:r w:rsidRPr="008910A5">
        <w:rPr>
          <w:rFonts w:ascii="Arial" w:eastAsia="Calibri" w:hAnsi="Arial" w:cs="Arial"/>
          <w:i/>
          <w:kern w:val="0"/>
          <w:sz w:val="20"/>
          <w:szCs w:val="20"/>
        </w:rPr>
        <w:t xml:space="preserve"> Towards a Greener Cleaner India</w:t>
      </w:r>
      <w:r w:rsidR="001A5372">
        <w:rPr>
          <w:rFonts w:ascii="Arial" w:eastAsia="Calibri" w:hAnsi="Arial" w:cs="Arial"/>
          <w:iCs/>
          <w:kern w:val="0"/>
          <w:sz w:val="20"/>
          <w:szCs w:val="20"/>
        </w:rPr>
        <w:t>.</w:t>
      </w:r>
      <w:r w:rsidRPr="008910A5">
        <w:rPr>
          <w:rFonts w:ascii="Arial" w:eastAsia="Calibri" w:hAnsi="Arial" w:cs="Arial"/>
          <w:iCs/>
          <w:kern w:val="0"/>
          <w:sz w:val="20"/>
          <w:szCs w:val="20"/>
        </w:rPr>
        <w:t xml:space="preserve"> </w:t>
      </w:r>
      <w:hyperlink r:id="rId49" w:history="1">
        <w:r w:rsidRPr="008910A5">
          <w:rPr>
            <w:rFonts w:ascii="Arial" w:eastAsia="Calibri" w:hAnsi="Arial" w:cs="Arial"/>
            <w:iCs/>
            <w:color w:val="467886"/>
            <w:kern w:val="0"/>
            <w:sz w:val="20"/>
            <w:szCs w:val="20"/>
            <w:u w:val="single"/>
          </w:rPr>
          <w:t>https://rbidocs.rbi.org.in/rdocs/Publications/PDFs/RCF03052023395FAF37181E40188BAD3AFA59BF3907.PDF</w:t>
        </w:r>
      </w:hyperlink>
    </w:p>
    <w:p w14:paraId="17410636"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iCs/>
          <w:kern w:val="0"/>
          <w:sz w:val="20"/>
          <w:szCs w:val="20"/>
        </w:rPr>
      </w:pPr>
    </w:p>
    <w:p w14:paraId="3498163E" w14:textId="695B7C89"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roofErr w:type="spellStart"/>
      <w:r w:rsidRPr="008910A5">
        <w:rPr>
          <w:rFonts w:ascii="Arial" w:eastAsia="Calibri" w:hAnsi="Arial" w:cs="Arial"/>
          <w:kern w:val="0"/>
          <w:sz w:val="20"/>
          <w:szCs w:val="20"/>
        </w:rPr>
        <w:lastRenderedPageBreak/>
        <w:t>Stanimirović</w:t>
      </w:r>
      <w:proofErr w:type="spellEnd"/>
      <w:r w:rsidRPr="008910A5">
        <w:rPr>
          <w:rFonts w:ascii="Arial" w:eastAsia="Calibri" w:hAnsi="Arial" w:cs="Arial"/>
          <w:kern w:val="0"/>
          <w:sz w:val="20"/>
          <w:szCs w:val="20"/>
        </w:rPr>
        <w:t xml:space="preserve">, T., </w:t>
      </w:r>
      <w:proofErr w:type="spellStart"/>
      <w:r w:rsidRPr="008910A5">
        <w:rPr>
          <w:rFonts w:ascii="Arial" w:eastAsia="Calibri" w:hAnsi="Arial" w:cs="Arial"/>
          <w:kern w:val="0"/>
          <w:sz w:val="20"/>
          <w:szCs w:val="20"/>
        </w:rPr>
        <w:t>Lah</w:t>
      </w:r>
      <w:proofErr w:type="spellEnd"/>
      <w:r w:rsidRPr="008910A5">
        <w:rPr>
          <w:rFonts w:ascii="Arial" w:eastAsia="Calibri" w:hAnsi="Arial" w:cs="Arial"/>
          <w:kern w:val="0"/>
          <w:sz w:val="20"/>
          <w:szCs w:val="20"/>
        </w:rPr>
        <w:t xml:space="preserve">, L., </w:t>
      </w:r>
      <w:proofErr w:type="spellStart"/>
      <w:r w:rsidRPr="008910A5">
        <w:rPr>
          <w:rFonts w:ascii="Arial" w:eastAsia="Calibri" w:hAnsi="Arial" w:cs="Arial"/>
          <w:kern w:val="0"/>
          <w:sz w:val="20"/>
          <w:szCs w:val="20"/>
        </w:rPr>
        <w:t>Kotnik</w:t>
      </w:r>
      <w:proofErr w:type="spellEnd"/>
      <w:r w:rsidRPr="008910A5">
        <w:rPr>
          <w:rFonts w:ascii="Arial" w:eastAsia="Calibri" w:hAnsi="Arial" w:cs="Arial"/>
          <w:kern w:val="0"/>
          <w:sz w:val="20"/>
          <w:szCs w:val="20"/>
        </w:rPr>
        <w:t xml:space="preserve">, Z. and </w:t>
      </w:r>
      <w:proofErr w:type="spellStart"/>
      <w:r w:rsidRPr="008910A5">
        <w:rPr>
          <w:rFonts w:ascii="Arial" w:eastAsia="Calibri" w:hAnsi="Arial" w:cs="Arial"/>
          <w:kern w:val="0"/>
          <w:sz w:val="20"/>
          <w:szCs w:val="20"/>
        </w:rPr>
        <w:t>Klun</w:t>
      </w:r>
      <w:proofErr w:type="spellEnd"/>
      <w:r w:rsidRPr="008910A5">
        <w:rPr>
          <w:rFonts w:ascii="Arial" w:eastAsia="Calibri" w:hAnsi="Arial" w:cs="Arial"/>
          <w:kern w:val="0"/>
          <w:sz w:val="20"/>
          <w:szCs w:val="20"/>
        </w:rPr>
        <w:t>. M. (2023)</w:t>
      </w:r>
      <w:r w:rsidR="001A5372">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iCs/>
          <w:kern w:val="0"/>
          <w:sz w:val="20"/>
          <w:szCs w:val="20"/>
        </w:rPr>
        <w:t>Green Budgeting Implementation in Financing of Sustainable Society – Experience of Slovenia</w:t>
      </w:r>
      <w:r w:rsidR="001A5372">
        <w:rPr>
          <w:rFonts w:ascii="Arial" w:eastAsia="Calibri" w:hAnsi="Arial" w:cs="Arial"/>
          <w:i/>
          <w:kern w:val="0"/>
          <w:sz w:val="20"/>
          <w:szCs w:val="20"/>
        </w:rPr>
        <w:t>.</w:t>
      </w:r>
      <w:r w:rsidRPr="008910A5">
        <w:rPr>
          <w:rFonts w:ascii="Arial" w:eastAsia="Calibri" w:hAnsi="Arial" w:cs="Arial"/>
          <w:i/>
          <w:kern w:val="0"/>
          <w:sz w:val="20"/>
          <w:szCs w:val="20"/>
        </w:rPr>
        <w:t xml:space="preserve"> </w:t>
      </w:r>
      <w:r w:rsidRPr="00483B90">
        <w:rPr>
          <w:rFonts w:ascii="Arial" w:eastAsia="Calibri" w:hAnsi="Arial" w:cs="Arial"/>
          <w:i/>
          <w:iCs/>
          <w:kern w:val="0"/>
          <w:sz w:val="20"/>
          <w:szCs w:val="20"/>
        </w:rPr>
        <w:t>Journal of Contemporary Management Issues, Volume 28, Special Issue, pp 79-91</w:t>
      </w:r>
      <w:r w:rsidRPr="008910A5">
        <w:rPr>
          <w:rFonts w:ascii="Arial" w:eastAsia="Calibri" w:hAnsi="Arial" w:cs="Arial"/>
          <w:kern w:val="0"/>
          <w:sz w:val="20"/>
          <w:szCs w:val="20"/>
        </w:rPr>
        <w:t>.</w:t>
      </w:r>
    </w:p>
    <w:p w14:paraId="499A0D15" w14:textId="77777777" w:rsidR="008910A5" w:rsidRPr="008910A5" w:rsidRDefault="008910A5" w:rsidP="008910A5">
      <w:pPr>
        <w:ind w:left="720"/>
        <w:contextualSpacing/>
        <w:rPr>
          <w:rFonts w:ascii="Arial" w:eastAsia="Calibri" w:hAnsi="Arial" w:cs="Arial"/>
          <w:kern w:val="0"/>
          <w:sz w:val="20"/>
          <w:szCs w:val="20"/>
        </w:rPr>
      </w:pPr>
    </w:p>
    <w:p w14:paraId="097DB7F3" w14:textId="53FEA6F2" w:rsidR="008910A5" w:rsidRDefault="008910A5" w:rsidP="00483B90">
      <w:pPr>
        <w:autoSpaceDE w:val="0"/>
        <w:autoSpaceDN w:val="0"/>
        <w:adjustRightInd w:val="0"/>
        <w:spacing w:after="0" w:line="240" w:lineRule="auto"/>
        <w:ind w:left="833" w:hanging="720"/>
        <w:contextualSpacing/>
        <w:rPr>
          <w:rFonts w:ascii="Arial" w:eastAsia="Calibri" w:hAnsi="Arial" w:cs="Arial"/>
          <w:iCs/>
          <w:kern w:val="0"/>
          <w:sz w:val="20"/>
          <w:szCs w:val="20"/>
        </w:rPr>
      </w:pPr>
      <w:r w:rsidRPr="008910A5">
        <w:rPr>
          <w:rFonts w:ascii="Arial" w:eastAsia="Calibri" w:hAnsi="Arial" w:cs="Arial"/>
          <w:kern w:val="0"/>
          <w:sz w:val="20"/>
          <w:szCs w:val="20"/>
        </w:rPr>
        <w:t>Statista (2023)</w:t>
      </w:r>
      <w:r w:rsidR="001A5372">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GHG emissions in India - Statistics &amp; Facts</w:t>
      </w:r>
      <w:r w:rsidR="001E3977">
        <w:rPr>
          <w:rFonts w:ascii="Arial" w:eastAsia="Calibri" w:hAnsi="Arial" w:cs="Arial"/>
          <w:i/>
          <w:kern w:val="0"/>
          <w:sz w:val="20"/>
          <w:szCs w:val="20"/>
        </w:rPr>
        <w:t>.</w:t>
      </w:r>
      <w:r w:rsidR="00D45647">
        <w:rPr>
          <w:rFonts w:ascii="Arial" w:eastAsia="Calibri" w:hAnsi="Arial" w:cs="Arial"/>
          <w:i/>
          <w:kern w:val="0"/>
          <w:sz w:val="20"/>
          <w:szCs w:val="20"/>
        </w:rPr>
        <w:t xml:space="preserve"> </w:t>
      </w:r>
      <w:r w:rsidR="00D45647">
        <w:rPr>
          <w:rFonts w:ascii="Arial" w:eastAsia="Calibri" w:hAnsi="Arial" w:cs="Arial"/>
          <w:iCs/>
          <w:kern w:val="0"/>
          <w:sz w:val="20"/>
          <w:szCs w:val="20"/>
        </w:rPr>
        <w:t xml:space="preserve">Retrieved </w:t>
      </w:r>
      <w:r w:rsidR="002E764D">
        <w:rPr>
          <w:rFonts w:ascii="Arial" w:eastAsia="Calibri" w:hAnsi="Arial" w:cs="Arial"/>
          <w:iCs/>
          <w:kern w:val="0"/>
          <w:sz w:val="20"/>
          <w:szCs w:val="20"/>
        </w:rPr>
        <w:t>15</w:t>
      </w:r>
      <w:r w:rsidR="002E764D" w:rsidRPr="00483B90">
        <w:rPr>
          <w:rFonts w:ascii="Arial" w:eastAsia="Calibri" w:hAnsi="Arial" w:cs="Arial"/>
          <w:iCs/>
          <w:kern w:val="0"/>
          <w:sz w:val="20"/>
          <w:szCs w:val="20"/>
          <w:vertAlign w:val="superscript"/>
        </w:rPr>
        <w:t>th</w:t>
      </w:r>
      <w:r w:rsidR="002E764D">
        <w:rPr>
          <w:rFonts w:ascii="Arial" w:eastAsia="Calibri" w:hAnsi="Arial" w:cs="Arial"/>
          <w:iCs/>
          <w:kern w:val="0"/>
          <w:sz w:val="20"/>
          <w:szCs w:val="20"/>
        </w:rPr>
        <w:t xml:space="preserve"> April 2025, from</w:t>
      </w:r>
      <w:r w:rsidR="008C7C9F">
        <w:rPr>
          <w:rFonts w:ascii="Arial" w:eastAsia="Calibri" w:hAnsi="Arial" w:cs="Arial"/>
          <w:iCs/>
          <w:kern w:val="0"/>
          <w:sz w:val="20"/>
          <w:szCs w:val="20"/>
        </w:rPr>
        <w:t xml:space="preserve"> </w:t>
      </w:r>
      <w:r w:rsidR="005F6234">
        <w:rPr>
          <w:rFonts w:ascii="Arial" w:eastAsia="Calibri" w:hAnsi="Arial" w:cs="Arial"/>
          <w:iCs/>
          <w:kern w:val="0"/>
          <w:sz w:val="20"/>
          <w:szCs w:val="20"/>
        </w:rPr>
        <w:t xml:space="preserve">  </w:t>
      </w:r>
      <w:hyperlink r:id="rId50" w:anchor=":~:text=India's%20GHG%20emissions%20grew%20by,have%20now%20more%20than%20doubled" w:history="1">
        <w:r w:rsidR="008C7C9F" w:rsidRPr="00957C24">
          <w:rPr>
            <w:rStyle w:val="Hyperlink"/>
            <w:rFonts w:ascii="Arial" w:eastAsia="Calibri" w:hAnsi="Arial" w:cs="Arial"/>
            <w:iCs/>
            <w:kern w:val="0"/>
            <w:sz w:val="20"/>
            <w:szCs w:val="20"/>
          </w:rPr>
          <w:t>https://www.statista.com/topics/8881/emissions-in-india/#:~:text=India's%20GHG%20emissions%20grew%20by,have%20now%20more%20than%20doubled</w:t>
        </w:r>
      </w:hyperlink>
      <w:r w:rsidR="008C7C9F" w:rsidRPr="008C7C9F">
        <w:rPr>
          <w:rFonts w:ascii="Arial" w:eastAsia="Calibri" w:hAnsi="Arial" w:cs="Arial"/>
          <w:iCs/>
          <w:kern w:val="0"/>
          <w:sz w:val="20"/>
          <w:szCs w:val="20"/>
        </w:rPr>
        <w:t>.</w:t>
      </w:r>
    </w:p>
    <w:p w14:paraId="6C6FEA63" w14:textId="77777777" w:rsidR="008910A5" w:rsidRDefault="008910A5" w:rsidP="000F4F54">
      <w:pPr>
        <w:autoSpaceDE w:val="0"/>
        <w:autoSpaceDN w:val="0"/>
        <w:adjustRightInd w:val="0"/>
        <w:spacing w:after="0" w:line="240" w:lineRule="auto"/>
        <w:ind w:firstLine="142"/>
        <w:contextualSpacing/>
        <w:rPr>
          <w:rFonts w:ascii="Arial" w:eastAsia="Calibri" w:hAnsi="Arial" w:cs="Arial"/>
          <w:iCs/>
          <w:kern w:val="0"/>
          <w:sz w:val="20"/>
          <w:szCs w:val="20"/>
        </w:rPr>
      </w:pPr>
    </w:p>
    <w:p w14:paraId="12AEDAD5" w14:textId="73B86E70" w:rsidR="008910A5" w:rsidRPr="00B64CAE" w:rsidRDefault="008910A5" w:rsidP="00483B90">
      <w:pPr>
        <w:autoSpaceDE w:val="0"/>
        <w:autoSpaceDN w:val="0"/>
        <w:adjustRightInd w:val="0"/>
        <w:spacing w:after="0" w:line="240" w:lineRule="auto"/>
        <w:ind w:left="833" w:hanging="720"/>
        <w:contextualSpacing/>
        <w:jc w:val="both"/>
        <w:rPr>
          <w:rFonts w:ascii="Arial" w:eastAsia="Calibri" w:hAnsi="Arial" w:cs="Arial"/>
          <w:iCs/>
          <w:kern w:val="0"/>
          <w:sz w:val="20"/>
          <w:szCs w:val="20"/>
        </w:rPr>
      </w:pPr>
      <w:r w:rsidRPr="008910A5">
        <w:rPr>
          <w:rFonts w:ascii="Arial" w:eastAsia="Calibri" w:hAnsi="Arial" w:cs="Arial"/>
          <w:kern w:val="0"/>
          <w:sz w:val="20"/>
          <w:szCs w:val="20"/>
        </w:rPr>
        <w:t>TERI and ADRI (2022)</w:t>
      </w:r>
      <w:r w:rsidR="001E3977">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A Primer on Green Budgeting</w:t>
      </w:r>
      <w:r w:rsidR="001E3977">
        <w:rPr>
          <w:rFonts w:ascii="Arial" w:eastAsia="Calibri" w:hAnsi="Arial" w:cs="Arial"/>
          <w:i/>
          <w:kern w:val="0"/>
          <w:sz w:val="20"/>
          <w:szCs w:val="20"/>
        </w:rPr>
        <w:t>.</w:t>
      </w:r>
      <w:r w:rsidR="00B64CAE">
        <w:rPr>
          <w:rFonts w:ascii="Arial" w:eastAsia="Calibri" w:hAnsi="Arial" w:cs="Arial"/>
          <w:i/>
          <w:kern w:val="0"/>
          <w:sz w:val="20"/>
          <w:szCs w:val="20"/>
        </w:rPr>
        <w:t xml:space="preserve"> </w:t>
      </w:r>
      <w:r w:rsidR="004D2B37" w:rsidRPr="00483B90">
        <w:rPr>
          <w:rFonts w:ascii="Arial" w:eastAsia="Calibri" w:hAnsi="Arial" w:cs="Arial"/>
          <w:iCs/>
          <w:kern w:val="0"/>
          <w:sz w:val="20"/>
          <w:szCs w:val="20"/>
        </w:rPr>
        <w:t>The Energy and Resources Institute (TERI) and Asian Development Research Institute (ADRI)</w:t>
      </w:r>
    </w:p>
    <w:p w14:paraId="590DD7AC" w14:textId="77777777" w:rsidR="008910A5" w:rsidRPr="008910A5" w:rsidRDefault="008910A5" w:rsidP="008910A5">
      <w:pPr>
        <w:ind w:left="720"/>
        <w:contextualSpacing/>
        <w:rPr>
          <w:rFonts w:ascii="Arial" w:eastAsia="Calibri" w:hAnsi="Arial" w:cs="Arial"/>
          <w:kern w:val="0"/>
          <w:sz w:val="20"/>
          <w:szCs w:val="20"/>
        </w:rPr>
      </w:pPr>
    </w:p>
    <w:p w14:paraId="424BDBE0" w14:textId="1C03E540" w:rsidR="008910A5" w:rsidRDefault="008910A5" w:rsidP="00483B90">
      <w:pPr>
        <w:autoSpaceDE w:val="0"/>
        <w:autoSpaceDN w:val="0"/>
        <w:adjustRightInd w:val="0"/>
        <w:spacing w:after="0" w:line="240" w:lineRule="auto"/>
        <w:ind w:left="833" w:hanging="720"/>
        <w:contextualSpacing/>
        <w:jc w:val="both"/>
        <w:rPr>
          <w:rFonts w:ascii="Arial" w:eastAsia="Calibri" w:hAnsi="Arial" w:cs="Arial"/>
          <w:i/>
          <w:kern w:val="0"/>
          <w:sz w:val="20"/>
          <w:szCs w:val="20"/>
        </w:rPr>
      </w:pPr>
      <w:r w:rsidRPr="008910A5">
        <w:rPr>
          <w:rFonts w:ascii="Arial" w:eastAsia="Calibri" w:hAnsi="Arial" w:cs="Arial"/>
          <w:kern w:val="0"/>
          <w:sz w:val="20"/>
          <w:szCs w:val="20"/>
        </w:rPr>
        <w:t>The Association of Chartered Certified Accountants (ACCA) (2022)</w:t>
      </w:r>
      <w:r w:rsidR="001E3977">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Green Budgeting – A Toolkit for Public Sector Finance Professionals</w:t>
      </w:r>
      <w:r w:rsidR="001E3977">
        <w:rPr>
          <w:rFonts w:ascii="Arial" w:eastAsia="Calibri" w:hAnsi="Arial" w:cs="Arial"/>
          <w:i/>
          <w:kern w:val="0"/>
          <w:sz w:val="20"/>
          <w:szCs w:val="20"/>
        </w:rPr>
        <w:t>.</w:t>
      </w:r>
    </w:p>
    <w:p w14:paraId="2D646E9E" w14:textId="77777777" w:rsidR="00A704EA" w:rsidRPr="008910A5" w:rsidRDefault="00A704EA" w:rsidP="00483B90">
      <w:pPr>
        <w:autoSpaceDE w:val="0"/>
        <w:autoSpaceDN w:val="0"/>
        <w:adjustRightInd w:val="0"/>
        <w:spacing w:after="0" w:line="240" w:lineRule="auto"/>
        <w:contextualSpacing/>
        <w:jc w:val="both"/>
        <w:rPr>
          <w:rFonts w:ascii="Arial" w:eastAsia="Calibri" w:hAnsi="Arial" w:cs="Arial"/>
          <w:i/>
          <w:color w:val="4D4D4F"/>
          <w:kern w:val="0"/>
          <w:sz w:val="20"/>
          <w:szCs w:val="20"/>
        </w:rPr>
      </w:pPr>
    </w:p>
    <w:p w14:paraId="733EEA54" w14:textId="1E6FFEA3"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i/>
          <w:kern w:val="0"/>
          <w:sz w:val="20"/>
          <w:szCs w:val="20"/>
        </w:rPr>
      </w:pPr>
      <w:r w:rsidRPr="008910A5">
        <w:rPr>
          <w:rFonts w:ascii="Arial" w:eastAsia="Calibri" w:hAnsi="Arial" w:cs="Arial"/>
          <w:kern w:val="0"/>
          <w:sz w:val="20"/>
          <w:szCs w:val="20"/>
        </w:rPr>
        <w:t>The Climate Group (2025)</w:t>
      </w:r>
      <w:r w:rsidR="001E3977">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 xml:space="preserve">Green budgeting for subnational governments: </w:t>
      </w:r>
      <w:r w:rsidR="00481370">
        <w:rPr>
          <w:rFonts w:ascii="Arial" w:eastAsia="Calibri" w:hAnsi="Arial" w:cs="Arial"/>
          <w:i/>
          <w:kern w:val="0"/>
          <w:sz w:val="20"/>
          <w:szCs w:val="20"/>
        </w:rPr>
        <w:t>W</w:t>
      </w:r>
      <w:r w:rsidRPr="008910A5">
        <w:rPr>
          <w:rFonts w:ascii="Arial" w:eastAsia="Calibri" w:hAnsi="Arial" w:cs="Arial"/>
          <w:i/>
          <w:kern w:val="0"/>
          <w:sz w:val="20"/>
          <w:szCs w:val="20"/>
        </w:rPr>
        <w:t>hy it matters and how to begin</w:t>
      </w:r>
      <w:r w:rsidR="001E3977">
        <w:rPr>
          <w:rFonts w:ascii="Arial" w:eastAsia="Calibri" w:hAnsi="Arial" w:cs="Arial"/>
          <w:i/>
          <w:kern w:val="0"/>
          <w:sz w:val="20"/>
          <w:szCs w:val="20"/>
        </w:rPr>
        <w:t>.</w:t>
      </w:r>
      <w:hyperlink r:id="rId51" w:history="1">
        <w:r w:rsidR="00207218" w:rsidRPr="00957C24">
          <w:rPr>
            <w:rStyle w:val="Hyperlink"/>
            <w:rFonts w:ascii="Arial" w:eastAsia="Calibri" w:hAnsi="Arial" w:cs="Arial"/>
            <w:i/>
            <w:kern w:val="0"/>
            <w:sz w:val="20"/>
            <w:szCs w:val="20"/>
          </w:rPr>
          <w:t>https://www.theclimategroup.org/our-work/news/green-budgeting-subnational-governments-why-it-matters-and-how-begin</w:t>
        </w:r>
      </w:hyperlink>
    </w:p>
    <w:p w14:paraId="4FB09412"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i/>
          <w:kern w:val="0"/>
          <w:sz w:val="20"/>
          <w:szCs w:val="20"/>
        </w:rPr>
      </w:pPr>
    </w:p>
    <w:p w14:paraId="442D649C" w14:textId="3C47A0C7"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i/>
          <w:kern w:val="0"/>
          <w:sz w:val="20"/>
          <w:szCs w:val="20"/>
        </w:rPr>
      </w:pPr>
      <w:r w:rsidRPr="008910A5">
        <w:rPr>
          <w:rFonts w:ascii="Arial" w:eastAsia="Calibri" w:hAnsi="Arial" w:cs="Arial"/>
          <w:kern w:val="0"/>
          <w:sz w:val="20"/>
          <w:szCs w:val="20"/>
        </w:rPr>
        <w:t>The European Commission (2022)</w:t>
      </w:r>
      <w:r w:rsidR="001E3977">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European Union Green Budgeting Reference Framework</w:t>
      </w:r>
      <w:r w:rsidR="008E1394">
        <w:rPr>
          <w:rFonts w:ascii="Arial" w:eastAsia="Calibri" w:hAnsi="Arial" w:cs="Arial"/>
          <w:i/>
          <w:kern w:val="0"/>
          <w:sz w:val="20"/>
          <w:szCs w:val="20"/>
        </w:rPr>
        <w:t>.</w:t>
      </w:r>
      <w:r w:rsidRPr="008910A5">
        <w:rPr>
          <w:rFonts w:ascii="Arial" w:eastAsia="Calibri" w:hAnsi="Arial" w:cs="Arial"/>
          <w:i/>
          <w:kern w:val="0"/>
          <w:sz w:val="20"/>
          <w:szCs w:val="20"/>
        </w:rPr>
        <w:t xml:space="preserve"> </w:t>
      </w:r>
      <w:hyperlink r:id="rId52" w:history="1">
        <w:r w:rsidRPr="008910A5">
          <w:rPr>
            <w:rFonts w:ascii="Arial" w:eastAsia="Calibri" w:hAnsi="Arial" w:cs="Arial"/>
            <w:i/>
            <w:color w:val="0563C1"/>
            <w:kern w:val="0"/>
            <w:sz w:val="20"/>
            <w:szCs w:val="20"/>
            <w:u w:val="single"/>
          </w:rPr>
          <w:t>bfd8d6c1-d501-4cf2-873f-811f6453dde8_en</w:t>
        </w:r>
      </w:hyperlink>
    </w:p>
    <w:p w14:paraId="1C7987FF" w14:textId="77777777" w:rsidR="008910A5" w:rsidRPr="008910A5" w:rsidRDefault="008910A5" w:rsidP="008910A5">
      <w:pPr>
        <w:ind w:left="720"/>
        <w:contextualSpacing/>
        <w:rPr>
          <w:rFonts w:ascii="Arial" w:eastAsia="Calibri" w:hAnsi="Arial" w:cs="Arial"/>
          <w:i/>
          <w:kern w:val="0"/>
          <w:sz w:val="20"/>
          <w:szCs w:val="20"/>
        </w:rPr>
      </w:pPr>
    </w:p>
    <w:p w14:paraId="7D62F482"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i/>
          <w:kern w:val="0"/>
          <w:sz w:val="20"/>
          <w:szCs w:val="20"/>
        </w:rPr>
      </w:pPr>
    </w:p>
    <w:p w14:paraId="584B2C3E" w14:textId="59AF9F46" w:rsidR="008910A5" w:rsidRPr="008910A5" w:rsidRDefault="008910A5" w:rsidP="00483B90">
      <w:pPr>
        <w:autoSpaceDE w:val="0"/>
        <w:autoSpaceDN w:val="0"/>
        <w:adjustRightInd w:val="0"/>
        <w:spacing w:after="0" w:line="240" w:lineRule="auto"/>
        <w:ind w:left="833" w:hanging="720"/>
        <w:contextualSpacing/>
        <w:jc w:val="both"/>
        <w:rPr>
          <w:rFonts w:ascii="Arial" w:eastAsia="Calibri" w:hAnsi="Arial" w:cs="Arial"/>
          <w:i/>
          <w:kern w:val="0"/>
          <w:sz w:val="20"/>
          <w:szCs w:val="20"/>
        </w:rPr>
      </w:pPr>
      <w:r w:rsidRPr="008910A5">
        <w:rPr>
          <w:rFonts w:ascii="Arial" w:eastAsia="Calibri" w:hAnsi="Arial" w:cs="Arial"/>
          <w:kern w:val="0"/>
          <w:sz w:val="20"/>
          <w:szCs w:val="20"/>
        </w:rPr>
        <w:t>The European Commission (2023)</w:t>
      </w:r>
      <w:r w:rsidR="008E1394">
        <w:rPr>
          <w:rFonts w:ascii="Arial" w:eastAsia="Calibri" w:hAnsi="Arial" w:cs="Arial"/>
          <w:kern w:val="0"/>
          <w:sz w:val="20"/>
          <w:szCs w:val="20"/>
        </w:rPr>
        <w:t>.</w:t>
      </w:r>
      <w:r w:rsidRPr="008910A5">
        <w:rPr>
          <w:rFonts w:ascii="Arial" w:eastAsia="Calibri" w:hAnsi="Arial" w:cs="Arial"/>
          <w:kern w:val="0"/>
          <w:sz w:val="20"/>
          <w:szCs w:val="20"/>
        </w:rPr>
        <w:t xml:space="preserve"> </w:t>
      </w:r>
      <w:r w:rsidRPr="008910A5">
        <w:rPr>
          <w:rFonts w:ascii="Arial" w:eastAsia="Calibri" w:hAnsi="Arial" w:cs="Arial"/>
          <w:i/>
          <w:kern w:val="0"/>
          <w:sz w:val="20"/>
          <w:szCs w:val="20"/>
        </w:rPr>
        <w:t>Green Budgeting in the EU - Key insights from the 2023 European Commission survey of green budgeting practices</w:t>
      </w:r>
      <w:r w:rsidR="008E1394">
        <w:rPr>
          <w:rFonts w:ascii="Arial" w:eastAsia="Calibri" w:hAnsi="Arial" w:cs="Arial"/>
          <w:i/>
          <w:kern w:val="0"/>
          <w:sz w:val="20"/>
          <w:szCs w:val="20"/>
        </w:rPr>
        <w:t>.</w:t>
      </w:r>
      <w:r w:rsidRPr="008910A5">
        <w:rPr>
          <w:rFonts w:ascii="Arial" w:eastAsia="Calibri" w:hAnsi="Arial" w:cs="Arial"/>
          <w:i/>
          <w:kern w:val="0"/>
          <w:sz w:val="20"/>
          <w:szCs w:val="20"/>
        </w:rPr>
        <w:t xml:space="preserve"> </w:t>
      </w:r>
      <w:hyperlink r:id="rId53" w:history="1">
        <w:r w:rsidRPr="008910A5">
          <w:rPr>
            <w:rFonts w:ascii="Arial" w:eastAsia="Calibri" w:hAnsi="Arial" w:cs="Arial"/>
            <w:i/>
            <w:color w:val="0563C1"/>
            <w:kern w:val="0"/>
            <w:sz w:val="20"/>
            <w:szCs w:val="20"/>
            <w:u w:val="single"/>
          </w:rPr>
          <w:t>40851e31-78eb-43fe-8e6d-a08fa4105638_en</w:t>
        </w:r>
      </w:hyperlink>
    </w:p>
    <w:p w14:paraId="56ED1AAB"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i/>
          <w:kern w:val="0"/>
          <w:sz w:val="20"/>
          <w:szCs w:val="20"/>
        </w:rPr>
      </w:pPr>
    </w:p>
    <w:p w14:paraId="6124EB49" w14:textId="28E104CC"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483B90">
        <w:rPr>
          <w:rFonts w:ascii="Arial" w:eastAsia="Calibri" w:hAnsi="Arial" w:cs="Arial"/>
          <w:kern w:val="0"/>
          <w:sz w:val="20"/>
          <w:szCs w:val="20"/>
        </w:rPr>
        <w:t>The World Bank (2014)</w:t>
      </w:r>
      <w:r w:rsidR="008E1394" w:rsidRPr="00483B90">
        <w:rPr>
          <w:rFonts w:ascii="Arial" w:eastAsia="Calibri" w:hAnsi="Arial" w:cs="Arial"/>
          <w:kern w:val="0"/>
          <w:sz w:val="20"/>
          <w:szCs w:val="20"/>
        </w:rPr>
        <w:t>.</w:t>
      </w:r>
      <w:r w:rsidRPr="00483B90">
        <w:rPr>
          <w:rFonts w:ascii="Arial" w:eastAsia="Calibri" w:hAnsi="Arial" w:cs="Arial"/>
          <w:kern w:val="0"/>
          <w:sz w:val="20"/>
          <w:szCs w:val="20"/>
        </w:rPr>
        <w:t xml:space="preserve"> Climate Change Public Expenditure and Institutional Review Sourcebook</w:t>
      </w:r>
      <w:r w:rsidR="008E1394" w:rsidRPr="00483B90">
        <w:rPr>
          <w:rFonts w:ascii="Arial" w:eastAsia="Calibri" w:hAnsi="Arial" w:cs="Arial"/>
          <w:kern w:val="0"/>
          <w:sz w:val="20"/>
          <w:szCs w:val="20"/>
        </w:rPr>
        <w:t>.</w:t>
      </w:r>
      <w:r w:rsidRPr="00483B90">
        <w:rPr>
          <w:rFonts w:ascii="Arial" w:eastAsia="Calibri" w:hAnsi="Arial" w:cs="Arial"/>
          <w:kern w:val="0"/>
          <w:sz w:val="20"/>
          <w:szCs w:val="20"/>
        </w:rPr>
        <w:t xml:space="preserve"> </w:t>
      </w:r>
      <w:hyperlink r:id="rId54" w:history="1">
        <w:r w:rsidRPr="00483B90">
          <w:rPr>
            <w:rFonts w:ascii="Arial" w:eastAsia="Calibri" w:hAnsi="Arial" w:cs="Arial"/>
            <w:kern w:val="0"/>
            <w:sz w:val="20"/>
            <w:szCs w:val="20"/>
          </w:rPr>
          <w:t>https://openknowledge.worldbank.org/server/api/core/bitstreams/0f6d80c6-5746-5de2-93db-2f2de318240a/content</w:t>
        </w:r>
      </w:hyperlink>
    </w:p>
    <w:p w14:paraId="60632F34" w14:textId="77777777" w:rsidR="008910A5" w:rsidRPr="008910A5" w:rsidRDefault="008910A5" w:rsidP="008910A5">
      <w:pPr>
        <w:ind w:left="720"/>
        <w:contextualSpacing/>
        <w:rPr>
          <w:rFonts w:ascii="Arial" w:eastAsia="Calibri" w:hAnsi="Arial" w:cs="Arial"/>
          <w:iCs/>
          <w:kern w:val="0"/>
          <w:sz w:val="20"/>
          <w:szCs w:val="20"/>
        </w:rPr>
      </w:pPr>
    </w:p>
    <w:p w14:paraId="5816B601" w14:textId="77777777" w:rsidR="008910A5" w:rsidRPr="008910A5" w:rsidRDefault="008910A5" w:rsidP="008910A5">
      <w:pPr>
        <w:autoSpaceDE w:val="0"/>
        <w:autoSpaceDN w:val="0"/>
        <w:adjustRightInd w:val="0"/>
        <w:spacing w:after="0" w:line="240" w:lineRule="auto"/>
        <w:ind w:left="720"/>
        <w:contextualSpacing/>
        <w:jc w:val="both"/>
        <w:rPr>
          <w:rFonts w:ascii="Arial" w:eastAsia="Calibri" w:hAnsi="Arial" w:cs="Arial"/>
          <w:iCs/>
          <w:kern w:val="0"/>
          <w:sz w:val="20"/>
          <w:szCs w:val="20"/>
        </w:rPr>
      </w:pPr>
    </w:p>
    <w:p w14:paraId="7A513594" w14:textId="6C6051F0"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r w:rsidRPr="008910A5">
        <w:rPr>
          <w:rFonts w:ascii="Arial" w:eastAsia="Calibri" w:hAnsi="Arial" w:cs="Arial"/>
          <w:kern w:val="0"/>
          <w:sz w:val="20"/>
          <w:szCs w:val="20"/>
        </w:rPr>
        <w:t>UNDP (2015)</w:t>
      </w:r>
      <w:r w:rsidR="008E1394">
        <w:rPr>
          <w:rFonts w:ascii="Arial" w:eastAsia="Calibri" w:hAnsi="Arial" w:cs="Arial"/>
          <w:kern w:val="0"/>
          <w:sz w:val="20"/>
          <w:szCs w:val="20"/>
        </w:rPr>
        <w:t>.</w:t>
      </w:r>
      <w:r w:rsidRPr="008910A5">
        <w:rPr>
          <w:rFonts w:ascii="Arial" w:eastAsia="Calibri" w:hAnsi="Arial" w:cs="Arial"/>
          <w:kern w:val="0"/>
          <w:sz w:val="20"/>
          <w:szCs w:val="20"/>
        </w:rPr>
        <w:t xml:space="preserve"> </w:t>
      </w:r>
      <w:r w:rsidRPr="00483B90">
        <w:rPr>
          <w:rFonts w:ascii="Arial" w:eastAsia="Calibri" w:hAnsi="Arial" w:cs="Arial"/>
          <w:kern w:val="0"/>
          <w:sz w:val="20"/>
          <w:szCs w:val="20"/>
        </w:rPr>
        <w:t>A Methodological Guidebook: Climate Public Expenditure and Institutional Review (CPEIR)</w:t>
      </w:r>
      <w:r w:rsidR="008E1394" w:rsidRPr="00483B90">
        <w:rPr>
          <w:rFonts w:ascii="Arial" w:eastAsia="Calibri" w:hAnsi="Arial" w:cs="Arial"/>
          <w:kern w:val="0"/>
          <w:sz w:val="20"/>
          <w:szCs w:val="20"/>
        </w:rPr>
        <w:t>.</w:t>
      </w:r>
      <w:r w:rsidRPr="00483B90">
        <w:rPr>
          <w:rFonts w:ascii="Arial" w:eastAsia="Calibri" w:hAnsi="Arial" w:cs="Arial"/>
          <w:kern w:val="0"/>
          <w:sz w:val="20"/>
          <w:szCs w:val="20"/>
        </w:rPr>
        <w:t xml:space="preserve"> </w:t>
      </w:r>
      <w:hyperlink r:id="rId55" w:history="1">
        <w:r w:rsidRPr="00483B90">
          <w:rPr>
            <w:rFonts w:ascii="Arial" w:eastAsia="Calibri" w:hAnsi="Arial" w:cs="Arial"/>
            <w:kern w:val="0"/>
            <w:sz w:val="20"/>
            <w:szCs w:val="20"/>
          </w:rPr>
          <w:t>RBAP-DG-2015-CPEIR-Methodological-Guidebook.pdf</w:t>
        </w:r>
      </w:hyperlink>
    </w:p>
    <w:p w14:paraId="18815A37" w14:textId="77777777" w:rsidR="008910A5" w:rsidRPr="00483B90" w:rsidRDefault="008910A5" w:rsidP="00483B90">
      <w:pPr>
        <w:autoSpaceDE w:val="0"/>
        <w:autoSpaceDN w:val="0"/>
        <w:adjustRightInd w:val="0"/>
        <w:spacing w:after="0" w:line="240" w:lineRule="auto"/>
        <w:ind w:left="833" w:hanging="720"/>
        <w:contextualSpacing/>
        <w:jc w:val="both"/>
        <w:rPr>
          <w:rFonts w:ascii="Arial" w:eastAsia="Calibri" w:hAnsi="Arial" w:cs="Arial"/>
          <w:kern w:val="0"/>
          <w:sz w:val="20"/>
          <w:szCs w:val="20"/>
        </w:rPr>
      </w:pPr>
    </w:p>
    <w:p w14:paraId="1E4D22F5" w14:textId="77777777" w:rsidR="008D19EE" w:rsidRPr="006E13CD" w:rsidRDefault="008D19EE" w:rsidP="00F75549">
      <w:pPr>
        <w:spacing w:line="276" w:lineRule="auto"/>
        <w:rPr>
          <w:rFonts w:asciiTheme="minorBidi" w:hAnsiTheme="minorBidi"/>
          <w:b/>
        </w:rPr>
      </w:pPr>
    </w:p>
    <w:sectPr w:rsidR="008D19EE" w:rsidRPr="006E13CD" w:rsidSect="00813303">
      <w:headerReference w:type="even" r:id="rId56"/>
      <w:headerReference w:type="default" r:id="rId57"/>
      <w:footerReference w:type="default" r:id="rId58"/>
      <w:headerReference w:type="first" r:id="rId59"/>
      <w:footerReference w:type="first" r:id="rId60"/>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74FDE2" w14:textId="77777777" w:rsidR="0007090F" w:rsidRDefault="0007090F" w:rsidP="00FC7D20">
      <w:pPr>
        <w:spacing w:after="0" w:line="240" w:lineRule="auto"/>
      </w:pPr>
      <w:r>
        <w:separator/>
      </w:r>
    </w:p>
  </w:endnote>
  <w:endnote w:type="continuationSeparator" w:id="0">
    <w:p w14:paraId="16901669" w14:textId="77777777" w:rsidR="0007090F" w:rsidRDefault="0007090F" w:rsidP="00FC7D20">
      <w:pPr>
        <w:spacing w:after="0" w:line="240" w:lineRule="auto"/>
      </w:pPr>
      <w:r>
        <w:continuationSeparator/>
      </w:r>
    </w:p>
  </w:endnote>
  <w:endnote w:type="continuationNotice" w:id="1">
    <w:p w14:paraId="316B9ABE" w14:textId="77777777" w:rsidR="0007090F" w:rsidRDefault="000709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550499"/>
      <w:docPartObj>
        <w:docPartGallery w:val="Page Numbers (Bottom of Page)"/>
        <w:docPartUnique/>
      </w:docPartObj>
    </w:sdtPr>
    <w:sdtEndPr>
      <w:rPr>
        <w:noProof/>
      </w:rPr>
    </w:sdtEndPr>
    <w:sdtContent>
      <w:p w14:paraId="5F162C75" w14:textId="0A9F3847" w:rsidR="00B4576D" w:rsidRDefault="00B4576D">
        <w:pPr>
          <w:pStyle w:val="Footer"/>
          <w:jc w:val="center"/>
        </w:pPr>
        <w:r>
          <w:fldChar w:fldCharType="begin"/>
        </w:r>
        <w:r>
          <w:instrText xml:space="preserve"> PAGE   \* MERGEFORMAT </w:instrText>
        </w:r>
        <w:r>
          <w:fldChar w:fldCharType="separate"/>
        </w:r>
        <w:r w:rsidR="00D9784B">
          <w:rPr>
            <w:noProof/>
          </w:rPr>
          <w:t>31</w:t>
        </w:r>
        <w:r>
          <w:rPr>
            <w:noProof/>
          </w:rPr>
          <w:fldChar w:fldCharType="end"/>
        </w:r>
      </w:p>
    </w:sdtContent>
  </w:sdt>
  <w:p w14:paraId="32F9A5B4" w14:textId="77777777" w:rsidR="00C811EF" w:rsidRDefault="00C811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8F34F" w14:textId="77777777" w:rsidR="00386AF8" w:rsidRDefault="00386AF8" w:rsidP="00813303">
    <w:pPr>
      <w:pStyle w:val="Footer"/>
    </w:pPr>
  </w:p>
  <w:p w14:paraId="5CBDCCA0" w14:textId="0C62D675" w:rsidR="00813303" w:rsidRPr="00CA44C3" w:rsidRDefault="0081330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7EB98" w14:textId="77777777" w:rsidR="0007090F" w:rsidRDefault="0007090F" w:rsidP="00FC7D20">
      <w:pPr>
        <w:spacing w:after="0" w:line="240" w:lineRule="auto"/>
      </w:pPr>
      <w:r>
        <w:separator/>
      </w:r>
    </w:p>
  </w:footnote>
  <w:footnote w:type="continuationSeparator" w:id="0">
    <w:p w14:paraId="7900A348" w14:textId="77777777" w:rsidR="0007090F" w:rsidRDefault="0007090F" w:rsidP="00FC7D20">
      <w:pPr>
        <w:spacing w:after="0" w:line="240" w:lineRule="auto"/>
      </w:pPr>
      <w:r>
        <w:continuationSeparator/>
      </w:r>
    </w:p>
  </w:footnote>
  <w:footnote w:type="continuationNotice" w:id="1">
    <w:p w14:paraId="0EA97998" w14:textId="77777777" w:rsidR="0007090F" w:rsidRDefault="0007090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D44B1" w14:textId="32FDE797" w:rsidR="00936AF2" w:rsidRDefault="0007090F">
    <w:pPr>
      <w:pStyle w:val="Header"/>
    </w:pPr>
    <w:r>
      <w:rPr>
        <w:noProof/>
      </w:rPr>
      <w:pict w14:anchorId="3115F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640782" o:spid="_x0000_s2050" type="#_x0000_t136" style="position:absolute;margin-left:0;margin-top:0;width:535.8pt;height:100.45pt;rotation:315;z-index:-251658239;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2017CF6D" w14:textId="77777777" w:rsidR="001839D8" w:rsidRDefault="001839D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A07E9" w14:textId="6031CC3B" w:rsidR="00C811EF" w:rsidRDefault="0007090F">
    <w:pPr>
      <w:pStyle w:val="Header"/>
    </w:pPr>
    <w:r>
      <w:rPr>
        <w:noProof/>
      </w:rPr>
      <w:pict w14:anchorId="53402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640783" o:spid="_x0000_s2051" type="#_x0000_t136" style="position:absolute;margin-left:0;margin-top:0;width:535.8pt;height:100.45pt;rotation:315;z-index:-25165823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3D5DD" w14:textId="6F758883" w:rsidR="00C811EF" w:rsidRDefault="0007090F">
    <w:pPr>
      <w:pStyle w:val="Header"/>
    </w:pPr>
    <w:r>
      <w:rPr>
        <w:noProof/>
      </w:rPr>
      <w:pict w14:anchorId="56900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640781" o:spid="_x0000_s2049" type="#_x0000_t136" style="position:absolute;margin-left:0;margin-top:0;width:535.8pt;height:100.4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105A"/>
    <w:multiLevelType w:val="hybridMultilevel"/>
    <w:tmpl w:val="F048A0F6"/>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nsid w:val="0BB729B9"/>
    <w:multiLevelType w:val="hybridMultilevel"/>
    <w:tmpl w:val="30129BC8"/>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F8428A8E">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BEE5C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DA77957"/>
    <w:multiLevelType w:val="hybridMultilevel"/>
    <w:tmpl w:val="B5C260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7821A2"/>
    <w:multiLevelType w:val="hybridMultilevel"/>
    <w:tmpl w:val="D93C70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32658DE"/>
    <w:multiLevelType w:val="hybridMultilevel"/>
    <w:tmpl w:val="E9225D94"/>
    <w:lvl w:ilvl="0" w:tplc="4009001B">
      <w:start w:val="1"/>
      <w:numFmt w:val="low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6">
    <w:nsid w:val="14012721"/>
    <w:multiLevelType w:val="multilevel"/>
    <w:tmpl w:val="87FC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B60624"/>
    <w:multiLevelType w:val="hybridMultilevel"/>
    <w:tmpl w:val="800CC99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98681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3860561"/>
    <w:multiLevelType w:val="multilevel"/>
    <w:tmpl w:val="EEE8F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404DA8"/>
    <w:multiLevelType w:val="hybridMultilevel"/>
    <w:tmpl w:val="E62CE6A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A3209E6"/>
    <w:multiLevelType w:val="multilevel"/>
    <w:tmpl w:val="65A4A4CC"/>
    <w:lvl w:ilvl="0">
      <w:start w:val="1"/>
      <w:numFmt w:val="decimal"/>
      <w:lvlText w:val="%1."/>
      <w:lvlJc w:val="left"/>
      <w:pPr>
        <w:ind w:left="720" w:hanging="360"/>
      </w:pPr>
      <w:rPr>
        <w:rFonts w:hint="default"/>
      </w:rPr>
    </w:lvl>
    <w:lvl w:ilvl="1">
      <w:start w:val="1"/>
      <w:numFmt w:val="decimal"/>
      <w:isLgl/>
      <w:lvlText w:val="7.%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AD84D9E"/>
    <w:multiLevelType w:val="multilevel"/>
    <w:tmpl w:val="9BC8F7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C88275D"/>
    <w:multiLevelType w:val="hybridMultilevel"/>
    <w:tmpl w:val="B69E5BA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nsid w:val="302415BB"/>
    <w:multiLevelType w:val="hybridMultilevel"/>
    <w:tmpl w:val="A148DED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nsid w:val="324F4AE4"/>
    <w:multiLevelType w:val="hybridMultilevel"/>
    <w:tmpl w:val="B9D4898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2D25457"/>
    <w:multiLevelType w:val="hybridMultilevel"/>
    <w:tmpl w:val="C6FE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573C40"/>
    <w:multiLevelType w:val="multilevel"/>
    <w:tmpl w:val="269A35F6"/>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36A5096A"/>
    <w:multiLevelType w:val="multilevel"/>
    <w:tmpl w:val="B5F28B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FE66DF"/>
    <w:multiLevelType w:val="hybridMultilevel"/>
    <w:tmpl w:val="79F404E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49844CE"/>
    <w:multiLevelType w:val="hybridMultilevel"/>
    <w:tmpl w:val="C2DCF5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6945CF3"/>
    <w:multiLevelType w:val="hybridMultilevel"/>
    <w:tmpl w:val="E06E7F22"/>
    <w:lvl w:ilvl="0" w:tplc="D1DC5A38">
      <w:start w:val="1"/>
      <w:numFmt w:val="decimal"/>
      <w:lvlText w:val="%1."/>
      <w:lvlJc w:val="left"/>
      <w:pPr>
        <w:ind w:left="360" w:hanging="360"/>
      </w:pPr>
      <w:rPr>
        <w:rFonts w:hint="default"/>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nsid w:val="47694616"/>
    <w:multiLevelType w:val="multilevel"/>
    <w:tmpl w:val="1AD0FC0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77C363C"/>
    <w:multiLevelType w:val="hybridMultilevel"/>
    <w:tmpl w:val="28AEF8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0F">
      <w:start w:val="1"/>
      <w:numFmt w:val="decimal"/>
      <w:lvlText w:val="%3."/>
      <w:lvlJc w:val="left"/>
      <w:pPr>
        <w:ind w:left="2340" w:hanging="36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B387038"/>
    <w:multiLevelType w:val="multilevel"/>
    <w:tmpl w:val="9BC8F7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4C1E6E47"/>
    <w:multiLevelType w:val="multilevel"/>
    <w:tmpl w:val="C682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4A7B2A"/>
    <w:multiLevelType w:val="hybridMultilevel"/>
    <w:tmpl w:val="ABE87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72A387D"/>
    <w:multiLevelType w:val="multilevel"/>
    <w:tmpl w:val="A8DEC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C440E2"/>
    <w:multiLevelType w:val="hybridMultilevel"/>
    <w:tmpl w:val="42DC63C4"/>
    <w:lvl w:ilvl="0" w:tplc="8520A44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9FD79EE"/>
    <w:multiLevelType w:val="multilevel"/>
    <w:tmpl w:val="B27A8B12"/>
    <w:lvl w:ilvl="0">
      <w:start w:val="1"/>
      <w:numFmt w:val="decimal"/>
      <w:lvlText w:val="%1."/>
      <w:lvlJc w:val="left"/>
      <w:pPr>
        <w:ind w:left="720" w:hanging="360"/>
      </w:pPr>
      <w:rPr>
        <w:rFonts w:hint="default"/>
      </w:rPr>
    </w:lvl>
    <w:lvl w:ilvl="1">
      <w:start w:val="1"/>
      <w:numFmt w:val="decimal"/>
      <w:isLgl/>
      <w:lvlText w:val="2.%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5FDA08C3"/>
    <w:multiLevelType w:val="hybridMultilevel"/>
    <w:tmpl w:val="BC663F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671B3650"/>
    <w:multiLevelType w:val="multilevel"/>
    <w:tmpl w:val="9DAC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5A4E20"/>
    <w:multiLevelType w:val="hybridMultilevel"/>
    <w:tmpl w:val="C50E5F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6D244FE3"/>
    <w:multiLevelType w:val="multilevel"/>
    <w:tmpl w:val="08AC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5E5DB3"/>
    <w:multiLevelType w:val="hybridMultilevel"/>
    <w:tmpl w:val="EE92E46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E8A77FC"/>
    <w:multiLevelType w:val="hybridMultilevel"/>
    <w:tmpl w:val="8CE6FB18"/>
    <w:lvl w:ilvl="0" w:tplc="40090011">
      <w:start w:val="1"/>
      <w:numFmt w:val="decimal"/>
      <w:lvlText w:val="%1)"/>
      <w:lvlJc w:val="left"/>
      <w:pPr>
        <w:ind w:left="720" w:hanging="360"/>
      </w:pPr>
      <w:rPr>
        <w:rFonts w:hint="default"/>
      </w:rPr>
    </w:lvl>
    <w:lvl w:ilvl="1" w:tplc="9266F7E2">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1F17988"/>
    <w:multiLevelType w:val="hybridMultilevel"/>
    <w:tmpl w:val="D236DF9C"/>
    <w:lvl w:ilvl="0" w:tplc="3D28B1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0238A0"/>
    <w:multiLevelType w:val="hybridMultilevel"/>
    <w:tmpl w:val="046E73E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53C4554"/>
    <w:multiLevelType w:val="hybridMultilevel"/>
    <w:tmpl w:val="B180295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7A421B27"/>
    <w:multiLevelType w:val="multilevel"/>
    <w:tmpl w:val="C7D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282EE4"/>
    <w:multiLevelType w:val="multilevel"/>
    <w:tmpl w:val="9BC8F7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D573E4C"/>
    <w:multiLevelType w:val="hybridMultilevel"/>
    <w:tmpl w:val="6D2E15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F680030"/>
    <w:multiLevelType w:val="hybridMultilevel"/>
    <w:tmpl w:val="B798C4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5"/>
  </w:num>
  <w:num w:numId="2">
    <w:abstractNumId w:val="1"/>
  </w:num>
  <w:num w:numId="3">
    <w:abstractNumId w:val="14"/>
  </w:num>
  <w:num w:numId="4">
    <w:abstractNumId w:val="13"/>
  </w:num>
  <w:num w:numId="5">
    <w:abstractNumId w:val="5"/>
  </w:num>
  <w:num w:numId="6">
    <w:abstractNumId w:val="30"/>
  </w:num>
  <w:num w:numId="7">
    <w:abstractNumId w:val="32"/>
  </w:num>
  <w:num w:numId="8">
    <w:abstractNumId w:val="42"/>
  </w:num>
  <w:num w:numId="9">
    <w:abstractNumId w:val="19"/>
  </w:num>
  <w:num w:numId="10">
    <w:abstractNumId w:val="10"/>
  </w:num>
  <w:num w:numId="11">
    <w:abstractNumId w:val="15"/>
  </w:num>
  <w:num w:numId="12">
    <w:abstractNumId w:val="34"/>
  </w:num>
  <w:num w:numId="13">
    <w:abstractNumId w:val="0"/>
  </w:num>
  <w:num w:numId="14">
    <w:abstractNumId w:val="38"/>
  </w:num>
  <w:num w:numId="15">
    <w:abstractNumId w:val="23"/>
  </w:num>
  <w:num w:numId="16">
    <w:abstractNumId w:val="16"/>
  </w:num>
  <w:num w:numId="17">
    <w:abstractNumId w:val="36"/>
  </w:num>
  <w:num w:numId="18">
    <w:abstractNumId w:val="37"/>
  </w:num>
  <w:num w:numId="19">
    <w:abstractNumId w:val="22"/>
  </w:num>
  <w:num w:numId="20">
    <w:abstractNumId w:val="31"/>
  </w:num>
  <w:num w:numId="21">
    <w:abstractNumId w:val="33"/>
  </w:num>
  <w:num w:numId="22">
    <w:abstractNumId w:val="25"/>
  </w:num>
  <w:num w:numId="23">
    <w:abstractNumId w:val="6"/>
  </w:num>
  <w:num w:numId="24">
    <w:abstractNumId w:val="2"/>
  </w:num>
  <w:num w:numId="25">
    <w:abstractNumId w:val="7"/>
  </w:num>
  <w:num w:numId="26">
    <w:abstractNumId w:val="24"/>
  </w:num>
  <w:num w:numId="27">
    <w:abstractNumId w:val="40"/>
  </w:num>
  <w:num w:numId="28">
    <w:abstractNumId w:val="17"/>
  </w:num>
  <w:num w:numId="29">
    <w:abstractNumId w:val="8"/>
  </w:num>
  <w:num w:numId="30">
    <w:abstractNumId w:val="3"/>
  </w:num>
  <w:num w:numId="31">
    <w:abstractNumId w:val="12"/>
  </w:num>
  <w:num w:numId="32">
    <w:abstractNumId w:val="26"/>
  </w:num>
  <w:num w:numId="33">
    <w:abstractNumId w:val="20"/>
  </w:num>
  <w:num w:numId="34">
    <w:abstractNumId w:val="9"/>
  </w:num>
  <w:num w:numId="35">
    <w:abstractNumId w:val="39"/>
  </w:num>
  <w:num w:numId="36">
    <w:abstractNumId w:val="27"/>
  </w:num>
  <w:num w:numId="37">
    <w:abstractNumId w:val="18"/>
  </w:num>
  <w:num w:numId="38">
    <w:abstractNumId w:val="29"/>
  </w:num>
  <w:num w:numId="39">
    <w:abstractNumId w:val="41"/>
  </w:num>
  <w:num w:numId="40">
    <w:abstractNumId w:val="28"/>
  </w:num>
  <w:num w:numId="41">
    <w:abstractNumId w:val="21"/>
  </w:num>
  <w:num w:numId="42">
    <w:abstractNumId w:val="4"/>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554"/>
    <w:rsid w:val="000003C9"/>
    <w:rsid w:val="000004A6"/>
    <w:rsid w:val="0000146C"/>
    <w:rsid w:val="00001A16"/>
    <w:rsid w:val="00001DEF"/>
    <w:rsid w:val="00003B21"/>
    <w:rsid w:val="00003D56"/>
    <w:rsid w:val="00004489"/>
    <w:rsid w:val="00004686"/>
    <w:rsid w:val="00004F30"/>
    <w:rsid w:val="00005106"/>
    <w:rsid w:val="00005572"/>
    <w:rsid w:val="00005773"/>
    <w:rsid w:val="000060DD"/>
    <w:rsid w:val="00006352"/>
    <w:rsid w:val="00006B24"/>
    <w:rsid w:val="00006D8B"/>
    <w:rsid w:val="00006EA7"/>
    <w:rsid w:val="00006EA8"/>
    <w:rsid w:val="000071BE"/>
    <w:rsid w:val="000075A9"/>
    <w:rsid w:val="000077E0"/>
    <w:rsid w:val="00007A78"/>
    <w:rsid w:val="0001041E"/>
    <w:rsid w:val="000106AF"/>
    <w:rsid w:val="00011371"/>
    <w:rsid w:val="00011701"/>
    <w:rsid w:val="00011953"/>
    <w:rsid w:val="00011E49"/>
    <w:rsid w:val="00012295"/>
    <w:rsid w:val="0001297D"/>
    <w:rsid w:val="00012992"/>
    <w:rsid w:val="00012FB4"/>
    <w:rsid w:val="000139C4"/>
    <w:rsid w:val="00014A0A"/>
    <w:rsid w:val="00014A29"/>
    <w:rsid w:val="00014A46"/>
    <w:rsid w:val="00014DDF"/>
    <w:rsid w:val="000150CF"/>
    <w:rsid w:val="0001514B"/>
    <w:rsid w:val="000152A5"/>
    <w:rsid w:val="000158EA"/>
    <w:rsid w:val="00016068"/>
    <w:rsid w:val="00016577"/>
    <w:rsid w:val="00016A6C"/>
    <w:rsid w:val="00016E68"/>
    <w:rsid w:val="00016F8D"/>
    <w:rsid w:val="0001707F"/>
    <w:rsid w:val="000174EB"/>
    <w:rsid w:val="00017518"/>
    <w:rsid w:val="00017732"/>
    <w:rsid w:val="00017C75"/>
    <w:rsid w:val="00017DF7"/>
    <w:rsid w:val="00020408"/>
    <w:rsid w:val="000211FF"/>
    <w:rsid w:val="0002156F"/>
    <w:rsid w:val="00021CA4"/>
    <w:rsid w:val="00022079"/>
    <w:rsid w:val="00022943"/>
    <w:rsid w:val="00022F6B"/>
    <w:rsid w:val="000232EE"/>
    <w:rsid w:val="000234F6"/>
    <w:rsid w:val="000235A4"/>
    <w:rsid w:val="0002378B"/>
    <w:rsid w:val="00023B59"/>
    <w:rsid w:val="00023D43"/>
    <w:rsid w:val="00024205"/>
    <w:rsid w:val="000242B5"/>
    <w:rsid w:val="00025366"/>
    <w:rsid w:val="00025445"/>
    <w:rsid w:val="0002610D"/>
    <w:rsid w:val="0002610E"/>
    <w:rsid w:val="000262C0"/>
    <w:rsid w:val="00026380"/>
    <w:rsid w:val="00026931"/>
    <w:rsid w:val="000269D7"/>
    <w:rsid w:val="00026A76"/>
    <w:rsid w:val="00026CB9"/>
    <w:rsid w:val="000271A6"/>
    <w:rsid w:val="00027618"/>
    <w:rsid w:val="000307F7"/>
    <w:rsid w:val="00030FE8"/>
    <w:rsid w:val="00031994"/>
    <w:rsid w:val="00031A10"/>
    <w:rsid w:val="00031A55"/>
    <w:rsid w:val="00031ACB"/>
    <w:rsid w:val="00031B41"/>
    <w:rsid w:val="00031C05"/>
    <w:rsid w:val="00032334"/>
    <w:rsid w:val="000328B3"/>
    <w:rsid w:val="00033829"/>
    <w:rsid w:val="00033AF5"/>
    <w:rsid w:val="0003415A"/>
    <w:rsid w:val="00034472"/>
    <w:rsid w:val="00034713"/>
    <w:rsid w:val="00035205"/>
    <w:rsid w:val="00035766"/>
    <w:rsid w:val="00035B0E"/>
    <w:rsid w:val="00036028"/>
    <w:rsid w:val="00036DC9"/>
    <w:rsid w:val="000371D3"/>
    <w:rsid w:val="00037230"/>
    <w:rsid w:val="000372AA"/>
    <w:rsid w:val="0004185C"/>
    <w:rsid w:val="00041C67"/>
    <w:rsid w:val="0004213E"/>
    <w:rsid w:val="00042E40"/>
    <w:rsid w:val="0004337E"/>
    <w:rsid w:val="000436E7"/>
    <w:rsid w:val="000445E6"/>
    <w:rsid w:val="0004494B"/>
    <w:rsid w:val="00044DC7"/>
    <w:rsid w:val="00045CC3"/>
    <w:rsid w:val="00045DD9"/>
    <w:rsid w:val="00045F8A"/>
    <w:rsid w:val="000460A4"/>
    <w:rsid w:val="0004629C"/>
    <w:rsid w:val="000464CE"/>
    <w:rsid w:val="000467B2"/>
    <w:rsid w:val="00046C1A"/>
    <w:rsid w:val="00047681"/>
    <w:rsid w:val="00047B28"/>
    <w:rsid w:val="00047CF0"/>
    <w:rsid w:val="00050289"/>
    <w:rsid w:val="000503C3"/>
    <w:rsid w:val="0005143A"/>
    <w:rsid w:val="0005200E"/>
    <w:rsid w:val="000521AA"/>
    <w:rsid w:val="00053E60"/>
    <w:rsid w:val="000551A7"/>
    <w:rsid w:val="00055355"/>
    <w:rsid w:val="000555FE"/>
    <w:rsid w:val="000557FA"/>
    <w:rsid w:val="000559BB"/>
    <w:rsid w:val="00056C90"/>
    <w:rsid w:val="00056D7E"/>
    <w:rsid w:val="00056E16"/>
    <w:rsid w:val="0006004D"/>
    <w:rsid w:val="000604E8"/>
    <w:rsid w:val="00060658"/>
    <w:rsid w:val="00060BBA"/>
    <w:rsid w:val="00062FA8"/>
    <w:rsid w:val="00063046"/>
    <w:rsid w:val="00063903"/>
    <w:rsid w:val="00063CDF"/>
    <w:rsid w:val="00063DC6"/>
    <w:rsid w:val="00063F1C"/>
    <w:rsid w:val="0006426E"/>
    <w:rsid w:val="0006511B"/>
    <w:rsid w:val="00065EA7"/>
    <w:rsid w:val="00065EF6"/>
    <w:rsid w:val="0006647E"/>
    <w:rsid w:val="00066954"/>
    <w:rsid w:val="00066A39"/>
    <w:rsid w:val="00066B20"/>
    <w:rsid w:val="00066B72"/>
    <w:rsid w:val="00067923"/>
    <w:rsid w:val="00070615"/>
    <w:rsid w:val="000706F5"/>
    <w:rsid w:val="00070842"/>
    <w:rsid w:val="0007090F"/>
    <w:rsid w:val="000710EF"/>
    <w:rsid w:val="000717F1"/>
    <w:rsid w:val="00071F5B"/>
    <w:rsid w:val="00072174"/>
    <w:rsid w:val="0007258C"/>
    <w:rsid w:val="00072AA4"/>
    <w:rsid w:val="00072C30"/>
    <w:rsid w:val="000730B8"/>
    <w:rsid w:val="00073328"/>
    <w:rsid w:val="000734C4"/>
    <w:rsid w:val="000737FC"/>
    <w:rsid w:val="00074439"/>
    <w:rsid w:val="00074907"/>
    <w:rsid w:val="00074A29"/>
    <w:rsid w:val="00074AEE"/>
    <w:rsid w:val="00074C55"/>
    <w:rsid w:val="0007511D"/>
    <w:rsid w:val="00076DAA"/>
    <w:rsid w:val="000775CA"/>
    <w:rsid w:val="00077E8E"/>
    <w:rsid w:val="000800A0"/>
    <w:rsid w:val="00080833"/>
    <w:rsid w:val="00080F82"/>
    <w:rsid w:val="00081154"/>
    <w:rsid w:val="00081285"/>
    <w:rsid w:val="00081292"/>
    <w:rsid w:val="00081294"/>
    <w:rsid w:val="000816A5"/>
    <w:rsid w:val="00081D09"/>
    <w:rsid w:val="00081F3B"/>
    <w:rsid w:val="00082622"/>
    <w:rsid w:val="00082638"/>
    <w:rsid w:val="00082948"/>
    <w:rsid w:val="0008296A"/>
    <w:rsid w:val="00082D68"/>
    <w:rsid w:val="00082F47"/>
    <w:rsid w:val="0008313C"/>
    <w:rsid w:val="00083196"/>
    <w:rsid w:val="000835FB"/>
    <w:rsid w:val="00083D0B"/>
    <w:rsid w:val="00084467"/>
    <w:rsid w:val="00084B6A"/>
    <w:rsid w:val="00084D1E"/>
    <w:rsid w:val="0008551F"/>
    <w:rsid w:val="00085969"/>
    <w:rsid w:val="00085B75"/>
    <w:rsid w:val="00085DBB"/>
    <w:rsid w:val="00091166"/>
    <w:rsid w:val="00091DA5"/>
    <w:rsid w:val="00091FF4"/>
    <w:rsid w:val="00092C79"/>
    <w:rsid w:val="00092C85"/>
    <w:rsid w:val="00092F7F"/>
    <w:rsid w:val="00093099"/>
    <w:rsid w:val="00093759"/>
    <w:rsid w:val="00094225"/>
    <w:rsid w:val="000944C7"/>
    <w:rsid w:val="00094DFB"/>
    <w:rsid w:val="00095709"/>
    <w:rsid w:val="00095741"/>
    <w:rsid w:val="00096119"/>
    <w:rsid w:val="000966A0"/>
    <w:rsid w:val="000970F1"/>
    <w:rsid w:val="000A03F4"/>
    <w:rsid w:val="000A0B3C"/>
    <w:rsid w:val="000A22FD"/>
    <w:rsid w:val="000A3A94"/>
    <w:rsid w:val="000A3D48"/>
    <w:rsid w:val="000A412F"/>
    <w:rsid w:val="000A4353"/>
    <w:rsid w:val="000A5418"/>
    <w:rsid w:val="000A5F79"/>
    <w:rsid w:val="000A605D"/>
    <w:rsid w:val="000A698A"/>
    <w:rsid w:val="000A70A8"/>
    <w:rsid w:val="000A75BD"/>
    <w:rsid w:val="000A7646"/>
    <w:rsid w:val="000A7649"/>
    <w:rsid w:val="000B0486"/>
    <w:rsid w:val="000B092C"/>
    <w:rsid w:val="000B104A"/>
    <w:rsid w:val="000B10E1"/>
    <w:rsid w:val="000B1728"/>
    <w:rsid w:val="000B1864"/>
    <w:rsid w:val="000B1A65"/>
    <w:rsid w:val="000B30E2"/>
    <w:rsid w:val="000B3114"/>
    <w:rsid w:val="000B31FE"/>
    <w:rsid w:val="000B496F"/>
    <w:rsid w:val="000B4C13"/>
    <w:rsid w:val="000B50C3"/>
    <w:rsid w:val="000B569F"/>
    <w:rsid w:val="000B575E"/>
    <w:rsid w:val="000B6143"/>
    <w:rsid w:val="000B71CA"/>
    <w:rsid w:val="000B7864"/>
    <w:rsid w:val="000C0C45"/>
    <w:rsid w:val="000C0D4C"/>
    <w:rsid w:val="000C0EE9"/>
    <w:rsid w:val="000C1756"/>
    <w:rsid w:val="000C1B3E"/>
    <w:rsid w:val="000C203B"/>
    <w:rsid w:val="000C2866"/>
    <w:rsid w:val="000C3048"/>
    <w:rsid w:val="000C3A46"/>
    <w:rsid w:val="000C3B51"/>
    <w:rsid w:val="000C3D83"/>
    <w:rsid w:val="000C407B"/>
    <w:rsid w:val="000C58A4"/>
    <w:rsid w:val="000C58F0"/>
    <w:rsid w:val="000C5E7F"/>
    <w:rsid w:val="000C63EC"/>
    <w:rsid w:val="000C670C"/>
    <w:rsid w:val="000C6CE4"/>
    <w:rsid w:val="000D0201"/>
    <w:rsid w:val="000D04C5"/>
    <w:rsid w:val="000D0559"/>
    <w:rsid w:val="000D077E"/>
    <w:rsid w:val="000D0C3C"/>
    <w:rsid w:val="000D1239"/>
    <w:rsid w:val="000D1408"/>
    <w:rsid w:val="000D1568"/>
    <w:rsid w:val="000D16E2"/>
    <w:rsid w:val="000D1859"/>
    <w:rsid w:val="000D190F"/>
    <w:rsid w:val="000D1BAC"/>
    <w:rsid w:val="000D2E8E"/>
    <w:rsid w:val="000D3119"/>
    <w:rsid w:val="000D3C33"/>
    <w:rsid w:val="000D3CC9"/>
    <w:rsid w:val="000D4D0B"/>
    <w:rsid w:val="000D4DCE"/>
    <w:rsid w:val="000D541A"/>
    <w:rsid w:val="000D55C8"/>
    <w:rsid w:val="000D5A31"/>
    <w:rsid w:val="000D5E7E"/>
    <w:rsid w:val="000D6536"/>
    <w:rsid w:val="000D7407"/>
    <w:rsid w:val="000D7568"/>
    <w:rsid w:val="000D7C88"/>
    <w:rsid w:val="000D7E76"/>
    <w:rsid w:val="000E04BE"/>
    <w:rsid w:val="000E0585"/>
    <w:rsid w:val="000E05B7"/>
    <w:rsid w:val="000E12A4"/>
    <w:rsid w:val="000E1A26"/>
    <w:rsid w:val="000E213A"/>
    <w:rsid w:val="000E23C7"/>
    <w:rsid w:val="000E2798"/>
    <w:rsid w:val="000E3033"/>
    <w:rsid w:val="000E3302"/>
    <w:rsid w:val="000E3727"/>
    <w:rsid w:val="000E3956"/>
    <w:rsid w:val="000E396B"/>
    <w:rsid w:val="000E3BAD"/>
    <w:rsid w:val="000E484F"/>
    <w:rsid w:val="000E4A0D"/>
    <w:rsid w:val="000E4F2A"/>
    <w:rsid w:val="000E51E5"/>
    <w:rsid w:val="000E5416"/>
    <w:rsid w:val="000E55AF"/>
    <w:rsid w:val="000E77F9"/>
    <w:rsid w:val="000F01AD"/>
    <w:rsid w:val="000F062B"/>
    <w:rsid w:val="000F0D47"/>
    <w:rsid w:val="000F11F8"/>
    <w:rsid w:val="000F1B8B"/>
    <w:rsid w:val="000F1B99"/>
    <w:rsid w:val="000F1CB3"/>
    <w:rsid w:val="000F2CA6"/>
    <w:rsid w:val="000F2D94"/>
    <w:rsid w:val="000F39E4"/>
    <w:rsid w:val="000F412C"/>
    <w:rsid w:val="000F4B7A"/>
    <w:rsid w:val="000F4BE9"/>
    <w:rsid w:val="000F4F54"/>
    <w:rsid w:val="000F50FB"/>
    <w:rsid w:val="000F75B6"/>
    <w:rsid w:val="000F7D3B"/>
    <w:rsid w:val="000F7FA3"/>
    <w:rsid w:val="0010041B"/>
    <w:rsid w:val="00100AC7"/>
    <w:rsid w:val="00100C03"/>
    <w:rsid w:val="00100DA8"/>
    <w:rsid w:val="001018A6"/>
    <w:rsid w:val="0010193A"/>
    <w:rsid w:val="00103D0C"/>
    <w:rsid w:val="001041B6"/>
    <w:rsid w:val="00104689"/>
    <w:rsid w:val="001049D2"/>
    <w:rsid w:val="00104DD8"/>
    <w:rsid w:val="0010574D"/>
    <w:rsid w:val="0010620C"/>
    <w:rsid w:val="00107215"/>
    <w:rsid w:val="001074F4"/>
    <w:rsid w:val="00107626"/>
    <w:rsid w:val="001076BA"/>
    <w:rsid w:val="001076CB"/>
    <w:rsid w:val="001076F7"/>
    <w:rsid w:val="00107768"/>
    <w:rsid w:val="001100B9"/>
    <w:rsid w:val="0011087F"/>
    <w:rsid w:val="0011144F"/>
    <w:rsid w:val="00111F30"/>
    <w:rsid w:val="00111F90"/>
    <w:rsid w:val="001121B5"/>
    <w:rsid w:val="0011229A"/>
    <w:rsid w:val="00112368"/>
    <w:rsid w:val="001127FF"/>
    <w:rsid w:val="00112C19"/>
    <w:rsid w:val="00113850"/>
    <w:rsid w:val="00115CD8"/>
    <w:rsid w:val="00116227"/>
    <w:rsid w:val="00116317"/>
    <w:rsid w:val="00116B59"/>
    <w:rsid w:val="00116ECC"/>
    <w:rsid w:val="00116EE4"/>
    <w:rsid w:val="001171F0"/>
    <w:rsid w:val="001178CA"/>
    <w:rsid w:val="001208A0"/>
    <w:rsid w:val="00120E36"/>
    <w:rsid w:val="0012164A"/>
    <w:rsid w:val="001216EF"/>
    <w:rsid w:val="001217E8"/>
    <w:rsid w:val="0012287F"/>
    <w:rsid w:val="00122898"/>
    <w:rsid w:val="001229D7"/>
    <w:rsid w:val="00122CFD"/>
    <w:rsid w:val="00122DF9"/>
    <w:rsid w:val="00123707"/>
    <w:rsid w:val="001240F7"/>
    <w:rsid w:val="001247C1"/>
    <w:rsid w:val="00124B06"/>
    <w:rsid w:val="00125E7C"/>
    <w:rsid w:val="00126021"/>
    <w:rsid w:val="001263C9"/>
    <w:rsid w:val="00126523"/>
    <w:rsid w:val="0012653E"/>
    <w:rsid w:val="00126595"/>
    <w:rsid w:val="00126718"/>
    <w:rsid w:val="00127895"/>
    <w:rsid w:val="00127C49"/>
    <w:rsid w:val="001300FA"/>
    <w:rsid w:val="00130283"/>
    <w:rsid w:val="00130302"/>
    <w:rsid w:val="0013033D"/>
    <w:rsid w:val="00131178"/>
    <w:rsid w:val="00131EDE"/>
    <w:rsid w:val="001320E5"/>
    <w:rsid w:val="00132647"/>
    <w:rsid w:val="0013284D"/>
    <w:rsid w:val="00132DC5"/>
    <w:rsid w:val="00133CD0"/>
    <w:rsid w:val="0013500F"/>
    <w:rsid w:val="00135548"/>
    <w:rsid w:val="0013578C"/>
    <w:rsid w:val="001357BF"/>
    <w:rsid w:val="001360D7"/>
    <w:rsid w:val="00136758"/>
    <w:rsid w:val="0013681D"/>
    <w:rsid w:val="0013695E"/>
    <w:rsid w:val="001371F4"/>
    <w:rsid w:val="0013748A"/>
    <w:rsid w:val="0013791A"/>
    <w:rsid w:val="00137B59"/>
    <w:rsid w:val="00137BA8"/>
    <w:rsid w:val="001406D4"/>
    <w:rsid w:val="00140CCD"/>
    <w:rsid w:val="001415DC"/>
    <w:rsid w:val="00141805"/>
    <w:rsid w:val="00141C96"/>
    <w:rsid w:val="00142AD2"/>
    <w:rsid w:val="00142E1D"/>
    <w:rsid w:val="00143248"/>
    <w:rsid w:val="00143415"/>
    <w:rsid w:val="001434E2"/>
    <w:rsid w:val="0014377E"/>
    <w:rsid w:val="00143E43"/>
    <w:rsid w:val="00144BD8"/>
    <w:rsid w:val="00144DB1"/>
    <w:rsid w:val="001454CD"/>
    <w:rsid w:val="0014581B"/>
    <w:rsid w:val="0014582E"/>
    <w:rsid w:val="00145938"/>
    <w:rsid w:val="00146489"/>
    <w:rsid w:val="001467CC"/>
    <w:rsid w:val="00146EFA"/>
    <w:rsid w:val="00146F8D"/>
    <w:rsid w:val="00147D8E"/>
    <w:rsid w:val="00150001"/>
    <w:rsid w:val="001503E3"/>
    <w:rsid w:val="001504F0"/>
    <w:rsid w:val="00151BD4"/>
    <w:rsid w:val="00151D33"/>
    <w:rsid w:val="0015204F"/>
    <w:rsid w:val="0015220F"/>
    <w:rsid w:val="0015274A"/>
    <w:rsid w:val="00152D43"/>
    <w:rsid w:val="00152E10"/>
    <w:rsid w:val="00152E44"/>
    <w:rsid w:val="00153098"/>
    <w:rsid w:val="00153463"/>
    <w:rsid w:val="00153E21"/>
    <w:rsid w:val="001541D1"/>
    <w:rsid w:val="0015456A"/>
    <w:rsid w:val="00154ED6"/>
    <w:rsid w:val="00155339"/>
    <w:rsid w:val="00155FC5"/>
    <w:rsid w:val="00156413"/>
    <w:rsid w:val="00156683"/>
    <w:rsid w:val="001567EE"/>
    <w:rsid w:val="001571D3"/>
    <w:rsid w:val="0015726C"/>
    <w:rsid w:val="0016116B"/>
    <w:rsid w:val="00161350"/>
    <w:rsid w:val="001613A2"/>
    <w:rsid w:val="001613F3"/>
    <w:rsid w:val="00161B99"/>
    <w:rsid w:val="0016296A"/>
    <w:rsid w:val="0016296E"/>
    <w:rsid w:val="0016396B"/>
    <w:rsid w:val="00164382"/>
    <w:rsid w:val="00164B5F"/>
    <w:rsid w:val="0016558B"/>
    <w:rsid w:val="00165643"/>
    <w:rsid w:val="001658D2"/>
    <w:rsid w:val="00165971"/>
    <w:rsid w:val="00165CF0"/>
    <w:rsid w:val="00166194"/>
    <w:rsid w:val="0016651B"/>
    <w:rsid w:val="00166FC4"/>
    <w:rsid w:val="001674E2"/>
    <w:rsid w:val="00167CA9"/>
    <w:rsid w:val="001704EA"/>
    <w:rsid w:val="00170560"/>
    <w:rsid w:val="00170F78"/>
    <w:rsid w:val="001711A8"/>
    <w:rsid w:val="00171512"/>
    <w:rsid w:val="001716EC"/>
    <w:rsid w:val="001718AB"/>
    <w:rsid w:val="00171C87"/>
    <w:rsid w:val="001724D9"/>
    <w:rsid w:val="00172B93"/>
    <w:rsid w:val="00173594"/>
    <w:rsid w:val="00173A07"/>
    <w:rsid w:val="00174161"/>
    <w:rsid w:val="00174834"/>
    <w:rsid w:val="001758E6"/>
    <w:rsid w:val="001760A8"/>
    <w:rsid w:val="00176660"/>
    <w:rsid w:val="00176F88"/>
    <w:rsid w:val="0017734D"/>
    <w:rsid w:val="00177CCA"/>
    <w:rsid w:val="00180226"/>
    <w:rsid w:val="001803F9"/>
    <w:rsid w:val="0018091C"/>
    <w:rsid w:val="00180FFA"/>
    <w:rsid w:val="00181356"/>
    <w:rsid w:val="00181516"/>
    <w:rsid w:val="00182F25"/>
    <w:rsid w:val="0018369A"/>
    <w:rsid w:val="001839D8"/>
    <w:rsid w:val="00183CC0"/>
    <w:rsid w:val="0018434D"/>
    <w:rsid w:val="0018463A"/>
    <w:rsid w:val="0018486E"/>
    <w:rsid w:val="00185121"/>
    <w:rsid w:val="001851F9"/>
    <w:rsid w:val="00185AE0"/>
    <w:rsid w:val="00186503"/>
    <w:rsid w:val="00186753"/>
    <w:rsid w:val="001868A9"/>
    <w:rsid w:val="001868D5"/>
    <w:rsid w:val="00186F50"/>
    <w:rsid w:val="0018764A"/>
    <w:rsid w:val="00187EF7"/>
    <w:rsid w:val="00190EB8"/>
    <w:rsid w:val="001910FD"/>
    <w:rsid w:val="00191258"/>
    <w:rsid w:val="00191360"/>
    <w:rsid w:val="001928CB"/>
    <w:rsid w:val="00193BFE"/>
    <w:rsid w:val="00193CDC"/>
    <w:rsid w:val="00194527"/>
    <w:rsid w:val="00194A35"/>
    <w:rsid w:val="00194B32"/>
    <w:rsid w:val="00194F21"/>
    <w:rsid w:val="00195B96"/>
    <w:rsid w:val="00196283"/>
    <w:rsid w:val="0019638B"/>
    <w:rsid w:val="00197B0F"/>
    <w:rsid w:val="00197B90"/>
    <w:rsid w:val="00197C20"/>
    <w:rsid w:val="001A00FC"/>
    <w:rsid w:val="001A0158"/>
    <w:rsid w:val="001A1105"/>
    <w:rsid w:val="001A12C6"/>
    <w:rsid w:val="001A13A8"/>
    <w:rsid w:val="001A1462"/>
    <w:rsid w:val="001A1B3F"/>
    <w:rsid w:val="001A20BF"/>
    <w:rsid w:val="001A22A9"/>
    <w:rsid w:val="001A2C5F"/>
    <w:rsid w:val="001A2E19"/>
    <w:rsid w:val="001A34FC"/>
    <w:rsid w:val="001A38E1"/>
    <w:rsid w:val="001A39CC"/>
    <w:rsid w:val="001A46BA"/>
    <w:rsid w:val="001A4E26"/>
    <w:rsid w:val="001A5292"/>
    <w:rsid w:val="001A5372"/>
    <w:rsid w:val="001A5807"/>
    <w:rsid w:val="001A613A"/>
    <w:rsid w:val="001A64CB"/>
    <w:rsid w:val="001A67EB"/>
    <w:rsid w:val="001A68CF"/>
    <w:rsid w:val="001A6D3B"/>
    <w:rsid w:val="001A791D"/>
    <w:rsid w:val="001A7B4C"/>
    <w:rsid w:val="001B007D"/>
    <w:rsid w:val="001B0431"/>
    <w:rsid w:val="001B059D"/>
    <w:rsid w:val="001B091A"/>
    <w:rsid w:val="001B0ABE"/>
    <w:rsid w:val="001B13CE"/>
    <w:rsid w:val="001B1E18"/>
    <w:rsid w:val="001B2830"/>
    <w:rsid w:val="001B346A"/>
    <w:rsid w:val="001B3508"/>
    <w:rsid w:val="001B3695"/>
    <w:rsid w:val="001B3D93"/>
    <w:rsid w:val="001B3E20"/>
    <w:rsid w:val="001B4214"/>
    <w:rsid w:val="001B4353"/>
    <w:rsid w:val="001B44D1"/>
    <w:rsid w:val="001B52EB"/>
    <w:rsid w:val="001B53CA"/>
    <w:rsid w:val="001B56EE"/>
    <w:rsid w:val="001B5EBB"/>
    <w:rsid w:val="001B612D"/>
    <w:rsid w:val="001B6A9F"/>
    <w:rsid w:val="001B6BF5"/>
    <w:rsid w:val="001B6D6E"/>
    <w:rsid w:val="001B6F95"/>
    <w:rsid w:val="001B7441"/>
    <w:rsid w:val="001B7B77"/>
    <w:rsid w:val="001B7C91"/>
    <w:rsid w:val="001B7F2E"/>
    <w:rsid w:val="001C01B7"/>
    <w:rsid w:val="001C025A"/>
    <w:rsid w:val="001C0580"/>
    <w:rsid w:val="001C0712"/>
    <w:rsid w:val="001C1992"/>
    <w:rsid w:val="001C1D23"/>
    <w:rsid w:val="001C243E"/>
    <w:rsid w:val="001C28E9"/>
    <w:rsid w:val="001C2C8C"/>
    <w:rsid w:val="001C2EEE"/>
    <w:rsid w:val="001C3101"/>
    <w:rsid w:val="001C3841"/>
    <w:rsid w:val="001C3A93"/>
    <w:rsid w:val="001C3C6D"/>
    <w:rsid w:val="001C3F6D"/>
    <w:rsid w:val="001C4629"/>
    <w:rsid w:val="001C4A01"/>
    <w:rsid w:val="001C4A9D"/>
    <w:rsid w:val="001C524D"/>
    <w:rsid w:val="001C5633"/>
    <w:rsid w:val="001C5A7B"/>
    <w:rsid w:val="001C5D73"/>
    <w:rsid w:val="001C6519"/>
    <w:rsid w:val="001C6685"/>
    <w:rsid w:val="001C6A0C"/>
    <w:rsid w:val="001C6AB0"/>
    <w:rsid w:val="001C7497"/>
    <w:rsid w:val="001C7848"/>
    <w:rsid w:val="001C796C"/>
    <w:rsid w:val="001C7F0A"/>
    <w:rsid w:val="001D02C6"/>
    <w:rsid w:val="001D0773"/>
    <w:rsid w:val="001D07BD"/>
    <w:rsid w:val="001D0AFE"/>
    <w:rsid w:val="001D0B11"/>
    <w:rsid w:val="001D1864"/>
    <w:rsid w:val="001D19DB"/>
    <w:rsid w:val="001D1C46"/>
    <w:rsid w:val="001D20E7"/>
    <w:rsid w:val="001D2183"/>
    <w:rsid w:val="001D3ECE"/>
    <w:rsid w:val="001D3F3B"/>
    <w:rsid w:val="001D470F"/>
    <w:rsid w:val="001D5322"/>
    <w:rsid w:val="001D5850"/>
    <w:rsid w:val="001D5F97"/>
    <w:rsid w:val="001D68ED"/>
    <w:rsid w:val="001D69CF"/>
    <w:rsid w:val="001D6C2A"/>
    <w:rsid w:val="001D731E"/>
    <w:rsid w:val="001D73FC"/>
    <w:rsid w:val="001E027C"/>
    <w:rsid w:val="001E05CD"/>
    <w:rsid w:val="001E07EF"/>
    <w:rsid w:val="001E087D"/>
    <w:rsid w:val="001E0965"/>
    <w:rsid w:val="001E0BB4"/>
    <w:rsid w:val="001E0DB1"/>
    <w:rsid w:val="001E0E0C"/>
    <w:rsid w:val="001E1231"/>
    <w:rsid w:val="001E29DE"/>
    <w:rsid w:val="001E2A0B"/>
    <w:rsid w:val="001E3977"/>
    <w:rsid w:val="001E3DE5"/>
    <w:rsid w:val="001E42AA"/>
    <w:rsid w:val="001E4427"/>
    <w:rsid w:val="001E4D27"/>
    <w:rsid w:val="001E5424"/>
    <w:rsid w:val="001E54EA"/>
    <w:rsid w:val="001E55B1"/>
    <w:rsid w:val="001E55C1"/>
    <w:rsid w:val="001E5A78"/>
    <w:rsid w:val="001E5C63"/>
    <w:rsid w:val="001E600A"/>
    <w:rsid w:val="001E601D"/>
    <w:rsid w:val="001E62EA"/>
    <w:rsid w:val="001E656E"/>
    <w:rsid w:val="001E66F3"/>
    <w:rsid w:val="001E6B91"/>
    <w:rsid w:val="001E6FAE"/>
    <w:rsid w:val="001E74E6"/>
    <w:rsid w:val="001E7CB8"/>
    <w:rsid w:val="001E7E72"/>
    <w:rsid w:val="001F02A0"/>
    <w:rsid w:val="001F103B"/>
    <w:rsid w:val="001F1E21"/>
    <w:rsid w:val="001F2F31"/>
    <w:rsid w:val="001F35FF"/>
    <w:rsid w:val="001F47B8"/>
    <w:rsid w:val="001F4C84"/>
    <w:rsid w:val="001F5038"/>
    <w:rsid w:val="001F60AD"/>
    <w:rsid w:val="001F6231"/>
    <w:rsid w:val="001F79B3"/>
    <w:rsid w:val="00200C8C"/>
    <w:rsid w:val="00200E25"/>
    <w:rsid w:val="00200E9B"/>
    <w:rsid w:val="002011FA"/>
    <w:rsid w:val="002020E9"/>
    <w:rsid w:val="00202B81"/>
    <w:rsid w:val="00202BF3"/>
    <w:rsid w:val="00202E3C"/>
    <w:rsid w:val="002043BC"/>
    <w:rsid w:val="002043FE"/>
    <w:rsid w:val="00204450"/>
    <w:rsid w:val="00204D8D"/>
    <w:rsid w:val="00204D97"/>
    <w:rsid w:val="002054C5"/>
    <w:rsid w:val="002054C7"/>
    <w:rsid w:val="00206AA8"/>
    <w:rsid w:val="002071E7"/>
    <w:rsid w:val="00207218"/>
    <w:rsid w:val="00207456"/>
    <w:rsid w:val="002075BC"/>
    <w:rsid w:val="00207A10"/>
    <w:rsid w:val="00207C44"/>
    <w:rsid w:val="00207DC7"/>
    <w:rsid w:val="00211668"/>
    <w:rsid w:val="00212332"/>
    <w:rsid w:val="002124D9"/>
    <w:rsid w:val="0021254B"/>
    <w:rsid w:val="002128ED"/>
    <w:rsid w:val="002134DB"/>
    <w:rsid w:val="00213C26"/>
    <w:rsid w:val="00214274"/>
    <w:rsid w:val="002155A9"/>
    <w:rsid w:val="00215DA1"/>
    <w:rsid w:val="00216802"/>
    <w:rsid w:val="00216F8D"/>
    <w:rsid w:val="0021715D"/>
    <w:rsid w:val="00217530"/>
    <w:rsid w:val="00217CC3"/>
    <w:rsid w:val="00220786"/>
    <w:rsid w:val="00220CCE"/>
    <w:rsid w:val="00220DE6"/>
    <w:rsid w:val="00222379"/>
    <w:rsid w:val="002225BF"/>
    <w:rsid w:val="002225C3"/>
    <w:rsid w:val="00222B1E"/>
    <w:rsid w:val="00222C9C"/>
    <w:rsid w:val="00222FCC"/>
    <w:rsid w:val="002234AA"/>
    <w:rsid w:val="002242E4"/>
    <w:rsid w:val="002243D1"/>
    <w:rsid w:val="00224AAF"/>
    <w:rsid w:val="002250F2"/>
    <w:rsid w:val="00226447"/>
    <w:rsid w:val="00226745"/>
    <w:rsid w:val="00227071"/>
    <w:rsid w:val="002300A9"/>
    <w:rsid w:val="00230135"/>
    <w:rsid w:val="00230203"/>
    <w:rsid w:val="002302BB"/>
    <w:rsid w:val="00230B8C"/>
    <w:rsid w:val="00230F82"/>
    <w:rsid w:val="00230FD1"/>
    <w:rsid w:val="002312E7"/>
    <w:rsid w:val="00231B80"/>
    <w:rsid w:val="00235684"/>
    <w:rsid w:val="0023573E"/>
    <w:rsid w:val="00235C5E"/>
    <w:rsid w:val="00235E5C"/>
    <w:rsid w:val="00236201"/>
    <w:rsid w:val="0023644F"/>
    <w:rsid w:val="00236FE1"/>
    <w:rsid w:val="00237072"/>
    <w:rsid w:val="002379A8"/>
    <w:rsid w:val="00240701"/>
    <w:rsid w:val="00240A42"/>
    <w:rsid w:val="00241CED"/>
    <w:rsid w:val="00241E44"/>
    <w:rsid w:val="00242113"/>
    <w:rsid w:val="002421C2"/>
    <w:rsid w:val="00242A7A"/>
    <w:rsid w:val="002434FE"/>
    <w:rsid w:val="00243838"/>
    <w:rsid w:val="00243A6D"/>
    <w:rsid w:val="0024474C"/>
    <w:rsid w:val="002450E0"/>
    <w:rsid w:val="0024531A"/>
    <w:rsid w:val="0024555D"/>
    <w:rsid w:val="00246852"/>
    <w:rsid w:val="00246B26"/>
    <w:rsid w:val="002473AE"/>
    <w:rsid w:val="0024743F"/>
    <w:rsid w:val="0024757C"/>
    <w:rsid w:val="002500D3"/>
    <w:rsid w:val="002506BF"/>
    <w:rsid w:val="00250F01"/>
    <w:rsid w:val="002512CA"/>
    <w:rsid w:val="00251387"/>
    <w:rsid w:val="00251952"/>
    <w:rsid w:val="00251CC5"/>
    <w:rsid w:val="00253163"/>
    <w:rsid w:val="002532D8"/>
    <w:rsid w:val="002534E8"/>
    <w:rsid w:val="00253A5C"/>
    <w:rsid w:val="00255462"/>
    <w:rsid w:val="00255611"/>
    <w:rsid w:val="002561BB"/>
    <w:rsid w:val="002565E4"/>
    <w:rsid w:val="00256BFD"/>
    <w:rsid w:val="002570B5"/>
    <w:rsid w:val="00257AA1"/>
    <w:rsid w:val="00257B60"/>
    <w:rsid w:val="00257DF5"/>
    <w:rsid w:val="002603BA"/>
    <w:rsid w:val="00260E00"/>
    <w:rsid w:val="00260E46"/>
    <w:rsid w:val="002610C2"/>
    <w:rsid w:val="00261AB9"/>
    <w:rsid w:val="002622FC"/>
    <w:rsid w:val="00262686"/>
    <w:rsid w:val="00262C2E"/>
    <w:rsid w:val="00262F42"/>
    <w:rsid w:val="00263798"/>
    <w:rsid w:val="00263A01"/>
    <w:rsid w:val="002643C9"/>
    <w:rsid w:val="00264B92"/>
    <w:rsid w:val="0026566C"/>
    <w:rsid w:val="0026580F"/>
    <w:rsid w:val="00265AF5"/>
    <w:rsid w:val="00265B66"/>
    <w:rsid w:val="00266279"/>
    <w:rsid w:val="00266711"/>
    <w:rsid w:val="00267511"/>
    <w:rsid w:val="00270139"/>
    <w:rsid w:val="0027078A"/>
    <w:rsid w:val="00270BD0"/>
    <w:rsid w:val="00271415"/>
    <w:rsid w:val="0027195A"/>
    <w:rsid w:val="00271C28"/>
    <w:rsid w:val="002734D9"/>
    <w:rsid w:val="00273584"/>
    <w:rsid w:val="0027379E"/>
    <w:rsid w:val="0027454E"/>
    <w:rsid w:val="002746B7"/>
    <w:rsid w:val="00274AB8"/>
    <w:rsid w:val="00274DEC"/>
    <w:rsid w:val="00274FE3"/>
    <w:rsid w:val="002750E0"/>
    <w:rsid w:val="00275164"/>
    <w:rsid w:val="002753C5"/>
    <w:rsid w:val="002759EF"/>
    <w:rsid w:val="002766E2"/>
    <w:rsid w:val="0027680F"/>
    <w:rsid w:val="002768B7"/>
    <w:rsid w:val="002770AC"/>
    <w:rsid w:val="002812B7"/>
    <w:rsid w:val="00281C6C"/>
    <w:rsid w:val="0028248E"/>
    <w:rsid w:val="002826BF"/>
    <w:rsid w:val="00282C9D"/>
    <w:rsid w:val="0028311A"/>
    <w:rsid w:val="002839D3"/>
    <w:rsid w:val="00283E12"/>
    <w:rsid w:val="00284C43"/>
    <w:rsid w:val="00284F54"/>
    <w:rsid w:val="00285262"/>
    <w:rsid w:val="00285974"/>
    <w:rsid w:val="00285A74"/>
    <w:rsid w:val="00285FA6"/>
    <w:rsid w:val="002864DC"/>
    <w:rsid w:val="002866D0"/>
    <w:rsid w:val="0028697F"/>
    <w:rsid w:val="00286CD6"/>
    <w:rsid w:val="00286E7A"/>
    <w:rsid w:val="0028714D"/>
    <w:rsid w:val="00287555"/>
    <w:rsid w:val="0028756C"/>
    <w:rsid w:val="00287B3D"/>
    <w:rsid w:val="00287EDC"/>
    <w:rsid w:val="00287F83"/>
    <w:rsid w:val="00290013"/>
    <w:rsid w:val="002900E9"/>
    <w:rsid w:val="0029019D"/>
    <w:rsid w:val="00290A2B"/>
    <w:rsid w:val="00290E30"/>
    <w:rsid w:val="00291178"/>
    <w:rsid w:val="002915C8"/>
    <w:rsid w:val="00291889"/>
    <w:rsid w:val="0029278F"/>
    <w:rsid w:val="00292938"/>
    <w:rsid w:val="00292EA6"/>
    <w:rsid w:val="00292F8E"/>
    <w:rsid w:val="00293AC4"/>
    <w:rsid w:val="00294363"/>
    <w:rsid w:val="00294567"/>
    <w:rsid w:val="0029471E"/>
    <w:rsid w:val="002947A7"/>
    <w:rsid w:val="0029489D"/>
    <w:rsid w:val="00294B5E"/>
    <w:rsid w:val="00295113"/>
    <w:rsid w:val="00295344"/>
    <w:rsid w:val="00296158"/>
    <w:rsid w:val="00296DD1"/>
    <w:rsid w:val="002A0A90"/>
    <w:rsid w:val="002A0AC0"/>
    <w:rsid w:val="002A17E7"/>
    <w:rsid w:val="002A180C"/>
    <w:rsid w:val="002A2A03"/>
    <w:rsid w:val="002A2C1B"/>
    <w:rsid w:val="002A31BF"/>
    <w:rsid w:val="002A331C"/>
    <w:rsid w:val="002A3576"/>
    <w:rsid w:val="002A3A67"/>
    <w:rsid w:val="002A3DB8"/>
    <w:rsid w:val="002A484C"/>
    <w:rsid w:val="002A4C19"/>
    <w:rsid w:val="002A50B5"/>
    <w:rsid w:val="002A5139"/>
    <w:rsid w:val="002A588D"/>
    <w:rsid w:val="002A5CC2"/>
    <w:rsid w:val="002A5EBA"/>
    <w:rsid w:val="002A62CC"/>
    <w:rsid w:val="002A6C48"/>
    <w:rsid w:val="002A6F2B"/>
    <w:rsid w:val="002A6FA4"/>
    <w:rsid w:val="002A7226"/>
    <w:rsid w:val="002B0E08"/>
    <w:rsid w:val="002B0F8D"/>
    <w:rsid w:val="002B10C8"/>
    <w:rsid w:val="002B140C"/>
    <w:rsid w:val="002B16A6"/>
    <w:rsid w:val="002B196F"/>
    <w:rsid w:val="002B19D9"/>
    <w:rsid w:val="002B1CA5"/>
    <w:rsid w:val="002B1D85"/>
    <w:rsid w:val="002B2274"/>
    <w:rsid w:val="002B231E"/>
    <w:rsid w:val="002B264C"/>
    <w:rsid w:val="002B294C"/>
    <w:rsid w:val="002B3150"/>
    <w:rsid w:val="002B33A1"/>
    <w:rsid w:val="002B3A62"/>
    <w:rsid w:val="002B46C5"/>
    <w:rsid w:val="002B4B0D"/>
    <w:rsid w:val="002B5EC0"/>
    <w:rsid w:val="002B6A0D"/>
    <w:rsid w:val="002B6B6A"/>
    <w:rsid w:val="002B7342"/>
    <w:rsid w:val="002B7964"/>
    <w:rsid w:val="002C1C57"/>
    <w:rsid w:val="002C2020"/>
    <w:rsid w:val="002C23A0"/>
    <w:rsid w:val="002C2C3D"/>
    <w:rsid w:val="002C39CB"/>
    <w:rsid w:val="002C4029"/>
    <w:rsid w:val="002C43FE"/>
    <w:rsid w:val="002C49E3"/>
    <w:rsid w:val="002C4BD5"/>
    <w:rsid w:val="002C4D4C"/>
    <w:rsid w:val="002C4E23"/>
    <w:rsid w:val="002C51F7"/>
    <w:rsid w:val="002C5ACE"/>
    <w:rsid w:val="002C5B5C"/>
    <w:rsid w:val="002C6696"/>
    <w:rsid w:val="002C6B1F"/>
    <w:rsid w:val="002C7262"/>
    <w:rsid w:val="002C794A"/>
    <w:rsid w:val="002D00BF"/>
    <w:rsid w:val="002D0107"/>
    <w:rsid w:val="002D0AF5"/>
    <w:rsid w:val="002D105C"/>
    <w:rsid w:val="002D1975"/>
    <w:rsid w:val="002D251D"/>
    <w:rsid w:val="002D257B"/>
    <w:rsid w:val="002D2C89"/>
    <w:rsid w:val="002D2D82"/>
    <w:rsid w:val="002D3305"/>
    <w:rsid w:val="002D3B44"/>
    <w:rsid w:val="002D3B4C"/>
    <w:rsid w:val="002D4474"/>
    <w:rsid w:val="002D4AD9"/>
    <w:rsid w:val="002D4D18"/>
    <w:rsid w:val="002D577F"/>
    <w:rsid w:val="002D5C28"/>
    <w:rsid w:val="002D6196"/>
    <w:rsid w:val="002D6200"/>
    <w:rsid w:val="002D63C1"/>
    <w:rsid w:val="002D67BF"/>
    <w:rsid w:val="002D70D6"/>
    <w:rsid w:val="002D76AC"/>
    <w:rsid w:val="002D7A02"/>
    <w:rsid w:val="002D7CBC"/>
    <w:rsid w:val="002D7F49"/>
    <w:rsid w:val="002E0783"/>
    <w:rsid w:val="002E2631"/>
    <w:rsid w:val="002E2A38"/>
    <w:rsid w:val="002E2DF9"/>
    <w:rsid w:val="002E3A7F"/>
    <w:rsid w:val="002E4835"/>
    <w:rsid w:val="002E49A2"/>
    <w:rsid w:val="002E4A56"/>
    <w:rsid w:val="002E4ECD"/>
    <w:rsid w:val="002E535D"/>
    <w:rsid w:val="002E5A93"/>
    <w:rsid w:val="002E5B8E"/>
    <w:rsid w:val="002E5BBF"/>
    <w:rsid w:val="002E5E4A"/>
    <w:rsid w:val="002E62F3"/>
    <w:rsid w:val="002E6437"/>
    <w:rsid w:val="002E65CD"/>
    <w:rsid w:val="002E68DB"/>
    <w:rsid w:val="002E6FA3"/>
    <w:rsid w:val="002E7208"/>
    <w:rsid w:val="002E7381"/>
    <w:rsid w:val="002E764D"/>
    <w:rsid w:val="002E793B"/>
    <w:rsid w:val="002E7D0E"/>
    <w:rsid w:val="002F05E7"/>
    <w:rsid w:val="002F0979"/>
    <w:rsid w:val="002F0D97"/>
    <w:rsid w:val="002F0F3B"/>
    <w:rsid w:val="002F1160"/>
    <w:rsid w:val="002F186B"/>
    <w:rsid w:val="002F1F71"/>
    <w:rsid w:val="002F20C8"/>
    <w:rsid w:val="002F2A2A"/>
    <w:rsid w:val="002F2A3A"/>
    <w:rsid w:val="002F2A3F"/>
    <w:rsid w:val="002F2B3F"/>
    <w:rsid w:val="002F2BE2"/>
    <w:rsid w:val="002F2C08"/>
    <w:rsid w:val="002F3133"/>
    <w:rsid w:val="002F338B"/>
    <w:rsid w:val="002F4623"/>
    <w:rsid w:val="002F48F7"/>
    <w:rsid w:val="002F4C8D"/>
    <w:rsid w:val="002F4FE0"/>
    <w:rsid w:val="002F5202"/>
    <w:rsid w:val="002F5369"/>
    <w:rsid w:val="002F5F62"/>
    <w:rsid w:val="002F6A39"/>
    <w:rsid w:val="002F6F3E"/>
    <w:rsid w:val="002F7033"/>
    <w:rsid w:val="002F7058"/>
    <w:rsid w:val="002F7465"/>
    <w:rsid w:val="002F7517"/>
    <w:rsid w:val="003000B4"/>
    <w:rsid w:val="003000FD"/>
    <w:rsid w:val="003003DC"/>
    <w:rsid w:val="00300916"/>
    <w:rsid w:val="003009BB"/>
    <w:rsid w:val="00301236"/>
    <w:rsid w:val="003016C0"/>
    <w:rsid w:val="003019B0"/>
    <w:rsid w:val="0030209A"/>
    <w:rsid w:val="00302A61"/>
    <w:rsid w:val="00303BCC"/>
    <w:rsid w:val="00303E50"/>
    <w:rsid w:val="003044EB"/>
    <w:rsid w:val="003045DD"/>
    <w:rsid w:val="00304810"/>
    <w:rsid w:val="00304C00"/>
    <w:rsid w:val="003052DE"/>
    <w:rsid w:val="00305726"/>
    <w:rsid w:val="003059C2"/>
    <w:rsid w:val="00305B03"/>
    <w:rsid w:val="00305D45"/>
    <w:rsid w:val="0030626D"/>
    <w:rsid w:val="00306852"/>
    <w:rsid w:val="0030695A"/>
    <w:rsid w:val="003069FC"/>
    <w:rsid w:val="00306AFB"/>
    <w:rsid w:val="00306D54"/>
    <w:rsid w:val="00306EDA"/>
    <w:rsid w:val="003075E6"/>
    <w:rsid w:val="003077B6"/>
    <w:rsid w:val="00307C0C"/>
    <w:rsid w:val="00310709"/>
    <w:rsid w:val="00311E66"/>
    <w:rsid w:val="00311FF3"/>
    <w:rsid w:val="0031279C"/>
    <w:rsid w:val="003130D1"/>
    <w:rsid w:val="00313554"/>
    <w:rsid w:val="00313577"/>
    <w:rsid w:val="00313AC2"/>
    <w:rsid w:val="00314458"/>
    <w:rsid w:val="00314587"/>
    <w:rsid w:val="00314A5D"/>
    <w:rsid w:val="00314ABB"/>
    <w:rsid w:val="00314F25"/>
    <w:rsid w:val="00314F81"/>
    <w:rsid w:val="003163C4"/>
    <w:rsid w:val="0031661D"/>
    <w:rsid w:val="00317912"/>
    <w:rsid w:val="00317F44"/>
    <w:rsid w:val="00320322"/>
    <w:rsid w:val="0032093E"/>
    <w:rsid w:val="0032104F"/>
    <w:rsid w:val="00321220"/>
    <w:rsid w:val="003215C4"/>
    <w:rsid w:val="00321ABA"/>
    <w:rsid w:val="00321E90"/>
    <w:rsid w:val="00322EC3"/>
    <w:rsid w:val="00322F32"/>
    <w:rsid w:val="00323025"/>
    <w:rsid w:val="003236AD"/>
    <w:rsid w:val="003238C5"/>
    <w:rsid w:val="003251AA"/>
    <w:rsid w:val="00325415"/>
    <w:rsid w:val="003254AB"/>
    <w:rsid w:val="003267F1"/>
    <w:rsid w:val="00326F0C"/>
    <w:rsid w:val="0032717D"/>
    <w:rsid w:val="00327AC5"/>
    <w:rsid w:val="00327D74"/>
    <w:rsid w:val="00330071"/>
    <w:rsid w:val="00330B58"/>
    <w:rsid w:val="003319EB"/>
    <w:rsid w:val="00331C02"/>
    <w:rsid w:val="00331D0A"/>
    <w:rsid w:val="00332ADD"/>
    <w:rsid w:val="00332B1B"/>
    <w:rsid w:val="00333224"/>
    <w:rsid w:val="00333EE0"/>
    <w:rsid w:val="00334539"/>
    <w:rsid w:val="003348CC"/>
    <w:rsid w:val="00335173"/>
    <w:rsid w:val="0033576B"/>
    <w:rsid w:val="00335783"/>
    <w:rsid w:val="00335E42"/>
    <w:rsid w:val="00336964"/>
    <w:rsid w:val="00336E7D"/>
    <w:rsid w:val="00337141"/>
    <w:rsid w:val="0034031D"/>
    <w:rsid w:val="003407F6"/>
    <w:rsid w:val="003415BC"/>
    <w:rsid w:val="00341676"/>
    <w:rsid w:val="00343504"/>
    <w:rsid w:val="003436E9"/>
    <w:rsid w:val="003442C0"/>
    <w:rsid w:val="00344338"/>
    <w:rsid w:val="00344B59"/>
    <w:rsid w:val="00344E92"/>
    <w:rsid w:val="0034501C"/>
    <w:rsid w:val="00345042"/>
    <w:rsid w:val="00345190"/>
    <w:rsid w:val="003453A9"/>
    <w:rsid w:val="003459A9"/>
    <w:rsid w:val="00345DBB"/>
    <w:rsid w:val="00345FB6"/>
    <w:rsid w:val="00346140"/>
    <w:rsid w:val="003466AA"/>
    <w:rsid w:val="00346D24"/>
    <w:rsid w:val="00347F3F"/>
    <w:rsid w:val="003501A4"/>
    <w:rsid w:val="0035024F"/>
    <w:rsid w:val="003505D9"/>
    <w:rsid w:val="00350DF9"/>
    <w:rsid w:val="00351103"/>
    <w:rsid w:val="003522AC"/>
    <w:rsid w:val="003526F0"/>
    <w:rsid w:val="00352FBC"/>
    <w:rsid w:val="00353225"/>
    <w:rsid w:val="00353CF2"/>
    <w:rsid w:val="00353D37"/>
    <w:rsid w:val="00353D63"/>
    <w:rsid w:val="00354CD1"/>
    <w:rsid w:val="00355572"/>
    <w:rsid w:val="003556FF"/>
    <w:rsid w:val="00355E36"/>
    <w:rsid w:val="00356EA7"/>
    <w:rsid w:val="003579ED"/>
    <w:rsid w:val="00357FCA"/>
    <w:rsid w:val="003600E0"/>
    <w:rsid w:val="00360225"/>
    <w:rsid w:val="003603AF"/>
    <w:rsid w:val="00360433"/>
    <w:rsid w:val="00360468"/>
    <w:rsid w:val="00361170"/>
    <w:rsid w:val="00361708"/>
    <w:rsid w:val="0036190C"/>
    <w:rsid w:val="00361AF3"/>
    <w:rsid w:val="00361F25"/>
    <w:rsid w:val="003621ED"/>
    <w:rsid w:val="00363671"/>
    <w:rsid w:val="00363C3F"/>
    <w:rsid w:val="00363C4B"/>
    <w:rsid w:val="00364880"/>
    <w:rsid w:val="00364B8F"/>
    <w:rsid w:val="00364D62"/>
    <w:rsid w:val="00365004"/>
    <w:rsid w:val="0036503F"/>
    <w:rsid w:val="0036562F"/>
    <w:rsid w:val="00365825"/>
    <w:rsid w:val="00365A22"/>
    <w:rsid w:val="00365A89"/>
    <w:rsid w:val="0036629A"/>
    <w:rsid w:val="00370853"/>
    <w:rsid w:val="003715BE"/>
    <w:rsid w:val="003718D0"/>
    <w:rsid w:val="00371AF9"/>
    <w:rsid w:val="00372371"/>
    <w:rsid w:val="00372A0D"/>
    <w:rsid w:val="00373119"/>
    <w:rsid w:val="0037366F"/>
    <w:rsid w:val="00373E3C"/>
    <w:rsid w:val="00375075"/>
    <w:rsid w:val="003754C4"/>
    <w:rsid w:val="00375519"/>
    <w:rsid w:val="003766AA"/>
    <w:rsid w:val="00377411"/>
    <w:rsid w:val="00377A52"/>
    <w:rsid w:val="00377BF4"/>
    <w:rsid w:val="00377E35"/>
    <w:rsid w:val="00377FD3"/>
    <w:rsid w:val="003800E5"/>
    <w:rsid w:val="00380398"/>
    <w:rsid w:val="00380AB4"/>
    <w:rsid w:val="00381030"/>
    <w:rsid w:val="00381942"/>
    <w:rsid w:val="00382898"/>
    <w:rsid w:val="00383143"/>
    <w:rsid w:val="003835D4"/>
    <w:rsid w:val="003835F3"/>
    <w:rsid w:val="003836A5"/>
    <w:rsid w:val="00385286"/>
    <w:rsid w:val="00385425"/>
    <w:rsid w:val="003856F5"/>
    <w:rsid w:val="00385C3E"/>
    <w:rsid w:val="00386A78"/>
    <w:rsid w:val="00386AF8"/>
    <w:rsid w:val="00387503"/>
    <w:rsid w:val="00387B3B"/>
    <w:rsid w:val="00391387"/>
    <w:rsid w:val="003919D6"/>
    <w:rsid w:val="003925F7"/>
    <w:rsid w:val="00392E14"/>
    <w:rsid w:val="00393201"/>
    <w:rsid w:val="003934F6"/>
    <w:rsid w:val="00393724"/>
    <w:rsid w:val="003938EC"/>
    <w:rsid w:val="003946E6"/>
    <w:rsid w:val="00394710"/>
    <w:rsid w:val="0039496E"/>
    <w:rsid w:val="00395231"/>
    <w:rsid w:val="00395F7F"/>
    <w:rsid w:val="00396885"/>
    <w:rsid w:val="00396A52"/>
    <w:rsid w:val="00396BF3"/>
    <w:rsid w:val="003975D7"/>
    <w:rsid w:val="00397EE0"/>
    <w:rsid w:val="003A0131"/>
    <w:rsid w:val="003A096F"/>
    <w:rsid w:val="003A1338"/>
    <w:rsid w:val="003A14DA"/>
    <w:rsid w:val="003A1600"/>
    <w:rsid w:val="003A1BDA"/>
    <w:rsid w:val="003A23D5"/>
    <w:rsid w:val="003A2C93"/>
    <w:rsid w:val="003A2CF1"/>
    <w:rsid w:val="003A3D1B"/>
    <w:rsid w:val="003A416F"/>
    <w:rsid w:val="003A42B9"/>
    <w:rsid w:val="003A4ED1"/>
    <w:rsid w:val="003A5A77"/>
    <w:rsid w:val="003A5B4B"/>
    <w:rsid w:val="003A5BBD"/>
    <w:rsid w:val="003A5F5A"/>
    <w:rsid w:val="003A64FC"/>
    <w:rsid w:val="003A6633"/>
    <w:rsid w:val="003A78B5"/>
    <w:rsid w:val="003A7C61"/>
    <w:rsid w:val="003A7E5F"/>
    <w:rsid w:val="003B0BC2"/>
    <w:rsid w:val="003B0D0E"/>
    <w:rsid w:val="003B102B"/>
    <w:rsid w:val="003B1268"/>
    <w:rsid w:val="003B14E3"/>
    <w:rsid w:val="003B1D78"/>
    <w:rsid w:val="003B1DE1"/>
    <w:rsid w:val="003B2EFC"/>
    <w:rsid w:val="003B30F4"/>
    <w:rsid w:val="003B345A"/>
    <w:rsid w:val="003B34E6"/>
    <w:rsid w:val="003B379F"/>
    <w:rsid w:val="003B4026"/>
    <w:rsid w:val="003B40C9"/>
    <w:rsid w:val="003B4AA5"/>
    <w:rsid w:val="003B4EA1"/>
    <w:rsid w:val="003B53BA"/>
    <w:rsid w:val="003B63DD"/>
    <w:rsid w:val="003B6427"/>
    <w:rsid w:val="003B67CA"/>
    <w:rsid w:val="003B77E8"/>
    <w:rsid w:val="003C02B2"/>
    <w:rsid w:val="003C04DE"/>
    <w:rsid w:val="003C0ACD"/>
    <w:rsid w:val="003C0CEC"/>
    <w:rsid w:val="003C11B6"/>
    <w:rsid w:val="003C123B"/>
    <w:rsid w:val="003C12DD"/>
    <w:rsid w:val="003C31CC"/>
    <w:rsid w:val="003C40F0"/>
    <w:rsid w:val="003C438C"/>
    <w:rsid w:val="003C4495"/>
    <w:rsid w:val="003C459C"/>
    <w:rsid w:val="003C4976"/>
    <w:rsid w:val="003C511D"/>
    <w:rsid w:val="003C59A2"/>
    <w:rsid w:val="003C5B83"/>
    <w:rsid w:val="003C5D1A"/>
    <w:rsid w:val="003C6129"/>
    <w:rsid w:val="003C617F"/>
    <w:rsid w:val="003C6299"/>
    <w:rsid w:val="003C7208"/>
    <w:rsid w:val="003C764D"/>
    <w:rsid w:val="003C7805"/>
    <w:rsid w:val="003C7D41"/>
    <w:rsid w:val="003D0010"/>
    <w:rsid w:val="003D05B6"/>
    <w:rsid w:val="003D0C7F"/>
    <w:rsid w:val="003D168A"/>
    <w:rsid w:val="003D1A53"/>
    <w:rsid w:val="003D1A97"/>
    <w:rsid w:val="003D2332"/>
    <w:rsid w:val="003D29D3"/>
    <w:rsid w:val="003D2A97"/>
    <w:rsid w:val="003D3FC7"/>
    <w:rsid w:val="003D41B6"/>
    <w:rsid w:val="003D55E6"/>
    <w:rsid w:val="003D5602"/>
    <w:rsid w:val="003D66BC"/>
    <w:rsid w:val="003D6AAA"/>
    <w:rsid w:val="003D6D1E"/>
    <w:rsid w:val="003D7366"/>
    <w:rsid w:val="003D7559"/>
    <w:rsid w:val="003D7A3A"/>
    <w:rsid w:val="003D7C89"/>
    <w:rsid w:val="003E0760"/>
    <w:rsid w:val="003E0B40"/>
    <w:rsid w:val="003E189B"/>
    <w:rsid w:val="003E1A49"/>
    <w:rsid w:val="003E1BCB"/>
    <w:rsid w:val="003E1C7A"/>
    <w:rsid w:val="003E1DB8"/>
    <w:rsid w:val="003E1E1E"/>
    <w:rsid w:val="003E211F"/>
    <w:rsid w:val="003E2218"/>
    <w:rsid w:val="003E27D9"/>
    <w:rsid w:val="003E2F45"/>
    <w:rsid w:val="003E3761"/>
    <w:rsid w:val="003E390B"/>
    <w:rsid w:val="003E3DFD"/>
    <w:rsid w:val="003E3E14"/>
    <w:rsid w:val="003E3E3C"/>
    <w:rsid w:val="003E3EA3"/>
    <w:rsid w:val="003E4A1E"/>
    <w:rsid w:val="003E4BF6"/>
    <w:rsid w:val="003E4C72"/>
    <w:rsid w:val="003E57AC"/>
    <w:rsid w:val="003E5FAF"/>
    <w:rsid w:val="003E67E6"/>
    <w:rsid w:val="003E685C"/>
    <w:rsid w:val="003E69C4"/>
    <w:rsid w:val="003E7011"/>
    <w:rsid w:val="003E7120"/>
    <w:rsid w:val="003E71EA"/>
    <w:rsid w:val="003E7B9D"/>
    <w:rsid w:val="003E7D99"/>
    <w:rsid w:val="003F08E8"/>
    <w:rsid w:val="003F0A72"/>
    <w:rsid w:val="003F0B2E"/>
    <w:rsid w:val="003F0F90"/>
    <w:rsid w:val="003F0FFE"/>
    <w:rsid w:val="003F10CF"/>
    <w:rsid w:val="003F1488"/>
    <w:rsid w:val="003F3096"/>
    <w:rsid w:val="003F35EA"/>
    <w:rsid w:val="003F3DAD"/>
    <w:rsid w:val="003F4171"/>
    <w:rsid w:val="003F43DF"/>
    <w:rsid w:val="003F4505"/>
    <w:rsid w:val="003F45E5"/>
    <w:rsid w:val="003F54CA"/>
    <w:rsid w:val="003F5F60"/>
    <w:rsid w:val="003F64EE"/>
    <w:rsid w:val="003F683B"/>
    <w:rsid w:val="003F6959"/>
    <w:rsid w:val="003F72EE"/>
    <w:rsid w:val="003F775D"/>
    <w:rsid w:val="003F7E18"/>
    <w:rsid w:val="0040029E"/>
    <w:rsid w:val="00400393"/>
    <w:rsid w:val="004009C3"/>
    <w:rsid w:val="0040153F"/>
    <w:rsid w:val="00401CF6"/>
    <w:rsid w:val="00402135"/>
    <w:rsid w:val="00402209"/>
    <w:rsid w:val="0040234B"/>
    <w:rsid w:val="00402DEC"/>
    <w:rsid w:val="00403FD6"/>
    <w:rsid w:val="0040414F"/>
    <w:rsid w:val="0040439C"/>
    <w:rsid w:val="00404967"/>
    <w:rsid w:val="00404FD4"/>
    <w:rsid w:val="004050BC"/>
    <w:rsid w:val="004052B8"/>
    <w:rsid w:val="004057C9"/>
    <w:rsid w:val="00405A9C"/>
    <w:rsid w:val="00405E1C"/>
    <w:rsid w:val="0040650C"/>
    <w:rsid w:val="0040672A"/>
    <w:rsid w:val="00406E49"/>
    <w:rsid w:val="004076DF"/>
    <w:rsid w:val="004105FD"/>
    <w:rsid w:val="0041066F"/>
    <w:rsid w:val="0041223B"/>
    <w:rsid w:val="004128EE"/>
    <w:rsid w:val="0041307D"/>
    <w:rsid w:val="00413849"/>
    <w:rsid w:val="00413891"/>
    <w:rsid w:val="00413990"/>
    <w:rsid w:val="00414266"/>
    <w:rsid w:val="0041494C"/>
    <w:rsid w:val="00414FA1"/>
    <w:rsid w:val="0041582D"/>
    <w:rsid w:val="004158A3"/>
    <w:rsid w:val="00415C67"/>
    <w:rsid w:val="00417A57"/>
    <w:rsid w:val="00417E50"/>
    <w:rsid w:val="00417F0A"/>
    <w:rsid w:val="00417F5C"/>
    <w:rsid w:val="0042009B"/>
    <w:rsid w:val="00421246"/>
    <w:rsid w:val="004212A6"/>
    <w:rsid w:val="004214F3"/>
    <w:rsid w:val="00421A2F"/>
    <w:rsid w:val="00421D9A"/>
    <w:rsid w:val="004220B7"/>
    <w:rsid w:val="00422CB0"/>
    <w:rsid w:val="00422F34"/>
    <w:rsid w:val="00422F9F"/>
    <w:rsid w:val="00423100"/>
    <w:rsid w:val="004232F9"/>
    <w:rsid w:val="004234B4"/>
    <w:rsid w:val="00423B70"/>
    <w:rsid w:val="00424C2B"/>
    <w:rsid w:val="00425418"/>
    <w:rsid w:val="004259C4"/>
    <w:rsid w:val="00425BD3"/>
    <w:rsid w:val="00425CD4"/>
    <w:rsid w:val="00426736"/>
    <w:rsid w:val="00427382"/>
    <w:rsid w:val="00427F18"/>
    <w:rsid w:val="004304F3"/>
    <w:rsid w:val="0043155B"/>
    <w:rsid w:val="004319F7"/>
    <w:rsid w:val="00431C89"/>
    <w:rsid w:val="00431D42"/>
    <w:rsid w:val="00431DE0"/>
    <w:rsid w:val="004325E0"/>
    <w:rsid w:val="00432969"/>
    <w:rsid w:val="00432C38"/>
    <w:rsid w:val="00432FEC"/>
    <w:rsid w:val="00433130"/>
    <w:rsid w:val="0043348A"/>
    <w:rsid w:val="00433668"/>
    <w:rsid w:val="00433B2F"/>
    <w:rsid w:val="00433D2E"/>
    <w:rsid w:val="00433E2F"/>
    <w:rsid w:val="0043402F"/>
    <w:rsid w:val="00434EA7"/>
    <w:rsid w:val="004350FC"/>
    <w:rsid w:val="00435580"/>
    <w:rsid w:val="00435746"/>
    <w:rsid w:val="004358C5"/>
    <w:rsid w:val="00436339"/>
    <w:rsid w:val="00436445"/>
    <w:rsid w:val="00436818"/>
    <w:rsid w:val="00436A98"/>
    <w:rsid w:val="00436D63"/>
    <w:rsid w:val="0043777C"/>
    <w:rsid w:val="00437B75"/>
    <w:rsid w:val="00440136"/>
    <w:rsid w:val="004403CB"/>
    <w:rsid w:val="00440C30"/>
    <w:rsid w:val="00440D78"/>
    <w:rsid w:val="0044119B"/>
    <w:rsid w:val="004415DE"/>
    <w:rsid w:val="00442720"/>
    <w:rsid w:val="004428C1"/>
    <w:rsid w:val="00442F8D"/>
    <w:rsid w:val="00443F29"/>
    <w:rsid w:val="00444F82"/>
    <w:rsid w:val="00445093"/>
    <w:rsid w:val="00445168"/>
    <w:rsid w:val="004463DA"/>
    <w:rsid w:val="00446A03"/>
    <w:rsid w:val="004470B5"/>
    <w:rsid w:val="0044796E"/>
    <w:rsid w:val="00451DBD"/>
    <w:rsid w:val="00452165"/>
    <w:rsid w:val="00452796"/>
    <w:rsid w:val="004527C0"/>
    <w:rsid w:val="00452AB7"/>
    <w:rsid w:val="00453164"/>
    <w:rsid w:val="0045326E"/>
    <w:rsid w:val="00453D24"/>
    <w:rsid w:val="00454815"/>
    <w:rsid w:val="00454C61"/>
    <w:rsid w:val="00454D54"/>
    <w:rsid w:val="00454E55"/>
    <w:rsid w:val="0045580E"/>
    <w:rsid w:val="00455BCC"/>
    <w:rsid w:val="00455ECC"/>
    <w:rsid w:val="004566E4"/>
    <w:rsid w:val="0045691E"/>
    <w:rsid w:val="00457330"/>
    <w:rsid w:val="0046002F"/>
    <w:rsid w:val="0046127A"/>
    <w:rsid w:val="0046128D"/>
    <w:rsid w:val="00461784"/>
    <w:rsid w:val="00461C45"/>
    <w:rsid w:val="0046204B"/>
    <w:rsid w:val="00462376"/>
    <w:rsid w:val="0046283D"/>
    <w:rsid w:val="00462A77"/>
    <w:rsid w:val="00462C0E"/>
    <w:rsid w:val="00463217"/>
    <w:rsid w:val="00463DE6"/>
    <w:rsid w:val="00464ADE"/>
    <w:rsid w:val="00464B9A"/>
    <w:rsid w:val="0046504E"/>
    <w:rsid w:val="00465156"/>
    <w:rsid w:val="00465515"/>
    <w:rsid w:val="0046552E"/>
    <w:rsid w:val="00465703"/>
    <w:rsid w:val="00465A62"/>
    <w:rsid w:val="004663DA"/>
    <w:rsid w:val="00466E07"/>
    <w:rsid w:val="00467081"/>
    <w:rsid w:val="00467828"/>
    <w:rsid w:val="00467A6D"/>
    <w:rsid w:val="00467B4D"/>
    <w:rsid w:val="00467DF3"/>
    <w:rsid w:val="0047000E"/>
    <w:rsid w:val="00470436"/>
    <w:rsid w:val="004706DA"/>
    <w:rsid w:val="00471273"/>
    <w:rsid w:val="004723ED"/>
    <w:rsid w:val="0047267A"/>
    <w:rsid w:val="00472911"/>
    <w:rsid w:val="00472BB1"/>
    <w:rsid w:val="00472C66"/>
    <w:rsid w:val="00472E81"/>
    <w:rsid w:val="004735C4"/>
    <w:rsid w:val="0047429A"/>
    <w:rsid w:val="00474D50"/>
    <w:rsid w:val="00474DD7"/>
    <w:rsid w:val="00475868"/>
    <w:rsid w:val="004759B5"/>
    <w:rsid w:val="00475C61"/>
    <w:rsid w:val="00475C92"/>
    <w:rsid w:val="004761B6"/>
    <w:rsid w:val="0047634A"/>
    <w:rsid w:val="00476AB3"/>
    <w:rsid w:val="00477C41"/>
    <w:rsid w:val="00477D61"/>
    <w:rsid w:val="00477D67"/>
    <w:rsid w:val="00477DF0"/>
    <w:rsid w:val="00480568"/>
    <w:rsid w:val="00480B50"/>
    <w:rsid w:val="00481370"/>
    <w:rsid w:val="00482834"/>
    <w:rsid w:val="004834FA"/>
    <w:rsid w:val="0048353D"/>
    <w:rsid w:val="00483B90"/>
    <w:rsid w:val="0048459B"/>
    <w:rsid w:val="004846EF"/>
    <w:rsid w:val="00484D39"/>
    <w:rsid w:val="00485082"/>
    <w:rsid w:val="0048580E"/>
    <w:rsid w:val="004860D5"/>
    <w:rsid w:val="004866D8"/>
    <w:rsid w:val="00486C3F"/>
    <w:rsid w:val="0048762F"/>
    <w:rsid w:val="00487B78"/>
    <w:rsid w:val="00487F91"/>
    <w:rsid w:val="0049010F"/>
    <w:rsid w:val="004909B1"/>
    <w:rsid w:val="004909D1"/>
    <w:rsid w:val="00491B3F"/>
    <w:rsid w:val="00491F25"/>
    <w:rsid w:val="00492002"/>
    <w:rsid w:val="0049268E"/>
    <w:rsid w:val="00493882"/>
    <w:rsid w:val="00495359"/>
    <w:rsid w:val="004961A2"/>
    <w:rsid w:val="0049629A"/>
    <w:rsid w:val="00496759"/>
    <w:rsid w:val="0049677D"/>
    <w:rsid w:val="00496D28"/>
    <w:rsid w:val="004A00E8"/>
    <w:rsid w:val="004A04A0"/>
    <w:rsid w:val="004A1D10"/>
    <w:rsid w:val="004A2014"/>
    <w:rsid w:val="004A27C1"/>
    <w:rsid w:val="004A351D"/>
    <w:rsid w:val="004A3753"/>
    <w:rsid w:val="004A3B86"/>
    <w:rsid w:val="004A41F2"/>
    <w:rsid w:val="004A4775"/>
    <w:rsid w:val="004A481C"/>
    <w:rsid w:val="004A48AC"/>
    <w:rsid w:val="004A5182"/>
    <w:rsid w:val="004A533B"/>
    <w:rsid w:val="004A54AA"/>
    <w:rsid w:val="004A63E6"/>
    <w:rsid w:val="004A6DA2"/>
    <w:rsid w:val="004B01F6"/>
    <w:rsid w:val="004B0654"/>
    <w:rsid w:val="004B0897"/>
    <w:rsid w:val="004B11FB"/>
    <w:rsid w:val="004B1A7B"/>
    <w:rsid w:val="004B1E81"/>
    <w:rsid w:val="004B201E"/>
    <w:rsid w:val="004B2096"/>
    <w:rsid w:val="004B3148"/>
    <w:rsid w:val="004B35E9"/>
    <w:rsid w:val="004B46FD"/>
    <w:rsid w:val="004B48F2"/>
    <w:rsid w:val="004B4BBA"/>
    <w:rsid w:val="004B4E80"/>
    <w:rsid w:val="004B5B02"/>
    <w:rsid w:val="004B6710"/>
    <w:rsid w:val="004B7A43"/>
    <w:rsid w:val="004C0A34"/>
    <w:rsid w:val="004C1749"/>
    <w:rsid w:val="004C1933"/>
    <w:rsid w:val="004C1DE5"/>
    <w:rsid w:val="004C248A"/>
    <w:rsid w:val="004C3156"/>
    <w:rsid w:val="004C3977"/>
    <w:rsid w:val="004C3AFA"/>
    <w:rsid w:val="004C3F91"/>
    <w:rsid w:val="004C4397"/>
    <w:rsid w:val="004C4985"/>
    <w:rsid w:val="004C498D"/>
    <w:rsid w:val="004C658D"/>
    <w:rsid w:val="004C6A72"/>
    <w:rsid w:val="004C6ED7"/>
    <w:rsid w:val="004C6F7F"/>
    <w:rsid w:val="004C7327"/>
    <w:rsid w:val="004C752B"/>
    <w:rsid w:val="004C78F5"/>
    <w:rsid w:val="004C7F63"/>
    <w:rsid w:val="004D0044"/>
    <w:rsid w:val="004D0C9A"/>
    <w:rsid w:val="004D13D7"/>
    <w:rsid w:val="004D1D06"/>
    <w:rsid w:val="004D1D45"/>
    <w:rsid w:val="004D20AC"/>
    <w:rsid w:val="004D213A"/>
    <w:rsid w:val="004D21C1"/>
    <w:rsid w:val="004D2B37"/>
    <w:rsid w:val="004D2CF5"/>
    <w:rsid w:val="004D3A05"/>
    <w:rsid w:val="004D3B22"/>
    <w:rsid w:val="004D3B48"/>
    <w:rsid w:val="004D4B04"/>
    <w:rsid w:val="004D5108"/>
    <w:rsid w:val="004D5AF7"/>
    <w:rsid w:val="004D61C3"/>
    <w:rsid w:val="004D6A3F"/>
    <w:rsid w:val="004D6F13"/>
    <w:rsid w:val="004E03F0"/>
    <w:rsid w:val="004E08A2"/>
    <w:rsid w:val="004E18EE"/>
    <w:rsid w:val="004E191E"/>
    <w:rsid w:val="004E22A5"/>
    <w:rsid w:val="004E2412"/>
    <w:rsid w:val="004E2FCD"/>
    <w:rsid w:val="004E35A5"/>
    <w:rsid w:val="004E3C40"/>
    <w:rsid w:val="004E404F"/>
    <w:rsid w:val="004E4D7B"/>
    <w:rsid w:val="004E5539"/>
    <w:rsid w:val="004E5AF7"/>
    <w:rsid w:val="004E5F74"/>
    <w:rsid w:val="004E6EAD"/>
    <w:rsid w:val="004E79B6"/>
    <w:rsid w:val="004E7AD6"/>
    <w:rsid w:val="004E7C60"/>
    <w:rsid w:val="004E7D2C"/>
    <w:rsid w:val="004F063D"/>
    <w:rsid w:val="004F0B6E"/>
    <w:rsid w:val="004F0BE6"/>
    <w:rsid w:val="004F0C86"/>
    <w:rsid w:val="004F122E"/>
    <w:rsid w:val="004F172C"/>
    <w:rsid w:val="004F248C"/>
    <w:rsid w:val="004F3E0D"/>
    <w:rsid w:val="004F3FF7"/>
    <w:rsid w:val="004F5048"/>
    <w:rsid w:val="004F59B5"/>
    <w:rsid w:val="004F6BDB"/>
    <w:rsid w:val="004F718A"/>
    <w:rsid w:val="004F7342"/>
    <w:rsid w:val="004F7BD4"/>
    <w:rsid w:val="004F7BF8"/>
    <w:rsid w:val="005008E5"/>
    <w:rsid w:val="00500CC3"/>
    <w:rsid w:val="00501347"/>
    <w:rsid w:val="005013A3"/>
    <w:rsid w:val="00501B3B"/>
    <w:rsid w:val="00501ECF"/>
    <w:rsid w:val="00501F2F"/>
    <w:rsid w:val="00501FD8"/>
    <w:rsid w:val="00502078"/>
    <w:rsid w:val="005020EC"/>
    <w:rsid w:val="00503DBE"/>
    <w:rsid w:val="005046D9"/>
    <w:rsid w:val="00504F0B"/>
    <w:rsid w:val="005058E1"/>
    <w:rsid w:val="00505C2C"/>
    <w:rsid w:val="00506614"/>
    <w:rsid w:val="005068C8"/>
    <w:rsid w:val="005068FE"/>
    <w:rsid w:val="00506B01"/>
    <w:rsid w:val="005075D0"/>
    <w:rsid w:val="005077DF"/>
    <w:rsid w:val="00507BFE"/>
    <w:rsid w:val="00510634"/>
    <w:rsid w:val="00511845"/>
    <w:rsid w:val="005121CD"/>
    <w:rsid w:val="005126BD"/>
    <w:rsid w:val="00512C53"/>
    <w:rsid w:val="00512CB3"/>
    <w:rsid w:val="0051380B"/>
    <w:rsid w:val="00513A9C"/>
    <w:rsid w:val="005148B0"/>
    <w:rsid w:val="00514CB8"/>
    <w:rsid w:val="00515EF8"/>
    <w:rsid w:val="00516B64"/>
    <w:rsid w:val="00516D24"/>
    <w:rsid w:val="00516D47"/>
    <w:rsid w:val="00517002"/>
    <w:rsid w:val="00517508"/>
    <w:rsid w:val="0051756A"/>
    <w:rsid w:val="00517AA1"/>
    <w:rsid w:val="00517ECE"/>
    <w:rsid w:val="005209E7"/>
    <w:rsid w:val="00520BB4"/>
    <w:rsid w:val="00520D41"/>
    <w:rsid w:val="00520DA1"/>
    <w:rsid w:val="00520EDB"/>
    <w:rsid w:val="00521B68"/>
    <w:rsid w:val="00522028"/>
    <w:rsid w:val="00522609"/>
    <w:rsid w:val="00522C4C"/>
    <w:rsid w:val="005233FE"/>
    <w:rsid w:val="0052370D"/>
    <w:rsid w:val="00523AE2"/>
    <w:rsid w:val="00523C43"/>
    <w:rsid w:val="00523F37"/>
    <w:rsid w:val="005248E0"/>
    <w:rsid w:val="00524B05"/>
    <w:rsid w:val="0052508B"/>
    <w:rsid w:val="005251FC"/>
    <w:rsid w:val="00525271"/>
    <w:rsid w:val="00525419"/>
    <w:rsid w:val="00525E04"/>
    <w:rsid w:val="00525EC7"/>
    <w:rsid w:val="00526E3A"/>
    <w:rsid w:val="00527C5E"/>
    <w:rsid w:val="00530862"/>
    <w:rsid w:val="005323C7"/>
    <w:rsid w:val="005323CE"/>
    <w:rsid w:val="005326DA"/>
    <w:rsid w:val="00532BA4"/>
    <w:rsid w:val="00532F96"/>
    <w:rsid w:val="00533F17"/>
    <w:rsid w:val="00534291"/>
    <w:rsid w:val="005347CD"/>
    <w:rsid w:val="00534837"/>
    <w:rsid w:val="00534A54"/>
    <w:rsid w:val="005357F0"/>
    <w:rsid w:val="00535F61"/>
    <w:rsid w:val="00536526"/>
    <w:rsid w:val="0053671C"/>
    <w:rsid w:val="00536D53"/>
    <w:rsid w:val="005372FA"/>
    <w:rsid w:val="00537313"/>
    <w:rsid w:val="00541129"/>
    <w:rsid w:val="005414A0"/>
    <w:rsid w:val="00541CC4"/>
    <w:rsid w:val="0054208B"/>
    <w:rsid w:val="0054250C"/>
    <w:rsid w:val="00542BFB"/>
    <w:rsid w:val="00542E68"/>
    <w:rsid w:val="00543C46"/>
    <w:rsid w:val="00543C57"/>
    <w:rsid w:val="00543FB6"/>
    <w:rsid w:val="00545256"/>
    <w:rsid w:val="005453E1"/>
    <w:rsid w:val="005458DC"/>
    <w:rsid w:val="00545F8D"/>
    <w:rsid w:val="005464E5"/>
    <w:rsid w:val="005472F4"/>
    <w:rsid w:val="00547ACB"/>
    <w:rsid w:val="00547B54"/>
    <w:rsid w:val="0055008B"/>
    <w:rsid w:val="00550261"/>
    <w:rsid w:val="005505FA"/>
    <w:rsid w:val="00551038"/>
    <w:rsid w:val="00551815"/>
    <w:rsid w:val="00551838"/>
    <w:rsid w:val="0055190B"/>
    <w:rsid w:val="00552549"/>
    <w:rsid w:val="00552FD5"/>
    <w:rsid w:val="00554110"/>
    <w:rsid w:val="0055421B"/>
    <w:rsid w:val="00554B71"/>
    <w:rsid w:val="00554C7D"/>
    <w:rsid w:val="00554E4A"/>
    <w:rsid w:val="0055535D"/>
    <w:rsid w:val="0055565B"/>
    <w:rsid w:val="00555A10"/>
    <w:rsid w:val="00555BF0"/>
    <w:rsid w:val="00555D1A"/>
    <w:rsid w:val="00556318"/>
    <w:rsid w:val="005564A1"/>
    <w:rsid w:val="00556A62"/>
    <w:rsid w:val="00556B9D"/>
    <w:rsid w:val="00557AF1"/>
    <w:rsid w:val="00557D4F"/>
    <w:rsid w:val="00557E80"/>
    <w:rsid w:val="00557F37"/>
    <w:rsid w:val="00560A32"/>
    <w:rsid w:val="00560F02"/>
    <w:rsid w:val="005615E6"/>
    <w:rsid w:val="0056180F"/>
    <w:rsid w:val="00563176"/>
    <w:rsid w:val="005639C4"/>
    <w:rsid w:val="0056560E"/>
    <w:rsid w:val="00565BCF"/>
    <w:rsid w:val="005660F9"/>
    <w:rsid w:val="00566207"/>
    <w:rsid w:val="00566449"/>
    <w:rsid w:val="005667FA"/>
    <w:rsid w:val="0056689C"/>
    <w:rsid w:val="00566A24"/>
    <w:rsid w:val="00566F1C"/>
    <w:rsid w:val="00566F51"/>
    <w:rsid w:val="00567B33"/>
    <w:rsid w:val="00567D9E"/>
    <w:rsid w:val="0057004A"/>
    <w:rsid w:val="00570D4D"/>
    <w:rsid w:val="0057113E"/>
    <w:rsid w:val="00571F5C"/>
    <w:rsid w:val="00572F8C"/>
    <w:rsid w:val="00573A70"/>
    <w:rsid w:val="00573BAA"/>
    <w:rsid w:val="00573FD1"/>
    <w:rsid w:val="00574323"/>
    <w:rsid w:val="00574380"/>
    <w:rsid w:val="00574422"/>
    <w:rsid w:val="00574E84"/>
    <w:rsid w:val="00575197"/>
    <w:rsid w:val="00575431"/>
    <w:rsid w:val="00575C53"/>
    <w:rsid w:val="0057675C"/>
    <w:rsid w:val="005768B1"/>
    <w:rsid w:val="00576AF8"/>
    <w:rsid w:val="005776FB"/>
    <w:rsid w:val="00577803"/>
    <w:rsid w:val="00580856"/>
    <w:rsid w:val="00580FB2"/>
    <w:rsid w:val="0058133D"/>
    <w:rsid w:val="0058145A"/>
    <w:rsid w:val="00581591"/>
    <w:rsid w:val="0058166C"/>
    <w:rsid w:val="005818BC"/>
    <w:rsid w:val="005821F3"/>
    <w:rsid w:val="0058303C"/>
    <w:rsid w:val="005831D2"/>
    <w:rsid w:val="00583330"/>
    <w:rsid w:val="005836F1"/>
    <w:rsid w:val="00583DB1"/>
    <w:rsid w:val="00584215"/>
    <w:rsid w:val="005843CD"/>
    <w:rsid w:val="00584562"/>
    <w:rsid w:val="005845E5"/>
    <w:rsid w:val="00584854"/>
    <w:rsid w:val="00586EA1"/>
    <w:rsid w:val="00587C2B"/>
    <w:rsid w:val="00587CB6"/>
    <w:rsid w:val="005908E5"/>
    <w:rsid w:val="005917E3"/>
    <w:rsid w:val="00591EC9"/>
    <w:rsid w:val="0059248F"/>
    <w:rsid w:val="00592954"/>
    <w:rsid w:val="00592CB4"/>
    <w:rsid w:val="0059313C"/>
    <w:rsid w:val="0059344D"/>
    <w:rsid w:val="00594721"/>
    <w:rsid w:val="005948F0"/>
    <w:rsid w:val="00594FAA"/>
    <w:rsid w:val="0059510A"/>
    <w:rsid w:val="00595A50"/>
    <w:rsid w:val="00596181"/>
    <w:rsid w:val="0059738F"/>
    <w:rsid w:val="005977C7"/>
    <w:rsid w:val="00597B37"/>
    <w:rsid w:val="005A02E2"/>
    <w:rsid w:val="005A02E8"/>
    <w:rsid w:val="005A04CC"/>
    <w:rsid w:val="005A0744"/>
    <w:rsid w:val="005A1554"/>
    <w:rsid w:val="005A1713"/>
    <w:rsid w:val="005A1ACB"/>
    <w:rsid w:val="005A1B59"/>
    <w:rsid w:val="005A2A47"/>
    <w:rsid w:val="005A34CC"/>
    <w:rsid w:val="005A3515"/>
    <w:rsid w:val="005A39F0"/>
    <w:rsid w:val="005A3A16"/>
    <w:rsid w:val="005A400B"/>
    <w:rsid w:val="005A4A4D"/>
    <w:rsid w:val="005A53C4"/>
    <w:rsid w:val="005A575B"/>
    <w:rsid w:val="005A5CFE"/>
    <w:rsid w:val="005A61AD"/>
    <w:rsid w:val="005A658E"/>
    <w:rsid w:val="005A682F"/>
    <w:rsid w:val="005A6EE2"/>
    <w:rsid w:val="005A6FF4"/>
    <w:rsid w:val="005A7A52"/>
    <w:rsid w:val="005B00D8"/>
    <w:rsid w:val="005B12CC"/>
    <w:rsid w:val="005B17B5"/>
    <w:rsid w:val="005B1905"/>
    <w:rsid w:val="005B1E4A"/>
    <w:rsid w:val="005B1F0D"/>
    <w:rsid w:val="005B20C4"/>
    <w:rsid w:val="005B2CD2"/>
    <w:rsid w:val="005B32A2"/>
    <w:rsid w:val="005B35C2"/>
    <w:rsid w:val="005B3A2C"/>
    <w:rsid w:val="005B4B88"/>
    <w:rsid w:val="005B572C"/>
    <w:rsid w:val="005B5897"/>
    <w:rsid w:val="005B606D"/>
    <w:rsid w:val="005B6155"/>
    <w:rsid w:val="005B6231"/>
    <w:rsid w:val="005B731D"/>
    <w:rsid w:val="005B7CAB"/>
    <w:rsid w:val="005C0D5E"/>
    <w:rsid w:val="005C0EA7"/>
    <w:rsid w:val="005C16B6"/>
    <w:rsid w:val="005C1A8F"/>
    <w:rsid w:val="005C1FC3"/>
    <w:rsid w:val="005C2612"/>
    <w:rsid w:val="005C2CF4"/>
    <w:rsid w:val="005C3129"/>
    <w:rsid w:val="005C3327"/>
    <w:rsid w:val="005C361A"/>
    <w:rsid w:val="005C39BD"/>
    <w:rsid w:val="005C3D42"/>
    <w:rsid w:val="005C4577"/>
    <w:rsid w:val="005C45AC"/>
    <w:rsid w:val="005C4807"/>
    <w:rsid w:val="005C5FC4"/>
    <w:rsid w:val="005C6457"/>
    <w:rsid w:val="005C654D"/>
    <w:rsid w:val="005C6781"/>
    <w:rsid w:val="005C68D9"/>
    <w:rsid w:val="005C6BA0"/>
    <w:rsid w:val="005D05BC"/>
    <w:rsid w:val="005D0C0E"/>
    <w:rsid w:val="005D0CF7"/>
    <w:rsid w:val="005D0F52"/>
    <w:rsid w:val="005D140B"/>
    <w:rsid w:val="005D1A15"/>
    <w:rsid w:val="005D2359"/>
    <w:rsid w:val="005D2394"/>
    <w:rsid w:val="005D2973"/>
    <w:rsid w:val="005D2D8A"/>
    <w:rsid w:val="005D2EB4"/>
    <w:rsid w:val="005D35C0"/>
    <w:rsid w:val="005D36C7"/>
    <w:rsid w:val="005D43CE"/>
    <w:rsid w:val="005D4711"/>
    <w:rsid w:val="005D477B"/>
    <w:rsid w:val="005D4B42"/>
    <w:rsid w:val="005D5BBF"/>
    <w:rsid w:val="005D6115"/>
    <w:rsid w:val="005D6A83"/>
    <w:rsid w:val="005D7875"/>
    <w:rsid w:val="005D7A15"/>
    <w:rsid w:val="005E0028"/>
    <w:rsid w:val="005E013B"/>
    <w:rsid w:val="005E07B4"/>
    <w:rsid w:val="005E0B25"/>
    <w:rsid w:val="005E0CEE"/>
    <w:rsid w:val="005E16DC"/>
    <w:rsid w:val="005E17B9"/>
    <w:rsid w:val="005E2A08"/>
    <w:rsid w:val="005E2CD7"/>
    <w:rsid w:val="005E40C5"/>
    <w:rsid w:val="005E4714"/>
    <w:rsid w:val="005E4AFC"/>
    <w:rsid w:val="005E5020"/>
    <w:rsid w:val="005E64E2"/>
    <w:rsid w:val="005E6D5C"/>
    <w:rsid w:val="005E724C"/>
    <w:rsid w:val="005E7477"/>
    <w:rsid w:val="005E747D"/>
    <w:rsid w:val="005E7A28"/>
    <w:rsid w:val="005F04C7"/>
    <w:rsid w:val="005F109E"/>
    <w:rsid w:val="005F1183"/>
    <w:rsid w:val="005F1A1A"/>
    <w:rsid w:val="005F200E"/>
    <w:rsid w:val="005F2407"/>
    <w:rsid w:val="005F28EA"/>
    <w:rsid w:val="005F296C"/>
    <w:rsid w:val="005F29E6"/>
    <w:rsid w:val="005F2A90"/>
    <w:rsid w:val="005F2C00"/>
    <w:rsid w:val="005F3279"/>
    <w:rsid w:val="005F328E"/>
    <w:rsid w:val="005F3863"/>
    <w:rsid w:val="005F390E"/>
    <w:rsid w:val="005F426C"/>
    <w:rsid w:val="005F586E"/>
    <w:rsid w:val="005F5A8C"/>
    <w:rsid w:val="005F5AA2"/>
    <w:rsid w:val="005F5F52"/>
    <w:rsid w:val="005F6234"/>
    <w:rsid w:val="005F628F"/>
    <w:rsid w:val="005F6D52"/>
    <w:rsid w:val="005F6D86"/>
    <w:rsid w:val="005F7CAB"/>
    <w:rsid w:val="00600C85"/>
    <w:rsid w:val="00600F38"/>
    <w:rsid w:val="00601683"/>
    <w:rsid w:val="006017C0"/>
    <w:rsid w:val="00601BA0"/>
    <w:rsid w:val="00601D9B"/>
    <w:rsid w:val="00601FE0"/>
    <w:rsid w:val="00602209"/>
    <w:rsid w:val="00602214"/>
    <w:rsid w:val="006029D7"/>
    <w:rsid w:val="00602F37"/>
    <w:rsid w:val="00603626"/>
    <w:rsid w:val="00603B2F"/>
    <w:rsid w:val="00603F62"/>
    <w:rsid w:val="00604A86"/>
    <w:rsid w:val="00605070"/>
    <w:rsid w:val="00605430"/>
    <w:rsid w:val="00605486"/>
    <w:rsid w:val="0060584F"/>
    <w:rsid w:val="00606499"/>
    <w:rsid w:val="006069F5"/>
    <w:rsid w:val="006074EA"/>
    <w:rsid w:val="00607C42"/>
    <w:rsid w:val="00607DD0"/>
    <w:rsid w:val="00607DDB"/>
    <w:rsid w:val="00610DA2"/>
    <w:rsid w:val="00611F64"/>
    <w:rsid w:val="0061206C"/>
    <w:rsid w:val="0061273F"/>
    <w:rsid w:val="006137AD"/>
    <w:rsid w:val="006138E7"/>
    <w:rsid w:val="00615FB5"/>
    <w:rsid w:val="00616BDB"/>
    <w:rsid w:val="00616FCE"/>
    <w:rsid w:val="006173ED"/>
    <w:rsid w:val="00617BB8"/>
    <w:rsid w:val="00620A71"/>
    <w:rsid w:val="00620C66"/>
    <w:rsid w:val="00621084"/>
    <w:rsid w:val="00623039"/>
    <w:rsid w:val="00623043"/>
    <w:rsid w:val="0062327C"/>
    <w:rsid w:val="0062356A"/>
    <w:rsid w:val="00624B16"/>
    <w:rsid w:val="00624D69"/>
    <w:rsid w:val="006255FB"/>
    <w:rsid w:val="00625899"/>
    <w:rsid w:val="00625A07"/>
    <w:rsid w:val="00625A63"/>
    <w:rsid w:val="00626052"/>
    <w:rsid w:val="00627259"/>
    <w:rsid w:val="0062737B"/>
    <w:rsid w:val="00627FAB"/>
    <w:rsid w:val="006305DB"/>
    <w:rsid w:val="0063060F"/>
    <w:rsid w:val="00630AF5"/>
    <w:rsid w:val="00630B12"/>
    <w:rsid w:val="00630D86"/>
    <w:rsid w:val="006311E6"/>
    <w:rsid w:val="00631603"/>
    <w:rsid w:val="00631864"/>
    <w:rsid w:val="00631A8A"/>
    <w:rsid w:val="00632184"/>
    <w:rsid w:val="00632278"/>
    <w:rsid w:val="00632633"/>
    <w:rsid w:val="00632870"/>
    <w:rsid w:val="00633E3E"/>
    <w:rsid w:val="00633E9A"/>
    <w:rsid w:val="00634786"/>
    <w:rsid w:val="00634C4E"/>
    <w:rsid w:val="006367CB"/>
    <w:rsid w:val="006367E9"/>
    <w:rsid w:val="00636951"/>
    <w:rsid w:val="00636983"/>
    <w:rsid w:val="00636C91"/>
    <w:rsid w:val="00637023"/>
    <w:rsid w:val="006370A2"/>
    <w:rsid w:val="006371E4"/>
    <w:rsid w:val="006374CE"/>
    <w:rsid w:val="00637DB2"/>
    <w:rsid w:val="00640204"/>
    <w:rsid w:val="006405C9"/>
    <w:rsid w:val="00641960"/>
    <w:rsid w:val="00642297"/>
    <w:rsid w:val="00642B9D"/>
    <w:rsid w:val="00643195"/>
    <w:rsid w:val="0064339B"/>
    <w:rsid w:val="0064354A"/>
    <w:rsid w:val="00643756"/>
    <w:rsid w:val="00645125"/>
    <w:rsid w:val="00645845"/>
    <w:rsid w:val="006459ED"/>
    <w:rsid w:val="00645F15"/>
    <w:rsid w:val="006465BB"/>
    <w:rsid w:val="00647000"/>
    <w:rsid w:val="00647B55"/>
    <w:rsid w:val="00650180"/>
    <w:rsid w:val="006502EC"/>
    <w:rsid w:val="006509A7"/>
    <w:rsid w:val="0065239A"/>
    <w:rsid w:val="00652719"/>
    <w:rsid w:val="00652817"/>
    <w:rsid w:val="00652DA3"/>
    <w:rsid w:val="00652EBD"/>
    <w:rsid w:val="0065308F"/>
    <w:rsid w:val="006530C6"/>
    <w:rsid w:val="006532D0"/>
    <w:rsid w:val="00653A3C"/>
    <w:rsid w:val="00653A5A"/>
    <w:rsid w:val="00653B7D"/>
    <w:rsid w:val="00653DB6"/>
    <w:rsid w:val="006545C0"/>
    <w:rsid w:val="00654998"/>
    <w:rsid w:val="00654C7A"/>
    <w:rsid w:val="00654E25"/>
    <w:rsid w:val="00655B97"/>
    <w:rsid w:val="00655BF6"/>
    <w:rsid w:val="006560C3"/>
    <w:rsid w:val="00656660"/>
    <w:rsid w:val="00656CA2"/>
    <w:rsid w:val="00656D4B"/>
    <w:rsid w:val="00657001"/>
    <w:rsid w:val="00657350"/>
    <w:rsid w:val="0066018D"/>
    <w:rsid w:val="00660C5C"/>
    <w:rsid w:val="00660E8A"/>
    <w:rsid w:val="00661B0C"/>
    <w:rsid w:val="0066276F"/>
    <w:rsid w:val="0066366D"/>
    <w:rsid w:val="00663774"/>
    <w:rsid w:val="006639F4"/>
    <w:rsid w:val="00663FCF"/>
    <w:rsid w:val="0066420A"/>
    <w:rsid w:val="00664867"/>
    <w:rsid w:val="006664E2"/>
    <w:rsid w:val="00666647"/>
    <w:rsid w:val="00666773"/>
    <w:rsid w:val="00666F1E"/>
    <w:rsid w:val="006671E1"/>
    <w:rsid w:val="00667455"/>
    <w:rsid w:val="00667726"/>
    <w:rsid w:val="0066789E"/>
    <w:rsid w:val="00667CDD"/>
    <w:rsid w:val="00670C95"/>
    <w:rsid w:val="006712BC"/>
    <w:rsid w:val="0067151A"/>
    <w:rsid w:val="0067155C"/>
    <w:rsid w:val="0067159A"/>
    <w:rsid w:val="006722ED"/>
    <w:rsid w:val="00673E43"/>
    <w:rsid w:val="006754A3"/>
    <w:rsid w:val="00676442"/>
    <w:rsid w:val="006764D6"/>
    <w:rsid w:val="00680D3B"/>
    <w:rsid w:val="00681334"/>
    <w:rsid w:val="00681C4B"/>
    <w:rsid w:val="00682032"/>
    <w:rsid w:val="00682EFA"/>
    <w:rsid w:val="00683546"/>
    <w:rsid w:val="00683917"/>
    <w:rsid w:val="00683FFD"/>
    <w:rsid w:val="006846CC"/>
    <w:rsid w:val="00684D7E"/>
    <w:rsid w:val="00684E3D"/>
    <w:rsid w:val="00684F94"/>
    <w:rsid w:val="006852EE"/>
    <w:rsid w:val="00685E86"/>
    <w:rsid w:val="00685EAD"/>
    <w:rsid w:val="0068672A"/>
    <w:rsid w:val="00686AC0"/>
    <w:rsid w:val="00686D16"/>
    <w:rsid w:val="00686DF4"/>
    <w:rsid w:val="00687958"/>
    <w:rsid w:val="0069005D"/>
    <w:rsid w:val="006902E1"/>
    <w:rsid w:val="0069075E"/>
    <w:rsid w:val="00691318"/>
    <w:rsid w:val="006928E5"/>
    <w:rsid w:val="00692DB8"/>
    <w:rsid w:val="00693693"/>
    <w:rsid w:val="00694562"/>
    <w:rsid w:val="00694D9C"/>
    <w:rsid w:val="0069508D"/>
    <w:rsid w:val="0069528A"/>
    <w:rsid w:val="00695702"/>
    <w:rsid w:val="00695905"/>
    <w:rsid w:val="00695B98"/>
    <w:rsid w:val="00695D37"/>
    <w:rsid w:val="00696035"/>
    <w:rsid w:val="006960E7"/>
    <w:rsid w:val="006961BC"/>
    <w:rsid w:val="00696537"/>
    <w:rsid w:val="00696C2F"/>
    <w:rsid w:val="00696E47"/>
    <w:rsid w:val="00697C17"/>
    <w:rsid w:val="006A04EA"/>
    <w:rsid w:val="006A05B8"/>
    <w:rsid w:val="006A081A"/>
    <w:rsid w:val="006A0C0D"/>
    <w:rsid w:val="006A18E3"/>
    <w:rsid w:val="006A1F00"/>
    <w:rsid w:val="006A2153"/>
    <w:rsid w:val="006A21DB"/>
    <w:rsid w:val="006A21F7"/>
    <w:rsid w:val="006A2225"/>
    <w:rsid w:val="006A2A60"/>
    <w:rsid w:val="006A342F"/>
    <w:rsid w:val="006A3B54"/>
    <w:rsid w:val="006A3CAA"/>
    <w:rsid w:val="006A3F85"/>
    <w:rsid w:val="006A41FC"/>
    <w:rsid w:val="006A45BC"/>
    <w:rsid w:val="006A4FD1"/>
    <w:rsid w:val="006A508B"/>
    <w:rsid w:val="006A5980"/>
    <w:rsid w:val="006A60A7"/>
    <w:rsid w:val="006A6E2C"/>
    <w:rsid w:val="006A6E49"/>
    <w:rsid w:val="006A6EE3"/>
    <w:rsid w:val="006A6FBB"/>
    <w:rsid w:val="006A723F"/>
    <w:rsid w:val="006A73F3"/>
    <w:rsid w:val="006A7765"/>
    <w:rsid w:val="006A7AFD"/>
    <w:rsid w:val="006A7BCD"/>
    <w:rsid w:val="006A7D36"/>
    <w:rsid w:val="006A7FAE"/>
    <w:rsid w:val="006B0100"/>
    <w:rsid w:val="006B0784"/>
    <w:rsid w:val="006B0A76"/>
    <w:rsid w:val="006B105D"/>
    <w:rsid w:val="006B14BB"/>
    <w:rsid w:val="006B163B"/>
    <w:rsid w:val="006B1C28"/>
    <w:rsid w:val="006B1C4A"/>
    <w:rsid w:val="006B202E"/>
    <w:rsid w:val="006B238E"/>
    <w:rsid w:val="006B2676"/>
    <w:rsid w:val="006B2795"/>
    <w:rsid w:val="006B2A31"/>
    <w:rsid w:val="006B3A98"/>
    <w:rsid w:val="006B3C32"/>
    <w:rsid w:val="006B40C9"/>
    <w:rsid w:val="006B4BE7"/>
    <w:rsid w:val="006B5F76"/>
    <w:rsid w:val="006B644F"/>
    <w:rsid w:val="006B67EF"/>
    <w:rsid w:val="006B68E1"/>
    <w:rsid w:val="006B6A39"/>
    <w:rsid w:val="006C0304"/>
    <w:rsid w:val="006C1B15"/>
    <w:rsid w:val="006C2029"/>
    <w:rsid w:val="006C2A1E"/>
    <w:rsid w:val="006C2AE9"/>
    <w:rsid w:val="006C2E56"/>
    <w:rsid w:val="006C37D8"/>
    <w:rsid w:val="006C3B79"/>
    <w:rsid w:val="006C3CE4"/>
    <w:rsid w:val="006C4CCC"/>
    <w:rsid w:val="006C4D08"/>
    <w:rsid w:val="006C4E33"/>
    <w:rsid w:val="006C597F"/>
    <w:rsid w:val="006C6E9A"/>
    <w:rsid w:val="006C75BB"/>
    <w:rsid w:val="006C7D9D"/>
    <w:rsid w:val="006D035A"/>
    <w:rsid w:val="006D0AE8"/>
    <w:rsid w:val="006D0E15"/>
    <w:rsid w:val="006D0E68"/>
    <w:rsid w:val="006D14FD"/>
    <w:rsid w:val="006D27C7"/>
    <w:rsid w:val="006D3C29"/>
    <w:rsid w:val="006D4488"/>
    <w:rsid w:val="006D4DF1"/>
    <w:rsid w:val="006D5154"/>
    <w:rsid w:val="006D5953"/>
    <w:rsid w:val="006D6213"/>
    <w:rsid w:val="006D67EF"/>
    <w:rsid w:val="006D6834"/>
    <w:rsid w:val="006D68C3"/>
    <w:rsid w:val="006D7B23"/>
    <w:rsid w:val="006E036E"/>
    <w:rsid w:val="006E0692"/>
    <w:rsid w:val="006E096D"/>
    <w:rsid w:val="006E0FFF"/>
    <w:rsid w:val="006E10E4"/>
    <w:rsid w:val="006E13CD"/>
    <w:rsid w:val="006E14BE"/>
    <w:rsid w:val="006E1605"/>
    <w:rsid w:val="006E17C6"/>
    <w:rsid w:val="006E2276"/>
    <w:rsid w:val="006E2873"/>
    <w:rsid w:val="006E28F6"/>
    <w:rsid w:val="006E2EB4"/>
    <w:rsid w:val="006E31C0"/>
    <w:rsid w:val="006E41B1"/>
    <w:rsid w:val="006E4799"/>
    <w:rsid w:val="006E480F"/>
    <w:rsid w:val="006E5723"/>
    <w:rsid w:val="006E57C1"/>
    <w:rsid w:val="006E5971"/>
    <w:rsid w:val="006E67A8"/>
    <w:rsid w:val="006E7043"/>
    <w:rsid w:val="006E7DB1"/>
    <w:rsid w:val="006F07D8"/>
    <w:rsid w:val="006F09A1"/>
    <w:rsid w:val="006F0EFC"/>
    <w:rsid w:val="006F1535"/>
    <w:rsid w:val="006F17A3"/>
    <w:rsid w:val="006F19A4"/>
    <w:rsid w:val="006F208D"/>
    <w:rsid w:val="006F2621"/>
    <w:rsid w:val="006F2D42"/>
    <w:rsid w:val="006F2D4F"/>
    <w:rsid w:val="006F3383"/>
    <w:rsid w:val="006F33E7"/>
    <w:rsid w:val="006F34E9"/>
    <w:rsid w:val="006F35FB"/>
    <w:rsid w:val="006F3DCC"/>
    <w:rsid w:val="006F3F0A"/>
    <w:rsid w:val="006F4AE2"/>
    <w:rsid w:val="006F5C3E"/>
    <w:rsid w:val="006F5DF9"/>
    <w:rsid w:val="006F6676"/>
    <w:rsid w:val="006F6B14"/>
    <w:rsid w:val="006F7095"/>
    <w:rsid w:val="006F7138"/>
    <w:rsid w:val="006F75AE"/>
    <w:rsid w:val="006F79EC"/>
    <w:rsid w:val="0070012D"/>
    <w:rsid w:val="007005BC"/>
    <w:rsid w:val="00700639"/>
    <w:rsid w:val="00700788"/>
    <w:rsid w:val="00700FA1"/>
    <w:rsid w:val="00701D57"/>
    <w:rsid w:val="00701E45"/>
    <w:rsid w:val="00701E5A"/>
    <w:rsid w:val="00702551"/>
    <w:rsid w:val="00702715"/>
    <w:rsid w:val="007031EE"/>
    <w:rsid w:val="00703D3F"/>
    <w:rsid w:val="0070445D"/>
    <w:rsid w:val="00704473"/>
    <w:rsid w:val="0070475B"/>
    <w:rsid w:val="007047B4"/>
    <w:rsid w:val="00704826"/>
    <w:rsid w:val="0070493C"/>
    <w:rsid w:val="00704B9A"/>
    <w:rsid w:val="00704CDC"/>
    <w:rsid w:val="00705C5F"/>
    <w:rsid w:val="00706C3B"/>
    <w:rsid w:val="00706F0F"/>
    <w:rsid w:val="007075B4"/>
    <w:rsid w:val="00711120"/>
    <w:rsid w:val="0071178C"/>
    <w:rsid w:val="007117B4"/>
    <w:rsid w:val="00711ADE"/>
    <w:rsid w:val="0071283F"/>
    <w:rsid w:val="00712AC4"/>
    <w:rsid w:val="00712CDA"/>
    <w:rsid w:val="007131FB"/>
    <w:rsid w:val="0071342A"/>
    <w:rsid w:val="0071464B"/>
    <w:rsid w:val="00715248"/>
    <w:rsid w:val="00716368"/>
    <w:rsid w:val="007164A4"/>
    <w:rsid w:val="00716C99"/>
    <w:rsid w:val="007176D4"/>
    <w:rsid w:val="007177C9"/>
    <w:rsid w:val="00717E10"/>
    <w:rsid w:val="00717E6E"/>
    <w:rsid w:val="00720289"/>
    <w:rsid w:val="00720586"/>
    <w:rsid w:val="007208AE"/>
    <w:rsid w:val="00720B9F"/>
    <w:rsid w:val="007212BA"/>
    <w:rsid w:val="00721406"/>
    <w:rsid w:val="0072171E"/>
    <w:rsid w:val="00721B53"/>
    <w:rsid w:val="007222D9"/>
    <w:rsid w:val="00722389"/>
    <w:rsid w:val="007223BE"/>
    <w:rsid w:val="007224D7"/>
    <w:rsid w:val="0072292C"/>
    <w:rsid w:val="007230A6"/>
    <w:rsid w:val="00723BE1"/>
    <w:rsid w:val="007242F4"/>
    <w:rsid w:val="0072450F"/>
    <w:rsid w:val="00724869"/>
    <w:rsid w:val="007248CD"/>
    <w:rsid w:val="00724E46"/>
    <w:rsid w:val="00725474"/>
    <w:rsid w:val="007254F1"/>
    <w:rsid w:val="007255FE"/>
    <w:rsid w:val="0072612B"/>
    <w:rsid w:val="00726189"/>
    <w:rsid w:val="00726858"/>
    <w:rsid w:val="00727343"/>
    <w:rsid w:val="00727BA9"/>
    <w:rsid w:val="007303BC"/>
    <w:rsid w:val="00730601"/>
    <w:rsid w:val="007312E3"/>
    <w:rsid w:val="0073166D"/>
    <w:rsid w:val="00731C47"/>
    <w:rsid w:val="00731ED6"/>
    <w:rsid w:val="007324BE"/>
    <w:rsid w:val="0073302F"/>
    <w:rsid w:val="007339C1"/>
    <w:rsid w:val="00734781"/>
    <w:rsid w:val="007348B5"/>
    <w:rsid w:val="00734FD6"/>
    <w:rsid w:val="00735744"/>
    <w:rsid w:val="0073590F"/>
    <w:rsid w:val="00735F3B"/>
    <w:rsid w:val="0073703B"/>
    <w:rsid w:val="00737251"/>
    <w:rsid w:val="007378FF"/>
    <w:rsid w:val="007407D4"/>
    <w:rsid w:val="00740ADE"/>
    <w:rsid w:val="00740CAC"/>
    <w:rsid w:val="00741FDF"/>
    <w:rsid w:val="007424F0"/>
    <w:rsid w:val="007424F9"/>
    <w:rsid w:val="00742FDF"/>
    <w:rsid w:val="00743DD6"/>
    <w:rsid w:val="00744536"/>
    <w:rsid w:val="00745009"/>
    <w:rsid w:val="007459F3"/>
    <w:rsid w:val="00745A24"/>
    <w:rsid w:val="00745B4E"/>
    <w:rsid w:val="00745E5D"/>
    <w:rsid w:val="00745F11"/>
    <w:rsid w:val="0074631E"/>
    <w:rsid w:val="00746546"/>
    <w:rsid w:val="00746EBC"/>
    <w:rsid w:val="0074746D"/>
    <w:rsid w:val="0074779C"/>
    <w:rsid w:val="007477B7"/>
    <w:rsid w:val="007477C9"/>
    <w:rsid w:val="00747D20"/>
    <w:rsid w:val="00747F5D"/>
    <w:rsid w:val="00750220"/>
    <w:rsid w:val="00750226"/>
    <w:rsid w:val="00750C7E"/>
    <w:rsid w:val="00750EDF"/>
    <w:rsid w:val="007524E1"/>
    <w:rsid w:val="00753A6C"/>
    <w:rsid w:val="00753B71"/>
    <w:rsid w:val="007545A0"/>
    <w:rsid w:val="0075503E"/>
    <w:rsid w:val="00755051"/>
    <w:rsid w:val="00755459"/>
    <w:rsid w:val="00755B9D"/>
    <w:rsid w:val="00755D9F"/>
    <w:rsid w:val="00755F8C"/>
    <w:rsid w:val="00756209"/>
    <w:rsid w:val="00756228"/>
    <w:rsid w:val="007562EE"/>
    <w:rsid w:val="0075686A"/>
    <w:rsid w:val="0075690E"/>
    <w:rsid w:val="0075700F"/>
    <w:rsid w:val="00757187"/>
    <w:rsid w:val="00757DBF"/>
    <w:rsid w:val="00760430"/>
    <w:rsid w:val="007604DC"/>
    <w:rsid w:val="007606D0"/>
    <w:rsid w:val="0076126E"/>
    <w:rsid w:val="007615F2"/>
    <w:rsid w:val="007629F8"/>
    <w:rsid w:val="00762C9E"/>
    <w:rsid w:val="00762DCA"/>
    <w:rsid w:val="00763A9C"/>
    <w:rsid w:val="0076438E"/>
    <w:rsid w:val="00764394"/>
    <w:rsid w:val="00764A4F"/>
    <w:rsid w:val="00764F0B"/>
    <w:rsid w:val="00765D09"/>
    <w:rsid w:val="00765E7B"/>
    <w:rsid w:val="0076645D"/>
    <w:rsid w:val="00766AEF"/>
    <w:rsid w:val="007675C6"/>
    <w:rsid w:val="007676BB"/>
    <w:rsid w:val="0076779E"/>
    <w:rsid w:val="00767975"/>
    <w:rsid w:val="007701F6"/>
    <w:rsid w:val="007703CB"/>
    <w:rsid w:val="007707B8"/>
    <w:rsid w:val="0077155E"/>
    <w:rsid w:val="00771567"/>
    <w:rsid w:val="00771F97"/>
    <w:rsid w:val="00771FDF"/>
    <w:rsid w:val="00772739"/>
    <w:rsid w:val="007744FA"/>
    <w:rsid w:val="00774A3A"/>
    <w:rsid w:val="00774F14"/>
    <w:rsid w:val="007750BF"/>
    <w:rsid w:val="007751E1"/>
    <w:rsid w:val="0077533A"/>
    <w:rsid w:val="0077545A"/>
    <w:rsid w:val="0077576A"/>
    <w:rsid w:val="00775C3A"/>
    <w:rsid w:val="00776262"/>
    <w:rsid w:val="00776858"/>
    <w:rsid w:val="00776EF8"/>
    <w:rsid w:val="007774F9"/>
    <w:rsid w:val="00777C57"/>
    <w:rsid w:val="00777C74"/>
    <w:rsid w:val="00777F3A"/>
    <w:rsid w:val="007808A5"/>
    <w:rsid w:val="00780AC0"/>
    <w:rsid w:val="00780E6C"/>
    <w:rsid w:val="00781124"/>
    <w:rsid w:val="007818EE"/>
    <w:rsid w:val="00781A76"/>
    <w:rsid w:val="00782508"/>
    <w:rsid w:val="00782F91"/>
    <w:rsid w:val="007835F9"/>
    <w:rsid w:val="00783F2D"/>
    <w:rsid w:val="007840A2"/>
    <w:rsid w:val="00784E4F"/>
    <w:rsid w:val="00785544"/>
    <w:rsid w:val="00785E49"/>
    <w:rsid w:val="00785F77"/>
    <w:rsid w:val="0078619B"/>
    <w:rsid w:val="00786A47"/>
    <w:rsid w:val="00787087"/>
    <w:rsid w:val="00787116"/>
    <w:rsid w:val="007874A6"/>
    <w:rsid w:val="007878F2"/>
    <w:rsid w:val="0079054B"/>
    <w:rsid w:val="007913F5"/>
    <w:rsid w:val="00791C8E"/>
    <w:rsid w:val="00791CF0"/>
    <w:rsid w:val="007920CD"/>
    <w:rsid w:val="00792160"/>
    <w:rsid w:val="007921EC"/>
    <w:rsid w:val="00792BD9"/>
    <w:rsid w:val="00793A3C"/>
    <w:rsid w:val="00794312"/>
    <w:rsid w:val="007943F0"/>
    <w:rsid w:val="00794C98"/>
    <w:rsid w:val="0079588F"/>
    <w:rsid w:val="00795B5B"/>
    <w:rsid w:val="00795DF5"/>
    <w:rsid w:val="0079690A"/>
    <w:rsid w:val="00796A6E"/>
    <w:rsid w:val="00797917"/>
    <w:rsid w:val="00797B53"/>
    <w:rsid w:val="007A0719"/>
    <w:rsid w:val="007A1152"/>
    <w:rsid w:val="007A1B07"/>
    <w:rsid w:val="007A20D4"/>
    <w:rsid w:val="007A264A"/>
    <w:rsid w:val="007A2856"/>
    <w:rsid w:val="007A2998"/>
    <w:rsid w:val="007A32D9"/>
    <w:rsid w:val="007A3BFA"/>
    <w:rsid w:val="007A3C0D"/>
    <w:rsid w:val="007A3DBE"/>
    <w:rsid w:val="007A3DC7"/>
    <w:rsid w:val="007A408B"/>
    <w:rsid w:val="007A43A5"/>
    <w:rsid w:val="007A43EF"/>
    <w:rsid w:val="007A4A30"/>
    <w:rsid w:val="007A4CE2"/>
    <w:rsid w:val="007A4F97"/>
    <w:rsid w:val="007A53A8"/>
    <w:rsid w:val="007A54C6"/>
    <w:rsid w:val="007A568A"/>
    <w:rsid w:val="007A59C2"/>
    <w:rsid w:val="007A70CC"/>
    <w:rsid w:val="007A733F"/>
    <w:rsid w:val="007A7642"/>
    <w:rsid w:val="007A7DBB"/>
    <w:rsid w:val="007A7EA7"/>
    <w:rsid w:val="007B0690"/>
    <w:rsid w:val="007B08FA"/>
    <w:rsid w:val="007B0A7C"/>
    <w:rsid w:val="007B0C22"/>
    <w:rsid w:val="007B177A"/>
    <w:rsid w:val="007B2171"/>
    <w:rsid w:val="007B2924"/>
    <w:rsid w:val="007B2F23"/>
    <w:rsid w:val="007B2FC1"/>
    <w:rsid w:val="007B34D3"/>
    <w:rsid w:val="007B3A0D"/>
    <w:rsid w:val="007B3D33"/>
    <w:rsid w:val="007B4384"/>
    <w:rsid w:val="007B4A3D"/>
    <w:rsid w:val="007B4B87"/>
    <w:rsid w:val="007B4B9B"/>
    <w:rsid w:val="007B55EF"/>
    <w:rsid w:val="007B578D"/>
    <w:rsid w:val="007B5BE2"/>
    <w:rsid w:val="007B612E"/>
    <w:rsid w:val="007B618B"/>
    <w:rsid w:val="007B6196"/>
    <w:rsid w:val="007B68FD"/>
    <w:rsid w:val="007B695D"/>
    <w:rsid w:val="007C0410"/>
    <w:rsid w:val="007C0A6B"/>
    <w:rsid w:val="007C0DEC"/>
    <w:rsid w:val="007C11CF"/>
    <w:rsid w:val="007C1429"/>
    <w:rsid w:val="007C1E99"/>
    <w:rsid w:val="007C2161"/>
    <w:rsid w:val="007C3B0A"/>
    <w:rsid w:val="007C3C8C"/>
    <w:rsid w:val="007C3F25"/>
    <w:rsid w:val="007C42FB"/>
    <w:rsid w:val="007C4792"/>
    <w:rsid w:val="007C4CE9"/>
    <w:rsid w:val="007C549C"/>
    <w:rsid w:val="007C64CE"/>
    <w:rsid w:val="007C6728"/>
    <w:rsid w:val="007C696D"/>
    <w:rsid w:val="007C6CDE"/>
    <w:rsid w:val="007C7ADC"/>
    <w:rsid w:val="007D0014"/>
    <w:rsid w:val="007D004C"/>
    <w:rsid w:val="007D04CA"/>
    <w:rsid w:val="007D0C09"/>
    <w:rsid w:val="007D0C12"/>
    <w:rsid w:val="007D0C65"/>
    <w:rsid w:val="007D0E2C"/>
    <w:rsid w:val="007D1147"/>
    <w:rsid w:val="007D13F4"/>
    <w:rsid w:val="007D176B"/>
    <w:rsid w:val="007D17A9"/>
    <w:rsid w:val="007D182B"/>
    <w:rsid w:val="007D1894"/>
    <w:rsid w:val="007D18FA"/>
    <w:rsid w:val="007D1FAB"/>
    <w:rsid w:val="007D2417"/>
    <w:rsid w:val="007D29E8"/>
    <w:rsid w:val="007D2EC8"/>
    <w:rsid w:val="007D3739"/>
    <w:rsid w:val="007D3AB9"/>
    <w:rsid w:val="007D4762"/>
    <w:rsid w:val="007D581C"/>
    <w:rsid w:val="007D605B"/>
    <w:rsid w:val="007D62E5"/>
    <w:rsid w:val="007D6CCA"/>
    <w:rsid w:val="007D7030"/>
    <w:rsid w:val="007D7265"/>
    <w:rsid w:val="007D76FC"/>
    <w:rsid w:val="007D7883"/>
    <w:rsid w:val="007D7AC0"/>
    <w:rsid w:val="007E013E"/>
    <w:rsid w:val="007E01FD"/>
    <w:rsid w:val="007E07AF"/>
    <w:rsid w:val="007E1053"/>
    <w:rsid w:val="007E1E71"/>
    <w:rsid w:val="007E3055"/>
    <w:rsid w:val="007E4404"/>
    <w:rsid w:val="007E4444"/>
    <w:rsid w:val="007E44B8"/>
    <w:rsid w:val="007E4BCF"/>
    <w:rsid w:val="007E4C2B"/>
    <w:rsid w:val="007E4C34"/>
    <w:rsid w:val="007E4CFC"/>
    <w:rsid w:val="007E4D25"/>
    <w:rsid w:val="007E52EE"/>
    <w:rsid w:val="007E53DA"/>
    <w:rsid w:val="007E5AAF"/>
    <w:rsid w:val="007E6A90"/>
    <w:rsid w:val="007E79F0"/>
    <w:rsid w:val="007F0EEF"/>
    <w:rsid w:val="007F0F77"/>
    <w:rsid w:val="007F1711"/>
    <w:rsid w:val="007F17EE"/>
    <w:rsid w:val="007F1922"/>
    <w:rsid w:val="007F1EFB"/>
    <w:rsid w:val="007F21DE"/>
    <w:rsid w:val="007F2616"/>
    <w:rsid w:val="007F27BD"/>
    <w:rsid w:val="007F2B51"/>
    <w:rsid w:val="007F2BE2"/>
    <w:rsid w:val="007F2E8D"/>
    <w:rsid w:val="007F2F8D"/>
    <w:rsid w:val="007F3C87"/>
    <w:rsid w:val="007F3D6A"/>
    <w:rsid w:val="007F43B8"/>
    <w:rsid w:val="007F43CE"/>
    <w:rsid w:val="007F52CC"/>
    <w:rsid w:val="007F61F0"/>
    <w:rsid w:val="007F63D1"/>
    <w:rsid w:val="007F63DF"/>
    <w:rsid w:val="007F6421"/>
    <w:rsid w:val="007F6608"/>
    <w:rsid w:val="007F6698"/>
    <w:rsid w:val="007F6983"/>
    <w:rsid w:val="007F6ED3"/>
    <w:rsid w:val="008001D4"/>
    <w:rsid w:val="00800297"/>
    <w:rsid w:val="0080038E"/>
    <w:rsid w:val="00801164"/>
    <w:rsid w:val="0080177C"/>
    <w:rsid w:val="00801986"/>
    <w:rsid w:val="00801DCC"/>
    <w:rsid w:val="00802338"/>
    <w:rsid w:val="008023BD"/>
    <w:rsid w:val="00802906"/>
    <w:rsid w:val="00802B17"/>
    <w:rsid w:val="00802ED9"/>
    <w:rsid w:val="00803101"/>
    <w:rsid w:val="0080351A"/>
    <w:rsid w:val="008035DA"/>
    <w:rsid w:val="00803648"/>
    <w:rsid w:val="008036F0"/>
    <w:rsid w:val="008039B3"/>
    <w:rsid w:val="00803FA0"/>
    <w:rsid w:val="00804BB6"/>
    <w:rsid w:val="00804EE6"/>
    <w:rsid w:val="00805077"/>
    <w:rsid w:val="008052FA"/>
    <w:rsid w:val="00805726"/>
    <w:rsid w:val="008059EE"/>
    <w:rsid w:val="00805A6A"/>
    <w:rsid w:val="0080627F"/>
    <w:rsid w:val="008067B5"/>
    <w:rsid w:val="00806F78"/>
    <w:rsid w:val="008073E0"/>
    <w:rsid w:val="00810874"/>
    <w:rsid w:val="00811123"/>
    <w:rsid w:val="00811629"/>
    <w:rsid w:val="00811802"/>
    <w:rsid w:val="008118DF"/>
    <w:rsid w:val="00812DA1"/>
    <w:rsid w:val="00813303"/>
    <w:rsid w:val="008133F5"/>
    <w:rsid w:val="0081355D"/>
    <w:rsid w:val="0081394F"/>
    <w:rsid w:val="00813FBA"/>
    <w:rsid w:val="00814D48"/>
    <w:rsid w:val="00815554"/>
    <w:rsid w:val="00815F12"/>
    <w:rsid w:val="00816500"/>
    <w:rsid w:val="00817493"/>
    <w:rsid w:val="008206B0"/>
    <w:rsid w:val="0082109C"/>
    <w:rsid w:val="008211AC"/>
    <w:rsid w:val="0082120C"/>
    <w:rsid w:val="0082179B"/>
    <w:rsid w:val="00821F10"/>
    <w:rsid w:val="008228F0"/>
    <w:rsid w:val="00822CB8"/>
    <w:rsid w:val="00822D27"/>
    <w:rsid w:val="008231BB"/>
    <w:rsid w:val="008234CD"/>
    <w:rsid w:val="00824CF3"/>
    <w:rsid w:val="008255DF"/>
    <w:rsid w:val="0082645C"/>
    <w:rsid w:val="00826CB9"/>
    <w:rsid w:val="0082736C"/>
    <w:rsid w:val="00827820"/>
    <w:rsid w:val="00827CF2"/>
    <w:rsid w:val="008300D7"/>
    <w:rsid w:val="008303B0"/>
    <w:rsid w:val="00830917"/>
    <w:rsid w:val="00830A6E"/>
    <w:rsid w:val="00830C29"/>
    <w:rsid w:val="00830EB5"/>
    <w:rsid w:val="00831298"/>
    <w:rsid w:val="008314CE"/>
    <w:rsid w:val="00831692"/>
    <w:rsid w:val="00832B68"/>
    <w:rsid w:val="00833458"/>
    <w:rsid w:val="008338A6"/>
    <w:rsid w:val="00833B39"/>
    <w:rsid w:val="00833F3D"/>
    <w:rsid w:val="00835FFD"/>
    <w:rsid w:val="00836346"/>
    <w:rsid w:val="008369DC"/>
    <w:rsid w:val="008370E5"/>
    <w:rsid w:val="00837172"/>
    <w:rsid w:val="008400DA"/>
    <w:rsid w:val="00840424"/>
    <w:rsid w:val="008404D8"/>
    <w:rsid w:val="00840732"/>
    <w:rsid w:val="0084097F"/>
    <w:rsid w:val="008423AB"/>
    <w:rsid w:val="00842BD9"/>
    <w:rsid w:val="00842DB7"/>
    <w:rsid w:val="00842E03"/>
    <w:rsid w:val="00844370"/>
    <w:rsid w:val="00844A95"/>
    <w:rsid w:val="00845CF8"/>
    <w:rsid w:val="00846395"/>
    <w:rsid w:val="00846AA7"/>
    <w:rsid w:val="00846F7E"/>
    <w:rsid w:val="00847B99"/>
    <w:rsid w:val="00847FBB"/>
    <w:rsid w:val="0085037E"/>
    <w:rsid w:val="008506A5"/>
    <w:rsid w:val="00850F77"/>
    <w:rsid w:val="008520B4"/>
    <w:rsid w:val="00852812"/>
    <w:rsid w:val="00853EA3"/>
    <w:rsid w:val="00854160"/>
    <w:rsid w:val="00854D8D"/>
    <w:rsid w:val="0085554D"/>
    <w:rsid w:val="00855F30"/>
    <w:rsid w:val="00856239"/>
    <w:rsid w:val="00856455"/>
    <w:rsid w:val="008565B5"/>
    <w:rsid w:val="00856D77"/>
    <w:rsid w:val="00856F23"/>
    <w:rsid w:val="008579F6"/>
    <w:rsid w:val="00857F0E"/>
    <w:rsid w:val="008605BD"/>
    <w:rsid w:val="00861055"/>
    <w:rsid w:val="00861145"/>
    <w:rsid w:val="008614B8"/>
    <w:rsid w:val="00861940"/>
    <w:rsid w:val="008619C9"/>
    <w:rsid w:val="00862B02"/>
    <w:rsid w:val="00862CF2"/>
    <w:rsid w:val="00862D47"/>
    <w:rsid w:val="00863259"/>
    <w:rsid w:val="0086415A"/>
    <w:rsid w:val="00865A22"/>
    <w:rsid w:val="0086651E"/>
    <w:rsid w:val="0086682B"/>
    <w:rsid w:val="008671E0"/>
    <w:rsid w:val="00870152"/>
    <w:rsid w:val="00870866"/>
    <w:rsid w:val="008709D1"/>
    <w:rsid w:val="00870A62"/>
    <w:rsid w:val="00870C4C"/>
    <w:rsid w:val="00870ED7"/>
    <w:rsid w:val="00871820"/>
    <w:rsid w:val="00871E70"/>
    <w:rsid w:val="0087222E"/>
    <w:rsid w:val="008723DA"/>
    <w:rsid w:val="008723FF"/>
    <w:rsid w:val="008727F2"/>
    <w:rsid w:val="00872883"/>
    <w:rsid w:val="008736DA"/>
    <w:rsid w:val="00873FD6"/>
    <w:rsid w:val="0087410C"/>
    <w:rsid w:val="00874625"/>
    <w:rsid w:val="008746CA"/>
    <w:rsid w:val="00874711"/>
    <w:rsid w:val="00874CD8"/>
    <w:rsid w:val="00874CFB"/>
    <w:rsid w:val="00875079"/>
    <w:rsid w:val="008756FF"/>
    <w:rsid w:val="00875CD4"/>
    <w:rsid w:val="00876D43"/>
    <w:rsid w:val="00877297"/>
    <w:rsid w:val="0087775F"/>
    <w:rsid w:val="008779A3"/>
    <w:rsid w:val="00877A34"/>
    <w:rsid w:val="00877B93"/>
    <w:rsid w:val="008806B1"/>
    <w:rsid w:val="00880C98"/>
    <w:rsid w:val="00880CAF"/>
    <w:rsid w:val="00880F20"/>
    <w:rsid w:val="008811E2"/>
    <w:rsid w:val="00881E0B"/>
    <w:rsid w:val="008833DE"/>
    <w:rsid w:val="0088448D"/>
    <w:rsid w:val="00884CDE"/>
    <w:rsid w:val="00884F86"/>
    <w:rsid w:val="008852AC"/>
    <w:rsid w:val="008857E1"/>
    <w:rsid w:val="008864D2"/>
    <w:rsid w:val="00886587"/>
    <w:rsid w:val="00886D6E"/>
    <w:rsid w:val="008872BC"/>
    <w:rsid w:val="00887934"/>
    <w:rsid w:val="00887983"/>
    <w:rsid w:val="00890132"/>
    <w:rsid w:val="00890168"/>
    <w:rsid w:val="008903B1"/>
    <w:rsid w:val="00890506"/>
    <w:rsid w:val="00890726"/>
    <w:rsid w:val="008908F3"/>
    <w:rsid w:val="00890965"/>
    <w:rsid w:val="008910A5"/>
    <w:rsid w:val="0089148D"/>
    <w:rsid w:val="00891875"/>
    <w:rsid w:val="008918D9"/>
    <w:rsid w:val="00891942"/>
    <w:rsid w:val="008920C5"/>
    <w:rsid w:val="008924CB"/>
    <w:rsid w:val="0089264A"/>
    <w:rsid w:val="0089296E"/>
    <w:rsid w:val="00892B7C"/>
    <w:rsid w:val="00892E84"/>
    <w:rsid w:val="00893202"/>
    <w:rsid w:val="00893A1F"/>
    <w:rsid w:val="00893C2F"/>
    <w:rsid w:val="00893ED8"/>
    <w:rsid w:val="008946FA"/>
    <w:rsid w:val="008949F4"/>
    <w:rsid w:val="008954D7"/>
    <w:rsid w:val="008956D8"/>
    <w:rsid w:val="00895889"/>
    <w:rsid w:val="00895BC6"/>
    <w:rsid w:val="0089672D"/>
    <w:rsid w:val="00896CBD"/>
    <w:rsid w:val="00896CDB"/>
    <w:rsid w:val="008970D0"/>
    <w:rsid w:val="00897368"/>
    <w:rsid w:val="008A0B9D"/>
    <w:rsid w:val="008A1210"/>
    <w:rsid w:val="008A1689"/>
    <w:rsid w:val="008A1721"/>
    <w:rsid w:val="008A1CC0"/>
    <w:rsid w:val="008A1D4A"/>
    <w:rsid w:val="008A2896"/>
    <w:rsid w:val="008A29DD"/>
    <w:rsid w:val="008A2AC8"/>
    <w:rsid w:val="008A34FC"/>
    <w:rsid w:val="008A3822"/>
    <w:rsid w:val="008A3A67"/>
    <w:rsid w:val="008A4562"/>
    <w:rsid w:val="008A4A19"/>
    <w:rsid w:val="008A4EAF"/>
    <w:rsid w:val="008A5922"/>
    <w:rsid w:val="008A66C0"/>
    <w:rsid w:val="008A6767"/>
    <w:rsid w:val="008A6A6C"/>
    <w:rsid w:val="008A6B44"/>
    <w:rsid w:val="008A6F8F"/>
    <w:rsid w:val="008A70A4"/>
    <w:rsid w:val="008A7461"/>
    <w:rsid w:val="008B06B7"/>
    <w:rsid w:val="008B0D72"/>
    <w:rsid w:val="008B0FC3"/>
    <w:rsid w:val="008B1330"/>
    <w:rsid w:val="008B1813"/>
    <w:rsid w:val="008B2721"/>
    <w:rsid w:val="008B27FB"/>
    <w:rsid w:val="008B2A1C"/>
    <w:rsid w:val="008B3387"/>
    <w:rsid w:val="008B443E"/>
    <w:rsid w:val="008B4BE7"/>
    <w:rsid w:val="008B4D63"/>
    <w:rsid w:val="008B5288"/>
    <w:rsid w:val="008B5341"/>
    <w:rsid w:val="008B5ADD"/>
    <w:rsid w:val="008B5BF2"/>
    <w:rsid w:val="008B5C68"/>
    <w:rsid w:val="008B5D09"/>
    <w:rsid w:val="008B6079"/>
    <w:rsid w:val="008B60F5"/>
    <w:rsid w:val="008B6672"/>
    <w:rsid w:val="008B67BC"/>
    <w:rsid w:val="008B7530"/>
    <w:rsid w:val="008B79E4"/>
    <w:rsid w:val="008B7C1A"/>
    <w:rsid w:val="008B7C28"/>
    <w:rsid w:val="008B7CAF"/>
    <w:rsid w:val="008C0AFD"/>
    <w:rsid w:val="008C0E7C"/>
    <w:rsid w:val="008C14FB"/>
    <w:rsid w:val="008C1F28"/>
    <w:rsid w:val="008C21D5"/>
    <w:rsid w:val="008C282D"/>
    <w:rsid w:val="008C2CC8"/>
    <w:rsid w:val="008C2FCB"/>
    <w:rsid w:val="008C3D9D"/>
    <w:rsid w:val="008C42EF"/>
    <w:rsid w:val="008C436A"/>
    <w:rsid w:val="008C496B"/>
    <w:rsid w:val="008C4DA5"/>
    <w:rsid w:val="008C532D"/>
    <w:rsid w:val="008C546E"/>
    <w:rsid w:val="008C58B7"/>
    <w:rsid w:val="008C7A1D"/>
    <w:rsid w:val="008C7C9F"/>
    <w:rsid w:val="008D00B1"/>
    <w:rsid w:val="008D0406"/>
    <w:rsid w:val="008D0783"/>
    <w:rsid w:val="008D08A8"/>
    <w:rsid w:val="008D0E89"/>
    <w:rsid w:val="008D1293"/>
    <w:rsid w:val="008D187C"/>
    <w:rsid w:val="008D19EE"/>
    <w:rsid w:val="008D2B3C"/>
    <w:rsid w:val="008D3D7A"/>
    <w:rsid w:val="008D4E6E"/>
    <w:rsid w:val="008D56F9"/>
    <w:rsid w:val="008D5C39"/>
    <w:rsid w:val="008D65A1"/>
    <w:rsid w:val="008D6C39"/>
    <w:rsid w:val="008D7132"/>
    <w:rsid w:val="008E002E"/>
    <w:rsid w:val="008E0B51"/>
    <w:rsid w:val="008E0DA3"/>
    <w:rsid w:val="008E11FA"/>
    <w:rsid w:val="008E1394"/>
    <w:rsid w:val="008E2799"/>
    <w:rsid w:val="008E2910"/>
    <w:rsid w:val="008E2F45"/>
    <w:rsid w:val="008E421D"/>
    <w:rsid w:val="008E4508"/>
    <w:rsid w:val="008E4811"/>
    <w:rsid w:val="008E4985"/>
    <w:rsid w:val="008E4A51"/>
    <w:rsid w:val="008E4FE5"/>
    <w:rsid w:val="008E5AD2"/>
    <w:rsid w:val="008E68BC"/>
    <w:rsid w:val="008E76C4"/>
    <w:rsid w:val="008E7909"/>
    <w:rsid w:val="008E793F"/>
    <w:rsid w:val="008E7FBD"/>
    <w:rsid w:val="008F001D"/>
    <w:rsid w:val="008F08B7"/>
    <w:rsid w:val="008F0B7E"/>
    <w:rsid w:val="008F0B85"/>
    <w:rsid w:val="008F1804"/>
    <w:rsid w:val="008F1CD9"/>
    <w:rsid w:val="008F1F29"/>
    <w:rsid w:val="008F2183"/>
    <w:rsid w:val="008F2191"/>
    <w:rsid w:val="008F238E"/>
    <w:rsid w:val="008F26ED"/>
    <w:rsid w:val="008F2A92"/>
    <w:rsid w:val="008F2E42"/>
    <w:rsid w:val="008F3210"/>
    <w:rsid w:val="008F3588"/>
    <w:rsid w:val="008F4105"/>
    <w:rsid w:val="008F41E9"/>
    <w:rsid w:val="008F47A5"/>
    <w:rsid w:val="008F4F58"/>
    <w:rsid w:val="008F5331"/>
    <w:rsid w:val="008F5843"/>
    <w:rsid w:val="008F588F"/>
    <w:rsid w:val="008F6022"/>
    <w:rsid w:val="008F6893"/>
    <w:rsid w:val="008F6FB2"/>
    <w:rsid w:val="008F72C3"/>
    <w:rsid w:val="008F7747"/>
    <w:rsid w:val="008F7798"/>
    <w:rsid w:val="0090043E"/>
    <w:rsid w:val="009013AE"/>
    <w:rsid w:val="009014EE"/>
    <w:rsid w:val="00901958"/>
    <w:rsid w:val="00901AEA"/>
    <w:rsid w:val="00901C8E"/>
    <w:rsid w:val="00902194"/>
    <w:rsid w:val="0090243A"/>
    <w:rsid w:val="0090277C"/>
    <w:rsid w:val="00902D22"/>
    <w:rsid w:val="00902EE6"/>
    <w:rsid w:val="009047E9"/>
    <w:rsid w:val="009049DA"/>
    <w:rsid w:val="00904ABD"/>
    <w:rsid w:val="00904ADB"/>
    <w:rsid w:val="009057DD"/>
    <w:rsid w:val="00905A44"/>
    <w:rsid w:val="009067A8"/>
    <w:rsid w:val="00906AB6"/>
    <w:rsid w:val="0090712F"/>
    <w:rsid w:val="00907B99"/>
    <w:rsid w:val="00907D29"/>
    <w:rsid w:val="0091002C"/>
    <w:rsid w:val="00910327"/>
    <w:rsid w:val="00910377"/>
    <w:rsid w:val="00910CFB"/>
    <w:rsid w:val="00911252"/>
    <w:rsid w:val="009112A8"/>
    <w:rsid w:val="00911539"/>
    <w:rsid w:val="0091216F"/>
    <w:rsid w:val="00912A29"/>
    <w:rsid w:val="00912B72"/>
    <w:rsid w:val="009131C5"/>
    <w:rsid w:val="00913EF0"/>
    <w:rsid w:val="00914354"/>
    <w:rsid w:val="009144C0"/>
    <w:rsid w:val="009149D6"/>
    <w:rsid w:val="00914ECA"/>
    <w:rsid w:val="00914F9B"/>
    <w:rsid w:val="009159ED"/>
    <w:rsid w:val="00915BB9"/>
    <w:rsid w:val="0091736F"/>
    <w:rsid w:val="009173D5"/>
    <w:rsid w:val="00917A65"/>
    <w:rsid w:val="00921098"/>
    <w:rsid w:val="009213C1"/>
    <w:rsid w:val="00921FFE"/>
    <w:rsid w:val="00922182"/>
    <w:rsid w:val="00923656"/>
    <w:rsid w:val="0092393B"/>
    <w:rsid w:val="00924006"/>
    <w:rsid w:val="009242E4"/>
    <w:rsid w:val="00924585"/>
    <w:rsid w:val="00924659"/>
    <w:rsid w:val="009246F5"/>
    <w:rsid w:val="00924FE2"/>
    <w:rsid w:val="0092616B"/>
    <w:rsid w:val="009268CB"/>
    <w:rsid w:val="00926E60"/>
    <w:rsid w:val="009274E0"/>
    <w:rsid w:val="00927D5D"/>
    <w:rsid w:val="00930E13"/>
    <w:rsid w:val="00931C4C"/>
    <w:rsid w:val="00931EB5"/>
    <w:rsid w:val="00932B90"/>
    <w:rsid w:val="0093304B"/>
    <w:rsid w:val="00933DFD"/>
    <w:rsid w:val="00933E48"/>
    <w:rsid w:val="00933EAA"/>
    <w:rsid w:val="00934068"/>
    <w:rsid w:val="009343C1"/>
    <w:rsid w:val="009343D3"/>
    <w:rsid w:val="009354AA"/>
    <w:rsid w:val="009366F5"/>
    <w:rsid w:val="00936AF2"/>
    <w:rsid w:val="00937767"/>
    <w:rsid w:val="009419E7"/>
    <w:rsid w:val="00941A9C"/>
    <w:rsid w:val="00941F18"/>
    <w:rsid w:val="0094224D"/>
    <w:rsid w:val="00942774"/>
    <w:rsid w:val="0094349D"/>
    <w:rsid w:val="00943ABE"/>
    <w:rsid w:val="00944074"/>
    <w:rsid w:val="00944489"/>
    <w:rsid w:val="009444E3"/>
    <w:rsid w:val="009447EC"/>
    <w:rsid w:val="00945505"/>
    <w:rsid w:val="00945A4A"/>
    <w:rsid w:val="009466CB"/>
    <w:rsid w:val="00946D12"/>
    <w:rsid w:val="00946F0E"/>
    <w:rsid w:val="0094736F"/>
    <w:rsid w:val="00947C1D"/>
    <w:rsid w:val="00950981"/>
    <w:rsid w:val="00950AF5"/>
    <w:rsid w:val="00950AF6"/>
    <w:rsid w:val="00950BA7"/>
    <w:rsid w:val="00951904"/>
    <w:rsid w:val="00951B45"/>
    <w:rsid w:val="00951C1C"/>
    <w:rsid w:val="00952213"/>
    <w:rsid w:val="009524E0"/>
    <w:rsid w:val="00952A53"/>
    <w:rsid w:val="00952E33"/>
    <w:rsid w:val="009530B5"/>
    <w:rsid w:val="00955875"/>
    <w:rsid w:val="00955DE3"/>
    <w:rsid w:val="0095604F"/>
    <w:rsid w:val="009560DD"/>
    <w:rsid w:val="00956462"/>
    <w:rsid w:val="00956839"/>
    <w:rsid w:val="00956FC6"/>
    <w:rsid w:val="009571D3"/>
    <w:rsid w:val="009572AC"/>
    <w:rsid w:val="00957931"/>
    <w:rsid w:val="00957F7C"/>
    <w:rsid w:val="009602EF"/>
    <w:rsid w:val="0096049A"/>
    <w:rsid w:val="0096065B"/>
    <w:rsid w:val="00960691"/>
    <w:rsid w:val="009608BB"/>
    <w:rsid w:val="00960FB3"/>
    <w:rsid w:val="0096136F"/>
    <w:rsid w:val="00961C03"/>
    <w:rsid w:val="00961C73"/>
    <w:rsid w:val="00961CC5"/>
    <w:rsid w:val="00962132"/>
    <w:rsid w:val="00962497"/>
    <w:rsid w:val="00963208"/>
    <w:rsid w:val="009637AA"/>
    <w:rsid w:val="00963EB5"/>
    <w:rsid w:val="00963FF3"/>
    <w:rsid w:val="00964056"/>
    <w:rsid w:val="009649BE"/>
    <w:rsid w:val="00964C3A"/>
    <w:rsid w:val="00965102"/>
    <w:rsid w:val="009659C0"/>
    <w:rsid w:val="00965E4D"/>
    <w:rsid w:val="00965E7C"/>
    <w:rsid w:val="00965F6C"/>
    <w:rsid w:val="00966264"/>
    <w:rsid w:val="0096631C"/>
    <w:rsid w:val="0096656B"/>
    <w:rsid w:val="009665A8"/>
    <w:rsid w:val="0096671D"/>
    <w:rsid w:val="009667D5"/>
    <w:rsid w:val="00966FB7"/>
    <w:rsid w:val="009678EC"/>
    <w:rsid w:val="00970446"/>
    <w:rsid w:val="009705AF"/>
    <w:rsid w:val="009717A4"/>
    <w:rsid w:val="00971B3F"/>
    <w:rsid w:val="00971D7D"/>
    <w:rsid w:val="0097200C"/>
    <w:rsid w:val="00972847"/>
    <w:rsid w:val="0097355D"/>
    <w:rsid w:val="00973589"/>
    <w:rsid w:val="0097385D"/>
    <w:rsid w:val="00973DCA"/>
    <w:rsid w:val="0097445F"/>
    <w:rsid w:val="009749AF"/>
    <w:rsid w:val="00974F65"/>
    <w:rsid w:val="0097529D"/>
    <w:rsid w:val="009759A7"/>
    <w:rsid w:val="00975AC2"/>
    <w:rsid w:val="00975DF3"/>
    <w:rsid w:val="00976ADC"/>
    <w:rsid w:val="00977492"/>
    <w:rsid w:val="00980656"/>
    <w:rsid w:val="0098082B"/>
    <w:rsid w:val="0098142F"/>
    <w:rsid w:val="0098148B"/>
    <w:rsid w:val="00981CE4"/>
    <w:rsid w:val="009820EA"/>
    <w:rsid w:val="00982276"/>
    <w:rsid w:val="009840F5"/>
    <w:rsid w:val="009857C4"/>
    <w:rsid w:val="00985EB1"/>
    <w:rsid w:val="00986016"/>
    <w:rsid w:val="009868D6"/>
    <w:rsid w:val="00986B27"/>
    <w:rsid w:val="00987013"/>
    <w:rsid w:val="00987A5B"/>
    <w:rsid w:val="00987C17"/>
    <w:rsid w:val="0099078C"/>
    <w:rsid w:val="0099094E"/>
    <w:rsid w:val="009918F1"/>
    <w:rsid w:val="00992842"/>
    <w:rsid w:val="00992AD4"/>
    <w:rsid w:val="00992AE4"/>
    <w:rsid w:val="009930D8"/>
    <w:rsid w:val="0099368E"/>
    <w:rsid w:val="00993728"/>
    <w:rsid w:val="00993B4A"/>
    <w:rsid w:val="00993B91"/>
    <w:rsid w:val="00993B99"/>
    <w:rsid w:val="00994D53"/>
    <w:rsid w:val="00995572"/>
    <w:rsid w:val="00995A83"/>
    <w:rsid w:val="00995E3B"/>
    <w:rsid w:val="00995EC8"/>
    <w:rsid w:val="00995EE2"/>
    <w:rsid w:val="009960F4"/>
    <w:rsid w:val="00997695"/>
    <w:rsid w:val="00997BBB"/>
    <w:rsid w:val="009A00F9"/>
    <w:rsid w:val="009A01D8"/>
    <w:rsid w:val="009A0738"/>
    <w:rsid w:val="009A15C0"/>
    <w:rsid w:val="009A17FD"/>
    <w:rsid w:val="009A1996"/>
    <w:rsid w:val="009A1E82"/>
    <w:rsid w:val="009A208A"/>
    <w:rsid w:val="009A2B96"/>
    <w:rsid w:val="009A3156"/>
    <w:rsid w:val="009A3319"/>
    <w:rsid w:val="009A33AA"/>
    <w:rsid w:val="009A3A8D"/>
    <w:rsid w:val="009A3D0E"/>
    <w:rsid w:val="009A4641"/>
    <w:rsid w:val="009A4B9B"/>
    <w:rsid w:val="009A648D"/>
    <w:rsid w:val="009A6A51"/>
    <w:rsid w:val="009A6D12"/>
    <w:rsid w:val="009A73D7"/>
    <w:rsid w:val="009A7A18"/>
    <w:rsid w:val="009A7A77"/>
    <w:rsid w:val="009B1872"/>
    <w:rsid w:val="009B2764"/>
    <w:rsid w:val="009B2A19"/>
    <w:rsid w:val="009B2F66"/>
    <w:rsid w:val="009B3272"/>
    <w:rsid w:val="009B33A9"/>
    <w:rsid w:val="009B3629"/>
    <w:rsid w:val="009B3AB4"/>
    <w:rsid w:val="009B45A0"/>
    <w:rsid w:val="009B4763"/>
    <w:rsid w:val="009B4BE2"/>
    <w:rsid w:val="009B4C4D"/>
    <w:rsid w:val="009B57F7"/>
    <w:rsid w:val="009B603C"/>
    <w:rsid w:val="009B62D2"/>
    <w:rsid w:val="009B633D"/>
    <w:rsid w:val="009B66DF"/>
    <w:rsid w:val="009B6E68"/>
    <w:rsid w:val="009C0761"/>
    <w:rsid w:val="009C0A59"/>
    <w:rsid w:val="009C1535"/>
    <w:rsid w:val="009C1888"/>
    <w:rsid w:val="009C1C20"/>
    <w:rsid w:val="009C30BC"/>
    <w:rsid w:val="009C3FB0"/>
    <w:rsid w:val="009C4155"/>
    <w:rsid w:val="009C4D1A"/>
    <w:rsid w:val="009C517F"/>
    <w:rsid w:val="009C51D9"/>
    <w:rsid w:val="009C593C"/>
    <w:rsid w:val="009C66FF"/>
    <w:rsid w:val="009C7092"/>
    <w:rsid w:val="009D01D4"/>
    <w:rsid w:val="009D05F8"/>
    <w:rsid w:val="009D0C2A"/>
    <w:rsid w:val="009D0C5C"/>
    <w:rsid w:val="009D11F5"/>
    <w:rsid w:val="009D16A1"/>
    <w:rsid w:val="009D2299"/>
    <w:rsid w:val="009D2713"/>
    <w:rsid w:val="009D2866"/>
    <w:rsid w:val="009D2DA1"/>
    <w:rsid w:val="009D2EBC"/>
    <w:rsid w:val="009D35FF"/>
    <w:rsid w:val="009D3D01"/>
    <w:rsid w:val="009D43E1"/>
    <w:rsid w:val="009D44C0"/>
    <w:rsid w:val="009D47E3"/>
    <w:rsid w:val="009D5C0F"/>
    <w:rsid w:val="009D5D4B"/>
    <w:rsid w:val="009D5EC2"/>
    <w:rsid w:val="009D5F34"/>
    <w:rsid w:val="009D6D82"/>
    <w:rsid w:val="009D6F00"/>
    <w:rsid w:val="009D75C4"/>
    <w:rsid w:val="009D773B"/>
    <w:rsid w:val="009E0777"/>
    <w:rsid w:val="009E182B"/>
    <w:rsid w:val="009E1B25"/>
    <w:rsid w:val="009E1DF8"/>
    <w:rsid w:val="009E276F"/>
    <w:rsid w:val="009E3198"/>
    <w:rsid w:val="009E3CB0"/>
    <w:rsid w:val="009E3CFC"/>
    <w:rsid w:val="009E402E"/>
    <w:rsid w:val="009E41E6"/>
    <w:rsid w:val="009E44EB"/>
    <w:rsid w:val="009E4528"/>
    <w:rsid w:val="009E47F4"/>
    <w:rsid w:val="009E50FF"/>
    <w:rsid w:val="009E5173"/>
    <w:rsid w:val="009E59E6"/>
    <w:rsid w:val="009E5E6E"/>
    <w:rsid w:val="009E74F9"/>
    <w:rsid w:val="009E768B"/>
    <w:rsid w:val="009E7B98"/>
    <w:rsid w:val="009E7C06"/>
    <w:rsid w:val="009E7D10"/>
    <w:rsid w:val="009E7D42"/>
    <w:rsid w:val="009F0F16"/>
    <w:rsid w:val="009F1144"/>
    <w:rsid w:val="009F12E6"/>
    <w:rsid w:val="009F15B3"/>
    <w:rsid w:val="009F199B"/>
    <w:rsid w:val="009F2052"/>
    <w:rsid w:val="009F221D"/>
    <w:rsid w:val="009F244D"/>
    <w:rsid w:val="009F2826"/>
    <w:rsid w:val="009F2871"/>
    <w:rsid w:val="009F302C"/>
    <w:rsid w:val="009F30B8"/>
    <w:rsid w:val="009F374F"/>
    <w:rsid w:val="009F3930"/>
    <w:rsid w:val="009F3EEB"/>
    <w:rsid w:val="009F461F"/>
    <w:rsid w:val="009F5990"/>
    <w:rsid w:val="009F5F6F"/>
    <w:rsid w:val="009F6766"/>
    <w:rsid w:val="009F6B7B"/>
    <w:rsid w:val="009F6C01"/>
    <w:rsid w:val="009F6E68"/>
    <w:rsid w:val="009F7AA1"/>
    <w:rsid w:val="00A0081B"/>
    <w:rsid w:val="00A015F3"/>
    <w:rsid w:val="00A01D64"/>
    <w:rsid w:val="00A028EA"/>
    <w:rsid w:val="00A039E0"/>
    <w:rsid w:val="00A047D0"/>
    <w:rsid w:val="00A054FC"/>
    <w:rsid w:val="00A05F67"/>
    <w:rsid w:val="00A065E9"/>
    <w:rsid w:val="00A10850"/>
    <w:rsid w:val="00A10C52"/>
    <w:rsid w:val="00A10DEA"/>
    <w:rsid w:val="00A1155B"/>
    <w:rsid w:val="00A118DD"/>
    <w:rsid w:val="00A11C08"/>
    <w:rsid w:val="00A12950"/>
    <w:rsid w:val="00A12EC0"/>
    <w:rsid w:val="00A130F2"/>
    <w:rsid w:val="00A1354C"/>
    <w:rsid w:val="00A136B8"/>
    <w:rsid w:val="00A13AAA"/>
    <w:rsid w:val="00A13E56"/>
    <w:rsid w:val="00A141F4"/>
    <w:rsid w:val="00A14846"/>
    <w:rsid w:val="00A14AB0"/>
    <w:rsid w:val="00A153DE"/>
    <w:rsid w:val="00A15839"/>
    <w:rsid w:val="00A15AB8"/>
    <w:rsid w:val="00A15FB2"/>
    <w:rsid w:val="00A1649E"/>
    <w:rsid w:val="00A165BE"/>
    <w:rsid w:val="00A167BC"/>
    <w:rsid w:val="00A16B1A"/>
    <w:rsid w:val="00A16FA4"/>
    <w:rsid w:val="00A1701A"/>
    <w:rsid w:val="00A17069"/>
    <w:rsid w:val="00A17544"/>
    <w:rsid w:val="00A17B99"/>
    <w:rsid w:val="00A17F00"/>
    <w:rsid w:val="00A202BD"/>
    <w:rsid w:val="00A2040A"/>
    <w:rsid w:val="00A206ED"/>
    <w:rsid w:val="00A20723"/>
    <w:rsid w:val="00A2190C"/>
    <w:rsid w:val="00A21975"/>
    <w:rsid w:val="00A21A26"/>
    <w:rsid w:val="00A2412C"/>
    <w:rsid w:val="00A24198"/>
    <w:rsid w:val="00A242FB"/>
    <w:rsid w:val="00A24305"/>
    <w:rsid w:val="00A24CDB"/>
    <w:rsid w:val="00A24DA7"/>
    <w:rsid w:val="00A24F92"/>
    <w:rsid w:val="00A250DC"/>
    <w:rsid w:val="00A252F0"/>
    <w:rsid w:val="00A255D5"/>
    <w:rsid w:val="00A27470"/>
    <w:rsid w:val="00A27C02"/>
    <w:rsid w:val="00A27CCD"/>
    <w:rsid w:val="00A27F99"/>
    <w:rsid w:val="00A30CAD"/>
    <w:rsid w:val="00A31008"/>
    <w:rsid w:val="00A31C54"/>
    <w:rsid w:val="00A322B1"/>
    <w:rsid w:val="00A3362D"/>
    <w:rsid w:val="00A3443E"/>
    <w:rsid w:val="00A3444A"/>
    <w:rsid w:val="00A34E83"/>
    <w:rsid w:val="00A3545F"/>
    <w:rsid w:val="00A354A1"/>
    <w:rsid w:val="00A35570"/>
    <w:rsid w:val="00A356CC"/>
    <w:rsid w:val="00A35EE7"/>
    <w:rsid w:val="00A35F10"/>
    <w:rsid w:val="00A36419"/>
    <w:rsid w:val="00A36DB1"/>
    <w:rsid w:val="00A372B3"/>
    <w:rsid w:val="00A375CF"/>
    <w:rsid w:val="00A37E61"/>
    <w:rsid w:val="00A40148"/>
    <w:rsid w:val="00A415B5"/>
    <w:rsid w:val="00A42D96"/>
    <w:rsid w:val="00A43478"/>
    <w:rsid w:val="00A438AB"/>
    <w:rsid w:val="00A447DC"/>
    <w:rsid w:val="00A44918"/>
    <w:rsid w:val="00A45597"/>
    <w:rsid w:val="00A45AFA"/>
    <w:rsid w:val="00A45E26"/>
    <w:rsid w:val="00A464CD"/>
    <w:rsid w:val="00A46892"/>
    <w:rsid w:val="00A46C82"/>
    <w:rsid w:val="00A46E52"/>
    <w:rsid w:val="00A470C3"/>
    <w:rsid w:val="00A50193"/>
    <w:rsid w:val="00A50693"/>
    <w:rsid w:val="00A50D55"/>
    <w:rsid w:val="00A51150"/>
    <w:rsid w:val="00A5129D"/>
    <w:rsid w:val="00A521C7"/>
    <w:rsid w:val="00A529A7"/>
    <w:rsid w:val="00A52CCB"/>
    <w:rsid w:val="00A53400"/>
    <w:rsid w:val="00A53CB3"/>
    <w:rsid w:val="00A54106"/>
    <w:rsid w:val="00A54359"/>
    <w:rsid w:val="00A54553"/>
    <w:rsid w:val="00A5475E"/>
    <w:rsid w:val="00A551EB"/>
    <w:rsid w:val="00A552CD"/>
    <w:rsid w:val="00A5538F"/>
    <w:rsid w:val="00A5539D"/>
    <w:rsid w:val="00A5549D"/>
    <w:rsid w:val="00A56323"/>
    <w:rsid w:val="00A56464"/>
    <w:rsid w:val="00A5646C"/>
    <w:rsid w:val="00A566D8"/>
    <w:rsid w:val="00A5693B"/>
    <w:rsid w:val="00A56992"/>
    <w:rsid w:val="00A56A4F"/>
    <w:rsid w:val="00A60AAF"/>
    <w:rsid w:val="00A60F2C"/>
    <w:rsid w:val="00A6155F"/>
    <w:rsid w:val="00A61B42"/>
    <w:rsid w:val="00A62104"/>
    <w:rsid w:val="00A62784"/>
    <w:rsid w:val="00A62EB3"/>
    <w:rsid w:val="00A631B1"/>
    <w:rsid w:val="00A63203"/>
    <w:rsid w:val="00A63289"/>
    <w:rsid w:val="00A6346B"/>
    <w:rsid w:val="00A64139"/>
    <w:rsid w:val="00A64247"/>
    <w:rsid w:val="00A6457A"/>
    <w:rsid w:val="00A650EC"/>
    <w:rsid w:val="00A6555C"/>
    <w:rsid w:val="00A65963"/>
    <w:rsid w:val="00A65AA8"/>
    <w:rsid w:val="00A66765"/>
    <w:rsid w:val="00A66AF6"/>
    <w:rsid w:val="00A66E59"/>
    <w:rsid w:val="00A6724B"/>
    <w:rsid w:val="00A704EA"/>
    <w:rsid w:val="00A70A54"/>
    <w:rsid w:val="00A7119D"/>
    <w:rsid w:val="00A7179A"/>
    <w:rsid w:val="00A71894"/>
    <w:rsid w:val="00A71D96"/>
    <w:rsid w:val="00A725D7"/>
    <w:rsid w:val="00A73139"/>
    <w:rsid w:val="00A73242"/>
    <w:rsid w:val="00A73370"/>
    <w:rsid w:val="00A73BCF"/>
    <w:rsid w:val="00A73C1D"/>
    <w:rsid w:val="00A746AE"/>
    <w:rsid w:val="00A74D17"/>
    <w:rsid w:val="00A74FFB"/>
    <w:rsid w:val="00A75301"/>
    <w:rsid w:val="00A75703"/>
    <w:rsid w:val="00A75F0D"/>
    <w:rsid w:val="00A764C1"/>
    <w:rsid w:val="00A764D6"/>
    <w:rsid w:val="00A767B0"/>
    <w:rsid w:val="00A77890"/>
    <w:rsid w:val="00A77DBF"/>
    <w:rsid w:val="00A80297"/>
    <w:rsid w:val="00A8088D"/>
    <w:rsid w:val="00A819E4"/>
    <w:rsid w:val="00A8247A"/>
    <w:rsid w:val="00A829AF"/>
    <w:rsid w:val="00A831C7"/>
    <w:rsid w:val="00A8323E"/>
    <w:rsid w:val="00A837B8"/>
    <w:rsid w:val="00A838CF"/>
    <w:rsid w:val="00A83D46"/>
    <w:rsid w:val="00A84003"/>
    <w:rsid w:val="00A842FB"/>
    <w:rsid w:val="00A8542B"/>
    <w:rsid w:val="00A85593"/>
    <w:rsid w:val="00A85938"/>
    <w:rsid w:val="00A85FA1"/>
    <w:rsid w:val="00A86129"/>
    <w:rsid w:val="00A86291"/>
    <w:rsid w:val="00A862BD"/>
    <w:rsid w:val="00A87872"/>
    <w:rsid w:val="00A87984"/>
    <w:rsid w:val="00A87F97"/>
    <w:rsid w:val="00A902EA"/>
    <w:rsid w:val="00A919E9"/>
    <w:rsid w:val="00A91CB0"/>
    <w:rsid w:val="00A921A3"/>
    <w:rsid w:val="00A9243E"/>
    <w:rsid w:val="00A92455"/>
    <w:rsid w:val="00A92606"/>
    <w:rsid w:val="00A9264B"/>
    <w:rsid w:val="00A92E9D"/>
    <w:rsid w:val="00A9307B"/>
    <w:rsid w:val="00A9312F"/>
    <w:rsid w:val="00A93D5E"/>
    <w:rsid w:val="00A94DD5"/>
    <w:rsid w:val="00A953E5"/>
    <w:rsid w:val="00A9696B"/>
    <w:rsid w:val="00A96D6D"/>
    <w:rsid w:val="00A9700B"/>
    <w:rsid w:val="00A97621"/>
    <w:rsid w:val="00AA0063"/>
    <w:rsid w:val="00AA0171"/>
    <w:rsid w:val="00AA048C"/>
    <w:rsid w:val="00AA0903"/>
    <w:rsid w:val="00AA0E56"/>
    <w:rsid w:val="00AA108F"/>
    <w:rsid w:val="00AA1615"/>
    <w:rsid w:val="00AA18EA"/>
    <w:rsid w:val="00AA1A7E"/>
    <w:rsid w:val="00AA1D2D"/>
    <w:rsid w:val="00AA1E12"/>
    <w:rsid w:val="00AA386F"/>
    <w:rsid w:val="00AA3CC2"/>
    <w:rsid w:val="00AA3EA5"/>
    <w:rsid w:val="00AA4202"/>
    <w:rsid w:val="00AA4572"/>
    <w:rsid w:val="00AA45F0"/>
    <w:rsid w:val="00AA5DB5"/>
    <w:rsid w:val="00AA601B"/>
    <w:rsid w:val="00AA608F"/>
    <w:rsid w:val="00AA6235"/>
    <w:rsid w:val="00AA62EF"/>
    <w:rsid w:val="00AA633A"/>
    <w:rsid w:val="00AA6A6C"/>
    <w:rsid w:val="00AA6D4D"/>
    <w:rsid w:val="00AA783F"/>
    <w:rsid w:val="00AB0164"/>
    <w:rsid w:val="00AB0E11"/>
    <w:rsid w:val="00AB137D"/>
    <w:rsid w:val="00AB1BBE"/>
    <w:rsid w:val="00AB1E56"/>
    <w:rsid w:val="00AB27F1"/>
    <w:rsid w:val="00AB290A"/>
    <w:rsid w:val="00AB31A3"/>
    <w:rsid w:val="00AB361A"/>
    <w:rsid w:val="00AB3785"/>
    <w:rsid w:val="00AB3AD9"/>
    <w:rsid w:val="00AB620A"/>
    <w:rsid w:val="00AB6282"/>
    <w:rsid w:val="00AB628C"/>
    <w:rsid w:val="00AB63E1"/>
    <w:rsid w:val="00AB6E20"/>
    <w:rsid w:val="00AB76F0"/>
    <w:rsid w:val="00AB7A7C"/>
    <w:rsid w:val="00AB7E42"/>
    <w:rsid w:val="00AC077A"/>
    <w:rsid w:val="00AC0E38"/>
    <w:rsid w:val="00AC0EDF"/>
    <w:rsid w:val="00AC1296"/>
    <w:rsid w:val="00AC140B"/>
    <w:rsid w:val="00AC14D6"/>
    <w:rsid w:val="00AC14F0"/>
    <w:rsid w:val="00AC193A"/>
    <w:rsid w:val="00AC21E2"/>
    <w:rsid w:val="00AC22E0"/>
    <w:rsid w:val="00AC24FE"/>
    <w:rsid w:val="00AC3731"/>
    <w:rsid w:val="00AC3752"/>
    <w:rsid w:val="00AC4341"/>
    <w:rsid w:val="00AC44B7"/>
    <w:rsid w:val="00AC49B1"/>
    <w:rsid w:val="00AC4ABB"/>
    <w:rsid w:val="00AC4F8F"/>
    <w:rsid w:val="00AC54B7"/>
    <w:rsid w:val="00AC6265"/>
    <w:rsid w:val="00AC63D9"/>
    <w:rsid w:val="00AC6953"/>
    <w:rsid w:val="00AC7977"/>
    <w:rsid w:val="00AD027C"/>
    <w:rsid w:val="00AD03BE"/>
    <w:rsid w:val="00AD0772"/>
    <w:rsid w:val="00AD0D41"/>
    <w:rsid w:val="00AD133B"/>
    <w:rsid w:val="00AD2DAB"/>
    <w:rsid w:val="00AD3C6E"/>
    <w:rsid w:val="00AD3CE4"/>
    <w:rsid w:val="00AD420A"/>
    <w:rsid w:val="00AD4450"/>
    <w:rsid w:val="00AD451A"/>
    <w:rsid w:val="00AD48AC"/>
    <w:rsid w:val="00AD5558"/>
    <w:rsid w:val="00AD5591"/>
    <w:rsid w:val="00AD6C12"/>
    <w:rsid w:val="00AD7FD6"/>
    <w:rsid w:val="00AE02E0"/>
    <w:rsid w:val="00AE143E"/>
    <w:rsid w:val="00AE1E23"/>
    <w:rsid w:val="00AE1F1E"/>
    <w:rsid w:val="00AE235A"/>
    <w:rsid w:val="00AE2B6A"/>
    <w:rsid w:val="00AE3102"/>
    <w:rsid w:val="00AE3148"/>
    <w:rsid w:val="00AE3260"/>
    <w:rsid w:val="00AE33FC"/>
    <w:rsid w:val="00AE371F"/>
    <w:rsid w:val="00AE3DAC"/>
    <w:rsid w:val="00AE4208"/>
    <w:rsid w:val="00AE457E"/>
    <w:rsid w:val="00AE5EB3"/>
    <w:rsid w:val="00AE5F6A"/>
    <w:rsid w:val="00AE62D1"/>
    <w:rsid w:val="00AE6837"/>
    <w:rsid w:val="00AE6B37"/>
    <w:rsid w:val="00AE6B6D"/>
    <w:rsid w:val="00AE6D85"/>
    <w:rsid w:val="00AE6DCD"/>
    <w:rsid w:val="00AE771D"/>
    <w:rsid w:val="00AE7D1F"/>
    <w:rsid w:val="00AF0FE5"/>
    <w:rsid w:val="00AF1809"/>
    <w:rsid w:val="00AF1990"/>
    <w:rsid w:val="00AF1E56"/>
    <w:rsid w:val="00AF2085"/>
    <w:rsid w:val="00AF2155"/>
    <w:rsid w:val="00AF2C8C"/>
    <w:rsid w:val="00AF36DB"/>
    <w:rsid w:val="00AF3EA6"/>
    <w:rsid w:val="00AF4187"/>
    <w:rsid w:val="00AF41C4"/>
    <w:rsid w:val="00AF426F"/>
    <w:rsid w:val="00AF4CFA"/>
    <w:rsid w:val="00AF54E2"/>
    <w:rsid w:val="00AF5D67"/>
    <w:rsid w:val="00AF698B"/>
    <w:rsid w:val="00AF73DE"/>
    <w:rsid w:val="00B009A7"/>
    <w:rsid w:val="00B00A76"/>
    <w:rsid w:val="00B00CBB"/>
    <w:rsid w:val="00B00DDA"/>
    <w:rsid w:val="00B01323"/>
    <w:rsid w:val="00B01898"/>
    <w:rsid w:val="00B01A62"/>
    <w:rsid w:val="00B01D1F"/>
    <w:rsid w:val="00B02320"/>
    <w:rsid w:val="00B02448"/>
    <w:rsid w:val="00B02B72"/>
    <w:rsid w:val="00B02BC1"/>
    <w:rsid w:val="00B030A1"/>
    <w:rsid w:val="00B03C3D"/>
    <w:rsid w:val="00B03DA4"/>
    <w:rsid w:val="00B03DBF"/>
    <w:rsid w:val="00B03E47"/>
    <w:rsid w:val="00B051B5"/>
    <w:rsid w:val="00B05AFE"/>
    <w:rsid w:val="00B0641F"/>
    <w:rsid w:val="00B06713"/>
    <w:rsid w:val="00B07045"/>
    <w:rsid w:val="00B0733B"/>
    <w:rsid w:val="00B100FF"/>
    <w:rsid w:val="00B103BC"/>
    <w:rsid w:val="00B104B8"/>
    <w:rsid w:val="00B10CB9"/>
    <w:rsid w:val="00B11170"/>
    <w:rsid w:val="00B11D99"/>
    <w:rsid w:val="00B125F2"/>
    <w:rsid w:val="00B12E98"/>
    <w:rsid w:val="00B13010"/>
    <w:rsid w:val="00B13437"/>
    <w:rsid w:val="00B13716"/>
    <w:rsid w:val="00B13BD5"/>
    <w:rsid w:val="00B1480C"/>
    <w:rsid w:val="00B14A5E"/>
    <w:rsid w:val="00B14AB4"/>
    <w:rsid w:val="00B14D70"/>
    <w:rsid w:val="00B152D3"/>
    <w:rsid w:val="00B155BC"/>
    <w:rsid w:val="00B15BE8"/>
    <w:rsid w:val="00B15E0B"/>
    <w:rsid w:val="00B15E73"/>
    <w:rsid w:val="00B16221"/>
    <w:rsid w:val="00B16C01"/>
    <w:rsid w:val="00B16D67"/>
    <w:rsid w:val="00B17535"/>
    <w:rsid w:val="00B20142"/>
    <w:rsid w:val="00B2017A"/>
    <w:rsid w:val="00B20ACE"/>
    <w:rsid w:val="00B20C03"/>
    <w:rsid w:val="00B20C45"/>
    <w:rsid w:val="00B2183D"/>
    <w:rsid w:val="00B21989"/>
    <w:rsid w:val="00B21A01"/>
    <w:rsid w:val="00B22049"/>
    <w:rsid w:val="00B2367C"/>
    <w:rsid w:val="00B23920"/>
    <w:rsid w:val="00B2451C"/>
    <w:rsid w:val="00B24743"/>
    <w:rsid w:val="00B25080"/>
    <w:rsid w:val="00B25207"/>
    <w:rsid w:val="00B25C8F"/>
    <w:rsid w:val="00B266E9"/>
    <w:rsid w:val="00B2690E"/>
    <w:rsid w:val="00B270A9"/>
    <w:rsid w:val="00B27370"/>
    <w:rsid w:val="00B27B52"/>
    <w:rsid w:val="00B3079E"/>
    <w:rsid w:val="00B30EF2"/>
    <w:rsid w:val="00B31A34"/>
    <w:rsid w:val="00B31EFC"/>
    <w:rsid w:val="00B321E7"/>
    <w:rsid w:val="00B33000"/>
    <w:rsid w:val="00B3319B"/>
    <w:rsid w:val="00B33DCE"/>
    <w:rsid w:val="00B34112"/>
    <w:rsid w:val="00B354C2"/>
    <w:rsid w:val="00B35F3E"/>
    <w:rsid w:val="00B35FE6"/>
    <w:rsid w:val="00B36717"/>
    <w:rsid w:val="00B36B9E"/>
    <w:rsid w:val="00B3748A"/>
    <w:rsid w:val="00B37908"/>
    <w:rsid w:val="00B37A73"/>
    <w:rsid w:val="00B40F04"/>
    <w:rsid w:val="00B41B1B"/>
    <w:rsid w:val="00B421C5"/>
    <w:rsid w:val="00B4253F"/>
    <w:rsid w:val="00B428F0"/>
    <w:rsid w:val="00B42C79"/>
    <w:rsid w:val="00B42D11"/>
    <w:rsid w:val="00B43143"/>
    <w:rsid w:val="00B43957"/>
    <w:rsid w:val="00B44146"/>
    <w:rsid w:val="00B4469D"/>
    <w:rsid w:val="00B44DE6"/>
    <w:rsid w:val="00B4576D"/>
    <w:rsid w:val="00B46270"/>
    <w:rsid w:val="00B469A4"/>
    <w:rsid w:val="00B46F78"/>
    <w:rsid w:val="00B46F9E"/>
    <w:rsid w:val="00B47A24"/>
    <w:rsid w:val="00B47CF2"/>
    <w:rsid w:val="00B50000"/>
    <w:rsid w:val="00B50188"/>
    <w:rsid w:val="00B50335"/>
    <w:rsid w:val="00B50DF3"/>
    <w:rsid w:val="00B50E69"/>
    <w:rsid w:val="00B50EF4"/>
    <w:rsid w:val="00B50F54"/>
    <w:rsid w:val="00B51197"/>
    <w:rsid w:val="00B51709"/>
    <w:rsid w:val="00B52613"/>
    <w:rsid w:val="00B53796"/>
    <w:rsid w:val="00B53960"/>
    <w:rsid w:val="00B547A4"/>
    <w:rsid w:val="00B54FB3"/>
    <w:rsid w:val="00B55DCA"/>
    <w:rsid w:val="00B56108"/>
    <w:rsid w:val="00B562E7"/>
    <w:rsid w:val="00B570D2"/>
    <w:rsid w:val="00B60309"/>
    <w:rsid w:val="00B613E8"/>
    <w:rsid w:val="00B6186E"/>
    <w:rsid w:val="00B61C6F"/>
    <w:rsid w:val="00B61C9F"/>
    <w:rsid w:val="00B62568"/>
    <w:rsid w:val="00B628C9"/>
    <w:rsid w:val="00B638B8"/>
    <w:rsid w:val="00B63A78"/>
    <w:rsid w:val="00B642C8"/>
    <w:rsid w:val="00B64BC2"/>
    <w:rsid w:val="00B64CAE"/>
    <w:rsid w:val="00B64F96"/>
    <w:rsid w:val="00B66660"/>
    <w:rsid w:val="00B66751"/>
    <w:rsid w:val="00B6676E"/>
    <w:rsid w:val="00B667DA"/>
    <w:rsid w:val="00B670BF"/>
    <w:rsid w:val="00B6751E"/>
    <w:rsid w:val="00B67B61"/>
    <w:rsid w:val="00B7016A"/>
    <w:rsid w:val="00B70649"/>
    <w:rsid w:val="00B7182D"/>
    <w:rsid w:val="00B722B7"/>
    <w:rsid w:val="00B723CC"/>
    <w:rsid w:val="00B726F1"/>
    <w:rsid w:val="00B7288B"/>
    <w:rsid w:val="00B72B3B"/>
    <w:rsid w:val="00B730A9"/>
    <w:rsid w:val="00B73705"/>
    <w:rsid w:val="00B738CF"/>
    <w:rsid w:val="00B739F5"/>
    <w:rsid w:val="00B73F9B"/>
    <w:rsid w:val="00B763FE"/>
    <w:rsid w:val="00B76C36"/>
    <w:rsid w:val="00B775FC"/>
    <w:rsid w:val="00B77A0A"/>
    <w:rsid w:val="00B77C41"/>
    <w:rsid w:val="00B80266"/>
    <w:rsid w:val="00B807C7"/>
    <w:rsid w:val="00B80C53"/>
    <w:rsid w:val="00B80ED0"/>
    <w:rsid w:val="00B80F81"/>
    <w:rsid w:val="00B8135F"/>
    <w:rsid w:val="00B814F0"/>
    <w:rsid w:val="00B81660"/>
    <w:rsid w:val="00B820A4"/>
    <w:rsid w:val="00B831FA"/>
    <w:rsid w:val="00B83A2F"/>
    <w:rsid w:val="00B8507B"/>
    <w:rsid w:val="00B85329"/>
    <w:rsid w:val="00B85650"/>
    <w:rsid w:val="00B85940"/>
    <w:rsid w:val="00B85FA1"/>
    <w:rsid w:val="00B8612C"/>
    <w:rsid w:val="00B864D4"/>
    <w:rsid w:val="00B86A76"/>
    <w:rsid w:val="00B87294"/>
    <w:rsid w:val="00B873F1"/>
    <w:rsid w:val="00B8763C"/>
    <w:rsid w:val="00B87DDB"/>
    <w:rsid w:val="00B90406"/>
    <w:rsid w:val="00B90461"/>
    <w:rsid w:val="00B906DB"/>
    <w:rsid w:val="00B907F5"/>
    <w:rsid w:val="00B90C04"/>
    <w:rsid w:val="00B90DB1"/>
    <w:rsid w:val="00B91016"/>
    <w:rsid w:val="00B91FDA"/>
    <w:rsid w:val="00B9273E"/>
    <w:rsid w:val="00B94662"/>
    <w:rsid w:val="00B948F7"/>
    <w:rsid w:val="00B95E56"/>
    <w:rsid w:val="00B9622A"/>
    <w:rsid w:val="00B96B62"/>
    <w:rsid w:val="00B97380"/>
    <w:rsid w:val="00B974C4"/>
    <w:rsid w:val="00BA0115"/>
    <w:rsid w:val="00BA07CE"/>
    <w:rsid w:val="00BA083F"/>
    <w:rsid w:val="00BA0CC7"/>
    <w:rsid w:val="00BA1159"/>
    <w:rsid w:val="00BA1779"/>
    <w:rsid w:val="00BA200E"/>
    <w:rsid w:val="00BA2645"/>
    <w:rsid w:val="00BA3175"/>
    <w:rsid w:val="00BA393D"/>
    <w:rsid w:val="00BA3F49"/>
    <w:rsid w:val="00BA47D9"/>
    <w:rsid w:val="00BA5569"/>
    <w:rsid w:val="00BA5875"/>
    <w:rsid w:val="00BA6005"/>
    <w:rsid w:val="00BA6069"/>
    <w:rsid w:val="00BA60BA"/>
    <w:rsid w:val="00BA60EC"/>
    <w:rsid w:val="00BA6143"/>
    <w:rsid w:val="00BA65A2"/>
    <w:rsid w:val="00BA677C"/>
    <w:rsid w:val="00BA6A87"/>
    <w:rsid w:val="00BA6B43"/>
    <w:rsid w:val="00BA6F5A"/>
    <w:rsid w:val="00BA73CE"/>
    <w:rsid w:val="00BA76A5"/>
    <w:rsid w:val="00BB0538"/>
    <w:rsid w:val="00BB0BB4"/>
    <w:rsid w:val="00BB0C6E"/>
    <w:rsid w:val="00BB0DB1"/>
    <w:rsid w:val="00BB1194"/>
    <w:rsid w:val="00BB11A2"/>
    <w:rsid w:val="00BB11E2"/>
    <w:rsid w:val="00BB19F2"/>
    <w:rsid w:val="00BB1B36"/>
    <w:rsid w:val="00BB201B"/>
    <w:rsid w:val="00BB2CB6"/>
    <w:rsid w:val="00BB3277"/>
    <w:rsid w:val="00BB3308"/>
    <w:rsid w:val="00BB3BB0"/>
    <w:rsid w:val="00BB3BB9"/>
    <w:rsid w:val="00BB3EBD"/>
    <w:rsid w:val="00BB43DF"/>
    <w:rsid w:val="00BB45E5"/>
    <w:rsid w:val="00BB4F28"/>
    <w:rsid w:val="00BB5322"/>
    <w:rsid w:val="00BB53D4"/>
    <w:rsid w:val="00BB564C"/>
    <w:rsid w:val="00BB5B80"/>
    <w:rsid w:val="00BB5DB0"/>
    <w:rsid w:val="00BB5E01"/>
    <w:rsid w:val="00BB702B"/>
    <w:rsid w:val="00BB7460"/>
    <w:rsid w:val="00BB7FBE"/>
    <w:rsid w:val="00BC080A"/>
    <w:rsid w:val="00BC083C"/>
    <w:rsid w:val="00BC0894"/>
    <w:rsid w:val="00BC0945"/>
    <w:rsid w:val="00BC09CB"/>
    <w:rsid w:val="00BC124B"/>
    <w:rsid w:val="00BC128C"/>
    <w:rsid w:val="00BC140F"/>
    <w:rsid w:val="00BC1CD2"/>
    <w:rsid w:val="00BC2032"/>
    <w:rsid w:val="00BC20BF"/>
    <w:rsid w:val="00BC20F9"/>
    <w:rsid w:val="00BC2741"/>
    <w:rsid w:val="00BC2E43"/>
    <w:rsid w:val="00BC36D2"/>
    <w:rsid w:val="00BC53B9"/>
    <w:rsid w:val="00BC5D9D"/>
    <w:rsid w:val="00BC5FE0"/>
    <w:rsid w:val="00BC6B77"/>
    <w:rsid w:val="00BC6CF7"/>
    <w:rsid w:val="00BC6F49"/>
    <w:rsid w:val="00BC71C8"/>
    <w:rsid w:val="00BC7521"/>
    <w:rsid w:val="00BD05F5"/>
    <w:rsid w:val="00BD16DA"/>
    <w:rsid w:val="00BD1888"/>
    <w:rsid w:val="00BD1DF1"/>
    <w:rsid w:val="00BD23BD"/>
    <w:rsid w:val="00BD2998"/>
    <w:rsid w:val="00BD2A2C"/>
    <w:rsid w:val="00BD2BB4"/>
    <w:rsid w:val="00BD4798"/>
    <w:rsid w:val="00BD50D4"/>
    <w:rsid w:val="00BD54B6"/>
    <w:rsid w:val="00BD55C1"/>
    <w:rsid w:val="00BD5AF5"/>
    <w:rsid w:val="00BD6114"/>
    <w:rsid w:val="00BD6DC2"/>
    <w:rsid w:val="00BD761D"/>
    <w:rsid w:val="00BD7745"/>
    <w:rsid w:val="00BD7C8F"/>
    <w:rsid w:val="00BE007B"/>
    <w:rsid w:val="00BE04EE"/>
    <w:rsid w:val="00BE0968"/>
    <w:rsid w:val="00BE0974"/>
    <w:rsid w:val="00BE1308"/>
    <w:rsid w:val="00BE13FD"/>
    <w:rsid w:val="00BE1451"/>
    <w:rsid w:val="00BE1756"/>
    <w:rsid w:val="00BE18E7"/>
    <w:rsid w:val="00BE198F"/>
    <w:rsid w:val="00BE21E7"/>
    <w:rsid w:val="00BE24CA"/>
    <w:rsid w:val="00BE3627"/>
    <w:rsid w:val="00BE3A04"/>
    <w:rsid w:val="00BE3C2C"/>
    <w:rsid w:val="00BE4986"/>
    <w:rsid w:val="00BE5580"/>
    <w:rsid w:val="00BE5761"/>
    <w:rsid w:val="00BE57BA"/>
    <w:rsid w:val="00BE5C58"/>
    <w:rsid w:val="00BE6160"/>
    <w:rsid w:val="00BE61AF"/>
    <w:rsid w:val="00BE61EB"/>
    <w:rsid w:val="00BE626B"/>
    <w:rsid w:val="00BE6CA1"/>
    <w:rsid w:val="00BE6F80"/>
    <w:rsid w:val="00BE70A0"/>
    <w:rsid w:val="00BE739E"/>
    <w:rsid w:val="00BE78D7"/>
    <w:rsid w:val="00BF015B"/>
    <w:rsid w:val="00BF12B8"/>
    <w:rsid w:val="00BF1E72"/>
    <w:rsid w:val="00BF3A64"/>
    <w:rsid w:val="00BF3ACA"/>
    <w:rsid w:val="00BF4DD7"/>
    <w:rsid w:val="00BF533F"/>
    <w:rsid w:val="00BF5787"/>
    <w:rsid w:val="00BF59AD"/>
    <w:rsid w:val="00BF5B7C"/>
    <w:rsid w:val="00BF607D"/>
    <w:rsid w:val="00BF65DD"/>
    <w:rsid w:val="00BF67F6"/>
    <w:rsid w:val="00BF6C03"/>
    <w:rsid w:val="00BF6FAD"/>
    <w:rsid w:val="00BF6FCC"/>
    <w:rsid w:val="00BF73EA"/>
    <w:rsid w:val="00BF7884"/>
    <w:rsid w:val="00C0059C"/>
    <w:rsid w:val="00C012D5"/>
    <w:rsid w:val="00C01920"/>
    <w:rsid w:val="00C01944"/>
    <w:rsid w:val="00C01BD9"/>
    <w:rsid w:val="00C021AB"/>
    <w:rsid w:val="00C0233F"/>
    <w:rsid w:val="00C0353D"/>
    <w:rsid w:val="00C03EB2"/>
    <w:rsid w:val="00C03EF6"/>
    <w:rsid w:val="00C045CD"/>
    <w:rsid w:val="00C04783"/>
    <w:rsid w:val="00C05016"/>
    <w:rsid w:val="00C065B4"/>
    <w:rsid w:val="00C06E4E"/>
    <w:rsid w:val="00C06F60"/>
    <w:rsid w:val="00C07680"/>
    <w:rsid w:val="00C1054B"/>
    <w:rsid w:val="00C108B9"/>
    <w:rsid w:val="00C108EC"/>
    <w:rsid w:val="00C10909"/>
    <w:rsid w:val="00C11099"/>
    <w:rsid w:val="00C112DE"/>
    <w:rsid w:val="00C114DE"/>
    <w:rsid w:val="00C115C8"/>
    <w:rsid w:val="00C119E5"/>
    <w:rsid w:val="00C11EFD"/>
    <w:rsid w:val="00C126ED"/>
    <w:rsid w:val="00C127BA"/>
    <w:rsid w:val="00C127C7"/>
    <w:rsid w:val="00C12CAF"/>
    <w:rsid w:val="00C12CE1"/>
    <w:rsid w:val="00C12D65"/>
    <w:rsid w:val="00C12DC2"/>
    <w:rsid w:val="00C13313"/>
    <w:rsid w:val="00C13EDF"/>
    <w:rsid w:val="00C15EBC"/>
    <w:rsid w:val="00C15F90"/>
    <w:rsid w:val="00C175C6"/>
    <w:rsid w:val="00C17713"/>
    <w:rsid w:val="00C1791D"/>
    <w:rsid w:val="00C17CE1"/>
    <w:rsid w:val="00C21E0B"/>
    <w:rsid w:val="00C21F03"/>
    <w:rsid w:val="00C2305A"/>
    <w:rsid w:val="00C242DE"/>
    <w:rsid w:val="00C248EC"/>
    <w:rsid w:val="00C24ADE"/>
    <w:rsid w:val="00C25199"/>
    <w:rsid w:val="00C25219"/>
    <w:rsid w:val="00C258D5"/>
    <w:rsid w:val="00C25CE6"/>
    <w:rsid w:val="00C2610B"/>
    <w:rsid w:val="00C26665"/>
    <w:rsid w:val="00C26A8C"/>
    <w:rsid w:val="00C270A1"/>
    <w:rsid w:val="00C27556"/>
    <w:rsid w:val="00C27855"/>
    <w:rsid w:val="00C27971"/>
    <w:rsid w:val="00C27B8A"/>
    <w:rsid w:val="00C27C19"/>
    <w:rsid w:val="00C30702"/>
    <w:rsid w:val="00C30E3A"/>
    <w:rsid w:val="00C31BAA"/>
    <w:rsid w:val="00C321C4"/>
    <w:rsid w:val="00C33311"/>
    <w:rsid w:val="00C33473"/>
    <w:rsid w:val="00C33E5F"/>
    <w:rsid w:val="00C3442F"/>
    <w:rsid w:val="00C34CA6"/>
    <w:rsid w:val="00C35444"/>
    <w:rsid w:val="00C35775"/>
    <w:rsid w:val="00C3590B"/>
    <w:rsid w:val="00C36110"/>
    <w:rsid w:val="00C36356"/>
    <w:rsid w:val="00C36708"/>
    <w:rsid w:val="00C36AAE"/>
    <w:rsid w:val="00C403F2"/>
    <w:rsid w:val="00C4051F"/>
    <w:rsid w:val="00C40E24"/>
    <w:rsid w:val="00C40E37"/>
    <w:rsid w:val="00C41210"/>
    <w:rsid w:val="00C41AE2"/>
    <w:rsid w:val="00C41CD7"/>
    <w:rsid w:val="00C42611"/>
    <w:rsid w:val="00C42E83"/>
    <w:rsid w:val="00C4350B"/>
    <w:rsid w:val="00C43955"/>
    <w:rsid w:val="00C43A63"/>
    <w:rsid w:val="00C43F09"/>
    <w:rsid w:val="00C44BBA"/>
    <w:rsid w:val="00C44BE3"/>
    <w:rsid w:val="00C459A8"/>
    <w:rsid w:val="00C46952"/>
    <w:rsid w:val="00C46E91"/>
    <w:rsid w:val="00C476F9"/>
    <w:rsid w:val="00C478C9"/>
    <w:rsid w:val="00C47AF4"/>
    <w:rsid w:val="00C50419"/>
    <w:rsid w:val="00C5050E"/>
    <w:rsid w:val="00C50DE1"/>
    <w:rsid w:val="00C51076"/>
    <w:rsid w:val="00C5122F"/>
    <w:rsid w:val="00C51861"/>
    <w:rsid w:val="00C51F89"/>
    <w:rsid w:val="00C52A4E"/>
    <w:rsid w:val="00C53101"/>
    <w:rsid w:val="00C532A6"/>
    <w:rsid w:val="00C5355F"/>
    <w:rsid w:val="00C5376D"/>
    <w:rsid w:val="00C53FFF"/>
    <w:rsid w:val="00C5438A"/>
    <w:rsid w:val="00C54878"/>
    <w:rsid w:val="00C54A08"/>
    <w:rsid w:val="00C5553B"/>
    <w:rsid w:val="00C55C0C"/>
    <w:rsid w:val="00C56137"/>
    <w:rsid w:val="00C56ACE"/>
    <w:rsid w:val="00C56C11"/>
    <w:rsid w:val="00C56C78"/>
    <w:rsid w:val="00C57911"/>
    <w:rsid w:val="00C57C0F"/>
    <w:rsid w:val="00C60CC7"/>
    <w:rsid w:val="00C60DC8"/>
    <w:rsid w:val="00C60E46"/>
    <w:rsid w:val="00C61C75"/>
    <w:rsid w:val="00C61F5A"/>
    <w:rsid w:val="00C62586"/>
    <w:rsid w:val="00C628BB"/>
    <w:rsid w:val="00C634DE"/>
    <w:rsid w:val="00C635A3"/>
    <w:rsid w:val="00C63C6E"/>
    <w:rsid w:val="00C641E5"/>
    <w:rsid w:val="00C64232"/>
    <w:rsid w:val="00C64980"/>
    <w:rsid w:val="00C64B64"/>
    <w:rsid w:val="00C654FA"/>
    <w:rsid w:val="00C65B66"/>
    <w:rsid w:val="00C6690C"/>
    <w:rsid w:val="00C66CD6"/>
    <w:rsid w:val="00C66D4F"/>
    <w:rsid w:val="00C677CB"/>
    <w:rsid w:val="00C71517"/>
    <w:rsid w:val="00C7250F"/>
    <w:rsid w:val="00C727F8"/>
    <w:rsid w:val="00C73037"/>
    <w:rsid w:val="00C730EF"/>
    <w:rsid w:val="00C73FBB"/>
    <w:rsid w:val="00C7415D"/>
    <w:rsid w:val="00C7524F"/>
    <w:rsid w:val="00C75436"/>
    <w:rsid w:val="00C75599"/>
    <w:rsid w:val="00C764A0"/>
    <w:rsid w:val="00C76672"/>
    <w:rsid w:val="00C76D15"/>
    <w:rsid w:val="00C77AB4"/>
    <w:rsid w:val="00C77B3B"/>
    <w:rsid w:val="00C800D2"/>
    <w:rsid w:val="00C80ADA"/>
    <w:rsid w:val="00C80E64"/>
    <w:rsid w:val="00C811EF"/>
    <w:rsid w:val="00C8129B"/>
    <w:rsid w:val="00C81B48"/>
    <w:rsid w:val="00C822C6"/>
    <w:rsid w:val="00C82335"/>
    <w:rsid w:val="00C823B6"/>
    <w:rsid w:val="00C838EB"/>
    <w:rsid w:val="00C8409D"/>
    <w:rsid w:val="00C84267"/>
    <w:rsid w:val="00C84337"/>
    <w:rsid w:val="00C8437D"/>
    <w:rsid w:val="00C85122"/>
    <w:rsid w:val="00C85229"/>
    <w:rsid w:val="00C85595"/>
    <w:rsid w:val="00C859EB"/>
    <w:rsid w:val="00C867F0"/>
    <w:rsid w:val="00C86DBA"/>
    <w:rsid w:val="00C8757F"/>
    <w:rsid w:val="00C8762A"/>
    <w:rsid w:val="00C902A0"/>
    <w:rsid w:val="00C90606"/>
    <w:rsid w:val="00C90991"/>
    <w:rsid w:val="00C90E43"/>
    <w:rsid w:val="00C91DE2"/>
    <w:rsid w:val="00C92DEE"/>
    <w:rsid w:val="00C92E51"/>
    <w:rsid w:val="00C92EE8"/>
    <w:rsid w:val="00C9369F"/>
    <w:rsid w:val="00C93B8B"/>
    <w:rsid w:val="00C93D4F"/>
    <w:rsid w:val="00C942BD"/>
    <w:rsid w:val="00C942ED"/>
    <w:rsid w:val="00C94684"/>
    <w:rsid w:val="00C94E21"/>
    <w:rsid w:val="00C96391"/>
    <w:rsid w:val="00C96E7E"/>
    <w:rsid w:val="00C9774C"/>
    <w:rsid w:val="00CA0A27"/>
    <w:rsid w:val="00CA1089"/>
    <w:rsid w:val="00CA1219"/>
    <w:rsid w:val="00CA129F"/>
    <w:rsid w:val="00CA12C5"/>
    <w:rsid w:val="00CA14E9"/>
    <w:rsid w:val="00CA2288"/>
    <w:rsid w:val="00CA264E"/>
    <w:rsid w:val="00CA26A6"/>
    <w:rsid w:val="00CA281C"/>
    <w:rsid w:val="00CA379C"/>
    <w:rsid w:val="00CA44C3"/>
    <w:rsid w:val="00CA4BAA"/>
    <w:rsid w:val="00CA4BCC"/>
    <w:rsid w:val="00CA4F9C"/>
    <w:rsid w:val="00CA50DE"/>
    <w:rsid w:val="00CA5EC1"/>
    <w:rsid w:val="00CA65EC"/>
    <w:rsid w:val="00CA6FE8"/>
    <w:rsid w:val="00CA704C"/>
    <w:rsid w:val="00CA70F5"/>
    <w:rsid w:val="00CA714E"/>
    <w:rsid w:val="00CA784B"/>
    <w:rsid w:val="00CA78CF"/>
    <w:rsid w:val="00CA7C9A"/>
    <w:rsid w:val="00CB0008"/>
    <w:rsid w:val="00CB0338"/>
    <w:rsid w:val="00CB081A"/>
    <w:rsid w:val="00CB148B"/>
    <w:rsid w:val="00CB18A6"/>
    <w:rsid w:val="00CB20E9"/>
    <w:rsid w:val="00CB2FEA"/>
    <w:rsid w:val="00CB33A0"/>
    <w:rsid w:val="00CB38A0"/>
    <w:rsid w:val="00CB4575"/>
    <w:rsid w:val="00CB45EB"/>
    <w:rsid w:val="00CB472E"/>
    <w:rsid w:val="00CB4EAE"/>
    <w:rsid w:val="00CB5A88"/>
    <w:rsid w:val="00CB5BF9"/>
    <w:rsid w:val="00CB605E"/>
    <w:rsid w:val="00CB6778"/>
    <w:rsid w:val="00CB6D74"/>
    <w:rsid w:val="00CC0010"/>
    <w:rsid w:val="00CC0CC5"/>
    <w:rsid w:val="00CC13B7"/>
    <w:rsid w:val="00CC1BCF"/>
    <w:rsid w:val="00CC2CC5"/>
    <w:rsid w:val="00CC3A1D"/>
    <w:rsid w:val="00CC3FDA"/>
    <w:rsid w:val="00CC422E"/>
    <w:rsid w:val="00CC4597"/>
    <w:rsid w:val="00CC46AB"/>
    <w:rsid w:val="00CC4E89"/>
    <w:rsid w:val="00CC4EBA"/>
    <w:rsid w:val="00CC5269"/>
    <w:rsid w:val="00CC5874"/>
    <w:rsid w:val="00CC6BFD"/>
    <w:rsid w:val="00CC7EC0"/>
    <w:rsid w:val="00CD1041"/>
    <w:rsid w:val="00CD1D7E"/>
    <w:rsid w:val="00CD287C"/>
    <w:rsid w:val="00CD3451"/>
    <w:rsid w:val="00CD3AE5"/>
    <w:rsid w:val="00CD5090"/>
    <w:rsid w:val="00CD515F"/>
    <w:rsid w:val="00CD5709"/>
    <w:rsid w:val="00CD597B"/>
    <w:rsid w:val="00CD5DC0"/>
    <w:rsid w:val="00CD6B80"/>
    <w:rsid w:val="00CD6ED4"/>
    <w:rsid w:val="00CD777B"/>
    <w:rsid w:val="00CE072E"/>
    <w:rsid w:val="00CE0A83"/>
    <w:rsid w:val="00CE0EEE"/>
    <w:rsid w:val="00CE103D"/>
    <w:rsid w:val="00CE15B4"/>
    <w:rsid w:val="00CE177C"/>
    <w:rsid w:val="00CE1A02"/>
    <w:rsid w:val="00CE1A64"/>
    <w:rsid w:val="00CE2624"/>
    <w:rsid w:val="00CE2699"/>
    <w:rsid w:val="00CE2B40"/>
    <w:rsid w:val="00CE318D"/>
    <w:rsid w:val="00CE3438"/>
    <w:rsid w:val="00CE45F2"/>
    <w:rsid w:val="00CE4628"/>
    <w:rsid w:val="00CE6106"/>
    <w:rsid w:val="00CE6372"/>
    <w:rsid w:val="00CE6D4D"/>
    <w:rsid w:val="00CE7103"/>
    <w:rsid w:val="00CE7145"/>
    <w:rsid w:val="00CE74F6"/>
    <w:rsid w:val="00CE770D"/>
    <w:rsid w:val="00CE77BA"/>
    <w:rsid w:val="00CE79A2"/>
    <w:rsid w:val="00CF01F8"/>
    <w:rsid w:val="00CF04DF"/>
    <w:rsid w:val="00CF05B2"/>
    <w:rsid w:val="00CF08EB"/>
    <w:rsid w:val="00CF0A55"/>
    <w:rsid w:val="00CF17D3"/>
    <w:rsid w:val="00CF1A0C"/>
    <w:rsid w:val="00CF1C13"/>
    <w:rsid w:val="00CF1DF0"/>
    <w:rsid w:val="00CF2661"/>
    <w:rsid w:val="00CF2AE7"/>
    <w:rsid w:val="00CF3C47"/>
    <w:rsid w:val="00CF3E30"/>
    <w:rsid w:val="00CF4608"/>
    <w:rsid w:val="00CF4F39"/>
    <w:rsid w:val="00CF525B"/>
    <w:rsid w:val="00CF5751"/>
    <w:rsid w:val="00CF59D0"/>
    <w:rsid w:val="00CF59FD"/>
    <w:rsid w:val="00CF6488"/>
    <w:rsid w:val="00CF64D6"/>
    <w:rsid w:val="00CF65CD"/>
    <w:rsid w:val="00CF7BE2"/>
    <w:rsid w:val="00CF7C6C"/>
    <w:rsid w:val="00D0015F"/>
    <w:rsid w:val="00D00294"/>
    <w:rsid w:val="00D006B0"/>
    <w:rsid w:val="00D00BE3"/>
    <w:rsid w:val="00D00FA5"/>
    <w:rsid w:val="00D0124B"/>
    <w:rsid w:val="00D0169F"/>
    <w:rsid w:val="00D01A31"/>
    <w:rsid w:val="00D01D27"/>
    <w:rsid w:val="00D01FDB"/>
    <w:rsid w:val="00D02102"/>
    <w:rsid w:val="00D02E21"/>
    <w:rsid w:val="00D03247"/>
    <w:rsid w:val="00D033E5"/>
    <w:rsid w:val="00D0379C"/>
    <w:rsid w:val="00D039F4"/>
    <w:rsid w:val="00D05B14"/>
    <w:rsid w:val="00D05B1C"/>
    <w:rsid w:val="00D060E9"/>
    <w:rsid w:val="00D06DC0"/>
    <w:rsid w:val="00D07F49"/>
    <w:rsid w:val="00D10739"/>
    <w:rsid w:val="00D12172"/>
    <w:rsid w:val="00D12BFE"/>
    <w:rsid w:val="00D12CA1"/>
    <w:rsid w:val="00D12E6D"/>
    <w:rsid w:val="00D13900"/>
    <w:rsid w:val="00D1419E"/>
    <w:rsid w:val="00D1443E"/>
    <w:rsid w:val="00D14B37"/>
    <w:rsid w:val="00D14D32"/>
    <w:rsid w:val="00D15682"/>
    <w:rsid w:val="00D15706"/>
    <w:rsid w:val="00D15BE0"/>
    <w:rsid w:val="00D15E96"/>
    <w:rsid w:val="00D1627E"/>
    <w:rsid w:val="00D17036"/>
    <w:rsid w:val="00D17080"/>
    <w:rsid w:val="00D1720F"/>
    <w:rsid w:val="00D174BA"/>
    <w:rsid w:val="00D17789"/>
    <w:rsid w:val="00D2013C"/>
    <w:rsid w:val="00D20883"/>
    <w:rsid w:val="00D20A36"/>
    <w:rsid w:val="00D20FF3"/>
    <w:rsid w:val="00D21084"/>
    <w:rsid w:val="00D21F24"/>
    <w:rsid w:val="00D22003"/>
    <w:rsid w:val="00D223E0"/>
    <w:rsid w:val="00D228A4"/>
    <w:rsid w:val="00D2316D"/>
    <w:rsid w:val="00D2328F"/>
    <w:rsid w:val="00D24297"/>
    <w:rsid w:val="00D245B7"/>
    <w:rsid w:val="00D250B4"/>
    <w:rsid w:val="00D25477"/>
    <w:rsid w:val="00D2548E"/>
    <w:rsid w:val="00D2555B"/>
    <w:rsid w:val="00D25680"/>
    <w:rsid w:val="00D25A8F"/>
    <w:rsid w:val="00D2630C"/>
    <w:rsid w:val="00D26A16"/>
    <w:rsid w:val="00D26BB1"/>
    <w:rsid w:val="00D273AC"/>
    <w:rsid w:val="00D27808"/>
    <w:rsid w:val="00D30200"/>
    <w:rsid w:val="00D304FE"/>
    <w:rsid w:val="00D30CB6"/>
    <w:rsid w:val="00D317B4"/>
    <w:rsid w:val="00D320C8"/>
    <w:rsid w:val="00D32274"/>
    <w:rsid w:val="00D32790"/>
    <w:rsid w:val="00D32CA3"/>
    <w:rsid w:val="00D32DB0"/>
    <w:rsid w:val="00D338AF"/>
    <w:rsid w:val="00D33BAB"/>
    <w:rsid w:val="00D33F22"/>
    <w:rsid w:val="00D3407C"/>
    <w:rsid w:val="00D34125"/>
    <w:rsid w:val="00D3427E"/>
    <w:rsid w:val="00D343BC"/>
    <w:rsid w:val="00D3471D"/>
    <w:rsid w:val="00D3484A"/>
    <w:rsid w:val="00D35055"/>
    <w:rsid w:val="00D36479"/>
    <w:rsid w:val="00D3717E"/>
    <w:rsid w:val="00D3767C"/>
    <w:rsid w:val="00D37AD1"/>
    <w:rsid w:val="00D4081D"/>
    <w:rsid w:val="00D41E67"/>
    <w:rsid w:val="00D42240"/>
    <w:rsid w:val="00D42BEB"/>
    <w:rsid w:val="00D43120"/>
    <w:rsid w:val="00D4380A"/>
    <w:rsid w:val="00D44415"/>
    <w:rsid w:val="00D44472"/>
    <w:rsid w:val="00D446BF"/>
    <w:rsid w:val="00D44792"/>
    <w:rsid w:val="00D44F0F"/>
    <w:rsid w:val="00D45647"/>
    <w:rsid w:val="00D45711"/>
    <w:rsid w:val="00D45F7E"/>
    <w:rsid w:val="00D46358"/>
    <w:rsid w:val="00D46BEC"/>
    <w:rsid w:val="00D46C1C"/>
    <w:rsid w:val="00D479C2"/>
    <w:rsid w:val="00D47D16"/>
    <w:rsid w:val="00D50137"/>
    <w:rsid w:val="00D50181"/>
    <w:rsid w:val="00D50322"/>
    <w:rsid w:val="00D50836"/>
    <w:rsid w:val="00D5090D"/>
    <w:rsid w:val="00D51029"/>
    <w:rsid w:val="00D512BE"/>
    <w:rsid w:val="00D512F4"/>
    <w:rsid w:val="00D51645"/>
    <w:rsid w:val="00D51F58"/>
    <w:rsid w:val="00D5232E"/>
    <w:rsid w:val="00D5251B"/>
    <w:rsid w:val="00D5299B"/>
    <w:rsid w:val="00D52D52"/>
    <w:rsid w:val="00D5328A"/>
    <w:rsid w:val="00D537F0"/>
    <w:rsid w:val="00D53EA7"/>
    <w:rsid w:val="00D543EC"/>
    <w:rsid w:val="00D543F9"/>
    <w:rsid w:val="00D546BC"/>
    <w:rsid w:val="00D54DAD"/>
    <w:rsid w:val="00D552AF"/>
    <w:rsid w:val="00D5636A"/>
    <w:rsid w:val="00D567A9"/>
    <w:rsid w:val="00D56B8A"/>
    <w:rsid w:val="00D56D2E"/>
    <w:rsid w:val="00D56E58"/>
    <w:rsid w:val="00D578C0"/>
    <w:rsid w:val="00D60567"/>
    <w:rsid w:val="00D60DED"/>
    <w:rsid w:val="00D61001"/>
    <w:rsid w:val="00D620E1"/>
    <w:rsid w:val="00D644AA"/>
    <w:rsid w:val="00D64C01"/>
    <w:rsid w:val="00D64C8E"/>
    <w:rsid w:val="00D64EE6"/>
    <w:rsid w:val="00D650B0"/>
    <w:rsid w:val="00D6524F"/>
    <w:rsid w:val="00D65373"/>
    <w:rsid w:val="00D654B6"/>
    <w:rsid w:val="00D65AD6"/>
    <w:rsid w:val="00D65BF2"/>
    <w:rsid w:val="00D66654"/>
    <w:rsid w:val="00D66975"/>
    <w:rsid w:val="00D6777A"/>
    <w:rsid w:val="00D67859"/>
    <w:rsid w:val="00D67A10"/>
    <w:rsid w:val="00D67C3C"/>
    <w:rsid w:val="00D7097D"/>
    <w:rsid w:val="00D70E54"/>
    <w:rsid w:val="00D70E6B"/>
    <w:rsid w:val="00D71346"/>
    <w:rsid w:val="00D71AAE"/>
    <w:rsid w:val="00D721F1"/>
    <w:rsid w:val="00D728D8"/>
    <w:rsid w:val="00D72908"/>
    <w:rsid w:val="00D72B0E"/>
    <w:rsid w:val="00D72CAC"/>
    <w:rsid w:val="00D72D5B"/>
    <w:rsid w:val="00D72E8D"/>
    <w:rsid w:val="00D73990"/>
    <w:rsid w:val="00D73AD1"/>
    <w:rsid w:val="00D73BCA"/>
    <w:rsid w:val="00D7542B"/>
    <w:rsid w:val="00D755A5"/>
    <w:rsid w:val="00D75D0D"/>
    <w:rsid w:val="00D75DB4"/>
    <w:rsid w:val="00D76119"/>
    <w:rsid w:val="00D76AFC"/>
    <w:rsid w:val="00D76C3A"/>
    <w:rsid w:val="00D7746E"/>
    <w:rsid w:val="00D77802"/>
    <w:rsid w:val="00D805EC"/>
    <w:rsid w:val="00D805F5"/>
    <w:rsid w:val="00D80974"/>
    <w:rsid w:val="00D80C33"/>
    <w:rsid w:val="00D81854"/>
    <w:rsid w:val="00D81F5D"/>
    <w:rsid w:val="00D8227A"/>
    <w:rsid w:val="00D82843"/>
    <w:rsid w:val="00D82FBE"/>
    <w:rsid w:val="00D833ED"/>
    <w:rsid w:val="00D834D0"/>
    <w:rsid w:val="00D8377F"/>
    <w:rsid w:val="00D83875"/>
    <w:rsid w:val="00D83C22"/>
    <w:rsid w:val="00D83DDB"/>
    <w:rsid w:val="00D841F0"/>
    <w:rsid w:val="00D84519"/>
    <w:rsid w:val="00D84A86"/>
    <w:rsid w:val="00D84AB1"/>
    <w:rsid w:val="00D850E1"/>
    <w:rsid w:val="00D85A72"/>
    <w:rsid w:val="00D85F9D"/>
    <w:rsid w:val="00D86BF9"/>
    <w:rsid w:val="00D86DB3"/>
    <w:rsid w:val="00D90744"/>
    <w:rsid w:val="00D90D52"/>
    <w:rsid w:val="00D91828"/>
    <w:rsid w:val="00D91DA4"/>
    <w:rsid w:val="00D91DEC"/>
    <w:rsid w:val="00D91E8C"/>
    <w:rsid w:val="00D91EBD"/>
    <w:rsid w:val="00D932BD"/>
    <w:rsid w:val="00D94B3E"/>
    <w:rsid w:val="00D9532C"/>
    <w:rsid w:val="00D954D3"/>
    <w:rsid w:val="00D958B4"/>
    <w:rsid w:val="00D95B68"/>
    <w:rsid w:val="00D964B6"/>
    <w:rsid w:val="00D96ED7"/>
    <w:rsid w:val="00D974DD"/>
    <w:rsid w:val="00D9784B"/>
    <w:rsid w:val="00D97A81"/>
    <w:rsid w:val="00DA0B40"/>
    <w:rsid w:val="00DA0C11"/>
    <w:rsid w:val="00DA0D8A"/>
    <w:rsid w:val="00DA0FF4"/>
    <w:rsid w:val="00DA15E4"/>
    <w:rsid w:val="00DA16D7"/>
    <w:rsid w:val="00DA1A2C"/>
    <w:rsid w:val="00DA214D"/>
    <w:rsid w:val="00DA22EB"/>
    <w:rsid w:val="00DA23C5"/>
    <w:rsid w:val="00DA2CEE"/>
    <w:rsid w:val="00DA3313"/>
    <w:rsid w:val="00DA36D7"/>
    <w:rsid w:val="00DA3A9F"/>
    <w:rsid w:val="00DA414B"/>
    <w:rsid w:val="00DA4E3C"/>
    <w:rsid w:val="00DA5830"/>
    <w:rsid w:val="00DA5DBE"/>
    <w:rsid w:val="00DA5FC3"/>
    <w:rsid w:val="00DA60A6"/>
    <w:rsid w:val="00DA62D0"/>
    <w:rsid w:val="00DA694F"/>
    <w:rsid w:val="00DA6C71"/>
    <w:rsid w:val="00DA6CBA"/>
    <w:rsid w:val="00DA7545"/>
    <w:rsid w:val="00DA7F57"/>
    <w:rsid w:val="00DB0A5E"/>
    <w:rsid w:val="00DB12BF"/>
    <w:rsid w:val="00DB159E"/>
    <w:rsid w:val="00DB19AD"/>
    <w:rsid w:val="00DB20E0"/>
    <w:rsid w:val="00DB2A57"/>
    <w:rsid w:val="00DB3601"/>
    <w:rsid w:val="00DB3658"/>
    <w:rsid w:val="00DB396A"/>
    <w:rsid w:val="00DB3B89"/>
    <w:rsid w:val="00DB4255"/>
    <w:rsid w:val="00DB4CBB"/>
    <w:rsid w:val="00DB53CA"/>
    <w:rsid w:val="00DB59D8"/>
    <w:rsid w:val="00DB628F"/>
    <w:rsid w:val="00DB64D4"/>
    <w:rsid w:val="00DB6A39"/>
    <w:rsid w:val="00DB731A"/>
    <w:rsid w:val="00DB7D8A"/>
    <w:rsid w:val="00DB7E66"/>
    <w:rsid w:val="00DC04B0"/>
    <w:rsid w:val="00DC0565"/>
    <w:rsid w:val="00DC0D20"/>
    <w:rsid w:val="00DC2251"/>
    <w:rsid w:val="00DC272A"/>
    <w:rsid w:val="00DC2BED"/>
    <w:rsid w:val="00DC2EB2"/>
    <w:rsid w:val="00DC34FE"/>
    <w:rsid w:val="00DC38EC"/>
    <w:rsid w:val="00DC46D5"/>
    <w:rsid w:val="00DC4CD7"/>
    <w:rsid w:val="00DC5749"/>
    <w:rsid w:val="00DC57C4"/>
    <w:rsid w:val="00DC5C91"/>
    <w:rsid w:val="00DC6508"/>
    <w:rsid w:val="00DC70AB"/>
    <w:rsid w:val="00DC7830"/>
    <w:rsid w:val="00DC7EE5"/>
    <w:rsid w:val="00DD0478"/>
    <w:rsid w:val="00DD0626"/>
    <w:rsid w:val="00DD0664"/>
    <w:rsid w:val="00DD10F8"/>
    <w:rsid w:val="00DD11C7"/>
    <w:rsid w:val="00DD29D9"/>
    <w:rsid w:val="00DD2A53"/>
    <w:rsid w:val="00DD3727"/>
    <w:rsid w:val="00DD374B"/>
    <w:rsid w:val="00DD37AC"/>
    <w:rsid w:val="00DD4385"/>
    <w:rsid w:val="00DD44E8"/>
    <w:rsid w:val="00DD47BF"/>
    <w:rsid w:val="00DD4921"/>
    <w:rsid w:val="00DD4A96"/>
    <w:rsid w:val="00DD513C"/>
    <w:rsid w:val="00DD5272"/>
    <w:rsid w:val="00DD55D0"/>
    <w:rsid w:val="00DD5B77"/>
    <w:rsid w:val="00DD6104"/>
    <w:rsid w:val="00DD6B4E"/>
    <w:rsid w:val="00DD6FC6"/>
    <w:rsid w:val="00DD7538"/>
    <w:rsid w:val="00DD7CC7"/>
    <w:rsid w:val="00DE0939"/>
    <w:rsid w:val="00DE0BFB"/>
    <w:rsid w:val="00DE0C0F"/>
    <w:rsid w:val="00DE1B13"/>
    <w:rsid w:val="00DE1D48"/>
    <w:rsid w:val="00DE2D28"/>
    <w:rsid w:val="00DE2F07"/>
    <w:rsid w:val="00DE3684"/>
    <w:rsid w:val="00DE391E"/>
    <w:rsid w:val="00DE3952"/>
    <w:rsid w:val="00DE3FE3"/>
    <w:rsid w:val="00DE4E24"/>
    <w:rsid w:val="00DE513C"/>
    <w:rsid w:val="00DE51F9"/>
    <w:rsid w:val="00DE532D"/>
    <w:rsid w:val="00DE54FC"/>
    <w:rsid w:val="00DE5DB2"/>
    <w:rsid w:val="00DE5ED1"/>
    <w:rsid w:val="00DE61EC"/>
    <w:rsid w:val="00DE6629"/>
    <w:rsid w:val="00DE6B29"/>
    <w:rsid w:val="00DE6BB7"/>
    <w:rsid w:val="00DE6C41"/>
    <w:rsid w:val="00DE72B0"/>
    <w:rsid w:val="00DE74A2"/>
    <w:rsid w:val="00DE7619"/>
    <w:rsid w:val="00DE7E4C"/>
    <w:rsid w:val="00DE7EF6"/>
    <w:rsid w:val="00DF0840"/>
    <w:rsid w:val="00DF0A63"/>
    <w:rsid w:val="00DF0E53"/>
    <w:rsid w:val="00DF0F64"/>
    <w:rsid w:val="00DF1286"/>
    <w:rsid w:val="00DF19CD"/>
    <w:rsid w:val="00DF2200"/>
    <w:rsid w:val="00DF27C1"/>
    <w:rsid w:val="00DF2C67"/>
    <w:rsid w:val="00DF3005"/>
    <w:rsid w:val="00DF3B13"/>
    <w:rsid w:val="00DF4087"/>
    <w:rsid w:val="00DF4706"/>
    <w:rsid w:val="00DF4A2E"/>
    <w:rsid w:val="00DF4D02"/>
    <w:rsid w:val="00DF4FC9"/>
    <w:rsid w:val="00DF5974"/>
    <w:rsid w:val="00DF65E4"/>
    <w:rsid w:val="00DF683D"/>
    <w:rsid w:val="00DF6AA2"/>
    <w:rsid w:val="00DF6F0A"/>
    <w:rsid w:val="00DF78B1"/>
    <w:rsid w:val="00DF7909"/>
    <w:rsid w:val="00DF7AAE"/>
    <w:rsid w:val="00E00273"/>
    <w:rsid w:val="00E0062F"/>
    <w:rsid w:val="00E013B1"/>
    <w:rsid w:val="00E01406"/>
    <w:rsid w:val="00E01B81"/>
    <w:rsid w:val="00E02737"/>
    <w:rsid w:val="00E02BA8"/>
    <w:rsid w:val="00E02D66"/>
    <w:rsid w:val="00E02E58"/>
    <w:rsid w:val="00E02F2F"/>
    <w:rsid w:val="00E04771"/>
    <w:rsid w:val="00E04C40"/>
    <w:rsid w:val="00E04DA1"/>
    <w:rsid w:val="00E05269"/>
    <w:rsid w:val="00E0534D"/>
    <w:rsid w:val="00E05757"/>
    <w:rsid w:val="00E057CD"/>
    <w:rsid w:val="00E05A1A"/>
    <w:rsid w:val="00E05DDC"/>
    <w:rsid w:val="00E05E11"/>
    <w:rsid w:val="00E05FFA"/>
    <w:rsid w:val="00E0686C"/>
    <w:rsid w:val="00E06E20"/>
    <w:rsid w:val="00E07EB8"/>
    <w:rsid w:val="00E07F3D"/>
    <w:rsid w:val="00E11359"/>
    <w:rsid w:val="00E113CC"/>
    <w:rsid w:val="00E11FB7"/>
    <w:rsid w:val="00E1225D"/>
    <w:rsid w:val="00E125BD"/>
    <w:rsid w:val="00E12B33"/>
    <w:rsid w:val="00E12C5E"/>
    <w:rsid w:val="00E12E61"/>
    <w:rsid w:val="00E13D6C"/>
    <w:rsid w:val="00E14707"/>
    <w:rsid w:val="00E14768"/>
    <w:rsid w:val="00E14B56"/>
    <w:rsid w:val="00E1562A"/>
    <w:rsid w:val="00E15CF7"/>
    <w:rsid w:val="00E15F18"/>
    <w:rsid w:val="00E164E4"/>
    <w:rsid w:val="00E16A57"/>
    <w:rsid w:val="00E1758C"/>
    <w:rsid w:val="00E17AB1"/>
    <w:rsid w:val="00E17CAC"/>
    <w:rsid w:val="00E20B80"/>
    <w:rsid w:val="00E20E58"/>
    <w:rsid w:val="00E21606"/>
    <w:rsid w:val="00E21BA0"/>
    <w:rsid w:val="00E21E16"/>
    <w:rsid w:val="00E2307D"/>
    <w:rsid w:val="00E2447D"/>
    <w:rsid w:val="00E2465A"/>
    <w:rsid w:val="00E248FE"/>
    <w:rsid w:val="00E24A2D"/>
    <w:rsid w:val="00E24A52"/>
    <w:rsid w:val="00E25012"/>
    <w:rsid w:val="00E2501E"/>
    <w:rsid w:val="00E25243"/>
    <w:rsid w:val="00E2565B"/>
    <w:rsid w:val="00E2602D"/>
    <w:rsid w:val="00E26123"/>
    <w:rsid w:val="00E26141"/>
    <w:rsid w:val="00E2649B"/>
    <w:rsid w:val="00E264C4"/>
    <w:rsid w:val="00E26A87"/>
    <w:rsid w:val="00E26C3E"/>
    <w:rsid w:val="00E27158"/>
    <w:rsid w:val="00E277F7"/>
    <w:rsid w:val="00E27F42"/>
    <w:rsid w:val="00E300BA"/>
    <w:rsid w:val="00E30A16"/>
    <w:rsid w:val="00E31795"/>
    <w:rsid w:val="00E3267A"/>
    <w:rsid w:val="00E32D0F"/>
    <w:rsid w:val="00E332FB"/>
    <w:rsid w:val="00E3337A"/>
    <w:rsid w:val="00E34526"/>
    <w:rsid w:val="00E34AE7"/>
    <w:rsid w:val="00E35946"/>
    <w:rsid w:val="00E3684E"/>
    <w:rsid w:val="00E36F13"/>
    <w:rsid w:val="00E36FCE"/>
    <w:rsid w:val="00E37B5F"/>
    <w:rsid w:val="00E37DEB"/>
    <w:rsid w:val="00E41348"/>
    <w:rsid w:val="00E41BE4"/>
    <w:rsid w:val="00E41F32"/>
    <w:rsid w:val="00E41FCD"/>
    <w:rsid w:val="00E42062"/>
    <w:rsid w:val="00E421AC"/>
    <w:rsid w:val="00E423F8"/>
    <w:rsid w:val="00E42597"/>
    <w:rsid w:val="00E42AB4"/>
    <w:rsid w:val="00E42D0E"/>
    <w:rsid w:val="00E43278"/>
    <w:rsid w:val="00E435B7"/>
    <w:rsid w:val="00E435DF"/>
    <w:rsid w:val="00E43C2D"/>
    <w:rsid w:val="00E440C6"/>
    <w:rsid w:val="00E44F4A"/>
    <w:rsid w:val="00E455F8"/>
    <w:rsid w:val="00E45AB5"/>
    <w:rsid w:val="00E45B6B"/>
    <w:rsid w:val="00E45EE7"/>
    <w:rsid w:val="00E45FDA"/>
    <w:rsid w:val="00E46230"/>
    <w:rsid w:val="00E4639D"/>
    <w:rsid w:val="00E46598"/>
    <w:rsid w:val="00E466C2"/>
    <w:rsid w:val="00E469FE"/>
    <w:rsid w:val="00E46AEB"/>
    <w:rsid w:val="00E47666"/>
    <w:rsid w:val="00E4775A"/>
    <w:rsid w:val="00E47B8C"/>
    <w:rsid w:val="00E5003A"/>
    <w:rsid w:val="00E507D1"/>
    <w:rsid w:val="00E51116"/>
    <w:rsid w:val="00E51237"/>
    <w:rsid w:val="00E51816"/>
    <w:rsid w:val="00E51893"/>
    <w:rsid w:val="00E51F7C"/>
    <w:rsid w:val="00E53693"/>
    <w:rsid w:val="00E53708"/>
    <w:rsid w:val="00E55157"/>
    <w:rsid w:val="00E551C6"/>
    <w:rsid w:val="00E55643"/>
    <w:rsid w:val="00E559C3"/>
    <w:rsid w:val="00E560F4"/>
    <w:rsid w:val="00E568B7"/>
    <w:rsid w:val="00E574CD"/>
    <w:rsid w:val="00E576B1"/>
    <w:rsid w:val="00E57821"/>
    <w:rsid w:val="00E57B9B"/>
    <w:rsid w:val="00E6021A"/>
    <w:rsid w:val="00E6041D"/>
    <w:rsid w:val="00E60652"/>
    <w:rsid w:val="00E60AE5"/>
    <w:rsid w:val="00E60C29"/>
    <w:rsid w:val="00E60EFA"/>
    <w:rsid w:val="00E61B25"/>
    <w:rsid w:val="00E6269F"/>
    <w:rsid w:val="00E62EE1"/>
    <w:rsid w:val="00E64053"/>
    <w:rsid w:val="00E640CF"/>
    <w:rsid w:val="00E6484C"/>
    <w:rsid w:val="00E64934"/>
    <w:rsid w:val="00E650CF"/>
    <w:rsid w:val="00E65255"/>
    <w:rsid w:val="00E65D29"/>
    <w:rsid w:val="00E66F5E"/>
    <w:rsid w:val="00E66F8C"/>
    <w:rsid w:val="00E67B82"/>
    <w:rsid w:val="00E67C72"/>
    <w:rsid w:val="00E70573"/>
    <w:rsid w:val="00E70849"/>
    <w:rsid w:val="00E71B03"/>
    <w:rsid w:val="00E71DDF"/>
    <w:rsid w:val="00E722C3"/>
    <w:rsid w:val="00E72A1E"/>
    <w:rsid w:val="00E74436"/>
    <w:rsid w:val="00E7470E"/>
    <w:rsid w:val="00E74ADF"/>
    <w:rsid w:val="00E74BAB"/>
    <w:rsid w:val="00E74D3B"/>
    <w:rsid w:val="00E7584A"/>
    <w:rsid w:val="00E7647E"/>
    <w:rsid w:val="00E76C87"/>
    <w:rsid w:val="00E77874"/>
    <w:rsid w:val="00E77FFA"/>
    <w:rsid w:val="00E80348"/>
    <w:rsid w:val="00E80DDF"/>
    <w:rsid w:val="00E81654"/>
    <w:rsid w:val="00E81B84"/>
    <w:rsid w:val="00E81D7F"/>
    <w:rsid w:val="00E81F37"/>
    <w:rsid w:val="00E8234E"/>
    <w:rsid w:val="00E82369"/>
    <w:rsid w:val="00E82405"/>
    <w:rsid w:val="00E8260B"/>
    <w:rsid w:val="00E8292B"/>
    <w:rsid w:val="00E82A83"/>
    <w:rsid w:val="00E83B14"/>
    <w:rsid w:val="00E83B20"/>
    <w:rsid w:val="00E83F46"/>
    <w:rsid w:val="00E8469E"/>
    <w:rsid w:val="00E8481C"/>
    <w:rsid w:val="00E84F49"/>
    <w:rsid w:val="00E857DF"/>
    <w:rsid w:val="00E85A81"/>
    <w:rsid w:val="00E85AAA"/>
    <w:rsid w:val="00E86152"/>
    <w:rsid w:val="00E86218"/>
    <w:rsid w:val="00E86667"/>
    <w:rsid w:val="00E86D16"/>
    <w:rsid w:val="00E870C7"/>
    <w:rsid w:val="00E877C7"/>
    <w:rsid w:val="00E928C8"/>
    <w:rsid w:val="00E92EB0"/>
    <w:rsid w:val="00E9346E"/>
    <w:rsid w:val="00E9360D"/>
    <w:rsid w:val="00E93753"/>
    <w:rsid w:val="00E93B68"/>
    <w:rsid w:val="00E94E1B"/>
    <w:rsid w:val="00E95567"/>
    <w:rsid w:val="00E95FE5"/>
    <w:rsid w:val="00E96170"/>
    <w:rsid w:val="00E96823"/>
    <w:rsid w:val="00E96A24"/>
    <w:rsid w:val="00E97470"/>
    <w:rsid w:val="00EA0419"/>
    <w:rsid w:val="00EA0628"/>
    <w:rsid w:val="00EA15F8"/>
    <w:rsid w:val="00EA1BCB"/>
    <w:rsid w:val="00EA1E62"/>
    <w:rsid w:val="00EA2262"/>
    <w:rsid w:val="00EA25AA"/>
    <w:rsid w:val="00EA2803"/>
    <w:rsid w:val="00EA29C4"/>
    <w:rsid w:val="00EA2A2A"/>
    <w:rsid w:val="00EA2F3E"/>
    <w:rsid w:val="00EA3215"/>
    <w:rsid w:val="00EA3551"/>
    <w:rsid w:val="00EA37DC"/>
    <w:rsid w:val="00EA3D37"/>
    <w:rsid w:val="00EA48E7"/>
    <w:rsid w:val="00EA540A"/>
    <w:rsid w:val="00EA5460"/>
    <w:rsid w:val="00EA5DC1"/>
    <w:rsid w:val="00EA6329"/>
    <w:rsid w:val="00EA6396"/>
    <w:rsid w:val="00EA66F0"/>
    <w:rsid w:val="00EA6A9C"/>
    <w:rsid w:val="00EA6D75"/>
    <w:rsid w:val="00EA6FCF"/>
    <w:rsid w:val="00EA70FE"/>
    <w:rsid w:val="00EA712A"/>
    <w:rsid w:val="00EA72B2"/>
    <w:rsid w:val="00EA7C5F"/>
    <w:rsid w:val="00EB1388"/>
    <w:rsid w:val="00EB13EA"/>
    <w:rsid w:val="00EB16B8"/>
    <w:rsid w:val="00EB1B70"/>
    <w:rsid w:val="00EB2016"/>
    <w:rsid w:val="00EB2046"/>
    <w:rsid w:val="00EB28A8"/>
    <w:rsid w:val="00EB2DDB"/>
    <w:rsid w:val="00EB2F70"/>
    <w:rsid w:val="00EB30EF"/>
    <w:rsid w:val="00EB3424"/>
    <w:rsid w:val="00EB3652"/>
    <w:rsid w:val="00EB36C3"/>
    <w:rsid w:val="00EB4107"/>
    <w:rsid w:val="00EB42CE"/>
    <w:rsid w:val="00EB44C1"/>
    <w:rsid w:val="00EB4A87"/>
    <w:rsid w:val="00EB4B7C"/>
    <w:rsid w:val="00EB4B9B"/>
    <w:rsid w:val="00EB51BC"/>
    <w:rsid w:val="00EB54E4"/>
    <w:rsid w:val="00EB54F4"/>
    <w:rsid w:val="00EB56C2"/>
    <w:rsid w:val="00EB66C6"/>
    <w:rsid w:val="00EB6760"/>
    <w:rsid w:val="00EC003B"/>
    <w:rsid w:val="00EC0266"/>
    <w:rsid w:val="00EC04DE"/>
    <w:rsid w:val="00EC0766"/>
    <w:rsid w:val="00EC0769"/>
    <w:rsid w:val="00EC1097"/>
    <w:rsid w:val="00EC2656"/>
    <w:rsid w:val="00EC273E"/>
    <w:rsid w:val="00EC2845"/>
    <w:rsid w:val="00EC2B1D"/>
    <w:rsid w:val="00EC2E4D"/>
    <w:rsid w:val="00EC2EE3"/>
    <w:rsid w:val="00EC314B"/>
    <w:rsid w:val="00EC4654"/>
    <w:rsid w:val="00EC4762"/>
    <w:rsid w:val="00EC6A09"/>
    <w:rsid w:val="00EC7215"/>
    <w:rsid w:val="00EC78D9"/>
    <w:rsid w:val="00ED00DE"/>
    <w:rsid w:val="00ED09FE"/>
    <w:rsid w:val="00ED0A27"/>
    <w:rsid w:val="00ED0A48"/>
    <w:rsid w:val="00ED1EF1"/>
    <w:rsid w:val="00ED206E"/>
    <w:rsid w:val="00ED2866"/>
    <w:rsid w:val="00ED2A20"/>
    <w:rsid w:val="00ED2AAF"/>
    <w:rsid w:val="00ED2BDB"/>
    <w:rsid w:val="00ED358E"/>
    <w:rsid w:val="00ED364F"/>
    <w:rsid w:val="00ED4C3B"/>
    <w:rsid w:val="00ED541F"/>
    <w:rsid w:val="00ED55A9"/>
    <w:rsid w:val="00ED5C99"/>
    <w:rsid w:val="00ED5F2A"/>
    <w:rsid w:val="00ED65F2"/>
    <w:rsid w:val="00ED6D92"/>
    <w:rsid w:val="00ED7882"/>
    <w:rsid w:val="00ED7A93"/>
    <w:rsid w:val="00EE003A"/>
    <w:rsid w:val="00EE0386"/>
    <w:rsid w:val="00EE077C"/>
    <w:rsid w:val="00EE0BC0"/>
    <w:rsid w:val="00EE1340"/>
    <w:rsid w:val="00EE1807"/>
    <w:rsid w:val="00EE19E4"/>
    <w:rsid w:val="00EE23B6"/>
    <w:rsid w:val="00EE24E2"/>
    <w:rsid w:val="00EE2605"/>
    <w:rsid w:val="00EE28C3"/>
    <w:rsid w:val="00EE378F"/>
    <w:rsid w:val="00EE3EB1"/>
    <w:rsid w:val="00EE45BB"/>
    <w:rsid w:val="00EE4C30"/>
    <w:rsid w:val="00EE5516"/>
    <w:rsid w:val="00EE5C8A"/>
    <w:rsid w:val="00EE6386"/>
    <w:rsid w:val="00EE6892"/>
    <w:rsid w:val="00EE6A4E"/>
    <w:rsid w:val="00EE7418"/>
    <w:rsid w:val="00EE7566"/>
    <w:rsid w:val="00EE773E"/>
    <w:rsid w:val="00EE7C4B"/>
    <w:rsid w:val="00EF00A0"/>
    <w:rsid w:val="00EF1A9E"/>
    <w:rsid w:val="00EF27D0"/>
    <w:rsid w:val="00EF2BB0"/>
    <w:rsid w:val="00EF2F1E"/>
    <w:rsid w:val="00EF3774"/>
    <w:rsid w:val="00EF3792"/>
    <w:rsid w:val="00EF3D1F"/>
    <w:rsid w:val="00EF4FAF"/>
    <w:rsid w:val="00EF5058"/>
    <w:rsid w:val="00EF599A"/>
    <w:rsid w:val="00EF68BC"/>
    <w:rsid w:val="00EF6C9D"/>
    <w:rsid w:val="00EF6DA3"/>
    <w:rsid w:val="00EF77DF"/>
    <w:rsid w:val="00EF7AF2"/>
    <w:rsid w:val="00EF7C2D"/>
    <w:rsid w:val="00EF7E90"/>
    <w:rsid w:val="00F00B78"/>
    <w:rsid w:val="00F00B86"/>
    <w:rsid w:val="00F01343"/>
    <w:rsid w:val="00F0136E"/>
    <w:rsid w:val="00F01801"/>
    <w:rsid w:val="00F02A4C"/>
    <w:rsid w:val="00F02B4D"/>
    <w:rsid w:val="00F02F10"/>
    <w:rsid w:val="00F032DC"/>
    <w:rsid w:val="00F03447"/>
    <w:rsid w:val="00F03747"/>
    <w:rsid w:val="00F03D7B"/>
    <w:rsid w:val="00F03D92"/>
    <w:rsid w:val="00F04656"/>
    <w:rsid w:val="00F05108"/>
    <w:rsid w:val="00F05A95"/>
    <w:rsid w:val="00F06289"/>
    <w:rsid w:val="00F0724B"/>
    <w:rsid w:val="00F073E0"/>
    <w:rsid w:val="00F07B04"/>
    <w:rsid w:val="00F10269"/>
    <w:rsid w:val="00F1031B"/>
    <w:rsid w:val="00F10F20"/>
    <w:rsid w:val="00F1184C"/>
    <w:rsid w:val="00F11F96"/>
    <w:rsid w:val="00F12E59"/>
    <w:rsid w:val="00F14D1B"/>
    <w:rsid w:val="00F15A5C"/>
    <w:rsid w:val="00F15EF9"/>
    <w:rsid w:val="00F174C4"/>
    <w:rsid w:val="00F175FA"/>
    <w:rsid w:val="00F2047F"/>
    <w:rsid w:val="00F20707"/>
    <w:rsid w:val="00F21FA5"/>
    <w:rsid w:val="00F21FEC"/>
    <w:rsid w:val="00F221F2"/>
    <w:rsid w:val="00F2244D"/>
    <w:rsid w:val="00F22B5D"/>
    <w:rsid w:val="00F22B7F"/>
    <w:rsid w:val="00F22F0A"/>
    <w:rsid w:val="00F23794"/>
    <w:rsid w:val="00F238B9"/>
    <w:rsid w:val="00F23DB0"/>
    <w:rsid w:val="00F24218"/>
    <w:rsid w:val="00F2449D"/>
    <w:rsid w:val="00F24E71"/>
    <w:rsid w:val="00F24EC0"/>
    <w:rsid w:val="00F251D3"/>
    <w:rsid w:val="00F254CE"/>
    <w:rsid w:val="00F2553A"/>
    <w:rsid w:val="00F258AF"/>
    <w:rsid w:val="00F262FC"/>
    <w:rsid w:val="00F266DF"/>
    <w:rsid w:val="00F268BB"/>
    <w:rsid w:val="00F26B43"/>
    <w:rsid w:val="00F26BDA"/>
    <w:rsid w:val="00F273CE"/>
    <w:rsid w:val="00F2758F"/>
    <w:rsid w:val="00F27C27"/>
    <w:rsid w:val="00F27DCB"/>
    <w:rsid w:val="00F27E22"/>
    <w:rsid w:val="00F3057F"/>
    <w:rsid w:val="00F30C9A"/>
    <w:rsid w:val="00F30EDD"/>
    <w:rsid w:val="00F3192B"/>
    <w:rsid w:val="00F31DD0"/>
    <w:rsid w:val="00F32B79"/>
    <w:rsid w:val="00F3317A"/>
    <w:rsid w:val="00F331C1"/>
    <w:rsid w:val="00F33F22"/>
    <w:rsid w:val="00F34B9B"/>
    <w:rsid w:val="00F34E0E"/>
    <w:rsid w:val="00F34E62"/>
    <w:rsid w:val="00F3522D"/>
    <w:rsid w:val="00F3567D"/>
    <w:rsid w:val="00F36BCC"/>
    <w:rsid w:val="00F36E7A"/>
    <w:rsid w:val="00F378A7"/>
    <w:rsid w:val="00F37CC3"/>
    <w:rsid w:val="00F37D02"/>
    <w:rsid w:val="00F408CE"/>
    <w:rsid w:val="00F41C95"/>
    <w:rsid w:val="00F42CCD"/>
    <w:rsid w:val="00F42E07"/>
    <w:rsid w:val="00F43615"/>
    <w:rsid w:val="00F43ABA"/>
    <w:rsid w:val="00F44643"/>
    <w:rsid w:val="00F447CE"/>
    <w:rsid w:val="00F44A28"/>
    <w:rsid w:val="00F44A77"/>
    <w:rsid w:val="00F453D1"/>
    <w:rsid w:val="00F45D1A"/>
    <w:rsid w:val="00F46906"/>
    <w:rsid w:val="00F46F11"/>
    <w:rsid w:val="00F50332"/>
    <w:rsid w:val="00F50D6F"/>
    <w:rsid w:val="00F52789"/>
    <w:rsid w:val="00F536CA"/>
    <w:rsid w:val="00F537F3"/>
    <w:rsid w:val="00F53C5D"/>
    <w:rsid w:val="00F542AC"/>
    <w:rsid w:val="00F54386"/>
    <w:rsid w:val="00F543D1"/>
    <w:rsid w:val="00F54475"/>
    <w:rsid w:val="00F54744"/>
    <w:rsid w:val="00F54989"/>
    <w:rsid w:val="00F55230"/>
    <w:rsid w:val="00F56C37"/>
    <w:rsid w:val="00F57121"/>
    <w:rsid w:val="00F57977"/>
    <w:rsid w:val="00F60267"/>
    <w:rsid w:val="00F61650"/>
    <w:rsid w:val="00F621EE"/>
    <w:rsid w:val="00F62859"/>
    <w:rsid w:val="00F62953"/>
    <w:rsid w:val="00F62D69"/>
    <w:rsid w:val="00F62E0B"/>
    <w:rsid w:val="00F63015"/>
    <w:rsid w:val="00F63020"/>
    <w:rsid w:val="00F63646"/>
    <w:rsid w:val="00F63FE2"/>
    <w:rsid w:val="00F64523"/>
    <w:rsid w:val="00F6535F"/>
    <w:rsid w:val="00F653EB"/>
    <w:rsid w:val="00F65607"/>
    <w:rsid w:val="00F65873"/>
    <w:rsid w:val="00F65A97"/>
    <w:rsid w:val="00F65BEC"/>
    <w:rsid w:val="00F66086"/>
    <w:rsid w:val="00F6678E"/>
    <w:rsid w:val="00F668E3"/>
    <w:rsid w:val="00F66A9F"/>
    <w:rsid w:val="00F66C8F"/>
    <w:rsid w:val="00F67062"/>
    <w:rsid w:val="00F67D75"/>
    <w:rsid w:val="00F7036B"/>
    <w:rsid w:val="00F7047A"/>
    <w:rsid w:val="00F70507"/>
    <w:rsid w:val="00F70884"/>
    <w:rsid w:val="00F7090D"/>
    <w:rsid w:val="00F70CD6"/>
    <w:rsid w:val="00F710E4"/>
    <w:rsid w:val="00F7146C"/>
    <w:rsid w:val="00F71ABC"/>
    <w:rsid w:val="00F71AE5"/>
    <w:rsid w:val="00F72098"/>
    <w:rsid w:val="00F72E15"/>
    <w:rsid w:val="00F73283"/>
    <w:rsid w:val="00F736C6"/>
    <w:rsid w:val="00F7391F"/>
    <w:rsid w:val="00F73A6B"/>
    <w:rsid w:val="00F73E8C"/>
    <w:rsid w:val="00F744CC"/>
    <w:rsid w:val="00F745F7"/>
    <w:rsid w:val="00F746EE"/>
    <w:rsid w:val="00F74B3B"/>
    <w:rsid w:val="00F74D06"/>
    <w:rsid w:val="00F75004"/>
    <w:rsid w:val="00F75102"/>
    <w:rsid w:val="00F75549"/>
    <w:rsid w:val="00F757FF"/>
    <w:rsid w:val="00F75F5B"/>
    <w:rsid w:val="00F768A9"/>
    <w:rsid w:val="00F76EC0"/>
    <w:rsid w:val="00F76EDF"/>
    <w:rsid w:val="00F775A6"/>
    <w:rsid w:val="00F7773F"/>
    <w:rsid w:val="00F77956"/>
    <w:rsid w:val="00F77BD3"/>
    <w:rsid w:val="00F77C30"/>
    <w:rsid w:val="00F77C39"/>
    <w:rsid w:val="00F8034E"/>
    <w:rsid w:val="00F80619"/>
    <w:rsid w:val="00F80BB1"/>
    <w:rsid w:val="00F8134F"/>
    <w:rsid w:val="00F81E3D"/>
    <w:rsid w:val="00F82283"/>
    <w:rsid w:val="00F822A4"/>
    <w:rsid w:val="00F823CF"/>
    <w:rsid w:val="00F82726"/>
    <w:rsid w:val="00F82C0E"/>
    <w:rsid w:val="00F82D5A"/>
    <w:rsid w:val="00F8311B"/>
    <w:rsid w:val="00F838AD"/>
    <w:rsid w:val="00F83F13"/>
    <w:rsid w:val="00F84CA9"/>
    <w:rsid w:val="00F85096"/>
    <w:rsid w:val="00F8535A"/>
    <w:rsid w:val="00F85E0B"/>
    <w:rsid w:val="00F8728B"/>
    <w:rsid w:val="00F87AE9"/>
    <w:rsid w:val="00F90427"/>
    <w:rsid w:val="00F9051B"/>
    <w:rsid w:val="00F9067B"/>
    <w:rsid w:val="00F9074F"/>
    <w:rsid w:val="00F90BFD"/>
    <w:rsid w:val="00F90CB2"/>
    <w:rsid w:val="00F90E57"/>
    <w:rsid w:val="00F9136A"/>
    <w:rsid w:val="00F91A22"/>
    <w:rsid w:val="00F91C29"/>
    <w:rsid w:val="00F91D09"/>
    <w:rsid w:val="00F947BC"/>
    <w:rsid w:val="00F94E1D"/>
    <w:rsid w:val="00F950C8"/>
    <w:rsid w:val="00F953FC"/>
    <w:rsid w:val="00F95F58"/>
    <w:rsid w:val="00F9616C"/>
    <w:rsid w:val="00F964C4"/>
    <w:rsid w:val="00F96A3B"/>
    <w:rsid w:val="00F96F51"/>
    <w:rsid w:val="00F96F6F"/>
    <w:rsid w:val="00F97072"/>
    <w:rsid w:val="00FA134C"/>
    <w:rsid w:val="00FA24B0"/>
    <w:rsid w:val="00FA27D0"/>
    <w:rsid w:val="00FA2A48"/>
    <w:rsid w:val="00FA2A8A"/>
    <w:rsid w:val="00FA3A07"/>
    <w:rsid w:val="00FA5A6A"/>
    <w:rsid w:val="00FA5C71"/>
    <w:rsid w:val="00FA61AC"/>
    <w:rsid w:val="00FA6441"/>
    <w:rsid w:val="00FA645A"/>
    <w:rsid w:val="00FA6717"/>
    <w:rsid w:val="00FA6DA3"/>
    <w:rsid w:val="00FA6F98"/>
    <w:rsid w:val="00FA7068"/>
    <w:rsid w:val="00FA7222"/>
    <w:rsid w:val="00FB0190"/>
    <w:rsid w:val="00FB0314"/>
    <w:rsid w:val="00FB0350"/>
    <w:rsid w:val="00FB042E"/>
    <w:rsid w:val="00FB0B16"/>
    <w:rsid w:val="00FB0E7A"/>
    <w:rsid w:val="00FB146A"/>
    <w:rsid w:val="00FB1840"/>
    <w:rsid w:val="00FB1AEB"/>
    <w:rsid w:val="00FB2386"/>
    <w:rsid w:val="00FB2420"/>
    <w:rsid w:val="00FB26CF"/>
    <w:rsid w:val="00FB3258"/>
    <w:rsid w:val="00FB347B"/>
    <w:rsid w:val="00FB386A"/>
    <w:rsid w:val="00FB39BA"/>
    <w:rsid w:val="00FB3A68"/>
    <w:rsid w:val="00FB3E96"/>
    <w:rsid w:val="00FB4181"/>
    <w:rsid w:val="00FB43A7"/>
    <w:rsid w:val="00FB54A2"/>
    <w:rsid w:val="00FB583F"/>
    <w:rsid w:val="00FB6685"/>
    <w:rsid w:val="00FB6B55"/>
    <w:rsid w:val="00FB7231"/>
    <w:rsid w:val="00FB7799"/>
    <w:rsid w:val="00FB7C14"/>
    <w:rsid w:val="00FC0369"/>
    <w:rsid w:val="00FC075A"/>
    <w:rsid w:val="00FC0AE6"/>
    <w:rsid w:val="00FC11F0"/>
    <w:rsid w:val="00FC15F7"/>
    <w:rsid w:val="00FC1C09"/>
    <w:rsid w:val="00FC237B"/>
    <w:rsid w:val="00FC23D9"/>
    <w:rsid w:val="00FC2F3F"/>
    <w:rsid w:val="00FC3375"/>
    <w:rsid w:val="00FC350D"/>
    <w:rsid w:val="00FC4A56"/>
    <w:rsid w:val="00FC5F47"/>
    <w:rsid w:val="00FC6376"/>
    <w:rsid w:val="00FC6D3F"/>
    <w:rsid w:val="00FC6FCB"/>
    <w:rsid w:val="00FC7D20"/>
    <w:rsid w:val="00FC7F9F"/>
    <w:rsid w:val="00FD13C0"/>
    <w:rsid w:val="00FD143B"/>
    <w:rsid w:val="00FD17F6"/>
    <w:rsid w:val="00FD18CE"/>
    <w:rsid w:val="00FD18F2"/>
    <w:rsid w:val="00FD2A24"/>
    <w:rsid w:val="00FD2DDD"/>
    <w:rsid w:val="00FD3233"/>
    <w:rsid w:val="00FD52A8"/>
    <w:rsid w:val="00FD5993"/>
    <w:rsid w:val="00FD60EF"/>
    <w:rsid w:val="00FD63C9"/>
    <w:rsid w:val="00FD795E"/>
    <w:rsid w:val="00FD7D36"/>
    <w:rsid w:val="00FE0085"/>
    <w:rsid w:val="00FE0B1D"/>
    <w:rsid w:val="00FE0CD0"/>
    <w:rsid w:val="00FE10EC"/>
    <w:rsid w:val="00FE1162"/>
    <w:rsid w:val="00FE1B85"/>
    <w:rsid w:val="00FE1D55"/>
    <w:rsid w:val="00FE21EB"/>
    <w:rsid w:val="00FE2645"/>
    <w:rsid w:val="00FE384D"/>
    <w:rsid w:val="00FE3A43"/>
    <w:rsid w:val="00FE3FB3"/>
    <w:rsid w:val="00FE442A"/>
    <w:rsid w:val="00FE49BC"/>
    <w:rsid w:val="00FE4AFE"/>
    <w:rsid w:val="00FE4C73"/>
    <w:rsid w:val="00FE54FE"/>
    <w:rsid w:val="00FE5B24"/>
    <w:rsid w:val="00FE608D"/>
    <w:rsid w:val="00FE6994"/>
    <w:rsid w:val="00FE72CF"/>
    <w:rsid w:val="00FE7455"/>
    <w:rsid w:val="00FE757C"/>
    <w:rsid w:val="00FE7605"/>
    <w:rsid w:val="00FE761A"/>
    <w:rsid w:val="00FE7AE4"/>
    <w:rsid w:val="00FE7CC0"/>
    <w:rsid w:val="00FE7F74"/>
    <w:rsid w:val="00FF058A"/>
    <w:rsid w:val="00FF0996"/>
    <w:rsid w:val="00FF09B2"/>
    <w:rsid w:val="00FF1DB1"/>
    <w:rsid w:val="00FF2113"/>
    <w:rsid w:val="00FF25EC"/>
    <w:rsid w:val="00FF2844"/>
    <w:rsid w:val="00FF2C65"/>
    <w:rsid w:val="00FF3B71"/>
    <w:rsid w:val="00FF408C"/>
    <w:rsid w:val="00FF42E8"/>
    <w:rsid w:val="00FF4B4A"/>
    <w:rsid w:val="00FF5492"/>
    <w:rsid w:val="00FF5A06"/>
    <w:rsid w:val="00FF5DAD"/>
    <w:rsid w:val="00FF5DE7"/>
    <w:rsid w:val="00FF69CE"/>
    <w:rsid w:val="00FF6A41"/>
    <w:rsid w:val="00FF6AF6"/>
    <w:rsid w:val="00FF6D4C"/>
    <w:rsid w:val="00FF6EC5"/>
    <w:rsid w:val="00FF76A0"/>
    <w:rsid w:val="00FF7E5C"/>
    <w:rsid w:val="00FF7FA0"/>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DE2C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6D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29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B4F28"/>
    <w:pPr>
      <w:spacing w:before="100" w:beforeAutospacing="1" w:after="100" w:afterAutospacing="1" w:line="240" w:lineRule="auto"/>
      <w:outlineLvl w:val="2"/>
    </w:pPr>
    <w:rPr>
      <w:rFonts w:ascii="Times New Roman" w:eastAsia="Times New Roman" w:hAnsi="Times New Roman" w:cs="Times New Roman"/>
      <w:b/>
      <w:bCs/>
      <w:kern w:val="0"/>
      <w:sz w:val="27"/>
      <w:szCs w:val="27"/>
      <w:lang w:bidi="hi-IN"/>
      <w14:ligatures w14:val="none"/>
    </w:rPr>
  </w:style>
  <w:style w:type="paragraph" w:styleId="Heading4">
    <w:name w:val="heading 4"/>
    <w:basedOn w:val="Normal"/>
    <w:next w:val="Normal"/>
    <w:link w:val="Heading4Char"/>
    <w:uiPriority w:val="9"/>
    <w:semiHidden/>
    <w:unhideWhenUsed/>
    <w:qFormat/>
    <w:rsid w:val="00EC72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5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173"/>
    <w:pPr>
      <w:ind w:left="720"/>
      <w:contextualSpacing/>
    </w:pPr>
  </w:style>
  <w:style w:type="paragraph" w:styleId="Header">
    <w:name w:val="header"/>
    <w:basedOn w:val="Normal"/>
    <w:link w:val="HeaderChar"/>
    <w:uiPriority w:val="99"/>
    <w:unhideWhenUsed/>
    <w:rsid w:val="00FC7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D20"/>
  </w:style>
  <w:style w:type="paragraph" w:styleId="Footer">
    <w:name w:val="footer"/>
    <w:basedOn w:val="Normal"/>
    <w:link w:val="FooterChar"/>
    <w:uiPriority w:val="99"/>
    <w:unhideWhenUsed/>
    <w:rsid w:val="00FC7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D20"/>
  </w:style>
  <w:style w:type="character" w:styleId="CommentReference">
    <w:name w:val="annotation reference"/>
    <w:basedOn w:val="DefaultParagraphFont"/>
    <w:uiPriority w:val="99"/>
    <w:semiHidden/>
    <w:unhideWhenUsed/>
    <w:rsid w:val="000706F5"/>
    <w:rPr>
      <w:sz w:val="16"/>
      <w:szCs w:val="16"/>
    </w:rPr>
  </w:style>
  <w:style w:type="paragraph" w:styleId="CommentText">
    <w:name w:val="annotation text"/>
    <w:basedOn w:val="Normal"/>
    <w:link w:val="CommentTextChar"/>
    <w:uiPriority w:val="99"/>
    <w:unhideWhenUsed/>
    <w:rsid w:val="000706F5"/>
    <w:pPr>
      <w:spacing w:line="240" w:lineRule="auto"/>
    </w:pPr>
    <w:rPr>
      <w:sz w:val="20"/>
      <w:szCs w:val="20"/>
    </w:rPr>
  </w:style>
  <w:style w:type="character" w:customStyle="1" w:styleId="CommentTextChar">
    <w:name w:val="Comment Text Char"/>
    <w:basedOn w:val="DefaultParagraphFont"/>
    <w:link w:val="CommentText"/>
    <w:uiPriority w:val="99"/>
    <w:rsid w:val="000706F5"/>
    <w:rPr>
      <w:sz w:val="20"/>
      <w:szCs w:val="20"/>
    </w:rPr>
  </w:style>
  <w:style w:type="paragraph" w:styleId="CommentSubject">
    <w:name w:val="annotation subject"/>
    <w:basedOn w:val="CommentText"/>
    <w:next w:val="CommentText"/>
    <w:link w:val="CommentSubjectChar"/>
    <w:uiPriority w:val="99"/>
    <w:semiHidden/>
    <w:unhideWhenUsed/>
    <w:rsid w:val="000706F5"/>
    <w:rPr>
      <w:b/>
      <w:bCs/>
    </w:rPr>
  </w:style>
  <w:style w:type="character" w:customStyle="1" w:styleId="CommentSubjectChar">
    <w:name w:val="Comment Subject Char"/>
    <w:basedOn w:val="CommentTextChar"/>
    <w:link w:val="CommentSubject"/>
    <w:uiPriority w:val="99"/>
    <w:semiHidden/>
    <w:rsid w:val="000706F5"/>
    <w:rPr>
      <w:b/>
      <w:bCs/>
      <w:sz w:val="20"/>
      <w:szCs w:val="20"/>
    </w:rPr>
  </w:style>
  <w:style w:type="character" w:customStyle="1" w:styleId="normaltextrun">
    <w:name w:val="normaltextrun"/>
    <w:basedOn w:val="DefaultParagraphFont"/>
    <w:rsid w:val="00D033E5"/>
  </w:style>
  <w:style w:type="paragraph" w:styleId="Caption">
    <w:name w:val="caption"/>
    <w:basedOn w:val="Normal"/>
    <w:next w:val="Normal"/>
    <w:uiPriority w:val="35"/>
    <w:unhideWhenUsed/>
    <w:qFormat/>
    <w:rsid w:val="001B53CA"/>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4F28"/>
    <w:rPr>
      <w:rFonts w:ascii="Times New Roman" w:eastAsia="Times New Roman" w:hAnsi="Times New Roman" w:cs="Times New Roman"/>
      <w:b/>
      <w:bCs/>
      <w:kern w:val="0"/>
      <w:sz w:val="27"/>
      <w:szCs w:val="27"/>
      <w:lang w:bidi="hi-IN"/>
      <w14:ligatures w14:val="none"/>
    </w:rPr>
  </w:style>
  <w:style w:type="paragraph" w:styleId="NormalWeb">
    <w:name w:val="Normal (Web)"/>
    <w:basedOn w:val="Normal"/>
    <w:uiPriority w:val="99"/>
    <w:semiHidden/>
    <w:unhideWhenUsed/>
    <w:rsid w:val="00BB4F28"/>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styleId="Emphasis">
    <w:name w:val="Emphasis"/>
    <w:basedOn w:val="DefaultParagraphFont"/>
    <w:uiPriority w:val="20"/>
    <w:qFormat/>
    <w:rsid w:val="00F43ABA"/>
    <w:rPr>
      <w:i/>
      <w:iCs/>
    </w:rPr>
  </w:style>
  <w:style w:type="character" w:styleId="Strong">
    <w:name w:val="Strong"/>
    <w:basedOn w:val="DefaultParagraphFont"/>
    <w:uiPriority w:val="22"/>
    <w:qFormat/>
    <w:rsid w:val="00F43ABA"/>
    <w:rPr>
      <w:b/>
      <w:bCs/>
    </w:rPr>
  </w:style>
  <w:style w:type="character" w:customStyle="1" w:styleId="Heading4Char">
    <w:name w:val="Heading 4 Char"/>
    <w:basedOn w:val="DefaultParagraphFont"/>
    <w:link w:val="Heading4"/>
    <w:uiPriority w:val="9"/>
    <w:semiHidden/>
    <w:rsid w:val="00EC7215"/>
    <w:rPr>
      <w:rFonts w:asciiTheme="majorHAnsi" w:eastAsiaTheme="majorEastAsia" w:hAnsiTheme="majorHAnsi" w:cstheme="majorBidi"/>
      <w:i/>
      <w:iCs/>
      <w:color w:val="2F5496" w:themeColor="accent1" w:themeShade="BF"/>
    </w:rPr>
  </w:style>
  <w:style w:type="character" w:customStyle="1" w:styleId="overflow-hidden">
    <w:name w:val="overflow-hidden"/>
    <w:basedOn w:val="DefaultParagraphFont"/>
    <w:rsid w:val="001A00FC"/>
  </w:style>
  <w:style w:type="character" w:styleId="Hyperlink">
    <w:name w:val="Hyperlink"/>
    <w:basedOn w:val="DefaultParagraphFont"/>
    <w:uiPriority w:val="99"/>
    <w:unhideWhenUsed/>
    <w:rsid w:val="00AE3260"/>
    <w:rPr>
      <w:color w:val="0563C1" w:themeColor="hyperlink"/>
      <w:u w:val="single"/>
    </w:rPr>
  </w:style>
  <w:style w:type="character" w:customStyle="1" w:styleId="UnresolvedMention1">
    <w:name w:val="Unresolved Mention1"/>
    <w:basedOn w:val="DefaultParagraphFont"/>
    <w:uiPriority w:val="99"/>
    <w:semiHidden/>
    <w:unhideWhenUsed/>
    <w:rsid w:val="00AE3260"/>
    <w:rPr>
      <w:color w:val="605E5C"/>
      <w:shd w:val="clear" w:color="auto" w:fill="E1DFDD"/>
    </w:rPr>
  </w:style>
  <w:style w:type="character" w:styleId="FollowedHyperlink">
    <w:name w:val="FollowedHyperlink"/>
    <w:basedOn w:val="DefaultParagraphFont"/>
    <w:uiPriority w:val="99"/>
    <w:semiHidden/>
    <w:unhideWhenUsed/>
    <w:rsid w:val="00D27808"/>
    <w:rPr>
      <w:color w:val="954F72" w:themeColor="followedHyperlink"/>
      <w:u w:val="single"/>
    </w:rPr>
  </w:style>
  <w:style w:type="paragraph" w:styleId="Revision">
    <w:name w:val="Revision"/>
    <w:hidden/>
    <w:uiPriority w:val="99"/>
    <w:semiHidden/>
    <w:rsid w:val="00FE54FE"/>
    <w:pPr>
      <w:spacing w:after="0" w:line="240" w:lineRule="auto"/>
    </w:pPr>
  </w:style>
  <w:style w:type="character" w:customStyle="1" w:styleId="Heading1Char">
    <w:name w:val="Heading 1 Char"/>
    <w:basedOn w:val="DefaultParagraphFont"/>
    <w:link w:val="Heading1"/>
    <w:uiPriority w:val="9"/>
    <w:rsid w:val="00076D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297D"/>
    <w:rPr>
      <w:rFonts w:asciiTheme="majorHAnsi" w:eastAsiaTheme="majorEastAsia" w:hAnsiTheme="majorHAnsi" w:cstheme="majorBidi"/>
      <w:color w:val="2F5496" w:themeColor="accent1" w:themeShade="BF"/>
      <w:sz w:val="26"/>
      <w:szCs w:val="26"/>
    </w:rPr>
  </w:style>
  <w:style w:type="table" w:customStyle="1" w:styleId="GridTable1LightAccent1">
    <w:name w:val="Grid Table 1 Light Accent 1"/>
    <w:basedOn w:val="TableNormal"/>
    <w:uiPriority w:val="46"/>
    <w:rsid w:val="00BC274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E264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97200C"/>
    <w:rPr>
      <w:color w:val="605E5C"/>
      <w:shd w:val="clear" w:color="auto" w:fill="E1DFDD"/>
    </w:rPr>
  </w:style>
  <w:style w:type="paragraph" w:styleId="BalloonText">
    <w:name w:val="Balloon Text"/>
    <w:basedOn w:val="Normal"/>
    <w:link w:val="BalloonTextChar"/>
    <w:uiPriority w:val="99"/>
    <w:semiHidden/>
    <w:unhideWhenUsed/>
    <w:rsid w:val="00D9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8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76D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29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B4F28"/>
    <w:pPr>
      <w:spacing w:before="100" w:beforeAutospacing="1" w:after="100" w:afterAutospacing="1" w:line="240" w:lineRule="auto"/>
      <w:outlineLvl w:val="2"/>
    </w:pPr>
    <w:rPr>
      <w:rFonts w:ascii="Times New Roman" w:eastAsia="Times New Roman" w:hAnsi="Times New Roman" w:cs="Times New Roman"/>
      <w:b/>
      <w:bCs/>
      <w:kern w:val="0"/>
      <w:sz w:val="27"/>
      <w:szCs w:val="27"/>
      <w:lang w:bidi="hi-IN"/>
      <w14:ligatures w14:val="none"/>
    </w:rPr>
  </w:style>
  <w:style w:type="paragraph" w:styleId="Heading4">
    <w:name w:val="heading 4"/>
    <w:basedOn w:val="Normal"/>
    <w:next w:val="Normal"/>
    <w:link w:val="Heading4Char"/>
    <w:uiPriority w:val="9"/>
    <w:semiHidden/>
    <w:unhideWhenUsed/>
    <w:qFormat/>
    <w:rsid w:val="00EC72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5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173"/>
    <w:pPr>
      <w:ind w:left="720"/>
      <w:contextualSpacing/>
    </w:pPr>
  </w:style>
  <w:style w:type="paragraph" w:styleId="Header">
    <w:name w:val="header"/>
    <w:basedOn w:val="Normal"/>
    <w:link w:val="HeaderChar"/>
    <w:uiPriority w:val="99"/>
    <w:unhideWhenUsed/>
    <w:rsid w:val="00FC7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D20"/>
  </w:style>
  <w:style w:type="paragraph" w:styleId="Footer">
    <w:name w:val="footer"/>
    <w:basedOn w:val="Normal"/>
    <w:link w:val="FooterChar"/>
    <w:uiPriority w:val="99"/>
    <w:unhideWhenUsed/>
    <w:rsid w:val="00FC7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D20"/>
  </w:style>
  <w:style w:type="character" w:styleId="CommentReference">
    <w:name w:val="annotation reference"/>
    <w:basedOn w:val="DefaultParagraphFont"/>
    <w:uiPriority w:val="99"/>
    <w:semiHidden/>
    <w:unhideWhenUsed/>
    <w:rsid w:val="000706F5"/>
    <w:rPr>
      <w:sz w:val="16"/>
      <w:szCs w:val="16"/>
    </w:rPr>
  </w:style>
  <w:style w:type="paragraph" w:styleId="CommentText">
    <w:name w:val="annotation text"/>
    <w:basedOn w:val="Normal"/>
    <w:link w:val="CommentTextChar"/>
    <w:uiPriority w:val="99"/>
    <w:unhideWhenUsed/>
    <w:rsid w:val="000706F5"/>
    <w:pPr>
      <w:spacing w:line="240" w:lineRule="auto"/>
    </w:pPr>
    <w:rPr>
      <w:sz w:val="20"/>
      <w:szCs w:val="20"/>
    </w:rPr>
  </w:style>
  <w:style w:type="character" w:customStyle="1" w:styleId="CommentTextChar">
    <w:name w:val="Comment Text Char"/>
    <w:basedOn w:val="DefaultParagraphFont"/>
    <w:link w:val="CommentText"/>
    <w:uiPriority w:val="99"/>
    <w:rsid w:val="000706F5"/>
    <w:rPr>
      <w:sz w:val="20"/>
      <w:szCs w:val="20"/>
    </w:rPr>
  </w:style>
  <w:style w:type="paragraph" w:styleId="CommentSubject">
    <w:name w:val="annotation subject"/>
    <w:basedOn w:val="CommentText"/>
    <w:next w:val="CommentText"/>
    <w:link w:val="CommentSubjectChar"/>
    <w:uiPriority w:val="99"/>
    <w:semiHidden/>
    <w:unhideWhenUsed/>
    <w:rsid w:val="000706F5"/>
    <w:rPr>
      <w:b/>
      <w:bCs/>
    </w:rPr>
  </w:style>
  <w:style w:type="character" w:customStyle="1" w:styleId="CommentSubjectChar">
    <w:name w:val="Comment Subject Char"/>
    <w:basedOn w:val="CommentTextChar"/>
    <w:link w:val="CommentSubject"/>
    <w:uiPriority w:val="99"/>
    <w:semiHidden/>
    <w:rsid w:val="000706F5"/>
    <w:rPr>
      <w:b/>
      <w:bCs/>
      <w:sz w:val="20"/>
      <w:szCs w:val="20"/>
    </w:rPr>
  </w:style>
  <w:style w:type="character" w:customStyle="1" w:styleId="normaltextrun">
    <w:name w:val="normaltextrun"/>
    <w:basedOn w:val="DefaultParagraphFont"/>
    <w:rsid w:val="00D033E5"/>
  </w:style>
  <w:style w:type="paragraph" w:styleId="Caption">
    <w:name w:val="caption"/>
    <w:basedOn w:val="Normal"/>
    <w:next w:val="Normal"/>
    <w:uiPriority w:val="35"/>
    <w:unhideWhenUsed/>
    <w:qFormat/>
    <w:rsid w:val="001B53CA"/>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4F28"/>
    <w:rPr>
      <w:rFonts w:ascii="Times New Roman" w:eastAsia="Times New Roman" w:hAnsi="Times New Roman" w:cs="Times New Roman"/>
      <w:b/>
      <w:bCs/>
      <w:kern w:val="0"/>
      <w:sz w:val="27"/>
      <w:szCs w:val="27"/>
      <w:lang w:bidi="hi-IN"/>
      <w14:ligatures w14:val="none"/>
    </w:rPr>
  </w:style>
  <w:style w:type="paragraph" w:styleId="NormalWeb">
    <w:name w:val="Normal (Web)"/>
    <w:basedOn w:val="Normal"/>
    <w:uiPriority w:val="99"/>
    <w:semiHidden/>
    <w:unhideWhenUsed/>
    <w:rsid w:val="00BB4F28"/>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styleId="Emphasis">
    <w:name w:val="Emphasis"/>
    <w:basedOn w:val="DefaultParagraphFont"/>
    <w:uiPriority w:val="20"/>
    <w:qFormat/>
    <w:rsid w:val="00F43ABA"/>
    <w:rPr>
      <w:i/>
      <w:iCs/>
    </w:rPr>
  </w:style>
  <w:style w:type="character" w:styleId="Strong">
    <w:name w:val="Strong"/>
    <w:basedOn w:val="DefaultParagraphFont"/>
    <w:uiPriority w:val="22"/>
    <w:qFormat/>
    <w:rsid w:val="00F43ABA"/>
    <w:rPr>
      <w:b/>
      <w:bCs/>
    </w:rPr>
  </w:style>
  <w:style w:type="character" w:customStyle="1" w:styleId="Heading4Char">
    <w:name w:val="Heading 4 Char"/>
    <w:basedOn w:val="DefaultParagraphFont"/>
    <w:link w:val="Heading4"/>
    <w:uiPriority w:val="9"/>
    <w:semiHidden/>
    <w:rsid w:val="00EC7215"/>
    <w:rPr>
      <w:rFonts w:asciiTheme="majorHAnsi" w:eastAsiaTheme="majorEastAsia" w:hAnsiTheme="majorHAnsi" w:cstheme="majorBidi"/>
      <w:i/>
      <w:iCs/>
      <w:color w:val="2F5496" w:themeColor="accent1" w:themeShade="BF"/>
    </w:rPr>
  </w:style>
  <w:style w:type="character" w:customStyle="1" w:styleId="overflow-hidden">
    <w:name w:val="overflow-hidden"/>
    <w:basedOn w:val="DefaultParagraphFont"/>
    <w:rsid w:val="001A00FC"/>
  </w:style>
  <w:style w:type="character" w:styleId="Hyperlink">
    <w:name w:val="Hyperlink"/>
    <w:basedOn w:val="DefaultParagraphFont"/>
    <w:uiPriority w:val="99"/>
    <w:unhideWhenUsed/>
    <w:rsid w:val="00AE3260"/>
    <w:rPr>
      <w:color w:val="0563C1" w:themeColor="hyperlink"/>
      <w:u w:val="single"/>
    </w:rPr>
  </w:style>
  <w:style w:type="character" w:customStyle="1" w:styleId="UnresolvedMention1">
    <w:name w:val="Unresolved Mention1"/>
    <w:basedOn w:val="DefaultParagraphFont"/>
    <w:uiPriority w:val="99"/>
    <w:semiHidden/>
    <w:unhideWhenUsed/>
    <w:rsid w:val="00AE3260"/>
    <w:rPr>
      <w:color w:val="605E5C"/>
      <w:shd w:val="clear" w:color="auto" w:fill="E1DFDD"/>
    </w:rPr>
  </w:style>
  <w:style w:type="character" w:styleId="FollowedHyperlink">
    <w:name w:val="FollowedHyperlink"/>
    <w:basedOn w:val="DefaultParagraphFont"/>
    <w:uiPriority w:val="99"/>
    <w:semiHidden/>
    <w:unhideWhenUsed/>
    <w:rsid w:val="00D27808"/>
    <w:rPr>
      <w:color w:val="954F72" w:themeColor="followedHyperlink"/>
      <w:u w:val="single"/>
    </w:rPr>
  </w:style>
  <w:style w:type="paragraph" w:styleId="Revision">
    <w:name w:val="Revision"/>
    <w:hidden/>
    <w:uiPriority w:val="99"/>
    <w:semiHidden/>
    <w:rsid w:val="00FE54FE"/>
    <w:pPr>
      <w:spacing w:after="0" w:line="240" w:lineRule="auto"/>
    </w:pPr>
  </w:style>
  <w:style w:type="character" w:customStyle="1" w:styleId="Heading1Char">
    <w:name w:val="Heading 1 Char"/>
    <w:basedOn w:val="DefaultParagraphFont"/>
    <w:link w:val="Heading1"/>
    <w:uiPriority w:val="9"/>
    <w:rsid w:val="00076D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297D"/>
    <w:rPr>
      <w:rFonts w:asciiTheme="majorHAnsi" w:eastAsiaTheme="majorEastAsia" w:hAnsiTheme="majorHAnsi" w:cstheme="majorBidi"/>
      <w:color w:val="2F5496" w:themeColor="accent1" w:themeShade="BF"/>
      <w:sz w:val="26"/>
      <w:szCs w:val="26"/>
    </w:rPr>
  </w:style>
  <w:style w:type="table" w:customStyle="1" w:styleId="GridTable1LightAccent1">
    <w:name w:val="Grid Table 1 Light Accent 1"/>
    <w:basedOn w:val="TableNormal"/>
    <w:uiPriority w:val="46"/>
    <w:rsid w:val="00BC274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PlainTable2">
    <w:name w:val="Plain Table 2"/>
    <w:basedOn w:val="TableNormal"/>
    <w:uiPriority w:val="42"/>
    <w:rsid w:val="00E264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2">
    <w:name w:val="Unresolved Mention2"/>
    <w:basedOn w:val="DefaultParagraphFont"/>
    <w:uiPriority w:val="99"/>
    <w:semiHidden/>
    <w:unhideWhenUsed/>
    <w:rsid w:val="0097200C"/>
    <w:rPr>
      <w:color w:val="605E5C"/>
      <w:shd w:val="clear" w:color="auto" w:fill="E1DFDD"/>
    </w:rPr>
  </w:style>
  <w:style w:type="paragraph" w:styleId="BalloonText">
    <w:name w:val="Balloon Text"/>
    <w:basedOn w:val="Normal"/>
    <w:link w:val="BalloonTextChar"/>
    <w:uiPriority w:val="99"/>
    <w:semiHidden/>
    <w:unhideWhenUsed/>
    <w:rsid w:val="00D9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8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172">
      <w:bodyDiv w:val="1"/>
      <w:marLeft w:val="0"/>
      <w:marRight w:val="0"/>
      <w:marTop w:val="0"/>
      <w:marBottom w:val="0"/>
      <w:divBdr>
        <w:top w:val="none" w:sz="0" w:space="0" w:color="auto"/>
        <w:left w:val="none" w:sz="0" w:space="0" w:color="auto"/>
        <w:bottom w:val="none" w:sz="0" w:space="0" w:color="auto"/>
        <w:right w:val="none" w:sz="0" w:space="0" w:color="auto"/>
      </w:divBdr>
    </w:div>
    <w:div w:id="15422820">
      <w:bodyDiv w:val="1"/>
      <w:marLeft w:val="0"/>
      <w:marRight w:val="0"/>
      <w:marTop w:val="0"/>
      <w:marBottom w:val="0"/>
      <w:divBdr>
        <w:top w:val="none" w:sz="0" w:space="0" w:color="auto"/>
        <w:left w:val="none" w:sz="0" w:space="0" w:color="auto"/>
        <w:bottom w:val="none" w:sz="0" w:space="0" w:color="auto"/>
        <w:right w:val="none" w:sz="0" w:space="0" w:color="auto"/>
      </w:divBdr>
    </w:div>
    <w:div w:id="83691517">
      <w:bodyDiv w:val="1"/>
      <w:marLeft w:val="0"/>
      <w:marRight w:val="0"/>
      <w:marTop w:val="0"/>
      <w:marBottom w:val="0"/>
      <w:divBdr>
        <w:top w:val="none" w:sz="0" w:space="0" w:color="auto"/>
        <w:left w:val="none" w:sz="0" w:space="0" w:color="auto"/>
        <w:bottom w:val="none" w:sz="0" w:space="0" w:color="auto"/>
        <w:right w:val="none" w:sz="0" w:space="0" w:color="auto"/>
      </w:divBdr>
    </w:div>
    <w:div w:id="276450676">
      <w:bodyDiv w:val="1"/>
      <w:marLeft w:val="0"/>
      <w:marRight w:val="0"/>
      <w:marTop w:val="0"/>
      <w:marBottom w:val="0"/>
      <w:divBdr>
        <w:top w:val="none" w:sz="0" w:space="0" w:color="auto"/>
        <w:left w:val="none" w:sz="0" w:space="0" w:color="auto"/>
        <w:bottom w:val="none" w:sz="0" w:space="0" w:color="auto"/>
        <w:right w:val="none" w:sz="0" w:space="0" w:color="auto"/>
      </w:divBdr>
    </w:div>
    <w:div w:id="374812818">
      <w:bodyDiv w:val="1"/>
      <w:marLeft w:val="0"/>
      <w:marRight w:val="0"/>
      <w:marTop w:val="0"/>
      <w:marBottom w:val="0"/>
      <w:divBdr>
        <w:top w:val="none" w:sz="0" w:space="0" w:color="auto"/>
        <w:left w:val="none" w:sz="0" w:space="0" w:color="auto"/>
        <w:bottom w:val="none" w:sz="0" w:space="0" w:color="auto"/>
        <w:right w:val="none" w:sz="0" w:space="0" w:color="auto"/>
      </w:divBdr>
    </w:div>
    <w:div w:id="431515137">
      <w:bodyDiv w:val="1"/>
      <w:marLeft w:val="0"/>
      <w:marRight w:val="0"/>
      <w:marTop w:val="0"/>
      <w:marBottom w:val="0"/>
      <w:divBdr>
        <w:top w:val="none" w:sz="0" w:space="0" w:color="auto"/>
        <w:left w:val="none" w:sz="0" w:space="0" w:color="auto"/>
        <w:bottom w:val="none" w:sz="0" w:space="0" w:color="auto"/>
        <w:right w:val="none" w:sz="0" w:space="0" w:color="auto"/>
      </w:divBdr>
    </w:div>
    <w:div w:id="470290002">
      <w:bodyDiv w:val="1"/>
      <w:marLeft w:val="0"/>
      <w:marRight w:val="0"/>
      <w:marTop w:val="0"/>
      <w:marBottom w:val="0"/>
      <w:divBdr>
        <w:top w:val="none" w:sz="0" w:space="0" w:color="auto"/>
        <w:left w:val="none" w:sz="0" w:space="0" w:color="auto"/>
        <w:bottom w:val="none" w:sz="0" w:space="0" w:color="auto"/>
        <w:right w:val="none" w:sz="0" w:space="0" w:color="auto"/>
      </w:divBdr>
    </w:div>
    <w:div w:id="487213471">
      <w:bodyDiv w:val="1"/>
      <w:marLeft w:val="0"/>
      <w:marRight w:val="0"/>
      <w:marTop w:val="0"/>
      <w:marBottom w:val="0"/>
      <w:divBdr>
        <w:top w:val="none" w:sz="0" w:space="0" w:color="auto"/>
        <w:left w:val="none" w:sz="0" w:space="0" w:color="auto"/>
        <w:bottom w:val="none" w:sz="0" w:space="0" w:color="auto"/>
        <w:right w:val="none" w:sz="0" w:space="0" w:color="auto"/>
      </w:divBdr>
    </w:div>
    <w:div w:id="496966851">
      <w:bodyDiv w:val="1"/>
      <w:marLeft w:val="0"/>
      <w:marRight w:val="0"/>
      <w:marTop w:val="0"/>
      <w:marBottom w:val="0"/>
      <w:divBdr>
        <w:top w:val="none" w:sz="0" w:space="0" w:color="auto"/>
        <w:left w:val="none" w:sz="0" w:space="0" w:color="auto"/>
        <w:bottom w:val="none" w:sz="0" w:space="0" w:color="auto"/>
        <w:right w:val="none" w:sz="0" w:space="0" w:color="auto"/>
      </w:divBdr>
    </w:div>
    <w:div w:id="565072209">
      <w:bodyDiv w:val="1"/>
      <w:marLeft w:val="0"/>
      <w:marRight w:val="0"/>
      <w:marTop w:val="0"/>
      <w:marBottom w:val="0"/>
      <w:divBdr>
        <w:top w:val="none" w:sz="0" w:space="0" w:color="auto"/>
        <w:left w:val="none" w:sz="0" w:space="0" w:color="auto"/>
        <w:bottom w:val="none" w:sz="0" w:space="0" w:color="auto"/>
        <w:right w:val="none" w:sz="0" w:space="0" w:color="auto"/>
      </w:divBdr>
    </w:div>
    <w:div w:id="660502771">
      <w:bodyDiv w:val="1"/>
      <w:marLeft w:val="0"/>
      <w:marRight w:val="0"/>
      <w:marTop w:val="0"/>
      <w:marBottom w:val="0"/>
      <w:divBdr>
        <w:top w:val="none" w:sz="0" w:space="0" w:color="auto"/>
        <w:left w:val="none" w:sz="0" w:space="0" w:color="auto"/>
        <w:bottom w:val="none" w:sz="0" w:space="0" w:color="auto"/>
        <w:right w:val="none" w:sz="0" w:space="0" w:color="auto"/>
      </w:divBdr>
    </w:div>
    <w:div w:id="662004863">
      <w:bodyDiv w:val="1"/>
      <w:marLeft w:val="0"/>
      <w:marRight w:val="0"/>
      <w:marTop w:val="0"/>
      <w:marBottom w:val="0"/>
      <w:divBdr>
        <w:top w:val="none" w:sz="0" w:space="0" w:color="auto"/>
        <w:left w:val="none" w:sz="0" w:space="0" w:color="auto"/>
        <w:bottom w:val="none" w:sz="0" w:space="0" w:color="auto"/>
        <w:right w:val="none" w:sz="0" w:space="0" w:color="auto"/>
      </w:divBdr>
    </w:div>
    <w:div w:id="675689149">
      <w:bodyDiv w:val="1"/>
      <w:marLeft w:val="0"/>
      <w:marRight w:val="0"/>
      <w:marTop w:val="0"/>
      <w:marBottom w:val="0"/>
      <w:divBdr>
        <w:top w:val="none" w:sz="0" w:space="0" w:color="auto"/>
        <w:left w:val="none" w:sz="0" w:space="0" w:color="auto"/>
        <w:bottom w:val="none" w:sz="0" w:space="0" w:color="auto"/>
        <w:right w:val="none" w:sz="0" w:space="0" w:color="auto"/>
      </w:divBdr>
    </w:div>
    <w:div w:id="754285522">
      <w:bodyDiv w:val="1"/>
      <w:marLeft w:val="0"/>
      <w:marRight w:val="0"/>
      <w:marTop w:val="0"/>
      <w:marBottom w:val="0"/>
      <w:divBdr>
        <w:top w:val="none" w:sz="0" w:space="0" w:color="auto"/>
        <w:left w:val="none" w:sz="0" w:space="0" w:color="auto"/>
        <w:bottom w:val="none" w:sz="0" w:space="0" w:color="auto"/>
        <w:right w:val="none" w:sz="0" w:space="0" w:color="auto"/>
      </w:divBdr>
    </w:div>
    <w:div w:id="787434937">
      <w:bodyDiv w:val="1"/>
      <w:marLeft w:val="0"/>
      <w:marRight w:val="0"/>
      <w:marTop w:val="0"/>
      <w:marBottom w:val="0"/>
      <w:divBdr>
        <w:top w:val="none" w:sz="0" w:space="0" w:color="auto"/>
        <w:left w:val="none" w:sz="0" w:space="0" w:color="auto"/>
        <w:bottom w:val="none" w:sz="0" w:space="0" w:color="auto"/>
        <w:right w:val="none" w:sz="0" w:space="0" w:color="auto"/>
      </w:divBdr>
    </w:div>
    <w:div w:id="804354387">
      <w:bodyDiv w:val="1"/>
      <w:marLeft w:val="0"/>
      <w:marRight w:val="0"/>
      <w:marTop w:val="0"/>
      <w:marBottom w:val="0"/>
      <w:divBdr>
        <w:top w:val="none" w:sz="0" w:space="0" w:color="auto"/>
        <w:left w:val="none" w:sz="0" w:space="0" w:color="auto"/>
        <w:bottom w:val="none" w:sz="0" w:space="0" w:color="auto"/>
        <w:right w:val="none" w:sz="0" w:space="0" w:color="auto"/>
      </w:divBdr>
    </w:div>
    <w:div w:id="919950178">
      <w:bodyDiv w:val="1"/>
      <w:marLeft w:val="0"/>
      <w:marRight w:val="0"/>
      <w:marTop w:val="0"/>
      <w:marBottom w:val="0"/>
      <w:divBdr>
        <w:top w:val="none" w:sz="0" w:space="0" w:color="auto"/>
        <w:left w:val="none" w:sz="0" w:space="0" w:color="auto"/>
        <w:bottom w:val="none" w:sz="0" w:space="0" w:color="auto"/>
        <w:right w:val="none" w:sz="0" w:space="0" w:color="auto"/>
      </w:divBdr>
    </w:div>
    <w:div w:id="1027608694">
      <w:bodyDiv w:val="1"/>
      <w:marLeft w:val="0"/>
      <w:marRight w:val="0"/>
      <w:marTop w:val="0"/>
      <w:marBottom w:val="0"/>
      <w:divBdr>
        <w:top w:val="none" w:sz="0" w:space="0" w:color="auto"/>
        <w:left w:val="none" w:sz="0" w:space="0" w:color="auto"/>
        <w:bottom w:val="none" w:sz="0" w:space="0" w:color="auto"/>
        <w:right w:val="none" w:sz="0" w:space="0" w:color="auto"/>
      </w:divBdr>
    </w:div>
    <w:div w:id="1069382748">
      <w:bodyDiv w:val="1"/>
      <w:marLeft w:val="0"/>
      <w:marRight w:val="0"/>
      <w:marTop w:val="0"/>
      <w:marBottom w:val="0"/>
      <w:divBdr>
        <w:top w:val="none" w:sz="0" w:space="0" w:color="auto"/>
        <w:left w:val="none" w:sz="0" w:space="0" w:color="auto"/>
        <w:bottom w:val="none" w:sz="0" w:space="0" w:color="auto"/>
        <w:right w:val="none" w:sz="0" w:space="0" w:color="auto"/>
      </w:divBdr>
    </w:div>
    <w:div w:id="1140153966">
      <w:bodyDiv w:val="1"/>
      <w:marLeft w:val="0"/>
      <w:marRight w:val="0"/>
      <w:marTop w:val="0"/>
      <w:marBottom w:val="0"/>
      <w:divBdr>
        <w:top w:val="none" w:sz="0" w:space="0" w:color="auto"/>
        <w:left w:val="none" w:sz="0" w:space="0" w:color="auto"/>
        <w:bottom w:val="none" w:sz="0" w:space="0" w:color="auto"/>
        <w:right w:val="none" w:sz="0" w:space="0" w:color="auto"/>
      </w:divBdr>
    </w:div>
    <w:div w:id="1152135557">
      <w:bodyDiv w:val="1"/>
      <w:marLeft w:val="0"/>
      <w:marRight w:val="0"/>
      <w:marTop w:val="0"/>
      <w:marBottom w:val="0"/>
      <w:divBdr>
        <w:top w:val="none" w:sz="0" w:space="0" w:color="auto"/>
        <w:left w:val="none" w:sz="0" w:space="0" w:color="auto"/>
        <w:bottom w:val="none" w:sz="0" w:space="0" w:color="auto"/>
        <w:right w:val="none" w:sz="0" w:space="0" w:color="auto"/>
      </w:divBdr>
    </w:div>
    <w:div w:id="1254435007">
      <w:bodyDiv w:val="1"/>
      <w:marLeft w:val="0"/>
      <w:marRight w:val="0"/>
      <w:marTop w:val="0"/>
      <w:marBottom w:val="0"/>
      <w:divBdr>
        <w:top w:val="none" w:sz="0" w:space="0" w:color="auto"/>
        <w:left w:val="none" w:sz="0" w:space="0" w:color="auto"/>
        <w:bottom w:val="none" w:sz="0" w:space="0" w:color="auto"/>
        <w:right w:val="none" w:sz="0" w:space="0" w:color="auto"/>
      </w:divBdr>
    </w:div>
    <w:div w:id="1271350350">
      <w:bodyDiv w:val="1"/>
      <w:marLeft w:val="0"/>
      <w:marRight w:val="0"/>
      <w:marTop w:val="0"/>
      <w:marBottom w:val="0"/>
      <w:divBdr>
        <w:top w:val="none" w:sz="0" w:space="0" w:color="auto"/>
        <w:left w:val="none" w:sz="0" w:space="0" w:color="auto"/>
        <w:bottom w:val="none" w:sz="0" w:space="0" w:color="auto"/>
        <w:right w:val="none" w:sz="0" w:space="0" w:color="auto"/>
      </w:divBdr>
    </w:div>
    <w:div w:id="1332949229">
      <w:bodyDiv w:val="1"/>
      <w:marLeft w:val="0"/>
      <w:marRight w:val="0"/>
      <w:marTop w:val="0"/>
      <w:marBottom w:val="0"/>
      <w:divBdr>
        <w:top w:val="none" w:sz="0" w:space="0" w:color="auto"/>
        <w:left w:val="none" w:sz="0" w:space="0" w:color="auto"/>
        <w:bottom w:val="none" w:sz="0" w:space="0" w:color="auto"/>
        <w:right w:val="none" w:sz="0" w:space="0" w:color="auto"/>
      </w:divBdr>
    </w:div>
    <w:div w:id="1341859697">
      <w:bodyDiv w:val="1"/>
      <w:marLeft w:val="0"/>
      <w:marRight w:val="0"/>
      <w:marTop w:val="0"/>
      <w:marBottom w:val="0"/>
      <w:divBdr>
        <w:top w:val="none" w:sz="0" w:space="0" w:color="auto"/>
        <w:left w:val="none" w:sz="0" w:space="0" w:color="auto"/>
        <w:bottom w:val="none" w:sz="0" w:space="0" w:color="auto"/>
        <w:right w:val="none" w:sz="0" w:space="0" w:color="auto"/>
      </w:divBdr>
    </w:div>
    <w:div w:id="1539123856">
      <w:bodyDiv w:val="1"/>
      <w:marLeft w:val="0"/>
      <w:marRight w:val="0"/>
      <w:marTop w:val="0"/>
      <w:marBottom w:val="0"/>
      <w:divBdr>
        <w:top w:val="none" w:sz="0" w:space="0" w:color="auto"/>
        <w:left w:val="none" w:sz="0" w:space="0" w:color="auto"/>
        <w:bottom w:val="none" w:sz="0" w:space="0" w:color="auto"/>
        <w:right w:val="none" w:sz="0" w:space="0" w:color="auto"/>
      </w:divBdr>
    </w:div>
    <w:div w:id="1546795661">
      <w:bodyDiv w:val="1"/>
      <w:marLeft w:val="0"/>
      <w:marRight w:val="0"/>
      <w:marTop w:val="0"/>
      <w:marBottom w:val="0"/>
      <w:divBdr>
        <w:top w:val="none" w:sz="0" w:space="0" w:color="auto"/>
        <w:left w:val="none" w:sz="0" w:space="0" w:color="auto"/>
        <w:bottom w:val="none" w:sz="0" w:space="0" w:color="auto"/>
        <w:right w:val="none" w:sz="0" w:space="0" w:color="auto"/>
      </w:divBdr>
    </w:div>
    <w:div w:id="1569656022">
      <w:bodyDiv w:val="1"/>
      <w:marLeft w:val="0"/>
      <w:marRight w:val="0"/>
      <w:marTop w:val="0"/>
      <w:marBottom w:val="0"/>
      <w:divBdr>
        <w:top w:val="none" w:sz="0" w:space="0" w:color="auto"/>
        <w:left w:val="none" w:sz="0" w:space="0" w:color="auto"/>
        <w:bottom w:val="none" w:sz="0" w:space="0" w:color="auto"/>
        <w:right w:val="none" w:sz="0" w:space="0" w:color="auto"/>
      </w:divBdr>
    </w:div>
    <w:div w:id="1628270109">
      <w:bodyDiv w:val="1"/>
      <w:marLeft w:val="0"/>
      <w:marRight w:val="0"/>
      <w:marTop w:val="0"/>
      <w:marBottom w:val="0"/>
      <w:divBdr>
        <w:top w:val="none" w:sz="0" w:space="0" w:color="auto"/>
        <w:left w:val="none" w:sz="0" w:space="0" w:color="auto"/>
        <w:bottom w:val="none" w:sz="0" w:space="0" w:color="auto"/>
        <w:right w:val="none" w:sz="0" w:space="0" w:color="auto"/>
      </w:divBdr>
    </w:div>
    <w:div w:id="1722703983">
      <w:bodyDiv w:val="1"/>
      <w:marLeft w:val="0"/>
      <w:marRight w:val="0"/>
      <w:marTop w:val="0"/>
      <w:marBottom w:val="0"/>
      <w:divBdr>
        <w:top w:val="none" w:sz="0" w:space="0" w:color="auto"/>
        <w:left w:val="none" w:sz="0" w:space="0" w:color="auto"/>
        <w:bottom w:val="none" w:sz="0" w:space="0" w:color="auto"/>
        <w:right w:val="none" w:sz="0" w:space="0" w:color="auto"/>
      </w:divBdr>
    </w:div>
    <w:div w:id="1787773484">
      <w:bodyDiv w:val="1"/>
      <w:marLeft w:val="0"/>
      <w:marRight w:val="0"/>
      <w:marTop w:val="0"/>
      <w:marBottom w:val="0"/>
      <w:divBdr>
        <w:top w:val="none" w:sz="0" w:space="0" w:color="auto"/>
        <w:left w:val="none" w:sz="0" w:space="0" w:color="auto"/>
        <w:bottom w:val="none" w:sz="0" w:space="0" w:color="auto"/>
        <w:right w:val="none" w:sz="0" w:space="0" w:color="auto"/>
      </w:divBdr>
    </w:div>
    <w:div w:id="1814447333">
      <w:bodyDiv w:val="1"/>
      <w:marLeft w:val="0"/>
      <w:marRight w:val="0"/>
      <w:marTop w:val="0"/>
      <w:marBottom w:val="0"/>
      <w:divBdr>
        <w:top w:val="none" w:sz="0" w:space="0" w:color="auto"/>
        <w:left w:val="none" w:sz="0" w:space="0" w:color="auto"/>
        <w:bottom w:val="none" w:sz="0" w:space="0" w:color="auto"/>
        <w:right w:val="none" w:sz="0" w:space="0" w:color="auto"/>
      </w:divBdr>
    </w:div>
    <w:div w:id="2000036603">
      <w:bodyDiv w:val="1"/>
      <w:marLeft w:val="0"/>
      <w:marRight w:val="0"/>
      <w:marTop w:val="0"/>
      <w:marBottom w:val="0"/>
      <w:divBdr>
        <w:top w:val="none" w:sz="0" w:space="0" w:color="auto"/>
        <w:left w:val="none" w:sz="0" w:space="0" w:color="auto"/>
        <w:bottom w:val="none" w:sz="0" w:space="0" w:color="auto"/>
        <w:right w:val="none" w:sz="0" w:space="0" w:color="auto"/>
      </w:divBdr>
    </w:div>
    <w:div w:id="2009165488">
      <w:bodyDiv w:val="1"/>
      <w:marLeft w:val="0"/>
      <w:marRight w:val="0"/>
      <w:marTop w:val="0"/>
      <w:marBottom w:val="0"/>
      <w:divBdr>
        <w:top w:val="none" w:sz="0" w:space="0" w:color="auto"/>
        <w:left w:val="none" w:sz="0" w:space="0" w:color="auto"/>
        <w:bottom w:val="none" w:sz="0" w:space="0" w:color="auto"/>
        <w:right w:val="none" w:sz="0" w:space="0" w:color="auto"/>
      </w:divBdr>
      <w:divsChild>
        <w:div w:id="1980185237">
          <w:marLeft w:val="0"/>
          <w:marRight w:val="0"/>
          <w:marTop w:val="0"/>
          <w:marBottom w:val="0"/>
          <w:divBdr>
            <w:top w:val="none" w:sz="0" w:space="0" w:color="auto"/>
            <w:left w:val="none" w:sz="0" w:space="0" w:color="auto"/>
            <w:bottom w:val="none" w:sz="0" w:space="0" w:color="auto"/>
            <w:right w:val="none" w:sz="0" w:space="0" w:color="auto"/>
          </w:divBdr>
          <w:divsChild>
            <w:div w:id="152070912">
              <w:marLeft w:val="0"/>
              <w:marRight w:val="0"/>
              <w:marTop w:val="0"/>
              <w:marBottom w:val="0"/>
              <w:divBdr>
                <w:top w:val="none" w:sz="0" w:space="0" w:color="auto"/>
                <w:left w:val="none" w:sz="0" w:space="0" w:color="auto"/>
                <w:bottom w:val="none" w:sz="0" w:space="0" w:color="auto"/>
                <w:right w:val="none" w:sz="0" w:space="0" w:color="auto"/>
              </w:divBdr>
              <w:divsChild>
                <w:div w:id="1639601398">
                  <w:marLeft w:val="0"/>
                  <w:marRight w:val="0"/>
                  <w:marTop w:val="0"/>
                  <w:marBottom w:val="0"/>
                  <w:divBdr>
                    <w:top w:val="none" w:sz="0" w:space="0" w:color="auto"/>
                    <w:left w:val="none" w:sz="0" w:space="0" w:color="auto"/>
                    <w:bottom w:val="none" w:sz="0" w:space="0" w:color="auto"/>
                    <w:right w:val="none" w:sz="0" w:space="0" w:color="auto"/>
                  </w:divBdr>
                  <w:divsChild>
                    <w:div w:id="771707078">
                      <w:marLeft w:val="0"/>
                      <w:marRight w:val="0"/>
                      <w:marTop w:val="0"/>
                      <w:marBottom w:val="0"/>
                      <w:divBdr>
                        <w:top w:val="none" w:sz="0" w:space="0" w:color="auto"/>
                        <w:left w:val="none" w:sz="0" w:space="0" w:color="auto"/>
                        <w:bottom w:val="none" w:sz="0" w:space="0" w:color="auto"/>
                        <w:right w:val="none" w:sz="0" w:space="0" w:color="auto"/>
                      </w:divBdr>
                      <w:divsChild>
                        <w:div w:id="221643400">
                          <w:marLeft w:val="0"/>
                          <w:marRight w:val="0"/>
                          <w:marTop w:val="0"/>
                          <w:marBottom w:val="0"/>
                          <w:divBdr>
                            <w:top w:val="none" w:sz="0" w:space="0" w:color="auto"/>
                            <w:left w:val="none" w:sz="0" w:space="0" w:color="auto"/>
                            <w:bottom w:val="none" w:sz="0" w:space="0" w:color="auto"/>
                            <w:right w:val="none" w:sz="0" w:space="0" w:color="auto"/>
                          </w:divBdr>
                          <w:divsChild>
                            <w:div w:id="1370759968">
                              <w:marLeft w:val="0"/>
                              <w:marRight w:val="0"/>
                              <w:marTop w:val="0"/>
                              <w:marBottom w:val="0"/>
                              <w:divBdr>
                                <w:top w:val="none" w:sz="0" w:space="0" w:color="auto"/>
                                <w:left w:val="none" w:sz="0" w:space="0" w:color="auto"/>
                                <w:bottom w:val="none" w:sz="0" w:space="0" w:color="auto"/>
                                <w:right w:val="none" w:sz="0" w:space="0" w:color="auto"/>
                              </w:divBdr>
                              <w:divsChild>
                                <w:div w:id="4700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4682">
                          <w:marLeft w:val="0"/>
                          <w:marRight w:val="0"/>
                          <w:marTop w:val="0"/>
                          <w:marBottom w:val="0"/>
                          <w:divBdr>
                            <w:top w:val="none" w:sz="0" w:space="0" w:color="auto"/>
                            <w:left w:val="none" w:sz="0" w:space="0" w:color="auto"/>
                            <w:bottom w:val="none" w:sz="0" w:space="0" w:color="auto"/>
                            <w:right w:val="none" w:sz="0" w:space="0" w:color="auto"/>
                          </w:divBdr>
                          <w:divsChild>
                            <w:div w:id="1494645907">
                              <w:marLeft w:val="0"/>
                              <w:marRight w:val="0"/>
                              <w:marTop w:val="0"/>
                              <w:marBottom w:val="0"/>
                              <w:divBdr>
                                <w:top w:val="none" w:sz="0" w:space="0" w:color="auto"/>
                                <w:left w:val="none" w:sz="0" w:space="0" w:color="auto"/>
                                <w:bottom w:val="none" w:sz="0" w:space="0" w:color="auto"/>
                                <w:right w:val="none" w:sz="0" w:space="0" w:color="auto"/>
                              </w:divBdr>
                              <w:divsChild>
                                <w:div w:id="1033724840">
                                  <w:marLeft w:val="0"/>
                                  <w:marRight w:val="0"/>
                                  <w:marTop w:val="0"/>
                                  <w:marBottom w:val="0"/>
                                  <w:divBdr>
                                    <w:top w:val="none" w:sz="0" w:space="0" w:color="auto"/>
                                    <w:left w:val="none" w:sz="0" w:space="0" w:color="auto"/>
                                    <w:bottom w:val="none" w:sz="0" w:space="0" w:color="auto"/>
                                    <w:right w:val="none" w:sz="0" w:space="0" w:color="auto"/>
                                  </w:divBdr>
                                  <w:divsChild>
                                    <w:div w:id="21337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882251">
      <w:bodyDiv w:val="1"/>
      <w:marLeft w:val="0"/>
      <w:marRight w:val="0"/>
      <w:marTop w:val="0"/>
      <w:marBottom w:val="0"/>
      <w:divBdr>
        <w:top w:val="none" w:sz="0" w:space="0" w:color="auto"/>
        <w:left w:val="none" w:sz="0" w:space="0" w:color="auto"/>
        <w:bottom w:val="none" w:sz="0" w:space="0" w:color="auto"/>
        <w:right w:val="none" w:sz="0" w:space="0" w:color="auto"/>
      </w:divBdr>
    </w:div>
    <w:div w:id="213525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emf"/><Relationship Id="rId39" Type="http://schemas.openxmlformats.org/officeDocument/2006/relationships/hyperlink" Target="https://doi.org/10.1080/14693062.2025.2502108" TargetMode="External"/><Relationship Id="rId21" Type="http://schemas.microsoft.com/office/2007/relationships/hdphoto" Target="media/hdphoto5.wdp"/><Relationship Id="rId34" Type="http://schemas.openxmlformats.org/officeDocument/2006/relationships/hyperlink" Target="https://www.climatepolicyinitiative.org/publication/global-landscape-of-climate-finance-2023/" TargetMode="External"/><Relationship Id="rId42" Type="http://schemas.openxmlformats.org/officeDocument/2006/relationships/hyperlink" Target="https://doi.org/10.1787/fe7bfcc4-en" TargetMode="External"/><Relationship Id="rId47" Type="http://schemas.openxmlformats.org/officeDocument/2006/relationships/hyperlink" Target="http://www.odi.org/en/publications/the-costs-of-climate-change-inindia-a-review-of-the-climate-related-risks-facing-india-and-their-economic-and-social-costs" TargetMode="External"/><Relationship Id="rId50" Type="http://schemas.openxmlformats.org/officeDocument/2006/relationships/hyperlink" Target="https://www.statista.com/topics/8881/emissions-in-india/" TargetMode="External"/><Relationship Id="rId55" Type="http://schemas.openxmlformats.org/officeDocument/2006/relationships/hyperlink" Target="https://apcdeloitte-my.sharepoint.com/personal/akartik_deloitte_com/Documents/Desktop/RBAP-DG-2015-CPEIR-Methodological-Guidebook.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emf"/><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hyperlink" Target="https://www.adb.org/sites/default/files/publication/908751/climate-change-climate-finance-experience-directions.pdf" TargetMode="External"/><Relationship Id="rId37" Type="http://schemas.openxmlformats.org/officeDocument/2006/relationships/hyperlink" Target="https://www.forbesindia.com/article/take-one-big-story-of-the-day/how-climate-change-can-impact-gdp-and-jobs/87673/1" TargetMode="External"/><Relationship Id="rId40" Type="http://schemas.openxmlformats.org/officeDocument/2006/relationships/hyperlink" Target="https://www.ipcc.ch/report/ar5/wg1/" TargetMode="External"/><Relationship Id="rId45" Type="http://schemas.openxmlformats.org/officeDocument/2006/relationships/hyperlink" Target="https://www.pefa.org/resources/supplementary-framework-assessing-climate-responsive-public-financial-management" TargetMode="External"/><Relationship Id="rId53" Type="http://schemas.openxmlformats.org/officeDocument/2006/relationships/hyperlink" Target="https://apcdeloitte-my.sharepoint.com/personal/akartik_deloitte_com/Documents/Desktop/40851e31-78eb-43fe-8e6d-a08fa4105638_en" TargetMode="External"/><Relationship Id="rId58"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fontTable" Target="fontTable.xml"/><Relationship Id="rId19" Type="http://schemas.microsoft.com/office/2007/relationships/hdphoto" Target="media/hdphoto4.wdp"/><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hyperlink" Target="https://www.cleanairfund.org/wp-content/uploads/01042021_Business-Cost-of-Air-Pollution_Long-Form-Report.pdf" TargetMode="External"/><Relationship Id="rId43" Type="http://schemas.openxmlformats.org/officeDocument/2006/relationships/hyperlink" Target="https://doi.org/10.1787/acf5d047-en" TargetMode="External"/><Relationship Id="rId48" Type="http://schemas.openxmlformats.org/officeDocument/2006/relationships/hyperlink" Target="https://cdn.climatepolicyradar.org/navigator/IND/2008/national-action-plan-on-climate-change_e519421f95914b49614d76d4d62f2456.pdf" TargetMode="External"/><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theclimategroup.org/our-work/news/green-budgeting-subnational-governments-why-it-matters-and-how-begin" TargetMode="External"/><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hyperlink" Target="https://edgar.jrc.ec.europa.eu/report_2024?vis=co2tot" TargetMode="External"/><Relationship Id="rId33" Type="http://schemas.openxmlformats.org/officeDocument/2006/relationships/hyperlink" Target="https://doi.org/10.1088/1755-1315/1114/1/012101" TargetMode="External"/><Relationship Id="rId38" Type="http://schemas.openxmlformats.org/officeDocument/2006/relationships/hyperlink" Target="https://www.germanwatch.org/sites/default/files/Global%20Climate%20Risk%20Index%202021_2.pdf" TargetMode="External"/><Relationship Id="rId46" Type="http://schemas.openxmlformats.org/officeDocument/2006/relationships/hyperlink" Target="https://thedocs.worldbank.org/en/doc/6b3c0248bc9617882434d7eb9a573031-0350012024/related/Session-4-Murray-Petrie.pdf" TargetMode="External"/><Relationship Id="rId59"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hyperlink" Target="https://www.undp.org/sites/g/files/zskgke326/files/2024-06/climate_chnage_financing_framework-2017.pdf" TargetMode="External"/><Relationship Id="rId54" Type="http://schemas.openxmlformats.org/officeDocument/2006/relationships/hyperlink" Target="https://openknowledge.worldbank.org/server/api/core/bitstreams/0f6d80c6-5746-5de2-93db-2f2de318240a/conten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6.wdp"/><Relationship Id="rId28" Type="http://schemas.openxmlformats.org/officeDocument/2006/relationships/image" Target="media/image13.emf"/><Relationship Id="rId36" Type="http://schemas.openxmlformats.org/officeDocument/2006/relationships/hyperlink" Target="https://www.climatepolicyinitiative.org/wp-content/uploads/2024/12/Landscape-of-Green-Finance-in-India-2024.pdf" TargetMode="External"/><Relationship Id="rId49" Type="http://schemas.openxmlformats.org/officeDocument/2006/relationships/hyperlink" Target="https://rbidocs.rbi.org.in/rdocs/Publications/PDFs/RCF03052023395FAF37181E40188BAD3AFA59BF3907.PDF" TargetMode="External"/><Relationship Id="rId57" Type="http://schemas.openxmlformats.org/officeDocument/2006/relationships/header" Target="header2.xml"/><Relationship Id="rId10" Type="http://schemas.microsoft.com/office/2007/relationships/hdphoto" Target="media/hdphoto1.wdp"/><Relationship Id="rId31" Type="http://schemas.openxmlformats.org/officeDocument/2006/relationships/image" Target="media/image16.svg"/><Relationship Id="rId44" Type="http://schemas.openxmlformats.org/officeDocument/2006/relationships/hyperlink" Target="https://doi.org/10.1787/9aea61f0-en" TargetMode="External"/><Relationship Id="rId52" Type="http://schemas.openxmlformats.org/officeDocument/2006/relationships/hyperlink" Target="https://apcdeloitte-my.sharepoint.com/personal/prdutt_deloitte_com/Documents/Desktop/bfd8d6c1-d501-4cf2-873f-811f6453dde8_en" TargetMode="External"/><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1CFEE-D0AF-44C9-8125-6BB41E65B50B}">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9</TotalTime>
  <Pages>31</Pages>
  <Words>7927</Words>
  <Characters>45185</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53006</CharactersWithSpaces>
  <SharedDoc>false</SharedDoc>
  <HLinks>
    <vt:vector size="150" baseType="variant">
      <vt:variant>
        <vt:i4>8126511</vt:i4>
      </vt:variant>
      <vt:variant>
        <vt:i4>72</vt:i4>
      </vt:variant>
      <vt:variant>
        <vt:i4>0</vt:i4>
      </vt:variant>
      <vt:variant>
        <vt:i4>5</vt:i4>
      </vt:variant>
      <vt:variant>
        <vt:lpwstr>https://apcdeloitte-my.sharepoint.com/personal/akartik_deloitte_com/Documents/Desktop/RBAP-DG-2015-CPEIR-Methodological-Guidebook.pdf</vt:lpwstr>
      </vt:variant>
      <vt:variant>
        <vt:lpwstr/>
      </vt:variant>
      <vt:variant>
        <vt:i4>3801121</vt:i4>
      </vt:variant>
      <vt:variant>
        <vt:i4>69</vt:i4>
      </vt:variant>
      <vt:variant>
        <vt:i4>0</vt:i4>
      </vt:variant>
      <vt:variant>
        <vt:i4>5</vt:i4>
      </vt:variant>
      <vt:variant>
        <vt:lpwstr>https://openknowledge.worldbank.org/server/api/core/bitstreams/0f6d80c6-5746-5de2-93db-2f2de318240a/content</vt:lpwstr>
      </vt:variant>
      <vt:variant>
        <vt:lpwstr/>
      </vt:variant>
      <vt:variant>
        <vt:i4>3211337</vt:i4>
      </vt:variant>
      <vt:variant>
        <vt:i4>66</vt:i4>
      </vt:variant>
      <vt:variant>
        <vt:i4>0</vt:i4>
      </vt:variant>
      <vt:variant>
        <vt:i4>5</vt:i4>
      </vt:variant>
      <vt:variant>
        <vt:lpwstr>https://apcdeloitte-my.sharepoint.com/personal/akartik_deloitte_com/Documents/Desktop/40851e31-78eb-43fe-8e6d-a08fa4105638_en</vt:lpwstr>
      </vt:variant>
      <vt:variant>
        <vt:lpwstr/>
      </vt:variant>
      <vt:variant>
        <vt:i4>6160493</vt:i4>
      </vt:variant>
      <vt:variant>
        <vt:i4>63</vt:i4>
      </vt:variant>
      <vt:variant>
        <vt:i4>0</vt:i4>
      </vt:variant>
      <vt:variant>
        <vt:i4>5</vt:i4>
      </vt:variant>
      <vt:variant>
        <vt:lpwstr>https://apcdeloitte-my.sharepoint.com/personal/prdutt_deloitte_com/Documents/Desktop/bfd8d6c1-d501-4cf2-873f-811f6453dde8_en</vt:lpwstr>
      </vt:variant>
      <vt:variant>
        <vt:lpwstr/>
      </vt:variant>
      <vt:variant>
        <vt:i4>7602289</vt:i4>
      </vt:variant>
      <vt:variant>
        <vt:i4>60</vt:i4>
      </vt:variant>
      <vt:variant>
        <vt:i4>0</vt:i4>
      </vt:variant>
      <vt:variant>
        <vt:i4>5</vt:i4>
      </vt:variant>
      <vt:variant>
        <vt:lpwstr>https://www.theclimategroup.org/our-work/news/green-budgeting-subnational-governments-why-it-matters-and-how-begin</vt:lpwstr>
      </vt:variant>
      <vt:variant>
        <vt:lpwstr/>
      </vt:variant>
      <vt:variant>
        <vt:i4>5374045</vt:i4>
      </vt:variant>
      <vt:variant>
        <vt:i4>57</vt:i4>
      </vt:variant>
      <vt:variant>
        <vt:i4>0</vt:i4>
      </vt:variant>
      <vt:variant>
        <vt:i4>5</vt:i4>
      </vt:variant>
      <vt:variant>
        <vt:lpwstr>https://www.statista.com/topics/8881/emissions-in-india/</vt:lpwstr>
      </vt:variant>
      <vt:variant>
        <vt:lpwstr>:~:text=India's%20GHG%20emissions%20grew%20by,have%20now%20more%20than%20doubled</vt:lpwstr>
      </vt:variant>
      <vt:variant>
        <vt:i4>6553649</vt:i4>
      </vt:variant>
      <vt:variant>
        <vt:i4>54</vt:i4>
      </vt:variant>
      <vt:variant>
        <vt:i4>0</vt:i4>
      </vt:variant>
      <vt:variant>
        <vt:i4>5</vt:i4>
      </vt:variant>
      <vt:variant>
        <vt:lpwstr>https://rbidocs.rbi.org.in/rdocs/Publications/PDFs/RCF03052023395FAF37181E40188BAD3AFA59BF3907.PDF</vt:lpwstr>
      </vt:variant>
      <vt:variant>
        <vt:lpwstr/>
      </vt:variant>
      <vt:variant>
        <vt:i4>5832806</vt:i4>
      </vt:variant>
      <vt:variant>
        <vt:i4>51</vt:i4>
      </vt:variant>
      <vt:variant>
        <vt:i4>0</vt:i4>
      </vt:variant>
      <vt:variant>
        <vt:i4>5</vt:i4>
      </vt:variant>
      <vt:variant>
        <vt:lpwstr>https://cdn.climatepolicyradar.org/navigator/IND/2008/national-action-plan-on-climate-change_e519421f95914b49614d76d4d62f2456.pdf</vt:lpwstr>
      </vt:variant>
      <vt:variant>
        <vt:lpwstr/>
      </vt:variant>
      <vt:variant>
        <vt:i4>1638427</vt:i4>
      </vt:variant>
      <vt:variant>
        <vt:i4>48</vt:i4>
      </vt:variant>
      <vt:variant>
        <vt:i4>0</vt:i4>
      </vt:variant>
      <vt:variant>
        <vt:i4>5</vt:i4>
      </vt:variant>
      <vt:variant>
        <vt:lpwstr>http://www.odi.org/en/publications/the-costs-of-climate-change-inindia-a-review-of-the-climate-related-risks-facing-india-and-their-economic-and-social-costs</vt:lpwstr>
      </vt:variant>
      <vt:variant>
        <vt:lpwstr/>
      </vt:variant>
      <vt:variant>
        <vt:i4>720899</vt:i4>
      </vt:variant>
      <vt:variant>
        <vt:i4>45</vt:i4>
      </vt:variant>
      <vt:variant>
        <vt:i4>0</vt:i4>
      </vt:variant>
      <vt:variant>
        <vt:i4>5</vt:i4>
      </vt:variant>
      <vt:variant>
        <vt:lpwstr>https://thedocs.worldbank.org/en/doc/6b3c0248bc9617882434d7eb9a573031-0350012024/related/Session-4-Murray-Petrie.pdf</vt:lpwstr>
      </vt:variant>
      <vt:variant>
        <vt:lpwstr/>
      </vt:variant>
      <vt:variant>
        <vt:i4>7012470</vt:i4>
      </vt:variant>
      <vt:variant>
        <vt:i4>42</vt:i4>
      </vt:variant>
      <vt:variant>
        <vt:i4>0</vt:i4>
      </vt:variant>
      <vt:variant>
        <vt:i4>5</vt:i4>
      </vt:variant>
      <vt:variant>
        <vt:lpwstr>https://www.pefa.org/resources/supplementary-framework-assessing-climate-responsive-public-financial-management</vt:lpwstr>
      </vt:variant>
      <vt:variant>
        <vt:lpwstr/>
      </vt:variant>
      <vt:variant>
        <vt:i4>8323195</vt:i4>
      </vt:variant>
      <vt:variant>
        <vt:i4>39</vt:i4>
      </vt:variant>
      <vt:variant>
        <vt:i4>0</vt:i4>
      </vt:variant>
      <vt:variant>
        <vt:i4>5</vt:i4>
      </vt:variant>
      <vt:variant>
        <vt:lpwstr>https://doi.org/10.1787/9aea61f0-en</vt:lpwstr>
      </vt:variant>
      <vt:variant>
        <vt:lpwstr/>
      </vt:variant>
      <vt:variant>
        <vt:i4>3080224</vt:i4>
      </vt:variant>
      <vt:variant>
        <vt:i4>36</vt:i4>
      </vt:variant>
      <vt:variant>
        <vt:i4>0</vt:i4>
      </vt:variant>
      <vt:variant>
        <vt:i4>5</vt:i4>
      </vt:variant>
      <vt:variant>
        <vt:lpwstr>https://doi.org/10.1787/acf5d047-en</vt:lpwstr>
      </vt:variant>
      <vt:variant>
        <vt:lpwstr/>
      </vt:variant>
      <vt:variant>
        <vt:i4>3014691</vt:i4>
      </vt:variant>
      <vt:variant>
        <vt:i4>33</vt:i4>
      </vt:variant>
      <vt:variant>
        <vt:i4>0</vt:i4>
      </vt:variant>
      <vt:variant>
        <vt:i4>5</vt:i4>
      </vt:variant>
      <vt:variant>
        <vt:lpwstr>https://doi.org/10.1787/fe7bfcc4-en</vt:lpwstr>
      </vt:variant>
      <vt:variant>
        <vt:lpwstr/>
      </vt:variant>
      <vt:variant>
        <vt:i4>7209048</vt:i4>
      </vt:variant>
      <vt:variant>
        <vt:i4>30</vt:i4>
      </vt:variant>
      <vt:variant>
        <vt:i4>0</vt:i4>
      </vt:variant>
      <vt:variant>
        <vt:i4>5</vt:i4>
      </vt:variant>
      <vt:variant>
        <vt:lpwstr>https://www.undp.org/sites/g/files/zskgke326/files/2024-06/climate_chnage_financing_framework-2017.pdf</vt:lpwstr>
      </vt:variant>
      <vt:variant>
        <vt:lpwstr/>
      </vt:variant>
      <vt:variant>
        <vt:i4>8061033</vt:i4>
      </vt:variant>
      <vt:variant>
        <vt:i4>27</vt:i4>
      </vt:variant>
      <vt:variant>
        <vt:i4>0</vt:i4>
      </vt:variant>
      <vt:variant>
        <vt:i4>5</vt:i4>
      </vt:variant>
      <vt:variant>
        <vt:lpwstr>https://www.ipcc.ch/report/ar5/wg1/</vt:lpwstr>
      </vt:variant>
      <vt:variant>
        <vt:lpwstr/>
      </vt:variant>
      <vt:variant>
        <vt:i4>852032</vt:i4>
      </vt:variant>
      <vt:variant>
        <vt:i4>24</vt:i4>
      </vt:variant>
      <vt:variant>
        <vt:i4>0</vt:i4>
      </vt:variant>
      <vt:variant>
        <vt:i4>5</vt:i4>
      </vt:variant>
      <vt:variant>
        <vt:lpwstr>https://doi.org/10.1080/14693062.2025.2502108</vt:lpwstr>
      </vt:variant>
      <vt:variant>
        <vt:lpwstr/>
      </vt:variant>
      <vt:variant>
        <vt:i4>5963815</vt:i4>
      </vt:variant>
      <vt:variant>
        <vt:i4>21</vt:i4>
      </vt:variant>
      <vt:variant>
        <vt:i4>0</vt:i4>
      </vt:variant>
      <vt:variant>
        <vt:i4>5</vt:i4>
      </vt:variant>
      <vt:variant>
        <vt:lpwstr>https://www.germanwatch.org/sites/default/files/Global Climate Risk Index 2021_2.pdf</vt:lpwstr>
      </vt:variant>
      <vt:variant>
        <vt:lpwstr/>
      </vt:variant>
      <vt:variant>
        <vt:i4>1638467</vt:i4>
      </vt:variant>
      <vt:variant>
        <vt:i4>18</vt:i4>
      </vt:variant>
      <vt:variant>
        <vt:i4>0</vt:i4>
      </vt:variant>
      <vt:variant>
        <vt:i4>5</vt:i4>
      </vt:variant>
      <vt:variant>
        <vt:lpwstr>https://www.forbesindia.com/article/take-one-big-story-of-the-day/how-climate-change-can-impact-gdp-and-jobs/87673/1</vt:lpwstr>
      </vt:variant>
      <vt:variant>
        <vt:lpwstr/>
      </vt:variant>
      <vt:variant>
        <vt:i4>2293800</vt:i4>
      </vt:variant>
      <vt:variant>
        <vt:i4>15</vt:i4>
      </vt:variant>
      <vt:variant>
        <vt:i4>0</vt:i4>
      </vt:variant>
      <vt:variant>
        <vt:i4>5</vt:i4>
      </vt:variant>
      <vt:variant>
        <vt:lpwstr>https://www.climatepolicyinitiative.org/wp-content/uploads/2024/12/Landscape-of-Green-Finance-in-India-2024.pdf</vt:lpwstr>
      </vt:variant>
      <vt:variant>
        <vt:lpwstr/>
      </vt:variant>
      <vt:variant>
        <vt:i4>3997753</vt:i4>
      </vt:variant>
      <vt:variant>
        <vt:i4>12</vt:i4>
      </vt:variant>
      <vt:variant>
        <vt:i4>0</vt:i4>
      </vt:variant>
      <vt:variant>
        <vt:i4>5</vt:i4>
      </vt:variant>
      <vt:variant>
        <vt:lpwstr>https://www.cleanairfund.org/wp-content/uploads/01042021_Business-Cost-of-Air-Pollution_Long-Form-Report.pdf</vt:lpwstr>
      </vt:variant>
      <vt:variant>
        <vt:lpwstr/>
      </vt:variant>
      <vt:variant>
        <vt:i4>6029383</vt:i4>
      </vt:variant>
      <vt:variant>
        <vt:i4>9</vt:i4>
      </vt:variant>
      <vt:variant>
        <vt:i4>0</vt:i4>
      </vt:variant>
      <vt:variant>
        <vt:i4>5</vt:i4>
      </vt:variant>
      <vt:variant>
        <vt:lpwstr>https://www.climatepolicyinitiative.org/publication/global-landscape-of-climate-finance-2023/</vt:lpwstr>
      </vt:variant>
      <vt:variant>
        <vt:lpwstr/>
      </vt:variant>
      <vt:variant>
        <vt:i4>3145853</vt:i4>
      </vt:variant>
      <vt:variant>
        <vt:i4>6</vt:i4>
      </vt:variant>
      <vt:variant>
        <vt:i4>0</vt:i4>
      </vt:variant>
      <vt:variant>
        <vt:i4>5</vt:i4>
      </vt:variant>
      <vt:variant>
        <vt:lpwstr>https://doi.org/10.1088/1755-1315/1114/1/012101</vt:lpwstr>
      </vt:variant>
      <vt:variant>
        <vt:lpwstr/>
      </vt:variant>
      <vt:variant>
        <vt:i4>8323117</vt:i4>
      </vt:variant>
      <vt:variant>
        <vt:i4>3</vt:i4>
      </vt:variant>
      <vt:variant>
        <vt:i4>0</vt:i4>
      </vt:variant>
      <vt:variant>
        <vt:i4>5</vt:i4>
      </vt:variant>
      <vt:variant>
        <vt:lpwstr>https://www.adb.org/sites/default/files/publication/908751/climate-change-climate-finance-experience-directions.pdf</vt:lpwstr>
      </vt:variant>
      <vt:variant>
        <vt:lpwstr/>
      </vt:variant>
      <vt:variant>
        <vt:i4>3604588</vt:i4>
      </vt:variant>
      <vt:variant>
        <vt:i4>0</vt:i4>
      </vt:variant>
      <vt:variant>
        <vt:i4>0</vt:i4>
      </vt:variant>
      <vt:variant>
        <vt:i4>5</vt:i4>
      </vt:variant>
      <vt:variant>
        <vt:lpwstr>https://edgar.jrc.ec.europa.eu/report_2024?vis=co2tot</vt:lpwstr>
      </vt:variant>
      <vt:variant>
        <vt:lpwstr>data_download</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Dutt, Pragna</dc:creator>
  <cp:keywords/>
  <dc:description/>
  <cp:lastModifiedBy>SDI 1055</cp:lastModifiedBy>
  <cp:revision>5</cp:revision>
  <cp:lastPrinted>2025-04-30T22:14:00Z</cp:lastPrinted>
  <dcterms:created xsi:type="dcterms:W3CDTF">2025-07-23T11:43:00Z</dcterms:created>
  <dcterms:modified xsi:type="dcterms:W3CDTF">2025-07-26T07:33:00Z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abcdd417-2613-45f4-bf86-4a42acb2f466</vt:lpwstr>
  </property>
</Properties>
</file>