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B6F9A" w14:textId="6C58048E" w:rsidR="00CF07B0" w:rsidRPr="00CF07B0" w:rsidRDefault="00215AC1" w:rsidP="00CF07B0">
      <w:pPr>
        <w:pStyle w:val="Author"/>
        <w:spacing w:line="240" w:lineRule="auto"/>
        <w:jc w:val="both"/>
        <w:rPr>
          <w:rFonts w:ascii="Arial" w:hAnsi="Arial" w:cs="Arial"/>
          <w:bCs/>
          <w:iCs/>
          <w:kern w:val="28"/>
          <w:sz w:val="36"/>
          <w:lang w:val="en-GB"/>
        </w:rPr>
      </w:pPr>
      <w:bookmarkStart w:id="0" w:name="_Hlk203066525"/>
      <w:r w:rsidRPr="00215AC1">
        <w:rPr>
          <w:rFonts w:ascii="Arial" w:hAnsi="Arial" w:cs="Arial"/>
          <w:bCs/>
          <w:iCs/>
          <w:kern w:val="28"/>
          <w:sz w:val="36"/>
          <w:highlight w:val="green"/>
          <w:lang w:val="en-GB"/>
        </w:rPr>
        <w:t>Integrating Urban Green Spaces in Settlement Upgrading: A Systematic Review from Sub-Saharan Africa</w:t>
      </w:r>
    </w:p>
    <w:p w14:paraId="5D87E0D4" w14:textId="77777777" w:rsidR="00A258C3" w:rsidRPr="00790ADA" w:rsidRDefault="00A258C3" w:rsidP="00441B6F">
      <w:pPr>
        <w:pStyle w:val="Author"/>
        <w:spacing w:line="240" w:lineRule="auto"/>
        <w:jc w:val="both"/>
        <w:rPr>
          <w:rFonts w:ascii="Arial" w:hAnsi="Arial" w:cs="Arial"/>
          <w:sz w:val="36"/>
        </w:rPr>
      </w:pPr>
    </w:p>
    <w:p w14:paraId="1122D104" w14:textId="6019F92B" w:rsidR="00B01FCD" w:rsidRPr="00FB3A86" w:rsidRDefault="00BE50BB" w:rsidP="00441B6F">
      <w:pPr>
        <w:pStyle w:val="Copyright"/>
        <w:spacing w:after="0" w:line="240" w:lineRule="auto"/>
        <w:jc w:val="both"/>
        <w:rPr>
          <w:rFonts w:ascii="Arial" w:hAnsi="Arial" w:cs="Arial"/>
        </w:rPr>
        <w:sectPr w:rsidR="00B01FCD" w:rsidRPr="00FB3A86" w:rsidSect="00A1374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86F02E1" wp14:editId="72DB3F58">
                <wp:extent cx="5303520" cy="635"/>
                <wp:effectExtent l="13335" t="13970" r="17145" b="14605"/>
                <wp:docPr id="147472289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443B54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FE87A0E" w14:textId="77777777" w:rsidR="0097725A" w:rsidRPr="0097725A" w:rsidRDefault="0097725A" w:rsidP="0097725A">
      <w:pPr>
        <w:pStyle w:val="AbstHead"/>
        <w:spacing w:after="0"/>
        <w:jc w:val="both"/>
        <w:rPr>
          <w:rFonts w:ascii="Arial" w:hAnsi="Arial" w:cs="Arial"/>
          <w:bCs/>
          <w:lang w:val="en-GB"/>
        </w:rPr>
      </w:pPr>
      <w:r w:rsidRPr="0097725A">
        <w:rPr>
          <w:rFonts w:ascii="Arial" w:hAnsi="Arial" w:cs="Arial"/>
          <w:bCs/>
          <w:lang w:val="en-GB"/>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8A10A25" w14:textId="77777777" w:rsidTr="0097725A">
        <w:tc>
          <w:tcPr>
            <w:tcW w:w="8424" w:type="dxa"/>
            <w:shd w:val="clear" w:color="auto" w:fill="F2F2F2"/>
          </w:tcPr>
          <w:p w14:paraId="629E513C" w14:textId="7C6A691F" w:rsidR="004E3B78" w:rsidRPr="004E3B78" w:rsidRDefault="004E3B78" w:rsidP="004E3B78">
            <w:pPr>
              <w:pStyle w:val="Body"/>
              <w:rPr>
                <w:rFonts w:ascii="Arial" w:eastAsia="Calibri" w:hAnsi="Arial" w:cs="Arial"/>
                <w:szCs w:val="22"/>
                <w:lang w:val="en-GB"/>
              </w:rPr>
            </w:pPr>
            <w:r w:rsidRPr="004E3B78">
              <w:rPr>
                <w:rFonts w:ascii="Arial" w:eastAsia="Calibri" w:hAnsi="Arial" w:cs="Arial"/>
                <w:b/>
                <w:bCs/>
                <w:szCs w:val="22"/>
                <w:lang w:val="en-GB"/>
              </w:rPr>
              <w:t xml:space="preserve">Aims: </w:t>
            </w:r>
            <w:r w:rsidR="00150BAB" w:rsidRPr="00F95B24">
              <w:t xml:space="preserve">This systematic review explored the integration of urban green space (UGS) as part of settlement upgrade activities in developing countries, specifically sub-Saharan Africa and Ghana. </w:t>
            </w:r>
            <w:r w:rsidR="00844044">
              <w:t>As its aim, t</w:t>
            </w:r>
            <w:r w:rsidR="00150BAB" w:rsidRPr="00F95B24">
              <w:t>he review</w:t>
            </w:r>
            <w:r w:rsidR="00150BAB">
              <w:t xml:space="preserve"> </w:t>
            </w:r>
            <w:r w:rsidR="00844044" w:rsidRPr="00F95B24">
              <w:t>analyze</w:t>
            </w:r>
            <w:r w:rsidR="00844044">
              <w:t>d</w:t>
            </w:r>
            <w:r w:rsidR="00150BAB" w:rsidRPr="00F95B24">
              <w:t xml:space="preserve"> the environmental, social, and economic implications inherent in the incorporation of UGS, </w:t>
            </w:r>
            <w:r w:rsidR="00844044" w:rsidRPr="00F95B24">
              <w:t>recognize</w:t>
            </w:r>
            <w:r w:rsidR="00844044">
              <w:t>d</w:t>
            </w:r>
            <w:r w:rsidR="00150BAB" w:rsidRPr="00F95B24">
              <w:t xml:space="preserve"> barriers and enablers of effective integration, discuss</w:t>
            </w:r>
            <w:r w:rsidR="00844044">
              <w:t>ed</w:t>
            </w:r>
            <w:r w:rsidR="00150BAB" w:rsidRPr="00F95B24">
              <w:t xml:space="preserve"> equity and inclusivity issues, and investigate</w:t>
            </w:r>
            <w:r w:rsidR="00844044">
              <w:t>d</w:t>
            </w:r>
            <w:r w:rsidR="00150BAB" w:rsidRPr="00F95B24">
              <w:t xml:space="preserve"> the long-term sustainability and resilience implications</w:t>
            </w:r>
            <w:r w:rsidR="00150BAB">
              <w:t>.</w:t>
            </w:r>
          </w:p>
          <w:p w14:paraId="0CD6D958" w14:textId="68361B64" w:rsidR="001C0AA0" w:rsidRPr="001C0AA0" w:rsidRDefault="004E3B78" w:rsidP="001C0AA0">
            <w:pPr>
              <w:pStyle w:val="Body"/>
              <w:rPr>
                <w:rFonts w:ascii="Arial" w:eastAsia="Calibri" w:hAnsi="Arial" w:cs="Arial"/>
                <w:szCs w:val="22"/>
                <w:lang w:val="en-GB"/>
              </w:rPr>
            </w:pPr>
            <w:r w:rsidRPr="004E3B78">
              <w:rPr>
                <w:rFonts w:ascii="Arial" w:eastAsia="Calibri" w:hAnsi="Arial" w:cs="Arial"/>
                <w:b/>
                <w:bCs/>
                <w:szCs w:val="22"/>
                <w:lang w:val="en-GB"/>
              </w:rPr>
              <w:t xml:space="preserve">Study Design: </w:t>
            </w:r>
            <w:r w:rsidR="001C0AA0" w:rsidRPr="001C0AA0">
              <w:rPr>
                <w:rFonts w:ascii="Arial" w:eastAsia="Calibri" w:hAnsi="Arial" w:cs="Arial"/>
                <w:szCs w:val="22"/>
                <w:lang w:val="en-GB"/>
              </w:rPr>
              <w:t xml:space="preserve">The study utilised a systematic review design, following the guidelines set forth by the Preferred Reporting Items for Systematic Reviews and Meta-Analyses (PRISMA) statement. </w:t>
            </w:r>
            <w:r w:rsidR="001C0AA0" w:rsidRPr="00830B47">
              <w:rPr>
                <w:rFonts w:ascii="Arial" w:eastAsia="Calibri" w:hAnsi="Arial" w:cs="Arial"/>
                <w:szCs w:val="22"/>
                <w:highlight w:val="green"/>
                <w:lang w:val="en-GB"/>
              </w:rPr>
              <w:t>Through a narrative synthesis, the Synthesis Without Meta-analysis (</w:t>
            </w:r>
            <w:proofErr w:type="spellStart"/>
            <w:r w:rsidR="001C0AA0" w:rsidRPr="00830B47">
              <w:rPr>
                <w:rFonts w:ascii="Arial" w:eastAsia="Calibri" w:hAnsi="Arial" w:cs="Arial"/>
                <w:szCs w:val="22"/>
                <w:highlight w:val="green"/>
                <w:lang w:val="en-GB"/>
              </w:rPr>
              <w:t>SWiM</w:t>
            </w:r>
            <w:proofErr w:type="spellEnd"/>
            <w:r w:rsidR="001C0AA0" w:rsidRPr="00830B47">
              <w:rPr>
                <w:rFonts w:ascii="Arial" w:eastAsia="Calibri" w:hAnsi="Arial" w:cs="Arial"/>
                <w:szCs w:val="22"/>
                <w:highlight w:val="green"/>
                <w:lang w:val="en-GB"/>
              </w:rPr>
              <w:t>) guidelines were employed.</w:t>
            </w:r>
          </w:p>
          <w:p w14:paraId="7157D905" w14:textId="0DDE01CD" w:rsidR="004E3B78" w:rsidRPr="004E3B78" w:rsidRDefault="004E3B78" w:rsidP="004E3B78">
            <w:pPr>
              <w:pStyle w:val="Body"/>
              <w:rPr>
                <w:rFonts w:ascii="Arial" w:eastAsia="Calibri" w:hAnsi="Arial" w:cs="Arial"/>
                <w:szCs w:val="22"/>
                <w:lang w:val="en-GB"/>
              </w:rPr>
            </w:pPr>
            <w:r w:rsidRPr="004E3B78">
              <w:rPr>
                <w:rFonts w:ascii="Arial" w:eastAsia="Calibri" w:hAnsi="Arial" w:cs="Arial"/>
                <w:b/>
                <w:bCs/>
                <w:szCs w:val="22"/>
                <w:lang w:val="en-GB"/>
              </w:rPr>
              <w:t xml:space="preserve">Methodology:  </w:t>
            </w:r>
            <w:r w:rsidRPr="004E3B78">
              <w:rPr>
                <w:rFonts w:ascii="Arial" w:eastAsia="Calibri" w:hAnsi="Arial" w:cs="Arial"/>
                <w:szCs w:val="22"/>
                <w:lang w:val="en-GB"/>
              </w:rPr>
              <w:t xml:space="preserve">An </w:t>
            </w:r>
            <w:r w:rsidR="001C0AA0" w:rsidRPr="001C0AA0">
              <w:rPr>
                <w:rFonts w:ascii="Arial" w:eastAsia="Calibri" w:hAnsi="Arial" w:cs="Arial"/>
                <w:szCs w:val="22"/>
                <w:lang w:val="en-GB"/>
              </w:rPr>
              <w:t>extensive search strategy, covering the period January 2005 to May 2025, was adopted through several databases, namely, Scopus, Web of Science, Google Scholar, and primary sources of grey literature, e.g., UN-Habitat and the World Bank. Study selection was performed following predetermined eligibility criteria.</w:t>
            </w:r>
            <w:r w:rsidR="00844044">
              <w:rPr>
                <w:rFonts w:ascii="Arial" w:eastAsia="Calibri" w:hAnsi="Arial" w:cs="Arial"/>
                <w:szCs w:val="22"/>
                <w:lang w:val="en-GB"/>
              </w:rPr>
              <w:t xml:space="preserve"> </w:t>
            </w:r>
            <w:r w:rsidR="00844044" w:rsidRPr="00830B47">
              <w:rPr>
                <w:rFonts w:ascii="Arial" w:eastAsia="Calibri" w:hAnsi="Arial" w:cs="Arial"/>
                <w:szCs w:val="22"/>
                <w:highlight w:val="green"/>
                <w:lang w:val="en-GB"/>
              </w:rPr>
              <w:t>2</w:t>
            </w:r>
            <w:r w:rsidR="00A7788D" w:rsidRPr="00830B47">
              <w:rPr>
                <w:rFonts w:ascii="Arial" w:eastAsia="Calibri" w:hAnsi="Arial" w:cs="Arial"/>
                <w:szCs w:val="22"/>
                <w:highlight w:val="green"/>
                <w:lang w:val="en-GB"/>
              </w:rPr>
              <w:t>2</w:t>
            </w:r>
            <w:r w:rsidR="001C0AA0" w:rsidRPr="00830B47">
              <w:rPr>
                <w:rFonts w:ascii="Arial" w:eastAsia="Calibri" w:hAnsi="Arial" w:cs="Arial"/>
                <w:szCs w:val="22"/>
                <w:highlight w:val="green"/>
                <w:lang w:val="en-GB"/>
              </w:rPr>
              <w:t xml:space="preserve"> peer-reviewed and grey literature sources were analysed, with a focused comparison between Ghana, broader sub-Saharan Africa, and other developing countries.</w:t>
            </w:r>
          </w:p>
          <w:p w14:paraId="522D8223" w14:textId="77777777" w:rsidR="004E3B78" w:rsidRPr="004E3B78" w:rsidRDefault="004E3B78" w:rsidP="004E3B78">
            <w:pPr>
              <w:pStyle w:val="Body"/>
              <w:rPr>
                <w:rFonts w:ascii="Arial" w:eastAsia="Calibri" w:hAnsi="Arial" w:cs="Arial"/>
                <w:szCs w:val="22"/>
                <w:lang w:val="en-GB"/>
              </w:rPr>
            </w:pPr>
            <w:r w:rsidRPr="004E3B78">
              <w:rPr>
                <w:rFonts w:ascii="Arial" w:eastAsia="Calibri" w:hAnsi="Arial" w:cs="Arial"/>
                <w:b/>
                <w:bCs/>
                <w:szCs w:val="22"/>
                <w:lang w:val="en-GB"/>
              </w:rPr>
              <w:t xml:space="preserve">Results: </w:t>
            </w:r>
            <w:r w:rsidRPr="004E3B78">
              <w:rPr>
                <w:rFonts w:ascii="Arial" w:eastAsia="Calibri" w:hAnsi="Arial" w:cs="Arial"/>
                <w:szCs w:val="22"/>
                <w:lang w:val="en-GB"/>
              </w:rPr>
              <w:t>The findings revealed substantial environmental and social benefits of UGS integration, including urban heat mitigation, improved air quality, enhanced community cohesion, and improved food security. Economic outcomes were context-dependent and often underreported. Barriers included land scarcity, fragmented governance, and socio-cultural resistance, while enabling factors involved community-led greening, innovative financing, and supportive policy frameworks. Equity concerns, including green gentrification and limited access for marginalised groups, were recurrent yet insufficiently addressed. Critically, long-term sustainability and resilience outcomes were rarely examined, underscoring a major evidence gap.</w:t>
            </w:r>
          </w:p>
          <w:p w14:paraId="703ABE3C" w14:textId="36E65327" w:rsidR="00505F06" w:rsidRPr="00BA1B01" w:rsidRDefault="004E3B78" w:rsidP="004E3B78">
            <w:pPr>
              <w:pStyle w:val="Body"/>
              <w:spacing w:after="80"/>
              <w:rPr>
                <w:rFonts w:ascii="Arial" w:eastAsia="Calibri" w:hAnsi="Arial" w:cs="Arial"/>
                <w:szCs w:val="22"/>
              </w:rPr>
            </w:pPr>
            <w:r w:rsidRPr="004E3B78">
              <w:rPr>
                <w:rFonts w:ascii="Arial" w:eastAsia="Calibri" w:hAnsi="Arial" w:cs="Arial"/>
                <w:b/>
                <w:bCs/>
                <w:szCs w:val="22"/>
                <w:lang w:val="en-GB"/>
              </w:rPr>
              <w:t xml:space="preserve">Conclusion: </w:t>
            </w:r>
            <w:r w:rsidRPr="004E3B78">
              <w:rPr>
                <w:rFonts w:ascii="Arial" w:eastAsia="Calibri" w:hAnsi="Arial" w:cs="Arial"/>
                <w:szCs w:val="22"/>
                <w:lang w:val="en-GB"/>
              </w:rPr>
              <w:t>This study delivers a new and geographically-oriented overview that highlights the untapped potential of the integration of green space into the upgrade of sub-Saharan African cities. It highlights the need for place-oriented strategies, multi-level governance tactics, and continuous monitoring initiatives to achieve equitable and sustainable cities.</w:t>
            </w:r>
          </w:p>
        </w:tc>
      </w:tr>
    </w:tbl>
    <w:p w14:paraId="55672B8B" w14:textId="05E7F5FB" w:rsidR="008E5A91" w:rsidRPr="008E5A91" w:rsidRDefault="00A24E7E" w:rsidP="008E5A91">
      <w:pPr>
        <w:pStyle w:val="Body"/>
        <w:rPr>
          <w:rFonts w:ascii="Arial" w:hAnsi="Arial" w:cs="Arial"/>
          <w:i/>
          <w:lang w:val="en-GB"/>
        </w:rPr>
      </w:pPr>
      <w:r w:rsidRPr="008E5A91">
        <w:rPr>
          <w:rFonts w:ascii="Arial" w:hAnsi="Arial" w:cs="Arial"/>
          <w:b/>
          <w:bCs/>
          <w:i/>
        </w:rPr>
        <w:t>Keywords:</w:t>
      </w:r>
      <w:r w:rsidR="008E5A91">
        <w:rPr>
          <w:rFonts w:ascii="Arial" w:hAnsi="Arial" w:cs="Arial"/>
          <w:i/>
          <w:lang w:val="en-GB"/>
        </w:rPr>
        <w:t xml:space="preserve"> </w:t>
      </w:r>
      <w:r w:rsidR="008E5A91" w:rsidRPr="008E5A91">
        <w:rPr>
          <w:rFonts w:ascii="Arial" w:hAnsi="Arial" w:cs="Arial"/>
          <w:i/>
          <w:lang w:val="en-GB"/>
        </w:rPr>
        <w:t>Urban Green Spaces, Settlement Upgrading, Urban Resilience, Sustainable Urban Development, Green Gentrification.</w:t>
      </w:r>
    </w:p>
    <w:p w14:paraId="5FC83DD0" w14:textId="4D20C83D" w:rsidR="00790ADA" w:rsidRPr="002052D7" w:rsidRDefault="00475C88" w:rsidP="001F2F5B">
      <w:pPr>
        <w:pStyle w:val="Heading1"/>
        <w:rPr>
          <w:lang w:val="en-GB"/>
        </w:rPr>
      </w:pPr>
      <w:r w:rsidRPr="002052D7">
        <w:rPr>
          <w:lang w:val="en-GB"/>
        </w:rPr>
        <w:t>Introduction</w:t>
      </w:r>
    </w:p>
    <w:p w14:paraId="50D73DDC" w14:textId="77777777" w:rsidR="00AB02CE" w:rsidRDefault="00AB02CE" w:rsidP="00AB02CE">
      <w:pPr>
        <w:pStyle w:val="Body"/>
        <w:spacing w:after="0"/>
        <w:rPr>
          <w:rFonts w:ascii="Arial" w:hAnsi="Arial" w:cs="Arial"/>
          <w:lang w:val="en-GB"/>
        </w:rPr>
      </w:pPr>
      <w:r w:rsidRPr="00475C88">
        <w:rPr>
          <w:rFonts w:ascii="Arial" w:hAnsi="Arial" w:cs="Arial"/>
          <w:lang w:val="en-GB"/>
        </w:rPr>
        <w:t xml:space="preserve">Urban green spaces (UGS), encompassing parks, community gardens, green roofs, and street trees, are pivotal to sustainable urban development, delivering a wide array of environmental, social, and economic benefits that enhance city liveability (Ramaiah and Avtar 2019). These benefits include mitigating urban heat islands, improving air quality, enhancing biodiversity, and promoting public health through reduced stress and increased physical activity (Medeiros </w:t>
      </w:r>
      <w:r w:rsidRPr="00475C88">
        <w:rPr>
          <w:rFonts w:ascii="Arial" w:hAnsi="Arial" w:cs="Arial"/>
          <w:lang w:val="en-GB"/>
        </w:rPr>
        <w:lastRenderedPageBreak/>
        <w:t xml:space="preserve">et al. 2024). Globally, UGS are recognised as critical for addressing urbanisation challenges, particularly in rapidly expanding cities where environmental degradation and reduced quality of life are pressing concerns (Ramaiah and Avtar 2019). </w:t>
      </w:r>
    </w:p>
    <w:p w14:paraId="6C6CFEA8" w14:textId="77777777" w:rsidR="00AB02CE" w:rsidRPr="00475C88" w:rsidRDefault="00AB02CE" w:rsidP="00AB02CE">
      <w:pPr>
        <w:pStyle w:val="Body"/>
        <w:spacing w:after="0"/>
        <w:rPr>
          <w:rFonts w:ascii="Arial" w:hAnsi="Arial" w:cs="Arial"/>
          <w:lang w:val="en-GB"/>
        </w:rPr>
      </w:pPr>
    </w:p>
    <w:p w14:paraId="2C7255CA" w14:textId="11072E51" w:rsidR="00AB02CE" w:rsidRDefault="00AB02CE" w:rsidP="00AB02CE">
      <w:pPr>
        <w:pStyle w:val="Body"/>
        <w:spacing w:after="0"/>
        <w:rPr>
          <w:rFonts w:ascii="Arial" w:hAnsi="Arial" w:cs="Arial"/>
          <w:lang w:val="en-GB"/>
        </w:rPr>
      </w:pPr>
      <w:r w:rsidRPr="00036811">
        <w:rPr>
          <w:rFonts w:ascii="Arial" w:hAnsi="Arial" w:cs="Arial"/>
          <w:lang w:val="en-GB"/>
        </w:rPr>
        <w:t>In developing countries, though, fast and often inadequately regulated urbanization poses significant challenges to the establishment and sustenance of urban green areas. Informal settlements, which have a high population density, a lack of infrastructure, and limited resources, exacerbate the encroachment of green plots, thus increasing environmental and social problems (Ramaiah and Avtar 2019). Urbanization is particularly higher in sub-Saharan Africa, as evidenced by the fact that the rates are among the greatest the world over, with city inhabitants set to double by 2050 (du Toit et al. 2018). In Ghana, the cities of Kumasi and Accra, for instance, are undergoing robust growth, leading to the fragmentation and degradation of native habitats, which diminishes the accessibility of UGS and the services encompassed by them, such as heat regulation and intense precipitation management (</w:t>
      </w:r>
      <w:proofErr w:type="spellStart"/>
      <w:r w:rsidR="002D40FB">
        <w:rPr>
          <w:rFonts w:ascii="Arial" w:hAnsi="Arial" w:cs="Arial"/>
          <w:lang w:val="en-GB"/>
        </w:rPr>
        <w:t>Puplampu</w:t>
      </w:r>
      <w:proofErr w:type="spellEnd"/>
      <w:r w:rsidR="002D40FB">
        <w:rPr>
          <w:rFonts w:ascii="Arial" w:hAnsi="Arial" w:cs="Arial"/>
          <w:lang w:val="en-GB"/>
        </w:rPr>
        <w:t xml:space="preserve"> &amp; Boafo</w:t>
      </w:r>
      <w:r w:rsidRPr="00036811">
        <w:rPr>
          <w:rFonts w:ascii="Arial" w:hAnsi="Arial" w:cs="Arial"/>
          <w:lang w:val="en-GB"/>
        </w:rPr>
        <w:t xml:space="preserve">; </w:t>
      </w:r>
      <w:proofErr w:type="spellStart"/>
      <w:r w:rsidRPr="00036811">
        <w:rPr>
          <w:rFonts w:ascii="Arial" w:hAnsi="Arial" w:cs="Arial"/>
          <w:lang w:val="en-GB"/>
        </w:rPr>
        <w:t>Adjetey</w:t>
      </w:r>
      <w:proofErr w:type="spellEnd"/>
      <w:r w:rsidRPr="00036811">
        <w:rPr>
          <w:rFonts w:ascii="Arial" w:hAnsi="Arial" w:cs="Arial"/>
          <w:lang w:val="en-GB"/>
        </w:rPr>
        <w:t xml:space="preserve"> et al. 2023).</w:t>
      </w:r>
    </w:p>
    <w:p w14:paraId="3951E972" w14:textId="77777777" w:rsidR="00AB02CE" w:rsidRPr="00475C88" w:rsidRDefault="00AB02CE" w:rsidP="00AB02CE">
      <w:pPr>
        <w:pStyle w:val="Body"/>
        <w:spacing w:after="0"/>
        <w:rPr>
          <w:rFonts w:ascii="Arial" w:hAnsi="Arial" w:cs="Arial"/>
          <w:lang w:val="en-GB"/>
        </w:rPr>
      </w:pPr>
    </w:p>
    <w:p w14:paraId="167583B2" w14:textId="227AF59B" w:rsidR="00AB02CE" w:rsidRDefault="00AB02CE" w:rsidP="00AB02CE">
      <w:pPr>
        <w:pStyle w:val="Body"/>
        <w:spacing w:after="0"/>
        <w:rPr>
          <w:rFonts w:ascii="Arial" w:hAnsi="Arial" w:cs="Arial"/>
        </w:rPr>
      </w:pPr>
      <w:r w:rsidRPr="00036811">
        <w:rPr>
          <w:rFonts w:ascii="Arial" w:hAnsi="Arial" w:cs="Arial"/>
        </w:rPr>
        <w:t>Settlement upgrading projects, designed to enhance living conditions in informal settlements through improved housing, infrastructure, and services, provide a strategic opportunity to integrate UGS. Such integration can transform these areas into more sustainable and livable environments by offering recreational spaces, fostering social cohesion, and supporting economic activities like urban agriculture (Medeiros et al. 2024). In sub-Saharan Africa, where informal settlements house a significant portion of the urban population, incorporating UGS into upgrading initiatives could address critical challenges like urban heat and flooding (du Toit et al. 2018). In Ghana, for example, studies highlight the potential of UGS to enhance urban resilience, yet note their decline due to urban sprawl and inadequate planning (</w:t>
      </w:r>
      <w:proofErr w:type="spellStart"/>
      <w:r w:rsidR="002D40FB">
        <w:rPr>
          <w:rFonts w:ascii="Arial" w:hAnsi="Arial" w:cs="Arial"/>
        </w:rPr>
        <w:t>Puplampu</w:t>
      </w:r>
      <w:proofErr w:type="spellEnd"/>
      <w:r w:rsidR="002D40FB">
        <w:rPr>
          <w:rFonts w:ascii="Arial" w:hAnsi="Arial" w:cs="Arial"/>
        </w:rPr>
        <w:t xml:space="preserve"> &amp; Boafo</w:t>
      </w:r>
      <w:r w:rsidRPr="00036811">
        <w:rPr>
          <w:rFonts w:ascii="Arial" w:hAnsi="Arial" w:cs="Arial"/>
        </w:rPr>
        <w:t>). However, integrating UGS into settlement upgrading projects is complex, facing barriers such as land scarcity, funding constraints, governance issues, and socio-cultural factors (Ramaiah and Avtar 2019). Moreover, ensuring equitable access to UGS for marginalized groups, such as low-income residents and women, is essential to prevent social inequalities, including green gentrification, which can displace vulnerable communities (du Toit et al. 2018).</w:t>
      </w:r>
    </w:p>
    <w:p w14:paraId="354A0FDE" w14:textId="77777777" w:rsidR="00AB02CE" w:rsidRPr="00475C88" w:rsidRDefault="00AB02CE" w:rsidP="00AB02CE">
      <w:pPr>
        <w:pStyle w:val="Body"/>
        <w:spacing w:after="0"/>
        <w:rPr>
          <w:rFonts w:ascii="Arial" w:hAnsi="Arial" w:cs="Arial"/>
          <w:lang w:val="en-GB"/>
        </w:rPr>
      </w:pPr>
    </w:p>
    <w:p w14:paraId="754F8712" w14:textId="77777777" w:rsidR="00AB02CE" w:rsidRDefault="00AB02CE" w:rsidP="00AB02CE">
      <w:pPr>
        <w:pStyle w:val="Body"/>
        <w:spacing w:after="0"/>
        <w:rPr>
          <w:rFonts w:ascii="Arial" w:hAnsi="Arial" w:cs="Arial"/>
          <w:lang w:val="en-GB"/>
        </w:rPr>
      </w:pPr>
      <w:r w:rsidRPr="00036811">
        <w:rPr>
          <w:rFonts w:ascii="Arial" w:hAnsi="Arial" w:cs="Arial"/>
          <w:lang w:val="en-GB"/>
        </w:rPr>
        <w:t xml:space="preserve">Inclusion of Urban Green Spaces (UGS) as part of settlement improvement initiatives remains a highly relevant area of practice as it aligns with international sustainability paradigms, specifically the Sustainable Development Goals (SDGs), with a focus on SDG 11 (Sustainable Cities and Communities) and the New Urban Agenda, which promote inclusive and resilient cities (Mensah 2015). In areas such as sub-Saharan Africa, and indeed Ghana, where rapid urbanization exacerbates environmental and social problems, UGS can provide a nature-based approach to enhancing the resilience of cities and ensuring public health (Ansah et al. </w:t>
      </w:r>
      <w:r w:rsidRPr="000A098F">
        <w:rPr>
          <w:rFonts w:ascii="Arial" w:hAnsi="Arial" w:cs="Arial"/>
          <w:lang w:val="en-GB"/>
        </w:rPr>
        <w:t>2024). Although the benefits are noteworthy, a significant knowledge gap exists for extensive studies which investigate the drawbacks and prospects related to the inclusion of UGS as part of settlement improvement initiatives in low-budget countries, and specifically sub-Saharan Africa and Ghana. The lack of such a space inhibits the ability of policy influencers, city planners, and practitioners to design accurate, evidence-based initiatives that ensure the greatest benefit of UGS while addressing the limitations of the area. Lacking such academic explorations, the ability to establish policies to ensure sustainable and equitable city development in these rapidly urbanizing areas is seriously hampered.</w:t>
      </w:r>
    </w:p>
    <w:p w14:paraId="06FDAC10" w14:textId="77777777" w:rsidR="00AB02CE" w:rsidRPr="00475C88" w:rsidRDefault="00AB02CE" w:rsidP="00AB02CE">
      <w:pPr>
        <w:pStyle w:val="Body"/>
        <w:spacing w:after="0"/>
        <w:rPr>
          <w:rFonts w:ascii="Arial" w:hAnsi="Arial" w:cs="Arial"/>
          <w:lang w:val="en-GB"/>
        </w:rPr>
      </w:pPr>
    </w:p>
    <w:p w14:paraId="4CBE924A" w14:textId="77777777" w:rsidR="00AB02CE" w:rsidRDefault="00AB02CE" w:rsidP="00AB02CE">
      <w:pPr>
        <w:pStyle w:val="Body"/>
        <w:spacing w:after="0"/>
        <w:rPr>
          <w:rFonts w:ascii="Arial" w:hAnsi="Arial" w:cs="Arial"/>
          <w:lang w:val="en-GB"/>
        </w:rPr>
      </w:pPr>
      <w:r w:rsidRPr="00036811">
        <w:rPr>
          <w:rFonts w:ascii="Arial" w:hAnsi="Arial" w:cs="Arial"/>
          <w:lang w:val="en-GB"/>
        </w:rPr>
        <w:t xml:space="preserve">In a bid to cover a significant knowledge gap, the current systematic review aims to synthesize current literature about the inclusion of urban green spaces (UGS) within settlement upgrading efforts found in developing nations, specifically sub-Saharan Africa and the nation of Ghana, with a particular focus. The main aims are as follows: (1) Evaluating environmental, social, and economic benefits that are relevant to the inclusion of UGS while implementing settlement </w:t>
      </w:r>
      <w:r w:rsidRPr="00036811">
        <w:rPr>
          <w:rFonts w:ascii="Arial" w:hAnsi="Arial" w:cs="Arial"/>
          <w:lang w:val="en-GB"/>
        </w:rPr>
        <w:lastRenderedPageBreak/>
        <w:t>upgrading efforts for developing nations. (2) Recognizing and analysing the challenges and limitations that result from such inclusion found in affected areas. (3) Investigating the opportunities and drivers influencing the effective inclusion of UGS. (4) Determining the sustainability and long-term resilience implications emanating as a result of such inclusion found in sub-Saharan Africa and Ghana</w:t>
      </w:r>
      <w:r>
        <w:rPr>
          <w:rFonts w:ascii="Arial" w:hAnsi="Arial" w:cs="Arial"/>
          <w:lang w:val="en-GB"/>
        </w:rPr>
        <w:t>.</w:t>
      </w:r>
    </w:p>
    <w:p w14:paraId="0868F8FB" w14:textId="569D5CE6" w:rsidR="00475C88" w:rsidRPr="0083421D" w:rsidRDefault="00475C88" w:rsidP="00CF5E37">
      <w:pPr>
        <w:pStyle w:val="Heading2"/>
        <w:numPr>
          <w:ilvl w:val="1"/>
          <w:numId w:val="2"/>
        </w:numPr>
        <w:rPr>
          <w:rFonts w:eastAsia="Times New Roman"/>
          <w:lang w:val="en-GB"/>
        </w:rPr>
      </w:pPr>
      <w:r w:rsidRPr="0083421D">
        <w:rPr>
          <w:rFonts w:eastAsia="Times New Roman"/>
          <w:lang w:val="en-GB"/>
        </w:rPr>
        <w:t>Literature Review</w:t>
      </w:r>
    </w:p>
    <w:p w14:paraId="2F3F9C7A" w14:textId="65CFF89A" w:rsidR="00AB02CE" w:rsidRDefault="00AB02CE" w:rsidP="00475C88">
      <w:pPr>
        <w:pStyle w:val="Body"/>
        <w:spacing w:after="0"/>
        <w:rPr>
          <w:rFonts w:ascii="Arial" w:hAnsi="Arial" w:cs="Arial"/>
          <w:lang w:val="en-GB"/>
        </w:rPr>
      </w:pPr>
      <w:r w:rsidRPr="00AB02CE">
        <w:rPr>
          <w:rFonts w:ascii="Arial" w:hAnsi="Arial" w:cs="Arial"/>
          <w:lang w:val="en-GB"/>
        </w:rPr>
        <w:t>Inclusion of urban green spaces (UGS), such as parks, neighbourhood gardens, and street trees - into settlement upgrading strategies of developing countries, specifically sub-Saharan Africa and Ghana, is a crucial yet inadequately explored method for addressing the needs of a sustainable and healthy urban space. As mass urbanisation transforms informal settlements through rising population numbers and insufficient infrastructure, which exacerbate environmental and social difficulties, UGS offer a variety of benefits yet face significant barriers to their adoption. Through the consolidation of current academic literature, this literature review identifies prevailing thematic trends, underscores key gaps and limitations, and clarifies the theoretical foundations of the incorporation of UGS into settlement upgrading activities, thus forming the context for a systematic mapping exercise focused on sub-Saharan Africa and Ghana.</w:t>
      </w:r>
    </w:p>
    <w:p w14:paraId="17A477FD" w14:textId="139D56B4" w:rsidR="00475C88" w:rsidRPr="00E43B21" w:rsidRDefault="00475C88" w:rsidP="00CE6DE4">
      <w:pPr>
        <w:pStyle w:val="Heading3"/>
      </w:pPr>
      <w:r w:rsidRPr="00E43B21">
        <w:t>Multifaceted Benefits of Urban Green Spaces</w:t>
      </w:r>
    </w:p>
    <w:p w14:paraId="525C095C" w14:textId="622A7907" w:rsidR="00AB02CE" w:rsidRDefault="00AB02CE" w:rsidP="00475C88">
      <w:pPr>
        <w:pStyle w:val="Body"/>
        <w:spacing w:after="0"/>
        <w:rPr>
          <w:rFonts w:ascii="Arial" w:hAnsi="Arial" w:cs="Arial"/>
          <w:lang w:val="en-GB"/>
        </w:rPr>
      </w:pPr>
      <w:r w:rsidRPr="00AB02CE">
        <w:rPr>
          <w:rFonts w:ascii="Arial" w:hAnsi="Arial" w:cs="Arial"/>
          <w:lang w:val="en-GB"/>
        </w:rPr>
        <w:t xml:space="preserve">A central theme in the literature is the diverse environmental, social, and economic benefits of UGS within settlement upgrading contexts. Environmentally, UGS mitigate urban heat islands, enhance air quality, and support biodiversity, addressing climate vulnerabilities prevalent in sub-Saharan African cities (du Toit et al. 2018; </w:t>
      </w:r>
      <w:proofErr w:type="spellStart"/>
      <w:r w:rsidR="002D40FB">
        <w:rPr>
          <w:rFonts w:ascii="Arial" w:hAnsi="Arial" w:cs="Arial"/>
          <w:lang w:val="en-GB"/>
        </w:rPr>
        <w:t>Puplampu</w:t>
      </w:r>
      <w:proofErr w:type="spellEnd"/>
      <w:r w:rsidR="002D40FB">
        <w:rPr>
          <w:rFonts w:ascii="Arial" w:hAnsi="Arial" w:cs="Arial"/>
          <w:lang w:val="en-GB"/>
        </w:rPr>
        <w:t xml:space="preserve"> &amp; Boafo</w:t>
      </w:r>
      <w:r w:rsidRPr="00AB02CE">
        <w:rPr>
          <w:rFonts w:ascii="Arial" w:hAnsi="Arial" w:cs="Arial"/>
          <w:lang w:val="en-GB"/>
        </w:rPr>
        <w:t>). For instance, studies in Accra demonstrate that green spaces can reduce urban temperatures by up to 3°C, a critical intervention in informal settlements lacking cooling infrastructure (</w:t>
      </w:r>
      <w:proofErr w:type="spellStart"/>
      <w:r w:rsidR="002D40FB">
        <w:rPr>
          <w:rFonts w:ascii="Arial" w:hAnsi="Arial" w:cs="Arial"/>
          <w:lang w:val="en-GB"/>
        </w:rPr>
        <w:t>Puplampu</w:t>
      </w:r>
      <w:proofErr w:type="spellEnd"/>
      <w:r w:rsidR="002D40FB">
        <w:rPr>
          <w:rFonts w:ascii="Arial" w:hAnsi="Arial" w:cs="Arial"/>
          <w:lang w:val="en-GB"/>
        </w:rPr>
        <w:t xml:space="preserve"> &amp; Boafo</w:t>
      </w:r>
      <w:r w:rsidRPr="00AB02CE">
        <w:rPr>
          <w:rFonts w:ascii="Arial" w:hAnsi="Arial" w:cs="Arial"/>
          <w:lang w:val="en-GB"/>
        </w:rPr>
        <w:t>). Socially, UGS promote mental health, reduce stress, and foster community cohesion, with evidence from emerging economies indicating strong public support for green spaces as recreational and cultural assets (Medeiros et al. 2024). Economically, UGS contribute to property value appreciation and job creation through maintenance and urban agriculture, as seen in Ghanaian cities where community gardens support livelihoods (</w:t>
      </w:r>
      <w:proofErr w:type="spellStart"/>
      <w:r w:rsidR="005C0561">
        <w:rPr>
          <w:rFonts w:ascii="Arial" w:hAnsi="Arial" w:cs="Arial"/>
          <w:lang w:val="en-GB"/>
        </w:rPr>
        <w:t>Akanbang</w:t>
      </w:r>
      <w:proofErr w:type="spellEnd"/>
      <w:r w:rsidR="005C0561">
        <w:rPr>
          <w:rFonts w:ascii="Arial" w:hAnsi="Arial" w:cs="Arial"/>
          <w:lang w:val="en-GB"/>
        </w:rPr>
        <w:t xml:space="preserve"> et al.</w:t>
      </w:r>
      <w:r w:rsidRPr="00AB02CE">
        <w:rPr>
          <w:rFonts w:ascii="Arial" w:hAnsi="Arial" w:cs="Arial"/>
          <w:lang w:val="en-GB"/>
        </w:rPr>
        <w:t xml:space="preserve"> 2024). These benefits align with global sustainability imperatives, yet their realization in settlement upgrading remains constrained by contextual factors.</w:t>
      </w:r>
    </w:p>
    <w:p w14:paraId="47895FF4" w14:textId="40C20701" w:rsidR="00475C88" w:rsidRPr="001F2F5B" w:rsidRDefault="00475C88" w:rsidP="00CE6DE4">
      <w:pPr>
        <w:pStyle w:val="Heading3"/>
      </w:pPr>
      <w:r w:rsidRPr="004D2B38">
        <w:t>Barriers to UGS Integration</w:t>
      </w:r>
    </w:p>
    <w:p w14:paraId="7C32E0D0" w14:textId="1D850080" w:rsidR="00475C88" w:rsidRDefault="00AB02CE" w:rsidP="00475C88">
      <w:pPr>
        <w:pStyle w:val="Body"/>
        <w:spacing w:after="0"/>
        <w:rPr>
          <w:rFonts w:ascii="Arial" w:hAnsi="Arial" w:cs="Arial"/>
          <w:lang w:val="en-GB"/>
        </w:rPr>
      </w:pPr>
      <w:r w:rsidRPr="00AB02CE">
        <w:rPr>
          <w:rFonts w:ascii="Arial" w:hAnsi="Arial" w:cs="Arial"/>
          <w:lang w:val="en-GB"/>
        </w:rPr>
        <w:t>There are commonly discussed issues with incorporating urban green spaces (UGS) into settlement upgrade initiatives, particularly in resource-scarce areas. Limited land is a common challenge in sub-Saharan Africa, brought about by strong land demands in densely populated informal settlements and weak land rights (Ramaiah and Avtar 2019; du Toit et al. 2018). In Ghana, the green space has declined by 26% over two decades as a result of city expansion as well as land use (</w:t>
      </w:r>
      <w:proofErr w:type="spellStart"/>
      <w:r w:rsidRPr="00AB02CE">
        <w:rPr>
          <w:rFonts w:ascii="Arial" w:hAnsi="Arial" w:cs="Arial"/>
          <w:lang w:val="en-GB"/>
        </w:rPr>
        <w:t>Adjetey</w:t>
      </w:r>
      <w:proofErr w:type="spellEnd"/>
      <w:r w:rsidRPr="00AB02CE">
        <w:rPr>
          <w:rFonts w:ascii="Arial" w:hAnsi="Arial" w:cs="Arial"/>
          <w:lang w:val="en-GB"/>
        </w:rPr>
        <w:t xml:space="preserve"> et al. 2023). Institutional and budgetary issues are also encountered, as the Government likes to use funds for basic infrastructure rather than UGS (Mensah 2015). Social and cultural considerations, such as the perception that UGS are not that significant, particularly when housing comes first, make it difficult to incorporate UGS, as UGS are perceived to be of lower significance when compared to basic needs (Ramaiah and Avtar 2019). Examples illustrate the importance of developing special designs to address institutional challenges.</w:t>
      </w:r>
    </w:p>
    <w:p w14:paraId="46E78F36" w14:textId="3E211A9C" w:rsidR="00475C88" w:rsidRPr="004D2B38" w:rsidRDefault="00475C88" w:rsidP="00CE6DE4">
      <w:pPr>
        <w:pStyle w:val="Heading3"/>
      </w:pPr>
      <w:r w:rsidRPr="004D2B38">
        <w:t>Opportunities for Effective Integration</w:t>
      </w:r>
    </w:p>
    <w:p w14:paraId="0C1FA872" w14:textId="0C6BC20D" w:rsidR="00AB02CE" w:rsidRDefault="00AB02CE" w:rsidP="00475C88">
      <w:pPr>
        <w:pStyle w:val="Body"/>
        <w:spacing w:after="0"/>
        <w:rPr>
          <w:rFonts w:ascii="Arial" w:hAnsi="Arial" w:cs="Arial"/>
          <w:lang w:val="en-GB"/>
        </w:rPr>
      </w:pPr>
      <w:r w:rsidRPr="00AB02CE">
        <w:rPr>
          <w:rFonts w:ascii="Arial" w:hAnsi="Arial" w:cs="Arial"/>
          <w:lang w:val="en-GB"/>
        </w:rPr>
        <w:t xml:space="preserve">Methods to integrate green space in cities address issues through new ideas and the building of communities. Local initiatives, such as household gardens at </w:t>
      </w:r>
      <w:proofErr w:type="spellStart"/>
      <w:r w:rsidRPr="00AB02CE">
        <w:rPr>
          <w:rFonts w:ascii="Arial" w:hAnsi="Arial" w:cs="Arial"/>
          <w:lang w:val="en-GB"/>
        </w:rPr>
        <w:t>Wa</w:t>
      </w:r>
      <w:proofErr w:type="spellEnd"/>
      <w:r w:rsidRPr="00AB02CE">
        <w:rPr>
          <w:rFonts w:ascii="Arial" w:hAnsi="Arial" w:cs="Arial"/>
          <w:lang w:val="en-GB"/>
        </w:rPr>
        <w:t>, Ghana, demonstrate how communities are beginning sustainable green initiatives that have local control, offering models that can work when applied to informal areas (</w:t>
      </w:r>
      <w:proofErr w:type="spellStart"/>
      <w:r w:rsidR="005C0561">
        <w:rPr>
          <w:rFonts w:ascii="Arial" w:hAnsi="Arial" w:cs="Arial"/>
          <w:lang w:val="en-GB"/>
        </w:rPr>
        <w:t>Akanbang</w:t>
      </w:r>
      <w:proofErr w:type="spellEnd"/>
      <w:r w:rsidR="005C0561">
        <w:rPr>
          <w:rFonts w:ascii="Arial" w:hAnsi="Arial" w:cs="Arial"/>
          <w:lang w:val="en-GB"/>
        </w:rPr>
        <w:t xml:space="preserve"> et al.</w:t>
      </w:r>
      <w:r w:rsidRPr="00AB02CE">
        <w:rPr>
          <w:rFonts w:ascii="Arial" w:hAnsi="Arial" w:cs="Arial"/>
          <w:lang w:val="en-GB"/>
        </w:rPr>
        <w:t xml:space="preserve"> 2024). Innovative </w:t>
      </w:r>
      <w:r w:rsidRPr="00AB02CE">
        <w:rPr>
          <w:rFonts w:ascii="Arial" w:hAnsi="Arial" w:cs="Arial"/>
          <w:lang w:val="en-GB"/>
        </w:rPr>
        <w:lastRenderedPageBreak/>
        <w:t>approaches to funding these initiatives, such as public-private collaborations and green bonds, are increasing but are new to sub-Saharan Africa (du Toit et al. 2018). Policies for green space, such as Ghana's National Urban Policy, offer a constructive course, and improved practices offer real rewards (Mensah 2015). These prospects offer adaptable and inclusive methods that are responsive to local needs and ability.</w:t>
      </w:r>
    </w:p>
    <w:p w14:paraId="5FB6E49B" w14:textId="07F78E51" w:rsidR="00475C88" w:rsidRPr="00EF649D" w:rsidRDefault="00475C88" w:rsidP="00CE6DE4">
      <w:pPr>
        <w:pStyle w:val="Heading3"/>
      </w:pPr>
      <w:r w:rsidRPr="00EF649D">
        <w:t>Gaps, Limitations, and Unanswered Questions</w:t>
      </w:r>
    </w:p>
    <w:p w14:paraId="13B43EBC" w14:textId="7437E9A8" w:rsidR="00AB02CE" w:rsidRDefault="00AB02CE" w:rsidP="00475C88">
      <w:pPr>
        <w:pStyle w:val="Body"/>
        <w:spacing w:after="0"/>
        <w:rPr>
          <w:rFonts w:ascii="Arial" w:hAnsi="Arial" w:cs="Arial"/>
          <w:lang w:val="en-GB"/>
        </w:rPr>
      </w:pPr>
      <w:r w:rsidRPr="00AB02CE">
        <w:rPr>
          <w:rFonts w:ascii="Arial" w:hAnsi="Arial" w:cs="Arial"/>
          <w:lang w:val="en-GB"/>
        </w:rPr>
        <w:t>Studies indicate significant gaps, which justify the difficulty of duplicating approaches when cities are able to help their societies with urban green space (UGS). First, sub-Saharan Africa, as well as Ghana, lacks extensive studies (du Toit et al. 2018; Ansah et al. 2024). These are short studies discussing general concepts of how-to green cities rather than transform societies (</w:t>
      </w:r>
      <w:proofErr w:type="spellStart"/>
      <w:r w:rsidR="002D40FB">
        <w:rPr>
          <w:rFonts w:ascii="Arial" w:hAnsi="Arial" w:cs="Arial"/>
          <w:lang w:val="en-GB"/>
        </w:rPr>
        <w:t>Puplampu</w:t>
      </w:r>
      <w:proofErr w:type="spellEnd"/>
      <w:r w:rsidR="002D40FB">
        <w:rPr>
          <w:rFonts w:ascii="Arial" w:hAnsi="Arial" w:cs="Arial"/>
          <w:lang w:val="en-GB"/>
        </w:rPr>
        <w:t xml:space="preserve"> &amp; Boafo</w:t>
      </w:r>
      <w:r w:rsidRPr="00AB02CE">
        <w:rPr>
          <w:rFonts w:ascii="Arial" w:hAnsi="Arial" w:cs="Arial"/>
          <w:lang w:val="en-GB"/>
        </w:rPr>
        <w:t>). Due to the short nature of the studies, it becomes challenging to duplicate approaches benefiting wider areas. Secondly, the long-term consequences, such as how long UGS endures and how the city reaps benefits when managing greenhouse gases, have been inadequately explored (</w:t>
      </w:r>
      <w:proofErr w:type="spellStart"/>
      <w:r w:rsidR="002D40FB">
        <w:rPr>
          <w:rFonts w:ascii="Arial" w:hAnsi="Arial" w:cs="Arial"/>
          <w:lang w:val="en-GB"/>
        </w:rPr>
        <w:t>Puplampu</w:t>
      </w:r>
      <w:proofErr w:type="spellEnd"/>
      <w:r w:rsidR="002D40FB">
        <w:rPr>
          <w:rFonts w:ascii="Arial" w:hAnsi="Arial" w:cs="Arial"/>
          <w:lang w:val="en-GB"/>
        </w:rPr>
        <w:t xml:space="preserve"> &amp; Boafo</w:t>
      </w:r>
      <w:r w:rsidRPr="00AB02CE">
        <w:rPr>
          <w:rFonts w:ascii="Arial" w:hAnsi="Arial" w:cs="Arial"/>
          <w:lang w:val="en-GB"/>
        </w:rPr>
        <w:t>). Thirdly, equity matters, such as how excluded others benefit when they utilize UGS and how to prevent green gentrification, have been inadequately explored, particularly among African cities that have wide economic disparities (du Toit et al. 2018). Gaps make us question the ability to utilize UGS equitably and how the benefits may trickle down despite limited funds.</w:t>
      </w:r>
    </w:p>
    <w:p w14:paraId="1B4C48E4" w14:textId="22081911" w:rsidR="00475C88" w:rsidRPr="00EF649D" w:rsidRDefault="00475C88" w:rsidP="00CE6DE4">
      <w:pPr>
        <w:pStyle w:val="Heading3"/>
      </w:pPr>
      <w:r w:rsidRPr="00EF649D">
        <w:t>Theoretical and Conceptual Frameworks</w:t>
      </w:r>
    </w:p>
    <w:p w14:paraId="58952686" w14:textId="26FD2BEE" w:rsidR="00475C88" w:rsidRDefault="00AB02CE" w:rsidP="00475C88">
      <w:pPr>
        <w:pStyle w:val="Body"/>
        <w:spacing w:after="0"/>
        <w:rPr>
          <w:rFonts w:ascii="Arial" w:hAnsi="Arial" w:cs="Arial"/>
          <w:lang w:val="en-GB"/>
        </w:rPr>
      </w:pPr>
      <w:r w:rsidRPr="00AB02CE">
        <w:rPr>
          <w:rFonts w:ascii="Arial" w:hAnsi="Arial" w:cs="Arial"/>
          <w:lang w:val="en-GB"/>
        </w:rPr>
        <w:t>Supporting the use of Urban Green Spaces (UGS) to green the neighbourhood are robust theories that can guide studies. An important one is the framework of ecosystem services, which views UGS as offering regulating services (such as weather control), provisioning services (such as the provision of crops), and cultural services (such as space for recreation). Through the framework, their worth to city systems can be estimated (du Toit et al. 2018; Medeiros et al. 2024). Another significant theory is the social-ecological systems (SES) framework, which considers the relationship people have with the environment. UGS require people's active use for them to be utilized effectively (</w:t>
      </w:r>
      <w:proofErr w:type="spellStart"/>
      <w:r w:rsidR="005C0561">
        <w:rPr>
          <w:rFonts w:ascii="Arial" w:hAnsi="Arial" w:cs="Arial"/>
          <w:lang w:val="en-GB"/>
        </w:rPr>
        <w:t>Akanbang</w:t>
      </w:r>
      <w:proofErr w:type="spellEnd"/>
      <w:r w:rsidR="005C0561">
        <w:rPr>
          <w:rFonts w:ascii="Arial" w:hAnsi="Arial" w:cs="Arial"/>
          <w:lang w:val="en-GB"/>
        </w:rPr>
        <w:t xml:space="preserve"> et al.</w:t>
      </w:r>
      <w:r w:rsidRPr="00AB02CE">
        <w:rPr>
          <w:rFonts w:ascii="Arial" w:hAnsi="Arial" w:cs="Arial"/>
          <w:lang w:val="en-GB"/>
        </w:rPr>
        <w:t xml:space="preserve"> 2024). International guidelines such as the scale of the Sustainable Development Goals (SDGs) (United Nations 2015) are supported by the theory of sustainable urban development, particularly the goal of SDG 11 (Sustainable Cities and Communities) (United Nations 2015). Guidelines strongly recommend UGS as a central element of just urban planning (Mensah 2015). Application of these concepts, though, for sub-Saharan Africa, particularly Ghana, occurs seldom, and the models required must consider the peculiar social, economic, and environmental circumstances of informal settlements.</w:t>
      </w:r>
    </w:p>
    <w:p w14:paraId="184E2564" w14:textId="66BFC462" w:rsidR="007F7B32" w:rsidRDefault="00902823" w:rsidP="001773CF">
      <w:pPr>
        <w:pStyle w:val="Heading1"/>
      </w:pPr>
      <w:r>
        <w:t>method</w:t>
      </w:r>
      <w:r w:rsidR="00000F8F">
        <w:t xml:space="preserve">s </w:t>
      </w:r>
    </w:p>
    <w:p w14:paraId="303CBDD0" w14:textId="6EF770A4" w:rsidR="00AB02CE" w:rsidRDefault="00AB02CE" w:rsidP="00AB02CE">
      <w:pPr>
        <w:pStyle w:val="Body"/>
        <w:rPr>
          <w:rFonts w:ascii="Arial" w:hAnsi="Arial" w:cs="Arial"/>
          <w:lang w:val="en-GB"/>
        </w:rPr>
      </w:pPr>
      <w:r w:rsidRPr="00AB02CE">
        <w:rPr>
          <w:rFonts w:ascii="Arial" w:hAnsi="Arial" w:cs="Arial"/>
          <w:lang w:val="en-GB"/>
        </w:rPr>
        <w:t>This review adhered to the PRISMA process to systematically and transparently seek evidence of the addition of urban green space (UGS) as a measure to improve settlements in developing nations, particularly sub-Saharan Africa, such as Ghana (Moher et al. 2009). There are the following searches, selection of studies, selection of appropriate studies, data gathering, quality checking, and data combination: All these activities contributed to the aims of the review: observing environmental, social, and economic impacts; identifying lessons, opportunities, and challenges; ensuring equity and fairness; linking up best practice; and investigating long-term resilience and sustainability effects.</w:t>
      </w:r>
    </w:p>
    <w:p w14:paraId="12FE0CB8" w14:textId="2687532C" w:rsidR="00475C88" w:rsidRPr="00F337CE" w:rsidRDefault="00475C88" w:rsidP="001773CF">
      <w:pPr>
        <w:pStyle w:val="Heading2"/>
        <w:rPr>
          <w:rFonts w:eastAsia="Times New Roman"/>
          <w:lang w:val="en-GB"/>
        </w:rPr>
      </w:pPr>
      <w:r w:rsidRPr="00F337CE">
        <w:rPr>
          <w:rFonts w:eastAsia="Times New Roman"/>
          <w:lang w:val="en-GB"/>
        </w:rPr>
        <w:t>Search Strategy</w:t>
      </w:r>
    </w:p>
    <w:p w14:paraId="373AB341" w14:textId="587B7F2F" w:rsidR="00475C88" w:rsidRDefault="00AB02CE" w:rsidP="00475C88">
      <w:pPr>
        <w:pStyle w:val="Body"/>
        <w:spacing w:after="0"/>
        <w:rPr>
          <w:rFonts w:ascii="Arial" w:hAnsi="Arial" w:cs="Arial"/>
          <w:lang w:val="en-GB"/>
        </w:rPr>
      </w:pPr>
      <w:r w:rsidRPr="00AB02CE">
        <w:rPr>
          <w:rFonts w:ascii="Arial" w:hAnsi="Arial" w:cs="Arial"/>
          <w:lang w:val="en-GB"/>
        </w:rPr>
        <w:t xml:space="preserve">A comprehensive search strategy was developed to identify relevant peer-reviewed and grey literature published between January 2005 and May 2025, capturing recent trends in UGS and settlement upgrading. The search was conducted across multiple electronic databases, including Scopus, Web of Science, and Google Scholar, to ensure broad coverage of </w:t>
      </w:r>
      <w:r w:rsidRPr="00AB02CE">
        <w:rPr>
          <w:rFonts w:ascii="Arial" w:hAnsi="Arial" w:cs="Arial"/>
          <w:lang w:val="en-GB"/>
        </w:rPr>
        <w:lastRenderedPageBreak/>
        <w:t xml:space="preserve">interdisciplinary literature. Grey literature was sourced from repositories such as UN Habitat and World Bank reports to address the paucity of peer reviewed studies in sub-Saharan Africa. Search terms were derived from key concepts, including “urban green space” (e.g., parks, gardens, green infrastructure), “settlement upgrading” (e.g., slum upgrading, informal settlement improvement), and “developing countries” (e.g., low- and middle-income countries, sub-Saharan Africa, Ghana), combined using Boolean operators (AND, OR).  </w:t>
      </w:r>
    </w:p>
    <w:p w14:paraId="51048DA5" w14:textId="5CB17F20" w:rsidR="00E64750" w:rsidRDefault="00E64750" w:rsidP="001773CF">
      <w:pPr>
        <w:pStyle w:val="Body"/>
        <w:spacing w:before="180" w:after="60"/>
        <w:rPr>
          <w:rFonts w:ascii="Arial" w:hAnsi="Arial" w:cs="Arial"/>
          <w:b/>
          <w:bCs/>
          <w:lang w:val="en-GB"/>
        </w:rPr>
      </w:pPr>
      <w:r w:rsidRPr="00E64750">
        <w:rPr>
          <w:rFonts w:ascii="Arial" w:hAnsi="Arial" w:cs="Arial"/>
          <w:b/>
          <w:bCs/>
          <w:lang w:val="en-GB"/>
        </w:rPr>
        <w:t>Fig</w:t>
      </w:r>
      <w:r w:rsidR="00EF649D">
        <w:rPr>
          <w:rFonts w:ascii="Arial" w:hAnsi="Arial" w:cs="Arial"/>
          <w:b/>
          <w:bCs/>
          <w:lang w:val="en-GB"/>
        </w:rPr>
        <w:t>.</w:t>
      </w:r>
      <w:r w:rsidRPr="00E64750">
        <w:rPr>
          <w:rFonts w:ascii="Arial" w:hAnsi="Arial" w:cs="Arial"/>
          <w:b/>
          <w:bCs/>
          <w:lang w:val="en-GB"/>
        </w:rPr>
        <w:t xml:space="preserve"> 1: PRISMA Flowchart</w:t>
      </w:r>
    </w:p>
    <w:p w14:paraId="79CB2EA8" w14:textId="1FCA4812" w:rsidR="00341F68" w:rsidRPr="00E64750" w:rsidRDefault="00341F68" w:rsidP="00341F68">
      <w:pPr>
        <w:pStyle w:val="Body"/>
        <w:spacing w:before="180" w:after="60"/>
        <w:jc w:val="center"/>
        <w:rPr>
          <w:rFonts w:ascii="Arial" w:hAnsi="Arial" w:cs="Arial"/>
          <w:b/>
          <w:bCs/>
          <w:lang w:val="en-GB"/>
        </w:rPr>
      </w:pPr>
      <w:r w:rsidRPr="00962595">
        <w:rPr>
          <w:rFonts w:ascii="Arial" w:hAnsi="Arial" w:cs="Arial"/>
          <w:b/>
          <w:bCs/>
          <w:noProof/>
          <w:lang/>
        </w:rPr>
        <w:drawing>
          <wp:inline distT="0" distB="0" distL="0" distR="0" wp14:anchorId="2E3B96B5" wp14:editId="3F117220">
            <wp:extent cx="5147267" cy="5959366"/>
            <wp:effectExtent l="0" t="0" r="0" b="3810"/>
            <wp:docPr id="17273274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9125" cy="5996250"/>
                    </a:xfrm>
                    <a:prstGeom prst="rect">
                      <a:avLst/>
                    </a:prstGeom>
                    <a:noFill/>
                    <a:ln>
                      <a:noFill/>
                    </a:ln>
                  </pic:spPr>
                </pic:pic>
              </a:graphicData>
            </a:graphic>
          </wp:inline>
        </w:drawing>
      </w:r>
    </w:p>
    <w:p w14:paraId="36BAE5A8" w14:textId="783A671E" w:rsidR="00E64750" w:rsidRPr="00E64750" w:rsidRDefault="00E64750" w:rsidP="00E64750">
      <w:pPr>
        <w:pStyle w:val="Body"/>
        <w:spacing w:after="0"/>
        <w:jc w:val="center"/>
        <w:rPr>
          <w:rFonts w:ascii="Arial" w:hAnsi="Arial" w:cs="Arial"/>
        </w:rPr>
      </w:pPr>
    </w:p>
    <w:p w14:paraId="1C46F0A2" w14:textId="3B093B64" w:rsidR="00E64750" w:rsidRDefault="00E64750" w:rsidP="00E64750">
      <w:pPr>
        <w:pStyle w:val="Body"/>
        <w:spacing w:after="0"/>
        <w:jc w:val="center"/>
        <w:rPr>
          <w:rFonts w:ascii="Arial" w:hAnsi="Arial" w:cs="Arial"/>
          <w:lang w:val="en-GB"/>
        </w:rPr>
      </w:pPr>
      <w:r w:rsidRPr="00E64750">
        <w:rPr>
          <w:rFonts w:ascii="Arial" w:hAnsi="Arial" w:cs="Arial"/>
          <w:i/>
          <w:iCs/>
          <w:lang w:val="en-GB"/>
        </w:rPr>
        <w:t>Source: Authors’ Construct</w:t>
      </w:r>
    </w:p>
    <w:p w14:paraId="61FB983B" w14:textId="7DAC78DD" w:rsidR="00475C88" w:rsidRPr="00EF649D" w:rsidRDefault="00475C88" w:rsidP="001773CF">
      <w:pPr>
        <w:pStyle w:val="Heading2"/>
        <w:rPr>
          <w:rFonts w:eastAsia="Times New Roman"/>
          <w:lang w:val="en-GB"/>
        </w:rPr>
      </w:pPr>
      <w:r w:rsidRPr="00EF649D">
        <w:rPr>
          <w:rFonts w:eastAsia="Times New Roman"/>
          <w:lang w:val="en-GB"/>
        </w:rPr>
        <w:lastRenderedPageBreak/>
        <w:t>Inclusion and Exclusion Criteria</w:t>
      </w:r>
    </w:p>
    <w:p w14:paraId="56E79789" w14:textId="3FF111E9" w:rsidR="00E64750" w:rsidRDefault="00790503" w:rsidP="00E64750">
      <w:pPr>
        <w:pStyle w:val="Body"/>
        <w:spacing w:after="0"/>
        <w:rPr>
          <w:rFonts w:ascii="Arial" w:hAnsi="Arial" w:cs="Arial"/>
          <w:lang w:val="en-GB"/>
        </w:rPr>
      </w:pPr>
      <w:r w:rsidRPr="00790503">
        <w:rPr>
          <w:rFonts w:ascii="Arial" w:hAnsi="Arial" w:cs="Arial"/>
          <w:lang w:val="en-GB"/>
        </w:rPr>
        <w:t>Studies were included based on predefined eligibility criteria aligned with the review’s objectives and geographic focus. Inclusion criteria were: (1) studies examining UGS (e.g., parks, community gardens, green roofs) (2) studies conducted in developing countries, as defined by World Bank classifications, with a priority on sub-Saharan Africa and Ghana; (3) empirical studies, reviews or grey literature (e.g., policy reports, case studies) published between 2005 and 2025; and (4) studies reporting outcomes related to environmental, social, or economic impacts, barriers, opportunities, equity, best practices, or long-term sustainability. Exclusion criteria include: (1) studies focused solely on developed countries; (2) studies inaccessible in English or without English abstracts. These criteria ensure relevance to the review’s focus on UGS integration in resource-constrained, rapidly urbanising contexts. The study selection process depicted above, followed a two-stage screening approach to ensure systematic inclusion. Full-text articles were retrieved and assessed against the same criteria by the same reviewers, with reasons for exclusion documented. The PRISMA flow diagram generated, reports the number of studies screened, included, and excluded at each stage, ensuring transparency (Moher et al. 2009).</w:t>
      </w:r>
    </w:p>
    <w:p w14:paraId="0DAD3D36" w14:textId="04792428" w:rsidR="00E64750" w:rsidRPr="00EF649D" w:rsidRDefault="00E64750" w:rsidP="001773CF">
      <w:pPr>
        <w:pStyle w:val="Heading2"/>
        <w:numPr>
          <w:ilvl w:val="0"/>
          <w:numId w:val="0"/>
        </w:numPr>
        <w:rPr>
          <w:rFonts w:eastAsia="Times New Roman"/>
          <w:lang w:val="en-GB"/>
        </w:rPr>
      </w:pPr>
      <w:r w:rsidRPr="00EF649D">
        <w:rPr>
          <w:lang w:val="en-GB"/>
        </w:rPr>
        <w:t>2</w:t>
      </w:r>
      <w:r w:rsidRPr="00EF649D">
        <w:rPr>
          <w:rFonts w:eastAsia="Times New Roman"/>
          <w:lang w:val="en-GB"/>
        </w:rPr>
        <w:t>.3 Data Extraction</w:t>
      </w:r>
    </w:p>
    <w:p w14:paraId="78040C95" w14:textId="4638DEF9" w:rsidR="00790503" w:rsidRDefault="00FB7E66" w:rsidP="00E64750">
      <w:pPr>
        <w:pStyle w:val="Body"/>
        <w:spacing w:after="0"/>
        <w:rPr>
          <w:rFonts w:ascii="Arial" w:hAnsi="Arial" w:cs="Arial"/>
          <w:lang w:val="en-GB"/>
        </w:rPr>
      </w:pPr>
      <w:r w:rsidRPr="00E64750">
        <w:rPr>
          <w:rFonts w:ascii="Arial" w:hAnsi="Arial" w:cs="Arial"/>
          <w:lang w:val="en-GB"/>
        </w:rPr>
        <w:t>Data was extracted using a standardised form developed in Microsoft Excel, tailored to capture information relevant to the review’s objectives. Extracted data included: (1) study characteristics (e.g., author, year, country,); (2) outcomes (e.g., environmental impacts like temperature reduction, social impacts like community cohesion, economic impacts like job creation); (3) barriers and opportunities (e.g., land scarcity, community participation); (4) equity considerations (e.g., access for marginalized groups); and (</w:t>
      </w:r>
      <w:r w:rsidR="00A27E31">
        <w:rPr>
          <w:rFonts w:ascii="Arial" w:hAnsi="Arial" w:cs="Arial"/>
          <w:lang w:val="en-GB"/>
        </w:rPr>
        <w:t>5</w:t>
      </w:r>
      <w:r w:rsidRPr="00E64750">
        <w:rPr>
          <w:rFonts w:ascii="Arial" w:hAnsi="Arial" w:cs="Arial"/>
          <w:lang w:val="en-GB"/>
        </w:rPr>
        <w:t xml:space="preserve">) long-term sustainability outcomes (e.g., maintenance, climate resilience). </w:t>
      </w:r>
      <w:r w:rsidR="00E64750" w:rsidRPr="00E64750">
        <w:rPr>
          <w:rFonts w:ascii="Arial" w:hAnsi="Arial" w:cs="Arial"/>
          <w:lang w:val="en-GB"/>
        </w:rPr>
        <w:t xml:space="preserve"> </w:t>
      </w:r>
    </w:p>
    <w:p w14:paraId="2F2F9E7C" w14:textId="643E02DB" w:rsidR="00E64750" w:rsidRPr="00EF649D" w:rsidRDefault="00E64750" w:rsidP="001773CF">
      <w:pPr>
        <w:pStyle w:val="Heading2"/>
        <w:numPr>
          <w:ilvl w:val="0"/>
          <w:numId w:val="0"/>
        </w:numPr>
        <w:rPr>
          <w:rFonts w:eastAsia="Times New Roman"/>
          <w:lang w:val="en-GB"/>
        </w:rPr>
      </w:pPr>
      <w:r w:rsidRPr="00EF649D">
        <w:rPr>
          <w:lang w:val="en-GB"/>
        </w:rPr>
        <w:t>2</w:t>
      </w:r>
      <w:r w:rsidRPr="00EF649D">
        <w:rPr>
          <w:rFonts w:eastAsia="Times New Roman"/>
          <w:lang w:val="en-GB"/>
        </w:rPr>
        <w:t>.4 Data Synthesis</w:t>
      </w:r>
    </w:p>
    <w:p w14:paraId="50F6D82C" w14:textId="5FAE380F" w:rsidR="00FB7E66" w:rsidRDefault="00FB7E66" w:rsidP="00BB6707">
      <w:pPr>
        <w:pStyle w:val="Body"/>
        <w:spacing w:after="0"/>
        <w:rPr>
          <w:rFonts w:ascii="Arial" w:hAnsi="Arial" w:cs="Arial"/>
          <w:lang w:val="en-GB"/>
        </w:rPr>
      </w:pPr>
      <w:r w:rsidRPr="00FB7E66">
        <w:rPr>
          <w:rFonts w:ascii="Arial" w:hAnsi="Arial" w:cs="Arial"/>
          <w:lang w:val="en-GB"/>
        </w:rPr>
        <w:t>Given the heterogeneity in study designs, outcomes, and contexts, a narrative synthesis approach was employed to integrate findings, guided by the Synthesis Without Meta-analysis (</w:t>
      </w:r>
      <w:proofErr w:type="spellStart"/>
      <w:r w:rsidRPr="00FB7E66">
        <w:rPr>
          <w:rFonts w:ascii="Arial" w:hAnsi="Arial" w:cs="Arial"/>
          <w:lang w:val="en-GB"/>
        </w:rPr>
        <w:t>SWiM</w:t>
      </w:r>
      <w:proofErr w:type="spellEnd"/>
      <w:r w:rsidRPr="00FB7E66">
        <w:rPr>
          <w:rFonts w:ascii="Arial" w:hAnsi="Arial" w:cs="Arial"/>
          <w:lang w:val="en-GB"/>
        </w:rPr>
        <w:t>) guidelines (Campbell et al. 2020). Data was organised thematically according to the review’s objectives, with sub-themes including environmental, social, and economic impacts; barriers and opportunities; equity and inclusivity; best practices; and long-term sustainability. Findings were synthesised using textual descriptions, tables, chart and conceptual diagram to illustrate relationships between themes (e.g., how barriers influence equity outcomes). Subgroup analyses explored differences by region (e.g., sub-Saharan Africa vs. other developing countries, Ghana-specific findings). The synthesis will highlight areas of consensus, divergence, and evidence gaps, particularly for sub-Saharan Africa and Ghana, to inform policy and future research.</w:t>
      </w:r>
    </w:p>
    <w:p w14:paraId="336A170A" w14:textId="0DA4E18B" w:rsidR="00E64750" w:rsidRPr="00AD1577" w:rsidRDefault="00000F8F" w:rsidP="001773CF">
      <w:pPr>
        <w:pStyle w:val="Heading1"/>
      </w:pPr>
      <w:r>
        <w:t>results and discussion</w:t>
      </w:r>
    </w:p>
    <w:p w14:paraId="4CA1DE5D" w14:textId="638D3ECA" w:rsidR="00FB7E66" w:rsidRPr="00AD1577" w:rsidRDefault="00F86F76" w:rsidP="00AD1577">
      <w:pPr>
        <w:pStyle w:val="Body"/>
        <w:spacing w:after="0"/>
        <w:rPr>
          <w:rFonts w:ascii="Arial" w:hAnsi="Arial" w:cs="Arial"/>
          <w:lang w:val="en-GB"/>
        </w:rPr>
      </w:pPr>
      <w:r w:rsidRPr="00F86F76">
        <w:rPr>
          <w:rFonts w:ascii="Arial" w:hAnsi="Arial" w:cs="Arial"/>
          <w:lang w:val="en-GB"/>
        </w:rPr>
        <w:t>This systematic review synthesises evidence from 20 studies on the integration of urban green spaces (UGS) into settlement upgrading projects in developing countries, with a focus on sub-Saharan Africa and Ghana. Adhering to the Preferred Reporting Items for Systematic Reviews and Meta-Analyses (PRISMA) framework, the analysis organises findings into five thematic categories: environmental, social, and economic impacts; barriers and challenges; opportunities and enabling factors; equity and inclusivity; and sustainability and resilience outcomes. The results are presented through a narrative synthesis, supported by a thematic table (Table 1) and a conceptual map (Figure 3). A subgroup analysis compares findings across Ghana, broader sub-Saharan Africa, other developing countries, highlighting contextual nuances and evidence gaps in long-term sustainability and equity.</w:t>
      </w:r>
    </w:p>
    <w:p w14:paraId="494DE991" w14:textId="736478FF" w:rsidR="00AD1577" w:rsidRPr="00EF649D" w:rsidRDefault="00AD1577" w:rsidP="00CE6DE4">
      <w:pPr>
        <w:pStyle w:val="Heading2"/>
      </w:pPr>
      <w:bookmarkStart w:id="1" w:name="_Hlk198197187"/>
      <w:r w:rsidRPr="00EF649D">
        <w:lastRenderedPageBreak/>
        <w:t>Subgroup Analysis</w:t>
      </w:r>
    </w:p>
    <w:p w14:paraId="23BDE01E" w14:textId="0F1BDFB1" w:rsidR="00FB7E66" w:rsidRPr="00AD1577" w:rsidRDefault="00F86F76" w:rsidP="00AD1577">
      <w:pPr>
        <w:tabs>
          <w:tab w:val="num" w:pos="720"/>
        </w:tabs>
        <w:spacing w:line="276" w:lineRule="auto"/>
        <w:jc w:val="both"/>
        <w:rPr>
          <w:rFonts w:ascii="Arial" w:hAnsi="Arial" w:cs="Arial"/>
        </w:rPr>
      </w:pPr>
      <w:r w:rsidRPr="00F86F76">
        <w:rPr>
          <w:rFonts w:ascii="Arial" w:hAnsi="Arial" w:cs="Arial"/>
        </w:rPr>
        <w:t>The subgroup analysis examines geographic contexts (Ghana, sub-Saharan Africa, other developing countries).</w:t>
      </w:r>
    </w:p>
    <w:p w14:paraId="019A3CFC" w14:textId="46614582" w:rsidR="00AD1577" w:rsidRPr="00EF649D" w:rsidRDefault="00AD1577" w:rsidP="00CE6DE4">
      <w:pPr>
        <w:pStyle w:val="Heading3"/>
      </w:pPr>
      <w:r w:rsidRPr="00EF649D">
        <w:t>Geographic Contexts</w:t>
      </w:r>
    </w:p>
    <w:p w14:paraId="4E19CF9A" w14:textId="699DA6D5" w:rsidR="00F86F76" w:rsidRPr="009906E7" w:rsidRDefault="00F86F76" w:rsidP="009906E7">
      <w:pPr>
        <w:tabs>
          <w:tab w:val="num" w:pos="720"/>
        </w:tabs>
        <w:spacing w:line="276" w:lineRule="auto"/>
        <w:jc w:val="both"/>
        <w:rPr>
          <w:rFonts w:ascii="Arial" w:hAnsi="Arial" w:cs="Arial"/>
          <w:lang w:val="en-GB"/>
        </w:rPr>
      </w:pPr>
      <w:r w:rsidRPr="00F86F76">
        <w:rPr>
          <w:rFonts w:ascii="Arial" w:hAnsi="Arial" w:cs="Arial"/>
        </w:rPr>
        <w:t xml:space="preserve">In Sub-Saharan Africa, </w:t>
      </w:r>
      <w:r w:rsidR="003D6CFD">
        <w:rPr>
          <w:rFonts w:ascii="Arial" w:hAnsi="Arial" w:cs="Arial"/>
        </w:rPr>
        <w:t>(</w:t>
      </w:r>
      <w:r w:rsidR="00BB0842" w:rsidRPr="00F86F76">
        <w:rPr>
          <w:rFonts w:ascii="Arial" w:hAnsi="Arial" w:cs="Arial"/>
        </w:rPr>
        <w:t>Shackleton et al. 20</w:t>
      </w:r>
      <w:r w:rsidR="00BB0842">
        <w:rPr>
          <w:rFonts w:ascii="Arial" w:hAnsi="Arial" w:cs="Arial"/>
        </w:rPr>
        <w:t>15</w:t>
      </w:r>
      <w:r w:rsidR="00BB0842" w:rsidRPr="00F86F76">
        <w:rPr>
          <w:rFonts w:ascii="Arial" w:hAnsi="Arial" w:cs="Arial"/>
        </w:rPr>
        <w:t xml:space="preserve">; </w:t>
      </w:r>
      <w:r w:rsidR="003D6CFD" w:rsidRPr="00FE79C6">
        <w:rPr>
          <w:rFonts w:ascii="Arial" w:hAnsi="Arial" w:cs="Arial"/>
          <w:lang w:val="en-GB"/>
        </w:rPr>
        <w:t>White et al. 2017</w:t>
      </w:r>
      <w:r w:rsidR="003D6CFD">
        <w:rPr>
          <w:rFonts w:ascii="Arial" w:hAnsi="Arial" w:cs="Arial"/>
          <w:lang w:val="en-GB"/>
        </w:rPr>
        <w:t>;</w:t>
      </w:r>
      <w:r w:rsidR="003D6CFD" w:rsidRPr="00F86F76">
        <w:rPr>
          <w:rFonts w:ascii="Arial" w:hAnsi="Arial" w:cs="Arial"/>
        </w:rPr>
        <w:t xml:space="preserve"> </w:t>
      </w:r>
      <w:r w:rsidRPr="00F86F76">
        <w:rPr>
          <w:rFonts w:ascii="Arial" w:hAnsi="Arial" w:cs="Arial"/>
        </w:rPr>
        <w:t>du Toit et al. 2018;</w:t>
      </w:r>
      <w:r w:rsidR="003D6CFD">
        <w:rPr>
          <w:rFonts w:ascii="Arial" w:hAnsi="Arial" w:cs="Arial"/>
        </w:rPr>
        <w:t xml:space="preserve"> </w:t>
      </w:r>
      <w:r w:rsidR="003D6CFD" w:rsidRPr="00FE79C6">
        <w:rPr>
          <w:rFonts w:ascii="Arial" w:hAnsi="Arial" w:cs="Arial"/>
        </w:rPr>
        <w:t>UN-Habitat 2018;</w:t>
      </w:r>
      <w:r w:rsidR="003D6CFD">
        <w:rPr>
          <w:rFonts w:ascii="Arial" w:hAnsi="Arial" w:cs="Arial"/>
        </w:rPr>
        <w:t xml:space="preserve"> </w:t>
      </w:r>
      <w:proofErr w:type="spellStart"/>
      <w:r w:rsidR="003D6CFD" w:rsidRPr="00FE79C6">
        <w:rPr>
          <w:rFonts w:ascii="Arial" w:hAnsi="Arial" w:cs="Arial"/>
        </w:rPr>
        <w:t>Adegun</w:t>
      </w:r>
      <w:proofErr w:type="spellEnd"/>
      <w:r w:rsidR="003D6CFD" w:rsidRPr="00FE79C6">
        <w:rPr>
          <w:rFonts w:ascii="Arial" w:hAnsi="Arial" w:cs="Arial"/>
        </w:rPr>
        <w:t xml:space="preserve"> 2019;</w:t>
      </w:r>
      <w:r w:rsidR="003D6CFD">
        <w:rPr>
          <w:rFonts w:ascii="Arial" w:hAnsi="Arial" w:cs="Arial"/>
        </w:rPr>
        <w:t xml:space="preserve"> </w:t>
      </w:r>
      <w:proofErr w:type="spellStart"/>
      <w:r w:rsidR="003D6CFD" w:rsidRPr="00FE79C6">
        <w:rPr>
          <w:rFonts w:ascii="Arial" w:hAnsi="Arial" w:cs="Arial"/>
        </w:rPr>
        <w:t>Titz</w:t>
      </w:r>
      <w:proofErr w:type="spellEnd"/>
      <w:r w:rsidR="003D6CFD" w:rsidRPr="00FE79C6">
        <w:rPr>
          <w:rFonts w:ascii="Arial" w:hAnsi="Arial" w:cs="Arial"/>
        </w:rPr>
        <w:t xml:space="preserve"> and </w:t>
      </w:r>
      <w:proofErr w:type="spellStart"/>
      <w:r w:rsidR="003D6CFD" w:rsidRPr="00FE79C6">
        <w:rPr>
          <w:rFonts w:ascii="Arial" w:hAnsi="Arial" w:cs="Arial"/>
        </w:rPr>
        <w:t>Chiotha</w:t>
      </w:r>
      <w:proofErr w:type="spellEnd"/>
      <w:r w:rsidR="003D6CFD" w:rsidRPr="00FE79C6">
        <w:rPr>
          <w:rFonts w:ascii="Arial" w:hAnsi="Arial" w:cs="Arial"/>
        </w:rPr>
        <w:t xml:space="preserve"> 2019; </w:t>
      </w:r>
      <w:r w:rsidRPr="00F86F76">
        <w:rPr>
          <w:rFonts w:ascii="Arial" w:hAnsi="Arial" w:cs="Arial"/>
        </w:rPr>
        <w:t xml:space="preserve">Venter et al. 2020; </w:t>
      </w:r>
      <w:r w:rsidRPr="00FE79C6">
        <w:rPr>
          <w:rFonts w:ascii="Arial" w:hAnsi="Arial" w:cs="Arial"/>
        </w:rPr>
        <w:t xml:space="preserve">Pedrosa et al. 2021; </w:t>
      </w:r>
      <w:r w:rsidR="009037B5" w:rsidRPr="00FE79C6">
        <w:rPr>
          <w:rFonts w:ascii="Arial" w:hAnsi="Arial" w:cs="Arial"/>
        </w:rPr>
        <w:t>Wijesinghe &amp; Thorn 2021</w:t>
      </w:r>
      <w:r w:rsidR="003D6CFD">
        <w:rPr>
          <w:rFonts w:ascii="Arial" w:hAnsi="Arial" w:cs="Arial"/>
        </w:rPr>
        <w:t>;</w:t>
      </w:r>
      <w:r w:rsidR="003D6CFD" w:rsidRPr="003D6CFD">
        <w:rPr>
          <w:rFonts w:ascii="Arial" w:hAnsi="Arial" w:cs="Arial"/>
        </w:rPr>
        <w:t xml:space="preserve"> </w:t>
      </w:r>
      <w:r w:rsidR="003D6CFD" w:rsidRPr="00F86F76">
        <w:rPr>
          <w:rFonts w:ascii="Arial" w:hAnsi="Arial" w:cs="Arial"/>
        </w:rPr>
        <w:t xml:space="preserve">Ansah </w:t>
      </w:r>
      <w:r w:rsidR="003D6CFD" w:rsidRPr="00FE79C6">
        <w:rPr>
          <w:rFonts w:ascii="Arial" w:hAnsi="Arial" w:cs="Arial"/>
        </w:rPr>
        <w:t>et al. 2024</w:t>
      </w:r>
      <w:r w:rsidR="00066331">
        <w:rPr>
          <w:rFonts w:ascii="Arial" w:hAnsi="Arial" w:cs="Arial"/>
        </w:rPr>
        <w:t xml:space="preserve">; </w:t>
      </w:r>
      <w:r w:rsidR="00066331" w:rsidRPr="00066331">
        <w:rPr>
          <w:rFonts w:ascii="Arial" w:hAnsi="Arial" w:cs="Arial"/>
        </w:rPr>
        <w:t>Muhoza and Zhou 2024</w:t>
      </w:r>
      <w:r w:rsidRPr="00FE79C6">
        <w:rPr>
          <w:rFonts w:ascii="Arial" w:hAnsi="Arial" w:cs="Arial"/>
        </w:rPr>
        <w:t>) focus on climate resilience and green gentrification risks. Studies highlight that community forestry and hybrid infrastructure are emerging.</w:t>
      </w:r>
    </w:p>
    <w:p w14:paraId="7E2F241A" w14:textId="51649965" w:rsidR="00FB7E66" w:rsidRPr="00510A48" w:rsidRDefault="00F86F76" w:rsidP="00B55991">
      <w:pPr>
        <w:tabs>
          <w:tab w:val="num" w:pos="720"/>
        </w:tabs>
        <w:jc w:val="both"/>
        <w:rPr>
          <w:rFonts w:ascii="Arial" w:eastAsia="Calibri" w:hAnsi="Arial" w:cs="Arial"/>
        </w:rPr>
      </w:pPr>
      <w:r w:rsidRPr="00F86F76">
        <w:rPr>
          <w:rFonts w:ascii="Arial" w:hAnsi="Arial" w:cs="Arial"/>
        </w:rPr>
        <w:t xml:space="preserve">There have been a number of studies in Ghana, (Mensah 2014; </w:t>
      </w:r>
      <w:r w:rsidR="003D6CFD" w:rsidRPr="00F86F76">
        <w:rPr>
          <w:rFonts w:ascii="Arial" w:hAnsi="Arial" w:cs="Arial"/>
        </w:rPr>
        <w:t>Nero 2017;</w:t>
      </w:r>
      <w:r w:rsidR="003D6CFD">
        <w:rPr>
          <w:rFonts w:ascii="Arial" w:hAnsi="Arial" w:cs="Arial"/>
        </w:rPr>
        <w:t xml:space="preserve"> </w:t>
      </w:r>
      <w:proofErr w:type="spellStart"/>
      <w:r w:rsidR="003D6CFD" w:rsidRPr="00F86F76">
        <w:rPr>
          <w:rFonts w:ascii="Arial" w:hAnsi="Arial" w:cs="Arial"/>
        </w:rPr>
        <w:t>Cobbinah</w:t>
      </w:r>
      <w:proofErr w:type="spellEnd"/>
      <w:r w:rsidR="003D6CFD" w:rsidRPr="00F86F76">
        <w:rPr>
          <w:rFonts w:ascii="Arial" w:hAnsi="Arial" w:cs="Arial"/>
        </w:rPr>
        <w:t xml:space="preserve"> et al. </w:t>
      </w:r>
      <w:r w:rsidR="003D6CFD" w:rsidRPr="006354AF">
        <w:rPr>
          <w:rFonts w:ascii="Arial" w:hAnsi="Arial" w:cs="Arial"/>
        </w:rPr>
        <w:t xml:space="preserve">2020; </w:t>
      </w:r>
      <w:proofErr w:type="spellStart"/>
      <w:r w:rsidR="002D40FB" w:rsidRPr="006354AF">
        <w:rPr>
          <w:rFonts w:ascii="Arial" w:hAnsi="Arial" w:cs="Arial"/>
        </w:rPr>
        <w:t>Puplampu</w:t>
      </w:r>
      <w:proofErr w:type="spellEnd"/>
      <w:r w:rsidR="002D40FB" w:rsidRPr="006354AF">
        <w:rPr>
          <w:rFonts w:ascii="Arial" w:hAnsi="Arial" w:cs="Arial"/>
        </w:rPr>
        <w:t xml:space="preserve"> &amp; Boafo</w:t>
      </w:r>
      <w:r w:rsidR="003D6CFD" w:rsidRPr="006354AF">
        <w:rPr>
          <w:rFonts w:ascii="Arial" w:hAnsi="Arial" w:cs="Arial"/>
        </w:rPr>
        <w:t>, 2021</w:t>
      </w:r>
      <w:r w:rsidRPr="006354AF">
        <w:rPr>
          <w:rFonts w:ascii="Arial" w:hAnsi="Arial" w:cs="Arial"/>
        </w:rPr>
        <w:t xml:space="preserve">; </w:t>
      </w:r>
      <w:proofErr w:type="spellStart"/>
      <w:r w:rsidR="003D6CFD" w:rsidRPr="006354AF">
        <w:rPr>
          <w:rFonts w:ascii="Arial" w:hAnsi="Arial" w:cs="Arial"/>
        </w:rPr>
        <w:t>Cobbinah</w:t>
      </w:r>
      <w:proofErr w:type="spellEnd"/>
      <w:r w:rsidR="003D6CFD" w:rsidRPr="00F86F76">
        <w:rPr>
          <w:rFonts w:ascii="Arial" w:hAnsi="Arial" w:cs="Arial"/>
        </w:rPr>
        <w:t xml:space="preserve"> and </w:t>
      </w:r>
      <w:proofErr w:type="spellStart"/>
      <w:r w:rsidR="003D6CFD" w:rsidRPr="00F86F76">
        <w:rPr>
          <w:rFonts w:ascii="Arial" w:hAnsi="Arial" w:cs="Arial"/>
        </w:rPr>
        <w:t>Asibey</w:t>
      </w:r>
      <w:proofErr w:type="spellEnd"/>
      <w:r w:rsidR="003D6CFD" w:rsidRPr="00F86F76">
        <w:rPr>
          <w:rFonts w:ascii="Arial" w:hAnsi="Arial" w:cs="Arial"/>
        </w:rPr>
        <w:t xml:space="preserve"> 2021</w:t>
      </w:r>
      <w:r w:rsidR="003D6CFD">
        <w:rPr>
          <w:rFonts w:ascii="Arial" w:hAnsi="Arial" w:cs="Arial"/>
        </w:rPr>
        <w:t xml:space="preserve">; </w:t>
      </w:r>
      <w:proofErr w:type="spellStart"/>
      <w:r w:rsidRPr="00F86F76">
        <w:rPr>
          <w:rFonts w:ascii="Arial" w:hAnsi="Arial" w:cs="Arial"/>
        </w:rPr>
        <w:t>Adjetey</w:t>
      </w:r>
      <w:proofErr w:type="spellEnd"/>
      <w:r w:rsidRPr="00F86F76">
        <w:rPr>
          <w:rFonts w:ascii="Arial" w:hAnsi="Arial" w:cs="Arial"/>
        </w:rPr>
        <w:t xml:space="preserve"> et al. 2023; </w:t>
      </w:r>
      <w:r w:rsidR="005C0561">
        <w:rPr>
          <w:rFonts w:ascii="Arial" w:hAnsi="Arial" w:cs="Arial"/>
        </w:rPr>
        <w:t>Akanbang et al.</w:t>
      </w:r>
      <w:r w:rsidRPr="00F86F76">
        <w:rPr>
          <w:rFonts w:ascii="Arial" w:hAnsi="Arial" w:cs="Arial"/>
        </w:rPr>
        <w:t xml:space="preserve"> 2024; Safo et al. 2024;) which discuss severe green space loss due to sprawl and governance failure, benefits of community gardens such as food security and equity. However, equity issues are noted but </w:t>
      </w:r>
      <w:r w:rsidRPr="00510A48">
        <w:rPr>
          <w:rFonts w:ascii="Arial" w:hAnsi="Arial" w:cs="Arial"/>
        </w:rPr>
        <w:t>underexplored. In other developing countries, (Ramaiah and Avtar 2019; Medeiros et al. 2024</w:t>
      </w:r>
      <w:r w:rsidR="00510A48" w:rsidRPr="00510A48">
        <w:rPr>
          <w:rFonts w:ascii="Arial" w:hAnsi="Arial" w:cs="Arial"/>
        </w:rPr>
        <w:t xml:space="preserve">; </w:t>
      </w:r>
      <w:proofErr w:type="spellStart"/>
      <w:r w:rsidR="00510A48" w:rsidRPr="00510A48">
        <w:rPr>
          <w:rFonts w:ascii="Arial" w:eastAsia="Calibri" w:hAnsi="Arial" w:cs="Arial"/>
        </w:rPr>
        <w:t>Vijayalaxmi</w:t>
      </w:r>
      <w:proofErr w:type="spellEnd"/>
      <w:r w:rsidR="00510A48" w:rsidRPr="00510A48">
        <w:rPr>
          <w:rFonts w:ascii="Arial" w:eastAsia="Calibri" w:hAnsi="Arial" w:cs="Arial"/>
        </w:rPr>
        <w:t xml:space="preserve"> and </w:t>
      </w:r>
      <w:proofErr w:type="spellStart"/>
      <w:r w:rsidR="00510A48" w:rsidRPr="00510A48">
        <w:rPr>
          <w:rFonts w:ascii="Arial" w:eastAsia="Calibri" w:hAnsi="Arial" w:cs="Arial"/>
        </w:rPr>
        <w:t>Dnyanesh</w:t>
      </w:r>
      <w:proofErr w:type="spellEnd"/>
      <w:r w:rsidR="00510A48" w:rsidRPr="00510A48">
        <w:rPr>
          <w:rFonts w:ascii="Arial" w:eastAsia="Calibri" w:hAnsi="Arial" w:cs="Arial"/>
        </w:rPr>
        <w:t xml:space="preserve"> 2021</w:t>
      </w:r>
      <w:r w:rsidRPr="00F86F76">
        <w:rPr>
          <w:rFonts w:ascii="Arial" w:hAnsi="Arial" w:cs="Arial"/>
        </w:rPr>
        <w:t>) note stronger economic outcomes of urban green spaces (e.g., property values in India).</w:t>
      </w:r>
    </w:p>
    <w:p w14:paraId="77765DB3" w14:textId="7994F279" w:rsidR="00AD1577" w:rsidRPr="00AD1577" w:rsidRDefault="00AD1577" w:rsidP="00430934">
      <w:pPr>
        <w:tabs>
          <w:tab w:val="num" w:pos="1440"/>
        </w:tabs>
        <w:spacing w:before="180" w:after="60"/>
        <w:jc w:val="both"/>
        <w:rPr>
          <w:rFonts w:ascii="Arial" w:hAnsi="Arial" w:cs="Arial"/>
          <w:b/>
          <w:bCs/>
        </w:rPr>
      </w:pPr>
      <w:r w:rsidRPr="00AD1577">
        <w:rPr>
          <w:rFonts w:ascii="Arial" w:hAnsi="Arial" w:cs="Arial"/>
          <w:b/>
          <w:bCs/>
        </w:rPr>
        <w:t>Fig</w:t>
      </w:r>
      <w:r w:rsidR="002F7D02">
        <w:rPr>
          <w:rFonts w:ascii="Arial" w:hAnsi="Arial" w:cs="Arial"/>
          <w:b/>
          <w:bCs/>
        </w:rPr>
        <w:t>.</w:t>
      </w:r>
      <w:r w:rsidRPr="00AD1577">
        <w:rPr>
          <w:rFonts w:ascii="Arial" w:hAnsi="Arial" w:cs="Arial"/>
          <w:b/>
          <w:bCs/>
        </w:rPr>
        <w:t xml:space="preserve"> 2: Illustration Of Geographic Contexts of Included Studies</w:t>
      </w:r>
    </w:p>
    <w:p w14:paraId="12F5A36D" w14:textId="70290B2E" w:rsidR="00AD1577" w:rsidRPr="00AD1577" w:rsidRDefault="00AD1577" w:rsidP="001773CF">
      <w:pPr>
        <w:tabs>
          <w:tab w:val="num" w:pos="1440"/>
        </w:tabs>
        <w:jc w:val="center"/>
        <w:rPr>
          <w:rFonts w:ascii="Arial" w:hAnsi="Arial" w:cs="Arial"/>
        </w:rPr>
      </w:pPr>
      <w:r w:rsidRPr="00AD1577">
        <w:rPr>
          <w:rFonts w:ascii="Arial" w:hAnsi="Arial" w:cs="Arial"/>
          <w:noProof/>
        </w:rPr>
        <w:drawing>
          <wp:anchor distT="0" distB="0" distL="114300" distR="114300" simplePos="0" relativeHeight="251658240" behindDoc="0" locked="0" layoutInCell="1" allowOverlap="1" wp14:anchorId="2CDA900E" wp14:editId="0F0D51B6">
            <wp:simplePos x="0" y="0"/>
            <wp:positionH relativeFrom="column">
              <wp:posOffset>241565</wp:posOffset>
            </wp:positionH>
            <wp:positionV relativeFrom="paragraph">
              <wp:posOffset>379</wp:posOffset>
            </wp:positionV>
            <wp:extent cx="4724400" cy="2819400"/>
            <wp:effectExtent l="0" t="0" r="0" b="0"/>
            <wp:wrapTopAndBottom/>
            <wp:docPr id="17258810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bookmarkEnd w:id="1"/>
    <w:p w14:paraId="748B48C3" w14:textId="77777777" w:rsidR="00AD1577" w:rsidRPr="00AD1577" w:rsidRDefault="00AD1577" w:rsidP="00430934">
      <w:pPr>
        <w:tabs>
          <w:tab w:val="num" w:pos="720"/>
        </w:tabs>
        <w:jc w:val="center"/>
        <w:rPr>
          <w:rFonts w:ascii="Arial" w:hAnsi="Arial" w:cs="Arial"/>
          <w:i/>
          <w:iCs/>
        </w:rPr>
      </w:pPr>
      <w:r w:rsidRPr="00AD1577">
        <w:rPr>
          <w:rFonts w:ascii="Arial" w:hAnsi="Arial" w:cs="Arial"/>
          <w:i/>
          <w:iCs/>
        </w:rPr>
        <w:t>Source: Authors’ Construct</w:t>
      </w:r>
    </w:p>
    <w:p w14:paraId="1E735B93" w14:textId="7D102102" w:rsidR="00AD1577" w:rsidRDefault="00AD1577" w:rsidP="00430934">
      <w:pPr>
        <w:pStyle w:val="Heading2"/>
      </w:pPr>
      <w:r w:rsidRPr="002F7D02">
        <w:t>Narrative Synthesis</w:t>
      </w:r>
    </w:p>
    <w:p w14:paraId="28725B69" w14:textId="4B67369F" w:rsidR="00F86F76" w:rsidRPr="00F86F76" w:rsidRDefault="00567771" w:rsidP="00377A19">
      <w:pPr>
        <w:jc w:val="both"/>
      </w:pPr>
      <w:r w:rsidRPr="00377A19">
        <w:rPr>
          <w:rFonts w:ascii="Arial" w:hAnsi="Arial" w:cs="Arial"/>
        </w:rPr>
        <w:t>The synthesis deal</w:t>
      </w:r>
      <w:r w:rsidR="00377A19">
        <w:rPr>
          <w:rFonts w:ascii="Arial" w:hAnsi="Arial" w:cs="Arial"/>
        </w:rPr>
        <w:t>t</w:t>
      </w:r>
      <w:r w:rsidRPr="00377A19">
        <w:rPr>
          <w:rFonts w:ascii="Arial" w:hAnsi="Arial" w:cs="Arial"/>
        </w:rPr>
        <w:t xml:space="preserve"> with the </w:t>
      </w:r>
      <w:proofErr w:type="spellStart"/>
      <w:r w:rsidR="00377A19" w:rsidRPr="00377A19">
        <w:rPr>
          <w:rFonts w:ascii="Arial" w:hAnsi="Arial" w:cs="Arial"/>
        </w:rPr>
        <w:t>i</w:t>
      </w:r>
      <w:proofErr w:type="spellEnd"/>
      <w:r w:rsidR="00377A19" w:rsidRPr="00377A19">
        <w:rPr>
          <w:rFonts w:ascii="Arial" w:hAnsi="Arial" w:cs="Arial"/>
        </w:rPr>
        <w:t>) e</w:t>
      </w:r>
      <w:r w:rsidRPr="00377A19">
        <w:rPr>
          <w:rFonts w:ascii="Arial" w:hAnsi="Arial" w:cs="Arial"/>
        </w:rPr>
        <w:t xml:space="preserve">nvironmental, </w:t>
      </w:r>
      <w:r w:rsidR="00377A19" w:rsidRPr="00377A19">
        <w:rPr>
          <w:rFonts w:ascii="Arial" w:hAnsi="Arial" w:cs="Arial"/>
        </w:rPr>
        <w:t>s</w:t>
      </w:r>
      <w:r w:rsidRPr="00377A19">
        <w:rPr>
          <w:rFonts w:ascii="Arial" w:hAnsi="Arial" w:cs="Arial"/>
        </w:rPr>
        <w:t xml:space="preserve">ocial, and </w:t>
      </w:r>
      <w:r w:rsidR="00377A19" w:rsidRPr="00377A19">
        <w:rPr>
          <w:rFonts w:ascii="Arial" w:hAnsi="Arial" w:cs="Arial"/>
        </w:rPr>
        <w:t>e</w:t>
      </w:r>
      <w:r w:rsidRPr="00377A19">
        <w:rPr>
          <w:rFonts w:ascii="Arial" w:hAnsi="Arial" w:cs="Arial"/>
        </w:rPr>
        <w:t xml:space="preserve">conomic </w:t>
      </w:r>
      <w:r w:rsidR="00377A19" w:rsidRPr="00377A19">
        <w:rPr>
          <w:rFonts w:ascii="Arial" w:hAnsi="Arial" w:cs="Arial"/>
        </w:rPr>
        <w:t>i</w:t>
      </w:r>
      <w:r w:rsidRPr="00377A19">
        <w:rPr>
          <w:rFonts w:ascii="Arial" w:hAnsi="Arial" w:cs="Arial"/>
        </w:rPr>
        <w:t>mpacts,</w:t>
      </w:r>
      <w:r w:rsidR="00377A19" w:rsidRPr="00377A19">
        <w:rPr>
          <w:rFonts w:ascii="Arial" w:hAnsi="Arial" w:cs="Arial"/>
        </w:rPr>
        <w:t xml:space="preserve"> ii) </w:t>
      </w:r>
      <w:r w:rsidRPr="00377A19">
        <w:rPr>
          <w:rFonts w:ascii="Arial" w:hAnsi="Arial" w:cs="Arial"/>
        </w:rPr>
        <w:tab/>
        <w:t xml:space="preserve">Barriers and Challenges, </w:t>
      </w:r>
      <w:r w:rsidR="00377A19" w:rsidRPr="00377A19">
        <w:rPr>
          <w:rFonts w:ascii="Arial" w:hAnsi="Arial" w:cs="Arial"/>
        </w:rPr>
        <w:t xml:space="preserve">iii) </w:t>
      </w:r>
      <w:r w:rsidRPr="00377A19">
        <w:rPr>
          <w:rFonts w:ascii="Arial" w:hAnsi="Arial" w:cs="Arial"/>
        </w:rPr>
        <w:tab/>
      </w:r>
      <w:r w:rsidR="00377A19" w:rsidRPr="00377A19">
        <w:rPr>
          <w:rFonts w:ascii="Arial" w:hAnsi="Arial" w:cs="Arial"/>
        </w:rPr>
        <w:t>o</w:t>
      </w:r>
      <w:r w:rsidRPr="00377A19">
        <w:rPr>
          <w:rFonts w:ascii="Arial" w:hAnsi="Arial" w:cs="Arial"/>
        </w:rPr>
        <w:t xml:space="preserve">pportunities and </w:t>
      </w:r>
      <w:r w:rsidR="00377A19" w:rsidRPr="00377A19">
        <w:rPr>
          <w:rFonts w:ascii="Arial" w:hAnsi="Arial" w:cs="Arial"/>
        </w:rPr>
        <w:t>e</w:t>
      </w:r>
      <w:r w:rsidRPr="00377A19">
        <w:rPr>
          <w:rFonts w:ascii="Arial" w:hAnsi="Arial" w:cs="Arial"/>
        </w:rPr>
        <w:t xml:space="preserve">nabling </w:t>
      </w:r>
      <w:r w:rsidR="00377A19" w:rsidRPr="00377A19">
        <w:rPr>
          <w:rFonts w:ascii="Arial" w:hAnsi="Arial" w:cs="Arial"/>
        </w:rPr>
        <w:t>f</w:t>
      </w:r>
      <w:r w:rsidRPr="00377A19">
        <w:rPr>
          <w:rFonts w:ascii="Arial" w:hAnsi="Arial" w:cs="Arial"/>
        </w:rPr>
        <w:t>actors,</w:t>
      </w:r>
      <w:r w:rsidR="00377A19" w:rsidRPr="00377A19">
        <w:rPr>
          <w:rFonts w:ascii="Arial" w:hAnsi="Arial" w:cs="Arial"/>
        </w:rPr>
        <w:t xml:space="preserve"> iv) e</w:t>
      </w:r>
      <w:r w:rsidRPr="00377A19">
        <w:rPr>
          <w:rFonts w:ascii="Arial" w:hAnsi="Arial" w:cs="Arial"/>
        </w:rPr>
        <w:t xml:space="preserve">quity and </w:t>
      </w:r>
      <w:r w:rsidR="00377A19" w:rsidRPr="00377A19">
        <w:rPr>
          <w:rFonts w:ascii="Arial" w:hAnsi="Arial" w:cs="Arial"/>
        </w:rPr>
        <w:t>i</w:t>
      </w:r>
      <w:r w:rsidRPr="00377A19">
        <w:rPr>
          <w:rFonts w:ascii="Arial" w:hAnsi="Arial" w:cs="Arial"/>
        </w:rPr>
        <w:t>nclusivity,</w:t>
      </w:r>
      <w:r w:rsidR="00377A19" w:rsidRPr="00377A19">
        <w:rPr>
          <w:rFonts w:ascii="Arial" w:hAnsi="Arial" w:cs="Arial"/>
        </w:rPr>
        <w:t xml:space="preserve"> and iv) sustainability and resilience outcomes. </w:t>
      </w:r>
    </w:p>
    <w:p w14:paraId="4A8CDE42" w14:textId="64897B77" w:rsidR="00AD1577" w:rsidRPr="002F7D02" w:rsidRDefault="00AD1577" w:rsidP="00CE6DE4">
      <w:pPr>
        <w:pStyle w:val="Heading3"/>
      </w:pPr>
      <w:bookmarkStart w:id="2" w:name="_Hlk203156324"/>
      <w:r w:rsidRPr="002F7D02">
        <w:t>Environmental, Social, and Economic Impacts</w:t>
      </w:r>
    </w:p>
    <w:bookmarkEnd w:id="2"/>
    <w:p w14:paraId="087CC344" w14:textId="0931BF9F" w:rsidR="00FB7E66" w:rsidRPr="009906E7" w:rsidRDefault="00F86F76" w:rsidP="00AD1577">
      <w:pPr>
        <w:tabs>
          <w:tab w:val="num" w:pos="720"/>
        </w:tabs>
        <w:spacing w:line="276" w:lineRule="auto"/>
        <w:jc w:val="both"/>
        <w:rPr>
          <w:rFonts w:ascii="Arial" w:hAnsi="Arial" w:cs="Arial"/>
          <w:lang w:val="en-GB"/>
        </w:rPr>
      </w:pPr>
      <w:r w:rsidRPr="00F86F76">
        <w:rPr>
          <w:rFonts w:ascii="Arial" w:hAnsi="Arial" w:cs="Arial"/>
        </w:rPr>
        <w:t>UGS integration yields significant environmental and social benefits, with economic impacts less consistently reported. Environmentally, UGS reduce urban heat, improve air quality, enhance biodiversity, and mitigate flooding (</w:t>
      </w:r>
      <w:proofErr w:type="spellStart"/>
      <w:r w:rsidRPr="00F86F76">
        <w:rPr>
          <w:rFonts w:ascii="Arial" w:hAnsi="Arial" w:cs="Arial"/>
        </w:rPr>
        <w:t>Adegun</w:t>
      </w:r>
      <w:proofErr w:type="spellEnd"/>
      <w:r w:rsidRPr="00F86F76">
        <w:rPr>
          <w:rFonts w:ascii="Arial" w:hAnsi="Arial" w:cs="Arial"/>
        </w:rPr>
        <w:t xml:space="preserve"> 20</w:t>
      </w:r>
      <w:r w:rsidR="00A1318A">
        <w:rPr>
          <w:rFonts w:ascii="Arial" w:hAnsi="Arial" w:cs="Arial"/>
        </w:rPr>
        <w:t>19</w:t>
      </w:r>
      <w:r w:rsidRPr="00F86F76">
        <w:rPr>
          <w:rFonts w:ascii="Arial" w:hAnsi="Arial" w:cs="Arial"/>
        </w:rPr>
        <w:t xml:space="preserve">; </w:t>
      </w:r>
      <w:r w:rsidR="009906E7">
        <w:rPr>
          <w:rFonts w:ascii="Arial" w:hAnsi="Arial" w:cs="Arial"/>
          <w:lang w:val="en-GB"/>
        </w:rPr>
        <w:t>White et al. 2017</w:t>
      </w:r>
      <w:r w:rsidRPr="00F86F76">
        <w:rPr>
          <w:rFonts w:ascii="Arial" w:hAnsi="Arial" w:cs="Arial"/>
        </w:rPr>
        <w:t xml:space="preserve">). Socially, UGS promote community cohesion, mental health, and recreation, particularly in informal </w:t>
      </w:r>
      <w:r w:rsidRPr="00F86F76">
        <w:rPr>
          <w:rFonts w:ascii="Arial" w:hAnsi="Arial" w:cs="Arial"/>
        </w:rPr>
        <w:lastRenderedPageBreak/>
        <w:t xml:space="preserve">settlements (Medeiros et al. 2024; </w:t>
      </w:r>
      <w:r w:rsidR="005C0561">
        <w:rPr>
          <w:rFonts w:ascii="Arial" w:hAnsi="Arial" w:cs="Arial"/>
        </w:rPr>
        <w:t>Akanbang et al.</w:t>
      </w:r>
      <w:r w:rsidRPr="00F86F76">
        <w:rPr>
          <w:rFonts w:ascii="Arial" w:hAnsi="Arial" w:cs="Arial"/>
        </w:rPr>
        <w:t xml:space="preserve"> 2024). Economic benefits include job creation (e.g., maintenance in Johannesburg; </w:t>
      </w:r>
      <w:proofErr w:type="spellStart"/>
      <w:r w:rsidRPr="00F86F76">
        <w:rPr>
          <w:rFonts w:ascii="Arial" w:hAnsi="Arial" w:cs="Arial"/>
        </w:rPr>
        <w:t>Adegun</w:t>
      </w:r>
      <w:proofErr w:type="spellEnd"/>
      <w:r w:rsidRPr="00F86F76">
        <w:rPr>
          <w:rFonts w:ascii="Arial" w:hAnsi="Arial" w:cs="Arial"/>
        </w:rPr>
        <w:t xml:space="preserve"> 20</w:t>
      </w:r>
      <w:r w:rsidR="00A1318A">
        <w:rPr>
          <w:rFonts w:ascii="Arial" w:hAnsi="Arial" w:cs="Arial"/>
        </w:rPr>
        <w:t>19</w:t>
      </w:r>
      <w:r w:rsidRPr="00F86F76">
        <w:rPr>
          <w:rFonts w:ascii="Arial" w:hAnsi="Arial" w:cs="Arial"/>
        </w:rPr>
        <w:t xml:space="preserve">) and property value increases (du Toit et al. 2018), though Ghana-specific studies </w:t>
      </w:r>
      <w:proofErr w:type="spellStart"/>
      <w:r w:rsidRPr="00F86F76">
        <w:rPr>
          <w:rFonts w:ascii="Arial" w:hAnsi="Arial" w:cs="Arial"/>
        </w:rPr>
        <w:t>emphasise</w:t>
      </w:r>
      <w:proofErr w:type="spellEnd"/>
      <w:r w:rsidRPr="00F86F76">
        <w:rPr>
          <w:rFonts w:ascii="Arial" w:hAnsi="Arial" w:cs="Arial"/>
        </w:rPr>
        <w:t xml:space="preserve"> urban agriculture income (</w:t>
      </w:r>
      <w:proofErr w:type="spellStart"/>
      <w:r w:rsidR="005C0561">
        <w:rPr>
          <w:rFonts w:ascii="Arial" w:hAnsi="Arial" w:cs="Arial"/>
        </w:rPr>
        <w:t>Akanbang</w:t>
      </w:r>
      <w:proofErr w:type="spellEnd"/>
      <w:r w:rsidR="005C0561">
        <w:rPr>
          <w:rFonts w:ascii="Arial" w:hAnsi="Arial" w:cs="Arial"/>
        </w:rPr>
        <w:t xml:space="preserve"> et al.</w:t>
      </w:r>
      <w:r w:rsidRPr="00F86F76">
        <w:rPr>
          <w:rFonts w:ascii="Arial" w:hAnsi="Arial" w:cs="Arial"/>
        </w:rPr>
        <w:t xml:space="preserve"> 2024). Studies like Ansah et al. (2024) focus on health, leaving economic outcomes underexplored.</w:t>
      </w:r>
    </w:p>
    <w:p w14:paraId="1A6D9AFF" w14:textId="77777777" w:rsidR="00FB7E66" w:rsidRPr="00AD1577" w:rsidRDefault="00FB7E66" w:rsidP="00AD1577">
      <w:pPr>
        <w:tabs>
          <w:tab w:val="num" w:pos="720"/>
        </w:tabs>
        <w:spacing w:line="276" w:lineRule="auto"/>
        <w:jc w:val="both"/>
        <w:rPr>
          <w:rFonts w:ascii="Arial" w:hAnsi="Arial" w:cs="Arial"/>
        </w:rPr>
      </w:pPr>
    </w:p>
    <w:p w14:paraId="3A2D2C26" w14:textId="40EC455C" w:rsidR="00AD1577" w:rsidRPr="002F7D02" w:rsidRDefault="00AD1577" w:rsidP="00CE6DE4">
      <w:pPr>
        <w:pStyle w:val="Heading3"/>
      </w:pPr>
      <w:bookmarkStart w:id="3" w:name="_Hlk203156347"/>
      <w:r w:rsidRPr="002F7D02">
        <w:t>Barriers and Challenges</w:t>
      </w:r>
    </w:p>
    <w:bookmarkEnd w:id="3"/>
    <w:p w14:paraId="6E743D6C" w14:textId="002F2F22" w:rsidR="00FB7E66" w:rsidRPr="009037B5" w:rsidRDefault="00F86F76" w:rsidP="00AD1577">
      <w:pPr>
        <w:tabs>
          <w:tab w:val="num" w:pos="720"/>
        </w:tabs>
        <w:spacing w:line="276" w:lineRule="auto"/>
        <w:jc w:val="both"/>
        <w:rPr>
          <w:rFonts w:ascii="Arial" w:hAnsi="Arial" w:cs="Arial"/>
          <w:lang w:val="en-GB"/>
        </w:rPr>
      </w:pPr>
      <w:r w:rsidRPr="00F86F76">
        <w:rPr>
          <w:rFonts w:ascii="Arial" w:hAnsi="Arial" w:cs="Arial"/>
        </w:rPr>
        <w:t xml:space="preserve">Land scarcity, governance failures, and rapid </w:t>
      </w:r>
      <w:proofErr w:type="spellStart"/>
      <w:r w:rsidRPr="00F86F76">
        <w:rPr>
          <w:rFonts w:ascii="Arial" w:hAnsi="Arial" w:cs="Arial"/>
        </w:rPr>
        <w:t>urbanisation</w:t>
      </w:r>
      <w:proofErr w:type="spellEnd"/>
      <w:r w:rsidRPr="00F86F76">
        <w:rPr>
          <w:rFonts w:ascii="Arial" w:hAnsi="Arial" w:cs="Arial"/>
        </w:rPr>
        <w:t xml:space="preserve"> are dominant barriers. In Ghana, Accra and Kumasi lost huge green spaces due to sprawl and weak planning (</w:t>
      </w:r>
      <w:proofErr w:type="spellStart"/>
      <w:r w:rsidRPr="00F86F76">
        <w:rPr>
          <w:rFonts w:ascii="Arial" w:hAnsi="Arial" w:cs="Arial"/>
        </w:rPr>
        <w:t>Adjetey</w:t>
      </w:r>
      <w:proofErr w:type="spellEnd"/>
      <w:r w:rsidRPr="00F86F76">
        <w:rPr>
          <w:rFonts w:ascii="Arial" w:hAnsi="Arial" w:cs="Arial"/>
        </w:rPr>
        <w:t xml:space="preserve"> et al. 2023; Mensah 2014). Sub-Saharan Africa faces similar land tenure and funding constraints (</w:t>
      </w:r>
      <w:proofErr w:type="spellStart"/>
      <w:r w:rsidRPr="00F86F76">
        <w:rPr>
          <w:rFonts w:ascii="Arial" w:hAnsi="Arial" w:cs="Arial"/>
        </w:rPr>
        <w:t>Cobbinah</w:t>
      </w:r>
      <w:proofErr w:type="spellEnd"/>
      <w:r w:rsidRPr="00F86F76">
        <w:rPr>
          <w:rFonts w:ascii="Arial" w:hAnsi="Arial" w:cs="Arial"/>
        </w:rPr>
        <w:t xml:space="preserve"> et al. 2020; </w:t>
      </w:r>
      <w:proofErr w:type="spellStart"/>
      <w:r w:rsidRPr="00F86F76">
        <w:rPr>
          <w:rFonts w:ascii="Arial" w:hAnsi="Arial" w:cs="Arial"/>
        </w:rPr>
        <w:t>Titz</w:t>
      </w:r>
      <w:proofErr w:type="spellEnd"/>
      <w:r w:rsidRPr="00F86F76">
        <w:rPr>
          <w:rFonts w:ascii="Arial" w:hAnsi="Arial" w:cs="Arial"/>
        </w:rPr>
        <w:t xml:space="preserve"> and </w:t>
      </w:r>
      <w:proofErr w:type="spellStart"/>
      <w:r w:rsidRPr="00F86F76">
        <w:rPr>
          <w:rFonts w:ascii="Arial" w:hAnsi="Arial" w:cs="Arial"/>
        </w:rPr>
        <w:t>Chiotha</w:t>
      </w:r>
      <w:proofErr w:type="spellEnd"/>
      <w:r w:rsidRPr="00F86F76">
        <w:rPr>
          <w:rFonts w:ascii="Arial" w:hAnsi="Arial" w:cs="Arial"/>
        </w:rPr>
        <w:t xml:space="preserve"> 2019). Socio-cultural preferences for housing over greening persist in Ghana and India (</w:t>
      </w:r>
      <w:proofErr w:type="spellStart"/>
      <w:r w:rsidR="005C0561">
        <w:rPr>
          <w:rFonts w:ascii="Arial" w:hAnsi="Arial" w:cs="Arial"/>
        </w:rPr>
        <w:t>Akanbang</w:t>
      </w:r>
      <w:proofErr w:type="spellEnd"/>
      <w:r w:rsidR="005C0561">
        <w:rPr>
          <w:rFonts w:ascii="Arial" w:hAnsi="Arial" w:cs="Arial"/>
        </w:rPr>
        <w:t xml:space="preserve"> et al.</w:t>
      </w:r>
      <w:r w:rsidRPr="00F86F76">
        <w:rPr>
          <w:rFonts w:ascii="Arial" w:hAnsi="Arial" w:cs="Arial"/>
        </w:rPr>
        <w:t xml:space="preserve"> 2024; Ramaiah and Avtar 2019). Corruption and political instability exacerbate challenges in Malawi and Namibia (</w:t>
      </w:r>
      <w:proofErr w:type="spellStart"/>
      <w:r w:rsidRPr="00F86F76">
        <w:rPr>
          <w:rFonts w:ascii="Arial" w:hAnsi="Arial" w:cs="Arial"/>
        </w:rPr>
        <w:t>Titz</w:t>
      </w:r>
      <w:proofErr w:type="spellEnd"/>
      <w:r w:rsidRPr="00F86F76">
        <w:rPr>
          <w:rFonts w:ascii="Arial" w:hAnsi="Arial" w:cs="Arial"/>
        </w:rPr>
        <w:t xml:space="preserve"> and </w:t>
      </w:r>
      <w:proofErr w:type="spellStart"/>
      <w:r w:rsidRPr="00F86F76">
        <w:rPr>
          <w:rFonts w:ascii="Arial" w:hAnsi="Arial" w:cs="Arial"/>
        </w:rPr>
        <w:t>Chiotha</w:t>
      </w:r>
      <w:proofErr w:type="spellEnd"/>
      <w:r w:rsidRPr="00F86F76">
        <w:rPr>
          <w:rFonts w:ascii="Arial" w:hAnsi="Arial" w:cs="Arial"/>
        </w:rPr>
        <w:t xml:space="preserve"> 2019; </w:t>
      </w:r>
      <w:proofErr w:type="spellStart"/>
      <w:r w:rsidR="009037B5" w:rsidRPr="00FE79C6">
        <w:rPr>
          <w:rFonts w:ascii="Arial" w:hAnsi="Arial" w:cs="Arial"/>
        </w:rPr>
        <w:t>Wijesinghe</w:t>
      </w:r>
      <w:proofErr w:type="spellEnd"/>
      <w:r w:rsidR="009037B5" w:rsidRPr="00FE79C6">
        <w:rPr>
          <w:rFonts w:ascii="Arial" w:hAnsi="Arial" w:cs="Arial"/>
        </w:rPr>
        <w:t xml:space="preserve"> &amp; Thorn 2021</w:t>
      </w:r>
      <w:r w:rsidRPr="00F86F76">
        <w:rPr>
          <w:rFonts w:ascii="Arial" w:hAnsi="Arial" w:cs="Arial"/>
        </w:rPr>
        <w:t>).</w:t>
      </w:r>
    </w:p>
    <w:p w14:paraId="0A892CDC" w14:textId="20DBFBDB" w:rsidR="00AD1577" w:rsidRPr="002F7D02" w:rsidRDefault="00AD1577" w:rsidP="00CE6DE4">
      <w:pPr>
        <w:pStyle w:val="Heading3"/>
      </w:pPr>
      <w:r w:rsidRPr="002F7D02">
        <w:t>Opportunities and Enabling Factors</w:t>
      </w:r>
    </w:p>
    <w:p w14:paraId="2431B255" w14:textId="43994828" w:rsidR="00FB7E66" w:rsidRPr="00AD1577" w:rsidRDefault="00F86F76" w:rsidP="00AD1577">
      <w:pPr>
        <w:tabs>
          <w:tab w:val="num" w:pos="720"/>
        </w:tabs>
        <w:spacing w:line="276" w:lineRule="auto"/>
        <w:jc w:val="both"/>
        <w:rPr>
          <w:rFonts w:ascii="Arial" w:hAnsi="Arial" w:cs="Arial"/>
        </w:rPr>
      </w:pPr>
      <w:r w:rsidRPr="00F86F76">
        <w:rPr>
          <w:rFonts w:ascii="Arial" w:hAnsi="Arial" w:cs="Arial"/>
        </w:rPr>
        <w:t>Community-driven greening and innovative financing are key opportunities. Home gardens in Ghana, and community forestry in Malawi demonstrate sustainable, low-cost models (</w:t>
      </w:r>
      <w:proofErr w:type="spellStart"/>
      <w:r w:rsidR="005C0561">
        <w:rPr>
          <w:rFonts w:ascii="Arial" w:hAnsi="Arial" w:cs="Arial"/>
        </w:rPr>
        <w:t>Akanbang</w:t>
      </w:r>
      <w:proofErr w:type="spellEnd"/>
      <w:r w:rsidR="005C0561">
        <w:rPr>
          <w:rFonts w:ascii="Arial" w:hAnsi="Arial" w:cs="Arial"/>
        </w:rPr>
        <w:t xml:space="preserve"> et al.</w:t>
      </w:r>
      <w:r w:rsidRPr="00F86F76">
        <w:rPr>
          <w:rFonts w:ascii="Arial" w:hAnsi="Arial" w:cs="Arial"/>
        </w:rPr>
        <w:t xml:space="preserve"> 2024; </w:t>
      </w:r>
      <w:proofErr w:type="spellStart"/>
      <w:r w:rsidRPr="00F86F76">
        <w:rPr>
          <w:rFonts w:ascii="Arial" w:hAnsi="Arial" w:cs="Arial"/>
        </w:rPr>
        <w:t>Titz</w:t>
      </w:r>
      <w:proofErr w:type="spellEnd"/>
      <w:r w:rsidRPr="00F86F76">
        <w:rPr>
          <w:rFonts w:ascii="Arial" w:hAnsi="Arial" w:cs="Arial"/>
        </w:rPr>
        <w:t xml:space="preserve"> and </w:t>
      </w:r>
      <w:proofErr w:type="spellStart"/>
      <w:r w:rsidRPr="00F86F76">
        <w:rPr>
          <w:rFonts w:ascii="Arial" w:hAnsi="Arial" w:cs="Arial"/>
        </w:rPr>
        <w:t>Chiotha</w:t>
      </w:r>
      <w:proofErr w:type="spellEnd"/>
      <w:r w:rsidRPr="00F86F76">
        <w:rPr>
          <w:rFonts w:ascii="Arial" w:hAnsi="Arial" w:cs="Arial"/>
        </w:rPr>
        <w:t xml:space="preserve"> 2019). Public-private partnerships and green bonds are viable in Brazil and South Africa but nascent in Ghana (Medeiros et al. 2024). Policy frameworks, like Ghana’s National Urban Policy, and participatory planning in Nairobi, enhance implementation (Mensah 2014; UN-Habitat 20</w:t>
      </w:r>
      <w:r w:rsidR="00107CCC">
        <w:rPr>
          <w:rFonts w:ascii="Arial" w:hAnsi="Arial" w:cs="Arial"/>
        </w:rPr>
        <w:t>18</w:t>
      </w:r>
      <w:r w:rsidRPr="00F86F76">
        <w:rPr>
          <w:rFonts w:ascii="Arial" w:hAnsi="Arial" w:cs="Arial"/>
        </w:rPr>
        <w:t>).</w:t>
      </w:r>
    </w:p>
    <w:p w14:paraId="23F6A6B1" w14:textId="1F6463CE" w:rsidR="00AD1577" w:rsidRPr="002F7D02" w:rsidRDefault="00AD1577" w:rsidP="00CE6DE4">
      <w:pPr>
        <w:pStyle w:val="Heading3"/>
      </w:pPr>
      <w:bookmarkStart w:id="4" w:name="_Hlk203156390"/>
      <w:r w:rsidRPr="002F7D02">
        <w:t>Equity and Inclusivity</w:t>
      </w:r>
    </w:p>
    <w:bookmarkEnd w:id="4"/>
    <w:p w14:paraId="74EC04BC" w14:textId="217EECDA" w:rsidR="00FB7E66" w:rsidRPr="00AD1577" w:rsidRDefault="00F86F76" w:rsidP="00AD1577">
      <w:pPr>
        <w:tabs>
          <w:tab w:val="num" w:pos="720"/>
        </w:tabs>
        <w:spacing w:line="276" w:lineRule="auto"/>
        <w:jc w:val="both"/>
        <w:rPr>
          <w:rFonts w:ascii="Arial" w:hAnsi="Arial" w:cs="Arial"/>
        </w:rPr>
      </w:pPr>
      <w:r w:rsidRPr="00F86F76">
        <w:rPr>
          <w:rFonts w:ascii="Arial" w:hAnsi="Arial" w:cs="Arial"/>
        </w:rPr>
        <w:t xml:space="preserve">Equity is understudied, with green gentrification risks prominent in South Africa (Venter et al. 2020). In Ghana, UGS access </w:t>
      </w:r>
      <w:proofErr w:type="spellStart"/>
      <w:r w:rsidRPr="00F86F76">
        <w:rPr>
          <w:rFonts w:ascii="Arial" w:hAnsi="Arial" w:cs="Arial"/>
        </w:rPr>
        <w:t>favours</w:t>
      </w:r>
      <w:proofErr w:type="spellEnd"/>
      <w:r w:rsidRPr="00F86F76">
        <w:rPr>
          <w:rFonts w:ascii="Arial" w:hAnsi="Arial" w:cs="Arial"/>
        </w:rPr>
        <w:t xml:space="preserve"> wealthier areas, </w:t>
      </w:r>
      <w:proofErr w:type="spellStart"/>
      <w:r w:rsidRPr="00F86F76">
        <w:rPr>
          <w:rFonts w:ascii="Arial" w:hAnsi="Arial" w:cs="Arial"/>
        </w:rPr>
        <w:t>marginalising</w:t>
      </w:r>
      <w:proofErr w:type="spellEnd"/>
      <w:r w:rsidRPr="00F86F76">
        <w:rPr>
          <w:rFonts w:ascii="Arial" w:hAnsi="Arial" w:cs="Arial"/>
        </w:rPr>
        <w:t xml:space="preserve"> low-income earners. (</w:t>
      </w:r>
      <w:proofErr w:type="spellStart"/>
      <w:r w:rsidRPr="00F86F76">
        <w:rPr>
          <w:rFonts w:ascii="Arial" w:hAnsi="Arial" w:cs="Arial"/>
        </w:rPr>
        <w:t>Adjetey</w:t>
      </w:r>
      <w:proofErr w:type="spellEnd"/>
      <w:r w:rsidRPr="00F86F76">
        <w:rPr>
          <w:rFonts w:ascii="Arial" w:hAnsi="Arial" w:cs="Arial"/>
        </w:rPr>
        <w:t xml:space="preserve"> et al. 2023; </w:t>
      </w:r>
      <w:proofErr w:type="spellStart"/>
      <w:r w:rsidRPr="00F86F76">
        <w:rPr>
          <w:rFonts w:ascii="Arial" w:hAnsi="Arial" w:cs="Arial"/>
        </w:rPr>
        <w:t>Cobbinah</w:t>
      </w:r>
      <w:proofErr w:type="spellEnd"/>
      <w:r w:rsidRPr="00F86F76">
        <w:rPr>
          <w:rFonts w:ascii="Arial" w:hAnsi="Arial" w:cs="Arial"/>
        </w:rPr>
        <w:t xml:space="preserve"> et al. 2020). Community-based greening in </w:t>
      </w:r>
      <w:proofErr w:type="spellStart"/>
      <w:r w:rsidRPr="00F86F76">
        <w:rPr>
          <w:rFonts w:ascii="Arial" w:hAnsi="Arial" w:cs="Arial"/>
        </w:rPr>
        <w:t>Wa</w:t>
      </w:r>
      <w:proofErr w:type="spellEnd"/>
      <w:r w:rsidRPr="00F86F76">
        <w:rPr>
          <w:rFonts w:ascii="Arial" w:hAnsi="Arial" w:cs="Arial"/>
        </w:rPr>
        <w:t xml:space="preserve"> and Lilongwe promotes inclusivity, but systematic data is lacking (</w:t>
      </w:r>
      <w:proofErr w:type="spellStart"/>
      <w:r w:rsidR="005C0561">
        <w:rPr>
          <w:rFonts w:ascii="Arial" w:hAnsi="Arial" w:cs="Arial"/>
        </w:rPr>
        <w:t>Akanbang</w:t>
      </w:r>
      <w:proofErr w:type="spellEnd"/>
      <w:r w:rsidR="005C0561">
        <w:rPr>
          <w:rFonts w:ascii="Arial" w:hAnsi="Arial" w:cs="Arial"/>
        </w:rPr>
        <w:t xml:space="preserve"> et al.</w:t>
      </w:r>
      <w:r w:rsidRPr="00F86F76">
        <w:rPr>
          <w:rFonts w:ascii="Arial" w:hAnsi="Arial" w:cs="Arial"/>
        </w:rPr>
        <w:t xml:space="preserve"> 2024; </w:t>
      </w:r>
      <w:proofErr w:type="spellStart"/>
      <w:r w:rsidRPr="00F86F76">
        <w:rPr>
          <w:rFonts w:ascii="Arial" w:hAnsi="Arial" w:cs="Arial"/>
        </w:rPr>
        <w:t>Titz</w:t>
      </w:r>
      <w:proofErr w:type="spellEnd"/>
      <w:r w:rsidRPr="00F86F76">
        <w:rPr>
          <w:rFonts w:ascii="Arial" w:hAnsi="Arial" w:cs="Arial"/>
        </w:rPr>
        <w:t xml:space="preserve"> and </w:t>
      </w:r>
      <w:proofErr w:type="spellStart"/>
      <w:r w:rsidRPr="00F86F76">
        <w:rPr>
          <w:rFonts w:ascii="Arial" w:hAnsi="Arial" w:cs="Arial"/>
        </w:rPr>
        <w:t>Chiotha</w:t>
      </w:r>
      <w:proofErr w:type="spellEnd"/>
      <w:r w:rsidRPr="00F86F76">
        <w:rPr>
          <w:rFonts w:ascii="Arial" w:hAnsi="Arial" w:cs="Arial"/>
        </w:rPr>
        <w:t xml:space="preserve"> 2019). Children’s participation in Angola highlights the potential for inclusive planning (Pedrosa et al. 2021).</w:t>
      </w:r>
    </w:p>
    <w:p w14:paraId="7B476141" w14:textId="412FE642" w:rsidR="00AD1577" w:rsidRPr="002F7D02" w:rsidRDefault="00AD1577" w:rsidP="00CE6DE4">
      <w:pPr>
        <w:pStyle w:val="Heading3"/>
      </w:pPr>
      <w:r w:rsidRPr="002F7D02">
        <w:t>Sustainability and Resilience Outcomes</w:t>
      </w:r>
    </w:p>
    <w:p w14:paraId="51EF1C3F" w14:textId="1D1CB09E" w:rsidR="002F7D02" w:rsidRPr="009906E7" w:rsidRDefault="00F86F76" w:rsidP="00AD1577">
      <w:pPr>
        <w:tabs>
          <w:tab w:val="num" w:pos="720"/>
        </w:tabs>
        <w:spacing w:line="276" w:lineRule="auto"/>
        <w:jc w:val="both"/>
        <w:rPr>
          <w:rFonts w:ascii="Arial" w:hAnsi="Arial" w:cs="Arial"/>
          <w:lang w:val="en-GB"/>
        </w:rPr>
        <w:sectPr w:rsidR="002F7D02" w:rsidRPr="009906E7" w:rsidSect="00A13742">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rsidRPr="00F86F76">
        <w:rPr>
          <w:rFonts w:ascii="Arial" w:hAnsi="Arial" w:cs="Arial"/>
        </w:rPr>
        <w:t>Sustainability and resilience outcomes are sparsely documented. UGS reduce flooding and heat stress in Accra and Lilongwe (</w:t>
      </w:r>
      <w:proofErr w:type="spellStart"/>
      <w:r w:rsidR="002D40FB">
        <w:rPr>
          <w:rFonts w:ascii="Arial" w:hAnsi="Arial" w:cs="Arial"/>
        </w:rPr>
        <w:t>Puplampu</w:t>
      </w:r>
      <w:proofErr w:type="spellEnd"/>
      <w:r w:rsidR="002D40FB">
        <w:rPr>
          <w:rFonts w:ascii="Arial" w:hAnsi="Arial" w:cs="Arial"/>
        </w:rPr>
        <w:t xml:space="preserve"> &amp; Boafo</w:t>
      </w:r>
      <w:r w:rsidRPr="00F86F76">
        <w:rPr>
          <w:rFonts w:ascii="Arial" w:hAnsi="Arial" w:cs="Arial"/>
        </w:rPr>
        <w:t xml:space="preserve">; </w:t>
      </w:r>
      <w:proofErr w:type="spellStart"/>
      <w:r w:rsidRPr="00F86F76">
        <w:rPr>
          <w:rFonts w:ascii="Arial" w:hAnsi="Arial" w:cs="Arial"/>
        </w:rPr>
        <w:t>Titz</w:t>
      </w:r>
      <w:proofErr w:type="spellEnd"/>
      <w:r w:rsidRPr="00F86F76">
        <w:rPr>
          <w:rFonts w:ascii="Arial" w:hAnsi="Arial" w:cs="Arial"/>
        </w:rPr>
        <w:t xml:space="preserve"> and </w:t>
      </w:r>
      <w:proofErr w:type="spellStart"/>
      <w:r w:rsidRPr="00F86F76">
        <w:rPr>
          <w:rFonts w:ascii="Arial" w:hAnsi="Arial" w:cs="Arial"/>
        </w:rPr>
        <w:t>Chiotha</w:t>
      </w:r>
      <w:proofErr w:type="spellEnd"/>
      <w:r w:rsidRPr="00F86F76">
        <w:rPr>
          <w:rFonts w:ascii="Arial" w:hAnsi="Arial" w:cs="Arial"/>
        </w:rPr>
        <w:t xml:space="preserve"> 2019), and Ghana’s community gardens support food security (</w:t>
      </w:r>
      <w:proofErr w:type="spellStart"/>
      <w:r w:rsidR="005C0561">
        <w:rPr>
          <w:rFonts w:ascii="Arial" w:hAnsi="Arial" w:cs="Arial"/>
        </w:rPr>
        <w:t>Akanbang</w:t>
      </w:r>
      <w:proofErr w:type="spellEnd"/>
      <w:r w:rsidR="005C0561">
        <w:rPr>
          <w:rFonts w:ascii="Arial" w:hAnsi="Arial" w:cs="Arial"/>
        </w:rPr>
        <w:t xml:space="preserve"> et al.</w:t>
      </w:r>
      <w:r w:rsidRPr="00F86F76">
        <w:rPr>
          <w:rFonts w:ascii="Arial" w:hAnsi="Arial" w:cs="Arial"/>
        </w:rPr>
        <w:t xml:space="preserve"> 2024). However, long-term maintenance and scalability are rarely addressed (du Toit et al. 2018; </w:t>
      </w:r>
      <w:r w:rsidR="009906E7">
        <w:rPr>
          <w:rFonts w:ascii="Arial" w:hAnsi="Arial" w:cs="Arial"/>
          <w:lang w:val="en-GB"/>
        </w:rPr>
        <w:t>White et al. 2017</w:t>
      </w:r>
      <w:r w:rsidRPr="00F86F76">
        <w:rPr>
          <w:rFonts w:ascii="Arial" w:hAnsi="Arial" w:cs="Arial"/>
        </w:rPr>
        <w:t>), limiting evidence on durability.</w:t>
      </w:r>
    </w:p>
    <w:p w14:paraId="006B9979" w14:textId="53E7A237" w:rsidR="002F7D02" w:rsidRPr="00EB4106" w:rsidRDefault="002F7D02" w:rsidP="00C97290">
      <w:pPr>
        <w:tabs>
          <w:tab w:val="num" w:pos="720"/>
        </w:tabs>
        <w:spacing w:before="180" w:after="60"/>
        <w:jc w:val="both"/>
        <w:rPr>
          <w:rFonts w:ascii="Arial" w:hAnsi="Arial" w:cs="Arial"/>
          <w:b/>
          <w:bCs/>
          <w:lang w:val="en-GB"/>
        </w:rPr>
      </w:pPr>
      <w:bookmarkStart w:id="5" w:name="_GoBack"/>
      <w:r w:rsidRPr="002F7D02">
        <w:rPr>
          <w:rFonts w:ascii="Arial" w:hAnsi="Arial" w:cs="Arial"/>
          <w:b/>
          <w:bCs/>
          <w:lang w:val="en-GB"/>
        </w:rPr>
        <w:lastRenderedPageBreak/>
        <w:t>Table</w:t>
      </w:r>
      <w:bookmarkEnd w:id="5"/>
      <w:r w:rsidRPr="002F7D02">
        <w:rPr>
          <w:rFonts w:ascii="Arial" w:hAnsi="Arial" w:cs="Arial"/>
          <w:b/>
          <w:bCs/>
          <w:lang w:val="en-GB"/>
        </w:rPr>
        <w:t xml:space="preserve"> 1: Thematic Analysis on UGS Integration into Settlement Upgrading Projects</w:t>
      </w:r>
    </w:p>
    <w:p w14:paraId="5DCD3724" w14:textId="77777777" w:rsidR="001F0431" w:rsidRDefault="001F0431" w:rsidP="001F0431">
      <w:pPr>
        <w:tabs>
          <w:tab w:val="num" w:pos="720"/>
        </w:tabs>
        <w:jc w:val="both"/>
        <w:rPr>
          <w:rFonts w:ascii="Arial" w:hAnsi="Arial" w:cs="Arial"/>
          <w:lang w:val="en-GB"/>
        </w:rPr>
      </w:pPr>
    </w:p>
    <w:tbl>
      <w:tblPr>
        <w:tblStyle w:val="TableGrid"/>
        <w:tblW w:w="13329" w:type="dxa"/>
        <w:tblLook w:val="04A0" w:firstRow="1" w:lastRow="0" w:firstColumn="1" w:lastColumn="0" w:noHBand="0" w:noVBand="1"/>
      </w:tblPr>
      <w:tblGrid>
        <w:gridCol w:w="1699"/>
        <w:gridCol w:w="1868"/>
        <w:gridCol w:w="1728"/>
        <w:gridCol w:w="1756"/>
        <w:gridCol w:w="1769"/>
        <w:gridCol w:w="2706"/>
        <w:gridCol w:w="1803"/>
      </w:tblGrid>
      <w:tr w:rsidR="002F7D02" w:rsidRPr="002F7D02" w14:paraId="08AE77E8" w14:textId="77777777" w:rsidTr="00382A6C">
        <w:trPr>
          <w:trHeight w:hRule="exact" w:val="907"/>
        </w:trPr>
        <w:tc>
          <w:tcPr>
            <w:tcW w:w="1699" w:type="dxa"/>
            <w:shd w:val="clear" w:color="auto" w:fill="DAEEF3" w:themeFill="accent5" w:themeFillTint="33"/>
            <w:vAlign w:val="center"/>
            <w:hideMark/>
          </w:tcPr>
          <w:p w14:paraId="3AEB554E" w14:textId="77777777" w:rsidR="002F7D02" w:rsidRPr="002F7D02" w:rsidRDefault="002F7D02" w:rsidP="001F0431">
            <w:pPr>
              <w:tabs>
                <w:tab w:val="num" w:pos="720"/>
              </w:tabs>
              <w:jc w:val="center"/>
              <w:rPr>
                <w:rFonts w:ascii="Arial" w:hAnsi="Arial" w:cs="Arial"/>
                <w:b/>
                <w:bCs/>
                <w:sz w:val="20"/>
                <w:szCs w:val="20"/>
                <w:lang w:val="en-GB"/>
              </w:rPr>
            </w:pPr>
            <w:r w:rsidRPr="002F7D02">
              <w:rPr>
                <w:rFonts w:ascii="Arial" w:hAnsi="Arial" w:cs="Arial"/>
                <w:b/>
                <w:bCs/>
                <w:sz w:val="20"/>
                <w:szCs w:val="20"/>
                <w:lang w:val="en-GB"/>
              </w:rPr>
              <w:t>Study Identification</w:t>
            </w:r>
          </w:p>
        </w:tc>
        <w:tc>
          <w:tcPr>
            <w:tcW w:w="1868" w:type="dxa"/>
            <w:shd w:val="clear" w:color="auto" w:fill="DAEEF3" w:themeFill="accent5" w:themeFillTint="33"/>
            <w:vAlign w:val="center"/>
            <w:hideMark/>
          </w:tcPr>
          <w:p w14:paraId="71345A77" w14:textId="77777777" w:rsidR="002F7D02" w:rsidRPr="002F7D02" w:rsidRDefault="002F7D02" w:rsidP="001F0431">
            <w:pPr>
              <w:tabs>
                <w:tab w:val="num" w:pos="720"/>
              </w:tabs>
              <w:jc w:val="center"/>
              <w:rPr>
                <w:rFonts w:ascii="Arial" w:hAnsi="Arial" w:cs="Arial"/>
                <w:b/>
                <w:bCs/>
                <w:sz w:val="20"/>
                <w:szCs w:val="20"/>
                <w:lang w:val="en-GB"/>
              </w:rPr>
            </w:pPr>
            <w:r w:rsidRPr="002F7D02">
              <w:rPr>
                <w:rFonts w:ascii="Arial" w:hAnsi="Arial" w:cs="Arial"/>
                <w:b/>
                <w:bCs/>
                <w:sz w:val="20"/>
                <w:szCs w:val="20"/>
                <w:lang w:val="en-GB"/>
              </w:rPr>
              <w:t>Study Context</w:t>
            </w:r>
          </w:p>
        </w:tc>
        <w:tc>
          <w:tcPr>
            <w:tcW w:w="1728" w:type="dxa"/>
            <w:shd w:val="clear" w:color="auto" w:fill="DAEEF3" w:themeFill="accent5" w:themeFillTint="33"/>
            <w:vAlign w:val="center"/>
            <w:hideMark/>
          </w:tcPr>
          <w:p w14:paraId="007F7754" w14:textId="77777777" w:rsidR="002F7D02" w:rsidRPr="002F7D02" w:rsidRDefault="002F7D02" w:rsidP="001F0431">
            <w:pPr>
              <w:tabs>
                <w:tab w:val="num" w:pos="720"/>
              </w:tabs>
              <w:jc w:val="center"/>
              <w:rPr>
                <w:rFonts w:ascii="Arial" w:hAnsi="Arial" w:cs="Arial"/>
                <w:b/>
                <w:bCs/>
                <w:sz w:val="20"/>
                <w:szCs w:val="20"/>
                <w:lang w:val="en-GB"/>
              </w:rPr>
            </w:pPr>
            <w:r w:rsidRPr="002F7D02">
              <w:rPr>
                <w:rFonts w:ascii="Arial" w:hAnsi="Arial" w:cs="Arial"/>
                <w:b/>
                <w:bCs/>
                <w:sz w:val="20"/>
                <w:szCs w:val="20"/>
                <w:lang w:val="en-GB"/>
              </w:rPr>
              <w:t>Sustainability and Resilience Outcomes</w:t>
            </w:r>
          </w:p>
        </w:tc>
        <w:tc>
          <w:tcPr>
            <w:tcW w:w="1756" w:type="dxa"/>
            <w:shd w:val="clear" w:color="auto" w:fill="DAEEF3" w:themeFill="accent5" w:themeFillTint="33"/>
            <w:vAlign w:val="center"/>
            <w:hideMark/>
          </w:tcPr>
          <w:p w14:paraId="35117ACD" w14:textId="77777777" w:rsidR="002F7D02" w:rsidRPr="002F7D02" w:rsidRDefault="002F7D02" w:rsidP="001F0431">
            <w:pPr>
              <w:tabs>
                <w:tab w:val="num" w:pos="720"/>
              </w:tabs>
              <w:jc w:val="center"/>
              <w:rPr>
                <w:rFonts w:ascii="Arial" w:hAnsi="Arial" w:cs="Arial"/>
                <w:b/>
                <w:bCs/>
                <w:sz w:val="20"/>
                <w:szCs w:val="20"/>
                <w:lang w:val="en-GB"/>
              </w:rPr>
            </w:pPr>
            <w:r w:rsidRPr="002F7D02">
              <w:rPr>
                <w:rFonts w:ascii="Arial" w:hAnsi="Arial" w:cs="Arial"/>
                <w:b/>
                <w:bCs/>
                <w:sz w:val="20"/>
                <w:szCs w:val="20"/>
                <w:lang w:val="en-GB"/>
              </w:rPr>
              <w:t>Opportunities and Enabling Factors</w:t>
            </w:r>
          </w:p>
        </w:tc>
        <w:tc>
          <w:tcPr>
            <w:tcW w:w="1769" w:type="dxa"/>
            <w:shd w:val="clear" w:color="auto" w:fill="DAEEF3" w:themeFill="accent5" w:themeFillTint="33"/>
            <w:vAlign w:val="center"/>
            <w:hideMark/>
          </w:tcPr>
          <w:p w14:paraId="7AA0E788" w14:textId="77777777" w:rsidR="002F7D02" w:rsidRPr="002F7D02" w:rsidRDefault="002F7D02" w:rsidP="001F0431">
            <w:pPr>
              <w:tabs>
                <w:tab w:val="num" w:pos="720"/>
              </w:tabs>
              <w:jc w:val="center"/>
              <w:rPr>
                <w:rFonts w:ascii="Arial" w:hAnsi="Arial" w:cs="Arial"/>
                <w:b/>
                <w:bCs/>
                <w:sz w:val="20"/>
                <w:szCs w:val="20"/>
                <w:lang w:val="en-GB"/>
              </w:rPr>
            </w:pPr>
            <w:r w:rsidRPr="002F7D02">
              <w:rPr>
                <w:rFonts w:ascii="Arial" w:hAnsi="Arial" w:cs="Arial"/>
                <w:b/>
                <w:bCs/>
                <w:sz w:val="20"/>
                <w:szCs w:val="20"/>
                <w:lang w:val="en-GB"/>
              </w:rPr>
              <w:t>Barriers and Challenges</w:t>
            </w:r>
          </w:p>
        </w:tc>
        <w:tc>
          <w:tcPr>
            <w:tcW w:w="2706" w:type="dxa"/>
            <w:shd w:val="clear" w:color="auto" w:fill="DAEEF3" w:themeFill="accent5" w:themeFillTint="33"/>
            <w:vAlign w:val="center"/>
            <w:hideMark/>
          </w:tcPr>
          <w:p w14:paraId="09DF48AE" w14:textId="77777777" w:rsidR="002F7D02" w:rsidRPr="002F7D02" w:rsidRDefault="002F7D02" w:rsidP="001F0431">
            <w:pPr>
              <w:tabs>
                <w:tab w:val="num" w:pos="720"/>
              </w:tabs>
              <w:jc w:val="center"/>
              <w:rPr>
                <w:rFonts w:ascii="Arial" w:hAnsi="Arial" w:cs="Arial"/>
                <w:b/>
                <w:bCs/>
                <w:sz w:val="20"/>
                <w:szCs w:val="20"/>
                <w:lang w:val="en-GB"/>
              </w:rPr>
            </w:pPr>
            <w:r w:rsidRPr="002F7D02">
              <w:rPr>
                <w:rFonts w:ascii="Arial" w:hAnsi="Arial" w:cs="Arial"/>
                <w:b/>
                <w:bCs/>
                <w:sz w:val="20"/>
                <w:szCs w:val="20"/>
                <w:lang w:val="en-GB"/>
              </w:rPr>
              <w:t>Environmental, Social, and Economic Impacts</w:t>
            </w:r>
          </w:p>
        </w:tc>
        <w:tc>
          <w:tcPr>
            <w:tcW w:w="1803" w:type="dxa"/>
            <w:shd w:val="clear" w:color="auto" w:fill="DAEEF3" w:themeFill="accent5" w:themeFillTint="33"/>
            <w:vAlign w:val="center"/>
            <w:hideMark/>
          </w:tcPr>
          <w:p w14:paraId="55F3E53F" w14:textId="77777777" w:rsidR="002F7D02" w:rsidRPr="002F7D02" w:rsidRDefault="002F7D02" w:rsidP="001F0431">
            <w:pPr>
              <w:tabs>
                <w:tab w:val="num" w:pos="720"/>
              </w:tabs>
              <w:jc w:val="center"/>
              <w:rPr>
                <w:rFonts w:ascii="Arial" w:hAnsi="Arial" w:cs="Arial"/>
                <w:b/>
                <w:bCs/>
                <w:sz w:val="20"/>
                <w:szCs w:val="20"/>
                <w:lang w:val="en-GB"/>
              </w:rPr>
            </w:pPr>
            <w:r w:rsidRPr="002F7D02">
              <w:rPr>
                <w:rFonts w:ascii="Arial" w:hAnsi="Arial" w:cs="Arial"/>
                <w:b/>
                <w:bCs/>
                <w:sz w:val="20"/>
                <w:szCs w:val="20"/>
                <w:lang w:val="en-GB"/>
              </w:rPr>
              <w:t>Equity and Inclusivity</w:t>
            </w:r>
          </w:p>
        </w:tc>
      </w:tr>
      <w:tr w:rsidR="002F7D02" w:rsidRPr="002F7D02" w14:paraId="51F773F3" w14:textId="77777777" w:rsidTr="005A59A4">
        <w:trPr>
          <w:trHeight w:hRule="exact" w:val="1077"/>
        </w:trPr>
        <w:tc>
          <w:tcPr>
            <w:tcW w:w="1699" w:type="dxa"/>
            <w:vAlign w:val="center"/>
            <w:hideMark/>
          </w:tcPr>
          <w:p w14:paraId="283AC6D7" w14:textId="77777777" w:rsidR="002F7D02" w:rsidRPr="000317DC" w:rsidRDefault="002F7D02" w:rsidP="001F0431">
            <w:pPr>
              <w:tabs>
                <w:tab w:val="num" w:pos="720"/>
              </w:tabs>
              <w:jc w:val="both"/>
              <w:rPr>
                <w:rFonts w:ascii="Arial" w:hAnsi="Arial" w:cs="Arial"/>
                <w:sz w:val="20"/>
                <w:szCs w:val="20"/>
                <w:lang w:val="en-GB"/>
              </w:rPr>
            </w:pPr>
            <w:r w:rsidRPr="000317DC">
              <w:rPr>
                <w:rFonts w:ascii="Arial" w:hAnsi="Arial" w:cs="Arial"/>
                <w:sz w:val="20"/>
                <w:szCs w:val="20"/>
                <w:lang w:val="en-GB"/>
              </w:rPr>
              <w:t>Mensah (2014)</w:t>
            </w:r>
          </w:p>
        </w:tc>
        <w:tc>
          <w:tcPr>
            <w:tcW w:w="1868" w:type="dxa"/>
            <w:vAlign w:val="center"/>
            <w:hideMark/>
          </w:tcPr>
          <w:p w14:paraId="71EAEB7D" w14:textId="77777777" w:rsidR="002F7D02" w:rsidRPr="000317DC" w:rsidRDefault="002F7D02" w:rsidP="001F0431">
            <w:pPr>
              <w:tabs>
                <w:tab w:val="num" w:pos="720"/>
              </w:tabs>
              <w:rPr>
                <w:rFonts w:ascii="Arial" w:hAnsi="Arial" w:cs="Arial"/>
                <w:sz w:val="20"/>
                <w:szCs w:val="20"/>
                <w:lang w:val="en-GB"/>
              </w:rPr>
            </w:pPr>
            <w:r w:rsidRPr="000317DC">
              <w:rPr>
                <w:rFonts w:ascii="Arial" w:hAnsi="Arial" w:cs="Arial"/>
                <w:sz w:val="20"/>
                <w:szCs w:val="20"/>
                <w:lang w:val="en-GB"/>
              </w:rPr>
              <w:t>Ghana (Kumasi); urban green spaces</w:t>
            </w:r>
          </w:p>
        </w:tc>
        <w:tc>
          <w:tcPr>
            <w:tcW w:w="1728" w:type="dxa"/>
            <w:vAlign w:val="center"/>
            <w:hideMark/>
          </w:tcPr>
          <w:p w14:paraId="5C58FBE4" w14:textId="77777777" w:rsidR="002F7D02" w:rsidRPr="000317DC" w:rsidRDefault="002F7D02" w:rsidP="001F0431">
            <w:pPr>
              <w:tabs>
                <w:tab w:val="num" w:pos="720"/>
              </w:tabs>
              <w:rPr>
                <w:rFonts w:ascii="Arial" w:hAnsi="Arial" w:cs="Arial"/>
                <w:sz w:val="20"/>
                <w:szCs w:val="20"/>
                <w:lang w:val="en-GB"/>
              </w:rPr>
            </w:pPr>
            <w:r w:rsidRPr="000317DC">
              <w:rPr>
                <w:rFonts w:ascii="Arial" w:hAnsi="Arial" w:cs="Arial"/>
                <w:sz w:val="20"/>
                <w:szCs w:val="20"/>
                <w:lang w:val="en-GB"/>
              </w:rPr>
              <w:t>Not explicitly addressed</w:t>
            </w:r>
          </w:p>
        </w:tc>
        <w:tc>
          <w:tcPr>
            <w:tcW w:w="1756" w:type="dxa"/>
            <w:vAlign w:val="center"/>
            <w:hideMark/>
          </w:tcPr>
          <w:p w14:paraId="5CC43FCE" w14:textId="77777777" w:rsidR="002F7D02" w:rsidRPr="000317DC" w:rsidRDefault="002F7D02" w:rsidP="001F0431">
            <w:pPr>
              <w:tabs>
                <w:tab w:val="num" w:pos="720"/>
              </w:tabs>
              <w:rPr>
                <w:rFonts w:ascii="Arial" w:hAnsi="Arial" w:cs="Arial"/>
                <w:sz w:val="20"/>
                <w:szCs w:val="20"/>
                <w:lang w:val="en-GB"/>
              </w:rPr>
            </w:pPr>
            <w:r w:rsidRPr="000317DC">
              <w:rPr>
                <w:rFonts w:ascii="Arial" w:hAnsi="Arial" w:cs="Arial"/>
                <w:sz w:val="20"/>
                <w:szCs w:val="20"/>
                <w:lang w:val="en-GB"/>
              </w:rPr>
              <w:t>Community awareness; policy frameworks</w:t>
            </w:r>
          </w:p>
        </w:tc>
        <w:tc>
          <w:tcPr>
            <w:tcW w:w="1769" w:type="dxa"/>
            <w:vAlign w:val="center"/>
            <w:hideMark/>
          </w:tcPr>
          <w:p w14:paraId="6FD0A3D7" w14:textId="77777777" w:rsidR="002F7D02" w:rsidRPr="000317DC" w:rsidRDefault="002F7D02" w:rsidP="001F0431">
            <w:pPr>
              <w:tabs>
                <w:tab w:val="num" w:pos="720"/>
              </w:tabs>
              <w:rPr>
                <w:rFonts w:ascii="Arial" w:hAnsi="Arial" w:cs="Arial"/>
                <w:sz w:val="20"/>
                <w:szCs w:val="20"/>
                <w:lang w:val="en-GB"/>
              </w:rPr>
            </w:pPr>
            <w:r w:rsidRPr="000317DC">
              <w:rPr>
                <w:rFonts w:ascii="Arial" w:hAnsi="Arial" w:cs="Arial"/>
                <w:sz w:val="20"/>
                <w:szCs w:val="20"/>
                <w:lang w:val="en-GB"/>
              </w:rPr>
              <w:t>Urbanization; governance failures; land scarcity</w:t>
            </w:r>
          </w:p>
        </w:tc>
        <w:tc>
          <w:tcPr>
            <w:tcW w:w="2706" w:type="dxa"/>
            <w:vAlign w:val="center"/>
            <w:hideMark/>
          </w:tcPr>
          <w:p w14:paraId="322A5F6D" w14:textId="77777777" w:rsidR="002F7D02" w:rsidRPr="000317DC" w:rsidRDefault="002F7D02" w:rsidP="001F0431">
            <w:pPr>
              <w:tabs>
                <w:tab w:val="num" w:pos="720"/>
              </w:tabs>
              <w:rPr>
                <w:rFonts w:ascii="Arial" w:hAnsi="Arial" w:cs="Arial"/>
                <w:sz w:val="20"/>
                <w:szCs w:val="20"/>
                <w:lang w:val="en-GB"/>
              </w:rPr>
            </w:pPr>
            <w:r w:rsidRPr="000317DC">
              <w:rPr>
                <w:rFonts w:ascii="Arial" w:hAnsi="Arial" w:cs="Arial"/>
                <w:b/>
                <w:bCs/>
                <w:sz w:val="20"/>
                <w:szCs w:val="20"/>
                <w:lang w:val="en-GB"/>
              </w:rPr>
              <w:t>Env</w:t>
            </w:r>
            <w:r w:rsidRPr="000317DC">
              <w:rPr>
                <w:rFonts w:ascii="Arial" w:hAnsi="Arial" w:cs="Arial"/>
                <w:sz w:val="20"/>
                <w:szCs w:val="20"/>
                <w:lang w:val="en-GB"/>
              </w:rPr>
              <w:t>: Reduce heat</w:t>
            </w:r>
            <w:r w:rsidRPr="000317DC">
              <w:rPr>
                <w:rFonts w:ascii="Arial" w:hAnsi="Arial" w:cs="Arial"/>
                <w:sz w:val="20"/>
                <w:szCs w:val="20"/>
                <w:lang w:val="en-GB"/>
              </w:rPr>
              <w:br/>
            </w:r>
            <w:r w:rsidRPr="000317DC">
              <w:rPr>
                <w:rFonts w:ascii="Arial" w:hAnsi="Arial" w:cs="Arial"/>
                <w:b/>
                <w:bCs/>
                <w:sz w:val="20"/>
                <w:szCs w:val="20"/>
                <w:lang w:val="en-GB"/>
              </w:rPr>
              <w:t>Soc</w:t>
            </w:r>
            <w:r w:rsidRPr="000317DC">
              <w:rPr>
                <w:rFonts w:ascii="Arial" w:hAnsi="Arial" w:cs="Arial"/>
                <w:sz w:val="20"/>
                <w:szCs w:val="20"/>
                <w:lang w:val="en-GB"/>
              </w:rPr>
              <w:t>: Recreational spaces</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Not addressed</w:t>
            </w:r>
          </w:p>
        </w:tc>
        <w:tc>
          <w:tcPr>
            <w:tcW w:w="1803" w:type="dxa"/>
            <w:vAlign w:val="center"/>
            <w:hideMark/>
          </w:tcPr>
          <w:p w14:paraId="1E9B96DE" w14:textId="77777777" w:rsidR="002F7D02" w:rsidRPr="000317DC" w:rsidRDefault="002F7D02" w:rsidP="001F0431">
            <w:pPr>
              <w:tabs>
                <w:tab w:val="num" w:pos="720"/>
              </w:tabs>
              <w:rPr>
                <w:rFonts w:ascii="Arial" w:hAnsi="Arial" w:cs="Arial"/>
                <w:sz w:val="20"/>
                <w:szCs w:val="20"/>
                <w:lang w:val="en-GB"/>
              </w:rPr>
            </w:pPr>
            <w:r w:rsidRPr="000317DC">
              <w:rPr>
                <w:rFonts w:ascii="Arial" w:hAnsi="Arial" w:cs="Arial"/>
                <w:sz w:val="20"/>
                <w:szCs w:val="20"/>
                <w:lang w:val="en-GB"/>
              </w:rPr>
              <w:t>Not explicitly addressed</w:t>
            </w:r>
          </w:p>
        </w:tc>
      </w:tr>
      <w:tr w:rsidR="008B158F" w:rsidRPr="002F7D02" w14:paraId="77B959FB" w14:textId="77777777" w:rsidTr="005A59A4">
        <w:trPr>
          <w:trHeight w:hRule="exact" w:val="1077"/>
        </w:trPr>
        <w:tc>
          <w:tcPr>
            <w:tcW w:w="1699" w:type="dxa"/>
            <w:vAlign w:val="center"/>
          </w:tcPr>
          <w:p w14:paraId="38ED2E95" w14:textId="240326BE" w:rsidR="008B158F" w:rsidRPr="000317DC" w:rsidRDefault="008B158F" w:rsidP="008B158F">
            <w:pPr>
              <w:tabs>
                <w:tab w:val="num" w:pos="720"/>
              </w:tabs>
              <w:jc w:val="both"/>
              <w:rPr>
                <w:rFonts w:ascii="Arial" w:hAnsi="Arial" w:cs="Arial"/>
                <w:sz w:val="20"/>
                <w:szCs w:val="20"/>
                <w:lang w:val="en-GB"/>
              </w:rPr>
            </w:pPr>
            <w:r w:rsidRPr="000317DC">
              <w:rPr>
                <w:rFonts w:ascii="Arial" w:hAnsi="Arial" w:cs="Arial"/>
                <w:sz w:val="20"/>
                <w:szCs w:val="20"/>
                <w:lang w:val="en-GB"/>
              </w:rPr>
              <w:t>Shackleton et al. (2015)</w:t>
            </w:r>
          </w:p>
        </w:tc>
        <w:tc>
          <w:tcPr>
            <w:tcW w:w="1868" w:type="dxa"/>
            <w:vAlign w:val="center"/>
          </w:tcPr>
          <w:p w14:paraId="7E20EB02" w14:textId="27F214E0" w:rsidR="008B158F" w:rsidRPr="000317DC" w:rsidRDefault="008B158F" w:rsidP="008B158F">
            <w:pPr>
              <w:tabs>
                <w:tab w:val="num" w:pos="720"/>
              </w:tabs>
              <w:rPr>
                <w:rFonts w:ascii="Arial" w:hAnsi="Arial" w:cs="Arial"/>
                <w:sz w:val="20"/>
                <w:szCs w:val="20"/>
                <w:lang w:val="en-GB"/>
              </w:rPr>
            </w:pPr>
            <w:r w:rsidRPr="000317DC">
              <w:rPr>
                <w:rFonts w:ascii="Arial" w:hAnsi="Arial" w:cs="Arial"/>
                <w:sz w:val="20"/>
                <w:szCs w:val="20"/>
                <w:lang w:val="en-GB"/>
              </w:rPr>
              <w:t>Sub-Saharan Africa; urban forestry</w:t>
            </w:r>
          </w:p>
        </w:tc>
        <w:tc>
          <w:tcPr>
            <w:tcW w:w="1728" w:type="dxa"/>
            <w:vAlign w:val="center"/>
          </w:tcPr>
          <w:p w14:paraId="4FE4A69C" w14:textId="0D17A4A7" w:rsidR="008B158F" w:rsidRPr="000317DC" w:rsidRDefault="008B158F" w:rsidP="008B158F">
            <w:pPr>
              <w:tabs>
                <w:tab w:val="num" w:pos="720"/>
              </w:tabs>
              <w:rPr>
                <w:rFonts w:ascii="Arial" w:hAnsi="Arial" w:cs="Arial"/>
                <w:sz w:val="20"/>
                <w:szCs w:val="20"/>
                <w:lang w:val="en-GB"/>
              </w:rPr>
            </w:pPr>
            <w:r w:rsidRPr="000317DC">
              <w:rPr>
                <w:rFonts w:ascii="Arial" w:hAnsi="Arial" w:cs="Arial"/>
                <w:sz w:val="20"/>
                <w:szCs w:val="20"/>
                <w:lang w:val="en-GB"/>
              </w:rPr>
              <w:t>Enhance climate resilience; maintenance issues</w:t>
            </w:r>
          </w:p>
        </w:tc>
        <w:tc>
          <w:tcPr>
            <w:tcW w:w="1756" w:type="dxa"/>
            <w:vAlign w:val="center"/>
          </w:tcPr>
          <w:p w14:paraId="11D88451" w14:textId="5F1454E3" w:rsidR="008B158F" w:rsidRPr="000317DC" w:rsidRDefault="008B158F" w:rsidP="008B158F">
            <w:pPr>
              <w:tabs>
                <w:tab w:val="num" w:pos="720"/>
              </w:tabs>
              <w:rPr>
                <w:rFonts w:ascii="Arial" w:hAnsi="Arial" w:cs="Arial"/>
                <w:sz w:val="20"/>
                <w:szCs w:val="20"/>
                <w:lang w:val="en-GB"/>
              </w:rPr>
            </w:pPr>
            <w:r w:rsidRPr="000317DC">
              <w:rPr>
                <w:rFonts w:ascii="Arial" w:hAnsi="Arial" w:cs="Arial"/>
                <w:sz w:val="20"/>
                <w:szCs w:val="20"/>
                <w:lang w:val="en-GB"/>
              </w:rPr>
              <w:t>Community forestry; policy integration</w:t>
            </w:r>
          </w:p>
        </w:tc>
        <w:tc>
          <w:tcPr>
            <w:tcW w:w="1769" w:type="dxa"/>
            <w:vAlign w:val="center"/>
          </w:tcPr>
          <w:p w14:paraId="3A58E281" w14:textId="2A09677A" w:rsidR="008B158F" w:rsidRPr="000317DC" w:rsidRDefault="008B158F" w:rsidP="008B158F">
            <w:pPr>
              <w:tabs>
                <w:tab w:val="num" w:pos="720"/>
              </w:tabs>
              <w:rPr>
                <w:rFonts w:ascii="Arial" w:hAnsi="Arial" w:cs="Arial"/>
                <w:sz w:val="20"/>
                <w:szCs w:val="20"/>
                <w:lang w:val="en-GB"/>
              </w:rPr>
            </w:pPr>
            <w:r w:rsidRPr="000317DC">
              <w:rPr>
                <w:rFonts w:ascii="Arial" w:hAnsi="Arial" w:cs="Arial"/>
                <w:sz w:val="20"/>
                <w:szCs w:val="20"/>
                <w:lang w:val="en-GB"/>
              </w:rPr>
              <w:t>Land competition; weak enforcement</w:t>
            </w:r>
          </w:p>
        </w:tc>
        <w:tc>
          <w:tcPr>
            <w:tcW w:w="2706" w:type="dxa"/>
            <w:vAlign w:val="center"/>
          </w:tcPr>
          <w:p w14:paraId="7EF648D9" w14:textId="45D37316" w:rsidR="008B158F" w:rsidRPr="000317DC" w:rsidRDefault="008B158F" w:rsidP="008B158F">
            <w:pPr>
              <w:tabs>
                <w:tab w:val="num" w:pos="720"/>
              </w:tabs>
              <w:rPr>
                <w:rFonts w:ascii="Arial" w:hAnsi="Arial" w:cs="Arial"/>
                <w:b/>
                <w:bCs/>
                <w:sz w:val="20"/>
                <w:szCs w:val="20"/>
                <w:lang w:val="en-GB"/>
              </w:rPr>
            </w:pPr>
            <w:r w:rsidRPr="000317DC">
              <w:rPr>
                <w:rFonts w:ascii="Arial" w:hAnsi="Arial" w:cs="Arial"/>
                <w:b/>
                <w:bCs/>
                <w:sz w:val="20"/>
                <w:szCs w:val="20"/>
                <w:lang w:val="en-GB"/>
              </w:rPr>
              <w:t>Env</w:t>
            </w:r>
            <w:r w:rsidRPr="000317DC">
              <w:rPr>
                <w:rFonts w:ascii="Arial" w:hAnsi="Arial" w:cs="Arial"/>
                <w:sz w:val="20"/>
                <w:szCs w:val="20"/>
                <w:lang w:val="en-GB"/>
              </w:rPr>
              <w:t>: Carbon sequestration</w:t>
            </w:r>
            <w:r w:rsidRPr="000317DC">
              <w:rPr>
                <w:rFonts w:ascii="Arial" w:hAnsi="Arial" w:cs="Arial"/>
                <w:sz w:val="20"/>
                <w:szCs w:val="20"/>
                <w:lang w:val="en-GB"/>
              </w:rPr>
              <w:br/>
            </w:r>
            <w:r w:rsidRPr="000317DC">
              <w:rPr>
                <w:rFonts w:ascii="Arial" w:hAnsi="Arial" w:cs="Arial"/>
                <w:b/>
                <w:bCs/>
                <w:sz w:val="20"/>
                <w:szCs w:val="20"/>
                <w:lang w:val="en-GB"/>
              </w:rPr>
              <w:t>Soc</w:t>
            </w:r>
            <w:r w:rsidRPr="000317DC">
              <w:rPr>
                <w:rFonts w:ascii="Arial" w:hAnsi="Arial" w:cs="Arial"/>
                <w:sz w:val="20"/>
                <w:szCs w:val="20"/>
                <w:lang w:val="en-GB"/>
              </w:rPr>
              <w:t>: Community engagement</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Not addressed</w:t>
            </w:r>
          </w:p>
        </w:tc>
        <w:tc>
          <w:tcPr>
            <w:tcW w:w="1803" w:type="dxa"/>
            <w:vAlign w:val="center"/>
          </w:tcPr>
          <w:p w14:paraId="4955B2CE" w14:textId="5BF2DC92" w:rsidR="008B158F" w:rsidRPr="000317DC" w:rsidRDefault="008B158F" w:rsidP="008B158F">
            <w:pPr>
              <w:tabs>
                <w:tab w:val="num" w:pos="720"/>
              </w:tabs>
              <w:rPr>
                <w:rFonts w:ascii="Arial" w:hAnsi="Arial" w:cs="Arial"/>
                <w:sz w:val="20"/>
                <w:szCs w:val="20"/>
                <w:lang w:val="en-GB"/>
              </w:rPr>
            </w:pPr>
            <w:r w:rsidRPr="000317DC">
              <w:rPr>
                <w:rFonts w:ascii="Arial" w:hAnsi="Arial" w:cs="Arial"/>
                <w:sz w:val="20"/>
                <w:szCs w:val="20"/>
                <w:lang w:val="en-GB"/>
              </w:rPr>
              <w:t>Limited access for marginalized groups</w:t>
            </w:r>
          </w:p>
        </w:tc>
      </w:tr>
      <w:tr w:rsidR="008B158F" w:rsidRPr="002F7D02" w14:paraId="5D8FD883" w14:textId="77777777" w:rsidTr="005A59A4">
        <w:trPr>
          <w:trHeight w:hRule="exact" w:val="1191"/>
        </w:trPr>
        <w:tc>
          <w:tcPr>
            <w:tcW w:w="1699" w:type="dxa"/>
            <w:vAlign w:val="center"/>
            <w:hideMark/>
          </w:tcPr>
          <w:p w14:paraId="1D281F0D" w14:textId="77777777" w:rsidR="008B158F" w:rsidRPr="000317DC" w:rsidRDefault="008B158F" w:rsidP="008B158F">
            <w:pPr>
              <w:tabs>
                <w:tab w:val="num" w:pos="720"/>
              </w:tabs>
              <w:jc w:val="both"/>
              <w:rPr>
                <w:rFonts w:ascii="Arial" w:hAnsi="Arial" w:cs="Arial"/>
                <w:sz w:val="20"/>
                <w:szCs w:val="20"/>
                <w:lang w:val="en-GB"/>
              </w:rPr>
            </w:pPr>
            <w:r w:rsidRPr="000317DC">
              <w:rPr>
                <w:rFonts w:ascii="Arial" w:hAnsi="Arial" w:cs="Arial"/>
                <w:sz w:val="20"/>
                <w:szCs w:val="20"/>
                <w:lang w:val="en-GB"/>
              </w:rPr>
              <w:t>Nero (2017)</w:t>
            </w:r>
          </w:p>
        </w:tc>
        <w:tc>
          <w:tcPr>
            <w:tcW w:w="1868" w:type="dxa"/>
            <w:vAlign w:val="center"/>
            <w:hideMark/>
          </w:tcPr>
          <w:p w14:paraId="273BED2C" w14:textId="77777777" w:rsidR="008B158F" w:rsidRPr="000317DC" w:rsidRDefault="008B158F" w:rsidP="008B158F">
            <w:pPr>
              <w:tabs>
                <w:tab w:val="num" w:pos="720"/>
              </w:tabs>
              <w:rPr>
                <w:rFonts w:ascii="Arial" w:hAnsi="Arial" w:cs="Arial"/>
                <w:sz w:val="20"/>
                <w:szCs w:val="20"/>
                <w:lang w:val="en-GB"/>
              </w:rPr>
            </w:pPr>
            <w:r w:rsidRPr="000317DC">
              <w:rPr>
                <w:rFonts w:ascii="Arial" w:hAnsi="Arial" w:cs="Arial"/>
                <w:sz w:val="20"/>
                <w:szCs w:val="20"/>
                <w:lang w:val="en-GB"/>
              </w:rPr>
              <w:t>Ghana (Kumasi); urban green spaces</w:t>
            </w:r>
          </w:p>
        </w:tc>
        <w:tc>
          <w:tcPr>
            <w:tcW w:w="1728" w:type="dxa"/>
            <w:vAlign w:val="center"/>
            <w:hideMark/>
          </w:tcPr>
          <w:p w14:paraId="41067458" w14:textId="77777777" w:rsidR="008B158F" w:rsidRPr="000317DC" w:rsidRDefault="008B158F" w:rsidP="008B158F">
            <w:pPr>
              <w:tabs>
                <w:tab w:val="num" w:pos="720"/>
              </w:tabs>
              <w:rPr>
                <w:rFonts w:ascii="Arial" w:hAnsi="Arial" w:cs="Arial"/>
                <w:sz w:val="20"/>
                <w:szCs w:val="20"/>
                <w:lang w:val="en-GB"/>
              </w:rPr>
            </w:pPr>
            <w:r w:rsidRPr="000317DC">
              <w:rPr>
                <w:rFonts w:ascii="Arial" w:hAnsi="Arial" w:cs="Arial"/>
                <w:sz w:val="20"/>
                <w:szCs w:val="20"/>
                <w:lang w:val="en-GB"/>
              </w:rPr>
              <w:t>Carbon sequestration</w:t>
            </w:r>
          </w:p>
        </w:tc>
        <w:tc>
          <w:tcPr>
            <w:tcW w:w="1756" w:type="dxa"/>
            <w:vAlign w:val="center"/>
            <w:hideMark/>
          </w:tcPr>
          <w:p w14:paraId="2FAA3920" w14:textId="77777777" w:rsidR="008B158F" w:rsidRPr="000317DC" w:rsidRDefault="008B158F" w:rsidP="008B158F">
            <w:pPr>
              <w:tabs>
                <w:tab w:val="num" w:pos="720"/>
              </w:tabs>
              <w:rPr>
                <w:rFonts w:ascii="Arial" w:hAnsi="Arial" w:cs="Arial"/>
                <w:sz w:val="20"/>
                <w:szCs w:val="20"/>
                <w:lang w:val="en-GB"/>
              </w:rPr>
            </w:pPr>
            <w:r w:rsidRPr="000317DC">
              <w:rPr>
                <w:rFonts w:ascii="Arial" w:hAnsi="Arial" w:cs="Arial"/>
                <w:sz w:val="20"/>
                <w:szCs w:val="20"/>
                <w:lang w:val="en-GB"/>
              </w:rPr>
              <w:t>Community awareness</w:t>
            </w:r>
          </w:p>
        </w:tc>
        <w:tc>
          <w:tcPr>
            <w:tcW w:w="1769" w:type="dxa"/>
            <w:vAlign w:val="center"/>
            <w:hideMark/>
          </w:tcPr>
          <w:p w14:paraId="305E3C58" w14:textId="77777777" w:rsidR="008B158F" w:rsidRPr="000317DC" w:rsidRDefault="008B158F" w:rsidP="008B158F">
            <w:pPr>
              <w:tabs>
                <w:tab w:val="num" w:pos="720"/>
              </w:tabs>
              <w:rPr>
                <w:rFonts w:ascii="Arial" w:hAnsi="Arial" w:cs="Arial"/>
                <w:sz w:val="20"/>
                <w:szCs w:val="20"/>
                <w:lang w:val="en-GB"/>
              </w:rPr>
            </w:pPr>
            <w:r w:rsidRPr="000317DC">
              <w:rPr>
                <w:rFonts w:ascii="Arial" w:hAnsi="Arial" w:cs="Arial"/>
                <w:sz w:val="20"/>
                <w:szCs w:val="20"/>
                <w:lang w:val="en-GB"/>
              </w:rPr>
              <w:t>Urban sprawl; inequitable access</w:t>
            </w:r>
          </w:p>
        </w:tc>
        <w:tc>
          <w:tcPr>
            <w:tcW w:w="2706" w:type="dxa"/>
            <w:vAlign w:val="center"/>
            <w:hideMark/>
          </w:tcPr>
          <w:p w14:paraId="2A3DCCE5" w14:textId="77777777" w:rsidR="008B158F" w:rsidRPr="000317DC" w:rsidRDefault="008B158F" w:rsidP="008B158F">
            <w:pPr>
              <w:tabs>
                <w:tab w:val="num" w:pos="720"/>
              </w:tabs>
              <w:rPr>
                <w:rFonts w:ascii="Arial" w:hAnsi="Arial" w:cs="Arial"/>
                <w:sz w:val="20"/>
                <w:szCs w:val="20"/>
                <w:lang w:val="en-GB"/>
              </w:rPr>
            </w:pPr>
            <w:r w:rsidRPr="000317DC">
              <w:rPr>
                <w:rFonts w:ascii="Arial" w:hAnsi="Arial" w:cs="Arial"/>
                <w:b/>
                <w:bCs/>
                <w:sz w:val="20"/>
                <w:szCs w:val="20"/>
                <w:lang w:val="en-GB"/>
              </w:rPr>
              <w:t>Env</w:t>
            </w:r>
            <w:r w:rsidRPr="000317DC">
              <w:rPr>
                <w:rFonts w:ascii="Arial" w:hAnsi="Arial" w:cs="Arial"/>
                <w:sz w:val="20"/>
                <w:szCs w:val="20"/>
                <w:lang w:val="en-GB"/>
              </w:rPr>
              <w:t>: Heat reduction, carbon sequestration</w:t>
            </w:r>
          </w:p>
          <w:p w14:paraId="1FEA2743" w14:textId="77777777" w:rsidR="008B158F" w:rsidRPr="000317DC" w:rsidRDefault="008B158F" w:rsidP="008B158F">
            <w:pPr>
              <w:tabs>
                <w:tab w:val="num" w:pos="720"/>
              </w:tabs>
              <w:rPr>
                <w:rFonts w:ascii="Arial" w:hAnsi="Arial" w:cs="Arial"/>
                <w:sz w:val="20"/>
                <w:szCs w:val="20"/>
                <w:lang w:val="en-GB"/>
              </w:rPr>
            </w:pPr>
            <w:r w:rsidRPr="000317DC">
              <w:rPr>
                <w:rFonts w:ascii="Arial" w:hAnsi="Arial" w:cs="Arial"/>
                <w:b/>
                <w:bCs/>
                <w:sz w:val="20"/>
                <w:szCs w:val="20"/>
                <w:lang w:val="en-GB"/>
              </w:rPr>
              <w:t>Soc</w:t>
            </w:r>
            <w:r w:rsidRPr="000317DC">
              <w:rPr>
                <w:rFonts w:ascii="Arial" w:hAnsi="Arial" w:cs="Arial"/>
                <w:sz w:val="20"/>
                <w:szCs w:val="20"/>
                <w:lang w:val="en-GB"/>
              </w:rPr>
              <w:t>: Socio-environmental benefits</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Not addressed</w:t>
            </w:r>
          </w:p>
        </w:tc>
        <w:tc>
          <w:tcPr>
            <w:tcW w:w="1803" w:type="dxa"/>
            <w:vAlign w:val="center"/>
            <w:hideMark/>
          </w:tcPr>
          <w:p w14:paraId="74F10669" w14:textId="77777777" w:rsidR="008B158F" w:rsidRPr="000317DC" w:rsidRDefault="008B158F" w:rsidP="008B158F">
            <w:pPr>
              <w:tabs>
                <w:tab w:val="num" w:pos="720"/>
              </w:tabs>
              <w:rPr>
                <w:rFonts w:ascii="Arial" w:hAnsi="Arial" w:cs="Arial"/>
                <w:sz w:val="20"/>
                <w:szCs w:val="20"/>
                <w:lang w:val="en-GB"/>
              </w:rPr>
            </w:pPr>
            <w:r w:rsidRPr="000317DC">
              <w:rPr>
                <w:rFonts w:ascii="Arial" w:hAnsi="Arial" w:cs="Arial"/>
                <w:sz w:val="20"/>
                <w:szCs w:val="20"/>
                <w:lang w:val="en-GB"/>
              </w:rPr>
              <w:t>Socio-environmental inequity</w:t>
            </w:r>
          </w:p>
        </w:tc>
      </w:tr>
      <w:tr w:rsidR="008B158F" w:rsidRPr="002F7D02" w14:paraId="47EA9E5D" w14:textId="77777777" w:rsidTr="00830B47">
        <w:trPr>
          <w:trHeight w:hRule="exact" w:val="1077"/>
        </w:trPr>
        <w:tc>
          <w:tcPr>
            <w:tcW w:w="1699" w:type="dxa"/>
            <w:shd w:val="clear" w:color="auto" w:fill="C2D69B" w:themeFill="accent3" w:themeFillTint="99"/>
            <w:vAlign w:val="center"/>
          </w:tcPr>
          <w:p w14:paraId="6D04824B" w14:textId="77777777" w:rsidR="008B158F" w:rsidRPr="00830B47" w:rsidRDefault="008B158F" w:rsidP="008B158F">
            <w:pPr>
              <w:tabs>
                <w:tab w:val="num" w:pos="720"/>
              </w:tabs>
              <w:rPr>
                <w:rFonts w:ascii="Arial" w:hAnsi="Arial" w:cs="Arial"/>
                <w:sz w:val="20"/>
                <w:szCs w:val="20"/>
                <w:lang w:val="en-GB"/>
              </w:rPr>
            </w:pPr>
            <w:r w:rsidRPr="00830B47">
              <w:rPr>
                <w:rFonts w:ascii="Arial" w:hAnsi="Arial" w:cs="Arial"/>
                <w:sz w:val="20"/>
                <w:szCs w:val="20"/>
                <w:lang w:val="en-GB"/>
              </w:rPr>
              <w:t>White et al. 2017</w:t>
            </w:r>
          </w:p>
          <w:p w14:paraId="2CD2348A" w14:textId="77777777" w:rsidR="008B158F" w:rsidRPr="00830B47" w:rsidRDefault="008B158F" w:rsidP="008B158F">
            <w:pPr>
              <w:tabs>
                <w:tab w:val="num" w:pos="720"/>
              </w:tabs>
              <w:jc w:val="both"/>
              <w:rPr>
                <w:rFonts w:ascii="Arial" w:hAnsi="Arial" w:cs="Arial"/>
                <w:sz w:val="20"/>
                <w:szCs w:val="20"/>
                <w:lang w:val="en-GB"/>
              </w:rPr>
            </w:pPr>
          </w:p>
        </w:tc>
        <w:tc>
          <w:tcPr>
            <w:tcW w:w="1868" w:type="dxa"/>
            <w:shd w:val="clear" w:color="auto" w:fill="C2D69B" w:themeFill="accent3" w:themeFillTint="99"/>
            <w:vAlign w:val="center"/>
          </w:tcPr>
          <w:p w14:paraId="17364A68" w14:textId="610779FF" w:rsidR="008B158F" w:rsidRPr="00830B47" w:rsidRDefault="008B158F" w:rsidP="008B158F">
            <w:pPr>
              <w:tabs>
                <w:tab w:val="num" w:pos="720"/>
              </w:tabs>
              <w:rPr>
                <w:rFonts w:ascii="Arial" w:hAnsi="Arial" w:cs="Arial"/>
                <w:sz w:val="20"/>
                <w:szCs w:val="20"/>
                <w:lang w:val="en-GB"/>
              </w:rPr>
            </w:pPr>
            <w:r w:rsidRPr="00830B47">
              <w:rPr>
                <w:rFonts w:ascii="Arial" w:hAnsi="Arial" w:cs="Arial"/>
                <w:sz w:val="20"/>
                <w:szCs w:val="20"/>
                <w:lang w:val="en-GB"/>
              </w:rPr>
              <w:t>Sub-Saharan Africa; slum upgrading</w:t>
            </w:r>
          </w:p>
        </w:tc>
        <w:tc>
          <w:tcPr>
            <w:tcW w:w="1728" w:type="dxa"/>
            <w:shd w:val="clear" w:color="auto" w:fill="C2D69B" w:themeFill="accent3" w:themeFillTint="99"/>
            <w:vAlign w:val="center"/>
          </w:tcPr>
          <w:p w14:paraId="18D13B12" w14:textId="76E00420" w:rsidR="008B158F" w:rsidRPr="00830B47" w:rsidRDefault="008B158F" w:rsidP="008B158F">
            <w:pPr>
              <w:tabs>
                <w:tab w:val="num" w:pos="720"/>
              </w:tabs>
              <w:rPr>
                <w:rFonts w:ascii="Arial" w:hAnsi="Arial" w:cs="Arial"/>
                <w:sz w:val="20"/>
                <w:szCs w:val="20"/>
                <w:lang w:val="en-GB"/>
              </w:rPr>
            </w:pPr>
            <w:r w:rsidRPr="00830B47">
              <w:rPr>
                <w:rFonts w:ascii="Arial" w:hAnsi="Arial" w:cs="Arial"/>
                <w:sz w:val="20"/>
                <w:szCs w:val="20"/>
                <w:lang w:val="en-GB"/>
              </w:rPr>
              <w:t>Flood and heat resilience; scalability unclear</w:t>
            </w:r>
          </w:p>
        </w:tc>
        <w:tc>
          <w:tcPr>
            <w:tcW w:w="1756" w:type="dxa"/>
            <w:shd w:val="clear" w:color="auto" w:fill="C2D69B" w:themeFill="accent3" w:themeFillTint="99"/>
            <w:vAlign w:val="center"/>
          </w:tcPr>
          <w:p w14:paraId="2DD3D95D" w14:textId="0B0B2D53" w:rsidR="008B158F" w:rsidRPr="00830B47" w:rsidRDefault="008B158F" w:rsidP="008B158F">
            <w:pPr>
              <w:tabs>
                <w:tab w:val="num" w:pos="720"/>
              </w:tabs>
              <w:rPr>
                <w:rFonts w:ascii="Arial" w:hAnsi="Arial" w:cs="Arial"/>
                <w:sz w:val="20"/>
                <w:szCs w:val="20"/>
                <w:lang w:val="en-GB"/>
              </w:rPr>
            </w:pPr>
            <w:r w:rsidRPr="00830B47">
              <w:rPr>
                <w:rFonts w:ascii="Arial" w:hAnsi="Arial" w:cs="Arial"/>
                <w:sz w:val="20"/>
                <w:szCs w:val="20"/>
                <w:lang w:val="en-GB"/>
              </w:rPr>
              <w:t>Donor funding; participatory planning</w:t>
            </w:r>
          </w:p>
        </w:tc>
        <w:tc>
          <w:tcPr>
            <w:tcW w:w="1769" w:type="dxa"/>
            <w:shd w:val="clear" w:color="auto" w:fill="C2D69B" w:themeFill="accent3" w:themeFillTint="99"/>
            <w:vAlign w:val="center"/>
          </w:tcPr>
          <w:p w14:paraId="334684A0" w14:textId="46D679A2" w:rsidR="008B158F" w:rsidRPr="00830B47" w:rsidRDefault="008B158F" w:rsidP="008B158F">
            <w:pPr>
              <w:tabs>
                <w:tab w:val="num" w:pos="720"/>
              </w:tabs>
              <w:rPr>
                <w:rFonts w:ascii="Arial" w:hAnsi="Arial" w:cs="Arial"/>
                <w:sz w:val="20"/>
                <w:szCs w:val="20"/>
                <w:lang w:val="en-GB"/>
              </w:rPr>
            </w:pPr>
            <w:r w:rsidRPr="00830B47">
              <w:rPr>
                <w:rFonts w:ascii="Arial" w:hAnsi="Arial" w:cs="Arial"/>
                <w:sz w:val="20"/>
                <w:szCs w:val="20"/>
                <w:lang w:val="en-GB"/>
              </w:rPr>
              <w:t>Financial constraints; governance gaps</w:t>
            </w:r>
          </w:p>
        </w:tc>
        <w:tc>
          <w:tcPr>
            <w:tcW w:w="2706" w:type="dxa"/>
            <w:shd w:val="clear" w:color="auto" w:fill="C2D69B" w:themeFill="accent3" w:themeFillTint="99"/>
            <w:vAlign w:val="center"/>
          </w:tcPr>
          <w:p w14:paraId="335ABEAD" w14:textId="2D050356" w:rsidR="008B158F" w:rsidRPr="00830B47" w:rsidRDefault="008B158F" w:rsidP="008B158F">
            <w:pPr>
              <w:tabs>
                <w:tab w:val="num" w:pos="720"/>
              </w:tabs>
              <w:rPr>
                <w:rFonts w:ascii="Arial" w:hAnsi="Arial" w:cs="Arial"/>
                <w:b/>
                <w:bCs/>
                <w:sz w:val="20"/>
                <w:szCs w:val="20"/>
                <w:lang w:val="en-GB"/>
              </w:rPr>
            </w:pPr>
            <w:r w:rsidRPr="00830B47">
              <w:rPr>
                <w:rFonts w:ascii="Arial" w:hAnsi="Arial" w:cs="Arial"/>
                <w:b/>
                <w:bCs/>
                <w:sz w:val="20"/>
                <w:szCs w:val="20"/>
                <w:lang w:val="en-GB"/>
              </w:rPr>
              <w:t>Env</w:t>
            </w:r>
            <w:r w:rsidRPr="00830B47">
              <w:rPr>
                <w:rFonts w:ascii="Arial" w:hAnsi="Arial" w:cs="Arial"/>
                <w:sz w:val="20"/>
                <w:szCs w:val="20"/>
                <w:lang w:val="en-GB"/>
              </w:rPr>
              <w:t>: Mitigate heat, flooding</w:t>
            </w:r>
            <w:r w:rsidRPr="00830B47">
              <w:rPr>
                <w:rFonts w:ascii="Arial" w:hAnsi="Arial" w:cs="Arial"/>
                <w:sz w:val="20"/>
                <w:szCs w:val="20"/>
                <w:lang w:val="en-GB"/>
              </w:rPr>
              <w:br/>
            </w:r>
            <w:r w:rsidRPr="00830B47">
              <w:rPr>
                <w:rFonts w:ascii="Arial" w:hAnsi="Arial" w:cs="Arial"/>
                <w:b/>
                <w:bCs/>
                <w:sz w:val="20"/>
                <w:szCs w:val="20"/>
                <w:lang w:val="en-GB"/>
              </w:rPr>
              <w:t>Soc</w:t>
            </w:r>
            <w:r w:rsidRPr="00830B47">
              <w:rPr>
                <w:rFonts w:ascii="Arial" w:hAnsi="Arial" w:cs="Arial"/>
                <w:sz w:val="20"/>
                <w:szCs w:val="20"/>
                <w:lang w:val="en-GB"/>
              </w:rPr>
              <w:t>: Community spaces</w:t>
            </w:r>
            <w:r w:rsidRPr="00830B47">
              <w:rPr>
                <w:rFonts w:ascii="Arial" w:hAnsi="Arial" w:cs="Arial"/>
                <w:sz w:val="20"/>
                <w:szCs w:val="20"/>
                <w:lang w:val="en-GB"/>
              </w:rPr>
              <w:br/>
            </w:r>
            <w:r w:rsidRPr="00830B47">
              <w:rPr>
                <w:rFonts w:ascii="Arial" w:hAnsi="Arial" w:cs="Arial"/>
                <w:b/>
                <w:bCs/>
                <w:sz w:val="20"/>
                <w:szCs w:val="20"/>
                <w:lang w:val="en-GB"/>
              </w:rPr>
              <w:t>Eco</w:t>
            </w:r>
            <w:r w:rsidRPr="00830B47">
              <w:rPr>
                <w:rFonts w:ascii="Arial" w:hAnsi="Arial" w:cs="Arial"/>
                <w:sz w:val="20"/>
                <w:szCs w:val="20"/>
                <w:lang w:val="en-GB"/>
              </w:rPr>
              <w:t>: Not addressed</w:t>
            </w:r>
          </w:p>
        </w:tc>
        <w:tc>
          <w:tcPr>
            <w:tcW w:w="1803" w:type="dxa"/>
            <w:shd w:val="clear" w:color="auto" w:fill="C2D69B" w:themeFill="accent3" w:themeFillTint="99"/>
            <w:vAlign w:val="center"/>
          </w:tcPr>
          <w:p w14:paraId="3B51B070" w14:textId="345DB8A9" w:rsidR="008B158F" w:rsidRPr="00830B47" w:rsidRDefault="008B158F" w:rsidP="008B158F">
            <w:pPr>
              <w:tabs>
                <w:tab w:val="num" w:pos="720"/>
              </w:tabs>
              <w:rPr>
                <w:rFonts w:ascii="Arial" w:hAnsi="Arial" w:cs="Arial"/>
                <w:sz w:val="20"/>
                <w:szCs w:val="20"/>
                <w:lang w:val="en-GB"/>
              </w:rPr>
            </w:pPr>
            <w:r w:rsidRPr="00830B47">
              <w:rPr>
                <w:rFonts w:ascii="Arial" w:hAnsi="Arial" w:cs="Arial"/>
                <w:sz w:val="20"/>
                <w:szCs w:val="20"/>
                <w:lang w:val="en-GB"/>
              </w:rPr>
              <w:t>Not explicitly addressed</w:t>
            </w:r>
          </w:p>
        </w:tc>
      </w:tr>
      <w:tr w:rsidR="001A784E" w:rsidRPr="002F7D02" w14:paraId="49BF4023" w14:textId="77777777" w:rsidTr="005A59A4">
        <w:trPr>
          <w:trHeight w:hRule="exact" w:val="1361"/>
        </w:trPr>
        <w:tc>
          <w:tcPr>
            <w:tcW w:w="1699" w:type="dxa"/>
            <w:vAlign w:val="center"/>
          </w:tcPr>
          <w:p w14:paraId="54D4C2E2" w14:textId="2B9B29AA" w:rsidR="001A784E" w:rsidRPr="000317DC" w:rsidRDefault="001A784E" w:rsidP="001A784E">
            <w:pPr>
              <w:tabs>
                <w:tab w:val="num" w:pos="720"/>
              </w:tabs>
              <w:rPr>
                <w:rFonts w:ascii="Arial" w:hAnsi="Arial" w:cs="Arial"/>
                <w:sz w:val="20"/>
                <w:szCs w:val="20"/>
                <w:lang w:val="en-GB"/>
              </w:rPr>
            </w:pPr>
            <w:r w:rsidRPr="000317DC">
              <w:rPr>
                <w:rFonts w:ascii="Arial" w:hAnsi="Arial" w:cs="Arial"/>
                <w:sz w:val="20"/>
                <w:szCs w:val="20"/>
                <w:lang w:val="en-GB"/>
              </w:rPr>
              <w:t>du Toit et al. (2018)</w:t>
            </w:r>
          </w:p>
        </w:tc>
        <w:tc>
          <w:tcPr>
            <w:tcW w:w="1868" w:type="dxa"/>
            <w:vAlign w:val="center"/>
          </w:tcPr>
          <w:p w14:paraId="014543B4" w14:textId="7A9A1A3F" w:rsidR="001A784E" w:rsidRPr="000317DC" w:rsidRDefault="001A784E" w:rsidP="001A784E">
            <w:pPr>
              <w:tabs>
                <w:tab w:val="num" w:pos="720"/>
              </w:tabs>
              <w:rPr>
                <w:rFonts w:ascii="Arial" w:hAnsi="Arial" w:cs="Arial"/>
                <w:sz w:val="20"/>
                <w:szCs w:val="20"/>
                <w:lang w:val="en-GB"/>
              </w:rPr>
            </w:pPr>
            <w:r w:rsidRPr="000317DC">
              <w:rPr>
                <w:rFonts w:ascii="Arial" w:hAnsi="Arial" w:cs="Arial"/>
                <w:sz w:val="20"/>
                <w:szCs w:val="20"/>
                <w:lang w:val="en-GB"/>
              </w:rPr>
              <w:t>Sub-Saharan Africa; urban green infrastructure</w:t>
            </w:r>
          </w:p>
        </w:tc>
        <w:tc>
          <w:tcPr>
            <w:tcW w:w="1728" w:type="dxa"/>
            <w:vAlign w:val="center"/>
          </w:tcPr>
          <w:p w14:paraId="5942FD92" w14:textId="65C08C2E" w:rsidR="001A784E" w:rsidRPr="000317DC" w:rsidRDefault="001A784E" w:rsidP="001A784E">
            <w:pPr>
              <w:tabs>
                <w:tab w:val="num" w:pos="720"/>
              </w:tabs>
              <w:rPr>
                <w:rFonts w:ascii="Arial" w:hAnsi="Arial" w:cs="Arial"/>
                <w:sz w:val="20"/>
                <w:szCs w:val="20"/>
                <w:lang w:val="en-GB"/>
              </w:rPr>
            </w:pPr>
            <w:r w:rsidRPr="000317DC">
              <w:rPr>
                <w:rFonts w:ascii="Arial" w:hAnsi="Arial" w:cs="Arial"/>
                <w:sz w:val="20"/>
                <w:szCs w:val="20"/>
                <w:lang w:val="en-GB"/>
              </w:rPr>
              <w:t xml:space="preserve">Enhance </w:t>
            </w:r>
            <w:r w:rsidR="005A59A4" w:rsidRPr="000317DC">
              <w:rPr>
                <w:rFonts w:ascii="Arial" w:hAnsi="Arial" w:cs="Arial"/>
                <w:sz w:val="20"/>
                <w:szCs w:val="20"/>
                <w:lang w:val="en-GB"/>
              </w:rPr>
              <w:t>heat stress</w:t>
            </w:r>
            <w:r w:rsidR="005A59A4">
              <w:rPr>
                <w:rFonts w:ascii="Arial" w:hAnsi="Arial" w:cs="Arial"/>
                <w:sz w:val="20"/>
                <w:szCs w:val="20"/>
                <w:lang w:val="en-GB"/>
              </w:rPr>
              <w:t>,</w:t>
            </w:r>
            <w:r w:rsidR="005A59A4" w:rsidRPr="000317DC">
              <w:rPr>
                <w:rFonts w:ascii="Arial" w:hAnsi="Arial" w:cs="Arial"/>
                <w:sz w:val="20"/>
                <w:szCs w:val="20"/>
                <w:lang w:val="en-GB"/>
              </w:rPr>
              <w:t xml:space="preserve"> </w:t>
            </w:r>
            <w:r w:rsidRPr="000317DC">
              <w:rPr>
                <w:rFonts w:ascii="Arial" w:hAnsi="Arial" w:cs="Arial"/>
                <w:sz w:val="20"/>
                <w:szCs w:val="20"/>
                <w:lang w:val="en-GB"/>
              </w:rPr>
              <w:t>resilience to flooding; maintenance unclear</w:t>
            </w:r>
          </w:p>
        </w:tc>
        <w:tc>
          <w:tcPr>
            <w:tcW w:w="1756" w:type="dxa"/>
            <w:vAlign w:val="center"/>
          </w:tcPr>
          <w:p w14:paraId="7A06B82E" w14:textId="36756C5C" w:rsidR="001A784E" w:rsidRPr="000317DC" w:rsidRDefault="001A784E" w:rsidP="001A784E">
            <w:pPr>
              <w:tabs>
                <w:tab w:val="num" w:pos="720"/>
              </w:tabs>
              <w:rPr>
                <w:rFonts w:ascii="Arial" w:hAnsi="Arial" w:cs="Arial"/>
                <w:sz w:val="20"/>
                <w:szCs w:val="20"/>
                <w:lang w:val="en-GB"/>
              </w:rPr>
            </w:pPr>
            <w:r w:rsidRPr="000317DC">
              <w:rPr>
                <w:rFonts w:ascii="Arial" w:hAnsi="Arial" w:cs="Arial"/>
                <w:sz w:val="20"/>
                <w:szCs w:val="20"/>
                <w:lang w:val="en-GB"/>
              </w:rPr>
              <w:t>Participatory planning; urban green policies</w:t>
            </w:r>
          </w:p>
        </w:tc>
        <w:tc>
          <w:tcPr>
            <w:tcW w:w="1769" w:type="dxa"/>
            <w:vAlign w:val="center"/>
          </w:tcPr>
          <w:p w14:paraId="6ED4C8D3" w14:textId="51CADC57" w:rsidR="001A784E" w:rsidRPr="000317DC" w:rsidRDefault="001A784E" w:rsidP="001A784E">
            <w:pPr>
              <w:tabs>
                <w:tab w:val="num" w:pos="720"/>
              </w:tabs>
              <w:rPr>
                <w:rFonts w:ascii="Arial" w:hAnsi="Arial" w:cs="Arial"/>
                <w:sz w:val="20"/>
                <w:szCs w:val="20"/>
                <w:lang w:val="en-GB"/>
              </w:rPr>
            </w:pPr>
            <w:r w:rsidRPr="000317DC">
              <w:rPr>
                <w:rFonts w:ascii="Arial" w:hAnsi="Arial" w:cs="Arial"/>
                <w:sz w:val="20"/>
                <w:szCs w:val="20"/>
                <w:lang w:val="en-GB"/>
              </w:rPr>
              <w:t>Land scarcity; weak governance; limited funding</w:t>
            </w:r>
          </w:p>
        </w:tc>
        <w:tc>
          <w:tcPr>
            <w:tcW w:w="2706" w:type="dxa"/>
            <w:vAlign w:val="center"/>
          </w:tcPr>
          <w:p w14:paraId="74293A44" w14:textId="6E73C40E" w:rsidR="001A784E" w:rsidRPr="000317DC" w:rsidRDefault="001A784E" w:rsidP="001A784E">
            <w:pPr>
              <w:tabs>
                <w:tab w:val="num" w:pos="720"/>
              </w:tabs>
              <w:rPr>
                <w:rFonts w:ascii="Arial" w:hAnsi="Arial" w:cs="Arial"/>
                <w:b/>
                <w:bCs/>
                <w:sz w:val="20"/>
                <w:szCs w:val="20"/>
                <w:lang w:val="en-GB"/>
              </w:rPr>
            </w:pPr>
            <w:r w:rsidRPr="000317DC">
              <w:rPr>
                <w:rFonts w:ascii="Arial" w:hAnsi="Arial" w:cs="Arial"/>
                <w:b/>
                <w:bCs/>
                <w:sz w:val="20"/>
                <w:szCs w:val="20"/>
                <w:lang w:val="en-GB"/>
              </w:rPr>
              <w:t>Env</w:t>
            </w:r>
            <w:r w:rsidRPr="000317DC">
              <w:rPr>
                <w:rFonts w:ascii="Arial" w:hAnsi="Arial" w:cs="Arial"/>
                <w:sz w:val="20"/>
                <w:szCs w:val="20"/>
                <w:lang w:val="en-GB"/>
              </w:rPr>
              <w:t>: Mitigate heat, improve air quality</w:t>
            </w:r>
            <w:r w:rsidRPr="000317DC">
              <w:rPr>
                <w:rFonts w:ascii="Arial" w:hAnsi="Arial" w:cs="Arial"/>
                <w:sz w:val="20"/>
                <w:szCs w:val="20"/>
                <w:lang w:val="en-GB"/>
              </w:rPr>
              <w:br/>
            </w:r>
            <w:r w:rsidRPr="000317DC">
              <w:rPr>
                <w:rFonts w:ascii="Arial" w:hAnsi="Arial" w:cs="Arial"/>
                <w:b/>
                <w:bCs/>
                <w:sz w:val="20"/>
                <w:szCs w:val="20"/>
                <w:lang w:val="en-GB"/>
              </w:rPr>
              <w:t>Soc</w:t>
            </w:r>
            <w:r w:rsidRPr="000317DC">
              <w:rPr>
                <w:rFonts w:ascii="Arial" w:hAnsi="Arial" w:cs="Arial"/>
                <w:sz w:val="20"/>
                <w:szCs w:val="20"/>
                <w:lang w:val="en-GB"/>
              </w:rPr>
              <w:t>: Enhance cohesion</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Property value increase</w:t>
            </w:r>
          </w:p>
        </w:tc>
        <w:tc>
          <w:tcPr>
            <w:tcW w:w="1803" w:type="dxa"/>
            <w:vAlign w:val="center"/>
          </w:tcPr>
          <w:p w14:paraId="6CAD2708" w14:textId="6A352DBE" w:rsidR="001A784E" w:rsidRPr="000317DC" w:rsidRDefault="001A784E" w:rsidP="001A784E">
            <w:pPr>
              <w:tabs>
                <w:tab w:val="num" w:pos="720"/>
              </w:tabs>
              <w:rPr>
                <w:rFonts w:ascii="Arial" w:hAnsi="Arial" w:cs="Arial"/>
                <w:sz w:val="20"/>
                <w:szCs w:val="20"/>
                <w:lang w:val="en-GB"/>
              </w:rPr>
            </w:pPr>
            <w:r w:rsidRPr="000317DC">
              <w:rPr>
                <w:rFonts w:ascii="Arial" w:hAnsi="Arial" w:cs="Arial"/>
                <w:sz w:val="20"/>
                <w:szCs w:val="20"/>
                <w:lang w:val="en-GB"/>
              </w:rPr>
              <w:t>Risk of green gentrification</w:t>
            </w:r>
          </w:p>
        </w:tc>
      </w:tr>
      <w:tr w:rsidR="005A59A4" w:rsidRPr="002F7D02" w14:paraId="0F36BBD5" w14:textId="77777777" w:rsidTr="00830B47">
        <w:trPr>
          <w:trHeight w:hRule="exact" w:val="1531"/>
        </w:trPr>
        <w:tc>
          <w:tcPr>
            <w:tcW w:w="1699" w:type="dxa"/>
            <w:shd w:val="clear" w:color="auto" w:fill="C2D69B" w:themeFill="accent3" w:themeFillTint="99"/>
            <w:vAlign w:val="center"/>
          </w:tcPr>
          <w:p w14:paraId="7EAA2238" w14:textId="526E1FFA"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UN-Habitat (2018)</w:t>
            </w:r>
          </w:p>
        </w:tc>
        <w:tc>
          <w:tcPr>
            <w:tcW w:w="1868" w:type="dxa"/>
            <w:shd w:val="clear" w:color="auto" w:fill="C2D69B" w:themeFill="accent3" w:themeFillTint="99"/>
            <w:vAlign w:val="center"/>
          </w:tcPr>
          <w:p w14:paraId="5FEFC8BC" w14:textId="65CDA99D"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Sub-Saharan Africa; slum upgrading</w:t>
            </w:r>
          </w:p>
        </w:tc>
        <w:tc>
          <w:tcPr>
            <w:tcW w:w="1728" w:type="dxa"/>
            <w:shd w:val="clear" w:color="auto" w:fill="C2D69B" w:themeFill="accent3" w:themeFillTint="99"/>
            <w:vAlign w:val="center"/>
          </w:tcPr>
          <w:p w14:paraId="0CF4C105" w14:textId="1DF0C62D"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Flood mitigation; scalability unclear</w:t>
            </w:r>
          </w:p>
        </w:tc>
        <w:tc>
          <w:tcPr>
            <w:tcW w:w="1756" w:type="dxa"/>
            <w:shd w:val="clear" w:color="auto" w:fill="C2D69B" w:themeFill="accent3" w:themeFillTint="99"/>
            <w:vAlign w:val="center"/>
          </w:tcPr>
          <w:p w14:paraId="249DA5CC" w14:textId="38EF7388"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Participatory design; donor funding</w:t>
            </w:r>
          </w:p>
        </w:tc>
        <w:tc>
          <w:tcPr>
            <w:tcW w:w="1769" w:type="dxa"/>
            <w:shd w:val="clear" w:color="auto" w:fill="C2D69B" w:themeFill="accent3" w:themeFillTint="99"/>
            <w:vAlign w:val="center"/>
          </w:tcPr>
          <w:p w14:paraId="4EEE59CD" w14:textId="552FF14F"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Resource constraints; governance gaps</w:t>
            </w:r>
          </w:p>
        </w:tc>
        <w:tc>
          <w:tcPr>
            <w:tcW w:w="2706" w:type="dxa"/>
            <w:shd w:val="clear" w:color="auto" w:fill="C2D69B" w:themeFill="accent3" w:themeFillTint="99"/>
            <w:vAlign w:val="center"/>
          </w:tcPr>
          <w:p w14:paraId="28F7ED62" w14:textId="2B4959CA" w:rsidR="005A59A4" w:rsidRPr="000317DC" w:rsidRDefault="005A59A4" w:rsidP="005A59A4">
            <w:pPr>
              <w:tabs>
                <w:tab w:val="num" w:pos="720"/>
              </w:tabs>
              <w:rPr>
                <w:rFonts w:ascii="Arial" w:hAnsi="Arial" w:cs="Arial"/>
                <w:b/>
                <w:bCs/>
                <w:lang w:val="en-GB"/>
              </w:rPr>
            </w:pPr>
            <w:r w:rsidRPr="000317DC">
              <w:rPr>
                <w:rFonts w:ascii="Arial" w:hAnsi="Arial" w:cs="Arial"/>
                <w:b/>
                <w:bCs/>
                <w:sz w:val="20"/>
                <w:szCs w:val="20"/>
                <w:lang w:val="en-GB"/>
              </w:rPr>
              <w:t>Env</w:t>
            </w:r>
            <w:r w:rsidRPr="000317DC">
              <w:rPr>
                <w:rFonts w:ascii="Arial" w:hAnsi="Arial" w:cs="Arial"/>
                <w:sz w:val="20"/>
                <w:szCs w:val="20"/>
                <w:lang w:val="en-GB"/>
              </w:rPr>
              <w:t>: Improve drainage</w:t>
            </w:r>
            <w:r w:rsidRPr="000317DC">
              <w:rPr>
                <w:rFonts w:ascii="Arial" w:hAnsi="Arial" w:cs="Arial"/>
                <w:sz w:val="20"/>
                <w:szCs w:val="20"/>
                <w:lang w:val="en-GB"/>
              </w:rPr>
              <w:br/>
            </w:r>
            <w:r w:rsidRPr="000317DC">
              <w:rPr>
                <w:rFonts w:ascii="Arial" w:hAnsi="Arial" w:cs="Arial"/>
                <w:b/>
                <w:bCs/>
                <w:sz w:val="20"/>
                <w:szCs w:val="20"/>
                <w:lang w:val="en-GB"/>
              </w:rPr>
              <w:t>Soc</w:t>
            </w:r>
            <w:r w:rsidRPr="000317DC">
              <w:rPr>
                <w:rFonts w:ascii="Arial" w:hAnsi="Arial" w:cs="Arial"/>
                <w:sz w:val="20"/>
                <w:szCs w:val="20"/>
                <w:lang w:val="en-GB"/>
              </w:rPr>
              <w:t>: Community spaces</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Not addressed</w:t>
            </w:r>
          </w:p>
        </w:tc>
        <w:tc>
          <w:tcPr>
            <w:tcW w:w="1803" w:type="dxa"/>
            <w:shd w:val="clear" w:color="auto" w:fill="C2D69B" w:themeFill="accent3" w:themeFillTint="99"/>
            <w:vAlign w:val="center"/>
          </w:tcPr>
          <w:p w14:paraId="4A5A8F42" w14:textId="3806580D"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Not explicitly addressed</w:t>
            </w:r>
          </w:p>
        </w:tc>
      </w:tr>
      <w:tr w:rsidR="005A59A4" w:rsidRPr="002F7D02" w14:paraId="5D98533C" w14:textId="77777777" w:rsidTr="008B158F">
        <w:trPr>
          <w:trHeight w:hRule="exact" w:val="907"/>
        </w:trPr>
        <w:tc>
          <w:tcPr>
            <w:tcW w:w="1699" w:type="dxa"/>
            <w:shd w:val="clear" w:color="auto" w:fill="DAEEF3" w:themeFill="accent5" w:themeFillTint="33"/>
            <w:vAlign w:val="center"/>
          </w:tcPr>
          <w:p w14:paraId="5B9A4134" w14:textId="7F6D1C1A" w:rsidR="005A59A4" w:rsidRPr="002F7D02" w:rsidRDefault="005A59A4" w:rsidP="005A59A4">
            <w:pPr>
              <w:tabs>
                <w:tab w:val="num" w:pos="720"/>
              </w:tabs>
              <w:jc w:val="center"/>
              <w:rPr>
                <w:rFonts w:ascii="Arial" w:hAnsi="Arial" w:cs="Arial"/>
                <w:lang w:val="en-GB"/>
              </w:rPr>
            </w:pPr>
            <w:r w:rsidRPr="00D00A1A">
              <w:rPr>
                <w:rFonts w:ascii="Arial" w:hAnsi="Arial" w:cs="Arial"/>
                <w:b/>
                <w:bCs/>
                <w:sz w:val="20"/>
                <w:szCs w:val="20"/>
                <w:lang w:val="en-GB"/>
              </w:rPr>
              <w:lastRenderedPageBreak/>
              <w:t>Study Identification</w:t>
            </w:r>
          </w:p>
        </w:tc>
        <w:tc>
          <w:tcPr>
            <w:tcW w:w="1868" w:type="dxa"/>
            <w:shd w:val="clear" w:color="auto" w:fill="DAEEF3" w:themeFill="accent5" w:themeFillTint="33"/>
            <w:vAlign w:val="center"/>
          </w:tcPr>
          <w:p w14:paraId="47C458E2" w14:textId="17DBFB2C" w:rsidR="005A59A4" w:rsidRPr="002F7D02" w:rsidRDefault="005A59A4" w:rsidP="005A59A4">
            <w:pPr>
              <w:tabs>
                <w:tab w:val="num" w:pos="720"/>
              </w:tabs>
              <w:jc w:val="center"/>
              <w:rPr>
                <w:rFonts w:ascii="Arial" w:hAnsi="Arial" w:cs="Arial"/>
                <w:lang w:val="en-GB"/>
              </w:rPr>
            </w:pPr>
            <w:r w:rsidRPr="00D00A1A">
              <w:rPr>
                <w:rFonts w:ascii="Arial" w:hAnsi="Arial" w:cs="Arial"/>
                <w:b/>
                <w:bCs/>
                <w:sz w:val="20"/>
                <w:szCs w:val="20"/>
                <w:lang w:val="en-GB"/>
              </w:rPr>
              <w:t>Study Context</w:t>
            </w:r>
          </w:p>
        </w:tc>
        <w:tc>
          <w:tcPr>
            <w:tcW w:w="1728" w:type="dxa"/>
            <w:shd w:val="clear" w:color="auto" w:fill="DAEEF3" w:themeFill="accent5" w:themeFillTint="33"/>
            <w:vAlign w:val="center"/>
          </w:tcPr>
          <w:p w14:paraId="5292ACA5" w14:textId="6D3F85D9" w:rsidR="005A59A4" w:rsidRPr="002F7D02" w:rsidRDefault="005A59A4" w:rsidP="005A59A4">
            <w:pPr>
              <w:tabs>
                <w:tab w:val="num" w:pos="720"/>
              </w:tabs>
              <w:jc w:val="center"/>
              <w:rPr>
                <w:rFonts w:ascii="Arial" w:hAnsi="Arial" w:cs="Arial"/>
                <w:lang w:val="en-GB"/>
              </w:rPr>
            </w:pPr>
            <w:r w:rsidRPr="00D00A1A">
              <w:rPr>
                <w:rFonts w:ascii="Arial" w:hAnsi="Arial" w:cs="Arial"/>
                <w:b/>
                <w:bCs/>
                <w:sz w:val="20"/>
                <w:szCs w:val="20"/>
                <w:lang w:val="en-GB"/>
              </w:rPr>
              <w:t>Sustainability and Resilience Outcomes</w:t>
            </w:r>
          </w:p>
        </w:tc>
        <w:tc>
          <w:tcPr>
            <w:tcW w:w="1756" w:type="dxa"/>
            <w:shd w:val="clear" w:color="auto" w:fill="DAEEF3" w:themeFill="accent5" w:themeFillTint="33"/>
            <w:vAlign w:val="center"/>
          </w:tcPr>
          <w:p w14:paraId="5FF607E9" w14:textId="38FEBEE2" w:rsidR="005A59A4" w:rsidRPr="002F7D02" w:rsidRDefault="005A59A4" w:rsidP="005A59A4">
            <w:pPr>
              <w:tabs>
                <w:tab w:val="num" w:pos="720"/>
              </w:tabs>
              <w:jc w:val="center"/>
              <w:rPr>
                <w:rFonts w:ascii="Arial" w:hAnsi="Arial" w:cs="Arial"/>
                <w:lang w:val="en-GB"/>
              </w:rPr>
            </w:pPr>
            <w:r w:rsidRPr="00D00A1A">
              <w:rPr>
                <w:rFonts w:ascii="Arial" w:hAnsi="Arial" w:cs="Arial"/>
                <w:b/>
                <w:bCs/>
                <w:sz w:val="20"/>
                <w:szCs w:val="20"/>
                <w:lang w:val="en-GB"/>
              </w:rPr>
              <w:t>Opportunities and Enabling Factors</w:t>
            </w:r>
          </w:p>
        </w:tc>
        <w:tc>
          <w:tcPr>
            <w:tcW w:w="1769" w:type="dxa"/>
            <w:shd w:val="clear" w:color="auto" w:fill="DAEEF3" w:themeFill="accent5" w:themeFillTint="33"/>
            <w:vAlign w:val="center"/>
          </w:tcPr>
          <w:p w14:paraId="7C9A6AE7" w14:textId="1FEDB10E" w:rsidR="005A59A4" w:rsidRPr="002F7D02" w:rsidRDefault="005A59A4" w:rsidP="005A59A4">
            <w:pPr>
              <w:tabs>
                <w:tab w:val="num" w:pos="720"/>
              </w:tabs>
              <w:jc w:val="center"/>
              <w:rPr>
                <w:rFonts w:ascii="Arial" w:hAnsi="Arial" w:cs="Arial"/>
                <w:lang w:val="en-GB"/>
              </w:rPr>
            </w:pPr>
            <w:r w:rsidRPr="00D00A1A">
              <w:rPr>
                <w:rFonts w:ascii="Arial" w:hAnsi="Arial" w:cs="Arial"/>
                <w:b/>
                <w:bCs/>
                <w:sz w:val="20"/>
                <w:szCs w:val="20"/>
                <w:lang w:val="en-GB"/>
              </w:rPr>
              <w:t>Barriers and Challenges</w:t>
            </w:r>
          </w:p>
        </w:tc>
        <w:tc>
          <w:tcPr>
            <w:tcW w:w="2706" w:type="dxa"/>
            <w:shd w:val="clear" w:color="auto" w:fill="DAEEF3" w:themeFill="accent5" w:themeFillTint="33"/>
            <w:vAlign w:val="center"/>
          </w:tcPr>
          <w:p w14:paraId="4B042A63" w14:textId="7CAE2E77" w:rsidR="005A59A4" w:rsidRPr="002F7D02" w:rsidRDefault="005A59A4" w:rsidP="005A59A4">
            <w:pPr>
              <w:tabs>
                <w:tab w:val="num" w:pos="720"/>
              </w:tabs>
              <w:jc w:val="center"/>
              <w:rPr>
                <w:rFonts w:ascii="Arial" w:hAnsi="Arial" w:cs="Arial"/>
                <w:b/>
                <w:bCs/>
                <w:lang w:val="en-GB"/>
              </w:rPr>
            </w:pPr>
            <w:r w:rsidRPr="00D00A1A">
              <w:rPr>
                <w:rFonts w:ascii="Arial" w:hAnsi="Arial" w:cs="Arial"/>
                <w:b/>
                <w:bCs/>
                <w:sz w:val="20"/>
                <w:szCs w:val="20"/>
                <w:lang w:val="en-GB"/>
              </w:rPr>
              <w:t>Environmental, Social, and Economic Impacts</w:t>
            </w:r>
          </w:p>
        </w:tc>
        <w:tc>
          <w:tcPr>
            <w:tcW w:w="1803" w:type="dxa"/>
            <w:shd w:val="clear" w:color="auto" w:fill="DAEEF3" w:themeFill="accent5" w:themeFillTint="33"/>
            <w:vAlign w:val="center"/>
          </w:tcPr>
          <w:p w14:paraId="79DAE536" w14:textId="413976E7" w:rsidR="005A59A4" w:rsidRPr="002F7D02" w:rsidRDefault="005A59A4" w:rsidP="005A59A4">
            <w:pPr>
              <w:tabs>
                <w:tab w:val="num" w:pos="720"/>
              </w:tabs>
              <w:jc w:val="center"/>
              <w:rPr>
                <w:rFonts w:ascii="Arial" w:hAnsi="Arial" w:cs="Arial"/>
                <w:lang w:val="en-GB"/>
              </w:rPr>
            </w:pPr>
            <w:r w:rsidRPr="00D00A1A">
              <w:rPr>
                <w:rFonts w:ascii="Arial" w:hAnsi="Arial" w:cs="Arial"/>
                <w:b/>
                <w:bCs/>
                <w:sz w:val="20"/>
                <w:szCs w:val="20"/>
                <w:lang w:val="en-GB"/>
              </w:rPr>
              <w:t>Equity and Inclusivity</w:t>
            </w:r>
          </w:p>
        </w:tc>
      </w:tr>
      <w:tr w:rsidR="005A59A4" w:rsidRPr="002F7D02" w14:paraId="7BFBA7CE" w14:textId="77777777" w:rsidTr="005A59A4">
        <w:trPr>
          <w:cantSplit/>
          <w:trHeight w:hRule="exact" w:val="1304"/>
        </w:trPr>
        <w:tc>
          <w:tcPr>
            <w:tcW w:w="1699" w:type="dxa"/>
            <w:vAlign w:val="center"/>
            <w:hideMark/>
          </w:tcPr>
          <w:p w14:paraId="382066C9" w14:textId="77777777" w:rsidR="005A59A4" w:rsidRPr="000317DC" w:rsidRDefault="005A59A4" w:rsidP="005A59A4">
            <w:pPr>
              <w:tabs>
                <w:tab w:val="num" w:pos="720"/>
              </w:tabs>
              <w:jc w:val="both"/>
              <w:rPr>
                <w:rFonts w:ascii="Arial" w:hAnsi="Arial" w:cs="Arial"/>
                <w:sz w:val="20"/>
                <w:szCs w:val="20"/>
                <w:lang w:val="en-GB"/>
              </w:rPr>
            </w:pPr>
            <w:r w:rsidRPr="000317DC">
              <w:rPr>
                <w:rFonts w:ascii="Arial" w:hAnsi="Arial" w:cs="Arial"/>
                <w:sz w:val="20"/>
                <w:szCs w:val="20"/>
                <w:lang w:val="en-GB"/>
              </w:rPr>
              <w:t>Ramaiah and Avtar (2019)</w:t>
            </w:r>
          </w:p>
        </w:tc>
        <w:tc>
          <w:tcPr>
            <w:tcW w:w="1868" w:type="dxa"/>
            <w:vAlign w:val="center"/>
            <w:hideMark/>
          </w:tcPr>
          <w:p w14:paraId="4E13F15B"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India; urbanizing cities</w:t>
            </w:r>
          </w:p>
        </w:tc>
        <w:tc>
          <w:tcPr>
            <w:tcW w:w="1728" w:type="dxa"/>
            <w:vAlign w:val="center"/>
            <w:hideMark/>
          </w:tcPr>
          <w:p w14:paraId="6E1EFCB5"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Urban cooling; long-term outcomes unclear</w:t>
            </w:r>
          </w:p>
        </w:tc>
        <w:tc>
          <w:tcPr>
            <w:tcW w:w="1756" w:type="dxa"/>
            <w:vAlign w:val="center"/>
            <w:hideMark/>
          </w:tcPr>
          <w:p w14:paraId="35D1A4FD"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Green policies; community awareness</w:t>
            </w:r>
          </w:p>
        </w:tc>
        <w:tc>
          <w:tcPr>
            <w:tcW w:w="1769" w:type="dxa"/>
            <w:vAlign w:val="center"/>
            <w:hideMark/>
          </w:tcPr>
          <w:p w14:paraId="46B353DA"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Land scarcity; socio-cultural resistance; funding</w:t>
            </w:r>
          </w:p>
        </w:tc>
        <w:tc>
          <w:tcPr>
            <w:tcW w:w="2706" w:type="dxa"/>
            <w:vAlign w:val="center"/>
            <w:hideMark/>
          </w:tcPr>
          <w:p w14:paraId="68A4B925"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b/>
                <w:bCs/>
                <w:sz w:val="20"/>
                <w:szCs w:val="20"/>
                <w:lang w:val="en-GB"/>
              </w:rPr>
              <w:t>Env</w:t>
            </w:r>
            <w:r w:rsidRPr="000317DC">
              <w:rPr>
                <w:rFonts w:ascii="Arial" w:hAnsi="Arial" w:cs="Arial"/>
                <w:sz w:val="20"/>
                <w:szCs w:val="20"/>
                <w:lang w:val="en-GB"/>
              </w:rPr>
              <w:t>: Improve air quality, reduce heat</w:t>
            </w:r>
            <w:r w:rsidRPr="000317DC">
              <w:rPr>
                <w:rFonts w:ascii="Arial" w:hAnsi="Arial" w:cs="Arial"/>
                <w:sz w:val="20"/>
                <w:szCs w:val="20"/>
                <w:lang w:val="en-GB"/>
              </w:rPr>
              <w:br/>
            </w:r>
            <w:r w:rsidRPr="000317DC">
              <w:rPr>
                <w:rFonts w:ascii="Arial" w:hAnsi="Arial" w:cs="Arial"/>
                <w:b/>
                <w:bCs/>
                <w:sz w:val="20"/>
                <w:szCs w:val="20"/>
                <w:lang w:val="en-GB"/>
              </w:rPr>
              <w:t>Soc</w:t>
            </w:r>
            <w:r w:rsidRPr="000317DC">
              <w:rPr>
                <w:rFonts w:ascii="Arial" w:hAnsi="Arial" w:cs="Arial"/>
                <w:sz w:val="20"/>
                <w:szCs w:val="20"/>
                <w:lang w:val="en-GB"/>
              </w:rPr>
              <w:t>: Mental health benefits</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Property value increase</w:t>
            </w:r>
          </w:p>
        </w:tc>
        <w:tc>
          <w:tcPr>
            <w:tcW w:w="1803" w:type="dxa"/>
            <w:vAlign w:val="center"/>
            <w:hideMark/>
          </w:tcPr>
          <w:p w14:paraId="125FB050"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Not explicitly addressed</w:t>
            </w:r>
          </w:p>
        </w:tc>
      </w:tr>
      <w:tr w:rsidR="005A59A4" w:rsidRPr="002F7D02" w14:paraId="50CD5A81" w14:textId="77777777" w:rsidTr="00CC315F">
        <w:trPr>
          <w:trHeight w:hRule="exact" w:val="1021"/>
        </w:trPr>
        <w:tc>
          <w:tcPr>
            <w:tcW w:w="1699" w:type="dxa"/>
            <w:vAlign w:val="center"/>
          </w:tcPr>
          <w:p w14:paraId="4814935E" w14:textId="726B2B31" w:rsidR="005A59A4" w:rsidRPr="000317DC" w:rsidRDefault="005A59A4" w:rsidP="005A59A4">
            <w:pPr>
              <w:tabs>
                <w:tab w:val="num" w:pos="720"/>
              </w:tabs>
              <w:rPr>
                <w:rFonts w:ascii="Arial" w:hAnsi="Arial" w:cs="Arial"/>
                <w:sz w:val="20"/>
                <w:szCs w:val="20"/>
                <w:lang w:val="en-GB"/>
              </w:rPr>
            </w:pPr>
            <w:proofErr w:type="spellStart"/>
            <w:r w:rsidRPr="000317DC">
              <w:rPr>
                <w:rFonts w:ascii="Arial" w:hAnsi="Arial" w:cs="Arial"/>
                <w:sz w:val="20"/>
                <w:szCs w:val="20"/>
                <w:lang w:val="en-GB"/>
              </w:rPr>
              <w:t>Adegun</w:t>
            </w:r>
            <w:proofErr w:type="spellEnd"/>
            <w:r w:rsidRPr="000317DC">
              <w:rPr>
                <w:rFonts w:ascii="Arial" w:hAnsi="Arial" w:cs="Arial"/>
                <w:sz w:val="20"/>
                <w:szCs w:val="20"/>
                <w:lang w:val="en-GB"/>
              </w:rPr>
              <w:t xml:space="preserve"> (2019)</w:t>
            </w:r>
          </w:p>
        </w:tc>
        <w:tc>
          <w:tcPr>
            <w:tcW w:w="1868" w:type="dxa"/>
            <w:vAlign w:val="center"/>
          </w:tcPr>
          <w:p w14:paraId="586658B6" w14:textId="1464F0F0"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South Africa (Johannesburg); slum upgrading</w:t>
            </w:r>
          </w:p>
        </w:tc>
        <w:tc>
          <w:tcPr>
            <w:tcW w:w="1728" w:type="dxa"/>
            <w:vAlign w:val="center"/>
          </w:tcPr>
          <w:p w14:paraId="6966169B" w14:textId="74DF919F"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 xml:space="preserve">Enhance </w:t>
            </w:r>
            <w:r>
              <w:rPr>
                <w:rFonts w:ascii="Arial" w:hAnsi="Arial" w:cs="Arial"/>
                <w:sz w:val="20"/>
                <w:szCs w:val="20"/>
                <w:lang w:val="en-GB"/>
              </w:rPr>
              <w:t xml:space="preserve">flood </w:t>
            </w:r>
            <w:r w:rsidRPr="000317DC">
              <w:rPr>
                <w:rFonts w:ascii="Arial" w:hAnsi="Arial" w:cs="Arial"/>
                <w:sz w:val="20"/>
                <w:szCs w:val="20"/>
                <w:lang w:val="en-GB"/>
              </w:rPr>
              <w:t>resilience; maintenance unclear</w:t>
            </w:r>
          </w:p>
        </w:tc>
        <w:tc>
          <w:tcPr>
            <w:tcW w:w="1756" w:type="dxa"/>
            <w:vAlign w:val="center"/>
          </w:tcPr>
          <w:p w14:paraId="0C7E2602" w14:textId="5CDB3805"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 xml:space="preserve">Community involvement; green policies </w:t>
            </w:r>
            <w:r w:rsidR="00CC315F">
              <w:rPr>
                <w:rFonts w:ascii="Arial" w:hAnsi="Arial" w:cs="Arial"/>
                <w:sz w:val="20"/>
                <w:szCs w:val="20"/>
                <w:lang w:val="en-GB"/>
              </w:rPr>
              <w:t xml:space="preserve">in </w:t>
            </w:r>
            <w:r w:rsidRPr="000317DC">
              <w:rPr>
                <w:rFonts w:ascii="Arial" w:hAnsi="Arial" w:cs="Arial"/>
                <w:sz w:val="20"/>
                <w:szCs w:val="20"/>
                <w:lang w:val="en-GB"/>
              </w:rPr>
              <w:t xml:space="preserve">infrastructure </w:t>
            </w:r>
          </w:p>
        </w:tc>
        <w:tc>
          <w:tcPr>
            <w:tcW w:w="1769" w:type="dxa"/>
            <w:vAlign w:val="center"/>
          </w:tcPr>
          <w:p w14:paraId="5E84CB34" w14:textId="10594A21"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Land tenure issues; funding shortages</w:t>
            </w:r>
          </w:p>
        </w:tc>
        <w:tc>
          <w:tcPr>
            <w:tcW w:w="2706" w:type="dxa"/>
            <w:vAlign w:val="center"/>
          </w:tcPr>
          <w:p w14:paraId="277477BD" w14:textId="4C7D98C6" w:rsidR="005A59A4" w:rsidRPr="000317DC" w:rsidRDefault="005A59A4" w:rsidP="005A59A4">
            <w:pPr>
              <w:tabs>
                <w:tab w:val="num" w:pos="720"/>
              </w:tabs>
              <w:rPr>
                <w:rFonts w:ascii="Arial" w:hAnsi="Arial" w:cs="Arial"/>
                <w:b/>
                <w:bCs/>
                <w:sz w:val="20"/>
                <w:szCs w:val="20"/>
                <w:lang w:val="en-GB"/>
              </w:rPr>
            </w:pPr>
            <w:r w:rsidRPr="000317DC">
              <w:rPr>
                <w:rFonts w:ascii="Arial" w:hAnsi="Arial" w:cs="Arial"/>
                <w:b/>
                <w:bCs/>
                <w:sz w:val="20"/>
                <w:szCs w:val="20"/>
                <w:lang w:val="en-GB"/>
              </w:rPr>
              <w:t>Env</w:t>
            </w:r>
            <w:r w:rsidRPr="000317DC">
              <w:rPr>
                <w:rFonts w:ascii="Arial" w:hAnsi="Arial" w:cs="Arial"/>
                <w:sz w:val="20"/>
                <w:szCs w:val="20"/>
                <w:lang w:val="en-GB"/>
              </w:rPr>
              <w:t>: Mitigate flooding</w:t>
            </w:r>
            <w:r w:rsidRPr="000317DC">
              <w:rPr>
                <w:rFonts w:ascii="Arial" w:hAnsi="Arial" w:cs="Arial"/>
                <w:sz w:val="20"/>
                <w:szCs w:val="20"/>
                <w:lang w:val="en-GB"/>
              </w:rPr>
              <w:br/>
            </w:r>
            <w:r w:rsidRPr="000317DC">
              <w:rPr>
                <w:rFonts w:ascii="Arial" w:hAnsi="Arial" w:cs="Arial"/>
                <w:b/>
                <w:bCs/>
                <w:sz w:val="20"/>
                <w:szCs w:val="20"/>
                <w:lang w:val="en-GB"/>
              </w:rPr>
              <w:t>Soc</w:t>
            </w:r>
            <w:r w:rsidRPr="000317DC">
              <w:rPr>
                <w:rFonts w:ascii="Arial" w:hAnsi="Arial" w:cs="Arial"/>
                <w:sz w:val="20"/>
                <w:szCs w:val="20"/>
                <w:lang w:val="en-GB"/>
              </w:rPr>
              <w:t>: Community cohesion</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Job creation</w:t>
            </w:r>
          </w:p>
        </w:tc>
        <w:tc>
          <w:tcPr>
            <w:tcW w:w="1803" w:type="dxa"/>
            <w:vAlign w:val="center"/>
          </w:tcPr>
          <w:p w14:paraId="3A224C13" w14:textId="095AB408"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Limited access for low-income groups</w:t>
            </w:r>
          </w:p>
        </w:tc>
      </w:tr>
      <w:tr w:rsidR="005A59A4" w:rsidRPr="002F7D02" w14:paraId="2098729B" w14:textId="77777777" w:rsidTr="005A59A4">
        <w:trPr>
          <w:trHeight w:hRule="exact" w:val="1134"/>
        </w:trPr>
        <w:tc>
          <w:tcPr>
            <w:tcW w:w="1699" w:type="dxa"/>
            <w:vAlign w:val="center"/>
          </w:tcPr>
          <w:p w14:paraId="54CBBCE0" w14:textId="77777777" w:rsidR="005A59A4" w:rsidRPr="000317DC" w:rsidRDefault="005A59A4" w:rsidP="005A59A4">
            <w:pPr>
              <w:tabs>
                <w:tab w:val="num" w:pos="720"/>
              </w:tabs>
              <w:rPr>
                <w:rFonts w:ascii="Arial" w:hAnsi="Arial" w:cs="Arial"/>
                <w:sz w:val="20"/>
                <w:szCs w:val="20"/>
                <w:lang w:val="en-GB"/>
              </w:rPr>
            </w:pPr>
            <w:proofErr w:type="spellStart"/>
            <w:r w:rsidRPr="000317DC">
              <w:rPr>
                <w:rFonts w:ascii="Arial" w:hAnsi="Arial" w:cs="Arial"/>
                <w:sz w:val="20"/>
                <w:szCs w:val="20"/>
                <w:lang w:val="en-GB"/>
              </w:rPr>
              <w:t>Titz</w:t>
            </w:r>
            <w:proofErr w:type="spellEnd"/>
            <w:r w:rsidRPr="000317DC">
              <w:rPr>
                <w:rFonts w:ascii="Arial" w:hAnsi="Arial" w:cs="Arial"/>
                <w:sz w:val="20"/>
                <w:szCs w:val="20"/>
                <w:lang w:val="en-GB"/>
              </w:rPr>
              <w:t xml:space="preserve"> and </w:t>
            </w:r>
            <w:proofErr w:type="spellStart"/>
            <w:r w:rsidRPr="000317DC">
              <w:rPr>
                <w:rFonts w:ascii="Arial" w:hAnsi="Arial" w:cs="Arial"/>
                <w:sz w:val="20"/>
                <w:szCs w:val="20"/>
                <w:lang w:val="en-GB"/>
              </w:rPr>
              <w:t>Chiotha</w:t>
            </w:r>
            <w:proofErr w:type="spellEnd"/>
            <w:r w:rsidRPr="000317DC">
              <w:rPr>
                <w:rFonts w:ascii="Arial" w:hAnsi="Arial" w:cs="Arial"/>
                <w:sz w:val="20"/>
                <w:szCs w:val="20"/>
                <w:lang w:val="en-GB"/>
              </w:rPr>
              <w:t xml:space="preserve"> (2019)</w:t>
            </w:r>
          </w:p>
        </w:tc>
        <w:tc>
          <w:tcPr>
            <w:tcW w:w="1868" w:type="dxa"/>
            <w:vAlign w:val="center"/>
          </w:tcPr>
          <w:p w14:paraId="2719B26C"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Malawi (Lilongwe); informal settlements</w:t>
            </w:r>
          </w:p>
        </w:tc>
        <w:tc>
          <w:tcPr>
            <w:tcW w:w="1728" w:type="dxa"/>
            <w:vAlign w:val="center"/>
          </w:tcPr>
          <w:p w14:paraId="1FDE92EE"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Enhance flood resilience; long-term outcomes unclear</w:t>
            </w:r>
          </w:p>
        </w:tc>
        <w:tc>
          <w:tcPr>
            <w:tcW w:w="1756" w:type="dxa"/>
            <w:vAlign w:val="center"/>
          </w:tcPr>
          <w:p w14:paraId="38B7890E"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Community-driven greening; low-cost models</w:t>
            </w:r>
          </w:p>
        </w:tc>
        <w:tc>
          <w:tcPr>
            <w:tcW w:w="1769" w:type="dxa"/>
            <w:vAlign w:val="center"/>
          </w:tcPr>
          <w:p w14:paraId="7411BAB2"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Limited institutional support; land scarcity</w:t>
            </w:r>
          </w:p>
        </w:tc>
        <w:tc>
          <w:tcPr>
            <w:tcW w:w="2706" w:type="dxa"/>
            <w:vAlign w:val="center"/>
          </w:tcPr>
          <w:p w14:paraId="67342BFB"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b/>
                <w:bCs/>
                <w:sz w:val="20"/>
                <w:szCs w:val="20"/>
                <w:lang w:val="en-GB"/>
              </w:rPr>
              <w:t>Env</w:t>
            </w:r>
            <w:r w:rsidRPr="000317DC">
              <w:rPr>
                <w:rFonts w:ascii="Arial" w:hAnsi="Arial" w:cs="Arial"/>
                <w:sz w:val="20"/>
                <w:szCs w:val="20"/>
                <w:lang w:val="en-GB"/>
              </w:rPr>
              <w:t>: Mitigate flooding</w:t>
            </w:r>
            <w:r w:rsidRPr="000317DC">
              <w:rPr>
                <w:rFonts w:ascii="Arial" w:hAnsi="Arial" w:cs="Arial"/>
                <w:sz w:val="20"/>
                <w:szCs w:val="20"/>
                <w:lang w:val="en-GB"/>
              </w:rPr>
              <w:br/>
            </w:r>
            <w:r w:rsidRPr="000317DC">
              <w:rPr>
                <w:rFonts w:ascii="Arial" w:hAnsi="Arial" w:cs="Arial"/>
                <w:b/>
                <w:bCs/>
                <w:sz w:val="20"/>
                <w:szCs w:val="20"/>
                <w:lang w:val="en-GB"/>
              </w:rPr>
              <w:t>Soc</w:t>
            </w:r>
            <w:r w:rsidRPr="000317DC">
              <w:rPr>
                <w:rFonts w:ascii="Arial" w:hAnsi="Arial" w:cs="Arial"/>
                <w:sz w:val="20"/>
                <w:szCs w:val="20"/>
                <w:lang w:val="en-GB"/>
              </w:rPr>
              <w:t>: Community ownership</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Food security</w:t>
            </w:r>
          </w:p>
        </w:tc>
        <w:tc>
          <w:tcPr>
            <w:tcW w:w="1803" w:type="dxa"/>
            <w:vAlign w:val="center"/>
          </w:tcPr>
          <w:p w14:paraId="57883CFC"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Equitable access via community greening</w:t>
            </w:r>
          </w:p>
        </w:tc>
      </w:tr>
      <w:tr w:rsidR="005A59A4" w:rsidRPr="002F7D02" w14:paraId="0D917E01" w14:textId="77777777" w:rsidTr="005A59A4">
        <w:trPr>
          <w:trHeight w:hRule="exact" w:val="1134"/>
        </w:trPr>
        <w:tc>
          <w:tcPr>
            <w:tcW w:w="1699" w:type="dxa"/>
            <w:vAlign w:val="center"/>
          </w:tcPr>
          <w:p w14:paraId="369F1366" w14:textId="77777777" w:rsidR="005A59A4" w:rsidRPr="000317DC" w:rsidRDefault="005A59A4" w:rsidP="005A59A4">
            <w:pPr>
              <w:tabs>
                <w:tab w:val="num" w:pos="720"/>
              </w:tabs>
              <w:rPr>
                <w:rFonts w:ascii="Arial" w:hAnsi="Arial" w:cs="Arial"/>
                <w:sz w:val="20"/>
                <w:szCs w:val="20"/>
                <w:lang w:val="en-GB"/>
              </w:rPr>
            </w:pPr>
            <w:proofErr w:type="spellStart"/>
            <w:r w:rsidRPr="000317DC">
              <w:rPr>
                <w:rFonts w:ascii="Arial" w:hAnsi="Arial" w:cs="Arial"/>
                <w:sz w:val="20"/>
                <w:szCs w:val="20"/>
                <w:lang w:val="en-GB"/>
              </w:rPr>
              <w:t>Cobbinah</w:t>
            </w:r>
            <w:proofErr w:type="spellEnd"/>
            <w:r w:rsidRPr="000317DC">
              <w:rPr>
                <w:rFonts w:ascii="Arial" w:hAnsi="Arial" w:cs="Arial"/>
                <w:sz w:val="20"/>
                <w:szCs w:val="20"/>
                <w:lang w:val="en-GB"/>
              </w:rPr>
              <w:t xml:space="preserve"> et al. (2020)</w:t>
            </w:r>
          </w:p>
        </w:tc>
        <w:tc>
          <w:tcPr>
            <w:tcW w:w="1868" w:type="dxa"/>
            <w:vAlign w:val="center"/>
          </w:tcPr>
          <w:p w14:paraId="0FB8015B"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Ghana; informal settlements</w:t>
            </w:r>
          </w:p>
        </w:tc>
        <w:tc>
          <w:tcPr>
            <w:tcW w:w="1728" w:type="dxa"/>
            <w:vAlign w:val="center"/>
          </w:tcPr>
          <w:p w14:paraId="2118B69C"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Not explicitly addressed</w:t>
            </w:r>
          </w:p>
        </w:tc>
        <w:tc>
          <w:tcPr>
            <w:tcW w:w="1756" w:type="dxa"/>
            <w:vAlign w:val="center"/>
          </w:tcPr>
          <w:p w14:paraId="4C223B23"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Community engagement</w:t>
            </w:r>
          </w:p>
        </w:tc>
        <w:tc>
          <w:tcPr>
            <w:tcW w:w="1769" w:type="dxa"/>
            <w:vAlign w:val="center"/>
          </w:tcPr>
          <w:p w14:paraId="58439DF5"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Complex land tenure; governance issues</w:t>
            </w:r>
          </w:p>
        </w:tc>
        <w:tc>
          <w:tcPr>
            <w:tcW w:w="2706" w:type="dxa"/>
            <w:vAlign w:val="center"/>
          </w:tcPr>
          <w:p w14:paraId="350F9D97" w14:textId="77777777" w:rsidR="005A59A4" w:rsidRPr="000317DC" w:rsidRDefault="005A59A4" w:rsidP="005A59A4">
            <w:pPr>
              <w:tabs>
                <w:tab w:val="num" w:pos="720"/>
              </w:tabs>
              <w:rPr>
                <w:rFonts w:ascii="Arial" w:hAnsi="Arial" w:cs="Arial"/>
                <w:b/>
                <w:bCs/>
                <w:sz w:val="20"/>
                <w:szCs w:val="20"/>
                <w:lang w:val="en-GB"/>
              </w:rPr>
            </w:pPr>
            <w:r w:rsidRPr="000317DC">
              <w:rPr>
                <w:rFonts w:ascii="Arial" w:hAnsi="Arial" w:cs="Arial"/>
                <w:b/>
                <w:bCs/>
                <w:sz w:val="20"/>
                <w:szCs w:val="20"/>
                <w:lang w:val="en-GB"/>
              </w:rPr>
              <w:t>Env</w:t>
            </w:r>
            <w:r w:rsidRPr="000317DC">
              <w:rPr>
                <w:rFonts w:ascii="Arial" w:hAnsi="Arial" w:cs="Arial"/>
                <w:sz w:val="20"/>
                <w:szCs w:val="20"/>
                <w:lang w:val="en-GB"/>
              </w:rPr>
              <w:t>: Not addressed</w:t>
            </w:r>
            <w:r w:rsidRPr="000317DC">
              <w:rPr>
                <w:rFonts w:ascii="Arial" w:hAnsi="Arial" w:cs="Arial"/>
                <w:sz w:val="20"/>
                <w:szCs w:val="20"/>
                <w:lang w:val="en-GB"/>
              </w:rPr>
              <w:br/>
            </w:r>
            <w:r w:rsidRPr="000317DC">
              <w:rPr>
                <w:rFonts w:ascii="Arial" w:hAnsi="Arial" w:cs="Arial"/>
                <w:b/>
                <w:bCs/>
                <w:sz w:val="20"/>
                <w:szCs w:val="20"/>
                <w:lang w:val="en-GB"/>
              </w:rPr>
              <w:t>Soc</w:t>
            </w:r>
            <w:r w:rsidRPr="000317DC">
              <w:rPr>
                <w:rFonts w:ascii="Arial" w:hAnsi="Arial" w:cs="Arial"/>
                <w:sz w:val="20"/>
                <w:szCs w:val="20"/>
                <w:lang w:val="en-GB"/>
              </w:rPr>
              <w:t>: Community spaces</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Not addressed</w:t>
            </w:r>
          </w:p>
        </w:tc>
        <w:tc>
          <w:tcPr>
            <w:tcW w:w="1803" w:type="dxa"/>
            <w:vAlign w:val="center"/>
          </w:tcPr>
          <w:p w14:paraId="331D7EAD"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Unequal access; marginalized groups excluded</w:t>
            </w:r>
          </w:p>
        </w:tc>
      </w:tr>
      <w:tr w:rsidR="005A59A4" w:rsidRPr="002F7D02" w14:paraId="1ECAA750" w14:textId="77777777" w:rsidTr="005A59A4">
        <w:trPr>
          <w:trHeight w:hRule="exact" w:val="1134"/>
        </w:trPr>
        <w:tc>
          <w:tcPr>
            <w:tcW w:w="1699" w:type="dxa"/>
            <w:vAlign w:val="center"/>
          </w:tcPr>
          <w:p w14:paraId="53120BC3" w14:textId="56965234"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Venter et al. (2020)</w:t>
            </w:r>
          </w:p>
        </w:tc>
        <w:tc>
          <w:tcPr>
            <w:tcW w:w="1868" w:type="dxa"/>
            <w:vAlign w:val="center"/>
          </w:tcPr>
          <w:p w14:paraId="765A1FFD" w14:textId="5FDC814F"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South Africa; urban green spaces</w:t>
            </w:r>
          </w:p>
        </w:tc>
        <w:tc>
          <w:tcPr>
            <w:tcW w:w="1728" w:type="dxa"/>
            <w:vAlign w:val="center"/>
          </w:tcPr>
          <w:p w14:paraId="7A8A192E" w14:textId="2959AD89"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Not explicitly addressed</w:t>
            </w:r>
          </w:p>
        </w:tc>
        <w:tc>
          <w:tcPr>
            <w:tcW w:w="1756" w:type="dxa"/>
            <w:vAlign w:val="center"/>
          </w:tcPr>
          <w:p w14:paraId="1EF4E5AF" w14:textId="70632194"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Urban planning frameworks</w:t>
            </w:r>
          </w:p>
        </w:tc>
        <w:tc>
          <w:tcPr>
            <w:tcW w:w="1769" w:type="dxa"/>
            <w:vAlign w:val="center"/>
          </w:tcPr>
          <w:p w14:paraId="341C3AAC" w14:textId="260C2F8A"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Green gentrification; funding constraints</w:t>
            </w:r>
          </w:p>
        </w:tc>
        <w:tc>
          <w:tcPr>
            <w:tcW w:w="2706" w:type="dxa"/>
            <w:vAlign w:val="center"/>
          </w:tcPr>
          <w:p w14:paraId="3A03B8FE" w14:textId="3C8895E1" w:rsidR="005A59A4" w:rsidRPr="000317DC" w:rsidRDefault="005A59A4" w:rsidP="005A59A4">
            <w:pPr>
              <w:tabs>
                <w:tab w:val="num" w:pos="720"/>
              </w:tabs>
              <w:rPr>
                <w:rFonts w:ascii="Arial" w:hAnsi="Arial" w:cs="Arial"/>
                <w:b/>
                <w:bCs/>
                <w:lang w:val="en-GB"/>
              </w:rPr>
            </w:pPr>
            <w:r w:rsidRPr="000317DC">
              <w:rPr>
                <w:rFonts w:ascii="Arial" w:hAnsi="Arial" w:cs="Arial"/>
                <w:b/>
                <w:bCs/>
                <w:sz w:val="20"/>
                <w:szCs w:val="20"/>
                <w:lang w:val="en-GB"/>
              </w:rPr>
              <w:t>Env</w:t>
            </w:r>
            <w:r w:rsidRPr="000317DC">
              <w:rPr>
                <w:rFonts w:ascii="Arial" w:hAnsi="Arial" w:cs="Arial"/>
                <w:sz w:val="20"/>
                <w:szCs w:val="20"/>
                <w:lang w:val="en-GB"/>
              </w:rPr>
              <w:t>: Reduce heat stress</w:t>
            </w:r>
            <w:r w:rsidRPr="000317DC">
              <w:rPr>
                <w:rFonts w:ascii="Arial" w:hAnsi="Arial" w:cs="Arial"/>
                <w:sz w:val="20"/>
                <w:szCs w:val="20"/>
                <w:lang w:val="en-GB"/>
              </w:rPr>
              <w:br/>
            </w:r>
            <w:r w:rsidRPr="000317DC">
              <w:rPr>
                <w:rFonts w:ascii="Arial" w:hAnsi="Arial" w:cs="Arial"/>
                <w:b/>
                <w:bCs/>
                <w:sz w:val="20"/>
                <w:szCs w:val="20"/>
                <w:lang w:val="en-GB"/>
              </w:rPr>
              <w:t>Soc</w:t>
            </w:r>
            <w:r w:rsidRPr="000317DC">
              <w:rPr>
                <w:rFonts w:ascii="Arial" w:hAnsi="Arial" w:cs="Arial"/>
                <w:sz w:val="20"/>
                <w:szCs w:val="20"/>
                <w:lang w:val="en-GB"/>
              </w:rPr>
              <w:t>: Recreational benefits</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Property value increase</w:t>
            </w:r>
          </w:p>
        </w:tc>
        <w:tc>
          <w:tcPr>
            <w:tcW w:w="1803" w:type="dxa"/>
            <w:vAlign w:val="center"/>
          </w:tcPr>
          <w:p w14:paraId="3BDCC051" w14:textId="5EEA9CEC"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Green gentrification displaces low-income residents</w:t>
            </w:r>
          </w:p>
        </w:tc>
      </w:tr>
      <w:tr w:rsidR="005A59A4" w:rsidRPr="002F7D02" w14:paraId="24090E36" w14:textId="77777777" w:rsidTr="005A59A4">
        <w:trPr>
          <w:trHeight w:hRule="exact" w:val="1134"/>
        </w:trPr>
        <w:tc>
          <w:tcPr>
            <w:tcW w:w="1699" w:type="dxa"/>
            <w:vAlign w:val="center"/>
          </w:tcPr>
          <w:p w14:paraId="5C9E7A61" w14:textId="566E5B48" w:rsidR="005A59A4" w:rsidRPr="000317DC" w:rsidRDefault="005A59A4" w:rsidP="005A59A4">
            <w:pPr>
              <w:tabs>
                <w:tab w:val="num" w:pos="720"/>
              </w:tabs>
              <w:rPr>
                <w:rFonts w:ascii="Arial" w:hAnsi="Arial" w:cs="Arial"/>
                <w:lang w:val="en-GB"/>
              </w:rPr>
            </w:pPr>
            <w:proofErr w:type="spellStart"/>
            <w:r w:rsidRPr="000317DC">
              <w:rPr>
                <w:rFonts w:ascii="Arial" w:hAnsi="Arial" w:cs="Arial"/>
                <w:sz w:val="20"/>
                <w:szCs w:val="20"/>
                <w:lang w:val="en-GB"/>
              </w:rPr>
              <w:t>Cobbinah</w:t>
            </w:r>
            <w:proofErr w:type="spellEnd"/>
            <w:r w:rsidRPr="000317DC">
              <w:rPr>
                <w:rFonts w:ascii="Arial" w:hAnsi="Arial" w:cs="Arial"/>
                <w:sz w:val="20"/>
                <w:szCs w:val="20"/>
                <w:lang w:val="en-GB"/>
              </w:rPr>
              <w:t xml:space="preserve"> and </w:t>
            </w:r>
            <w:proofErr w:type="spellStart"/>
            <w:r w:rsidRPr="000317DC">
              <w:rPr>
                <w:rFonts w:ascii="Arial" w:hAnsi="Arial" w:cs="Arial"/>
                <w:sz w:val="20"/>
                <w:szCs w:val="20"/>
                <w:lang w:val="en-GB"/>
              </w:rPr>
              <w:t>Asibey</w:t>
            </w:r>
            <w:proofErr w:type="spellEnd"/>
            <w:r w:rsidRPr="000317DC">
              <w:rPr>
                <w:rFonts w:ascii="Arial" w:hAnsi="Arial" w:cs="Arial"/>
                <w:sz w:val="20"/>
                <w:szCs w:val="20"/>
                <w:lang w:val="en-GB"/>
              </w:rPr>
              <w:t xml:space="preserve"> (2021)</w:t>
            </w:r>
          </w:p>
        </w:tc>
        <w:tc>
          <w:tcPr>
            <w:tcW w:w="1868" w:type="dxa"/>
            <w:vAlign w:val="center"/>
          </w:tcPr>
          <w:p w14:paraId="46C9C02B" w14:textId="62B0CF9E"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Ghana (Accra); informal settlements</w:t>
            </w:r>
          </w:p>
        </w:tc>
        <w:tc>
          <w:tcPr>
            <w:tcW w:w="1728" w:type="dxa"/>
            <w:vAlign w:val="center"/>
          </w:tcPr>
          <w:p w14:paraId="44DDFECC" w14:textId="3419C0E8"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Improve environmental quality</w:t>
            </w:r>
          </w:p>
        </w:tc>
        <w:tc>
          <w:tcPr>
            <w:tcW w:w="1756" w:type="dxa"/>
            <w:vAlign w:val="center"/>
          </w:tcPr>
          <w:p w14:paraId="1384B566" w14:textId="5B0A5C52"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Community associations</w:t>
            </w:r>
          </w:p>
        </w:tc>
        <w:tc>
          <w:tcPr>
            <w:tcW w:w="1769" w:type="dxa"/>
            <w:vAlign w:val="center"/>
          </w:tcPr>
          <w:p w14:paraId="652FC300" w14:textId="3784A00A"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Encroachment; poor authority cooperation</w:t>
            </w:r>
          </w:p>
        </w:tc>
        <w:tc>
          <w:tcPr>
            <w:tcW w:w="2706" w:type="dxa"/>
            <w:vAlign w:val="center"/>
          </w:tcPr>
          <w:p w14:paraId="7458B2A2" w14:textId="75FC68D6" w:rsidR="005A59A4" w:rsidRPr="000317DC" w:rsidRDefault="005A59A4" w:rsidP="005A59A4">
            <w:pPr>
              <w:tabs>
                <w:tab w:val="num" w:pos="720"/>
              </w:tabs>
              <w:rPr>
                <w:rFonts w:ascii="Arial" w:hAnsi="Arial" w:cs="Arial"/>
                <w:b/>
                <w:bCs/>
                <w:lang w:val="en-GB"/>
              </w:rPr>
            </w:pPr>
            <w:r w:rsidRPr="000317DC">
              <w:rPr>
                <w:rFonts w:ascii="Arial" w:hAnsi="Arial" w:cs="Arial"/>
                <w:b/>
                <w:bCs/>
                <w:sz w:val="20"/>
                <w:szCs w:val="20"/>
                <w:lang w:val="en-GB"/>
              </w:rPr>
              <w:t>Env</w:t>
            </w:r>
            <w:r w:rsidRPr="000317DC">
              <w:rPr>
                <w:rFonts w:ascii="Arial" w:hAnsi="Arial" w:cs="Arial"/>
                <w:sz w:val="20"/>
                <w:szCs w:val="20"/>
                <w:lang w:val="en-GB"/>
              </w:rPr>
              <w:t>: Reduce floods, noise, heat</w:t>
            </w:r>
            <w:r w:rsidRPr="000317DC">
              <w:rPr>
                <w:rFonts w:ascii="Arial" w:hAnsi="Arial" w:cs="Arial"/>
                <w:sz w:val="20"/>
                <w:szCs w:val="20"/>
                <w:lang w:val="en-GB"/>
              </w:rPr>
              <w:br/>
            </w:r>
            <w:r w:rsidRPr="000317DC">
              <w:rPr>
                <w:rFonts w:ascii="Arial" w:hAnsi="Arial" w:cs="Arial"/>
                <w:b/>
                <w:bCs/>
                <w:sz w:val="20"/>
                <w:szCs w:val="20"/>
                <w:lang w:val="en-GB"/>
              </w:rPr>
              <w:t>Soc</w:t>
            </w:r>
            <w:r w:rsidRPr="000317DC">
              <w:rPr>
                <w:rFonts w:ascii="Arial" w:hAnsi="Arial" w:cs="Arial"/>
                <w:sz w:val="20"/>
                <w:szCs w:val="20"/>
                <w:lang w:val="en-GB"/>
              </w:rPr>
              <w:t>: Social gatherings</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Not addressed</w:t>
            </w:r>
          </w:p>
        </w:tc>
        <w:tc>
          <w:tcPr>
            <w:tcW w:w="1803" w:type="dxa"/>
            <w:vAlign w:val="center"/>
          </w:tcPr>
          <w:p w14:paraId="09C9F6AD" w14:textId="6F4EC556"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Slum residents’ access and perceptions</w:t>
            </w:r>
          </w:p>
        </w:tc>
      </w:tr>
      <w:tr w:rsidR="005A59A4" w:rsidRPr="002F7D02" w14:paraId="059AB946" w14:textId="77777777" w:rsidTr="00CC315F">
        <w:trPr>
          <w:trHeight w:hRule="exact" w:val="1247"/>
        </w:trPr>
        <w:tc>
          <w:tcPr>
            <w:tcW w:w="1699" w:type="dxa"/>
            <w:vAlign w:val="center"/>
          </w:tcPr>
          <w:p w14:paraId="58F1EB85" w14:textId="4AF5F052"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Pedrosa et al. (2021)</w:t>
            </w:r>
          </w:p>
        </w:tc>
        <w:tc>
          <w:tcPr>
            <w:tcW w:w="1868" w:type="dxa"/>
            <w:vAlign w:val="center"/>
          </w:tcPr>
          <w:p w14:paraId="53E535C4" w14:textId="58116456" w:rsidR="005A59A4" w:rsidRPr="000317DC" w:rsidRDefault="005A59A4" w:rsidP="005A59A4">
            <w:pPr>
              <w:tabs>
                <w:tab w:val="num" w:pos="720"/>
              </w:tabs>
              <w:rPr>
                <w:rFonts w:ascii="Arial" w:hAnsi="Arial" w:cs="Arial"/>
                <w:lang w:val="en-GB"/>
              </w:rPr>
            </w:pPr>
            <w:r w:rsidRPr="000317DC">
              <w:rPr>
                <w:rFonts w:ascii="Arial" w:hAnsi="Arial" w:cs="Arial"/>
                <w:sz w:val="20"/>
                <w:szCs w:val="20"/>
                <w:lang w:val="it-IT"/>
              </w:rPr>
              <w:t>Angola (Luanda); peri-urban informal settlements</w:t>
            </w:r>
          </w:p>
        </w:tc>
        <w:tc>
          <w:tcPr>
            <w:tcW w:w="1728" w:type="dxa"/>
            <w:vAlign w:val="center"/>
          </w:tcPr>
          <w:p w14:paraId="1B4C81FD" w14:textId="2E431C52"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Ecosystem services; long-term outcomes unclear</w:t>
            </w:r>
          </w:p>
        </w:tc>
        <w:tc>
          <w:tcPr>
            <w:tcW w:w="1756" w:type="dxa"/>
            <w:vAlign w:val="center"/>
          </w:tcPr>
          <w:p w14:paraId="61237BF5" w14:textId="5FA250E6"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Children’s participation; community suggestions</w:t>
            </w:r>
          </w:p>
        </w:tc>
        <w:tc>
          <w:tcPr>
            <w:tcW w:w="1769" w:type="dxa"/>
            <w:vAlign w:val="center"/>
          </w:tcPr>
          <w:p w14:paraId="295756EC" w14:textId="710682F5"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Safety concerns; maintenance issues; parental restrictions</w:t>
            </w:r>
          </w:p>
        </w:tc>
        <w:tc>
          <w:tcPr>
            <w:tcW w:w="2706" w:type="dxa"/>
            <w:vAlign w:val="center"/>
          </w:tcPr>
          <w:p w14:paraId="16AE6B50" w14:textId="21DAF76D" w:rsidR="005A59A4" w:rsidRPr="000317DC" w:rsidRDefault="005A59A4" w:rsidP="005A59A4">
            <w:pPr>
              <w:tabs>
                <w:tab w:val="num" w:pos="720"/>
              </w:tabs>
              <w:rPr>
                <w:rFonts w:ascii="Arial" w:hAnsi="Arial" w:cs="Arial"/>
                <w:b/>
                <w:bCs/>
                <w:lang w:val="en-GB"/>
              </w:rPr>
            </w:pPr>
            <w:r w:rsidRPr="000317DC">
              <w:rPr>
                <w:rFonts w:ascii="Arial" w:hAnsi="Arial" w:cs="Arial"/>
                <w:b/>
                <w:bCs/>
                <w:sz w:val="20"/>
                <w:szCs w:val="20"/>
                <w:lang w:val="en-GB"/>
              </w:rPr>
              <w:t>Env</w:t>
            </w:r>
            <w:r w:rsidRPr="000317DC">
              <w:rPr>
                <w:rFonts w:ascii="Arial" w:hAnsi="Arial" w:cs="Arial"/>
                <w:sz w:val="20"/>
                <w:szCs w:val="20"/>
                <w:lang w:val="en-GB"/>
              </w:rPr>
              <w:t>: Ecosystem services</w:t>
            </w:r>
            <w:r w:rsidRPr="000317DC">
              <w:rPr>
                <w:rFonts w:ascii="Arial" w:hAnsi="Arial" w:cs="Arial"/>
                <w:sz w:val="20"/>
                <w:szCs w:val="20"/>
                <w:lang w:val="en-GB"/>
              </w:rPr>
              <w:br/>
            </w:r>
            <w:r w:rsidRPr="000317DC">
              <w:rPr>
                <w:rFonts w:ascii="Arial" w:hAnsi="Arial" w:cs="Arial"/>
                <w:b/>
                <w:bCs/>
                <w:sz w:val="20"/>
                <w:szCs w:val="20"/>
                <w:lang w:val="en-GB"/>
              </w:rPr>
              <w:t>Soc</w:t>
            </w:r>
            <w:r w:rsidRPr="000317DC">
              <w:rPr>
                <w:rFonts w:ascii="Arial" w:hAnsi="Arial" w:cs="Arial"/>
                <w:sz w:val="20"/>
                <w:szCs w:val="20"/>
                <w:lang w:val="en-GB"/>
              </w:rPr>
              <w:t>: Children’s use, perceptions</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Not addressed</w:t>
            </w:r>
          </w:p>
        </w:tc>
        <w:tc>
          <w:tcPr>
            <w:tcW w:w="1803" w:type="dxa"/>
            <w:vAlign w:val="center"/>
          </w:tcPr>
          <w:p w14:paraId="3C578BCB" w14:textId="6852E557" w:rsidR="005A59A4" w:rsidRPr="000317DC" w:rsidRDefault="005A59A4" w:rsidP="005A59A4">
            <w:pPr>
              <w:tabs>
                <w:tab w:val="num" w:pos="720"/>
              </w:tabs>
              <w:rPr>
                <w:rFonts w:ascii="Arial" w:hAnsi="Arial" w:cs="Arial"/>
                <w:lang w:val="en-GB"/>
              </w:rPr>
            </w:pPr>
            <w:r w:rsidRPr="000317DC">
              <w:rPr>
                <w:rFonts w:ascii="Arial" w:hAnsi="Arial" w:cs="Arial"/>
                <w:sz w:val="20"/>
                <w:szCs w:val="20"/>
                <w:lang w:val="en-GB"/>
              </w:rPr>
              <w:t>Children’s access and participation</w:t>
            </w:r>
          </w:p>
        </w:tc>
      </w:tr>
      <w:tr w:rsidR="005A59A4" w:rsidRPr="002F7D02" w14:paraId="62BB35B6" w14:textId="77777777" w:rsidTr="00D00A1A">
        <w:trPr>
          <w:trHeight w:hRule="exact" w:val="907"/>
        </w:trPr>
        <w:tc>
          <w:tcPr>
            <w:tcW w:w="1699" w:type="dxa"/>
            <w:shd w:val="clear" w:color="auto" w:fill="DAEEF3" w:themeFill="accent5" w:themeFillTint="33"/>
            <w:vAlign w:val="center"/>
          </w:tcPr>
          <w:p w14:paraId="4CB67EDE" w14:textId="77777777" w:rsidR="005A59A4" w:rsidRPr="00D00A1A" w:rsidRDefault="005A59A4" w:rsidP="005A59A4">
            <w:pPr>
              <w:tabs>
                <w:tab w:val="num" w:pos="720"/>
              </w:tabs>
              <w:jc w:val="center"/>
              <w:rPr>
                <w:rFonts w:ascii="Arial" w:hAnsi="Arial" w:cs="Arial"/>
                <w:sz w:val="20"/>
                <w:szCs w:val="20"/>
                <w:lang w:val="en-GB"/>
              </w:rPr>
            </w:pPr>
            <w:r w:rsidRPr="00D00A1A">
              <w:rPr>
                <w:rFonts w:ascii="Arial" w:hAnsi="Arial" w:cs="Arial"/>
                <w:b/>
                <w:bCs/>
                <w:sz w:val="20"/>
                <w:szCs w:val="20"/>
                <w:lang w:val="en-GB"/>
              </w:rPr>
              <w:lastRenderedPageBreak/>
              <w:t>Study Identification</w:t>
            </w:r>
          </w:p>
        </w:tc>
        <w:tc>
          <w:tcPr>
            <w:tcW w:w="1868" w:type="dxa"/>
            <w:shd w:val="clear" w:color="auto" w:fill="DAEEF3" w:themeFill="accent5" w:themeFillTint="33"/>
            <w:vAlign w:val="center"/>
          </w:tcPr>
          <w:p w14:paraId="102DF5A6" w14:textId="77777777" w:rsidR="005A59A4" w:rsidRPr="00D00A1A" w:rsidRDefault="005A59A4" w:rsidP="005A59A4">
            <w:pPr>
              <w:tabs>
                <w:tab w:val="num" w:pos="720"/>
              </w:tabs>
              <w:jc w:val="center"/>
              <w:rPr>
                <w:rFonts w:ascii="Arial" w:hAnsi="Arial" w:cs="Arial"/>
                <w:sz w:val="20"/>
                <w:szCs w:val="20"/>
                <w:lang w:val="en-GB"/>
              </w:rPr>
            </w:pPr>
            <w:r w:rsidRPr="00D00A1A">
              <w:rPr>
                <w:rFonts w:ascii="Arial" w:hAnsi="Arial" w:cs="Arial"/>
                <w:b/>
                <w:bCs/>
                <w:sz w:val="20"/>
                <w:szCs w:val="20"/>
                <w:lang w:val="en-GB"/>
              </w:rPr>
              <w:t>Study Context</w:t>
            </w:r>
          </w:p>
        </w:tc>
        <w:tc>
          <w:tcPr>
            <w:tcW w:w="1728" w:type="dxa"/>
            <w:shd w:val="clear" w:color="auto" w:fill="DAEEF3" w:themeFill="accent5" w:themeFillTint="33"/>
            <w:vAlign w:val="center"/>
          </w:tcPr>
          <w:p w14:paraId="4E35A377" w14:textId="77777777" w:rsidR="005A59A4" w:rsidRPr="00D00A1A" w:rsidRDefault="005A59A4" w:rsidP="005A59A4">
            <w:pPr>
              <w:tabs>
                <w:tab w:val="num" w:pos="720"/>
              </w:tabs>
              <w:jc w:val="center"/>
              <w:rPr>
                <w:rFonts w:ascii="Arial" w:hAnsi="Arial" w:cs="Arial"/>
                <w:sz w:val="20"/>
                <w:szCs w:val="20"/>
                <w:lang w:val="en-GB"/>
              </w:rPr>
            </w:pPr>
            <w:r w:rsidRPr="00D00A1A">
              <w:rPr>
                <w:rFonts w:ascii="Arial" w:hAnsi="Arial" w:cs="Arial"/>
                <w:b/>
                <w:bCs/>
                <w:sz w:val="20"/>
                <w:szCs w:val="20"/>
                <w:lang w:val="en-GB"/>
              </w:rPr>
              <w:t>Sustainability and Resilience Outcomes</w:t>
            </w:r>
          </w:p>
        </w:tc>
        <w:tc>
          <w:tcPr>
            <w:tcW w:w="1756" w:type="dxa"/>
            <w:shd w:val="clear" w:color="auto" w:fill="DAEEF3" w:themeFill="accent5" w:themeFillTint="33"/>
            <w:vAlign w:val="center"/>
          </w:tcPr>
          <w:p w14:paraId="7ACCF4FA" w14:textId="77777777" w:rsidR="005A59A4" w:rsidRPr="00D00A1A" w:rsidRDefault="005A59A4" w:rsidP="005A59A4">
            <w:pPr>
              <w:tabs>
                <w:tab w:val="num" w:pos="720"/>
              </w:tabs>
              <w:jc w:val="center"/>
              <w:rPr>
                <w:rFonts w:ascii="Arial" w:hAnsi="Arial" w:cs="Arial"/>
                <w:sz w:val="20"/>
                <w:szCs w:val="20"/>
                <w:lang w:val="en-GB"/>
              </w:rPr>
            </w:pPr>
            <w:r w:rsidRPr="00D00A1A">
              <w:rPr>
                <w:rFonts w:ascii="Arial" w:hAnsi="Arial" w:cs="Arial"/>
                <w:b/>
                <w:bCs/>
                <w:sz w:val="20"/>
                <w:szCs w:val="20"/>
                <w:lang w:val="en-GB"/>
              </w:rPr>
              <w:t>Opportunities and Enabling Factors</w:t>
            </w:r>
          </w:p>
        </w:tc>
        <w:tc>
          <w:tcPr>
            <w:tcW w:w="1769" w:type="dxa"/>
            <w:shd w:val="clear" w:color="auto" w:fill="DAEEF3" w:themeFill="accent5" w:themeFillTint="33"/>
            <w:vAlign w:val="center"/>
          </w:tcPr>
          <w:p w14:paraId="23DF187A" w14:textId="77777777" w:rsidR="005A59A4" w:rsidRPr="00D00A1A" w:rsidRDefault="005A59A4" w:rsidP="005A59A4">
            <w:pPr>
              <w:tabs>
                <w:tab w:val="num" w:pos="720"/>
              </w:tabs>
              <w:jc w:val="center"/>
              <w:rPr>
                <w:rFonts w:ascii="Arial" w:hAnsi="Arial" w:cs="Arial"/>
                <w:sz w:val="20"/>
                <w:szCs w:val="20"/>
                <w:lang w:val="en-GB"/>
              </w:rPr>
            </w:pPr>
            <w:r w:rsidRPr="00D00A1A">
              <w:rPr>
                <w:rFonts w:ascii="Arial" w:hAnsi="Arial" w:cs="Arial"/>
                <w:b/>
                <w:bCs/>
                <w:sz w:val="20"/>
                <w:szCs w:val="20"/>
                <w:lang w:val="en-GB"/>
              </w:rPr>
              <w:t>Barriers and Challenges</w:t>
            </w:r>
          </w:p>
        </w:tc>
        <w:tc>
          <w:tcPr>
            <w:tcW w:w="2706" w:type="dxa"/>
            <w:shd w:val="clear" w:color="auto" w:fill="DAEEF3" w:themeFill="accent5" w:themeFillTint="33"/>
            <w:vAlign w:val="center"/>
          </w:tcPr>
          <w:p w14:paraId="40BACB53" w14:textId="77777777" w:rsidR="005A59A4" w:rsidRPr="00D00A1A" w:rsidRDefault="005A59A4" w:rsidP="005A59A4">
            <w:pPr>
              <w:tabs>
                <w:tab w:val="num" w:pos="720"/>
              </w:tabs>
              <w:jc w:val="center"/>
              <w:rPr>
                <w:rFonts w:ascii="Arial" w:hAnsi="Arial" w:cs="Arial"/>
                <w:b/>
                <w:bCs/>
                <w:sz w:val="20"/>
                <w:szCs w:val="20"/>
                <w:lang w:val="en-GB"/>
              </w:rPr>
            </w:pPr>
            <w:r w:rsidRPr="00D00A1A">
              <w:rPr>
                <w:rFonts w:ascii="Arial" w:hAnsi="Arial" w:cs="Arial"/>
                <w:b/>
                <w:bCs/>
                <w:sz w:val="20"/>
                <w:szCs w:val="20"/>
                <w:lang w:val="en-GB"/>
              </w:rPr>
              <w:t>Environmental, Social, and Economic Impacts</w:t>
            </w:r>
          </w:p>
        </w:tc>
        <w:tc>
          <w:tcPr>
            <w:tcW w:w="1803" w:type="dxa"/>
            <w:shd w:val="clear" w:color="auto" w:fill="DAEEF3" w:themeFill="accent5" w:themeFillTint="33"/>
            <w:vAlign w:val="center"/>
          </w:tcPr>
          <w:p w14:paraId="5917022C" w14:textId="77777777" w:rsidR="005A59A4" w:rsidRPr="00D00A1A" w:rsidRDefault="005A59A4" w:rsidP="005A59A4">
            <w:pPr>
              <w:tabs>
                <w:tab w:val="num" w:pos="720"/>
              </w:tabs>
              <w:jc w:val="center"/>
              <w:rPr>
                <w:rFonts w:ascii="Arial" w:hAnsi="Arial" w:cs="Arial"/>
                <w:sz w:val="20"/>
                <w:szCs w:val="20"/>
                <w:lang w:val="en-GB"/>
              </w:rPr>
            </w:pPr>
            <w:r w:rsidRPr="00D00A1A">
              <w:rPr>
                <w:rFonts w:ascii="Arial" w:hAnsi="Arial" w:cs="Arial"/>
                <w:b/>
                <w:bCs/>
                <w:sz w:val="20"/>
                <w:szCs w:val="20"/>
                <w:lang w:val="en-GB"/>
              </w:rPr>
              <w:t>Equity and Inclusivity</w:t>
            </w:r>
          </w:p>
        </w:tc>
      </w:tr>
      <w:tr w:rsidR="005A59A4" w:rsidRPr="002F7D02" w14:paraId="7E4D6124" w14:textId="77777777" w:rsidTr="00830B47">
        <w:trPr>
          <w:trHeight w:hRule="exact" w:val="1928"/>
        </w:trPr>
        <w:tc>
          <w:tcPr>
            <w:tcW w:w="1699" w:type="dxa"/>
            <w:shd w:val="clear" w:color="auto" w:fill="C2D69B" w:themeFill="accent3" w:themeFillTint="99"/>
            <w:vAlign w:val="center"/>
          </w:tcPr>
          <w:p w14:paraId="5ABD2F31" w14:textId="30A0C85E" w:rsidR="005A59A4" w:rsidRPr="000317DC" w:rsidRDefault="005A59A4" w:rsidP="005A59A4">
            <w:pPr>
              <w:tabs>
                <w:tab w:val="num" w:pos="720"/>
              </w:tabs>
              <w:rPr>
                <w:rFonts w:ascii="Arial" w:hAnsi="Arial" w:cs="Arial"/>
                <w:sz w:val="20"/>
                <w:szCs w:val="20"/>
                <w:lang w:val="en-GB"/>
              </w:rPr>
            </w:pPr>
            <w:proofErr w:type="spellStart"/>
            <w:r w:rsidRPr="000317DC">
              <w:rPr>
                <w:rFonts w:ascii="Arial" w:hAnsi="Arial" w:cs="Arial"/>
                <w:sz w:val="20"/>
                <w:szCs w:val="20"/>
              </w:rPr>
              <w:t>Puplampu</w:t>
            </w:r>
            <w:proofErr w:type="spellEnd"/>
            <w:r w:rsidRPr="000317DC">
              <w:rPr>
                <w:rFonts w:ascii="Arial" w:hAnsi="Arial" w:cs="Arial"/>
                <w:sz w:val="20"/>
                <w:szCs w:val="20"/>
              </w:rPr>
              <w:t xml:space="preserve"> and Boafo (2021)</w:t>
            </w:r>
          </w:p>
        </w:tc>
        <w:tc>
          <w:tcPr>
            <w:tcW w:w="1868" w:type="dxa"/>
            <w:shd w:val="clear" w:color="auto" w:fill="C2D69B" w:themeFill="accent3" w:themeFillTint="99"/>
            <w:vAlign w:val="center"/>
          </w:tcPr>
          <w:p w14:paraId="26C846D1" w14:textId="23339119" w:rsidR="005A59A4" w:rsidRPr="000317DC" w:rsidRDefault="005A59A4" w:rsidP="005A59A4">
            <w:pPr>
              <w:tabs>
                <w:tab w:val="num" w:pos="720"/>
              </w:tabs>
              <w:rPr>
                <w:rFonts w:ascii="Arial" w:hAnsi="Arial" w:cs="Arial"/>
                <w:sz w:val="20"/>
                <w:szCs w:val="20"/>
                <w:lang w:val="it-IT"/>
              </w:rPr>
            </w:pPr>
            <w:r w:rsidRPr="000317DC">
              <w:rPr>
                <w:rFonts w:ascii="Arial" w:hAnsi="Arial" w:cs="Arial"/>
                <w:sz w:val="20"/>
                <w:szCs w:val="20"/>
              </w:rPr>
              <w:t>Ghana (Accra); urban green spaces</w:t>
            </w:r>
          </w:p>
        </w:tc>
        <w:tc>
          <w:tcPr>
            <w:tcW w:w="1728" w:type="dxa"/>
            <w:shd w:val="clear" w:color="auto" w:fill="C2D69B" w:themeFill="accent3" w:themeFillTint="99"/>
            <w:vAlign w:val="center"/>
          </w:tcPr>
          <w:p w14:paraId="6C51757F" w14:textId="0C52227C"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rPr>
              <w:t>Potential climate resilience; not quantified</w:t>
            </w:r>
          </w:p>
        </w:tc>
        <w:tc>
          <w:tcPr>
            <w:tcW w:w="1756" w:type="dxa"/>
            <w:shd w:val="clear" w:color="auto" w:fill="C2D69B" w:themeFill="accent3" w:themeFillTint="99"/>
            <w:vAlign w:val="center"/>
          </w:tcPr>
          <w:p w14:paraId="0C158479" w14:textId="46019D94"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rPr>
              <w:t>Community engagement; urban planning frameworks</w:t>
            </w:r>
          </w:p>
        </w:tc>
        <w:tc>
          <w:tcPr>
            <w:tcW w:w="1769" w:type="dxa"/>
            <w:shd w:val="clear" w:color="auto" w:fill="C2D69B" w:themeFill="accent3" w:themeFillTint="99"/>
            <w:vAlign w:val="center"/>
          </w:tcPr>
          <w:p w14:paraId="3087C8D6" w14:textId="470708E3"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rPr>
              <w:t>Urban expansion; land use pressure; governance gaps</w:t>
            </w:r>
          </w:p>
        </w:tc>
        <w:tc>
          <w:tcPr>
            <w:tcW w:w="2706" w:type="dxa"/>
            <w:shd w:val="clear" w:color="auto" w:fill="C2D69B" w:themeFill="accent3" w:themeFillTint="99"/>
            <w:vAlign w:val="center"/>
          </w:tcPr>
          <w:p w14:paraId="64307A07" w14:textId="73ECC94C" w:rsidR="005A59A4" w:rsidRPr="000317DC" w:rsidRDefault="005A59A4" w:rsidP="005A59A4">
            <w:pPr>
              <w:tabs>
                <w:tab w:val="num" w:pos="720"/>
              </w:tabs>
              <w:rPr>
                <w:rFonts w:ascii="Arial" w:hAnsi="Arial" w:cs="Arial"/>
                <w:b/>
                <w:bCs/>
                <w:sz w:val="20"/>
                <w:szCs w:val="20"/>
                <w:lang w:val="en-GB"/>
              </w:rPr>
            </w:pPr>
            <w:r w:rsidRPr="000317DC">
              <w:rPr>
                <w:rFonts w:ascii="Arial" w:hAnsi="Arial" w:cs="Arial"/>
                <w:b/>
                <w:bCs/>
                <w:sz w:val="20"/>
                <w:szCs w:val="20"/>
              </w:rPr>
              <w:t xml:space="preserve">Env: </w:t>
            </w:r>
            <w:r w:rsidRPr="000317DC">
              <w:rPr>
                <w:rFonts w:ascii="Arial" w:hAnsi="Arial" w:cs="Arial"/>
                <w:bCs/>
                <w:sz w:val="20"/>
                <w:szCs w:val="20"/>
              </w:rPr>
              <w:t>Support ecosystem services (e.g., air quality, heat reduction)</w:t>
            </w:r>
            <w:r w:rsidRPr="000317DC">
              <w:rPr>
                <w:rFonts w:ascii="Arial" w:hAnsi="Arial" w:cs="Arial"/>
                <w:b/>
                <w:bCs/>
                <w:sz w:val="20"/>
                <w:szCs w:val="20"/>
              </w:rPr>
              <w:br/>
              <w:t xml:space="preserve">Soc: </w:t>
            </w:r>
            <w:r w:rsidRPr="000317DC">
              <w:rPr>
                <w:rFonts w:ascii="Arial" w:hAnsi="Arial" w:cs="Arial"/>
                <w:bCs/>
                <w:sz w:val="20"/>
                <w:szCs w:val="20"/>
              </w:rPr>
              <w:t>Recreational spaces, community well-being</w:t>
            </w:r>
            <w:r w:rsidRPr="000317DC">
              <w:rPr>
                <w:rFonts w:ascii="Arial" w:hAnsi="Arial" w:cs="Arial"/>
                <w:b/>
                <w:bCs/>
                <w:sz w:val="20"/>
                <w:szCs w:val="20"/>
              </w:rPr>
              <w:br/>
              <w:t xml:space="preserve">Eco: </w:t>
            </w:r>
            <w:r w:rsidRPr="000317DC">
              <w:rPr>
                <w:rFonts w:ascii="Arial" w:hAnsi="Arial" w:cs="Arial"/>
                <w:bCs/>
                <w:sz w:val="20"/>
                <w:szCs w:val="20"/>
              </w:rPr>
              <w:t>Potential tourism, property value increase</w:t>
            </w:r>
          </w:p>
        </w:tc>
        <w:tc>
          <w:tcPr>
            <w:tcW w:w="1803" w:type="dxa"/>
            <w:shd w:val="clear" w:color="auto" w:fill="C2D69B" w:themeFill="accent3" w:themeFillTint="99"/>
            <w:vAlign w:val="center"/>
          </w:tcPr>
          <w:p w14:paraId="32C658E7" w14:textId="5DF36AD5"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rPr>
              <w:t>Risk of green gentrification; unequal access to green spaces</w:t>
            </w:r>
          </w:p>
        </w:tc>
      </w:tr>
      <w:tr w:rsidR="005A59A4" w:rsidRPr="002F7D02" w14:paraId="05AF2510" w14:textId="77777777" w:rsidTr="00830B47">
        <w:trPr>
          <w:trHeight w:hRule="exact" w:val="2155"/>
        </w:trPr>
        <w:tc>
          <w:tcPr>
            <w:tcW w:w="1699" w:type="dxa"/>
            <w:shd w:val="clear" w:color="auto" w:fill="C2D69B" w:themeFill="accent3" w:themeFillTint="99"/>
            <w:vAlign w:val="center"/>
          </w:tcPr>
          <w:p w14:paraId="62DA4E98" w14:textId="77777777" w:rsidR="005A59A4" w:rsidRPr="000317DC" w:rsidRDefault="005A59A4" w:rsidP="005A59A4">
            <w:pPr>
              <w:tabs>
                <w:tab w:val="num" w:pos="720"/>
              </w:tabs>
              <w:rPr>
                <w:rFonts w:ascii="Arial" w:hAnsi="Arial" w:cs="Arial"/>
                <w:sz w:val="20"/>
                <w:szCs w:val="20"/>
              </w:rPr>
            </w:pPr>
            <w:proofErr w:type="spellStart"/>
            <w:r w:rsidRPr="000317DC">
              <w:rPr>
                <w:rFonts w:ascii="Arial" w:hAnsi="Arial" w:cs="Arial"/>
                <w:sz w:val="20"/>
                <w:szCs w:val="20"/>
              </w:rPr>
              <w:t>Vijayalaxmi</w:t>
            </w:r>
            <w:proofErr w:type="spellEnd"/>
            <w:r w:rsidRPr="000317DC">
              <w:rPr>
                <w:rFonts w:ascii="Arial" w:hAnsi="Arial" w:cs="Arial"/>
                <w:sz w:val="20"/>
                <w:szCs w:val="20"/>
              </w:rPr>
              <w:t xml:space="preserve"> and </w:t>
            </w:r>
            <w:proofErr w:type="spellStart"/>
            <w:r w:rsidRPr="000317DC">
              <w:rPr>
                <w:rFonts w:ascii="Arial" w:hAnsi="Arial" w:cs="Arial"/>
                <w:sz w:val="20"/>
                <w:szCs w:val="20"/>
              </w:rPr>
              <w:t>Dnyanesh</w:t>
            </w:r>
            <w:proofErr w:type="spellEnd"/>
            <w:r w:rsidRPr="000317DC">
              <w:rPr>
                <w:rFonts w:ascii="Arial" w:hAnsi="Arial" w:cs="Arial"/>
                <w:sz w:val="20"/>
                <w:szCs w:val="20"/>
              </w:rPr>
              <w:t xml:space="preserve"> (2021)</w:t>
            </w:r>
          </w:p>
          <w:p w14:paraId="6C0617F3" w14:textId="77777777" w:rsidR="005A59A4" w:rsidRPr="000317DC" w:rsidRDefault="005A59A4" w:rsidP="005A59A4">
            <w:pPr>
              <w:tabs>
                <w:tab w:val="num" w:pos="720"/>
              </w:tabs>
              <w:rPr>
                <w:rFonts w:ascii="Arial" w:hAnsi="Arial" w:cs="Arial"/>
                <w:sz w:val="20"/>
                <w:szCs w:val="20"/>
                <w:lang w:val="en-GB"/>
              </w:rPr>
            </w:pPr>
          </w:p>
        </w:tc>
        <w:tc>
          <w:tcPr>
            <w:tcW w:w="1868" w:type="dxa"/>
            <w:shd w:val="clear" w:color="auto" w:fill="C2D69B" w:themeFill="accent3" w:themeFillTint="99"/>
            <w:vAlign w:val="center"/>
          </w:tcPr>
          <w:p w14:paraId="40D1B359" w14:textId="77777777" w:rsidR="005A59A4" w:rsidRPr="000317DC" w:rsidRDefault="005A59A4" w:rsidP="005A59A4">
            <w:pPr>
              <w:tabs>
                <w:tab w:val="num" w:pos="720"/>
              </w:tabs>
              <w:rPr>
                <w:rFonts w:ascii="Arial" w:hAnsi="Arial" w:cs="Arial"/>
                <w:sz w:val="20"/>
                <w:szCs w:val="20"/>
              </w:rPr>
            </w:pPr>
            <w:r w:rsidRPr="000317DC">
              <w:rPr>
                <w:rFonts w:ascii="Arial" w:hAnsi="Arial" w:cs="Arial"/>
                <w:sz w:val="20"/>
                <w:szCs w:val="20"/>
              </w:rPr>
              <w:t>India (Pune); urban green spaces</w:t>
            </w:r>
          </w:p>
          <w:p w14:paraId="47DA30BA" w14:textId="77777777" w:rsidR="005A59A4" w:rsidRPr="000317DC" w:rsidRDefault="005A59A4" w:rsidP="005A59A4">
            <w:pPr>
              <w:tabs>
                <w:tab w:val="num" w:pos="720"/>
              </w:tabs>
              <w:rPr>
                <w:rFonts w:ascii="Arial" w:hAnsi="Arial" w:cs="Arial"/>
                <w:sz w:val="20"/>
                <w:szCs w:val="20"/>
                <w:lang w:val="en-GB"/>
              </w:rPr>
            </w:pPr>
          </w:p>
        </w:tc>
        <w:tc>
          <w:tcPr>
            <w:tcW w:w="1728" w:type="dxa"/>
            <w:shd w:val="clear" w:color="auto" w:fill="C2D69B" w:themeFill="accent3" w:themeFillTint="99"/>
            <w:vAlign w:val="center"/>
          </w:tcPr>
          <w:p w14:paraId="188C2FC8" w14:textId="77777777" w:rsidR="005A59A4" w:rsidRPr="000317DC" w:rsidRDefault="005A59A4" w:rsidP="005A59A4">
            <w:pPr>
              <w:tabs>
                <w:tab w:val="num" w:pos="720"/>
              </w:tabs>
              <w:rPr>
                <w:rFonts w:ascii="Arial" w:hAnsi="Arial" w:cs="Arial"/>
                <w:sz w:val="20"/>
                <w:szCs w:val="20"/>
              </w:rPr>
            </w:pPr>
            <w:r w:rsidRPr="000317DC">
              <w:rPr>
                <w:rFonts w:ascii="Arial" w:hAnsi="Arial" w:cs="Arial"/>
                <w:sz w:val="20"/>
                <w:szCs w:val="20"/>
              </w:rPr>
              <w:t>Carbon sequestration; climate resilience</w:t>
            </w:r>
          </w:p>
          <w:p w14:paraId="5511C7D3" w14:textId="77777777" w:rsidR="005A59A4" w:rsidRPr="000317DC" w:rsidRDefault="005A59A4" w:rsidP="005A59A4">
            <w:pPr>
              <w:tabs>
                <w:tab w:val="num" w:pos="720"/>
              </w:tabs>
              <w:rPr>
                <w:rFonts w:ascii="Arial" w:hAnsi="Arial" w:cs="Arial"/>
                <w:sz w:val="20"/>
                <w:szCs w:val="20"/>
                <w:lang w:val="en-GB"/>
              </w:rPr>
            </w:pPr>
          </w:p>
        </w:tc>
        <w:tc>
          <w:tcPr>
            <w:tcW w:w="1756" w:type="dxa"/>
            <w:shd w:val="clear" w:color="auto" w:fill="C2D69B" w:themeFill="accent3" w:themeFillTint="99"/>
            <w:vAlign w:val="center"/>
          </w:tcPr>
          <w:p w14:paraId="262BBE06" w14:textId="77777777" w:rsidR="005A59A4" w:rsidRPr="000317DC" w:rsidRDefault="005A59A4" w:rsidP="005A59A4">
            <w:pPr>
              <w:tabs>
                <w:tab w:val="num" w:pos="720"/>
              </w:tabs>
              <w:rPr>
                <w:rFonts w:ascii="Arial" w:hAnsi="Arial" w:cs="Arial"/>
                <w:sz w:val="20"/>
                <w:szCs w:val="20"/>
              </w:rPr>
            </w:pPr>
            <w:r w:rsidRPr="000317DC">
              <w:rPr>
                <w:rFonts w:ascii="Arial" w:hAnsi="Arial" w:cs="Arial"/>
                <w:sz w:val="20"/>
                <w:szCs w:val="20"/>
              </w:rPr>
              <w:t>Community awareness; urban planning frameworks; native species prioritization</w:t>
            </w:r>
          </w:p>
          <w:p w14:paraId="7725B3E2" w14:textId="77777777" w:rsidR="005A59A4" w:rsidRPr="000317DC" w:rsidRDefault="005A59A4" w:rsidP="005A59A4">
            <w:pPr>
              <w:tabs>
                <w:tab w:val="num" w:pos="720"/>
              </w:tabs>
              <w:rPr>
                <w:rFonts w:ascii="Arial" w:hAnsi="Arial" w:cs="Arial"/>
                <w:sz w:val="20"/>
                <w:szCs w:val="20"/>
                <w:lang w:val="en-GB"/>
              </w:rPr>
            </w:pPr>
          </w:p>
        </w:tc>
        <w:tc>
          <w:tcPr>
            <w:tcW w:w="1769" w:type="dxa"/>
            <w:shd w:val="clear" w:color="auto" w:fill="C2D69B" w:themeFill="accent3" w:themeFillTint="99"/>
            <w:vAlign w:val="center"/>
          </w:tcPr>
          <w:p w14:paraId="7C72DEC8" w14:textId="77777777" w:rsidR="005A59A4" w:rsidRPr="000317DC" w:rsidRDefault="005A59A4" w:rsidP="005A59A4">
            <w:pPr>
              <w:tabs>
                <w:tab w:val="num" w:pos="720"/>
              </w:tabs>
              <w:rPr>
                <w:rFonts w:ascii="Arial" w:hAnsi="Arial" w:cs="Arial"/>
                <w:sz w:val="20"/>
                <w:szCs w:val="20"/>
              </w:rPr>
            </w:pPr>
            <w:r w:rsidRPr="000317DC">
              <w:rPr>
                <w:rFonts w:ascii="Arial" w:hAnsi="Arial" w:cs="Arial"/>
                <w:sz w:val="20"/>
                <w:szCs w:val="20"/>
              </w:rPr>
              <w:t>Urbanization; maintenance costs; need for long-term data</w:t>
            </w:r>
          </w:p>
          <w:p w14:paraId="5DD99E42" w14:textId="77777777" w:rsidR="005A59A4" w:rsidRPr="000317DC" w:rsidRDefault="005A59A4" w:rsidP="005A59A4">
            <w:pPr>
              <w:tabs>
                <w:tab w:val="num" w:pos="720"/>
              </w:tabs>
              <w:rPr>
                <w:rFonts w:ascii="Arial" w:hAnsi="Arial" w:cs="Arial"/>
                <w:sz w:val="20"/>
                <w:szCs w:val="20"/>
                <w:lang w:val="en-GB"/>
              </w:rPr>
            </w:pPr>
          </w:p>
        </w:tc>
        <w:tc>
          <w:tcPr>
            <w:tcW w:w="2706" w:type="dxa"/>
            <w:shd w:val="clear" w:color="auto" w:fill="C2D69B" w:themeFill="accent3" w:themeFillTint="99"/>
            <w:vAlign w:val="center"/>
          </w:tcPr>
          <w:p w14:paraId="009930B5" w14:textId="77777777" w:rsidR="005A59A4" w:rsidRPr="000317DC" w:rsidRDefault="005A59A4" w:rsidP="005A59A4">
            <w:pPr>
              <w:tabs>
                <w:tab w:val="num" w:pos="720"/>
              </w:tabs>
              <w:rPr>
                <w:rFonts w:ascii="Arial" w:hAnsi="Arial" w:cs="Arial"/>
                <w:b/>
                <w:bCs/>
                <w:sz w:val="20"/>
                <w:szCs w:val="20"/>
                <w:lang w:val="en-GB"/>
              </w:rPr>
            </w:pPr>
            <w:r w:rsidRPr="000317DC">
              <w:rPr>
                <w:rFonts w:ascii="Arial" w:hAnsi="Arial" w:cs="Arial"/>
                <w:b/>
                <w:bCs/>
                <w:sz w:val="20"/>
                <w:szCs w:val="20"/>
              </w:rPr>
              <w:t>Env:</w:t>
            </w:r>
            <w:r w:rsidRPr="000317DC">
              <w:rPr>
                <w:rFonts w:ascii="Arial" w:hAnsi="Arial" w:cs="Arial"/>
                <w:sz w:val="20"/>
                <w:szCs w:val="20"/>
              </w:rPr>
              <w:t xml:space="preserve"> Carbon sequestration, air quality improvement, heat reduction</w:t>
            </w:r>
            <w:r w:rsidRPr="000317DC">
              <w:rPr>
                <w:rFonts w:ascii="Arial" w:hAnsi="Arial" w:cs="Arial"/>
                <w:sz w:val="20"/>
                <w:szCs w:val="20"/>
              </w:rPr>
              <w:br/>
            </w:r>
            <w:r w:rsidRPr="000317DC">
              <w:rPr>
                <w:rFonts w:ascii="Arial" w:hAnsi="Arial" w:cs="Arial"/>
                <w:b/>
                <w:bCs/>
                <w:sz w:val="20"/>
                <w:szCs w:val="20"/>
              </w:rPr>
              <w:t>Soc:</w:t>
            </w:r>
            <w:r w:rsidRPr="000317DC">
              <w:rPr>
                <w:rFonts w:ascii="Arial" w:hAnsi="Arial" w:cs="Arial"/>
                <w:sz w:val="20"/>
                <w:szCs w:val="20"/>
              </w:rPr>
              <w:t xml:space="preserve"> Mental health benefits, community engagement</w:t>
            </w:r>
            <w:r w:rsidRPr="000317DC">
              <w:rPr>
                <w:rFonts w:ascii="Arial" w:hAnsi="Arial" w:cs="Arial"/>
                <w:sz w:val="20"/>
                <w:szCs w:val="20"/>
              </w:rPr>
              <w:br/>
            </w:r>
            <w:r w:rsidRPr="000317DC">
              <w:rPr>
                <w:rFonts w:ascii="Arial" w:hAnsi="Arial" w:cs="Arial"/>
                <w:b/>
                <w:bCs/>
                <w:sz w:val="20"/>
                <w:szCs w:val="20"/>
              </w:rPr>
              <w:t>Eco:</w:t>
            </w:r>
            <w:r w:rsidRPr="000317DC">
              <w:rPr>
                <w:rFonts w:ascii="Arial" w:hAnsi="Arial" w:cs="Arial"/>
                <w:sz w:val="20"/>
                <w:szCs w:val="20"/>
              </w:rPr>
              <w:t xml:space="preserve"> Potential energy</w:t>
            </w:r>
            <w:r w:rsidRPr="000317DC">
              <w:rPr>
                <w:rFonts w:ascii="Arial" w:hAnsi="Arial" w:cs="Arial"/>
                <w:b/>
                <w:bCs/>
                <w:sz w:val="20"/>
                <w:szCs w:val="20"/>
              </w:rPr>
              <w:t xml:space="preserve"> </w:t>
            </w:r>
            <w:r w:rsidRPr="000317DC">
              <w:rPr>
                <w:rFonts w:ascii="Arial" w:hAnsi="Arial" w:cs="Arial"/>
                <w:sz w:val="20"/>
                <w:szCs w:val="20"/>
              </w:rPr>
              <w:t>savings</w:t>
            </w:r>
          </w:p>
        </w:tc>
        <w:tc>
          <w:tcPr>
            <w:tcW w:w="1803" w:type="dxa"/>
            <w:shd w:val="clear" w:color="auto" w:fill="C2D69B" w:themeFill="accent3" w:themeFillTint="99"/>
            <w:vAlign w:val="center"/>
          </w:tcPr>
          <w:p w14:paraId="0FEE445B" w14:textId="77777777" w:rsidR="005A59A4" w:rsidRPr="000317DC" w:rsidRDefault="005A59A4" w:rsidP="005A59A4">
            <w:pPr>
              <w:tabs>
                <w:tab w:val="num" w:pos="720"/>
              </w:tabs>
              <w:rPr>
                <w:rFonts w:ascii="Arial" w:hAnsi="Arial" w:cs="Arial"/>
                <w:sz w:val="20"/>
                <w:szCs w:val="20"/>
              </w:rPr>
            </w:pPr>
            <w:r w:rsidRPr="000317DC">
              <w:rPr>
                <w:rFonts w:ascii="Arial" w:hAnsi="Arial" w:cs="Arial"/>
                <w:sz w:val="20"/>
                <w:szCs w:val="20"/>
              </w:rPr>
              <w:t>Not explicitly addressed</w:t>
            </w:r>
          </w:p>
          <w:p w14:paraId="42C11E2B" w14:textId="77777777" w:rsidR="005A59A4" w:rsidRPr="000317DC" w:rsidRDefault="005A59A4" w:rsidP="005A59A4">
            <w:pPr>
              <w:tabs>
                <w:tab w:val="num" w:pos="720"/>
              </w:tabs>
              <w:rPr>
                <w:rFonts w:ascii="Arial" w:hAnsi="Arial" w:cs="Arial"/>
                <w:sz w:val="20"/>
                <w:szCs w:val="20"/>
                <w:lang w:val="en-GB"/>
              </w:rPr>
            </w:pPr>
          </w:p>
        </w:tc>
      </w:tr>
      <w:tr w:rsidR="005A59A4" w:rsidRPr="002F7D02" w14:paraId="72EC9E22" w14:textId="77777777" w:rsidTr="00830B47">
        <w:trPr>
          <w:trHeight w:hRule="exact" w:val="1134"/>
        </w:trPr>
        <w:tc>
          <w:tcPr>
            <w:tcW w:w="1699" w:type="dxa"/>
            <w:shd w:val="clear" w:color="auto" w:fill="C2D69B" w:themeFill="accent3" w:themeFillTint="99"/>
            <w:vAlign w:val="center"/>
          </w:tcPr>
          <w:p w14:paraId="079D476E" w14:textId="09A07215"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rPr>
              <w:t>Wijesinghe &amp; Thorn (2021)</w:t>
            </w:r>
          </w:p>
        </w:tc>
        <w:tc>
          <w:tcPr>
            <w:tcW w:w="1868" w:type="dxa"/>
            <w:shd w:val="clear" w:color="auto" w:fill="C2D69B" w:themeFill="accent3" w:themeFillTint="99"/>
            <w:vAlign w:val="center"/>
          </w:tcPr>
          <w:p w14:paraId="37C9EB60" w14:textId="5EDAC410" w:rsidR="005A59A4" w:rsidRPr="000317DC" w:rsidRDefault="005A59A4" w:rsidP="005A59A4">
            <w:pPr>
              <w:tabs>
                <w:tab w:val="num" w:pos="720"/>
              </w:tabs>
              <w:rPr>
                <w:rFonts w:ascii="Arial" w:hAnsi="Arial" w:cs="Arial"/>
                <w:sz w:val="20"/>
                <w:szCs w:val="20"/>
                <w:lang w:val="it-IT"/>
              </w:rPr>
            </w:pPr>
            <w:r w:rsidRPr="000317DC">
              <w:rPr>
                <w:rFonts w:ascii="Arial" w:hAnsi="Arial" w:cs="Arial"/>
                <w:sz w:val="20"/>
                <w:szCs w:val="20"/>
              </w:rPr>
              <w:t>Namibia (Windhoek); informal settlements</w:t>
            </w:r>
          </w:p>
        </w:tc>
        <w:tc>
          <w:tcPr>
            <w:tcW w:w="1728" w:type="dxa"/>
            <w:shd w:val="clear" w:color="auto" w:fill="C2D69B" w:themeFill="accent3" w:themeFillTint="99"/>
            <w:vAlign w:val="center"/>
          </w:tcPr>
          <w:p w14:paraId="5857A65A" w14:textId="1203E398"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rPr>
              <w:t>Not explicitly addressed</w:t>
            </w:r>
          </w:p>
        </w:tc>
        <w:tc>
          <w:tcPr>
            <w:tcW w:w="1756" w:type="dxa"/>
            <w:shd w:val="clear" w:color="auto" w:fill="C2D69B" w:themeFill="accent3" w:themeFillTint="99"/>
            <w:vAlign w:val="center"/>
          </w:tcPr>
          <w:p w14:paraId="3595BACA" w14:textId="14C82FB4"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rPr>
              <w:t>Community governance; policy integration</w:t>
            </w:r>
          </w:p>
        </w:tc>
        <w:tc>
          <w:tcPr>
            <w:tcW w:w="1769" w:type="dxa"/>
            <w:shd w:val="clear" w:color="auto" w:fill="C2D69B" w:themeFill="accent3" w:themeFillTint="99"/>
            <w:vAlign w:val="center"/>
          </w:tcPr>
          <w:p w14:paraId="4C2BA708" w14:textId="3A3EF89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rPr>
              <w:t>Governance gaps; funding shortages</w:t>
            </w:r>
          </w:p>
        </w:tc>
        <w:tc>
          <w:tcPr>
            <w:tcW w:w="2706" w:type="dxa"/>
            <w:shd w:val="clear" w:color="auto" w:fill="C2D69B" w:themeFill="accent3" w:themeFillTint="99"/>
            <w:vAlign w:val="center"/>
          </w:tcPr>
          <w:p w14:paraId="41B3BAF8" w14:textId="2DCC6194" w:rsidR="005A59A4" w:rsidRPr="000317DC" w:rsidRDefault="005A59A4" w:rsidP="005A59A4">
            <w:pPr>
              <w:tabs>
                <w:tab w:val="num" w:pos="720"/>
              </w:tabs>
              <w:rPr>
                <w:rFonts w:ascii="Arial" w:hAnsi="Arial" w:cs="Arial"/>
                <w:b/>
                <w:bCs/>
                <w:sz w:val="20"/>
                <w:szCs w:val="20"/>
                <w:lang w:val="en-GB"/>
              </w:rPr>
            </w:pPr>
            <w:r w:rsidRPr="000317DC">
              <w:rPr>
                <w:rFonts w:ascii="Arial" w:hAnsi="Arial" w:cs="Arial"/>
                <w:b/>
                <w:bCs/>
                <w:sz w:val="20"/>
                <w:szCs w:val="20"/>
              </w:rPr>
              <w:t xml:space="preserve">Env: </w:t>
            </w:r>
            <w:r w:rsidRPr="000317DC">
              <w:rPr>
                <w:rFonts w:ascii="Arial" w:hAnsi="Arial" w:cs="Arial"/>
                <w:bCs/>
                <w:sz w:val="20"/>
                <w:szCs w:val="20"/>
              </w:rPr>
              <w:t>Not addressed</w:t>
            </w:r>
            <w:r w:rsidRPr="000317DC">
              <w:rPr>
                <w:rFonts w:ascii="Arial" w:hAnsi="Arial" w:cs="Arial"/>
                <w:b/>
                <w:bCs/>
                <w:sz w:val="20"/>
                <w:szCs w:val="20"/>
              </w:rPr>
              <w:br/>
              <w:t xml:space="preserve">Soc: </w:t>
            </w:r>
            <w:r w:rsidRPr="000317DC">
              <w:rPr>
                <w:rFonts w:ascii="Arial" w:hAnsi="Arial" w:cs="Arial"/>
                <w:bCs/>
                <w:sz w:val="20"/>
                <w:szCs w:val="20"/>
              </w:rPr>
              <w:t>Community well-being</w:t>
            </w:r>
            <w:r w:rsidRPr="000317DC">
              <w:rPr>
                <w:rFonts w:ascii="Arial" w:hAnsi="Arial" w:cs="Arial"/>
                <w:b/>
                <w:bCs/>
                <w:sz w:val="20"/>
                <w:szCs w:val="20"/>
              </w:rPr>
              <w:br/>
              <w:t xml:space="preserve">Eco: </w:t>
            </w:r>
            <w:r w:rsidRPr="000317DC">
              <w:rPr>
                <w:rFonts w:ascii="Arial" w:hAnsi="Arial" w:cs="Arial"/>
                <w:bCs/>
                <w:sz w:val="20"/>
                <w:szCs w:val="20"/>
              </w:rPr>
              <w:t>Not addressed</w:t>
            </w:r>
          </w:p>
        </w:tc>
        <w:tc>
          <w:tcPr>
            <w:tcW w:w="1803" w:type="dxa"/>
            <w:shd w:val="clear" w:color="auto" w:fill="C2D69B" w:themeFill="accent3" w:themeFillTint="99"/>
            <w:vAlign w:val="center"/>
          </w:tcPr>
          <w:p w14:paraId="27188680" w14:textId="1CD37F71"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rPr>
              <w:t>Limited access for low-income groups</w:t>
            </w:r>
          </w:p>
        </w:tc>
      </w:tr>
      <w:tr w:rsidR="005A59A4" w:rsidRPr="002F7D02" w14:paraId="6EED4896" w14:textId="77777777" w:rsidTr="00CC315F">
        <w:trPr>
          <w:trHeight w:hRule="exact" w:val="1134"/>
        </w:trPr>
        <w:tc>
          <w:tcPr>
            <w:tcW w:w="1699" w:type="dxa"/>
            <w:vAlign w:val="center"/>
          </w:tcPr>
          <w:p w14:paraId="5C7FCE8D" w14:textId="77777777" w:rsidR="005A59A4" w:rsidRPr="000317DC" w:rsidRDefault="005A59A4" w:rsidP="005A59A4">
            <w:pPr>
              <w:tabs>
                <w:tab w:val="num" w:pos="720"/>
              </w:tabs>
              <w:rPr>
                <w:rFonts w:ascii="Arial" w:hAnsi="Arial" w:cs="Arial"/>
                <w:sz w:val="20"/>
                <w:szCs w:val="20"/>
                <w:lang w:val="en-GB"/>
              </w:rPr>
            </w:pPr>
            <w:proofErr w:type="spellStart"/>
            <w:r w:rsidRPr="000317DC">
              <w:rPr>
                <w:rFonts w:ascii="Arial" w:hAnsi="Arial" w:cs="Arial"/>
                <w:sz w:val="20"/>
                <w:szCs w:val="20"/>
                <w:lang w:val="en-GB"/>
              </w:rPr>
              <w:t>Adjetey</w:t>
            </w:r>
            <w:proofErr w:type="spellEnd"/>
            <w:r w:rsidRPr="000317DC">
              <w:rPr>
                <w:rFonts w:ascii="Arial" w:hAnsi="Arial" w:cs="Arial"/>
                <w:sz w:val="20"/>
                <w:szCs w:val="20"/>
                <w:lang w:val="en-GB"/>
              </w:rPr>
              <w:t xml:space="preserve"> et al. (2023)</w:t>
            </w:r>
          </w:p>
        </w:tc>
        <w:tc>
          <w:tcPr>
            <w:tcW w:w="1868" w:type="dxa"/>
            <w:vAlign w:val="center"/>
          </w:tcPr>
          <w:p w14:paraId="2E23DBA1" w14:textId="77777777" w:rsidR="005A59A4" w:rsidRPr="000317DC" w:rsidRDefault="005A59A4" w:rsidP="005A59A4">
            <w:pPr>
              <w:tabs>
                <w:tab w:val="num" w:pos="720"/>
              </w:tabs>
              <w:rPr>
                <w:rFonts w:ascii="Arial" w:hAnsi="Arial" w:cs="Arial"/>
                <w:sz w:val="20"/>
                <w:szCs w:val="20"/>
                <w:lang w:val="it-IT"/>
              </w:rPr>
            </w:pPr>
            <w:r w:rsidRPr="000317DC">
              <w:rPr>
                <w:rFonts w:ascii="Arial" w:hAnsi="Arial" w:cs="Arial"/>
                <w:sz w:val="20"/>
                <w:szCs w:val="20"/>
                <w:lang w:val="en-GB"/>
              </w:rPr>
              <w:t>Ghana (Accra); urban parks</w:t>
            </w:r>
          </w:p>
        </w:tc>
        <w:tc>
          <w:tcPr>
            <w:tcW w:w="1728" w:type="dxa"/>
            <w:vAlign w:val="center"/>
          </w:tcPr>
          <w:p w14:paraId="30AD7240"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Potential climate resilience; not quantified</w:t>
            </w:r>
          </w:p>
        </w:tc>
        <w:tc>
          <w:tcPr>
            <w:tcW w:w="1756" w:type="dxa"/>
            <w:vAlign w:val="center"/>
          </w:tcPr>
          <w:p w14:paraId="0904D506"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Public-private partnerships; community involvement</w:t>
            </w:r>
          </w:p>
        </w:tc>
        <w:tc>
          <w:tcPr>
            <w:tcW w:w="1769" w:type="dxa"/>
            <w:vAlign w:val="center"/>
          </w:tcPr>
          <w:p w14:paraId="196CFD81"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26% green space loss; governance gaps</w:t>
            </w:r>
          </w:p>
        </w:tc>
        <w:tc>
          <w:tcPr>
            <w:tcW w:w="2706" w:type="dxa"/>
            <w:vAlign w:val="center"/>
          </w:tcPr>
          <w:p w14:paraId="05460BCB" w14:textId="77777777" w:rsidR="005A59A4" w:rsidRPr="000317DC" w:rsidRDefault="005A59A4" w:rsidP="005A59A4">
            <w:pPr>
              <w:tabs>
                <w:tab w:val="num" w:pos="720"/>
              </w:tabs>
              <w:rPr>
                <w:rFonts w:ascii="Arial" w:hAnsi="Arial" w:cs="Arial"/>
                <w:b/>
                <w:bCs/>
                <w:sz w:val="20"/>
                <w:szCs w:val="20"/>
                <w:lang w:val="en-GB"/>
              </w:rPr>
            </w:pPr>
            <w:r w:rsidRPr="000317DC">
              <w:rPr>
                <w:rFonts w:ascii="Arial" w:hAnsi="Arial" w:cs="Arial"/>
                <w:b/>
                <w:bCs/>
                <w:sz w:val="20"/>
                <w:szCs w:val="20"/>
                <w:lang w:val="en-GB"/>
              </w:rPr>
              <w:t>Env</w:t>
            </w:r>
            <w:r w:rsidRPr="000317DC">
              <w:rPr>
                <w:rFonts w:ascii="Arial" w:hAnsi="Arial" w:cs="Arial"/>
                <w:sz w:val="20"/>
                <w:szCs w:val="20"/>
                <w:lang w:val="en-GB"/>
              </w:rPr>
              <w:t>: Support biodiversity</w:t>
            </w:r>
            <w:r w:rsidRPr="000317DC">
              <w:rPr>
                <w:rFonts w:ascii="Arial" w:hAnsi="Arial" w:cs="Arial"/>
                <w:sz w:val="20"/>
                <w:szCs w:val="20"/>
                <w:lang w:val="en-GB"/>
              </w:rPr>
              <w:br/>
            </w:r>
            <w:r w:rsidRPr="000317DC">
              <w:rPr>
                <w:rFonts w:ascii="Arial" w:hAnsi="Arial" w:cs="Arial"/>
                <w:b/>
                <w:bCs/>
                <w:sz w:val="20"/>
                <w:szCs w:val="20"/>
                <w:lang w:val="en-GB"/>
              </w:rPr>
              <w:t>Soc</w:t>
            </w:r>
            <w:r w:rsidRPr="000317DC">
              <w:rPr>
                <w:rFonts w:ascii="Arial" w:hAnsi="Arial" w:cs="Arial"/>
                <w:sz w:val="20"/>
                <w:szCs w:val="20"/>
                <w:lang w:val="en-GB"/>
              </w:rPr>
              <w:t>: Recreational spaces</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Tourism potential</w:t>
            </w:r>
          </w:p>
        </w:tc>
        <w:tc>
          <w:tcPr>
            <w:tcW w:w="1803" w:type="dxa"/>
            <w:vAlign w:val="center"/>
          </w:tcPr>
          <w:p w14:paraId="6B3F1A9F"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Unequal access; wealthier areas benefit</w:t>
            </w:r>
          </w:p>
        </w:tc>
      </w:tr>
      <w:tr w:rsidR="005A59A4" w:rsidRPr="002F7D02" w14:paraId="095F01E5" w14:textId="77777777" w:rsidTr="00CC315F">
        <w:trPr>
          <w:trHeight w:hRule="exact" w:val="1134"/>
        </w:trPr>
        <w:tc>
          <w:tcPr>
            <w:tcW w:w="1699" w:type="dxa"/>
            <w:vAlign w:val="center"/>
          </w:tcPr>
          <w:p w14:paraId="20068207"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Ansah et al. (2024)</w:t>
            </w:r>
          </w:p>
        </w:tc>
        <w:tc>
          <w:tcPr>
            <w:tcW w:w="1868" w:type="dxa"/>
            <w:vAlign w:val="center"/>
          </w:tcPr>
          <w:p w14:paraId="34B710CC"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Sub-Saharan Africa; urban greening</w:t>
            </w:r>
          </w:p>
        </w:tc>
        <w:tc>
          <w:tcPr>
            <w:tcW w:w="1728" w:type="dxa"/>
            <w:vAlign w:val="center"/>
          </w:tcPr>
          <w:p w14:paraId="6E0C3C2C"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Potential health resilience; not quantified</w:t>
            </w:r>
          </w:p>
        </w:tc>
        <w:tc>
          <w:tcPr>
            <w:tcW w:w="1756" w:type="dxa"/>
            <w:vAlign w:val="center"/>
          </w:tcPr>
          <w:p w14:paraId="666D4A8F"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Community-based greening; health policies</w:t>
            </w:r>
          </w:p>
        </w:tc>
        <w:tc>
          <w:tcPr>
            <w:tcW w:w="1769" w:type="dxa"/>
            <w:vAlign w:val="center"/>
          </w:tcPr>
          <w:p w14:paraId="09D2436B"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Lack of region-specific data; funding shortages</w:t>
            </w:r>
          </w:p>
        </w:tc>
        <w:tc>
          <w:tcPr>
            <w:tcW w:w="2706" w:type="dxa"/>
            <w:vAlign w:val="center"/>
          </w:tcPr>
          <w:p w14:paraId="62710FD3" w14:textId="77777777" w:rsidR="005A59A4" w:rsidRPr="000317DC" w:rsidRDefault="005A59A4" w:rsidP="005A59A4">
            <w:pPr>
              <w:tabs>
                <w:tab w:val="num" w:pos="720"/>
              </w:tabs>
              <w:rPr>
                <w:rFonts w:ascii="Arial" w:hAnsi="Arial" w:cs="Arial"/>
                <w:b/>
                <w:bCs/>
                <w:sz w:val="20"/>
                <w:szCs w:val="20"/>
                <w:lang w:val="en-GB"/>
              </w:rPr>
            </w:pPr>
            <w:r w:rsidRPr="000317DC">
              <w:rPr>
                <w:rFonts w:ascii="Arial" w:hAnsi="Arial" w:cs="Arial"/>
                <w:b/>
                <w:bCs/>
                <w:sz w:val="20"/>
                <w:szCs w:val="20"/>
                <w:lang w:val="en-GB"/>
              </w:rPr>
              <w:t>Env</w:t>
            </w:r>
            <w:r w:rsidRPr="000317DC">
              <w:rPr>
                <w:rFonts w:ascii="Arial" w:hAnsi="Arial" w:cs="Arial"/>
                <w:sz w:val="20"/>
                <w:szCs w:val="20"/>
                <w:lang w:val="en-GB"/>
              </w:rPr>
              <w:t>: Not addressed</w:t>
            </w:r>
            <w:r w:rsidRPr="000317DC">
              <w:rPr>
                <w:rFonts w:ascii="Arial" w:hAnsi="Arial" w:cs="Arial"/>
                <w:sz w:val="20"/>
                <w:szCs w:val="20"/>
                <w:lang w:val="en-GB"/>
              </w:rPr>
              <w:br/>
            </w:r>
            <w:r w:rsidRPr="000317DC">
              <w:rPr>
                <w:rFonts w:ascii="Arial" w:hAnsi="Arial" w:cs="Arial"/>
                <w:b/>
                <w:bCs/>
                <w:sz w:val="20"/>
                <w:szCs w:val="20"/>
                <w:lang w:val="en-GB"/>
              </w:rPr>
              <w:t>Soc</w:t>
            </w:r>
            <w:r w:rsidRPr="000317DC">
              <w:rPr>
                <w:rFonts w:ascii="Arial" w:hAnsi="Arial" w:cs="Arial"/>
                <w:sz w:val="20"/>
                <w:szCs w:val="20"/>
                <w:lang w:val="en-GB"/>
              </w:rPr>
              <w:t>: Improve health</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Not addressed</w:t>
            </w:r>
          </w:p>
        </w:tc>
        <w:tc>
          <w:tcPr>
            <w:tcW w:w="1803" w:type="dxa"/>
            <w:vAlign w:val="center"/>
          </w:tcPr>
          <w:p w14:paraId="2678F516"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Not explicitly addressed</w:t>
            </w:r>
          </w:p>
        </w:tc>
      </w:tr>
      <w:tr w:rsidR="005A59A4" w:rsidRPr="002F7D02" w14:paraId="31DBF642" w14:textId="77777777" w:rsidTr="00D00A1A">
        <w:trPr>
          <w:trHeight w:hRule="exact" w:val="907"/>
        </w:trPr>
        <w:tc>
          <w:tcPr>
            <w:tcW w:w="1699" w:type="dxa"/>
            <w:shd w:val="clear" w:color="auto" w:fill="DAEEF3" w:themeFill="accent5" w:themeFillTint="33"/>
            <w:vAlign w:val="center"/>
          </w:tcPr>
          <w:p w14:paraId="540F7ED2" w14:textId="77777777" w:rsidR="005A59A4" w:rsidRPr="00D00A1A" w:rsidRDefault="005A59A4" w:rsidP="005A59A4">
            <w:pPr>
              <w:tabs>
                <w:tab w:val="num" w:pos="720"/>
              </w:tabs>
              <w:jc w:val="center"/>
              <w:rPr>
                <w:rFonts w:ascii="Arial" w:hAnsi="Arial" w:cs="Arial"/>
                <w:sz w:val="20"/>
                <w:szCs w:val="20"/>
                <w:lang w:val="en-GB"/>
              </w:rPr>
            </w:pPr>
            <w:r w:rsidRPr="00D00A1A">
              <w:rPr>
                <w:rFonts w:ascii="Arial" w:hAnsi="Arial" w:cs="Arial"/>
                <w:b/>
                <w:bCs/>
                <w:sz w:val="20"/>
                <w:szCs w:val="20"/>
                <w:lang w:val="en-GB"/>
              </w:rPr>
              <w:lastRenderedPageBreak/>
              <w:t>Study Identification</w:t>
            </w:r>
          </w:p>
        </w:tc>
        <w:tc>
          <w:tcPr>
            <w:tcW w:w="1868" w:type="dxa"/>
            <w:shd w:val="clear" w:color="auto" w:fill="DAEEF3" w:themeFill="accent5" w:themeFillTint="33"/>
            <w:vAlign w:val="center"/>
          </w:tcPr>
          <w:p w14:paraId="71812564" w14:textId="77777777" w:rsidR="005A59A4" w:rsidRPr="00D00A1A" w:rsidRDefault="005A59A4" w:rsidP="005A59A4">
            <w:pPr>
              <w:tabs>
                <w:tab w:val="num" w:pos="720"/>
              </w:tabs>
              <w:jc w:val="center"/>
              <w:rPr>
                <w:rFonts w:ascii="Arial" w:hAnsi="Arial" w:cs="Arial"/>
                <w:sz w:val="20"/>
                <w:szCs w:val="20"/>
                <w:lang w:val="it-IT"/>
              </w:rPr>
            </w:pPr>
            <w:r w:rsidRPr="00D00A1A">
              <w:rPr>
                <w:rFonts w:ascii="Arial" w:hAnsi="Arial" w:cs="Arial"/>
                <w:b/>
                <w:bCs/>
                <w:sz w:val="20"/>
                <w:szCs w:val="20"/>
                <w:lang w:val="en-GB"/>
              </w:rPr>
              <w:t>Study Context</w:t>
            </w:r>
          </w:p>
        </w:tc>
        <w:tc>
          <w:tcPr>
            <w:tcW w:w="1728" w:type="dxa"/>
            <w:shd w:val="clear" w:color="auto" w:fill="DAEEF3" w:themeFill="accent5" w:themeFillTint="33"/>
            <w:vAlign w:val="center"/>
          </w:tcPr>
          <w:p w14:paraId="02845BC7" w14:textId="77777777" w:rsidR="005A59A4" w:rsidRPr="00D00A1A" w:rsidRDefault="005A59A4" w:rsidP="005A59A4">
            <w:pPr>
              <w:tabs>
                <w:tab w:val="num" w:pos="720"/>
              </w:tabs>
              <w:jc w:val="center"/>
              <w:rPr>
                <w:rFonts w:ascii="Arial" w:hAnsi="Arial" w:cs="Arial"/>
                <w:sz w:val="20"/>
                <w:szCs w:val="20"/>
                <w:lang w:val="en-GB"/>
              </w:rPr>
            </w:pPr>
            <w:r w:rsidRPr="00D00A1A">
              <w:rPr>
                <w:rFonts w:ascii="Arial" w:hAnsi="Arial" w:cs="Arial"/>
                <w:b/>
                <w:bCs/>
                <w:sz w:val="20"/>
                <w:szCs w:val="20"/>
                <w:lang w:val="en-GB"/>
              </w:rPr>
              <w:t>Sustainability and Resilience Outcomes</w:t>
            </w:r>
          </w:p>
        </w:tc>
        <w:tc>
          <w:tcPr>
            <w:tcW w:w="1756" w:type="dxa"/>
            <w:shd w:val="clear" w:color="auto" w:fill="DAEEF3" w:themeFill="accent5" w:themeFillTint="33"/>
            <w:vAlign w:val="center"/>
          </w:tcPr>
          <w:p w14:paraId="2AC18AE1" w14:textId="77777777" w:rsidR="005A59A4" w:rsidRPr="00D00A1A" w:rsidRDefault="005A59A4" w:rsidP="005A59A4">
            <w:pPr>
              <w:tabs>
                <w:tab w:val="num" w:pos="720"/>
              </w:tabs>
              <w:jc w:val="center"/>
              <w:rPr>
                <w:rFonts w:ascii="Arial" w:hAnsi="Arial" w:cs="Arial"/>
                <w:sz w:val="20"/>
                <w:szCs w:val="20"/>
                <w:lang w:val="en-GB"/>
              </w:rPr>
            </w:pPr>
            <w:r w:rsidRPr="00D00A1A">
              <w:rPr>
                <w:rFonts w:ascii="Arial" w:hAnsi="Arial" w:cs="Arial"/>
                <w:b/>
                <w:bCs/>
                <w:sz w:val="20"/>
                <w:szCs w:val="20"/>
                <w:lang w:val="en-GB"/>
              </w:rPr>
              <w:t>Opportunities and Enabling Factors</w:t>
            </w:r>
          </w:p>
        </w:tc>
        <w:tc>
          <w:tcPr>
            <w:tcW w:w="1769" w:type="dxa"/>
            <w:shd w:val="clear" w:color="auto" w:fill="DAEEF3" w:themeFill="accent5" w:themeFillTint="33"/>
            <w:vAlign w:val="center"/>
          </w:tcPr>
          <w:p w14:paraId="5DF9AC4F" w14:textId="77777777" w:rsidR="005A59A4" w:rsidRPr="00D00A1A" w:rsidRDefault="005A59A4" w:rsidP="005A59A4">
            <w:pPr>
              <w:tabs>
                <w:tab w:val="num" w:pos="720"/>
              </w:tabs>
              <w:jc w:val="center"/>
              <w:rPr>
                <w:rFonts w:ascii="Arial" w:hAnsi="Arial" w:cs="Arial"/>
                <w:sz w:val="20"/>
                <w:szCs w:val="20"/>
                <w:lang w:val="en-GB"/>
              </w:rPr>
            </w:pPr>
            <w:r w:rsidRPr="00D00A1A">
              <w:rPr>
                <w:rFonts w:ascii="Arial" w:hAnsi="Arial" w:cs="Arial"/>
                <w:b/>
                <w:bCs/>
                <w:sz w:val="20"/>
                <w:szCs w:val="20"/>
                <w:lang w:val="en-GB"/>
              </w:rPr>
              <w:t>Barriers and Challenges</w:t>
            </w:r>
          </w:p>
        </w:tc>
        <w:tc>
          <w:tcPr>
            <w:tcW w:w="2706" w:type="dxa"/>
            <w:shd w:val="clear" w:color="auto" w:fill="DAEEF3" w:themeFill="accent5" w:themeFillTint="33"/>
            <w:vAlign w:val="center"/>
          </w:tcPr>
          <w:p w14:paraId="4E5449FC" w14:textId="77777777" w:rsidR="005A59A4" w:rsidRPr="00D00A1A" w:rsidRDefault="005A59A4" w:rsidP="005A59A4">
            <w:pPr>
              <w:tabs>
                <w:tab w:val="num" w:pos="720"/>
              </w:tabs>
              <w:jc w:val="center"/>
              <w:rPr>
                <w:rFonts w:ascii="Arial" w:hAnsi="Arial" w:cs="Arial"/>
                <w:b/>
                <w:bCs/>
                <w:sz w:val="20"/>
                <w:szCs w:val="20"/>
                <w:lang w:val="en-GB"/>
              </w:rPr>
            </w:pPr>
            <w:r w:rsidRPr="00D00A1A">
              <w:rPr>
                <w:rFonts w:ascii="Arial" w:hAnsi="Arial" w:cs="Arial"/>
                <w:b/>
                <w:bCs/>
                <w:sz w:val="20"/>
                <w:szCs w:val="20"/>
                <w:lang w:val="en-GB"/>
              </w:rPr>
              <w:t>Environmental, Social, and Economic Impacts</w:t>
            </w:r>
          </w:p>
        </w:tc>
        <w:tc>
          <w:tcPr>
            <w:tcW w:w="1803" w:type="dxa"/>
            <w:shd w:val="clear" w:color="auto" w:fill="DAEEF3" w:themeFill="accent5" w:themeFillTint="33"/>
            <w:vAlign w:val="center"/>
          </w:tcPr>
          <w:p w14:paraId="12A728FC" w14:textId="77777777" w:rsidR="005A59A4" w:rsidRPr="00D00A1A" w:rsidRDefault="005A59A4" w:rsidP="005A59A4">
            <w:pPr>
              <w:tabs>
                <w:tab w:val="num" w:pos="720"/>
              </w:tabs>
              <w:jc w:val="center"/>
              <w:rPr>
                <w:rFonts w:ascii="Arial" w:hAnsi="Arial" w:cs="Arial"/>
                <w:sz w:val="20"/>
                <w:szCs w:val="20"/>
                <w:lang w:val="en-GB"/>
              </w:rPr>
            </w:pPr>
            <w:r w:rsidRPr="00D00A1A">
              <w:rPr>
                <w:rFonts w:ascii="Arial" w:hAnsi="Arial" w:cs="Arial"/>
                <w:b/>
                <w:bCs/>
                <w:sz w:val="20"/>
                <w:szCs w:val="20"/>
                <w:lang w:val="en-GB"/>
              </w:rPr>
              <w:t>Equity and Inclusivity</w:t>
            </w:r>
          </w:p>
        </w:tc>
      </w:tr>
      <w:tr w:rsidR="005A59A4" w:rsidRPr="002F7D02" w14:paraId="293430DA" w14:textId="77777777" w:rsidTr="00830B47">
        <w:trPr>
          <w:trHeight w:hRule="exact" w:val="1247"/>
        </w:trPr>
        <w:tc>
          <w:tcPr>
            <w:tcW w:w="1699" w:type="dxa"/>
            <w:shd w:val="clear" w:color="auto" w:fill="C2D69B" w:themeFill="accent3" w:themeFillTint="99"/>
            <w:vAlign w:val="center"/>
          </w:tcPr>
          <w:p w14:paraId="5E8309FB" w14:textId="70D6FC96"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Akanbang et al. (2024)</w:t>
            </w:r>
          </w:p>
        </w:tc>
        <w:tc>
          <w:tcPr>
            <w:tcW w:w="1868" w:type="dxa"/>
            <w:vAlign w:val="center"/>
          </w:tcPr>
          <w:p w14:paraId="6422D160"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Ghana (</w:t>
            </w:r>
            <w:proofErr w:type="spellStart"/>
            <w:r w:rsidRPr="000317DC">
              <w:rPr>
                <w:rFonts w:ascii="Arial" w:hAnsi="Arial" w:cs="Arial"/>
                <w:sz w:val="20"/>
                <w:szCs w:val="20"/>
                <w:lang w:val="en-GB"/>
              </w:rPr>
              <w:t>Wa</w:t>
            </w:r>
            <w:proofErr w:type="spellEnd"/>
            <w:r w:rsidRPr="000317DC">
              <w:rPr>
                <w:rFonts w:ascii="Arial" w:hAnsi="Arial" w:cs="Arial"/>
                <w:sz w:val="20"/>
                <w:szCs w:val="20"/>
                <w:lang w:val="en-GB"/>
              </w:rPr>
              <w:t>); home gardens</w:t>
            </w:r>
          </w:p>
        </w:tc>
        <w:tc>
          <w:tcPr>
            <w:tcW w:w="1728" w:type="dxa"/>
            <w:vAlign w:val="center"/>
          </w:tcPr>
          <w:p w14:paraId="26C73EFF"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Sustained via community maintenance; food security</w:t>
            </w:r>
          </w:p>
        </w:tc>
        <w:tc>
          <w:tcPr>
            <w:tcW w:w="1756" w:type="dxa"/>
            <w:vAlign w:val="center"/>
          </w:tcPr>
          <w:p w14:paraId="44C87E6C"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Resident-led greening; low-cost models</w:t>
            </w:r>
          </w:p>
        </w:tc>
        <w:tc>
          <w:tcPr>
            <w:tcW w:w="1769" w:type="dxa"/>
            <w:vAlign w:val="center"/>
          </w:tcPr>
          <w:p w14:paraId="5AA6E181"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Limited institutional support; housing prioritization</w:t>
            </w:r>
          </w:p>
        </w:tc>
        <w:tc>
          <w:tcPr>
            <w:tcW w:w="2706" w:type="dxa"/>
            <w:vAlign w:val="center"/>
          </w:tcPr>
          <w:p w14:paraId="4F25FDC2" w14:textId="77777777" w:rsidR="005A59A4" w:rsidRPr="000317DC" w:rsidRDefault="005A59A4" w:rsidP="005A59A4">
            <w:pPr>
              <w:tabs>
                <w:tab w:val="num" w:pos="720"/>
              </w:tabs>
              <w:rPr>
                <w:rFonts w:ascii="Arial" w:hAnsi="Arial" w:cs="Arial"/>
                <w:b/>
                <w:bCs/>
                <w:sz w:val="20"/>
                <w:szCs w:val="20"/>
                <w:lang w:val="en-GB"/>
              </w:rPr>
            </w:pPr>
            <w:r w:rsidRPr="000317DC">
              <w:rPr>
                <w:rFonts w:ascii="Arial" w:hAnsi="Arial" w:cs="Arial"/>
                <w:b/>
                <w:bCs/>
                <w:sz w:val="20"/>
                <w:szCs w:val="20"/>
                <w:lang w:val="en-GB"/>
              </w:rPr>
              <w:t>Env</w:t>
            </w:r>
            <w:r w:rsidRPr="000317DC">
              <w:rPr>
                <w:rFonts w:ascii="Arial" w:hAnsi="Arial" w:cs="Arial"/>
                <w:sz w:val="20"/>
                <w:szCs w:val="20"/>
                <w:lang w:val="en-GB"/>
              </w:rPr>
              <w:t>: Support urban agriculture</w:t>
            </w:r>
            <w:r w:rsidRPr="000317DC">
              <w:rPr>
                <w:rFonts w:ascii="Arial" w:hAnsi="Arial" w:cs="Arial"/>
                <w:sz w:val="20"/>
                <w:szCs w:val="20"/>
                <w:lang w:val="en-GB"/>
              </w:rPr>
              <w:br/>
            </w:r>
            <w:r w:rsidRPr="000317DC">
              <w:rPr>
                <w:rFonts w:ascii="Arial" w:hAnsi="Arial" w:cs="Arial"/>
                <w:b/>
                <w:bCs/>
                <w:sz w:val="20"/>
                <w:szCs w:val="20"/>
                <w:lang w:val="en-GB"/>
              </w:rPr>
              <w:t>Soc</w:t>
            </w:r>
            <w:r w:rsidRPr="000317DC">
              <w:rPr>
                <w:rFonts w:ascii="Arial" w:hAnsi="Arial" w:cs="Arial"/>
                <w:sz w:val="20"/>
                <w:szCs w:val="20"/>
                <w:lang w:val="en-GB"/>
              </w:rPr>
              <w:t>: Community ownership</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Income from produce</w:t>
            </w:r>
          </w:p>
        </w:tc>
        <w:tc>
          <w:tcPr>
            <w:tcW w:w="1803" w:type="dxa"/>
            <w:vAlign w:val="center"/>
          </w:tcPr>
          <w:p w14:paraId="7F84EAE4"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Equitable access via community involvement</w:t>
            </w:r>
          </w:p>
        </w:tc>
      </w:tr>
      <w:tr w:rsidR="005A59A4" w:rsidRPr="002F7D02" w14:paraId="71749F77" w14:textId="77777777" w:rsidTr="00057067">
        <w:trPr>
          <w:trHeight w:hRule="exact" w:val="1134"/>
        </w:trPr>
        <w:tc>
          <w:tcPr>
            <w:tcW w:w="1699" w:type="dxa"/>
            <w:vAlign w:val="center"/>
          </w:tcPr>
          <w:p w14:paraId="66D8E931" w14:textId="6AE78C8E"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Medeiros et al. (2024)</w:t>
            </w:r>
          </w:p>
        </w:tc>
        <w:tc>
          <w:tcPr>
            <w:tcW w:w="1868" w:type="dxa"/>
            <w:vAlign w:val="center"/>
          </w:tcPr>
          <w:p w14:paraId="2A76E6C0" w14:textId="50080C69"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Brazil; emerging economies</w:t>
            </w:r>
          </w:p>
        </w:tc>
        <w:tc>
          <w:tcPr>
            <w:tcW w:w="1728" w:type="dxa"/>
            <w:vAlign w:val="center"/>
          </w:tcPr>
          <w:p w14:paraId="2E7F2772" w14:textId="5FD0F67A"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Potential health benefits; sustainability unclear</w:t>
            </w:r>
          </w:p>
        </w:tc>
        <w:tc>
          <w:tcPr>
            <w:tcW w:w="1756" w:type="dxa"/>
            <w:vAlign w:val="center"/>
          </w:tcPr>
          <w:p w14:paraId="5F191621" w14:textId="6E8C9A75"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Public willingness to pay; green bonds</w:t>
            </w:r>
          </w:p>
        </w:tc>
        <w:tc>
          <w:tcPr>
            <w:tcW w:w="1769" w:type="dxa"/>
            <w:vAlign w:val="center"/>
          </w:tcPr>
          <w:p w14:paraId="6072E865" w14:textId="230E692D"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High costs; governance challenges</w:t>
            </w:r>
          </w:p>
        </w:tc>
        <w:tc>
          <w:tcPr>
            <w:tcW w:w="2706" w:type="dxa"/>
            <w:vAlign w:val="center"/>
          </w:tcPr>
          <w:p w14:paraId="334A66EC" w14:textId="7AE5A1C2" w:rsidR="005A59A4" w:rsidRPr="000317DC" w:rsidRDefault="005A59A4" w:rsidP="005A59A4">
            <w:pPr>
              <w:tabs>
                <w:tab w:val="num" w:pos="720"/>
              </w:tabs>
              <w:rPr>
                <w:rFonts w:ascii="Arial" w:hAnsi="Arial" w:cs="Arial"/>
                <w:b/>
                <w:bCs/>
                <w:sz w:val="20"/>
                <w:szCs w:val="20"/>
                <w:lang w:val="en-GB"/>
              </w:rPr>
            </w:pPr>
            <w:r w:rsidRPr="000317DC">
              <w:rPr>
                <w:rFonts w:ascii="Arial" w:hAnsi="Arial" w:cs="Arial"/>
                <w:b/>
                <w:bCs/>
                <w:sz w:val="20"/>
                <w:szCs w:val="20"/>
                <w:lang w:val="en-GB"/>
              </w:rPr>
              <w:t>Env</w:t>
            </w:r>
            <w:r w:rsidRPr="000317DC">
              <w:rPr>
                <w:rFonts w:ascii="Arial" w:hAnsi="Arial" w:cs="Arial"/>
                <w:sz w:val="20"/>
                <w:szCs w:val="20"/>
                <w:lang w:val="en-GB"/>
              </w:rPr>
              <w:t>: Improve air quality</w:t>
            </w:r>
            <w:r w:rsidRPr="000317DC">
              <w:rPr>
                <w:rFonts w:ascii="Arial" w:hAnsi="Arial" w:cs="Arial"/>
                <w:sz w:val="20"/>
                <w:szCs w:val="20"/>
                <w:lang w:val="en-GB"/>
              </w:rPr>
              <w:br/>
            </w:r>
            <w:r w:rsidRPr="000317DC">
              <w:rPr>
                <w:rFonts w:ascii="Arial" w:hAnsi="Arial" w:cs="Arial"/>
                <w:b/>
                <w:bCs/>
                <w:sz w:val="20"/>
                <w:szCs w:val="20"/>
                <w:lang w:val="en-GB"/>
              </w:rPr>
              <w:t>Soc</w:t>
            </w:r>
            <w:r w:rsidRPr="000317DC">
              <w:rPr>
                <w:rFonts w:ascii="Arial" w:hAnsi="Arial" w:cs="Arial"/>
                <w:sz w:val="20"/>
                <w:szCs w:val="20"/>
                <w:lang w:val="en-GB"/>
              </w:rPr>
              <w:t>: Reduce stress</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Job creation</w:t>
            </w:r>
          </w:p>
        </w:tc>
        <w:tc>
          <w:tcPr>
            <w:tcW w:w="1803" w:type="dxa"/>
            <w:vAlign w:val="center"/>
          </w:tcPr>
          <w:p w14:paraId="485B4BB8" w14:textId="567B9B71"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Not explicitly addressed</w:t>
            </w:r>
          </w:p>
        </w:tc>
      </w:tr>
      <w:tr w:rsidR="005A59A4" w:rsidRPr="002F7D02" w14:paraId="4483BFB3" w14:textId="77777777" w:rsidTr="00830B47">
        <w:trPr>
          <w:trHeight w:hRule="exact" w:val="2155"/>
        </w:trPr>
        <w:tc>
          <w:tcPr>
            <w:tcW w:w="1699" w:type="dxa"/>
            <w:shd w:val="clear" w:color="auto" w:fill="C2D69B" w:themeFill="accent3" w:themeFillTint="99"/>
            <w:vAlign w:val="center"/>
          </w:tcPr>
          <w:p w14:paraId="6EEFA57C" w14:textId="002A61FE" w:rsidR="005A59A4" w:rsidRPr="000317DC" w:rsidRDefault="005A59A4" w:rsidP="005A59A4">
            <w:pPr>
              <w:tabs>
                <w:tab w:val="num" w:pos="720"/>
              </w:tabs>
              <w:rPr>
                <w:rFonts w:ascii="Arial" w:hAnsi="Arial" w:cs="Arial"/>
                <w:sz w:val="20"/>
                <w:szCs w:val="20"/>
                <w:lang w:val="en-GB"/>
              </w:rPr>
            </w:pPr>
            <w:bookmarkStart w:id="6" w:name="_Hlk204016545"/>
            <w:r w:rsidRPr="000317DC">
              <w:rPr>
                <w:rFonts w:ascii="Arial" w:hAnsi="Arial" w:cs="Arial"/>
                <w:sz w:val="20"/>
                <w:szCs w:val="20"/>
              </w:rPr>
              <w:t>Muhoza and Zhou (2024</w:t>
            </w:r>
            <w:bookmarkEnd w:id="6"/>
            <w:r w:rsidRPr="000317DC">
              <w:rPr>
                <w:rFonts w:ascii="Arial" w:hAnsi="Arial" w:cs="Arial"/>
                <w:sz w:val="20"/>
                <w:szCs w:val="20"/>
              </w:rPr>
              <w:t>)</w:t>
            </w:r>
          </w:p>
        </w:tc>
        <w:tc>
          <w:tcPr>
            <w:tcW w:w="1868" w:type="dxa"/>
            <w:shd w:val="clear" w:color="auto" w:fill="C2D69B" w:themeFill="accent3" w:themeFillTint="99"/>
            <w:vAlign w:val="center"/>
          </w:tcPr>
          <w:p w14:paraId="7AAC86B2" w14:textId="74FDF31C"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rPr>
              <w:t>Africa (focus on South Africa, Ethiopia, Ghana, Nigeria, Egypt); urban green spaces</w:t>
            </w:r>
          </w:p>
        </w:tc>
        <w:tc>
          <w:tcPr>
            <w:tcW w:w="1728" w:type="dxa"/>
            <w:shd w:val="clear" w:color="auto" w:fill="C2D69B" w:themeFill="accent3" w:themeFillTint="99"/>
            <w:vAlign w:val="center"/>
          </w:tcPr>
          <w:p w14:paraId="47B85638" w14:textId="4D646EF6"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rPr>
              <w:t>Climate resilience; ecosystem services; health benefits</w:t>
            </w:r>
          </w:p>
        </w:tc>
        <w:tc>
          <w:tcPr>
            <w:tcW w:w="1756" w:type="dxa"/>
            <w:shd w:val="clear" w:color="auto" w:fill="C2D69B" w:themeFill="accent3" w:themeFillTint="99"/>
            <w:vAlign w:val="center"/>
          </w:tcPr>
          <w:p w14:paraId="05D0906B" w14:textId="2101A9E9"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rPr>
              <w:t>Policy integration; research collaboration; community awareness</w:t>
            </w:r>
          </w:p>
        </w:tc>
        <w:tc>
          <w:tcPr>
            <w:tcW w:w="1769" w:type="dxa"/>
            <w:shd w:val="clear" w:color="auto" w:fill="C2D69B" w:themeFill="accent3" w:themeFillTint="99"/>
            <w:vAlign w:val="center"/>
          </w:tcPr>
          <w:p w14:paraId="2D4105D4" w14:textId="57E0219D"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rPr>
              <w:t>Urbanization; governance gaps; limited funding; low green space coverage</w:t>
            </w:r>
          </w:p>
        </w:tc>
        <w:tc>
          <w:tcPr>
            <w:tcW w:w="2706" w:type="dxa"/>
            <w:shd w:val="clear" w:color="auto" w:fill="C2D69B" w:themeFill="accent3" w:themeFillTint="99"/>
            <w:vAlign w:val="center"/>
          </w:tcPr>
          <w:p w14:paraId="32896F42" w14:textId="10CF94AC" w:rsidR="005A59A4" w:rsidRPr="000317DC" w:rsidRDefault="005A59A4" w:rsidP="005A59A4">
            <w:pPr>
              <w:tabs>
                <w:tab w:val="num" w:pos="720"/>
              </w:tabs>
              <w:rPr>
                <w:rFonts w:ascii="Arial" w:hAnsi="Arial" w:cs="Arial"/>
                <w:b/>
                <w:bCs/>
                <w:sz w:val="20"/>
                <w:szCs w:val="20"/>
                <w:lang w:val="en-GB"/>
              </w:rPr>
            </w:pPr>
            <w:r w:rsidRPr="000317DC">
              <w:rPr>
                <w:rFonts w:ascii="Arial" w:hAnsi="Arial" w:cs="Arial"/>
                <w:b/>
                <w:bCs/>
                <w:sz w:val="20"/>
                <w:szCs w:val="20"/>
              </w:rPr>
              <w:t>Env:</w:t>
            </w:r>
            <w:r w:rsidRPr="000317DC">
              <w:rPr>
                <w:rFonts w:ascii="Arial" w:hAnsi="Arial" w:cs="Arial"/>
                <w:sz w:val="20"/>
                <w:szCs w:val="20"/>
              </w:rPr>
              <w:t xml:space="preserve"> Support biodiversity, carbon sequestration, heat reduction</w:t>
            </w:r>
            <w:r w:rsidRPr="000317DC">
              <w:rPr>
                <w:rFonts w:ascii="Arial" w:hAnsi="Arial" w:cs="Arial"/>
                <w:sz w:val="20"/>
                <w:szCs w:val="20"/>
              </w:rPr>
              <w:br/>
            </w:r>
            <w:r w:rsidRPr="000317DC">
              <w:rPr>
                <w:rFonts w:ascii="Arial" w:hAnsi="Arial" w:cs="Arial"/>
                <w:b/>
                <w:bCs/>
                <w:sz w:val="20"/>
                <w:szCs w:val="20"/>
              </w:rPr>
              <w:t>Soc:</w:t>
            </w:r>
            <w:r w:rsidRPr="000317DC">
              <w:rPr>
                <w:rFonts w:ascii="Arial" w:hAnsi="Arial" w:cs="Arial"/>
                <w:sz w:val="20"/>
                <w:szCs w:val="20"/>
              </w:rPr>
              <w:t xml:space="preserve"> Public health benefits, recreational spaces</w:t>
            </w:r>
            <w:r w:rsidRPr="000317DC">
              <w:rPr>
                <w:rFonts w:ascii="Arial" w:hAnsi="Arial" w:cs="Arial"/>
                <w:sz w:val="20"/>
                <w:szCs w:val="20"/>
              </w:rPr>
              <w:br/>
            </w:r>
            <w:r w:rsidRPr="000317DC">
              <w:rPr>
                <w:rFonts w:ascii="Arial" w:hAnsi="Arial" w:cs="Arial"/>
                <w:b/>
                <w:bCs/>
                <w:sz w:val="20"/>
                <w:szCs w:val="20"/>
              </w:rPr>
              <w:t>Eco:</w:t>
            </w:r>
            <w:r w:rsidRPr="000317DC">
              <w:rPr>
                <w:rFonts w:ascii="Arial" w:hAnsi="Arial" w:cs="Arial"/>
                <w:sz w:val="20"/>
                <w:szCs w:val="20"/>
              </w:rPr>
              <w:t xml:space="preserve"> Potential tourism, property value increase </w:t>
            </w:r>
          </w:p>
        </w:tc>
        <w:tc>
          <w:tcPr>
            <w:tcW w:w="1803" w:type="dxa"/>
            <w:shd w:val="clear" w:color="auto" w:fill="C2D69B" w:themeFill="accent3" w:themeFillTint="99"/>
            <w:vAlign w:val="center"/>
          </w:tcPr>
          <w:p w14:paraId="78183CB6" w14:textId="77777777" w:rsidR="005A59A4" w:rsidRPr="000317DC" w:rsidRDefault="005A59A4" w:rsidP="005A59A4">
            <w:pPr>
              <w:tabs>
                <w:tab w:val="num" w:pos="720"/>
              </w:tabs>
              <w:rPr>
                <w:rFonts w:ascii="Arial" w:hAnsi="Arial" w:cs="Arial"/>
                <w:sz w:val="20"/>
                <w:szCs w:val="20"/>
              </w:rPr>
            </w:pPr>
            <w:r w:rsidRPr="000317DC">
              <w:rPr>
                <w:rFonts w:ascii="Arial" w:hAnsi="Arial" w:cs="Arial"/>
                <w:sz w:val="20"/>
                <w:szCs w:val="20"/>
              </w:rPr>
              <w:t>Unequal access; wealthier areas benefit more</w:t>
            </w:r>
          </w:p>
          <w:p w14:paraId="5D7DF743" w14:textId="77777777" w:rsidR="005A59A4" w:rsidRPr="000317DC" w:rsidRDefault="005A59A4" w:rsidP="005A59A4">
            <w:pPr>
              <w:tabs>
                <w:tab w:val="num" w:pos="720"/>
              </w:tabs>
              <w:rPr>
                <w:rFonts w:ascii="Arial" w:hAnsi="Arial" w:cs="Arial"/>
                <w:sz w:val="20"/>
                <w:szCs w:val="20"/>
                <w:lang w:val="en-GB"/>
              </w:rPr>
            </w:pPr>
          </w:p>
        </w:tc>
      </w:tr>
      <w:tr w:rsidR="005A59A4" w:rsidRPr="002F7D02" w14:paraId="74E6AF3A" w14:textId="77777777" w:rsidTr="00CC315F">
        <w:trPr>
          <w:trHeight w:hRule="exact" w:val="1474"/>
        </w:trPr>
        <w:tc>
          <w:tcPr>
            <w:tcW w:w="1699" w:type="dxa"/>
            <w:vAlign w:val="center"/>
          </w:tcPr>
          <w:p w14:paraId="5242F722"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Safo et al. (2024)</w:t>
            </w:r>
          </w:p>
        </w:tc>
        <w:tc>
          <w:tcPr>
            <w:tcW w:w="1868" w:type="dxa"/>
            <w:vAlign w:val="center"/>
          </w:tcPr>
          <w:p w14:paraId="6E0FA851"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Ghana; built environment</w:t>
            </w:r>
          </w:p>
        </w:tc>
        <w:tc>
          <w:tcPr>
            <w:tcW w:w="1728" w:type="dxa"/>
            <w:vAlign w:val="center"/>
          </w:tcPr>
          <w:p w14:paraId="69B92AE0"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Not explicitly addressed</w:t>
            </w:r>
          </w:p>
        </w:tc>
        <w:tc>
          <w:tcPr>
            <w:tcW w:w="1756" w:type="dxa"/>
            <w:vAlign w:val="center"/>
          </w:tcPr>
          <w:p w14:paraId="7FAED286"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Collaborative planning; public-private partnerships</w:t>
            </w:r>
          </w:p>
        </w:tc>
        <w:tc>
          <w:tcPr>
            <w:tcW w:w="1769" w:type="dxa"/>
            <w:vAlign w:val="center"/>
          </w:tcPr>
          <w:p w14:paraId="70CF683F"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Urbanization; planning gaps</w:t>
            </w:r>
          </w:p>
        </w:tc>
        <w:tc>
          <w:tcPr>
            <w:tcW w:w="2706" w:type="dxa"/>
            <w:vAlign w:val="center"/>
          </w:tcPr>
          <w:p w14:paraId="5FDF259B" w14:textId="77777777" w:rsidR="005A59A4" w:rsidRPr="000317DC" w:rsidRDefault="005A59A4" w:rsidP="005A59A4">
            <w:pPr>
              <w:tabs>
                <w:tab w:val="num" w:pos="720"/>
              </w:tabs>
              <w:rPr>
                <w:rFonts w:ascii="Arial" w:hAnsi="Arial" w:cs="Arial"/>
                <w:b/>
                <w:bCs/>
                <w:sz w:val="20"/>
                <w:szCs w:val="20"/>
                <w:lang w:val="en-GB"/>
              </w:rPr>
            </w:pPr>
            <w:r w:rsidRPr="000317DC">
              <w:rPr>
                <w:rFonts w:ascii="Arial" w:hAnsi="Arial" w:cs="Arial"/>
                <w:b/>
                <w:bCs/>
                <w:sz w:val="20"/>
                <w:szCs w:val="20"/>
                <w:lang w:val="en-GB"/>
              </w:rPr>
              <w:t>Env</w:t>
            </w:r>
            <w:r w:rsidRPr="000317DC">
              <w:rPr>
                <w:rFonts w:ascii="Arial" w:hAnsi="Arial" w:cs="Arial"/>
                <w:sz w:val="20"/>
                <w:szCs w:val="20"/>
                <w:lang w:val="en-GB"/>
              </w:rPr>
              <w:t>: Improve environmental quality</w:t>
            </w:r>
            <w:r w:rsidRPr="000317DC">
              <w:rPr>
                <w:rFonts w:ascii="Arial" w:hAnsi="Arial" w:cs="Arial"/>
                <w:sz w:val="20"/>
                <w:szCs w:val="20"/>
                <w:lang w:val="en-GB"/>
              </w:rPr>
              <w:br/>
            </w:r>
            <w:r w:rsidRPr="000317DC">
              <w:rPr>
                <w:rFonts w:ascii="Arial" w:hAnsi="Arial" w:cs="Arial"/>
                <w:b/>
                <w:bCs/>
                <w:sz w:val="20"/>
                <w:szCs w:val="20"/>
                <w:lang w:val="en-GB"/>
              </w:rPr>
              <w:t>Soc</w:t>
            </w:r>
            <w:r w:rsidRPr="000317DC">
              <w:rPr>
                <w:rFonts w:ascii="Arial" w:hAnsi="Arial" w:cs="Arial"/>
                <w:sz w:val="20"/>
                <w:szCs w:val="20"/>
                <w:lang w:val="en-GB"/>
              </w:rPr>
              <w:t>: Community perceptions</w:t>
            </w:r>
            <w:r w:rsidRPr="000317DC">
              <w:rPr>
                <w:rFonts w:ascii="Arial" w:hAnsi="Arial" w:cs="Arial"/>
                <w:sz w:val="20"/>
                <w:szCs w:val="20"/>
                <w:lang w:val="en-GB"/>
              </w:rPr>
              <w:br/>
            </w:r>
            <w:r w:rsidRPr="000317DC">
              <w:rPr>
                <w:rFonts w:ascii="Arial" w:hAnsi="Arial" w:cs="Arial"/>
                <w:b/>
                <w:bCs/>
                <w:sz w:val="20"/>
                <w:szCs w:val="20"/>
                <w:lang w:val="en-GB"/>
              </w:rPr>
              <w:t>Eco</w:t>
            </w:r>
            <w:r w:rsidRPr="000317DC">
              <w:rPr>
                <w:rFonts w:ascii="Arial" w:hAnsi="Arial" w:cs="Arial"/>
                <w:sz w:val="20"/>
                <w:szCs w:val="20"/>
                <w:lang w:val="en-GB"/>
              </w:rPr>
              <w:t>: Not addressed</w:t>
            </w:r>
          </w:p>
        </w:tc>
        <w:tc>
          <w:tcPr>
            <w:tcW w:w="1803" w:type="dxa"/>
            <w:vAlign w:val="center"/>
          </w:tcPr>
          <w:p w14:paraId="0EB29ABB" w14:textId="77777777" w:rsidR="005A59A4" w:rsidRPr="000317DC" w:rsidRDefault="005A59A4" w:rsidP="005A59A4">
            <w:pPr>
              <w:tabs>
                <w:tab w:val="num" w:pos="720"/>
              </w:tabs>
              <w:rPr>
                <w:rFonts w:ascii="Arial" w:hAnsi="Arial" w:cs="Arial"/>
                <w:sz w:val="20"/>
                <w:szCs w:val="20"/>
                <w:lang w:val="en-GB"/>
              </w:rPr>
            </w:pPr>
            <w:r w:rsidRPr="000317DC">
              <w:rPr>
                <w:rFonts w:ascii="Arial" w:hAnsi="Arial" w:cs="Arial"/>
                <w:sz w:val="20"/>
                <w:szCs w:val="20"/>
                <w:lang w:val="en-GB"/>
              </w:rPr>
              <w:t>Not explicitly addressed</w:t>
            </w:r>
          </w:p>
        </w:tc>
      </w:tr>
    </w:tbl>
    <w:p w14:paraId="38189711" w14:textId="77777777" w:rsidR="001825C2" w:rsidRDefault="001825C2" w:rsidP="001825C2">
      <w:pPr>
        <w:tabs>
          <w:tab w:val="num" w:pos="720"/>
        </w:tabs>
        <w:jc w:val="center"/>
        <w:rPr>
          <w:rFonts w:ascii="Arial" w:hAnsi="Arial" w:cs="Arial"/>
          <w:i/>
          <w:iCs/>
          <w:lang w:val="en-GB"/>
        </w:rPr>
      </w:pPr>
    </w:p>
    <w:p w14:paraId="50DD4638" w14:textId="36F6E0BE" w:rsidR="002F7D02" w:rsidRPr="002F7D02" w:rsidRDefault="002F7D02" w:rsidP="001825C2">
      <w:pPr>
        <w:tabs>
          <w:tab w:val="num" w:pos="720"/>
        </w:tabs>
        <w:jc w:val="center"/>
        <w:rPr>
          <w:rFonts w:ascii="Arial" w:hAnsi="Arial" w:cs="Arial"/>
          <w:i/>
          <w:iCs/>
          <w:lang w:val="en-GB"/>
        </w:rPr>
      </w:pPr>
      <w:r w:rsidRPr="002F7D02">
        <w:rPr>
          <w:rFonts w:ascii="Arial" w:hAnsi="Arial" w:cs="Arial"/>
          <w:i/>
          <w:iCs/>
          <w:lang w:val="en-GB"/>
        </w:rPr>
        <w:t>Source: Authors’ Construct</w:t>
      </w:r>
    </w:p>
    <w:p w14:paraId="53DBBFD0" w14:textId="77777777" w:rsidR="002F7D02" w:rsidRPr="002F7D02" w:rsidRDefault="002F7D02" w:rsidP="002F7D02">
      <w:pPr>
        <w:tabs>
          <w:tab w:val="num" w:pos="720"/>
        </w:tabs>
        <w:spacing w:line="276" w:lineRule="auto"/>
        <w:jc w:val="both"/>
        <w:rPr>
          <w:rFonts w:ascii="Arial" w:hAnsi="Arial" w:cs="Arial"/>
          <w:lang w:val="en-GB"/>
        </w:rPr>
      </w:pPr>
    </w:p>
    <w:p w14:paraId="305A76DD" w14:textId="77777777" w:rsidR="002F7D02" w:rsidRPr="002F7D02" w:rsidRDefault="002F7D02" w:rsidP="002F7D02">
      <w:pPr>
        <w:tabs>
          <w:tab w:val="num" w:pos="720"/>
        </w:tabs>
        <w:spacing w:line="276" w:lineRule="auto"/>
        <w:jc w:val="both"/>
        <w:rPr>
          <w:rFonts w:ascii="Arial" w:hAnsi="Arial" w:cs="Arial"/>
          <w:lang w:val="en-GB"/>
        </w:rPr>
        <w:sectPr w:rsidR="002F7D02" w:rsidRPr="002F7D02" w:rsidSect="00A13742">
          <w:pgSz w:w="16838" w:h="11906" w:orient="landscape"/>
          <w:pgMar w:top="1440" w:right="1440" w:bottom="1440" w:left="1440" w:header="720" w:footer="720" w:gutter="0"/>
          <w:cols w:space="720"/>
          <w:docGrid w:linePitch="360"/>
        </w:sectPr>
      </w:pPr>
    </w:p>
    <w:p w14:paraId="0897E88F" w14:textId="34B361D6" w:rsidR="00EB4106" w:rsidRPr="00C77F64" w:rsidRDefault="00EB4106" w:rsidP="00C97290">
      <w:pPr>
        <w:pStyle w:val="Heading2"/>
        <w:rPr>
          <w:rFonts w:eastAsia="Times New Roman"/>
          <w:lang w:val="en-GB"/>
        </w:rPr>
      </w:pPr>
      <w:r w:rsidRPr="00C77F64">
        <w:rPr>
          <w:rFonts w:eastAsia="Times New Roman"/>
          <w:lang w:val="en-GB"/>
        </w:rPr>
        <w:lastRenderedPageBreak/>
        <w:t>Conceptual Framework</w:t>
      </w:r>
    </w:p>
    <w:p w14:paraId="1F957F2C" w14:textId="0F54C229" w:rsidR="00FB7E66" w:rsidRPr="00EB4106" w:rsidRDefault="00F86F76" w:rsidP="00EB4106">
      <w:pPr>
        <w:tabs>
          <w:tab w:val="num" w:pos="720"/>
        </w:tabs>
        <w:spacing w:line="276" w:lineRule="auto"/>
        <w:jc w:val="both"/>
        <w:rPr>
          <w:rFonts w:ascii="Arial" w:hAnsi="Arial" w:cs="Arial"/>
          <w:lang w:val="en-GB"/>
        </w:rPr>
      </w:pPr>
      <w:r w:rsidRPr="00F86F76">
        <w:rPr>
          <w:rFonts w:ascii="Arial" w:hAnsi="Arial" w:cs="Arial"/>
          <w:lang w:val="en-GB"/>
        </w:rPr>
        <w:t>The conceptual framework illustrates the dynamic interplay between five key thematic domains that shape the integration of urban green spaces (UGS) into settlement upgrading projects in developing countries. Anchored in sustainability and resilience outcomes, the framework positions environmental, social, and economic impacts as central drivers of UGS value within informal settlements.</w:t>
      </w:r>
      <w:r w:rsidR="0015516C">
        <w:rPr>
          <w:rFonts w:ascii="Arial" w:hAnsi="Arial" w:cs="Arial"/>
          <w:lang w:val="en-GB"/>
        </w:rPr>
        <w:t xml:space="preserve"> </w:t>
      </w:r>
    </w:p>
    <w:p w14:paraId="7B054506" w14:textId="1C4E5F05" w:rsidR="00BE4844" w:rsidRPr="00BE4844" w:rsidRDefault="00BE4844" w:rsidP="00C97290">
      <w:pPr>
        <w:tabs>
          <w:tab w:val="num" w:pos="720"/>
        </w:tabs>
        <w:spacing w:before="240" w:after="60"/>
        <w:jc w:val="both"/>
        <w:rPr>
          <w:rFonts w:ascii="Arial" w:hAnsi="Arial" w:cs="Arial"/>
          <w:b/>
          <w:bCs/>
          <w:lang w:val="en-GB"/>
        </w:rPr>
      </w:pPr>
      <w:r w:rsidRPr="00BE4844">
        <w:rPr>
          <w:rFonts w:ascii="Arial" w:hAnsi="Arial" w:cs="Arial"/>
          <w:b/>
          <w:bCs/>
          <w:lang w:val="en-GB"/>
        </w:rPr>
        <w:t>Fig</w:t>
      </w:r>
      <w:r w:rsidR="007220B9">
        <w:rPr>
          <w:rFonts w:ascii="Arial" w:hAnsi="Arial" w:cs="Arial"/>
          <w:b/>
          <w:bCs/>
          <w:lang w:val="en-GB"/>
        </w:rPr>
        <w:t>.</w:t>
      </w:r>
      <w:r w:rsidRPr="00BE4844">
        <w:rPr>
          <w:rFonts w:ascii="Arial" w:hAnsi="Arial" w:cs="Arial"/>
          <w:b/>
          <w:bCs/>
          <w:lang w:val="en-GB"/>
        </w:rPr>
        <w:t xml:space="preserve"> 3: Conceptual Diagram</w:t>
      </w:r>
    </w:p>
    <w:p w14:paraId="1435F2BD" w14:textId="77777777" w:rsidR="00BE4844" w:rsidRPr="00BE4844" w:rsidRDefault="00BE4844" w:rsidP="00BE4844">
      <w:pPr>
        <w:tabs>
          <w:tab w:val="num" w:pos="720"/>
        </w:tabs>
        <w:spacing w:line="276" w:lineRule="auto"/>
        <w:jc w:val="center"/>
        <w:rPr>
          <w:rFonts w:ascii="Arial" w:hAnsi="Arial" w:cs="Arial"/>
        </w:rPr>
      </w:pPr>
      <w:r w:rsidRPr="00BE4844">
        <w:rPr>
          <w:rFonts w:ascii="Arial" w:hAnsi="Arial" w:cs="Arial"/>
          <w:noProof/>
        </w:rPr>
        <w:drawing>
          <wp:inline distT="0" distB="0" distL="0" distR="0" wp14:anchorId="52EA5D78" wp14:editId="27578645">
            <wp:extent cx="4029075" cy="6111433"/>
            <wp:effectExtent l="0" t="0" r="0" b="0"/>
            <wp:docPr id="4815628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3591" cy="6239629"/>
                    </a:xfrm>
                    <a:prstGeom prst="rect">
                      <a:avLst/>
                    </a:prstGeom>
                    <a:noFill/>
                    <a:ln>
                      <a:noFill/>
                    </a:ln>
                  </pic:spPr>
                </pic:pic>
              </a:graphicData>
            </a:graphic>
          </wp:inline>
        </w:drawing>
      </w:r>
    </w:p>
    <w:p w14:paraId="74AE045D" w14:textId="77777777" w:rsidR="00BE4844" w:rsidRPr="00BE4844" w:rsidRDefault="00BE4844" w:rsidP="00BE4844">
      <w:pPr>
        <w:tabs>
          <w:tab w:val="num" w:pos="720"/>
        </w:tabs>
        <w:spacing w:line="276" w:lineRule="auto"/>
        <w:jc w:val="center"/>
        <w:rPr>
          <w:rFonts w:ascii="Arial" w:hAnsi="Arial" w:cs="Arial"/>
          <w:lang w:val="en-GB"/>
        </w:rPr>
      </w:pPr>
      <w:r w:rsidRPr="00BE4844">
        <w:rPr>
          <w:rFonts w:ascii="Arial" w:hAnsi="Arial" w:cs="Arial"/>
          <w:i/>
          <w:iCs/>
          <w:lang w:val="en-GB"/>
        </w:rPr>
        <w:t>Source: Authors’ Construct</w:t>
      </w:r>
    </w:p>
    <w:p w14:paraId="79F3D40E" w14:textId="3B33422E" w:rsidR="00FB7E66" w:rsidRPr="00BE4844" w:rsidRDefault="00F86F76" w:rsidP="00BE4844">
      <w:pPr>
        <w:tabs>
          <w:tab w:val="num" w:pos="720"/>
        </w:tabs>
        <w:spacing w:line="276" w:lineRule="auto"/>
        <w:jc w:val="both"/>
        <w:rPr>
          <w:rFonts w:ascii="Arial" w:hAnsi="Arial" w:cs="Arial"/>
          <w:lang w:val="en-GB"/>
        </w:rPr>
      </w:pPr>
      <w:r w:rsidRPr="00F86F76">
        <w:rPr>
          <w:rFonts w:ascii="Arial" w:hAnsi="Arial" w:cs="Arial"/>
          <w:lang w:val="en-GB"/>
        </w:rPr>
        <w:lastRenderedPageBreak/>
        <w:t>These advantages are impacted by issues and difficulties, such as insufficient land, bad management, and opposition by the people. They are further affected by opportunities and enabling factors, such as local engagement, innovative funding strategies, and conducive policy. Inclusion and equity are necessary everywhere, indicating the importance of equitable representation and access to UGS planning and services. Success of the model indicated that, to include UGS effectively, we must consider systems appropriate for local circumstances, shared power, and long-term planning. Feedback loops are significant because improved resilience and sustainability result in continuous UGS initiatives. Our framework contributes to altering policy and practice through the use of real case studies and shaping policy and practice for expanding areas with scarce funding, such as sub-Saharan Africa and Ghana. An illustration of the conceptual diagram follows.</w:t>
      </w:r>
    </w:p>
    <w:p w14:paraId="326DE43B" w14:textId="755A4AD8" w:rsidR="00C77F64" w:rsidRPr="00C77F64" w:rsidRDefault="00C77F64" w:rsidP="00C97290">
      <w:pPr>
        <w:pStyle w:val="Heading2"/>
        <w:rPr>
          <w:rFonts w:eastAsia="Times New Roman"/>
          <w:lang w:val="en-GB"/>
        </w:rPr>
      </w:pPr>
      <w:r w:rsidRPr="00C77F64">
        <w:rPr>
          <w:rFonts w:eastAsia="Times New Roman"/>
          <w:lang w:val="en-GB"/>
        </w:rPr>
        <w:t xml:space="preserve">Implications for Long-Term </w:t>
      </w:r>
      <w:r>
        <w:rPr>
          <w:lang w:val="en-GB"/>
        </w:rPr>
        <w:t>Impact of UGS Integration</w:t>
      </w:r>
    </w:p>
    <w:p w14:paraId="4BCC253A" w14:textId="72A5714E" w:rsidR="00C93FCC" w:rsidRPr="00C93FCC" w:rsidRDefault="00F86F76" w:rsidP="00C93FCC">
      <w:pPr>
        <w:tabs>
          <w:tab w:val="num" w:pos="720"/>
        </w:tabs>
        <w:spacing w:line="276" w:lineRule="auto"/>
        <w:jc w:val="both"/>
        <w:rPr>
          <w:rFonts w:ascii="Arial" w:hAnsi="Arial" w:cs="Arial"/>
        </w:rPr>
      </w:pPr>
      <w:r w:rsidRPr="00F86F76">
        <w:rPr>
          <w:rFonts w:ascii="Arial" w:hAnsi="Arial" w:cs="Arial"/>
          <w:lang w:val="en-GB"/>
        </w:rPr>
        <w:t xml:space="preserve">It demonstrates how sub-Saharan African cities, such as Ghana, can become stronger and more sustainable in the long term through the use of urban green space (UGS). It identifies key gaps and how to deliver lasting benefits. The report aligns itself with international sustainability targets, such as the UN Sustainable Development Goal No.11 and the New Urban Agenda. They </w:t>
      </w:r>
      <w:r w:rsidRPr="00D21E75">
        <w:rPr>
          <w:rFonts w:ascii="Arial" w:hAnsi="Arial" w:cs="Arial"/>
          <w:lang w:val="en-GB"/>
        </w:rPr>
        <w:t>are relevant to city planners, policy-makers, and scientists in resource-poor areas that are rapidly expanding.</w:t>
      </w:r>
      <w:r w:rsidR="00C93FCC" w:rsidRPr="00D21E75">
        <w:rPr>
          <w:rFonts w:ascii="Arial" w:hAnsi="Arial" w:cs="Arial"/>
          <w:lang w:val="en-GB"/>
        </w:rPr>
        <w:t xml:space="preserve"> </w:t>
      </w:r>
      <w:proofErr w:type="spellStart"/>
      <w:r w:rsidR="00C93FCC" w:rsidRPr="00A97547">
        <w:rPr>
          <w:rFonts w:ascii="Arial" w:hAnsi="Arial" w:cs="Arial"/>
          <w:highlight w:val="green"/>
          <w:lang w:val="en-GB"/>
        </w:rPr>
        <w:t>Eziama</w:t>
      </w:r>
      <w:proofErr w:type="spellEnd"/>
      <w:r w:rsidR="00C93FCC" w:rsidRPr="00A97547">
        <w:rPr>
          <w:rFonts w:ascii="Arial" w:hAnsi="Arial" w:cs="Arial"/>
          <w:highlight w:val="green"/>
          <w:lang w:val="en-GB"/>
        </w:rPr>
        <w:t xml:space="preserve"> et al. (2025) </w:t>
      </w:r>
      <w:r w:rsidR="00C93FCC" w:rsidRPr="00A97547">
        <w:rPr>
          <w:rFonts w:ascii="Arial" w:hAnsi="Arial" w:cs="Arial"/>
          <w:highlight w:val="green"/>
        </w:rPr>
        <w:t xml:space="preserve">provide valuable insights into air quality dynamics that underscore the potential of UGS as a long-term strategy. Using a machine learning and spatial clustering framework, the study </w:t>
      </w:r>
      <w:r w:rsidR="0028368C" w:rsidRPr="00A97547">
        <w:rPr>
          <w:rFonts w:ascii="Arial" w:hAnsi="Arial" w:cs="Arial"/>
          <w:highlight w:val="green"/>
        </w:rPr>
        <w:t>analyzed</w:t>
      </w:r>
      <w:r w:rsidR="00C93FCC" w:rsidRPr="00A97547">
        <w:rPr>
          <w:rFonts w:ascii="Arial" w:hAnsi="Arial" w:cs="Arial"/>
          <w:highlight w:val="green"/>
        </w:rPr>
        <w:t xml:space="preserve"> global air quality data, highlighting the disproportionate burden of air pollution mortality in low- and middle-income countries, particularly in South Asia and Africa, where PM2.5, NO</w:t>
      </w:r>
      <w:r w:rsidR="00503350" w:rsidRPr="00A97547">
        <w:rPr>
          <w:rFonts w:ascii="Arial" w:hAnsi="Arial" w:cs="Arial"/>
          <w:highlight w:val="green"/>
          <w:vertAlign w:val="subscript"/>
        </w:rPr>
        <w:t>2</w:t>
      </w:r>
      <w:r w:rsidR="00C93FCC" w:rsidRPr="00A97547">
        <w:rPr>
          <w:rFonts w:ascii="Arial" w:hAnsi="Arial" w:cs="Arial"/>
          <w:highlight w:val="green"/>
        </w:rPr>
        <w:t>, and CO levels frequently exceed WHO thresholds. These findings suggest that UGS could be strategically deployed to reduce these pollutants, as vegetation is known to sequester particulate matter and absorb gaseous pollutants</w:t>
      </w:r>
      <w:r w:rsidR="0028368C" w:rsidRPr="00A97547">
        <w:rPr>
          <w:rFonts w:ascii="Arial" w:hAnsi="Arial" w:cs="Arial"/>
          <w:highlight w:val="green"/>
        </w:rPr>
        <w:t>.</w:t>
      </w:r>
    </w:p>
    <w:p w14:paraId="21963B5F" w14:textId="01888299" w:rsidR="00E10966" w:rsidRPr="00C77F64" w:rsidRDefault="00E10966" w:rsidP="00CE6DE4">
      <w:pPr>
        <w:pStyle w:val="Heading3"/>
      </w:pPr>
      <w:r w:rsidRPr="00C77F64">
        <w:t>Strengthening Climate Resilience through UGS</w:t>
      </w:r>
    </w:p>
    <w:p w14:paraId="693D8E31" w14:textId="07C4A19E" w:rsidR="00FB7E66" w:rsidRDefault="00F86F76" w:rsidP="00E10966">
      <w:pPr>
        <w:tabs>
          <w:tab w:val="num" w:pos="720"/>
        </w:tabs>
        <w:spacing w:line="276" w:lineRule="auto"/>
        <w:jc w:val="both"/>
        <w:rPr>
          <w:rFonts w:ascii="Arial" w:hAnsi="Arial" w:cs="Arial"/>
          <w:lang w:val="en-GB"/>
        </w:rPr>
      </w:pPr>
      <w:r w:rsidRPr="00F86F76">
        <w:rPr>
          <w:rFonts w:ascii="Arial" w:hAnsi="Arial" w:cs="Arial"/>
          <w:lang w:val="en-GB"/>
        </w:rPr>
        <w:t xml:space="preserve">Urban Green Spaces, such as neighbourhood gardens and parks, can alleviate climatic issues, such as heat and flooding, which are significant concerns in sub-Saharan African city areas (du Toit et al. 2018; </w:t>
      </w:r>
      <w:proofErr w:type="spellStart"/>
      <w:r w:rsidR="002D40FB">
        <w:rPr>
          <w:rFonts w:ascii="Arial" w:hAnsi="Arial" w:cs="Arial"/>
          <w:lang w:val="en-GB"/>
        </w:rPr>
        <w:t>Puplampu</w:t>
      </w:r>
      <w:proofErr w:type="spellEnd"/>
      <w:r w:rsidR="002D40FB">
        <w:rPr>
          <w:rFonts w:ascii="Arial" w:hAnsi="Arial" w:cs="Arial"/>
          <w:lang w:val="en-GB"/>
        </w:rPr>
        <w:t xml:space="preserve"> &amp; Boafo</w:t>
      </w:r>
      <w:r w:rsidR="00111D24">
        <w:rPr>
          <w:rFonts w:ascii="Arial" w:hAnsi="Arial" w:cs="Arial"/>
          <w:lang w:val="en-GB"/>
        </w:rPr>
        <w:t xml:space="preserve"> 2021</w:t>
      </w:r>
      <w:r w:rsidRPr="00F86F76">
        <w:rPr>
          <w:rFonts w:ascii="Arial" w:hAnsi="Arial" w:cs="Arial"/>
          <w:lang w:val="en-GB"/>
        </w:rPr>
        <w:t>). In Accra, Urban Green Spaces might decrease the heat by 3°C, benefiting areas without cooling (</w:t>
      </w:r>
      <w:proofErr w:type="spellStart"/>
      <w:r w:rsidR="002D40FB">
        <w:rPr>
          <w:rFonts w:ascii="Arial" w:hAnsi="Arial" w:cs="Arial"/>
          <w:lang w:val="en-GB"/>
        </w:rPr>
        <w:t>Puplampu</w:t>
      </w:r>
      <w:proofErr w:type="spellEnd"/>
      <w:r w:rsidR="002D40FB">
        <w:rPr>
          <w:rFonts w:ascii="Arial" w:hAnsi="Arial" w:cs="Arial"/>
          <w:lang w:val="en-GB"/>
        </w:rPr>
        <w:t xml:space="preserve"> &amp; Boafo</w:t>
      </w:r>
      <w:r w:rsidR="00111D24">
        <w:rPr>
          <w:rFonts w:ascii="Arial" w:hAnsi="Arial" w:cs="Arial"/>
          <w:lang w:val="en-GB"/>
        </w:rPr>
        <w:t xml:space="preserve"> 2021</w:t>
      </w:r>
      <w:r w:rsidRPr="00F86F76">
        <w:rPr>
          <w:rFonts w:ascii="Arial" w:hAnsi="Arial" w:cs="Arial"/>
          <w:lang w:val="en-GB"/>
        </w:rPr>
        <w:t>). In Lilongwe, various forms of structures can decrease the risk of flooding, benefiting areas with varying rainfall (</w:t>
      </w:r>
      <w:proofErr w:type="spellStart"/>
      <w:r w:rsidRPr="00F86F76">
        <w:rPr>
          <w:rFonts w:ascii="Arial" w:hAnsi="Arial" w:cs="Arial"/>
          <w:lang w:val="en-GB"/>
        </w:rPr>
        <w:t>Titz</w:t>
      </w:r>
      <w:proofErr w:type="spellEnd"/>
      <w:r w:rsidRPr="00F86F76">
        <w:rPr>
          <w:rFonts w:ascii="Arial" w:hAnsi="Arial" w:cs="Arial"/>
          <w:lang w:val="en-GB"/>
        </w:rPr>
        <w:t xml:space="preserve"> and </w:t>
      </w:r>
      <w:proofErr w:type="spellStart"/>
      <w:r w:rsidRPr="00F86F76">
        <w:rPr>
          <w:rFonts w:ascii="Arial" w:hAnsi="Arial" w:cs="Arial"/>
          <w:lang w:val="en-GB"/>
        </w:rPr>
        <w:t>Chiotha</w:t>
      </w:r>
      <w:proofErr w:type="spellEnd"/>
      <w:r w:rsidRPr="00F86F76">
        <w:rPr>
          <w:rFonts w:ascii="Arial" w:hAnsi="Arial" w:cs="Arial"/>
          <w:lang w:val="en-GB"/>
        </w:rPr>
        <w:t xml:space="preserve"> 2019). For the long-term, designs must include Urban Green Spaces that can expand, such as green covers that allow water to pass through and tree-covered streets, as part of the betterment of neighbourhoods (Review comments 2019). Review comments insist on long-term data to analyse how Urban Green Spaces are effective during climatic events over the course of several years (</w:t>
      </w:r>
      <w:r w:rsidR="009906E7">
        <w:rPr>
          <w:rFonts w:ascii="Arial" w:hAnsi="Arial" w:cs="Arial"/>
          <w:lang w:val="en-GB"/>
        </w:rPr>
        <w:t>White et al. 2017</w:t>
      </w:r>
      <w:r w:rsidRPr="00F86F76">
        <w:rPr>
          <w:rFonts w:ascii="Arial" w:hAnsi="Arial" w:cs="Arial"/>
          <w:lang w:val="en-GB"/>
        </w:rPr>
        <w:t>).</w:t>
      </w:r>
    </w:p>
    <w:p w14:paraId="444E9B2C" w14:textId="0D1E2F24" w:rsidR="00E10966" w:rsidRPr="002052D7" w:rsidRDefault="00E10966" w:rsidP="00CE6DE4">
      <w:pPr>
        <w:pStyle w:val="Heading3"/>
      </w:pPr>
      <w:r w:rsidRPr="002052D7">
        <w:t>Ensuring Sustainable Maintenance and Scalability</w:t>
      </w:r>
    </w:p>
    <w:p w14:paraId="4FA9A799" w14:textId="0899A3BF" w:rsidR="00FB7E66" w:rsidRDefault="00F86F76" w:rsidP="00E10966">
      <w:pPr>
        <w:tabs>
          <w:tab w:val="num" w:pos="720"/>
        </w:tabs>
        <w:spacing w:line="276" w:lineRule="auto"/>
        <w:jc w:val="both"/>
        <w:rPr>
          <w:rFonts w:ascii="Arial" w:hAnsi="Arial" w:cs="Arial"/>
          <w:lang w:val="en-GB"/>
        </w:rPr>
      </w:pPr>
      <w:r w:rsidRPr="00F86F76">
        <w:rPr>
          <w:rFonts w:ascii="Arial" w:hAnsi="Arial" w:cs="Arial"/>
          <w:lang w:val="en-GB"/>
        </w:rPr>
        <w:t xml:space="preserve">Long-term UGS management for sub-Saharan Africa and Ghana needs proper growth and management, yet UGS are inadequately researched (du Toit et al. 2018). Local initiatives, such as </w:t>
      </w:r>
      <w:proofErr w:type="spellStart"/>
      <w:r w:rsidRPr="00F86F76">
        <w:rPr>
          <w:rFonts w:ascii="Arial" w:hAnsi="Arial" w:cs="Arial"/>
          <w:lang w:val="en-GB"/>
        </w:rPr>
        <w:t>Wa</w:t>
      </w:r>
      <w:proofErr w:type="spellEnd"/>
      <w:r w:rsidRPr="00F86F76">
        <w:rPr>
          <w:rFonts w:ascii="Arial" w:hAnsi="Arial" w:cs="Arial"/>
          <w:lang w:val="en-GB"/>
        </w:rPr>
        <w:t>, Ghana, home gardens, are cheap and environmentally sustainable to build local interest and reduce external funding dependence (</w:t>
      </w:r>
      <w:proofErr w:type="spellStart"/>
      <w:r w:rsidR="005C0561">
        <w:rPr>
          <w:rFonts w:ascii="Arial" w:hAnsi="Arial" w:cs="Arial"/>
          <w:lang w:val="en-GB"/>
        </w:rPr>
        <w:t>Akanbang</w:t>
      </w:r>
      <w:proofErr w:type="spellEnd"/>
      <w:r w:rsidR="005C0561">
        <w:rPr>
          <w:rFonts w:ascii="Arial" w:hAnsi="Arial" w:cs="Arial"/>
          <w:lang w:val="en-GB"/>
        </w:rPr>
        <w:t xml:space="preserve"> et al.</w:t>
      </w:r>
      <w:r w:rsidRPr="00F86F76">
        <w:rPr>
          <w:rFonts w:ascii="Arial" w:hAnsi="Arial" w:cs="Arial"/>
          <w:lang w:val="en-GB"/>
        </w:rPr>
        <w:t xml:space="preserve"> 2024). Institutional capacity gaps and funding gaps, however, are a threat to long-term management, as indicated by the decrease witnessed in the green cover in Accra (</w:t>
      </w:r>
      <w:proofErr w:type="spellStart"/>
      <w:r w:rsidRPr="00F86F76">
        <w:rPr>
          <w:rFonts w:ascii="Arial" w:hAnsi="Arial" w:cs="Arial"/>
          <w:lang w:val="en-GB"/>
        </w:rPr>
        <w:t>Adjetey</w:t>
      </w:r>
      <w:proofErr w:type="spellEnd"/>
      <w:r w:rsidRPr="00F86F76">
        <w:rPr>
          <w:rFonts w:ascii="Arial" w:hAnsi="Arial" w:cs="Arial"/>
          <w:lang w:val="en-GB"/>
        </w:rPr>
        <w:t xml:space="preserve"> et al. 2023). For the situation to improve, innovative funding strategies, such as the use of green bonds and public-private </w:t>
      </w:r>
      <w:r w:rsidRPr="00F86F76">
        <w:rPr>
          <w:rFonts w:ascii="Arial" w:hAnsi="Arial" w:cs="Arial"/>
          <w:lang w:val="en-GB"/>
        </w:rPr>
        <w:lastRenderedPageBreak/>
        <w:t>partnership, must be utilized, taking a leaf from the book of South Africa (Medeiros et al. 2024). Budgeting UGS management as part of the city budget and involving local people as UGS users can make UGS management effective and sustainable, ensuring benefits such as food security persist (</w:t>
      </w:r>
      <w:proofErr w:type="spellStart"/>
      <w:r w:rsidR="005C0561">
        <w:rPr>
          <w:rFonts w:ascii="Arial" w:hAnsi="Arial" w:cs="Arial"/>
          <w:lang w:val="en-GB"/>
        </w:rPr>
        <w:t>Akanbang</w:t>
      </w:r>
      <w:proofErr w:type="spellEnd"/>
      <w:r w:rsidR="005C0561">
        <w:rPr>
          <w:rFonts w:ascii="Arial" w:hAnsi="Arial" w:cs="Arial"/>
          <w:lang w:val="en-GB"/>
        </w:rPr>
        <w:t xml:space="preserve"> et al.</w:t>
      </w:r>
      <w:r w:rsidRPr="00F86F76">
        <w:rPr>
          <w:rFonts w:ascii="Arial" w:hAnsi="Arial" w:cs="Arial"/>
          <w:lang w:val="en-GB"/>
        </w:rPr>
        <w:t xml:space="preserve"> 2024; UN-Habitat 20</w:t>
      </w:r>
      <w:r w:rsidR="00107CCC">
        <w:rPr>
          <w:rFonts w:ascii="Arial" w:hAnsi="Arial" w:cs="Arial"/>
          <w:lang w:val="en-GB"/>
        </w:rPr>
        <w:t>18</w:t>
      </w:r>
      <w:r w:rsidRPr="00F86F76">
        <w:rPr>
          <w:rFonts w:ascii="Arial" w:hAnsi="Arial" w:cs="Arial"/>
          <w:lang w:val="en-GB"/>
        </w:rPr>
        <w:t>).</w:t>
      </w:r>
    </w:p>
    <w:p w14:paraId="7365BAC3" w14:textId="63ABE91D" w:rsidR="00F86F76" w:rsidRPr="0015516C" w:rsidRDefault="00E10966" w:rsidP="003D6CFD">
      <w:pPr>
        <w:pStyle w:val="Heading3"/>
      </w:pPr>
      <w:r w:rsidRPr="002052D7">
        <w:t>Promoting Equitable Resilience Outcomes</w:t>
      </w:r>
    </w:p>
    <w:p w14:paraId="54D37C65" w14:textId="3DC2865C" w:rsidR="00FB7E66" w:rsidRDefault="00F86F76" w:rsidP="00E10966">
      <w:pPr>
        <w:tabs>
          <w:tab w:val="num" w:pos="720"/>
        </w:tabs>
        <w:spacing w:line="276" w:lineRule="auto"/>
        <w:jc w:val="both"/>
        <w:rPr>
          <w:rFonts w:ascii="Arial" w:hAnsi="Arial" w:cs="Arial"/>
          <w:lang w:val="en-GB"/>
        </w:rPr>
      </w:pPr>
      <w:r w:rsidRPr="00F86F76">
        <w:rPr>
          <w:rFonts w:ascii="Arial" w:hAnsi="Arial" w:cs="Arial"/>
          <w:lang w:val="en-GB"/>
        </w:rPr>
        <w:t>Long-term resilience must be equitable to not exacerbate social inequalities, as cautioned by the risk of green gentrifications in South Africa (Venter et al. 2020). In Ghana, city green areas benefit mostly affluent areas, while women and children in informal settlements are deprived of these benefits (</w:t>
      </w:r>
      <w:proofErr w:type="spellStart"/>
      <w:r w:rsidRPr="00F86F76">
        <w:rPr>
          <w:rFonts w:ascii="Arial" w:hAnsi="Arial" w:cs="Arial"/>
          <w:lang w:val="en-GB"/>
        </w:rPr>
        <w:t>Adjetey</w:t>
      </w:r>
      <w:proofErr w:type="spellEnd"/>
      <w:r w:rsidRPr="00F86F76">
        <w:rPr>
          <w:rFonts w:ascii="Arial" w:hAnsi="Arial" w:cs="Arial"/>
          <w:lang w:val="en-GB"/>
        </w:rPr>
        <w:t xml:space="preserve"> et al. 2023). Community-led green areas, such as those in </w:t>
      </w:r>
      <w:proofErr w:type="spellStart"/>
      <w:r w:rsidRPr="00F86F76">
        <w:rPr>
          <w:rFonts w:ascii="Arial" w:hAnsi="Arial" w:cs="Arial"/>
          <w:lang w:val="en-GB"/>
        </w:rPr>
        <w:t>Wa</w:t>
      </w:r>
      <w:proofErr w:type="spellEnd"/>
      <w:r w:rsidRPr="00F86F76">
        <w:rPr>
          <w:rFonts w:ascii="Arial" w:hAnsi="Arial" w:cs="Arial"/>
          <w:lang w:val="en-GB"/>
        </w:rPr>
        <w:t xml:space="preserve"> and Lilongwe, benefit through the engagement of people, their design, and their care, yet equitable access does not have a structured program (</w:t>
      </w:r>
      <w:proofErr w:type="spellStart"/>
      <w:r w:rsidR="005C0561">
        <w:rPr>
          <w:rFonts w:ascii="Arial" w:hAnsi="Arial" w:cs="Arial"/>
          <w:lang w:val="en-GB"/>
        </w:rPr>
        <w:t>Akanbang</w:t>
      </w:r>
      <w:proofErr w:type="spellEnd"/>
      <w:r w:rsidR="005C0561">
        <w:rPr>
          <w:rFonts w:ascii="Arial" w:hAnsi="Arial" w:cs="Arial"/>
          <w:lang w:val="en-GB"/>
        </w:rPr>
        <w:t xml:space="preserve"> et al.</w:t>
      </w:r>
      <w:r w:rsidRPr="00F86F76">
        <w:rPr>
          <w:rFonts w:ascii="Arial" w:hAnsi="Arial" w:cs="Arial"/>
          <w:lang w:val="en-GB"/>
        </w:rPr>
        <w:t xml:space="preserve"> 2024; </w:t>
      </w:r>
      <w:proofErr w:type="spellStart"/>
      <w:r w:rsidRPr="00F86F76">
        <w:rPr>
          <w:rFonts w:ascii="Arial" w:hAnsi="Arial" w:cs="Arial"/>
          <w:lang w:val="en-GB"/>
        </w:rPr>
        <w:t>Titz</w:t>
      </w:r>
      <w:proofErr w:type="spellEnd"/>
      <w:r w:rsidRPr="00F86F76">
        <w:rPr>
          <w:rFonts w:ascii="Arial" w:hAnsi="Arial" w:cs="Arial"/>
          <w:lang w:val="en-GB"/>
        </w:rPr>
        <w:t xml:space="preserve"> and </w:t>
      </w:r>
      <w:proofErr w:type="spellStart"/>
      <w:r w:rsidRPr="00F86F76">
        <w:rPr>
          <w:rFonts w:ascii="Arial" w:hAnsi="Arial" w:cs="Arial"/>
          <w:lang w:val="en-GB"/>
        </w:rPr>
        <w:t>Chiotha</w:t>
      </w:r>
      <w:proofErr w:type="spellEnd"/>
      <w:r w:rsidRPr="00F86F76">
        <w:rPr>
          <w:rFonts w:ascii="Arial" w:hAnsi="Arial" w:cs="Arial"/>
          <w:lang w:val="en-GB"/>
        </w:rPr>
        <w:t xml:space="preserve"> 2019). Policymakers must employ inclusive planning strategies, as adopted by Angola, to ensure that the interests of the disadvantaged are secured and the risk of displacement decreased (Pedrosa et al. 2021). Future studies must design fairness-oriented metrics to capture access to and benefits from green areas for cities with varying economic profiles, such that resilience benefits all proportionally.</w:t>
      </w:r>
    </w:p>
    <w:p w14:paraId="15BF5071" w14:textId="31258462" w:rsidR="00E10966" w:rsidRPr="002052D7" w:rsidRDefault="00E10966" w:rsidP="00CE6DE4">
      <w:pPr>
        <w:pStyle w:val="Heading3"/>
      </w:pPr>
      <w:r w:rsidRPr="002052D7">
        <w:t>Leveraging Policy and Governance for Sustained Impact</w:t>
      </w:r>
    </w:p>
    <w:p w14:paraId="6B08F6DA" w14:textId="4D5AFD9B" w:rsidR="00FB7E66" w:rsidRDefault="00DB6886" w:rsidP="00E10966">
      <w:pPr>
        <w:tabs>
          <w:tab w:val="num" w:pos="720"/>
        </w:tabs>
        <w:spacing w:line="276" w:lineRule="auto"/>
        <w:jc w:val="both"/>
        <w:rPr>
          <w:rFonts w:ascii="Arial" w:hAnsi="Arial" w:cs="Arial"/>
          <w:lang w:val="en-GB"/>
        </w:rPr>
      </w:pPr>
      <w:r w:rsidRPr="00DB6886">
        <w:rPr>
          <w:rFonts w:ascii="Arial" w:hAnsi="Arial" w:cs="Arial"/>
          <w:lang w:val="en-GB"/>
        </w:rPr>
        <w:t>Good governance makes urban green space (UGS) function effectively for resilience. Ghana's National Urban Policy demonstrates how to integrate UGS, yet weak implementation renders it ineffective (Mensah 2014). Challenges such as corruption and weak land rights hinder progress in sub-Saharan Africa (</w:t>
      </w:r>
      <w:proofErr w:type="spellStart"/>
      <w:r w:rsidRPr="00DB6886">
        <w:rPr>
          <w:rFonts w:ascii="Arial" w:hAnsi="Arial" w:cs="Arial"/>
          <w:lang w:val="en-GB"/>
        </w:rPr>
        <w:t>Cobbinah</w:t>
      </w:r>
      <w:proofErr w:type="spellEnd"/>
      <w:r w:rsidRPr="00DB6886">
        <w:rPr>
          <w:rFonts w:ascii="Arial" w:hAnsi="Arial" w:cs="Arial"/>
          <w:lang w:val="en-GB"/>
        </w:rPr>
        <w:t xml:space="preserve"> et al. 2020; </w:t>
      </w:r>
      <w:r w:rsidR="00FE79C6" w:rsidRPr="0029318D">
        <w:rPr>
          <w:rFonts w:ascii="Arial" w:hAnsi="Arial" w:cs="Arial"/>
        </w:rPr>
        <w:t>Wijesinghe &amp; Thorn 2021</w:t>
      </w:r>
      <w:r w:rsidRPr="0029318D">
        <w:rPr>
          <w:rFonts w:ascii="Arial" w:hAnsi="Arial" w:cs="Arial"/>
          <w:lang w:val="en-GB"/>
        </w:rPr>
        <w:t>).</w:t>
      </w:r>
      <w:r w:rsidRPr="00DB6886">
        <w:rPr>
          <w:rFonts w:ascii="Arial" w:hAnsi="Arial" w:cs="Arial"/>
          <w:lang w:val="en-GB"/>
        </w:rPr>
        <w:t xml:space="preserve"> Governments can address these problems through better land use planning and regulations for UGS as cities expand. Collaborative effort with various governments and organizations such as UN-Habitat can allow the sharing of information and expertise, as demonstrated in Nairobi when stakeholders became engaged (UN-Habitat 20</w:t>
      </w:r>
      <w:r w:rsidR="00107CCC">
        <w:rPr>
          <w:rFonts w:ascii="Arial" w:hAnsi="Arial" w:cs="Arial"/>
          <w:lang w:val="en-GB"/>
        </w:rPr>
        <w:t>18</w:t>
      </w:r>
      <w:r w:rsidRPr="00DB6886">
        <w:rPr>
          <w:rFonts w:ascii="Arial" w:hAnsi="Arial" w:cs="Arial"/>
          <w:lang w:val="en-GB"/>
        </w:rPr>
        <w:t>). Integrating UGS into national plans for climate change can also allow funding and political backing for long-term resilience.</w:t>
      </w:r>
    </w:p>
    <w:p w14:paraId="6027A952" w14:textId="3959C94D" w:rsidR="00E10966" w:rsidRPr="002052D7" w:rsidRDefault="00E10966" w:rsidP="00CE6DE4">
      <w:pPr>
        <w:pStyle w:val="Heading3"/>
      </w:pPr>
      <w:r w:rsidRPr="002052D7">
        <w:t>Addressing Evidence Gaps for Informed Decision-Making</w:t>
      </w:r>
    </w:p>
    <w:p w14:paraId="3CAF6312" w14:textId="157F4413" w:rsidR="00FB7E66" w:rsidRDefault="00DB6886" w:rsidP="00E10966">
      <w:pPr>
        <w:tabs>
          <w:tab w:val="num" w:pos="720"/>
        </w:tabs>
        <w:spacing w:line="276" w:lineRule="auto"/>
        <w:jc w:val="both"/>
        <w:rPr>
          <w:rFonts w:ascii="Arial" w:hAnsi="Arial" w:cs="Arial"/>
          <w:lang w:val="en-GB"/>
        </w:rPr>
      </w:pPr>
      <w:r w:rsidRPr="00DB6886">
        <w:rPr>
          <w:rFonts w:ascii="Arial" w:hAnsi="Arial" w:cs="Arial"/>
          <w:lang w:val="en-GB"/>
        </w:rPr>
        <w:t>There are insufficient long-term studies of the sustainability and resilience of sub-Saharan Africa's (and Ghana's) urban green spaces (UGS) to provide evidence-based policy (du Toit et al. 2018). We observe short-term UGS advantages such as reduced flooding and improved food security, yet we don’t know how to retain and enhance these benefits (</w:t>
      </w:r>
      <w:proofErr w:type="spellStart"/>
      <w:r w:rsidR="002D40FB">
        <w:rPr>
          <w:rFonts w:ascii="Arial" w:hAnsi="Arial" w:cs="Arial"/>
          <w:lang w:val="en-GB"/>
        </w:rPr>
        <w:t>Puplampu</w:t>
      </w:r>
      <w:proofErr w:type="spellEnd"/>
      <w:r w:rsidR="002D40FB">
        <w:rPr>
          <w:rFonts w:ascii="Arial" w:hAnsi="Arial" w:cs="Arial"/>
          <w:lang w:val="en-GB"/>
        </w:rPr>
        <w:t xml:space="preserve"> &amp; Boafo</w:t>
      </w:r>
      <w:r w:rsidR="00111D24">
        <w:rPr>
          <w:rFonts w:ascii="Arial" w:hAnsi="Arial" w:cs="Arial"/>
          <w:lang w:val="en-GB"/>
        </w:rPr>
        <w:t xml:space="preserve"> 2021</w:t>
      </w:r>
      <w:r w:rsidRPr="00DB6886">
        <w:rPr>
          <w:rFonts w:ascii="Arial" w:hAnsi="Arial" w:cs="Arial"/>
          <w:lang w:val="en-GB"/>
        </w:rPr>
        <w:t xml:space="preserve">; </w:t>
      </w:r>
      <w:proofErr w:type="spellStart"/>
      <w:r w:rsidR="005C0561">
        <w:rPr>
          <w:rFonts w:ascii="Arial" w:hAnsi="Arial" w:cs="Arial"/>
          <w:lang w:val="en-GB"/>
        </w:rPr>
        <w:t>Akanbang</w:t>
      </w:r>
      <w:proofErr w:type="spellEnd"/>
      <w:r w:rsidR="005C0561">
        <w:rPr>
          <w:rFonts w:ascii="Arial" w:hAnsi="Arial" w:cs="Arial"/>
          <w:lang w:val="en-GB"/>
        </w:rPr>
        <w:t xml:space="preserve"> et al.</w:t>
      </w:r>
      <w:r w:rsidRPr="00DB6886">
        <w:rPr>
          <w:rFonts w:ascii="Arial" w:hAnsi="Arial" w:cs="Arial"/>
          <w:lang w:val="en-GB"/>
        </w:rPr>
        <w:t xml:space="preserve"> 2024). Long-term studies are necessary because cities are expanding rapidly and are shifting as a result of climatic changes. Furthermore, nation-specific studies such as for Ghana are necessary to deal with local issues such as city sprawl and governance, which complicate the incorporation of UGS (</w:t>
      </w:r>
      <w:proofErr w:type="spellStart"/>
      <w:r w:rsidRPr="00DB6886">
        <w:rPr>
          <w:rFonts w:ascii="Arial" w:hAnsi="Arial" w:cs="Arial"/>
          <w:lang w:val="en-GB"/>
        </w:rPr>
        <w:t>Adjetey</w:t>
      </w:r>
      <w:proofErr w:type="spellEnd"/>
      <w:r w:rsidRPr="00DB6886">
        <w:rPr>
          <w:rFonts w:ascii="Arial" w:hAnsi="Arial" w:cs="Arial"/>
          <w:lang w:val="en-GB"/>
        </w:rPr>
        <w:t xml:space="preserve"> et al. 2023; </w:t>
      </w:r>
      <w:proofErr w:type="spellStart"/>
      <w:r w:rsidRPr="00DB6886">
        <w:rPr>
          <w:rFonts w:ascii="Arial" w:hAnsi="Arial" w:cs="Arial"/>
          <w:lang w:val="en-GB"/>
        </w:rPr>
        <w:t>Cobbinah</w:t>
      </w:r>
      <w:proofErr w:type="spellEnd"/>
      <w:r w:rsidRPr="00DB6886">
        <w:rPr>
          <w:rFonts w:ascii="Arial" w:hAnsi="Arial" w:cs="Arial"/>
          <w:lang w:val="en-GB"/>
        </w:rPr>
        <w:t xml:space="preserve"> et al. 2020). Studies must adopt various methods taking into account ecological, social, as well as economic factors, to provide a complete UGS effect picture.</w:t>
      </w:r>
    </w:p>
    <w:p w14:paraId="0E022769" w14:textId="0E2BC014" w:rsidR="00E10966" w:rsidRPr="002052D7" w:rsidRDefault="00E10966" w:rsidP="00C97290">
      <w:pPr>
        <w:pStyle w:val="Heading1"/>
        <w:rPr>
          <w:lang w:val="en-GB"/>
        </w:rPr>
      </w:pPr>
      <w:r w:rsidRPr="002052D7">
        <w:rPr>
          <w:lang w:val="en-GB"/>
        </w:rPr>
        <w:t>Conclusion</w:t>
      </w:r>
    </w:p>
    <w:p w14:paraId="32967CA9" w14:textId="6A5704B6" w:rsidR="00A410ED" w:rsidRDefault="00DB6886" w:rsidP="00E10966">
      <w:pPr>
        <w:tabs>
          <w:tab w:val="num" w:pos="720"/>
        </w:tabs>
        <w:spacing w:line="276" w:lineRule="auto"/>
        <w:jc w:val="both"/>
        <w:rPr>
          <w:rFonts w:ascii="Arial" w:hAnsi="Arial" w:cs="Arial"/>
          <w:lang w:val="en-GB"/>
        </w:rPr>
      </w:pPr>
      <w:r w:rsidRPr="00DB6886">
        <w:rPr>
          <w:rFonts w:ascii="Arial" w:hAnsi="Arial" w:cs="Arial"/>
          <w:lang w:val="en-GB"/>
        </w:rPr>
        <w:t xml:space="preserve">This systematic review emphasized the transformative capability of urban green spaces in facilitating long-term sustainability and resilience in Ghanaian and sub-Saharan African settlement upgrading initiatives. UGS minimize climate risk, provide food security, and ensure inclusivity but are constrained in their sustainability by maintenance limitations, unequal access, and governance limitations. To ensure lasting gains, policymakers ought to give high </w:t>
      </w:r>
      <w:r w:rsidRPr="00DB6886">
        <w:rPr>
          <w:rFonts w:ascii="Arial" w:hAnsi="Arial" w:cs="Arial"/>
          <w:lang w:val="en-GB"/>
        </w:rPr>
        <w:lastRenderedPageBreak/>
        <w:t>priority to community-led greening, creative financing, and strong land-use planning, ensuring marginalised groups have access. Upcoming research must provide evidence to bridge the gaps through longitudinal and place-based studies to support scalable, inclusive measures. By integrating UGS into urban development strategies, sub-Saharan Africa and Ghana can create resilient, sustainable cities with global sustainability focus.</w:t>
      </w:r>
    </w:p>
    <w:p w14:paraId="7035BDCC" w14:textId="77777777" w:rsidR="00D40EAA" w:rsidRDefault="00D40EAA" w:rsidP="00D53589">
      <w:pPr>
        <w:jc w:val="both"/>
        <w:rPr>
          <w:rFonts w:ascii="Arial" w:hAnsi="Arial" w:cs="Arial"/>
          <w:lang w:val="en-GB"/>
        </w:rPr>
      </w:pPr>
    </w:p>
    <w:p w14:paraId="33F19F9B" w14:textId="77777777" w:rsidR="00D40EAA" w:rsidRPr="00210F8E" w:rsidRDefault="00D40EAA" w:rsidP="00210F8E">
      <w:pPr>
        <w:jc w:val="both"/>
        <w:rPr>
          <w:b/>
          <w:bCs/>
          <w:highlight w:val="yellow"/>
        </w:rPr>
      </w:pPr>
      <w:r w:rsidRPr="00210F8E">
        <w:rPr>
          <w:b/>
          <w:bCs/>
          <w:highlight w:val="yellow"/>
        </w:rPr>
        <w:t>Disclaimer (Artificial intelligence)</w:t>
      </w:r>
    </w:p>
    <w:p w14:paraId="1D6CC7EB" w14:textId="77777777" w:rsidR="00D40EAA" w:rsidRPr="00740879" w:rsidRDefault="00D40EAA" w:rsidP="00210F8E">
      <w:pPr>
        <w:jc w:val="both"/>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0CC06675" w14:textId="77777777" w:rsidR="00D40EAA" w:rsidRPr="00E10966" w:rsidRDefault="00D40EAA" w:rsidP="00D53589">
      <w:pPr>
        <w:jc w:val="both"/>
        <w:rPr>
          <w:rFonts w:ascii="Arial" w:hAnsi="Arial" w:cs="Arial"/>
          <w:lang w:val="en-GB"/>
        </w:rPr>
      </w:pPr>
    </w:p>
    <w:p w14:paraId="02FB88B9" w14:textId="77777777" w:rsidR="00112CC0" w:rsidRPr="00112CC0" w:rsidRDefault="00112CC0" w:rsidP="00C97290">
      <w:pPr>
        <w:pStyle w:val="Heading1"/>
        <w:rPr>
          <w:lang w:val="en-GB"/>
        </w:rPr>
      </w:pPr>
      <w:r w:rsidRPr="00112CC0">
        <w:rPr>
          <w:lang w:val="en-GB"/>
        </w:rPr>
        <w:t>References</w:t>
      </w:r>
    </w:p>
    <w:p w14:paraId="04F16FE0" w14:textId="20698B65" w:rsidR="00BB000A" w:rsidRPr="00BB000A" w:rsidRDefault="00A1318A" w:rsidP="00B00A7F">
      <w:pPr>
        <w:spacing w:line="276" w:lineRule="auto"/>
        <w:jc w:val="both"/>
        <w:rPr>
          <w:rFonts w:ascii="Arial" w:hAnsi="Arial" w:cs="Arial"/>
          <w:color w:val="333333"/>
          <w:shd w:val="clear" w:color="auto" w:fill="FFFFFF"/>
          <w:lang/>
        </w:rPr>
      </w:pPr>
      <w:proofErr w:type="spellStart"/>
      <w:r w:rsidRPr="00B00A7F">
        <w:rPr>
          <w:rFonts w:ascii="Arial" w:hAnsi="Arial" w:cs="Arial"/>
          <w:color w:val="333333"/>
          <w:highlight w:val="green"/>
          <w:shd w:val="clear" w:color="auto" w:fill="FFFFFF"/>
        </w:rPr>
        <w:t>Adegun</w:t>
      </w:r>
      <w:proofErr w:type="spellEnd"/>
      <w:r w:rsidRPr="00B00A7F">
        <w:rPr>
          <w:rFonts w:ascii="Arial" w:hAnsi="Arial" w:cs="Arial"/>
          <w:color w:val="333333"/>
          <w:highlight w:val="green"/>
          <w:shd w:val="clear" w:color="auto" w:fill="FFFFFF"/>
        </w:rPr>
        <w:t xml:space="preserve">, </w:t>
      </w:r>
      <w:proofErr w:type="spellStart"/>
      <w:r w:rsidRPr="00B00A7F">
        <w:rPr>
          <w:rFonts w:ascii="Arial" w:hAnsi="Arial" w:cs="Arial"/>
          <w:color w:val="333333"/>
          <w:highlight w:val="green"/>
          <w:shd w:val="clear" w:color="auto" w:fill="FFFFFF"/>
        </w:rPr>
        <w:t>Olumuyiwa</w:t>
      </w:r>
      <w:proofErr w:type="spellEnd"/>
      <w:r w:rsidRPr="00B00A7F">
        <w:rPr>
          <w:rFonts w:ascii="Arial" w:hAnsi="Arial" w:cs="Arial"/>
          <w:color w:val="333333"/>
          <w:highlight w:val="green"/>
          <w:shd w:val="clear" w:color="auto" w:fill="FFFFFF"/>
        </w:rPr>
        <w:t xml:space="preserve"> </w:t>
      </w:r>
      <w:proofErr w:type="spellStart"/>
      <w:r w:rsidRPr="00B00A7F">
        <w:rPr>
          <w:rFonts w:ascii="Arial" w:hAnsi="Arial" w:cs="Arial"/>
          <w:color w:val="333333"/>
          <w:highlight w:val="green"/>
          <w:shd w:val="clear" w:color="auto" w:fill="FFFFFF"/>
        </w:rPr>
        <w:t>Bayode</w:t>
      </w:r>
      <w:proofErr w:type="spellEnd"/>
      <w:r w:rsidRPr="00B00A7F">
        <w:rPr>
          <w:rFonts w:ascii="Arial" w:hAnsi="Arial" w:cs="Arial"/>
          <w:color w:val="333333"/>
          <w:highlight w:val="green"/>
          <w:shd w:val="clear" w:color="auto" w:fill="FFFFFF"/>
        </w:rPr>
        <w:t>. 2019. “Green Infrastructure in Informal Unplanned Settlements: The Case of Kya Sands, Johannesburg.” </w:t>
      </w:r>
      <w:r w:rsidRPr="00B00A7F">
        <w:rPr>
          <w:rFonts w:ascii="Arial" w:hAnsi="Arial" w:cs="Arial"/>
          <w:i/>
          <w:iCs/>
          <w:color w:val="333333"/>
          <w:highlight w:val="green"/>
          <w:shd w:val="clear" w:color="auto" w:fill="FFFFFF"/>
        </w:rPr>
        <w:t>International Journal of Urban Sustainable Development</w:t>
      </w:r>
      <w:r w:rsidRPr="00B00A7F">
        <w:rPr>
          <w:rFonts w:ascii="Arial" w:hAnsi="Arial" w:cs="Arial"/>
          <w:color w:val="333333"/>
          <w:highlight w:val="green"/>
          <w:shd w:val="clear" w:color="auto" w:fill="FFFFFF"/>
        </w:rPr>
        <w:t> 11 (1): 68–80.</w:t>
      </w:r>
      <w:r w:rsidR="00BB000A" w:rsidRPr="00B00A7F">
        <w:rPr>
          <w:rFonts w:ascii="Arial" w:hAnsi="Arial" w:cs="Arial"/>
          <w:color w:val="333333"/>
          <w:highlight w:val="green"/>
          <w:shd w:val="clear" w:color="auto" w:fill="FFFFFF"/>
        </w:rPr>
        <w:t xml:space="preserve"> </w:t>
      </w:r>
      <w:hyperlink r:id="rId21" w:history="1">
        <w:r w:rsidR="00BB000A" w:rsidRPr="00BB000A">
          <w:rPr>
            <w:rStyle w:val="Hyperlink"/>
            <w:rFonts w:ascii="Arial" w:hAnsi="Arial" w:cs="Arial"/>
            <w:highlight w:val="green"/>
            <w:shd w:val="clear" w:color="auto" w:fill="FFFFFF"/>
            <w:lang/>
          </w:rPr>
          <w:t>https://doi.org/10.1080/19463138.2019.1565412</w:t>
        </w:r>
      </w:hyperlink>
      <w:r w:rsidR="009A4157" w:rsidRPr="00B00A7F">
        <w:rPr>
          <w:rFonts w:ascii="Arial" w:hAnsi="Arial" w:cs="Arial"/>
          <w:color w:val="333333"/>
          <w:highlight w:val="green"/>
          <w:shd w:val="clear" w:color="auto" w:fill="FFFFFF"/>
          <w:lang/>
        </w:rPr>
        <w:t>.</w:t>
      </w:r>
    </w:p>
    <w:p w14:paraId="155A2E69" w14:textId="1FE7C5BB" w:rsidR="00A1318A" w:rsidRDefault="00A1318A" w:rsidP="007220B9">
      <w:pPr>
        <w:spacing w:line="276" w:lineRule="auto"/>
        <w:jc w:val="both"/>
        <w:rPr>
          <w:rFonts w:ascii="Arial" w:hAnsi="Arial" w:cs="Arial"/>
          <w:color w:val="333333"/>
          <w:shd w:val="clear" w:color="auto" w:fill="FFFFFF"/>
        </w:rPr>
      </w:pPr>
    </w:p>
    <w:p w14:paraId="2495DF1B" w14:textId="07415316" w:rsidR="00112CC0" w:rsidRDefault="00112CC0" w:rsidP="007220B9">
      <w:pPr>
        <w:spacing w:line="276" w:lineRule="auto"/>
        <w:jc w:val="both"/>
        <w:rPr>
          <w:rFonts w:ascii="Arial" w:hAnsi="Arial" w:cs="Arial"/>
          <w:lang w:val="en-GB"/>
        </w:rPr>
      </w:pPr>
      <w:proofErr w:type="spellStart"/>
      <w:r w:rsidRPr="007220B9">
        <w:rPr>
          <w:rFonts w:ascii="Arial" w:hAnsi="Arial" w:cs="Arial"/>
          <w:lang w:val="en-GB"/>
        </w:rPr>
        <w:t>Adjetey</w:t>
      </w:r>
      <w:proofErr w:type="spellEnd"/>
      <w:r w:rsidRPr="007220B9">
        <w:rPr>
          <w:rFonts w:ascii="Arial" w:hAnsi="Arial" w:cs="Arial"/>
          <w:lang w:val="en-GB"/>
        </w:rPr>
        <w:t xml:space="preserve">, E., et al. 2023. “The Fate of Urban Green Spaces: Assessment of the Ownership, Availability and Conditions of Parks in Accra, Ghana.” </w:t>
      </w:r>
      <w:r w:rsidRPr="007220B9">
        <w:rPr>
          <w:rFonts w:ascii="Arial" w:hAnsi="Arial" w:cs="Arial"/>
          <w:i/>
          <w:iCs/>
          <w:lang w:val="en-GB"/>
        </w:rPr>
        <w:t>Urban Forestry &amp; Urban Greening</w:t>
      </w:r>
      <w:r w:rsidRPr="007220B9">
        <w:rPr>
          <w:rFonts w:ascii="Arial" w:hAnsi="Arial" w:cs="Arial"/>
          <w:lang w:val="en-GB"/>
        </w:rPr>
        <w:t xml:space="preserve"> 80:127845. </w:t>
      </w:r>
      <w:hyperlink r:id="rId22" w:history="1">
        <w:r w:rsidRPr="007220B9">
          <w:rPr>
            <w:rStyle w:val="Hyperlink"/>
            <w:rFonts w:ascii="Arial" w:hAnsi="Arial" w:cs="Arial"/>
            <w:lang w:val="en-GB"/>
          </w:rPr>
          <w:t>https://doi.org/10.1016/j.ufug.2023.127845</w:t>
        </w:r>
      </w:hyperlink>
      <w:r w:rsidRPr="007220B9">
        <w:rPr>
          <w:rFonts w:ascii="Arial" w:hAnsi="Arial" w:cs="Arial"/>
          <w:lang w:val="en-GB"/>
        </w:rPr>
        <w:t>.</w:t>
      </w:r>
    </w:p>
    <w:p w14:paraId="701D354D" w14:textId="2B92C1A9" w:rsidR="00C847DE" w:rsidRDefault="00C847DE" w:rsidP="007220B9">
      <w:pPr>
        <w:spacing w:line="276" w:lineRule="auto"/>
        <w:jc w:val="both"/>
        <w:rPr>
          <w:rFonts w:ascii="Arial" w:hAnsi="Arial" w:cs="Arial"/>
          <w:lang w:val="en-GB"/>
        </w:rPr>
      </w:pPr>
    </w:p>
    <w:p w14:paraId="381C3F72" w14:textId="4E0191BA" w:rsidR="00C847DE" w:rsidRPr="00C847DE" w:rsidRDefault="00C847DE" w:rsidP="00B00A7F">
      <w:pPr>
        <w:spacing w:line="276" w:lineRule="auto"/>
        <w:jc w:val="both"/>
        <w:rPr>
          <w:rFonts w:cs="Helvetica"/>
          <w:color w:val="222222"/>
          <w:shd w:val="clear" w:color="auto" w:fill="FFFFFF"/>
        </w:rPr>
      </w:pPr>
      <w:r w:rsidRPr="005C0561">
        <w:rPr>
          <w:rFonts w:ascii="Arial" w:hAnsi="Arial" w:cs="Arial"/>
          <w:color w:val="222222"/>
          <w:highlight w:val="green"/>
          <w:shd w:val="clear" w:color="auto" w:fill="FFFFFF"/>
        </w:rPr>
        <w:t xml:space="preserve">Akanbang, B. A. A., </w:t>
      </w:r>
      <w:proofErr w:type="spellStart"/>
      <w:r w:rsidRPr="005C0561">
        <w:rPr>
          <w:rFonts w:ascii="Arial" w:hAnsi="Arial" w:cs="Arial"/>
          <w:color w:val="222222"/>
          <w:highlight w:val="green"/>
          <w:shd w:val="clear" w:color="auto" w:fill="FFFFFF"/>
        </w:rPr>
        <w:t>Akaateba</w:t>
      </w:r>
      <w:proofErr w:type="spellEnd"/>
      <w:r w:rsidRPr="005C0561">
        <w:rPr>
          <w:rFonts w:ascii="Arial" w:hAnsi="Arial" w:cs="Arial"/>
          <w:color w:val="222222"/>
          <w:highlight w:val="green"/>
          <w:shd w:val="clear" w:color="auto" w:fill="FFFFFF"/>
        </w:rPr>
        <w:t xml:space="preserve">, M. A., &amp; Korah, P. I. (2024). Creating and sustaining urban green spaces in Africa under phenomenal </w:t>
      </w:r>
      <w:proofErr w:type="spellStart"/>
      <w:r w:rsidRPr="005C0561">
        <w:rPr>
          <w:rFonts w:ascii="Arial" w:hAnsi="Arial" w:cs="Arial"/>
          <w:color w:val="222222"/>
          <w:highlight w:val="green"/>
          <w:shd w:val="clear" w:color="auto" w:fill="FFFFFF"/>
        </w:rPr>
        <w:t>urbanisation</w:t>
      </w:r>
      <w:proofErr w:type="spellEnd"/>
      <w:r w:rsidRPr="005C0561">
        <w:rPr>
          <w:rFonts w:ascii="Arial" w:hAnsi="Arial" w:cs="Arial"/>
          <w:color w:val="222222"/>
          <w:highlight w:val="green"/>
          <w:shd w:val="clear" w:color="auto" w:fill="FFFFFF"/>
        </w:rPr>
        <w:t xml:space="preserve">: residents’ perspectives on home gardens in </w:t>
      </w:r>
      <w:proofErr w:type="spellStart"/>
      <w:r w:rsidRPr="005C0561">
        <w:rPr>
          <w:rFonts w:ascii="Arial" w:hAnsi="Arial" w:cs="Arial"/>
          <w:color w:val="222222"/>
          <w:highlight w:val="green"/>
          <w:shd w:val="clear" w:color="auto" w:fill="FFFFFF"/>
        </w:rPr>
        <w:t>Wa</w:t>
      </w:r>
      <w:proofErr w:type="spellEnd"/>
      <w:r w:rsidRPr="005C0561">
        <w:rPr>
          <w:rFonts w:ascii="Arial" w:hAnsi="Arial" w:cs="Arial"/>
          <w:color w:val="222222"/>
          <w:highlight w:val="green"/>
          <w:shd w:val="clear" w:color="auto" w:fill="FFFFFF"/>
        </w:rPr>
        <w:t>, Ghana. </w:t>
      </w:r>
      <w:r w:rsidRPr="005C0561">
        <w:rPr>
          <w:rFonts w:ascii="Arial" w:hAnsi="Arial" w:cs="Arial"/>
          <w:i/>
          <w:iCs/>
          <w:color w:val="222222"/>
          <w:highlight w:val="green"/>
          <w:shd w:val="clear" w:color="auto" w:fill="FFFFFF"/>
        </w:rPr>
        <w:t>Discover Cities</w:t>
      </w:r>
      <w:r w:rsidRPr="005C0561">
        <w:rPr>
          <w:rFonts w:ascii="Arial" w:hAnsi="Arial" w:cs="Arial"/>
          <w:color w:val="222222"/>
          <w:highlight w:val="green"/>
          <w:shd w:val="clear" w:color="auto" w:fill="FFFFFF"/>
        </w:rPr>
        <w:t>, </w:t>
      </w:r>
      <w:r w:rsidRPr="005C0561">
        <w:rPr>
          <w:rFonts w:ascii="Arial" w:hAnsi="Arial" w:cs="Arial"/>
          <w:i/>
          <w:iCs/>
          <w:color w:val="222222"/>
          <w:highlight w:val="green"/>
          <w:shd w:val="clear" w:color="auto" w:fill="FFFFFF"/>
        </w:rPr>
        <w:t>1</w:t>
      </w:r>
      <w:r w:rsidRPr="005C0561">
        <w:rPr>
          <w:rFonts w:ascii="Arial" w:hAnsi="Arial" w:cs="Arial"/>
          <w:color w:val="222222"/>
          <w:highlight w:val="green"/>
          <w:shd w:val="clear" w:color="auto" w:fill="FFFFFF"/>
        </w:rPr>
        <w:t xml:space="preserve">(1), 20. </w:t>
      </w:r>
      <w:hyperlink r:id="rId23" w:history="1">
        <w:r w:rsidRPr="005C0561">
          <w:rPr>
            <w:rStyle w:val="Hyperlink"/>
            <w:rFonts w:cs="Helvetica"/>
            <w:highlight w:val="green"/>
            <w:shd w:val="clear" w:color="auto" w:fill="FFFFFF"/>
          </w:rPr>
          <w:t>https://doi.org/10.1007/s44327-024-00025-3</w:t>
        </w:r>
      </w:hyperlink>
    </w:p>
    <w:p w14:paraId="249CCF06" w14:textId="77777777" w:rsidR="00112CC0" w:rsidRPr="00112CC0" w:rsidRDefault="00112CC0" w:rsidP="00112CC0">
      <w:pPr>
        <w:tabs>
          <w:tab w:val="num" w:pos="720"/>
        </w:tabs>
        <w:spacing w:line="276" w:lineRule="auto"/>
        <w:jc w:val="both"/>
        <w:rPr>
          <w:rFonts w:ascii="Arial" w:hAnsi="Arial" w:cs="Arial"/>
          <w:lang w:val="en-GB"/>
        </w:rPr>
      </w:pPr>
    </w:p>
    <w:p w14:paraId="2EBEE635"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Ansah, E. W., et al. 2024. “Impact of Urban Greening on Population Health in Sub-Saharan Africa: A Scoping Review Protocol.” </w:t>
      </w:r>
      <w:r w:rsidRPr="007220B9">
        <w:rPr>
          <w:rFonts w:ascii="Arial" w:hAnsi="Arial" w:cs="Arial"/>
          <w:i/>
          <w:iCs/>
          <w:lang w:val="en-GB"/>
        </w:rPr>
        <w:t>BMJ Open</w:t>
      </w:r>
      <w:r w:rsidRPr="007220B9">
        <w:rPr>
          <w:rFonts w:ascii="Arial" w:hAnsi="Arial" w:cs="Arial"/>
          <w:lang w:val="en-GB"/>
        </w:rPr>
        <w:t xml:space="preserve"> 14(10</w:t>
      </w:r>
      <w:proofErr w:type="gramStart"/>
      <w:r w:rsidRPr="007220B9">
        <w:rPr>
          <w:rFonts w:ascii="Arial" w:hAnsi="Arial" w:cs="Arial"/>
          <w:lang w:val="en-GB"/>
        </w:rPr>
        <w:t>):e</w:t>
      </w:r>
      <w:proofErr w:type="gramEnd"/>
      <w:r w:rsidRPr="007220B9">
        <w:rPr>
          <w:rFonts w:ascii="Arial" w:hAnsi="Arial" w:cs="Arial"/>
          <w:lang w:val="en-GB"/>
        </w:rPr>
        <w:t xml:space="preserve">087638. </w:t>
      </w:r>
    </w:p>
    <w:p w14:paraId="6C924E9A" w14:textId="0084C5DC" w:rsidR="00112CC0" w:rsidRDefault="00092048" w:rsidP="00112CC0">
      <w:pPr>
        <w:tabs>
          <w:tab w:val="num" w:pos="720"/>
        </w:tabs>
        <w:spacing w:line="276" w:lineRule="auto"/>
        <w:jc w:val="both"/>
        <w:rPr>
          <w:rFonts w:ascii="Arial" w:hAnsi="Arial" w:cs="Arial"/>
          <w:lang w:val="en-GB"/>
        </w:rPr>
      </w:pPr>
      <w:hyperlink r:id="rId24" w:history="1">
        <w:r w:rsidR="00112CC0" w:rsidRPr="00112CC0">
          <w:rPr>
            <w:rStyle w:val="Hyperlink"/>
            <w:rFonts w:ascii="Arial" w:hAnsi="Arial" w:cs="Arial"/>
            <w:lang w:val="en-GB"/>
          </w:rPr>
          <w:t>https://doi.org/10.1136/bmjopen-2024-087638</w:t>
        </w:r>
      </w:hyperlink>
      <w:r w:rsidR="00112CC0" w:rsidRPr="00112CC0">
        <w:rPr>
          <w:rFonts w:ascii="Arial" w:hAnsi="Arial" w:cs="Arial"/>
          <w:lang w:val="en-GB"/>
        </w:rPr>
        <w:t>.</w:t>
      </w:r>
    </w:p>
    <w:p w14:paraId="1A495134" w14:textId="77777777" w:rsidR="006F3A07" w:rsidRDefault="006F3A07" w:rsidP="00112CC0">
      <w:pPr>
        <w:tabs>
          <w:tab w:val="num" w:pos="720"/>
        </w:tabs>
        <w:spacing w:line="276" w:lineRule="auto"/>
        <w:jc w:val="both"/>
        <w:rPr>
          <w:rFonts w:ascii="Arial" w:hAnsi="Arial" w:cs="Arial"/>
          <w:lang w:val="en-GB"/>
        </w:rPr>
      </w:pPr>
    </w:p>
    <w:p w14:paraId="5F8147BD" w14:textId="77777777" w:rsidR="006F3A07" w:rsidRDefault="006F3A07" w:rsidP="006F3A07">
      <w:pPr>
        <w:tabs>
          <w:tab w:val="num" w:pos="720"/>
        </w:tabs>
        <w:spacing w:line="276" w:lineRule="auto"/>
        <w:jc w:val="both"/>
        <w:rPr>
          <w:rFonts w:ascii="Arial" w:hAnsi="Arial" w:cs="Arial"/>
        </w:rPr>
      </w:pPr>
      <w:proofErr w:type="spellStart"/>
      <w:r w:rsidRPr="008A0F3A">
        <w:rPr>
          <w:rFonts w:ascii="Arial" w:hAnsi="Arial" w:cs="Arial"/>
        </w:rPr>
        <w:t>Bressane</w:t>
      </w:r>
      <w:proofErr w:type="spellEnd"/>
      <w:r w:rsidRPr="008A0F3A">
        <w:rPr>
          <w:rFonts w:ascii="Arial" w:hAnsi="Arial" w:cs="Arial"/>
        </w:rPr>
        <w:t>, A., dos Santos Galvão, A. L., Loureiro, A. I. S., Ferreira, M. E. G., Monstans, M. C., &amp; de Castro Medeiros, L. C. (2024). Valuing urban green spaces for enhanced public health and sustainability: A study on public willingness-to-pay in an emerging economy. </w:t>
      </w:r>
      <w:r w:rsidRPr="008A0F3A">
        <w:rPr>
          <w:rFonts w:ascii="Arial" w:hAnsi="Arial" w:cs="Arial"/>
          <w:i/>
          <w:iCs/>
        </w:rPr>
        <w:t>Urban Forestry &amp; Urban Greening</w:t>
      </w:r>
      <w:r w:rsidRPr="008A0F3A">
        <w:rPr>
          <w:rFonts w:ascii="Arial" w:hAnsi="Arial" w:cs="Arial"/>
        </w:rPr>
        <w:t>, </w:t>
      </w:r>
      <w:r w:rsidRPr="008A0F3A">
        <w:rPr>
          <w:rFonts w:ascii="Arial" w:hAnsi="Arial" w:cs="Arial"/>
          <w:i/>
          <w:iCs/>
        </w:rPr>
        <w:t>98</w:t>
      </w:r>
      <w:r w:rsidRPr="008A0F3A">
        <w:rPr>
          <w:rFonts w:ascii="Arial" w:hAnsi="Arial" w:cs="Arial"/>
        </w:rPr>
        <w:t>, 128386.</w:t>
      </w:r>
      <w:r>
        <w:rPr>
          <w:rFonts w:ascii="Arial" w:hAnsi="Arial" w:cs="Arial"/>
        </w:rPr>
        <w:t xml:space="preserve"> </w:t>
      </w:r>
      <w:hyperlink r:id="rId25" w:tgtFrame="_blank" w:tooltip="Persistent link using digital object identifier" w:history="1">
        <w:r w:rsidRPr="006F3A07">
          <w:rPr>
            <w:rStyle w:val="Hyperlink"/>
            <w:rFonts w:ascii="Arial" w:hAnsi="Arial" w:cs="Arial"/>
          </w:rPr>
          <w:t>https://doi.org/10.1016/j.ufug.2024.128386</w:t>
        </w:r>
      </w:hyperlink>
    </w:p>
    <w:p w14:paraId="3383B9F2" w14:textId="77777777" w:rsidR="006F3A07" w:rsidRPr="00112CC0" w:rsidRDefault="006F3A07" w:rsidP="00112CC0">
      <w:pPr>
        <w:tabs>
          <w:tab w:val="num" w:pos="720"/>
        </w:tabs>
        <w:spacing w:line="276" w:lineRule="auto"/>
        <w:jc w:val="both"/>
        <w:rPr>
          <w:rFonts w:ascii="Arial" w:hAnsi="Arial" w:cs="Arial"/>
          <w:lang w:val="en-GB"/>
        </w:rPr>
      </w:pPr>
    </w:p>
    <w:p w14:paraId="42E9502D" w14:textId="1A765D12" w:rsidR="00112CC0" w:rsidRPr="007220B9" w:rsidRDefault="00112CC0" w:rsidP="007220B9">
      <w:pPr>
        <w:spacing w:line="276" w:lineRule="auto"/>
        <w:jc w:val="both"/>
        <w:rPr>
          <w:rFonts w:ascii="Arial" w:hAnsi="Arial" w:cs="Arial"/>
          <w:lang w:val="en-GB"/>
        </w:rPr>
      </w:pPr>
      <w:r w:rsidRPr="007220B9">
        <w:rPr>
          <w:rFonts w:ascii="Arial" w:hAnsi="Arial" w:cs="Arial"/>
          <w:lang w:val="en-GB"/>
        </w:rPr>
        <w:t>Campbell, M., et al. 2020. “Synthesis without Meta-analysis (</w:t>
      </w:r>
      <w:proofErr w:type="spellStart"/>
      <w:r w:rsidRPr="007220B9">
        <w:rPr>
          <w:rFonts w:ascii="Arial" w:hAnsi="Arial" w:cs="Arial"/>
          <w:lang w:val="en-GB"/>
        </w:rPr>
        <w:t>SWiM</w:t>
      </w:r>
      <w:proofErr w:type="spellEnd"/>
      <w:r w:rsidRPr="007220B9">
        <w:rPr>
          <w:rFonts w:ascii="Arial" w:hAnsi="Arial" w:cs="Arial"/>
          <w:lang w:val="en-GB"/>
        </w:rPr>
        <w:t xml:space="preserve">) in Systematic Reviews: Reporting Guideline.” </w:t>
      </w:r>
      <w:r w:rsidRPr="007220B9">
        <w:rPr>
          <w:rFonts w:ascii="Arial" w:hAnsi="Arial" w:cs="Arial"/>
          <w:i/>
          <w:iCs/>
          <w:lang w:val="en-GB"/>
        </w:rPr>
        <w:t>BMJ</w:t>
      </w:r>
      <w:r w:rsidRPr="007220B9">
        <w:rPr>
          <w:rFonts w:ascii="Arial" w:hAnsi="Arial" w:cs="Arial"/>
          <w:lang w:val="en-GB"/>
        </w:rPr>
        <w:t xml:space="preserve"> </w:t>
      </w:r>
      <w:proofErr w:type="gramStart"/>
      <w:r w:rsidRPr="007220B9">
        <w:rPr>
          <w:rFonts w:ascii="Arial" w:hAnsi="Arial" w:cs="Arial"/>
          <w:lang w:val="en-GB"/>
        </w:rPr>
        <w:t>368:l</w:t>
      </w:r>
      <w:proofErr w:type="gramEnd"/>
      <w:r w:rsidRPr="007220B9">
        <w:rPr>
          <w:rFonts w:ascii="Arial" w:hAnsi="Arial" w:cs="Arial"/>
          <w:lang w:val="en-GB"/>
        </w:rPr>
        <w:t xml:space="preserve">6890. </w:t>
      </w:r>
      <w:hyperlink r:id="rId26" w:history="1">
        <w:r w:rsidRPr="007220B9">
          <w:rPr>
            <w:rStyle w:val="Hyperlink"/>
            <w:rFonts w:ascii="Arial" w:hAnsi="Arial" w:cs="Arial"/>
            <w:lang w:val="en-GB"/>
          </w:rPr>
          <w:t>https://doi.org/10.1136/bmj.l6890</w:t>
        </w:r>
      </w:hyperlink>
      <w:r w:rsidRPr="007220B9">
        <w:rPr>
          <w:rFonts w:ascii="Arial" w:hAnsi="Arial" w:cs="Arial"/>
          <w:lang w:val="en-GB"/>
        </w:rPr>
        <w:t>.</w:t>
      </w:r>
    </w:p>
    <w:p w14:paraId="0BB59C6D" w14:textId="77777777" w:rsidR="00112CC0" w:rsidRPr="00112CC0" w:rsidRDefault="00112CC0" w:rsidP="00112CC0">
      <w:pPr>
        <w:tabs>
          <w:tab w:val="num" w:pos="720"/>
        </w:tabs>
        <w:spacing w:line="276" w:lineRule="auto"/>
        <w:jc w:val="both"/>
        <w:rPr>
          <w:rFonts w:ascii="Arial" w:hAnsi="Arial" w:cs="Arial"/>
          <w:lang w:val="en-GB"/>
        </w:rPr>
      </w:pPr>
    </w:p>
    <w:p w14:paraId="513EBF6A" w14:textId="398C4427" w:rsidR="00112CC0" w:rsidRDefault="00112CC0" w:rsidP="007220B9">
      <w:pPr>
        <w:spacing w:line="276" w:lineRule="auto"/>
        <w:jc w:val="both"/>
        <w:rPr>
          <w:rFonts w:ascii="Arial" w:hAnsi="Arial" w:cs="Arial"/>
          <w:lang w:val="en-GB"/>
        </w:rPr>
      </w:pPr>
      <w:r w:rsidRPr="007220B9">
        <w:rPr>
          <w:rFonts w:ascii="Arial" w:hAnsi="Arial" w:cs="Arial"/>
          <w:lang w:val="en-GB"/>
        </w:rPr>
        <w:t xml:space="preserve">CASP. 2018. “Critical Appraisal Skills Programme Checklists.” </w:t>
      </w:r>
      <w:hyperlink r:id="rId27" w:history="1">
        <w:r w:rsidRPr="007220B9">
          <w:rPr>
            <w:rStyle w:val="Hyperlink"/>
            <w:rFonts w:ascii="Arial" w:hAnsi="Arial" w:cs="Arial"/>
            <w:lang w:val="en-GB"/>
          </w:rPr>
          <w:t>https://casp-uk.net/casp-tools-checklists/</w:t>
        </w:r>
      </w:hyperlink>
      <w:r w:rsidRPr="007220B9">
        <w:rPr>
          <w:rFonts w:ascii="Arial" w:hAnsi="Arial" w:cs="Arial"/>
          <w:lang w:val="en-GB"/>
        </w:rPr>
        <w:t>.</w:t>
      </w:r>
    </w:p>
    <w:p w14:paraId="551F646F" w14:textId="305CCF1E" w:rsidR="00C847DE" w:rsidRDefault="00C847DE" w:rsidP="007220B9">
      <w:pPr>
        <w:spacing w:line="276" w:lineRule="auto"/>
        <w:jc w:val="both"/>
        <w:rPr>
          <w:rFonts w:ascii="Arial" w:hAnsi="Arial" w:cs="Arial"/>
          <w:lang w:val="en-GB"/>
        </w:rPr>
      </w:pPr>
    </w:p>
    <w:p w14:paraId="73826EBD" w14:textId="5795BBAE" w:rsidR="00C847DE" w:rsidRPr="007220B9" w:rsidRDefault="00C847DE" w:rsidP="007220B9">
      <w:pPr>
        <w:spacing w:line="276" w:lineRule="auto"/>
        <w:jc w:val="both"/>
        <w:rPr>
          <w:rFonts w:ascii="Arial" w:hAnsi="Arial" w:cs="Arial"/>
          <w:lang w:val="en-GB"/>
        </w:rPr>
      </w:pPr>
      <w:proofErr w:type="spellStart"/>
      <w:r w:rsidRPr="005B3E3F">
        <w:rPr>
          <w:rFonts w:ascii="Arial" w:hAnsi="Arial" w:cs="Arial"/>
          <w:color w:val="222222"/>
          <w:highlight w:val="green"/>
          <w:shd w:val="clear" w:color="auto" w:fill="FFFFFF"/>
        </w:rPr>
        <w:t>Chishaleshale</w:t>
      </w:r>
      <w:proofErr w:type="spellEnd"/>
      <w:r w:rsidRPr="005B3E3F">
        <w:rPr>
          <w:rFonts w:ascii="Arial" w:hAnsi="Arial" w:cs="Arial"/>
          <w:color w:val="222222"/>
          <w:highlight w:val="green"/>
          <w:shd w:val="clear" w:color="auto" w:fill="FFFFFF"/>
        </w:rPr>
        <w:t>, M., Shackleton, C. M., Gambiza, J., &amp; Gumbo, D. (2015). The prevalence of planning and management frameworks for trees and green spaces in urban areas of South Africa. </w:t>
      </w:r>
      <w:r w:rsidRPr="005B3E3F">
        <w:rPr>
          <w:rFonts w:ascii="Arial" w:hAnsi="Arial" w:cs="Arial"/>
          <w:i/>
          <w:iCs/>
          <w:color w:val="222222"/>
          <w:highlight w:val="green"/>
          <w:shd w:val="clear" w:color="auto" w:fill="FFFFFF"/>
        </w:rPr>
        <w:t>Urban forestry &amp; urban greening</w:t>
      </w:r>
      <w:r w:rsidRPr="005B3E3F">
        <w:rPr>
          <w:rFonts w:ascii="Arial" w:hAnsi="Arial" w:cs="Arial"/>
          <w:color w:val="222222"/>
          <w:highlight w:val="green"/>
          <w:shd w:val="clear" w:color="auto" w:fill="FFFFFF"/>
        </w:rPr>
        <w:t>, </w:t>
      </w:r>
      <w:r w:rsidRPr="005B3E3F">
        <w:rPr>
          <w:rFonts w:ascii="Arial" w:hAnsi="Arial" w:cs="Arial"/>
          <w:i/>
          <w:iCs/>
          <w:color w:val="222222"/>
          <w:highlight w:val="green"/>
          <w:shd w:val="clear" w:color="auto" w:fill="FFFFFF"/>
        </w:rPr>
        <w:t>14</w:t>
      </w:r>
      <w:r w:rsidRPr="005B3E3F">
        <w:rPr>
          <w:rFonts w:ascii="Arial" w:hAnsi="Arial" w:cs="Arial"/>
          <w:color w:val="222222"/>
          <w:highlight w:val="green"/>
          <w:shd w:val="clear" w:color="auto" w:fill="FFFFFF"/>
        </w:rPr>
        <w:t>(4), 817-825.</w:t>
      </w:r>
      <w:r w:rsidR="007C1D4E" w:rsidRPr="007C1D4E">
        <w:t xml:space="preserve"> </w:t>
      </w:r>
      <w:hyperlink r:id="rId28" w:tgtFrame="_blank" w:tooltip="Persistent link using digital object identifier" w:history="1">
        <w:r w:rsidR="007C1D4E" w:rsidRPr="007C1D4E">
          <w:rPr>
            <w:rStyle w:val="Hyperlink"/>
            <w:rFonts w:ascii="Arial" w:hAnsi="Arial" w:cs="Arial"/>
            <w:highlight w:val="green"/>
            <w:shd w:val="clear" w:color="auto" w:fill="FFFFFF"/>
          </w:rPr>
          <w:t>https://doi.org/10.1016/j.ufug.2015.09.012</w:t>
        </w:r>
      </w:hyperlink>
    </w:p>
    <w:p w14:paraId="6F4219BA" w14:textId="77777777" w:rsidR="00112CC0" w:rsidRPr="00112CC0" w:rsidRDefault="00112CC0" w:rsidP="00112CC0">
      <w:pPr>
        <w:tabs>
          <w:tab w:val="num" w:pos="720"/>
        </w:tabs>
        <w:spacing w:line="276" w:lineRule="auto"/>
        <w:jc w:val="both"/>
        <w:rPr>
          <w:rFonts w:ascii="Arial" w:hAnsi="Arial" w:cs="Arial"/>
          <w:lang w:val="en-GB"/>
        </w:rPr>
      </w:pPr>
    </w:p>
    <w:p w14:paraId="53A9D907" w14:textId="20FBA517" w:rsidR="00112CC0" w:rsidRDefault="004C794F" w:rsidP="00112CC0">
      <w:pPr>
        <w:tabs>
          <w:tab w:val="num" w:pos="720"/>
        </w:tabs>
        <w:spacing w:line="276" w:lineRule="auto"/>
        <w:jc w:val="both"/>
        <w:rPr>
          <w:rFonts w:ascii="Arial" w:hAnsi="Arial" w:cs="Arial"/>
          <w:color w:val="222222"/>
          <w:highlight w:val="green"/>
          <w:shd w:val="clear" w:color="auto" w:fill="FFFFFF"/>
        </w:rPr>
      </w:pPr>
      <w:proofErr w:type="spellStart"/>
      <w:r w:rsidRPr="004C794F">
        <w:rPr>
          <w:rFonts w:ascii="Arial" w:hAnsi="Arial" w:cs="Arial"/>
          <w:color w:val="222222"/>
          <w:highlight w:val="green"/>
          <w:shd w:val="clear" w:color="auto" w:fill="FFFFFF"/>
        </w:rPr>
        <w:lastRenderedPageBreak/>
        <w:t>Cobbinah</w:t>
      </w:r>
      <w:proofErr w:type="spellEnd"/>
      <w:r w:rsidRPr="004C794F">
        <w:rPr>
          <w:rFonts w:ascii="Arial" w:hAnsi="Arial" w:cs="Arial"/>
          <w:color w:val="222222"/>
          <w:highlight w:val="green"/>
          <w:shd w:val="clear" w:color="auto" w:fill="FFFFFF"/>
        </w:rPr>
        <w:t xml:space="preserve">, Patrick </w:t>
      </w:r>
      <w:proofErr w:type="spellStart"/>
      <w:r w:rsidRPr="004C794F">
        <w:rPr>
          <w:rFonts w:ascii="Arial" w:hAnsi="Arial" w:cs="Arial"/>
          <w:color w:val="222222"/>
          <w:highlight w:val="green"/>
          <w:shd w:val="clear" w:color="auto" w:fill="FFFFFF"/>
        </w:rPr>
        <w:t>Brandful</w:t>
      </w:r>
      <w:proofErr w:type="spellEnd"/>
      <w:r w:rsidRPr="004C794F">
        <w:rPr>
          <w:rFonts w:ascii="Arial" w:hAnsi="Arial" w:cs="Arial"/>
          <w:color w:val="222222"/>
          <w:highlight w:val="green"/>
          <w:shd w:val="clear" w:color="auto" w:fill="FFFFFF"/>
        </w:rPr>
        <w:t xml:space="preserve">, Michael Osei </w:t>
      </w:r>
      <w:proofErr w:type="spellStart"/>
      <w:r w:rsidRPr="004C794F">
        <w:rPr>
          <w:rFonts w:ascii="Arial" w:hAnsi="Arial" w:cs="Arial"/>
          <w:color w:val="222222"/>
          <w:highlight w:val="green"/>
          <w:shd w:val="clear" w:color="auto" w:fill="FFFFFF"/>
        </w:rPr>
        <w:t>Asibey</w:t>
      </w:r>
      <w:proofErr w:type="spellEnd"/>
      <w:r w:rsidRPr="004C794F">
        <w:rPr>
          <w:rFonts w:ascii="Arial" w:hAnsi="Arial" w:cs="Arial"/>
          <w:color w:val="222222"/>
          <w:highlight w:val="green"/>
          <w:shd w:val="clear" w:color="auto" w:fill="FFFFFF"/>
        </w:rPr>
        <w:t xml:space="preserve">, and </w:t>
      </w:r>
      <w:proofErr w:type="spellStart"/>
      <w:r w:rsidRPr="004C794F">
        <w:rPr>
          <w:rFonts w:ascii="Arial" w:hAnsi="Arial" w:cs="Arial"/>
          <w:color w:val="222222"/>
          <w:highlight w:val="green"/>
          <w:shd w:val="clear" w:color="auto" w:fill="FFFFFF"/>
        </w:rPr>
        <w:t>Yaa</w:t>
      </w:r>
      <w:proofErr w:type="spellEnd"/>
      <w:r w:rsidRPr="004C794F">
        <w:rPr>
          <w:rFonts w:ascii="Arial" w:hAnsi="Arial" w:cs="Arial"/>
          <w:color w:val="222222"/>
          <w:highlight w:val="green"/>
          <w:shd w:val="clear" w:color="auto" w:fill="FFFFFF"/>
        </w:rPr>
        <w:t xml:space="preserve"> </w:t>
      </w:r>
      <w:proofErr w:type="spellStart"/>
      <w:r w:rsidRPr="004C794F">
        <w:rPr>
          <w:rFonts w:ascii="Arial" w:hAnsi="Arial" w:cs="Arial"/>
          <w:color w:val="222222"/>
          <w:highlight w:val="green"/>
          <w:shd w:val="clear" w:color="auto" w:fill="FFFFFF"/>
        </w:rPr>
        <w:t>Asuamah</w:t>
      </w:r>
      <w:proofErr w:type="spellEnd"/>
      <w:r w:rsidRPr="004C794F">
        <w:rPr>
          <w:rFonts w:ascii="Arial" w:hAnsi="Arial" w:cs="Arial"/>
          <w:color w:val="222222"/>
          <w:highlight w:val="green"/>
          <w:shd w:val="clear" w:color="auto" w:fill="FFFFFF"/>
        </w:rPr>
        <w:t xml:space="preserve"> </w:t>
      </w:r>
      <w:proofErr w:type="spellStart"/>
      <w:r w:rsidRPr="004C794F">
        <w:rPr>
          <w:rFonts w:ascii="Arial" w:hAnsi="Arial" w:cs="Arial"/>
          <w:color w:val="222222"/>
          <w:highlight w:val="green"/>
          <w:shd w:val="clear" w:color="auto" w:fill="FFFFFF"/>
        </w:rPr>
        <w:t>Gyedu-Pensang</w:t>
      </w:r>
      <w:proofErr w:type="spellEnd"/>
      <w:r w:rsidRPr="004C794F">
        <w:rPr>
          <w:rFonts w:ascii="Arial" w:hAnsi="Arial" w:cs="Arial"/>
          <w:color w:val="222222"/>
          <w:highlight w:val="green"/>
          <w:shd w:val="clear" w:color="auto" w:fill="FFFFFF"/>
        </w:rPr>
        <w:t>. "Urban land use planning in Ghana: Navigating complex coalescence of land ownership and administration." </w:t>
      </w:r>
      <w:r w:rsidRPr="004C794F">
        <w:rPr>
          <w:rFonts w:ascii="Arial" w:hAnsi="Arial" w:cs="Arial"/>
          <w:i/>
          <w:iCs/>
          <w:color w:val="222222"/>
          <w:highlight w:val="green"/>
          <w:shd w:val="clear" w:color="auto" w:fill="FFFFFF"/>
        </w:rPr>
        <w:t>Land use policy</w:t>
      </w:r>
      <w:r w:rsidRPr="004C794F">
        <w:rPr>
          <w:rFonts w:ascii="Arial" w:hAnsi="Arial" w:cs="Arial"/>
          <w:color w:val="222222"/>
          <w:highlight w:val="green"/>
          <w:shd w:val="clear" w:color="auto" w:fill="FFFFFF"/>
        </w:rPr>
        <w:t> 99 (2020): 105054.</w:t>
      </w:r>
      <w:r w:rsidR="007C1D4E">
        <w:rPr>
          <w:rFonts w:ascii="Arial" w:hAnsi="Arial" w:cs="Arial"/>
          <w:color w:val="222222"/>
          <w:highlight w:val="green"/>
          <w:shd w:val="clear" w:color="auto" w:fill="FFFFFF"/>
        </w:rPr>
        <w:t xml:space="preserve"> </w:t>
      </w:r>
      <w:hyperlink r:id="rId29" w:tgtFrame="_blank" w:tooltip="Persistent link using digital object identifier" w:history="1">
        <w:r w:rsidR="007C1D4E" w:rsidRPr="007C1D4E">
          <w:rPr>
            <w:rStyle w:val="Hyperlink"/>
            <w:rFonts w:ascii="Arial" w:hAnsi="Arial" w:cs="Arial"/>
            <w:highlight w:val="green"/>
            <w:shd w:val="clear" w:color="auto" w:fill="FFFFFF"/>
          </w:rPr>
          <w:t>https://doi.org/10.1016/j.landusepol.2020.105054</w:t>
        </w:r>
      </w:hyperlink>
    </w:p>
    <w:p w14:paraId="07786FA9" w14:textId="32606D5A" w:rsidR="00717448" w:rsidRDefault="00717448" w:rsidP="00112CC0">
      <w:pPr>
        <w:tabs>
          <w:tab w:val="num" w:pos="720"/>
        </w:tabs>
        <w:spacing w:line="276" w:lineRule="auto"/>
        <w:jc w:val="both"/>
        <w:rPr>
          <w:rFonts w:ascii="Arial" w:hAnsi="Arial" w:cs="Arial"/>
          <w:color w:val="222222"/>
          <w:shd w:val="clear" w:color="auto" w:fill="FFFFFF"/>
        </w:rPr>
      </w:pPr>
    </w:p>
    <w:p w14:paraId="4E25BE4B" w14:textId="4DB052DF" w:rsidR="007C1D4E" w:rsidRPr="007C1D4E" w:rsidRDefault="00717448" w:rsidP="007C1D4E">
      <w:pPr>
        <w:spacing w:line="276" w:lineRule="auto"/>
        <w:jc w:val="both"/>
        <w:rPr>
          <w:rFonts w:ascii="Arial" w:hAnsi="Arial" w:cs="Arial"/>
          <w:highlight w:val="green"/>
          <w:lang/>
        </w:rPr>
      </w:pPr>
      <w:proofErr w:type="spellStart"/>
      <w:r w:rsidRPr="00717448">
        <w:rPr>
          <w:rFonts w:ascii="Arial" w:hAnsi="Arial" w:cs="Arial"/>
          <w:highlight w:val="green"/>
        </w:rPr>
        <w:t>Eziama</w:t>
      </w:r>
      <w:proofErr w:type="spellEnd"/>
      <w:r w:rsidRPr="00717448">
        <w:rPr>
          <w:rFonts w:ascii="Arial" w:hAnsi="Arial" w:cs="Arial"/>
          <w:highlight w:val="green"/>
        </w:rPr>
        <w:t xml:space="preserve">, Elvin &amp; </w:t>
      </w:r>
      <w:proofErr w:type="spellStart"/>
      <w:r w:rsidRPr="00717448">
        <w:rPr>
          <w:rFonts w:ascii="Arial" w:hAnsi="Arial" w:cs="Arial"/>
          <w:highlight w:val="green"/>
        </w:rPr>
        <w:t>Asianuba</w:t>
      </w:r>
      <w:proofErr w:type="spellEnd"/>
      <w:r w:rsidRPr="00717448">
        <w:rPr>
          <w:rFonts w:ascii="Arial" w:hAnsi="Arial" w:cs="Arial"/>
          <w:highlight w:val="green"/>
        </w:rPr>
        <w:t xml:space="preserve">, Ifeoma &amp; Ugochukwu, Okonkwo &amp; </w:t>
      </w:r>
      <w:proofErr w:type="spellStart"/>
      <w:r w:rsidRPr="00717448">
        <w:rPr>
          <w:rFonts w:ascii="Arial" w:hAnsi="Arial" w:cs="Arial"/>
          <w:highlight w:val="green"/>
        </w:rPr>
        <w:t>Adimonyemma</w:t>
      </w:r>
      <w:proofErr w:type="spellEnd"/>
      <w:r w:rsidRPr="00717448">
        <w:rPr>
          <w:rFonts w:ascii="Arial" w:hAnsi="Arial" w:cs="Arial"/>
          <w:highlight w:val="green"/>
        </w:rPr>
        <w:t xml:space="preserve">, </w:t>
      </w:r>
      <w:proofErr w:type="spellStart"/>
      <w:r w:rsidRPr="00717448">
        <w:rPr>
          <w:rFonts w:ascii="Arial" w:hAnsi="Arial" w:cs="Arial"/>
          <w:highlight w:val="green"/>
        </w:rPr>
        <w:t>JohnPaul</w:t>
      </w:r>
      <w:proofErr w:type="spellEnd"/>
      <w:r w:rsidRPr="00717448">
        <w:rPr>
          <w:rFonts w:ascii="Arial" w:hAnsi="Arial" w:cs="Arial"/>
          <w:highlight w:val="green"/>
        </w:rPr>
        <w:t xml:space="preserve"> &amp; </w:t>
      </w:r>
      <w:proofErr w:type="spellStart"/>
      <w:r w:rsidRPr="00717448">
        <w:rPr>
          <w:rFonts w:ascii="Arial" w:hAnsi="Arial" w:cs="Arial"/>
          <w:highlight w:val="green"/>
        </w:rPr>
        <w:t>Ogugua</w:t>
      </w:r>
      <w:proofErr w:type="spellEnd"/>
      <w:r w:rsidRPr="00717448">
        <w:rPr>
          <w:rFonts w:ascii="Arial" w:hAnsi="Arial" w:cs="Arial"/>
          <w:highlight w:val="green"/>
        </w:rPr>
        <w:t xml:space="preserve">, Sandra &amp; </w:t>
      </w:r>
      <w:proofErr w:type="spellStart"/>
      <w:r w:rsidRPr="00717448">
        <w:rPr>
          <w:rFonts w:ascii="Arial" w:hAnsi="Arial" w:cs="Arial"/>
          <w:highlight w:val="green"/>
        </w:rPr>
        <w:t>Onochie</w:t>
      </w:r>
      <w:proofErr w:type="spellEnd"/>
      <w:r w:rsidRPr="00717448">
        <w:rPr>
          <w:rFonts w:ascii="Arial" w:hAnsi="Arial" w:cs="Arial"/>
          <w:highlight w:val="green"/>
        </w:rPr>
        <w:t xml:space="preserve">, </w:t>
      </w:r>
      <w:proofErr w:type="spellStart"/>
      <w:r w:rsidRPr="00717448">
        <w:rPr>
          <w:rFonts w:ascii="Arial" w:hAnsi="Arial" w:cs="Arial"/>
          <w:highlight w:val="green"/>
        </w:rPr>
        <w:t>Ogugua</w:t>
      </w:r>
      <w:proofErr w:type="spellEnd"/>
      <w:r w:rsidRPr="00717448">
        <w:rPr>
          <w:rFonts w:ascii="Arial" w:hAnsi="Arial" w:cs="Arial"/>
          <w:highlight w:val="green"/>
        </w:rPr>
        <w:t xml:space="preserve"> &amp; Dan, Ali &amp; </w:t>
      </w:r>
      <w:proofErr w:type="spellStart"/>
      <w:r w:rsidRPr="00717448">
        <w:rPr>
          <w:rFonts w:ascii="Arial" w:hAnsi="Arial" w:cs="Arial"/>
          <w:highlight w:val="green"/>
        </w:rPr>
        <w:t>Ogungbemi</w:t>
      </w:r>
      <w:proofErr w:type="spellEnd"/>
      <w:r w:rsidRPr="00717448">
        <w:rPr>
          <w:rFonts w:ascii="Arial" w:hAnsi="Arial" w:cs="Arial"/>
          <w:highlight w:val="green"/>
        </w:rPr>
        <w:t>, Olumide &amp; Francis, Enoh &amp; Babatunde, Ezekiel &amp; Oko-Odion, Courage. (2025). A Machine Learning and Spatial Clustering Framework for Urban Air Quality Prediction.</w:t>
      </w:r>
      <w:r w:rsidR="007C1D4E" w:rsidRPr="007C1D4E">
        <w:rPr>
          <w:rFonts w:ascii="Roboto" w:hAnsi="Roboto"/>
          <w:b/>
          <w:color w:val="525254"/>
          <w:sz w:val="21"/>
          <w:szCs w:val="21"/>
          <w:lang/>
        </w:rPr>
        <w:t xml:space="preserve"> </w:t>
      </w:r>
      <w:r w:rsidR="007C1D4E" w:rsidRPr="007C1D4E">
        <w:rPr>
          <w:rFonts w:ascii="Arial" w:hAnsi="Arial" w:cs="Arial"/>
          <w:highlight w:val="green"/>
          <w:lang/>
        </w:rPr>
        <w:t>DOI: </w:t>
      </w:r>
      <w:hyperlink r:id="rId30" w:tgtFrame="_blank" w:history="1">
        <w:r w:rsidR="007C1D4E" w:rsidRPr="007C1D4E">
          <w:rPr>
            <w:rStyle w:val="Hyperlink"/>
            <w:rFonts w:ascii="Arial" w:hAnsi="Arial" w:cs="Arial"/>
            <w:highlight w:val="green"/>
            <w:lang/>
          </w:rPr>
          <w:t>10.13140/RG.2.2.25033.45923</w:t>
        </w:r>
      </w:hyperlink>
    </w:p>
    <w:p w14:paraId="04CD6F8C" w14:textId="00681D9E" w:rsidR="004C794F" w:rsidRPr="007C1D4E" w:rsidRDefault="00717448" w:rsidP="00112CC0">
      <w:pPr>
        <w:tabs>
          <w:tab w:val="num" w:pos="720"/>
        </w:tabs>
        <w:spacing w:line="276" w:lineRule="auto"/>
        <w:jc w:val="both"/>
        <w:rPr>
          <w:rFonts w:ascii="Arial" w:hAnsi="Arial" w:cs="Arial"/>
          <w:highlight w:val="green"/>
        </w:rPr>
      </w:pPr>
      <w:r w:rsidRPr="00717448">
        <w:rPr>
          <w:rFonts w:ascii="Arial" w:hAnsi="Arial" w:cs="Arial"/>
          <w:highlight w:val="green"/>
        </w:rPr>
        <w:t xml:space="preserve"> </w:t>
      </w:r>
    </w:p>
    <w:p w14:paraId="35F7C101"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du Toit, M. J., et al. 2018. “Urban Green Infrastructure and Ecosystem Services in Sub-Saharan Africa.” </w:t>
      </w:r>
      <w:r w:rsidRPr="007220B9">
        <w:rPr>
          <w:rFonts w:ascii="Arial" w:hAnsi="Arial" w:cs="Arial"/>
          <w:i/>
          <w:iCs/>
          <w:lang w:val="en-GB"/>
        </w:rPr>
        <w:t>Landscape and Urban Planning</w:t>
      </w:r>
      <w:r w:rsidRPr="007220B9">
        <w:rPr>
          <w:rFonts w:ascii="Arial" w:hAnsi="Arial" w:cs="Arial"/>
          <w:lang w:val="en-GB"/>
        </w:rPr>
        <w:t xml:space="preserve"> 180:249–61. </w:t>
      </w:r>
      <w:hyperlink r:id="rId31" w:history="1">
        <w:r w:rsidRPr="007220B9">
          <w:rPr>
            <w:rStyle w:val="Hyperlink"/>
            <w:rFonts w:ascii="Arial" w:hAnsi="Arial" w:cs="Arial"/>
            <w:lang w:val="en-GB"/>
          </w:rPr>
          <w:t>https://doi.org/10.1016/j.landurbplan.2018.06.001</w:t>
        </w:r>
      </w:hyperlink>
      <w:r w:rsidRPr="007220B9">
        <w:rPr>
          <w:rFonts w:ascii="Arial" w:hAnsi="Arial" w:cs="Arial"/>
          <w:lang w:val="en-GB"/>
        </w:rPr>
        <w:t>.</w:t>
      </w:r>
    </w:p>
    <w:p w14:paraId="6F89F3B8" w14:textId="77777777" w:rsidR="00112CC0" w:rsidRPr="00112CC0" w:rsidRDefault="00112CC0" w:rsidP="00112CC0">
      <w:pPr>
        <w:tabs>
          <w:tab w:val="num" w:pos="720"/>
        </w:tabs>
        <w:spacing w:line="276" w:lineRule="auto"/>
        <w:jc w:val="both"/>
        <w:rPr>
          <w:rFonts w:ascii="Arial" w:hAnsi="Arial" w:cs="Arial"/>
          <w:lang w:val="en-GB"/>
        </w:rPr>
      </w:pPr>
    </w:p>
    <w:p w14:paraId="347FC077" w14:textId="77777777" w:rsidR="008A0F3A" w:rsidRPr="0033184C" w:rsidRDefault="00112CC0" w:rsidP="008A0F3A">
      <w:r w:rsidRPr="008A0F3A">
        <w:rPr>
          <w:rFonts w:ascii="Arial" w:hAnsi="Arial" w:cs="Arial"/>
          <w:lang w:val="en-GB"/>
        </w:rPr>
        <w:t xml:space="preserve">Mensah, C. A. 2014. “Urban Green Spaces in Africa: Nature and Challenges.” </w:t>
      </w:r>
      <w:r w:rsidRPr="008A0F3A">
        <w:rPr>
          <w:rFonts w:ascii="Arial" w:hAnsi="Arial" w:cs="Arial"/>
          <w:i/>
          <w:iCs/>
          <w:lang w:val="en-GB"/>
        </w:rPr>
        <w:t>International</w:t>
      </w:r>
      <w:r w:rsidRPr="007220B9">
        <w:rPr>
          <w:rFonts w:ascii="Arial" w:hAnsi="Arial" w:cs="Arial"/>
          <w:i/>
          <w:iCs/>
          <w:lang w:val="en-GB"/>
        </w:rPr>
        <w:t xml:space="preserve"> Journal of Ecosystem</w:t>
      </w:r>
      <w:r w:rsidRPr="007220B9">
        <w:rPr>
          <w:rFonts w:ascii="Arial" w:hAnsi="Arial" w:cs="Arial"/>
          <w:lang w:val="en-GB"/>
        </w:rPr>
        <w:t xml:space="preserve"> 4(1):1–11. </w:t>
      </w:r>
      <w:hyperlink r:id="rId32" w:history="1">
        <w:r w:rsidR="008A0F3A" w:rsidRPr="0033184C">
          <w:rPr>
            <w:color w:val="0000FF" w:themeColor="hyperlink"/>
            <w:u w:val="single"/>
          </w:rPr>
          <w:t>https://scholar.google.com/scholar?hl=en&amp;as_sdt=0%2C5&amp;q=Mensah%2C+C.+A.+2014.+%E2%80%9CUrban+Green+Spaces+in+Africa%3A+Nature+and+Challenges.%E2%80%9D+International+Journal+of+Ecosystem+4%281%29%3A1%E2%80%9311.+https%3A%2F%2Fdoi.org%2F10.5923%2Fj.ije.20140401.01%22&amp;btnG</w:t>
        </w:r>
      </w:hyperlink>
      <w:r w:rsidR="008A0F3A" w:rsidRPr="0033184C">
        <w:t>=</w:t>
      </w:r>
    </w:p>
    <w:p w14:paraId="22039BD2" w14:textId="240765C8" w:rsidR="00863BDD" w:rsidRDefault="00863BDD" w:rsidP="007220B9">
      <w:pPr>
        <w:spacing w:line="276" w:lineRule="auto"/>
        <w:jc w:val="both"/>
      </w:pPr>
    </w:p>
    <w:p w14:paraId="11D4404E" w14:textId="6DFFF544"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Mensah, C. A. 2015. “Sustaining Urban Green Spaces in Africa: A Case Study of Kumasi Metropolis, Ghana.” </w:t>
      </w:r>
      <w:r w:rsidRPr="007220B9">
        <w:rPr>
          <w:rFonts w:ascii="Arial" w:hAnsi="Arial" w:cs="Arial"/>
          <w:i/>
          <w:iCs/>
          <w:lang w:val="en-GB"/>
        </w:rPr>
        <w:t>Academia.edu</w:t>
      </w:r>
      <w:r w:rsidRPr="007220B9">
        <w:rPr>
          <w:rFonts w:ascii="Arial" w:hAnsi="Arial" w:cs="Arial"/>
          <w:lang w:val="en-GB"/>
        </w:rPr>
        <w:t xml:space="preserve">. </w:t>
      </w:r>
    </w:p>
    <w:p w14:paraId="16B399ED" w14:textId="7E0D7C9F" w:rsidR="00112CC0" w:rsidRPr="00112CC0" w:rsidRDefault="00092048" w:rsidP="007220B9">
      <w:pPr>
        <w:tabs>
          <w:tab w:val="num" w:pos="720"/>
        </w:tabs>
        <w:spacing w:line="276" w:lineRule="auto"/>
        <w:jc w:val="both"/>
        <w:rPr>
          <w:rFonts w:ascii="Arial" w:hAnsi="Arial" w:cs="Arial"/>
          <w:lang w:val="en-GB"/>
        </w:rPr>
      </w:pPr>
      <w:hyperlink r:id="rId33" w:history="1">
        <w:r w:rsidR="007220B9" w:rsidRPr="00A630C8">
          <w:rPr>
            <w:rStyle w:val="Hyperlink"/>
            <w:rFonts w:ascii="Arial" w:hAnsi="Arial" w:cs="Arial"/>
            <w:lang w:val="en-GB"/>
          </w:rPr>
          <w:t>https://www.academia.edu/64970103/Sustaining_urban_green_spaces_in_Africa_a_case_study_of_Kumasi_Metropolis_Ghana</w:t>
        </w:r>
      </w:hyperlink>
      <w:r w:rsidR="00112CC0" w:rsidRPr="00112CC0">
        <w:rPr>
          <w:rFonts w:ascii="Arial" w:hAnsi="Arial" w:cs="Arial"/>
          <w:lang w:val="en-GB"/>
        </w:rPr>
        <w:t>.</w:t>
      </w:r>
    </w:p>
    <w:p w14:paraId="30C093E7" w14:textId="77777777" w:rsidR="00112CC0" w:rsidRPr="00112CC0" w:rsidRDefault="00112CC0" w:rsidP="00112CC0">
      <w:pPr>
        <w:tabs>
          <w:tab w:val="num" w:pos="720"/>
        </w:tabs>
        <w:spacing w:line="276" w:lineRule="auto"/>
        <w:jc w:val="both"/>
        <w:rPr>
          <w:rFonts w:ascii="Arial" w:hAnsi="Arial" w:cs="Arial"/>
          <w:lang w:val="en-GB"/>
        </w:rPr>
      </w:pPr>
    </w:p>
    <w:p w14:paraId="66F6C5CE"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Moher, D., et al. 2009. “Preferred Reporting Items for Systematic Reviews and Meta-Analyses: The PRISMA Statement.” </w:t>
      </w:r>
      <w:proofErr w:type="spellStart"/>
      <w:r w:rsidRPr="007220B9">
        <w:rPr>
          <w:rFonts w:ascii="Arial" w:hAnsi="Arial" w:cs="Arial"/>
          <w:i/>
          <w:iCs/>
          <w:lang w:val="en-GB"/>
        </w:rPr>
        <w:t>PLoS</w:t>
      </w:r>
      <w:proofErr w:type="spellEnd"/>
      <w:r w:rsidRPr="007220B9">
        <w:rPr>
          <w:rFonts w:ascii="Arial" w:hAnsi="Arial" w:cs="Arial"/>
          <w:i/>
          <w:iCs/>
          <w:lang w:val="en-GB"/>
        </w:rPr>
        <w:t xml:space="preserve"> Medicine</w:t>
      </w:r>
      <w:r w:rsidRPr="007220B9">
        <w:rPr>
          <w:rFonts w:ascii="Arial" w:hAnsi="Arial" w:cs="Arial"/>
          <w:lang w:val="en-GB"/>
        </w:rPr>
        <w:t xml:space="preserve"> 6(7</w:t>
      </w:r>
      <w:proofErr w:type="gramStart"/>
      <w:r w:rsidRPr="007220B9">
        <w:rPr>
          <w:rFonts w:ascii="Arial" w:hAnsi="Arial" w:cs="Arial"/>
          <w:lang w:val="en-GB"/>
        </w:rPr>
        <w:t>):e</w:t>
      </w:r>
      <w:proofErr w:type="gramEnd"/>
      <w:r w:rsidRPr="007220B9">
        <w:rPr>
          <w:rFonts w:ascii="Arial" w:hAnsi="Arial" w:cs="Arial"/>
          <w:lang w:val="en-GB"/>
        </w:rPr>
        <w:t xml:space="preserve">1000097. </w:t>
      </w:r>
    </w:p>
    <w:p w14:paraId="240F5537" w14:textId="6D9E3D07" w:rsidR="00112CC0" w:rsidRDefault="00092048" w:rsidP="00994767">
      <w:pPr>
        <w:tabs>
          <w:tab w:val="num" w:pos="720"/>
        </w:tabs>
        <w:spacing w:line="276" w:lineRule="auto"/>
        <w:jc w:val="both"/>
        <w:rPr>
          <w:rFonts w:ascii="Arial" w:hAnsi="Arial" w:cs="Arial"/>
          <w:lang w:val="en-GB"/>
        </w:rPr>
      </w:pPr>
      <w:hyperlink r:id="rId34" w:history="1">
        <w:r w:rsidR="00994767" w:rsidRPr="00A630C8">
          <w:rPr>
            <w:rStyle w:val="Hyperlink"/>
            <w:rFonts w:ascii="Arial" w:hAnsi="Arial" w:cs="Arial"/>
            <w:lang w:val="en-GB"/>
          </w:rPr>
          <w:t>https://doi.org/10.1371/journal.pmed.1000097</w:t>
        </w:r>
      </w:hyperlink>
      <w:r w:rsidR="00112CC0" w:rsidRPr="00112CC0">
        <w:rPr>
          <w:rFonts w:ascii="Arial" w:hAnsi="Arial" w:cs="Arial"/>
          <w:lang w:val="en-GB"/>
        </w:rPr>
        <w:t>.</w:t>
      </w:r>
    </w:p>
    <w:p w14:paraId="6A98331F" w14:textId="6BEE1695" w:rsidR="00717448" w:rsidRDefault="00717448" w:rsidP="00994767">
      <w:pPr>
        <w:tabs>
          <w:tab w:val="num" w:pos="720"/>
        </w:tabs>
        <w:spacing w:line="276" w:lineRule="auto"/>
        <w:jc w:val="both"/>
        <w:rPr>
          <w:rFonts w:ascii="Arial" w:hAnsi="Arial" w:cs="Arial"/>
          <w:lang w:val="en-GB"/>
        </w:rPr>
      </w:pPr>
    </w:p>
    <w:p w14:paraId="27E548AB" w14:textId="7BA05674" w:rsidR="00717448" w:rsidRPr="00717448" w:rsidRDefault="00717448" w:rsidP="00994767">
      <w:pPr>
        <w:tabs>
          <w:tab w:val="num" w:pos="720"/>
        </w:tabs>
        <w:spacing w:line="276" w:lineRule="auto"/>
        <w:jc w:val="both"/>
        <w:rPr>
          <w:rFonts w:ascii="Arial" w:hAnsi="Arial" w:cs="Arial"/>
          <w:highlight w:val="green"/>
        </w:rPr>
      </w:pPr>
      <w:r w:rsidRPr="008D24E9">
        <w:rPr>
          <w:rFonts w:ascii="Arial" w:hAnsi="Arial" w:cs="Arial"/>
          <w:highlight w:val="green"/>
        </w:rPr>
        <w:t>Muhoza, J. P., &amp; Zhou, W. (2024). Urban Green Spaces in Africa: A Bibliometric Analysis. </w:t>
      </w:r>
      <w:r w:rsidRPr="008D24E9">
        <w:rPr>
          <w:rFonts w:ascii="Arial" w:hAnsi="Arial" w:cs="Arial"/>
          <w:i/>
          <w:iCs/>
          <w:highlight w:val="green"/>
        </w:rPr>
        <w:t>Environments</w:t>
      </w:r>
      <w:r w:rsidRPr="008D24E9">
        <w:rPr>
          <w:rFonts w:ascii="Arial" w:hAnsi="Arial" w:cs="Arial"/>
          <w:highlight w:val="green"/>
        </w:rPr>
        <w:t>, </w:t>
      </w:r>
      <w:r w:rsidRPr="008D24E9">
        <w:rPr>
          <w:rFonts w:ascii="Arial" w:hAnsi="Arial" w:cs="Arial"/>
          <w:i/>
          <w:iCs/>
          <w:highlight w:val="green"/>
        </w:rPr>
        <w:t>11</w:t>
      </w:r>
      <w:r w:rsidRPr="008D24E9">
        <w:rPr>
          <w:rFonts w:ascii="Arial" w:hAnsi="Arial" w:cs="Arial"/>
          <w:highlight w:val="green"/>
        </w:rPr>
        <w:t xml:space="preserve">(4), 68. </w:t>
      </w:r>
      <w:hyperlink r:id="rId35" w:history="1">
        <w:r w:rsidRPr="00784320">
          <w:rPr>
            <w:rStyle w:val="Hyperlink"/>
            <w:rFonts w:ascii="Arial" w:hAnsi="Arial" w:cs="Arial"/>
            <w:highlight w:val="green"/>
          </w:rPr>
          <w:t>https://doi.org/10.3390/environments11040068</w:t>
        </w:r>
      </w:hyperlink>
    </w:p>
    <w:p w14:paraId="4F695D37" w14:textId="77777777" w:rsidR="005B3E3F" w:rsidRDefault="005B3E3F" w:rsidP="007220B9">
      <w:pPr>
        <w:spacing w:line="276" w:lineRule="auto"/>
        <w:jc w:val="both"/>
        <w:rPr>
          <w:rFonts w:ascii="Arial" w:hAnsi="Arial" w:cs="Arial"/>
          <w:lang w:val="en-GB"/>
        </w:rPr>
      </w:pPr>
    </w:p>
    <w:p w14:paraId="4945FC69" w14:textId="1C51E88D" w:rsidR="005B3E3F" w:rsidRDefault="005B3E3F" w:rsidP="007220B9">
      <w:pPr>
        <w:spacing w:line="276" w:lineRule="auto"/>
        <w:jc w:val="both"/>
        <w:rPr>
          <w:rFonts w:ascii="Arial" w:hAnsi="Arial" w:cs="Arial"/>
          <w:highlight w:val="green"/>
        </w:rPr>
      </w:pPr>
      <w:r w:rsidRPr="005B3E3F">
        <w:rPr>
          <w:rFonts w:ascii="Arial" w:hAnsi="Arial" w:cs="Arial"/>
          <w:highlight w:val="green"/>
        </w:rPr>
        <w:t>Pedrosa, E. L. J., Okyere, S. A., Frimpong, L. K., Diko, S. K., Commodore, T. S., &amp; Kita, M. (2021). Planning for Informal Urban Green Spaces in African Cities: Children’s Perception and Use in Peri-Urban Areas of Luanda, Angola. </w:t>
      </w:r>
      <w:r w:rsidRPr="005B3E3F">
        <w:rPr>
          <w:rFonts w:ascii="Arial" w:hAnsi="Arial" w:cs="Arial"/>
          <w:i/>
          <w:iCs/>
          <w:highlight w:val="green"/>
        </w:rPr>
        <w:t>Urban Science</w:t>
      </w:r>
      <w:r w:rsidRPr="005B3E3F">
        <w:rPr>
          <w:rFonts w:ascii="Arial" w:hAnsi="Arial" w:cs="Arial"/>
          <w:highlight w:val="green"/>
        </w:rPr>
        <w:t>, </w:t>
      </w:r>
      <w:r w:rsidRPr="005B3E3F">
        <w:rPr>
          <w:rFonts w:ascii="Arial" w:hAnsi="Arial" w:cs="Arial"/>
          <w:i/>
          <w:iCs/>
          <w:highlight w:val="green"/>
        </w:rPr>
        <w:t>5</w:t>
      </w:r>
      <w:r w:rsidRPr="005B3E3F">
        <w:rPr>
          <w:rFonts w:ascii="Arial" w:hAnsi="Arial" w:cs="Arial"/>
          <w:highlight w:val="green"/>
        </w:rPr>
        <w:t xml:space="preserve">(3), 50. </w:t>
      </w:r>
      <w:hyperlink r:id="rId36" w:history="1">
        <w:r w:rsidRPr="005B3E3F">
          <w:rPr>
            <w:rStyle w:val="Hyperlink"/>
            <w:rFonts w:ascii="Arial" w:hAnsi="Arial" w:cs="Arial"/>
            <w:highlight w:val="green"/>
          </w:rPr>
          <w:t>https://doi.org/10.3390/urbansci5030050</w:t>
        </w:r>
      </w:hyperlink>
    </w:p>
    <w:p w14:paraId="0D531C07" w14:textId="4866F1DD" w:rsidR="00C847DE" w:rsidRDefault="00C847DE" w:rsidP="007220B9">
      <w:pPr>
        <w:spacing w:line="276" w:lineRule="auto"/>
        <w:jc w:val="both"/>
        <w:rPr>
          <w:rFonts w:ascii="Arial" w:hAnsi="Arial" w:cs="Arial"/>
        </w:rPr>
      </w:pPr>
    </w:p>
    <w:p w14:paraId="30598367" w14:textId="4FE9D950" w:rsidR="00C847DE" w:rsidRPr="00C847DE" w:rsidRDefault="00C847DE" w:rsidP="007220B9">
      <w:pPr>
        <w:spacing w:line="276" w:lineRule="auto"/>
        <w:jc w:val="both"/>
        <w:rPr>
          <w:rFonts w:ascii="Arial" w:hAnsi="Arial" w:cs="Arial"/>
          <w:lang w:val="en-GB"/>
        </w:rPr>
      </w:pPr>
      <w:proofErr w:type="spellStart"/>
      <w:r w:rsidRPr="002D40FB">
        <w:rPr>
          <w:rFonts w:ascii="Arial" w:hAnsi="Arial" w:cs="Arial"/>
          <w:color w:val="222222"/>
          <w:highlight w:val="green"/>
          <w:shd w:val="clear" w:color="auto" w:fill="FFFFFF"/>
        </w:rPr>
        <w:t>Puplampu</w:t>
      </w:r>
      <w:proofErr w:type="spellEnd"/>
      <w:r w:rsidRPr="002D40FB">
        <w:rPr>
          <w:rFonts w:ascii="Arial" w:hAnsi="Arial" w:cs="Arial"/>
          <w:color w:val="222222"/>
          <w:highlight w:val="green"/>
          <w:shd w:val="clear" w:color="auto" w:fill="FFFFFF"/>
        </w:rPr>
        <w:t>, D. A., &amp; Boafo, Y. A. (2021). Exploring the impacts of urban expansion on green spaces availability and delivery of ecosystem services in the Accra metropolis. </w:t>
      </w:r>
      <w:r w:rsidRPr="002D40FB">
        <w:rPr>
          <w:rFonts w:ascii="Arial" w:hAnsi="Arial" w:cs="Arial"/>
          <w:i/>
          <w:iCs/>
          <w:color w:val="222222"/>
          <w:highlight w:val="green"/>
          <w:shd w:val="clear" w:color="auto" w:fill="FFFFFF"/>
        </w:rPr>
        <w:t>Environmental Challenges</w:t>
      </w:r>
      <w:r w:rsidRPr="002D40FB">
        <w:rPr>
          <w:rFonts w:ascii="Arial" w:hAnsi="Arial" w:cs="Arial"/>
          <w:color w:val="222222"/>
          <w:highlight w:val="green"/>
          <w:shd w:val="clear" w:color="auto" w:fill="FFFFFF"/>
        </w:rPr>
        <w:t>, </w:t>
      </w:r>
      <w:r w:rsidRPr="002D40FB">
        <w:rPr>
          <w:rFonts w:ascii="Arial" w:hAnsi="Arial" w:cs="Arial"/>
          <w:i/>
          <w:iCs/>
          <w:color w:val="222222"/>
          <w:highlight w:val="green"/>
          <w:shd w:val="clear" w:color="auto" w:fill="FFFFFF"/>
        </w:rPr>
        <w:t>5</w:t>
      </w:r>
      <w:r w:rsidRPr="002D40FB">
        <w:rPr>
          <w:rFonts w:ascii="Arial" w:hAnsi="Arial" w:cs="Arial"/>
          <w:color w:val="222222"/>
          <w:highlight w:val="green"/>
          <w:shd w:val="clear" w:color="auto" w:fill="FFFFFF"/>
        </w:rPr>
        <w:t>, 100283</w:t>
      </w:r>
      <w:r>
        <w:rPr>
          <w:rFonts w:ascii="Arial" w:hAnsi="Arial" w:cs="Arial"/>
          <w:color w:val="222222"/>
          <w:shd w:val="clear" w:color="auto" w:fill="FFFFFF"/>
        </w:rPr>
        <w:t>.</w:t>
      </w:r>
      <w:r w:rsidR="007C1D4E" w:rsidRPr="007C1D4E">
        <w:t xml:space="preserve"> </w:t>
      </w:r>
      <w:hyperlink r:id="rId37" w:tgtFrame="_blank" w:tooltip="Persistent link using digital object identifier" w:history="1">
        <w:r w:rsidR="007C1D4E" w:rsidRPr="007C1D4E">
          <w:rPr>
            <w:rStyle w:val="Hyperlink"/>
            <w:rFonts w:ascii="Arial" w:hAnsi="Arial" w:cs="Arial"/>
            <w:shd w:val="clear" w:color="auto" w:fill="FFFFFF"/>
          </w:rPr>
          <w:t>https://doi.org/10.1016/j.envc.2021.100283</w:t>
        </w:r>
      </w:hyperlink>
    </w:p>
    <w:p w14:paraId="75FEDFA5" w14:textId="77777777" w:rsidR="00112CC0" w:rsidRPr="00112CC0" w:rsidRDefault="00112CC0" w:rsidP="00112CC0">
      <w:pPr>
        <w:tabs>
          <w:tab w:val="num" w:pos="720"/>
        </w:tabs>
        <w:spacing w:line="276" w:lineRule="auto"/>
        <w:jc w:val="both"/>
        <w:rPr>
          <w:rFonts w:ascii="Arial" w:hAnsi="Arial" w:cs="Arial"/>
          <w:lang w:val="en-GB"/>
        </w:rPr>
      </w:pPr>
    </w:p>
    <w:p w14:paraId="4DD6B234"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Ramaiah, Manish, and Ram Avtar. 2019. “Urban Green Spaces and Their Need in Cities of Rapidly Urbanising India: A Review.” </w:t>
      </w:r>
      <w:r w:rsidRPr="007220B9">
        <w:rPr>
          <w:rFonts w:ascii="Arial" w:hAnsi="Arial" w:cs="Arial"/>
          <w:i/>
          <w:iCs/>
          <w:lang w:val="en-GB"/>
        </w:rPr>
        <w:t>Urban Science</w:t>
      </w:r>
      <w:r w:rsidRPr="007220B9">
        <w:rPr>
          <w:rFonts w:ascii="Arial" w:hAnsi="Arial" w:cs="Arial"/>
          <w:lang w:val="en-GB"/>
        </w:rPr>
        <w:t xml:space="preserve"> 3(3):94.</w:t>
      </w:r>
    </w:p>
    <w:p w14:paraId="407F5912" w14:textId="508F49BE" w:rsidR="00112CC0" w:rsidRPr="00112CC0" w:rsidRDefault="00092048" w:rsidP="00994767">
      <w:pPr>
        <w:tabs>
          <w:tab w:val="num" w:pos="720"/>
        </w:tabs>
        <w:spacing w:line="276" w:lineRule="auto"/>
        <w:jc w:val="both"/>
        <w:rPr>
          <w:rFonts w:ascii="Arial" w:hAnsi="Arial" w:cs="Arial"/>
          <w:lang w:val="en-GB"/>
        </w:rPr>
      </w:pPr>
      <w:hyperlink r:id="rId38" w:history="1">
        <w:r w:rsidR="00744A70" w:rsidRPr="00112CC0">
          <w:rPr>
            <w:rStyle w:val="Hyperlink"/>
            <w:rFonts w:ascii="Arial" w:hAnsi="Arial" w:cs="Arial"/>
            <w:lang w:val="en-GB"/>
          </w:rPr>
          <w:t>https://doi.org/10.3390/urbansci3030094</w:t>
        </w:r>
      </w:hyperlink>
    </w:p>
    <w:p w14:paraId="7D70194E" w14:textId="77777777" w:rsidR="00112CC0" w:rsidRPr="00112CC0" w:rsidRDefault="00112CC0" w:rsidP="00112CC0">
      <w:pPr>
        <w:tabs>
          <w:tab w:val="num" w:pos="720"/>
        </w:tabs>
        <w:spacing w:line="276" w:lineRule="auto"/>
        <w:jc w:val="both"/>
        <w:rPr>
          <w:rFonts w:ascii="Arial" w:hAnsi="Arial" w:cs="Arial"/>
          <w:lang w:val="en-GB"/>
        </w:rPr>
      </w:pPr>
    </w:p>
    <w:p w14:paraId="5087CB28" w14:textId="77777777" w:rsidR="00112CC0" w:rsidRPr="007220B9" w:rsidRDefault="00112CC0" w:rsidP="007220B9">
      <w:pPr>
        <w:spacing w:line="276" w:lineRule="auto"/>
        <w:jc w:val="both"/>
        <w:rPr>
          <w:rFonts w:ascii="Arial" w:hAnsi="Arial" w:cs="Arial"/>
          <w:lang w:val="en-GB"/>
        </w:rPr>
      </w:pPr>
      <w:proofErr w:type="spellStart"/>
      <w:r w:rsidRPr="007220B9">
        <w:rPr>
          <w:rFonts w:ascii="Arial" w:hAnsi="Arial" w:cs="Arial"/>
          <w:lang w:val="en-GB"/>
        </w:rPr>
        <w:lastRenderedPageBreak/>
        <w:t>Titz</w:t>
      </w:r>
      <w:proofErr w:type="spellEnd"/>
      <w:r w:rsidRPr="007220B9">
        <w:rPr>
          <w:rFonts w:ascii="Arial" w:hAnsi="Arial" w:cs="Arial"/>
          <w:lang w:val="en-GB"/>
        </w:rPr>
        <w:t xml:space="preserve">, Alexandra, and </w:t>
      </w:r>
      <w:proofErr w:type="spellStart"/>
      <w:r w:rsidRPr="007220B9">
        <w:rPr>
          <w:rFonts w:ascii="Arial" w:hAnsi="Arial" w:cs="Arial"/>
          <w:lang w:val="en-GB"/>
        </w:rPr>
        <w:t>Sosten</w:t>
      </w:r>
      <w:proofErr w:type="spellEnd"/>
      <w:r w:rsidRPr="007220B9">
        <w:rPr>
          <w:rFonts w:ascii="Arial" w:hAnsi="Arial" w:cs="Arial"/>
          <w:lang w:val="en-GB"/>
        </w:rPr>
        <w:t xml:space="preserve"> S. </w:t>
      </w:r>
      <w:proofErr w:type="spellStart"/>
      <w:r w:rsidRPr="007220B9">
        <w:rPr>
          <w:rFonts w:ascii="Arial" w:hAnsi="Arial" w:cs="Arial"/>
          <w:lang w:val="en-GB"/>
        </w:rPr>
        <w:t>Chiotha</w:t>
      </w:r>
      <w:proofErr w:type="spellEnd"/>
      <w:r w:rsidRPr="007220B9">
        <w:rPr>
          <w:rFonts w:ascii="Arial" w:hAnsi="Arial" w:cs="Arial"/>
          <w:lang w:val="en-GB"/>
        </w:rPr>
        <w:t xml:space="preserve">. 2019. “Pathways for Sustainable and Inclusive Cities in Southern and Eastern Africa through Urban Green Infrastructure?” </w:t>
      </w:r>
      <w:r w:rsidRPr="007220B9">
        <w:rPr>
          <w:rFonts w:ascii="Arial" w:hAnsi="Arial" w:cs="Arial"/>
          <w:i/>
          <w:iCs/>
          <w:lang w:val="en-GB"/>
        </w:rPr>
        <w:t>Sustainability</w:t>
      </w:r>
      <w:r w:rsidRPr="007220B9">
        <w:rPr>
          <w:rFonts w:ascii="Arial" w:hAnsi="Arial" w:cs="Arial"/>
          <w:lang w:val="en-GB"/>
        </w:rPr>
        <w:t xml:space="preserve"> 11(10):2729. </w:t>
      </w:r>
      <w:hyperlink r:id="rId39" w:history="1">
        <w:r w:rsidRPr="007220B9">
          <w:rPr>
            <w:rStyle w:val="Hyperlink"/>
            <w:rFonts w:ascii="Arial" w:hAnsi="Arial" w:cs="Arial"/>
            <w:lang w:val="en-GB"/>
          </w:rPr>
          <w:t>https://doi.org/10.3390/su11102729</w:t>
        </w:r>
      </w:hyperlink>
    </w:p>
    <w:p w14:paraId="0489A742" w14:textId="77777777" w:rsidR="00112CC0" w:rsidRPr="00112CC0" w:rsidRDefault="00112CC0" w:rsidP="00112CC0">
      <w:pPr>
        <w:tabs>
          <w:tab w:val="num" w:pos="720"/>
        </w:tabs>
        <w:spacing w:line="276" w:lineRule="auto"/>
        <w:jc w:val="both"/>
        <w:rPr>
          <w:rFonts w:ascii="Arial" w:hAnsi="Arial" w:cs="Arial"/>
          <w:lang w:val="en-GB"/>
        </w:rPr>
      </w:pPr>
    </w:p>
    <w:p w14:paraId="2FE24DC5"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Tyndall, J. 2010. “AACODS Checklist.” Flinders University. </w:t>
      </w:r>
    </w:p>
    <w:p w14:paraId="17CE3A49" w14:textId="4EDD2D34" w:rsidR="00112CC0" w:rsidRPr="00112CC0" w:rsidRDefault="00092048" w:rsidP="00994767">
      <w:pPr>
        <w:tabs>
          <w:tab w:val="num" w:pos="720"/>
        </w:tabs>
        <w:spacing w:line="276" w:lineRule="auto"/>
        <w:jc w:val="both"/>
        <w:rPr>
          <w:rFonts w:ascii="Arial" w:hAnsi="Arial" w:cs="Arial"/>
          <w:lang w:val="en-GB"/>
        </w:rPr>
      </w:pPr>
      <w:hyperlink r:id="rId40" w:history="1">
        <w:r w:rsidR="00994767" w:rsidRPr="00A630C8">
          <w:rPr>
            <w:rStyle w:val="Hyperlink"/>
            <w:rFonts w:ascii="Arial" w:hAnsi="Arial" w:cs="Arial"/>
            <w:lang w:val="en-GB"/>
          </w:rPr>
          <w:t>https://dspace.flinders.edu.au/xmlui/handle/2328/3326</w:t>
        </w:r>
      </w:hyperlink>
      <w:r w:rsidR="00112CC0" w:rsidRPr="00112CC0">
        <w:rPr>
          <w:rFonts w:ascii="Arial" w:hAnsi="Arial" w:cs="Arial"/>
          <w:lang w:val="en-GB"/>
        </w:rPr>
        <w:t>.</w:t>
      </w:r>
    </w:p>
    <w:p w14:paraId="0891E176" w14:textId="77777777" w:rsidR="00733CA1" w:rsidRDefault="00733CA1" w:rsidP="007220B9">
      <w:pPr>
        <w:spacing w:line="276" w:lineRule="auto"/>
        <w:jc w:val="both"/>
        <w:rPr>
          <w:rStyle w:val="Hyperlink"/>
          <w:rFonts w:ascii="Arial" w:hAnsi="Arial" w:cs="Arial"/>
          <w:lang w:val="it-IT"/>
        </w:rPr>
      </w:pPr>
    </w:p>
    <w:p w14:paraId="1843BEB7" w14:textId="2D431B30" w:rsidR="00733CA1" w:rsidRDefault="00733CA1" w:rsidP="007220B9">
      <w:pPr>
        <w:spacing w:line="276" w:lineRule="auto"/>
        <w:jc w:val="both"/>
        <w:rPr>
          <w:rFonts w:ascii="Arial" w:hAnsi="Arial" w:cs="Arial"/>
        </w:rPr>
      </w:pPr>
      <w:r w:rsidRPr="00107CCC">
        <w:rPr>
          <w:rFonts w:ascii="Arial" w:hAnsi="Arial" w:cs="Arial"/>
          <w:highlight w:val="green"/>
        </w:rPr>
        <w:t xml:space="preserve">UN-Habitat. 2018. “Promising Practices on Climate Change in Urban Sub-Saharan Africa.” Nairobi: UN-Habitat. </w:t>
      </w:r>
      <w:hyperlink r:id="rId41" w:history="1">
        <w:r w:rsidR="007C1D4E" w:rsidRPr="006D6503">
          <w:rPr>
            <w:rStyle w:val="Hyperlink"/>
            <w:rFonts w:ascii="Arial" w:hAnsi="Arial" w:cs="Arial"/>
            <w:highlight w:val="green"/>
          </w:rPr>
          <w:t>https://unhabitat.org/promising-practices-on-climate-change-in-urban-sub-saharan-africa</w:t>
        </w:r>
      </w:hyperlink>
    </w:p>
    <w:p w14:paraId="5E385BBC" w14:textId="77777777" w:rsidR="00DB3A3E" w:rsidRDefault="00DB3A3E" w:rsidP="007220B9">
      <w:pPr>
        <w:spacing w:line="276" w:lineRule="auto"/>
        <w:jc w:val="both"/>
        <w:rPr>
          <w:rStyle w:val="Hyperlink"/>
          <w:rFonts w:ascii="Arial" w:hAnsi="Arial" w:cs="Arial"/>
          <w:lang w:val="en-GB"/>
        </w:rPr>
      </w:pPr>
    </w:p>
    <w:p w14:paraId="04272893" w14:textId="1358D2FA" w:rsidR="00DB3A3E" w:rsidRDefault="00DB3A3E" w:rsidP="007220B9">
      <w:pPr>
        <w:spacing w:line="276" w:lineRule="auto"/>
        <w:jc w:val="both"/>
        <w:rPr>
          <w:highlight w:val="green"/>
        </w:rPr>
      </w:pPr>
      <w:r w:rsidRPr="00DB3A3E">
        <w:rPr>
          <w:rFonts w:ascii="Arial" w:hAnsi="Arial" w:cs="Arial"/>
          <w:color w:val="222222"/>
          <w:highlight w:val="green"/>
          <w:shd w:val="clear" w:color="auto" w:fill="FFFFFF"/>
        </w:rPr>
        <w:t xml:space="preserve">Venter, Z. S., Shackleton, C. M., Van Staden, F., </w:t>
      </w:r>
      <w:proofErr w:type="spellStart"/>
      <w:r w:rsidRPr="00DB3A3E">
        <w:rPr>
          <w:rFonts w:ascii="Arial" w:hAnsi="Arial" w:cs="Arial"/>
          <w:color w:val="222222"/>
          <w:highlight w:val="green"/>
          <w:shd w:val="clear" w:color="auto" w:fill="FFFFFF"/>
        </w:rPr>
        <w:t>Selomane</w:t>
      </w:r>
      <w:proofErr w:type="spellEnd"/>
      <w:r w:rsidRPr="00DB3A3E">
        <w:rPr>
          <w:rFonts w:ascii="Arial" w:hAnsi="Arial" w:cs="Arial"/>
          <w:color w:val="222222"/>
          <w:highlight w:val="green"/>
          <w:shd w:val="clear" w:color="auto" w:fill="FFFFFF"/>
        </w:rPr>
        <w:t>, O., &amp; Masterson, V. A. (2020). Green Apartheid: Urban green infrastructure remains unequally distributed across income and race geographies in South Africa. </w:t>
      </w:r>
      <w:r w:rsidRPr="00DB3A3E">
        <w:rPr>
          <w:rFonts w:ascii="Arial" w:hAnsi="Arial" w:cs="Arial"/>
          <w:i/>
          <w:iCs/>
          <w:color w:val="222222"/>
          <w:highlight w:val="green"/>
          <w:shd w:val="clear" w:color="auto" w:fill="FFFFFF"/>
        </w:rPr>
        <w:t>Landscape and Urban Planning</w:t>
      </w:r>
      <w:r w:rsidRPr="00DB3A3E">
        <w:rPr>
          <w:rFonts w:ascii="Arial" w:hAnsi="Arial" w:cs="Arial"/>
          <w:color w:val="222222"/>
          <w:highlight w:val="green"/>
          <w:shd w:val="clear" w:color="auto" w:fill="FFFFFF"/>
        </w:rPr>
        <w:t>, </w:t>
      </w:r>
      <w:r w:rsidRPr="00DB3A3E">
        <w:rPr>
          <w:rFonts w:ascii="Arial" w:hAnsi="Arial" w:cs="Arial"/>
          <w:i/>
          <w:iCs/>
          <w:color w:val="222222"/>
          <w:highlight w:val="green"/>
          <w:shd w:val="clear" w:color="auto" w:fill="FFFFFF"/>
        </w:rPr>
        <w:t>203</w:t>
      </w:r>
      <w:r w:rsidRPr="00DB3A3E">
        <w:rPr>
          <w:rFonts w:ascii="Arial" w:hAnsi="Arial" w:cs="Arial"/>
          <w:color w:val="222222"/>
          <w:highlight w:val="green"/>
          <w:shd w:val="clear" w:color="auto" w:fill="FFFFFF"/>
        </w:rPr>
        <w:t xml:space="preserve">, 103889. </w:t>
      </w:r>
      <w:hyperlink r:id="rId42" w:tgtFrame="_blank" w:tooltip="Persistent link using digital object identifier" w:history="1">
        <w:r w:rsidRPr="00DB3A3E">
          <w:rPr>
            <w:rStyle w:val="anchor-text"/>
            <w:rFonts w:ascii="Arial" w:hAnsi="Arial" w:cs="Arial"/>
            <w:color w:val="0272B1"/>
            <w:sz w:val="21"/>
            <w:szCs w:val="21"/>
            <w:highlight w:val="green"/>
          </w:rPr>
          <w:t>https://doi.org/10.1016/j.landurbplan.2020.103889</w:t>
        </w:r>
      </w:hyperlink>
    </w:p>
    <w:p w14:paraId="51A27160" w14:textId="0E3D3E04" w:rsidR="00717448" w:rsidRDefault="00717448" w:rsidP="007220B9">
      <w:pPr>
        <w:spacing w:line="276" w:lineRule="auto"/>
        <w:jc w:val="both"/>
      </w:pPr>
    </w:p>
    <w:p w14:paraId="5E80DDB8" w14:textId="6E865E99" w:rsidR="00717448" w:rsidRPr="007C1D4E" w:rsidRDefault="00717448" w:rsidP="007C1D4E">
      <w:pPr>
        <w:spacing w:line="276" w:lineRule="auto"/>
        <w:jc w:val="both"/>
        <w:rPr>
          <w:rFonts w:ascii="Arial" w:hAnsi="Arial" w:cs="Arial"/>
          <w:highlight w:val="green"/>
          <w:lang/>
        </w:rPr>
      </w:pPr>
      <w:r w:rsidRPr="008D24E9">
        <w:rPr>
          <w:rFonts w:ascii="Arial" w:hAnsi="Arial" w:cs="Arial"/>
          <w:highlight w:val="green"/>
        </w:rPr>
        <w:t xml:space="preserve">Vijayalaxmi, R. S., &amp; </w:t>
      </w:r>
      <w:proofErr w:type="spellStart"/>
      <w:r w:rsidRPr="008D24E9">
        <w:rPr>
          <w:rFonts w:ascii="Arial" w:hAnsi="Arial" w:cs="Arial"/>
          <w:highlight w:val="green"/>
        </w:rPr>
        <w:t>Dnyanesh</w:t>
      </w:r>
      <w:proofErr w:type="spellEnd"/>
      <w:r w:rsidRPr="008D24E9">
        <w:rPr>
          <w:rFonts w:ascii="Arial" w:hAnsi="Arial" w:cs="Arial"/>
          <w:highlight w:val="green"/>
        </w:rPr>
        <w:t>, M. M. (2021). Carbon sequestration potential of urban green spaces (PMC gardens) in Pune city, India. </w:t>
      </w:r>
      <w:r w:rsidRPr="008D24E9">
        <w:rPr>
          <w:rFonts w:ascii="Arial" w:hAnsi="Arial" w:cs="Arial"/>
          <w:i/>
          <w:iCs/>
          <w:highlight w:val="green"/>
        </w:rPr>
        <w:t xml:space="preserve">J. </w:t>
      </w:r>
      <w:proofErr w:type="spellStart"/>
      <w:r w:rsidRPr="008D24E9">
        <w:rPr>
          <w:rFonts w:ascii="Arial" w:hAnsi="Arial" w:cs="Arial"/>
          <w:i/>
          <w:iCs/>
          <w:highlight w:val="green"/>
        </w:rPr>
        <w:t>Geogr</w:t>
      </w:r>
      <w:proofErr w:type="spellEnd"/>
      <w:r w:rsidRPr="008D24E9">
        <w:rPr>
          <w:rFonts w:ascii="Arial" w:hAnsi="Arial" w:cs="Arial"/>
          <w:i/>
          <w:iCs/>
          <w:highlight w:val="green"/>
        </w:rPr>
        <w:t>. Environ. Earth Sci. Int</w:t>
      </w:r>
      <w:r w:rsidRPr="008D24E9">
        <w:rPr>
          <w:rFonts w:ascii="Arial" w:hAnsi="Arial" w:cs="Arial"/>
          <w:highlight w:val="green"/>
        </w:rPr>
        <w:t>, </w:t>
      </w:r>
      <w:r w:rsidRPr="008D24E9">
        <w:rPr>
          <w:rFonts w:ascii="Arial" w:hAnsi="Arial" w:cs="Arial"/>
          <w:i/>
          <w:iCs/>
          <w:highlight w:val="green"/>
        </w:rPr>
        <w:t>25</w:t>
      </w:r>
      <w:r w:rsidRPr="008D24E9">
        <w:rPr>
          <w:rFonts w:ascii="Arial" w:hAnsi="Arial" w:cs="Arial"/>
          <w:highlight w:val="green"/>
        </w:rPr>
        <w:t>, 22-38.</w:t>
      </w:r>
      <w:r w:rsidR="007C1D4E">
        <w:rPr>
          <w:rFonts w:ascii="Arial" w:hAnsi="Arial" w:cs="Arial"/>
          <w:highlight w:val="green"/>
        </w:rPr>
        <w:t xml:space="preserve"> </w:t>
      </w:r>
      <w:r w:rsidR="007C1D4E" w:rsidRPr="007C1D4E">
        <w:rPr>
          <w:rFonts w:ascii="Arial" w:hAnsi="Arial" w:cs="Arial"/>
          <w:highlight w:val="green"/>
          <w:lang/>
        </w:rPr>
        <w:t>DOI: </w:t>
      </w:r>
      <w:hyperlink r:id="rId43" w:tgtFrame="_blank" w:history="1">
        <w:r w:rsidR="007C1D4E" w:rsidRPr="007C1D4E">
          <w:rPr>
            <w:rStyle w:val="Hyperlink"/>
            <w:rFonts w:ascii="Arial" w:hAnsi="Arial" w:cs="Arial"/>
            <w:highlight w:val="green"/>
            <w:lang/>
          </w:rPr>
          <w:t>10.9734/JGEESI/2021/v25i630291</w:t>
        </w:r>
      </w:hyperlink>
    </w:p>
    <w:bookmarkEnd w:id="0"/>
    <w:p w14:paraId="139AA687" w14:textId="77777777" w:rsidR="009906E7" w:rsidRDefault="009906E7" w:rsidP="00EB4106">
      <w:pPr>
        <w:tabs>
          <w:tab w:val="num" w:pos="720"/>
        </w:tabs>
        <w:spacing w:line="276" w:lineRule="auto"/>
        <w:jc w:val="both"/>
        <w:rPr>
          <w:rStyle w:val="Hyperlink"/>
          <w:rFonts w:ascii="Arial" w:hAnsi="Arial" w:cs="Arial"/>
          <w:lang w:val="en-GB"/>
        </w:rPr>
      </w:pPr>
    </w:p>
    <w:p w14:paraId="2E9EF964" w14:textId="02F3DB3C" w:rsidR="00107CCC" w:rsidRDefault="009906E7" w:rsidP="00EB4106">
      <w:pPr>
        <w:tabs>
          <w:tab w:val="num" w:pos="720"/>
        </w:tabs>
        <w:spacing w:line="276" w:lineRule="auto"/>
        <w:jc w:val="both"/>
        <w:rPr>
          <w:rFonts w:ascii="Arial" w:hAnsi="Arial" w:cs="Arial"/>
          <w:highlight w:val="green"/>
        </w:rPr>
      </w:pPr>
      <w:r w:rsidRPr="009906E7">
        <w:rPr>
          <w:rFonts w:ascii="Arial" w:hAnsi="Arial" w:cs="Arial"/>
          <w:highlight w:val="green"/>
        </w:rPr>
        <w:t>White, Roland; </w:t>
      </w:r>
      <w:proofErr w:type="spellStart"/>
      <w:r w:rsidRPr="009906E7">
        <w:rPr>
          <w:rFonts w:ascii="Arial" w:hAnsi="Arial" w:cs="Arial"/>
          <w:highlight w:val="green"/>
        </w:rPr>
        <w:t>Turpie</w:t>
      </w:r>
      <w:proofErr w:type="spellEnd"/>
      <w:r w:rsidRPr="009906E7">
        <w:rPr>
          <w:rFonts w:ascii="Arial" w:hAnsi="Arial" w:cs="Arial"/>
          <w:highlight w:val="green"/>
        </w:rPr>
        <w:t>, Jane; </w:t>
      </w:r>
      <w:proofErr w:type="spellStart"/>
      <w:r w:rsidRPr="009906E7">
        <w:rPr>
          <w:rFonts w:ascii="Arial" w:hAnsi="Arial" w:cs="Arial"/>
          <w:highlight w:val="green"/>
        </w:rPr>
        <w:t>Letley</w:t>
      </w:r>
      <w:proofErr w:type="spellEnd"/>
      <w:r w:rsidRPr="009906E7">
        <w:rPr>
          <w:rFonts w:ascii="Arial" w:hAnsi="Arial" w:cs="Arial"/>
          <w:highlight w:val="green"/>
        </w:rPr>
        <w:t xml:space="preserve">, Gwyneth </w:t>
      </w:r>
      <w:proofErr w:type="spellStart"/>
      <w:r w:rsidRPr="009906E7">
        <w:rPr>
          <w:rFonts w:ascii="Arial" w:hAnsi="Arial" w:cs="Arial"/>
          <w:highlight w:val="green"/>
        </w:rPr>
        <w:t>Letley</w:t>
      </w:r>
      <w:proofErr w:type="spellEnd"/>
      <w:r w:rsidRPr="009906E7">
        <w:rPr>
          <w:rFonts w:ascii="Arial" w:hAnsi="Arial" w:cs="Arial"/>
          <w:highlight w:val="green"/>
        </w:rPr>
        <w:t>. 2017. Greening Africa's Cities: Enhancing the Relationship between Urbanization, Environmental Assets, and Ecosystem Services. © World Bank. </w:t>
      </w:r>
      <w:hyperlink r:id="rId44" w:history="1">
        <w:r w:rsidR="007C1D4E" w:rsidRPr="006D6503">
          <w:rPr>
            <w:rStyle w:val="Hyperlink"/>
            <w:rFonts w:ascii="Arial" w:hAnsi="Arial" w:cs="Arial"/>
            <w:highlight w:val="green"/>
          </w:rPr>
          <w:t>http://hdl.handle.net/10986/26730</w:t>
        </w:r>
      </w:hyperlink>
      <w:r w:rsidR="007C1D4E">
        <w:rPr>
          <w:rFonts w:ascii="Arial" w:hAnsi="Arial" w:cs="Arial"/>
          <w:highlight w:val="green"/>
        </w:rPr>
        <w:t xml:space="preserve"> </w:t>
      </w:r>
      <w:r w:rsidRPr="009906E7">
        <w:rPr>
          <w:rFonts w:ascii="Arial" w:hAnsi="Arial" w:cs="Arial"/>
          <w:highlight w:val="green"/>
        </w:rPr>
        <w:t>License: </w:t>
      </w:r>
      <w:hyperlink r:id="rId45" w:history="1">
        <w:r w:rsidRPr="009906E7">
          <w:rPr>
            <w:rStyle w:val="Hyperlink"/>
            <w:rFonts w:ascii="Arial" w:hAnsi="Arial" w:cs="Arial"/>
            <w:highlight w:val="green"/>
          </w:rPr>
          <w:t>CC BY 3.0 IGO</w:t>
        </w:r>
      </w:hyperlink>
      <w:r w:rsidRPr="009906E7">
        <w:rPr>
          <w:rFonts w:ascii="Arial" w:hAnsi="Arial" w:cs="Arial"/>
          <w:highlight w:val="green"/>
        </w:rPr>
        <w:t>.</w:t>
      </w:r>
    </w:p>
    <w:p w14:paraId="374EF8D7" w14:textId="77777777" w:rsidR="009037B5" w:rsidRDefault="009037B5" w:rsidP="00EB4106">
      <w:pPr>
        <w:tabs>
          <w:tab w:val="num" w:pos="720"/>
        </w:tabs>
        <w:spacing w:line="276" w:lineRule="auto"/>
        <w:jc w:val="both"/>
        <w:rPr>
          <w:rFonts w:ascii="Arial" w:hAnsi="Arial" w:cs="Arial"/>
        </w:rPr>
      </w:pPr>
    </w:p>
    <w:p w14:paraId="446E2B9A" w14:textId="4227A6A2" w:rsidR="009906E7" w:rsidRDefault="009037B5" w:rsidP="00EB4106">
      <w:pPr>
        <w:tabs>
          <w:tab w:val="num" w:pos="720"/>
        </w:tabs>
        <w:spacing w:line="276" w:lineRule="auto"/>
        <w:jc w:val="both"/>
        <w:rPr>
          <w:rFonts w:ascii="Arial" w:hAnsi="Arial" w:cs="Arial"/>
          <w:highlight w:val="green"/>
        </w:rPr>
      </w:pPr>
      <w:r w:rsidRPr="009037B5">
        <w:rPr>
          <w:rFonts w:ascii="Arial" w:hAnsi="Arial" w:cs="Arial"/>
          <w:highlight w:val="green"/>
        </w:rPr>
        <w:t>Wijesinghe, A., &amp; Thorn, J. P. R. (2021). Governance of Urban Green Infrastructure in Informal Settlements of Windhoek, Namibia. </w:t>
      </w:r>
      <w:r w:rsidRPr="009037B5">
        <w:rPr>
          <w:rFonts w:ascii="Arial" w:hAnsi="Arial" w:cs="Arial"/>
          <w:i/>
          <w:iCs/>
          <w:highlight w:val="green"/>
        </w:rPr>
        <w:t>Sustainability</w:t>
      </w:r>
      <w:r w:rsidRPr="009037B5">
        <w:rPr>
          <w:rFonts w:ascii="Arial" w:hAnsi="Arial" w:cs="Arial"/>
          <w:highlight w:val="green"/>
        </w:rPr>
        <w:t>, </w:t>
      </w:r>
      <w:r w:rsidRPr="009037B5">
        <w:rPr>
          <w:rFonts w:ascii="Arial" w:hAnsi="Arial" w:cs="Arial"/>
          <w:i/>
          <w:iCs/>
          <w:highlight w:val="green"/>
        </w:rPr>
        <w:t>13</w:t>
      </w:r>
      <w:r w:rsidRPr="009037B5">
        <w:rPr>
          <w:rFonts w:ascii="Arial" w:hAnsi="Arial" w:cs="Arial"/>
          <w:highlight w:val="green"/>
        </w:rPr>
        <w:t xml:space="preserve">(16), 8937. </w:t>
      </w:r>
      <w:hyperlink r:id="rId46" w:history="1">
        <w:r w:rsidRPr="00784320">
          <w:rPr>
            <w:rStyle w:val="Hyperlink"/>
            <w:rFonts w:ascii="Arial" w:hAnsi="Arial" w:cs="Arial"/>
            <w:highlight w:val="green"/>
          </w:rPr>
          <w:t>https://doi.org/10.3390/su13168937</w:t>
        </w:r>
      </w:hyperlink>
    </w:p>
    <w:p w14:paraId="3F76BF69" w14:textId="4999F802" w:rsidR="00C93FCC" w:rsidRDefault="00C93FCC" w:rsidP="00EB4106">
      <w:pPr>
        <w:tabs>
          <w:tab w:val="num" w:pos="720"/>
        </w:tabs>
        <w:spacing w:line="276" w:lineRule="auto"/>
        <w:jc w:val="both"/>
        <w:rPr>
          <w:rFonts w:ascii="Arial" w:hAnsi="Arial" w:cs="Arial"/>
          <w:highlight w:val="green"/>
        </w:rPr>
      </w:pPr>
    </w:p>
    <w:p w14:paraId="1F40A2C2" w14:textId="77777777" w:rsidR="00DB462C" w:rsidRDefault="00DB462C" w:rsidP="00EB4106">
      <w:pPr>
        <w:tabs>
          <w:tab w:val="num" w:pos="720"/>
        </w:tabs>
        <w:spacing w:line="276" w:lineRule="auto"/>
        <w:jc w:val="both"/>
        <w:rPr>
          <w:rFonts w:ascii="Arial" w:hAnsi="Arial" w:cs="Arial"/>
          <w:highlight w:val="green"/>
        </w:rPr>
      </w:pPr>
    </w:p>
    <w:sectPr w:rsidR="00DB462C" w:rsidSect="00A13742">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36546" w14:textId="77777777" w:rsidR="00092048" w:rsidRDefault="00092048" w:rsidP="00C37E61">
      <w:r>
        <w:separator/>
      </w:r>
    </w:p>
  </w:endnote>
  <w:endnote w:type="continuationSeparator" w:id="0">
    <w:p w14:paraId="42210EDB" w14:textId="77777777" w:rsidR="00092048" w:rsidRDefault="000920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B7BC" w14:textId="77777777" w:rsidR="003D6CFD" w:rsidRDefault="003D6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ADFD" w14:textId="77777777" w:rsidR="003D6CFD" w:rsidRDefault="003D6C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5309" w14:textId="4207FACF" w:rsidR="003D6CFD" w:rsidRPr="00A13742" w:rsidRDefault="003D6CFD" w:rsidP="00A137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E14B" w14:textId="77777777" w:rsidR="003D6CFD" w:rsidRPr="00C37E61" w:rsidRDefault="003D6CF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9BAED" w14:textId="77777777" w:rsidR="00092048" w:rsidRDefault="00092048" w:rsidP="00C37E61">
      <w:r>
        <w:separator/>
      </w:r>
    </w:p>
  </w:footnote>
  <w:footnote w:type="continuationSeparator" w:id="0">
    <w:p w14:paraId="1348C85A" w14:textId="77777777" w:rsidR="00092048" w:rsidRDefault="000920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04F9A" w14:textId="2B32AA27" w:rsidR="003D6CFD" w:rsidRDefault="00092048">
    <w:pPr>
      <w:pStyle w:val="Header"/>
    </w:pPr>
    <w:r>
      <w:rPr>
        <w:noProof/>
      </w:rPr>
      <w:pict w14:anchorId="62F34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F090" w14:textId="4374F66C" w:rsidR="003D6CFD" w:rsidRDefault="00092048">
    <w:pPr>
      <w:pStyle w:val="Header"/>
    </w:pPr>
    <w:r>
      <w:rPr>
        <w:noProof/>
      </w:rPr>
      <w:pict w14:anchorId="4604D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43E89" w14:textId="653E03F1" w:rsidR="003D6CFD" w:rsidRPr="00296529" w:rsidRDefault="00092048" w:rsidP="00296529">
    <w:pPr>
      <w:ind w:left="2160"/>
      <w:jc w:val="center"/>
      <w:rPr>
        <w:rFonts w:ascii="Times New Roman" w:eastAsia="Calibri" w:hAnsi="Times New Roman"/>
        <w:i/>
        <w:sz w:val="18"/>
        <w:szCs w:val="22"/>
      </w:rPr>
    </w:pPr>
    <w:r>
      <w:rPr>
        <w:noProof/>
      </w:rPr>
      <w:pict w14:anchorId="76097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C1FFD7D" w14:textId="77777777" w:rsidR="003D6CFD" w:rsidRPr="00296529" w:rsidRDefault="003D6CF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24C7796" w14:textId="77777777" w:rsidR="003D6CFD" w:rsidRPr="00296529" w:rsidRDefault="003D6CF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945A6E" w14:textId="77777777" w:rsidR="003D6CFD" w:rsidRPr="00296529" w:rsidRDefault="003D6CF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85E1CDC" w14:textId="77777777" w:rsidR="003D6CFD" w:rsidRDefault="003D6CF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85E7CF" w14:textId="77777777" w:rsidR="003D6CFD" w:rsidRDefault="003D6CF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51AB967" w14:textId="77777777" w:rsidR="003D6CFD" w:rsidRDefault="003D6CF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09215" w14:textId="3D00F379" w:rsidR="003D6CFD" w:rsidRDefault="00092048">
    <w:pPr>
      <w:pStyle w:val="Header"/>
    </w:pPr>
    <w:r>
      <w:rPr>
        <w:noProof/>
      </w:rPr>
      <w:pict w14:anchorId="01553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1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CC88A" w14:textId="464F1E74" w:rsidR="003D6CFD" w:rsidRDefault="00092048">
    <w:pPr>
      <w:pStyle w:val="Header"/>
    </w:pPr>
    <w:r>
      <w:rPr>
        <w:noProof/>
      </w:rPr>
      <w:pict w14:anchorId="3E330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1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BE908" w14:textId="485F9DE1" w:rsidR="003D6CFD" w:rsidRDefault="00092048">
    <w:pPr>
      <w:pStyle w:val="Header"/>
    </w:pPr>
    <w:r>
      <w:rPr>
        <w:noProof/>
      </w:rPr>
      <w:pict w14:anchorId="27462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1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32A43"/>
    <w:multiLevelType w:val="multilevel"/>
    <w:tmpl w:val="ED44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0334C"/>
    <w:multiLevelType w:val="multilevel"/>
    <w:tmpl w:val="6DDE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E3105"/>
    <w:multiLevelType w:val="multilevel"/>
    <w:tmpl w:val="8F34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B11CD"/>
    <w:multiLevelType w:val="multilevel"/>
    <w:tmpl w:val="C5BC4BA2"/>
    <w:lvl w:ilvl="0">
      <w:start w:val="1"/>
      <w:numFmt w:val="decimal"/>
      <w:pStyle w:val="Heading1"/>
      <w:lvlText w:val="%1."/>
      <w:lvlJc w:val="left"/>
      <w:pPr>
        <w:ind w:left="284" w:hanging="284"/>
      </w:pPr>
      <w:rPr>
        <w:rFonts w:hint="default"/>
      </w:rPr>
    </w:lvl>
    <w:lvl w:ilvl="1">
      <w:start w:val="1"/>
      <w:numFmt w:val="decimal"/>
      <w:pStyle w:val="Heading2"/>
      <w:suff w:val="space"/>
      <w:lvlText w:val="%1.%2"/>
      <w:lvlJc w:val="left"/>
      <w:pPr>
        <w:ind w:left="567" w:hanging="567"/>
      </w:pPr>
      <w:rPr>
        <w:rFonts w:hint="default"/>
      </w:rPr>
    </w:lvl>
    <w:lvl w:ilvl="2">
      <w:start w:val="1"/>
      <w:numFmt w:val="decimal"/>
      <w:pStyle w:val="Heading3"/>
      <w:lvlText w:val="%1.%2.%3  "/>
      <w:lvlJc w:val="left"/>
      <w:pPr>
        <w:ind w:left="142" w:hanging="142"/>
      </w:pPr>
      <w:rPr>
        <w:rFonts w:hint="default"/>
        <w:u w:val="singl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EC57046"/>
    <w:multiLevelType w:val="multilevel"/>
    <w:tmpl w:val="E8FE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4E6150"/>
    <w:multiLevelType w:val="multilevel"/>
    <w:tmpl w:val="B840256E"/>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4A426DF"/>
    <w:multiLevelType w:val="multilevel"/>
    <w:tmpl w:val="CF5C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7B1597"/>
    <w:multiLevelType w:val="multilevel"/>
    <w:tmpl w:val="90B61484"/>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none"/>
      <w:suff w:val="nothing"/>
      <w:lvlText w:val="%1"/>
      <w:lvlJc w:val="left"/>
      <w:pPr>
        <w:ind w:left="567" w:hanging="567"/>
      </w:pPr>
      <w:rPr>
        <w:rFonts w:hint="default"/>
        <w:u w:val="single"/>
      </w:rPr>
    </w:lvl>
    <w:lvl w:ilvl="3">
      <w:start w:val="1"/>
      <w:numFmt w:val="decimal"/>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8"/>
  </w:num>
  <w:num w:numId="2">
    <w:abstractNumId w:val="5"/>
  </w:num>
  <w:num w:numId="3">
    <w:abstractNumId w:val="3"/>
  </w:num>
  <w:num w:numId="4">
    <w:abstractNumId w:val="7"/>
  </w:num>
  <w:num w:numId="5">
    <w:abstractNumId w:val="4"/>
  </w:num>
  <w:num w:numId="6">
    <w:abstractNumId w:val="1"/>
  </w:num>
  <w:num w:numId="7">
    <w:abstractNumId w:val="2"/>
  </w:num>
  <w:num w:numId="8">
    <w:abstractNumId w:val="0"/>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17DC"/>
    <w:rsid w:val="0004579C"/>
    <w:rsid w:val="00057067"/>
    <w:rsid w:val="00066331"/>
    <w:rsid w:val="00092048"/>
    <w:rsid w:val="000A47FA"/>
    <w:rsid w:val="000A65D3"/>
    <w:rsid w:val="000B1E33"/>
    <w:rsid w:val="000D689F"/>
    <w:rsid w:val="000D768E"/>
    <w:rsid w:val="000E1B61"/>
    <w:rsid w:val="000E690C"/>
    <w:rsid w:val="000E7B7B"/>
    <w:rsid w:val="000E7D62"/>
    <w:rsid w:val="00103357"/>
    <w:rsid w:val="00103C7C"/>
    <w:rsid w:val="00106E92"/>
    <w:rsid w:val="00107CCC"/>
    <w:rsid w:val="00111D24"/>
    <w:rsid w:val="00112CC0"/>
    <w:rsid w:val="00123C9F"/>
    <w:rsid w:val="00126190"/>
    <w:rsid w:val="00130F17"/>
    <w:rsid w:val="001320BF"/>
    <w:rsid w:val="00150BAB"/>
    <w:rsid w:val="00152F5A"/>
    <w:rsid w:val="0015516C"/>
    <w:rsid w:val="00163BC4"/>
    <w:rsid w:val="001773CF"/>
    <w:rsid w:val="001825C2"/>
    <w:rsid w:val="00191062"/>
    <w:rsid w:val="00192B72"/>
    <w:rsid w:val="001A29D8"/>
    <w:rsid w:val="001A5AAD"/>
    <w:rsid w:val="001A5CAA"/>
    <w:rsid w:val="001A784E"/>
    <w:rsid w:val="001B0427"/>
    <w:rsid w:val="001C0AA0"/>
    <w:rsid w:val="001D3A51"/>
    <w:rsid w:val="001E10D2"/>
    <w:rsid w:val="001E1899"/>
    <w:rsid w:val="001E25B4"/>
    <w:rsid w:val="001E44FE"/>
    <w:rsid w:val="001E7F10"/>
    <w:rsid w:val="001F0431"/>
    <w:rsid w:val="001F2F5B"/>
    <w:rsid w:val="00200595"/>
    <w:rsid w:val="00204835"/>
    <w:rsid w:val="002052D7"/>
    <w:rsid w:val="00210F8E"/>
    <w:rsid w:val="00215AC1"/>
    <w:rsid w:val="00231920"/>
    <w:rsid w:val="0023195C"/>
    <w:rsid w:val="0024282C"/>
    <w:rsid w:val="002460DC"/>
    <w:rsid w:val="00250985"/>
    <w:rsid w:val="002556F6"/>
    <w:rsid w:val="0026596E"/>
    <w:rsid w:val="00283105"/>
    <w:rsid w:val="0028368C"/>
    <w:rsid w:val="00284C4C"/>
    <w:rsid w:val="00287E68"/>
    <w:rsid w:val="0029318D"/>
    <w:rsid w:val="00296529"/>
    <w:rsid w:val="002B27FB"/>
    <w:rsid w:val="002B685A"/>
    <w:rsid w:val="002C57D2"/>
    <w:rsid w:val="002D40FB"/>
    <w:rsid w:val="002E0D10"/>
    <w:rsid w:val="002E0D56"/>
    <w:rsid w:val="002F7D02"/>
    <w:rsid w:val="0030314B"/>
    <w:rsid w:val="00315186"/>
    <w:rsid w:val="003151A4"/>
    <w:rsid w:val="00316A99"/>
    <w:rsid w:val="0033343E"/>
    <w:rsid w:val="00341F68"/>
    <w:rsid w:val="003512C2"/>
    <w:rsid w:val="00355888"/>
    <w:rsid w:val="00371FB6"/>
    <w:rsid w:val="003763C1"/>
    <w:rsid w:val="00376BBE"/>
    <w:rsid w:val="00377A19"/>
    <w:rsid w:val="00382A6C"/>
    <w:rsid w:val="0039224F"/>
    <w:rsid w:val="003A12D9"/>
    <w:rsid w:val="003A43A4"/>
    <w:rsid w:val="003A7E18"/>
    <w:rsid w:val="003C4C86"/>
    <w:rsid w:val="003C6258"/>
    <w:rsid w:val="003D6CFD"/>
    <w:rsid w:val="003E2904"/>
    <w:rsid w:val="00401927"/>
    <w:rsid w:val="0041027F"/>
    <w:rsid w:val="00412475"/>
    <w:rsid w:val="00423789"/>
    <w:rsid w:val="00430934"/>
    <w:rsid w:val="00440F43"/>
    <w:rsid w:val="00441B6F"/>
    <w:rsid w:val="00446221"/>
    <w:rsid w:val="004478FC"/>
    <w:rsid w:val="00450E62"/>
    <w:rsid w:val="004539DB"/>
    <w:rsid w:val="004561CA"/>
    <w:rsid w:val="00471A80"/>
    <w:rsid w:val="00475C88"/>
    <w:rsid w:val="004905C9"/>
    <w:rsid w:val="004C794F"/>
    <w:rsid w:val="004D1148"/>
    <w:rsid w:val="004D2B38"/>
    <w:rsid w:val="004D305E"/>
    <w:rsid w:val="004D4277"/>
    <w:rsid w:val="004E3B78"/>
    <w:rsid w:val="004E3D27"/>
    <w:rsid w:val="004E50C8"/>
    <w:rsid w:val="00502516"/>
    <w:rsid w:val="005028E7"/>
    <w:rsid w:val="00503350"/>
    <w:rsid w:val="005056A5"/>
    <w:rsid w:val="00505F06"/>
    <w:rsid w:val="00506828"/>
    <w:rsid w:val="00510A48"/>
    <w:rsid w:val="005236FC"/>
    <w:rsid w:val="0053056E"/>
    <w:rsid w:val="00545C93"/>
    <w:rsid w:val="00550746"/>
    <w:rsid w:val="00554FDA"/>
    <w:rsid w:val="00565787"/>
    <w:rsid w:val="0056661F"/>
    <w:rsid w:val="00567771"/>
    <w:rsid w:val="00571606"/>
    <w:rsid w:val="00586489"/>
    <w:rsid w:val="005A59A4"/>
    <w:rsid w:val="005B3E3F"/>
    <w:rsid w:val="005C0561"/>
    <w:rsid w:val="005C1DD5"/>
    <w:rsid w:val="005C24C8"/>
    <w:rsid w:val="005C784C"/>
    <w:rsid w:val="005D17F6"/>
    <w:rsid w:val="005E1648"/>
    <w:rsid w:val="005E5539"/>
    <w:rsid w:val="00602ABE"/>
    <w:rsid w:val="00602BF5"/>
    <w:rsid w:val="006074BF"/>
    <w:rsid w:val="0061353A"/>
    <w:rsid w:val="00617FDD"/>
    <w:rsid w:val="00633614"/>
    <w:rsid w:val="00633F68"/>
    <w:rsid w:val="0063516A"/>
    <w:rsid w:val="006354AF"/>
    <w:rsid w:val="00636EB2"/>
    <w:rsid w:val="006375B8"/>
    <w:rsid w:val="0066510A"/>
    <w:rsid w:val="00673F9F"/>
    <w:rsid w:val="006814D5"/>
    <w:rsid w:val="00686953"/>
    <w:rsid w:val="00687DEA"/>
    <w:rsid w:val="00687E67"/>
    <w:rsid w:val="00693384"/>
    <w:rsid w:val="006947E7"/>
    <w:rsid w:val="006967F7"/>
    <w:rsid w:val="0069753C"/>
    <w:rsid w:val="006A250C"/>
    <w:rsid w:val="006B21D3"/>
    <w:rsid w:val="006B57D0"/>
    <w:rsid w:val="006D30FF"/>
    <w:rsid w:val="006D6940"/>
    <w:rsid w:val="006F11EC"/>
    <w:rsid w:val="006F3A07"/>
    <w:rsid w:val="0070082C"/>
    <w:rsid w:val="00717448"/>
    <w:rsid w:val="00720343"/>
    <w:rsid w:val="007220B9"/>
    <w:rsid w:val="00733CA1"/>
    <w:rsid w:val="007369E6"/>
    <w:rsid w:val="00741264"/>
    <w:rsid w:val="007421FD"/>
    <w:rsid w:val="00744A70"/>
    <w:rsid w:val="00746E59"/>
    <w:rsid w:val="00754C9A"/>
    <w:rsid w:val="0075599A"/>
    <w:rsid w:val="00761D52"/>
    <w:rsid w:val="00774E91"/>
    <w:rsid w:val="0077749E"/>
    <w:rsid w:val="007874B6"/>
    <w:rsid w:val="00790503"/>
    <w:rsid w:val="00790ADA"/>
    <w:rsid w:val="00795090"/>
    <w:rsid w:val="007C1D4E"/>
    <w:rsid w:val="007D2288"/>
    <w:rsid w:val="007E088F"/>
    <w:rsid w:val="007F4275"/>
    <w:rsid w:val="007F7471"/>
    <w:rsid w:val="007F7B32"/>
    <w:rsid w:val="00804BC2"/>
    <w:rsid w:val="0081431A"/>
    <w:rsid w:val="00830B47"/>
    <w:rsid w:val="0083216F"/>
    <w:rsid w:val="0083421D"/>
    <w:rsid w:val="00844044"/>
    <w:rsid w:val="00860000"/>
    <w:rsid w:val="00863BD3"/>
    <w:rsid w:val="00863BDD"/>
    <w:rsid w:val="008641ED"/>
    <w:rsid w:val="00866D66"/>
    <w:rsid w:val="008671C6"/>
    <w:rsid w:val="00875803"/>
    <w:rsid w:val="008A0F3A"/>
    <w:rsid w:val="008A4054"/>
    <w:rsid w:val="008B158F"/>
    <w:rsid w:val="008B459E"/>
    <w:rsid w:val="008C17AE"/>
    <w:rsid w:val="008D24E9"/>
    <w:rsid w:val="008E13AE"/>
    <w:rsid w:val="008E1506"/>
    <w:rsid w:val="008E5A91"/>
    <w:rsid w:val="008E710C"/>
    <w:rsid w:val="008F69D6"/>
    <w:rsid w:val="00902823"/>
    <w:rsid w:val="009037B5"/>
    <w:rsid w:val="00915CA6"/>
    <w:rsid w:val="00927834"/>
    <w:rsid w:val="00945242"/>
    <w:rsid w:val="009500A6"/>
    <w:rsid w:val="00957C18"/>
    <w:rsid w:val="009659BA"/>
    <w:rsid w:val="0097725A"/>
    <w:rsid w:val="00983040"/>
    <w:rsid w:val="009906E7"/>
    <w:rsid w:val="00994767"/>
    <w:rsid w:val="009A4157"/>
    <w:rsid w:val="009B3FB9"/>
    <w:rsid w:val="009C2465"/>
    <w:rsid w:val="009D35A0"/>
    <w:rsid w:val="009D7655"/>
    <w:rsid w:val="009D7EB7"/>
    <w:rsid w:val="009E048A"/>
    <w:rsid w:val="009E08E9"/>
    <w:rsid w:val="009E3DB9"/>
    <w:rsid w:val="009E6E35"/>
    <w:rsid w:val="009F0EDA"/>
    <w:rsid w:val="009F7F9A"/>
    <w:rsid w:val="00A03B96"/>
    <w:rsid w:val="00A0542C"/>
    <w:rsid w:val="00A05B19"/>
    <w:rsid w:val="00A1134E"/>
    <w:rsid w:val="00A1318A"/>
    <w:rsid w:val="00A13742"/>
    <w:rsid w:val="00A24E7E"/>
    <w:rsid w:val="00A258C3"/>
    <w:rsid w:val="00A27E31"/>
    <w:rsid w:val="00A318CC"/>
    <w:rsid w:val="00A347C0"/>
    <w:rsid w:val="00A410ED"/>
    <w:rsid w:val="00A51431"/>
    <w:rsid w:val="00A539AD"/>
    <w:rsid w:val="00A7788D"/>
    <w:rsid w:val="00A935C4"/>
    <w:rsid w:val="00A94063"/>
    <w:rsid w:val="00A97547"/>
    <w:rsid w:val="00AA6219"/>
    <w:rsid w:val="00AA74E0"/>
    <w:rsid w:val="00AB02CE"/>
    <w:rsid w:val="00AB703F"/>
    <w:rsid w:val="00AC6BB8"/>
    <w:rsid w:val="00AD1577"/>
    <w:rsid w:val="00AE008F"/>
    <w:rsid w:val="00B00A7F"/>
    <w:rsid w:val="00B01FCD"/>
    <w:rsid w:val="00B1776C"/>
    <w:rsid w:val="00B24EB6"/>
    <w:rsid w:val="00B36956"/>
    <w:rsid w:val="00B52583"/>
    <w:rsid w:val="00B52896"/>
    <w:rsid w:val="00B55991"/>
    <w:rsid w:val="00B95236"/>
    <w:rsid w:val="00B96BD9"/>
    <w:rsid w:val="00BA1B01"/>
    <w:rsid w:val="00BA2641"/>
    <w:rsid w:val="00BB000A"/>
    <w:rsid w:val="00BB0842"/>
    <w:rsid w:val="00BB08C6"/>
    <w:rsid w:val="00BB37AA"/>
    <w:rsid w:val="00BB6707"/>
    <w:rsid w:val="00BC53A0"/>
    <w:rsid w:val="00BE040A"/>
    <w:rsid w:val="00BE4844"/>
    <w:rsid w:val="00BE50BB"/>
    <w:rsid w:val="00BE62AD"/>
    <w:rsid w:val="00BF121F"/>
    <w:rsid w:val="00BF1F80"/>
    <w:rsid w:val="00C10A60"/>
    <w:rsid w:val="00C166EF"/>
    <w:rsid w:val="00C17EB0"/>
    <w:rsid w:val="00C27F5F"/>
    <w:rsid w:val="00C30A0F"/>
    <w:rsid w:val="00C37E61"/>
    <w:rsid w:val="00C70F1B"/>
    <w:rsid w:val="00C71A47"/>
    <w:rsid w:val="00C7464C"/>
    <w:rsid w:val="00C77F64"/>
    <w:rsid w:val="00C847DE"/>
    <w:rsid w:val="00C85588"/>
    <w:rsid w:val="00C93FCC"/>
    <w:rsid w:val="00C97290"/>
    <w:rsid w:val="00CB50BF"/>
    <w:rsid w:val="00CC315F"/>
    <w:rsid w:val="00CD6755"/>
    <w:rsid w:val="00CD6856"/>
    <w:rsid w:val="00CE0089"/>
    <w:rsid w:val="00CE6DE4"/>
    <w:rsid w:val="00CE793C"/>
    <w:rsid w:val="00CF07B0"/>
    <w:rsid w:val="00CF193C"/>
    <w:rsid w:val="00CF5E37"/>
    <w:rsid w:val="00D00A1A"/>
    <w:rsid w:val="00D15A53"/>
    <w:rsid w:val="00D173D5"/>
    <w:rsid w:val="00D173F1"/>
    <w:rsid w:val="00D21E75"/>
    <w:rsid w:val="00D32D38"/>
    <w:rsid w:val="00D40EAA"/>
    <w:rsid w:val="00D53589"/>
    <w:rsid w:val="00D71697"/>
    <w:rsid w:val="00D74CB0"/>
    <w:rsid w:val="00D8295D"/>
    <w:rsid w:val="00DB3A3E"/>
    <w:rsid w:val="00DB462C"/>
    <w:rsid w:val="00DB6886"/>
    <w:rsid w:val="00DC2A65"/>
    <w:rsid w:val="00DE15F0"/>
    <w:rsid w:val="00DE5663"/>
    <w:rsid w:val="00DE78AA"/>
    <w:rsid w:val="00DF770C"/>
    <w:rsid w:val="00E053D0"/>
    <w:rsid w:val="00E10966"/>
    <w:rsid w:val="00E11424"/>
    <w:rsid w:val="00E11B1D"/>
    <w:rsid w:val="00E15994"/>
    <w:rsid w:val="00E2266A"/>
    <w:rsid w:val="00E268CA"/>
    <w:rsid w:val="00E30333"/>
    <w:rsid w:val="00E3114E"/>
    <w:rsid w:val="00E31A70"/>
    <w:rsid w:val="00E35B02"/>
    <w:rsid w:val="00E43B21"/>
    <w:rsid w:val="00E53449"/>
    <w:rsid w:val="00E64750"/>
    <w:rsid w:val="00E66496"/>
    <w:rsid w:val="00E66B35"/>
    <w:rsid w:val="00E66E10"/>
    <w:rsid w:val="00E769F6"/>
    <w:rsid w:val="00E8407C"/>
    <w:rsid w:val="00E84F3C"/>
    <w:rsid w:val="00E91545"/>
    <w:rsid w:val="00EA012C"/>
    <w:rsid w:val="00EB4106"/>
    <w:rsid w:val="00EC61CC"/>
    <w:rsid w:val="00EC6A55"/>
    <w:rsid w:val="00ED0288"/>
    <w:rsid w:val="00EE52CB"/>
    <w:rsid w:val="00EF581D"/>
    <w:rsid w:val="00EF649D"/>
    <w:rsid w:val="00EF7FD8"/>
    <w:rsid w:val="00F06F59"/>
    <w:rsid w:val="00F17988"/>
    <w:rsid w:val="00F211F7"/>
    <w:rsid w:val="00F23ECA"/>
    <w:rsid w:val="00F337CE"/>
    <w:rsid w:val="00F469F0"/>
    <w:rsid w:val="00F5075C"/>
    <w:rsid w:val="00F53273"/>
    <w:rsid w:val="00F755E4"/>
    <w:rsid w:val="00F7768C"/>
    <w:rsid w:val="00F77D02"/>
    <w:rsid w:val="00F86F76"/>
    <w:rsid w:val="00FB3A86"/>
    <w:rsid w:val="00FB7E66"/>
    <w:rsid w:val="00FC2078"/>
    <w:rsid w:val="00FD36C8"/>
    <w:rsid w:val="00FE79C6"/>
    <w:rsid w:val="00FF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9FBFCA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BB6707"/>
    <w:pPr>
      <w:keepNext/>
      <w:numPr>
        <w:numId w:val="3"/>
      </w:numPr>
      <w:spacing w:before="300" w:after="60"/>
      <w:outlineLvl w:val="0"/>
    </w:pPr>
    <w:rPr>
      <w:rFonts w:ascii="Arial" w:hAnsi="Arial"/>
      <w:b/>
      <w:caps/>
      <w:kern w:val="28"/>
      <w:sz w:val="22"/>
    </w:rPr>
  </w:style>
  <w:style w:type="paragraph" w:styleId="Heading2">
    <w:name w:val="heading 2"/>
    <w:basedOn w:val="Normal"/>
    <w:next w:val="Normal"/>
    <w:link w:val="Heading2Char"/>
    <w:unhideWhenUsed/>
    <w:qFormat/>
    <w:rsid w:val="00545C93"/>
    <w:pPr>
      <w:keepNext/>
      <w:keepLines/>
      <w:numPr>
        <w:ilvl w:val="1"/>
        <w:numId w:val="3"/>
      </w:numPr>
      <w:spacing w:before="180" w:after="60"/>
      <w:outlineLvl w:val="1"/>
    </w:pPr>
    <w:rPr>
      <w:rFonts w:ascii="Arial" w:eastAsiaTheme="majorEastAsia" w:hAnsi="Arial" w:cstheme="majorBidi"/>
      <w:b/>
      <w:sz w:val="22"/>
      <w:szCs w:val="26"/>
    </w:rPr>
  </w:style>
  <w:style w:type="paragraph" w:styleId="Heading3">
    <w:name w:val="heading 3"/>
    <w:basedOn w:val="Normal"/>
    <w:next w:val="Normal"/>
    <w:link w:val="Heading3Char"/>
    <w:autoRedefine/>
    <w:unhideWhenUsed/>
    <w:qFormat/>
    <w:rsid w:val="00CE6DE4"/>
    <w:pPr>
      <w:keepNext/>
      <w:keepLines/>
      <w:numPr>
        <w:ilvl w:val="2"/>
        <w:numId w:val="3"/>
      </w:numPr>
      <w:spacing w:before="180" w:after="60"/>
      <w:jc w:val="both"/>
      <w:outlineLvl w:val="2"/>
    </w:pPr>
    <w:rPr>
      <w:rFonts w:ascii="Arial" w:hAnsi="Arial" w:cstheme="majorBidi"/>
      <w:b/>
      <w:szCs w:val="24"/>
      <w:u w:val="single"/>
      <w:lang w:val="en-GB"/>
    </w:rPr>
  </w:style>
  <w:style w:type="paragraph" w:styleId="Heading4">
    <w:name w:val="heading 4"/>
    <w:basedOn w:val="Normal"/>
    <w:next w:val="Normal"/>
    <w:link w:val="Heading4Char"/>
    <w:semiHidden/>
    <w:unhideWhenUsed/>
    <w:qFormat/>
    <w:rsid w:val="002052D7"/>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qFormat/>
    <w:rsid w:val="00CF07B0"/>
    <w:rPr>
      <w:b/>
      <w:bCs/>
    </w:rPr>
  </w:style>
  <w:style w:type="character" w:customStyle="1" w:styleId="Heading3Char">
    <w:name w:val="Heading 3 Char"/>
    <w:basedOn w:val="DefaultParagraphFont"/>
    <w:link w:val="Heading3"/>
    <w:rsid w:val="00CE6DE4"/>
    <w:rPr>
      <w:rFonts w:ascii="Arial" w:hAnsi="Arial" w:cstheme="majorBidi"/>
      <w:b/>
      <w:szCs w:val="24"/>
      <w:u w:val="single"/>
      <w:lang w:val="en-GB"/>
    </w:rPr>
  </w:style>
  <w:style w:type="character" w:customStyle="1" w:styleId="Heading2Char">
    <w:name w:val="Heading 2 Char"/>
    <w:basedOn w:val="DefaultParagraphFont"/>
    <w:link w:val="Heading2"/>
    <w:rsid w:val="00545C93"/>
    <w:rPr>
      <w:rFonts w:ascii="Arial" w:eastAsiaTheme="majorEastAsia" w:hAnsi="Arial" w:cstheme="majorBidi"/>
      <w:b/>
      <w:sz w:val="22"/>
      <w:szCs w:val="26"/>
    </w:rPr>
  </w:style>
  <w:style w:type="character" w:customStyle="1" w:styleId="Heading4Char">
    <w:name w:val="Heading 4 Char"/>
    <w:basedOn w:val="DefaultParagraphFont"/>
    <w:link w:val="Heading4"/>
    <w:semiHidden/>
    <w:rsid w:val="002052D7"/>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112CC0"/>
    <w:pPr>
      <w:ind w:left="720"/>
      <w:contextualSpacing/>
    </w:pPr>
  </w:style>
  <w:style w:type="character" w:customStyle="1" w:styleId="anchor-text">
    <w:name w:val="anchor-text"/>
    <w:basedOn w:val="DefaultParagraphFont"/>
    <w:rsid w:val="00DB3A3E"/>
  </w:style>
  <w:style w:type="paragraph" w:styleId="NormalWeb">
    <w:name w:val="Normal (Web)"/>
    <w:basedOn w:val="Normal"/>
    <w:uiPriority w:val="99"/>
    <w:unhideWhenUsed/>
    <w:rsid w:val="00E9154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943271">
      <w:bodyDiv w:val="1"/>
      <w:marLeft w:val="0"/>
      <w:marRight w:val="0"/>
      <w:marTop w:val="0"/>
      <w:marBottom w:val="0"/>
      <w:divBdr>
        <w:top w:val="none" w:sz="0" w:space="0" w:color="auto"/>
        <w:left w:val="none" w:sz="0" w:space="0" w:color="auto"/>
        <w:bottom w:val="none" w:sz="0" w:space="0" w:color="auto"/>
        <w:right w:val="none" w:sz="0" w:space="0" w:color="auto"/>
      </w:divBdr>
    </w:div>
    <w:div w:id="22099209">
      <w:bodyDiv w:val="1"/>
      <w:marLeft w:val="0"/>
      <w:marRight w:val="0"/>
      <w:marTop w:val="0"/>
      <w:marBottom w:val="0"/>
      <w:divBdr>
        <w:top w:val="none" w:sz="0" w:space="0" w:color="auto"/>
        <w:left w:val="none" w:sz="0" w:space="0" w:color="auto"/>
        <w:bottom w:val="none" w:sz="0" w:space="0" w:color="auto"/>
        <w:right w:val="none" w:sz="0" w:space="0" w:color="auto"/>
      </w:divBdr>
    </w:div>
    <w:div w:id="31737512">
      <w:bodyDiv w:val="1"/>
      <w:marLeft w:val="0"/>
      <w:marRight w:val="0"/>
      <w:marTop w:val="0"/>
      <w:marBottom w:val="0"/>
      <w:divBdr>
        <w:top w:val="none" w:sz="0" w:space="0" w:color="auto"/>
        <w:left w:val="none" w:sz="0" w:space="0" w:color="auto"/>
        <w:bottom w:val="none" w:sz="0" w:space="0" w:color="auto"/>
        <w:right w:val="none" w:sz="0" w:space="0" w:color="auto"/>
      </w:divBdr>
    </w:div>
    <w:div w:id="8777132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150186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8267521">
      <w:bodyDiv w:val="1"/>
      <w:marLeft w:val="0"/>
      <w:marRight w:val="0"/>
      <w:marTop w:val="0"/>
      <w:marBottom w:val="0"/>
      <w:divBdr>
        <w:top w:val="none" w:sz="0" w:space="0" w:color="auto"/>
        <w:left w:val="none" w:sz="0" w:space="0" w:color="auto"/>
        <w:bottom w:val="none" w:sz="0" w:space="0" w:color="auto"/>
        <w:right w:val="none" w:sz="0" w:space="0" w:color="auto"/>
      </w:divBdr>
    </w:div>
    <w:div w:id="361857015">
      <w:bodyDiv w:val="1"/>
      <w:marLeft w:val="0"/>
      <w:marRight w:val="0"/>
      <w:marTop w:val="0"/>
      <w:marBottom w:val="0"/>
      <w:divBdr>
        <w:top w:val="none" w:sz="0" w:space="0" w:color="auto"/>
        <w:left w:val="none" w:sz="0" w:space="0" w:color="auto"/>
        <w:bottom w:val="none" w:sz="0" w:space="0" w:color="auto"/>
        <w:right w:val="none" w:sz="0" w:space="0" w:color="auto"/>
      </w:divBdr>
    </w:div>
    <w:div w:id="404500782">
      <w:bodyDiv w:val="1"/>
      <w:marLeft w:val="0"/>
      <w:marRight w:val="0"/>
      <w:marTop w:val="0"/>
      <w:marBottom w:val="0"/>
      <w:divBdr>
        <w:top w:val="none" w:sz="0" w:space="0" w:color="auto"/>
        <w:left w:val="none" w:sz="0" w:space="0" w:color="auto"/>
        <w:bottom w:val="none" w:sz="0" w:space="0" w:color="auto"/>
        <w:right w:val="none" w:sz="0" w:space="0" w:color="auto"/>
      </w:divBdr>
    </w:div>
    <w:div w:id="470367117">
      <w:bodyDiv w:val="1"/>
      <w:marLeft w:val="0"/>
      <w:marRight w:val="0"/>
      <w:marTop w:val="0"/>
      <w:marBottom w:val="0"/>
      <w:divBdr>
        <w:top w:val="none" w:sz="0" w:space="0" w:color="auto"/>
        <w:left w:val="none" w:sz="0" w:space="0" w:color="auto"/>
        <w:bottom w:val="none" w:sz="0" w:space="0" w:color="auto"/>
        <w:right w:val="none" w:sz="0" w:space="0" w:color="auto"/>
      </w:divBdr>
    </w:div>
    <w:div w:id="555436306">
      <w:bodyDiv w:val="1"/>
      <w:marLeft w:val="0"/>
      <w:marRight w:val="0"/>
      <w:marTop w:val="0"/>
      <w:marBottom w:val="0"/>
      <w:divBdr>
        <w:top w:val="none" w:sz="0" w:space="0" w:color="auto"/>
        <w:left w:val="none" w:sz="0" w:space="0" w:color="auto"/>
        <w:bottom w:val="none" w:sz="0" w:space="0" w:color="auto"/>
        <w:right w:val="none" w:sz="0" w:space="0" w:color="auto"/>
      </w:divBdr>
    </w:div>
    <w:div w:id="590743240">
      <w:bodyDiv w:val="1"/>
      <w:marLeft w:val="0"/>
      <w:marRight w:val="0"/>
      <w:marTop w:val="0"/>
      <w:marBottom w:val="0"/>
      <w:divBdr>
        <w:top w:val="none" w:sz="0" w:space="0" w:color="auto"/>
        <w:left w:val="none" w:sz="0" w:space="0" w:color="auto"/>
        <w:bottom w:val="none" w:sz="0" w:space="0" w:color="auto"/>
        <w:right w:val="none" w:sz="0" w:space="0" w:color="auto"/>
      </w:divBdr>
    </w:div>
    <w:div w:id="62372863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2299924">
      <w:bodyDiv w:val="1"/>
      <w:marLeft w:val="0"/>
      <w:marRight w:val="0"/>
      <w:marTop w:val="0"/>
      <w:marBottom w:val="0"/>
      <w:divBdr>
        <w:top w:val="none" w:sz="0" w:space="0" w:color="auto"/>
        <w:left w:val="none" w:sz="0" w:space="0" w:color="auto"/>
        <w:bottom w:val="none" w:sz="0" w:space="0" w:color="auto"/>
        <w:right w:val="none" w:sz="0" w:space="0" w:color="auto"/>
      </w:divBdr>
    </w:div>
    <w:div w:id="752551019">
      <w:bodyDiv w:val="1"/>
      <w:marLeft w:val="0"/>
      <w:marRight w:val="0"/>
      <w:marTop w:val="0"/>
      <w:marBottom w:val="0"/>
      <w:divBdr>
        <w:top w:val="none" w:sz="0" w:space="0" w:color="auto"/>
        <w:left w:val="none" w:sz="0" w:space="0" w:color="auto"/>
        <w:bottom w:val="none" w:sz="0" w:space="0" w:color="auto"/>
        <w:right w:val="none" w:sz="0" w:space="0" w:color="auto"/>
      </w:divBdr>
    </w:div>
    <w:div w:id="784811222">
      <w:bodyDiv w:val="1"/>
      <w:marLeft w:val="0"/>
      <w:marRight w:val="0"/>
      <w:marTop w:val="0"/>
      <w:marBottom w:val="0"/>
      <w:divBdr>
        <w:top w:val="none" w:sz="0" w:space="0" w:color="auto"/>
        <w:left w:val="none" w:sz="0" w:space="0" w:color="auto"/>
        <w:bottom w:val="none" w:sz="0" w:space="0" w:color="auto"/>
        <w:right w:val="none" w:sz="0" w:space="0" w:color="auto"/>
      </w:divBdr>
    </w:div>
    <w:div w:id="80605181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0931747">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340371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0911319">
      <w:bodyDiv w:val="1"/>
      <w:marLeft w:val="0"/>
      <w:marRight w:val="0"/>
      <w:marTop w:val="0"/>
      <w:marBottom w:val="0"/>
      <w:divBdr>
        <w:top w:val="none" w:sz="0" w:space="0" w:color="auto"/>
        <w:left w:val="none" w:sz="0" w:space="0" w:color="auto"/>
        <w:bottom w:val="none" w:sz="0" w:space="0" w:color="auto"/>
        <w:right w:val="none" w:sz="0" w:space="0" w:color="auto"/>
      </w:divBdr>
    </w:div>
    <w:div w:id="108102537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1018010">
      <w:bodyDiv w:val="1"/>
      <w:marLeft w:val="0"/>
      <w:marRight w:val="0"/>
      <w:marTop w:val="0"/>
      <w:marBottom w:val="0"/>
      <w:divBdr>
        <w:top w:val="none" w:sz="0" w:space="0" w:color="auto"/>
        <w:left w:val="none" w:sz="0" w:space="0" w:color="auto"/>
        <w:bottom w:val="none" w:sz="0" w:space="0" w:color="auto"/>
        <w:right w:val="none" w:sz="0" w:space="0" w:color="auto"/>
      </w:divBdr>
    </w:div>
    <w:div w:id="1425031184">
      <w:bodyDiv w:val="1"/>
      <w:marLeft w:val="0"/>
      <w:marRight w:val="0"/>
      <w:marTop w:val="0"/>
      <w:marBottom w:val="0"/>
      <w:divBdr>
        <w:top w:val="none" w:sz="0" w:space="0" w:color="auto"/>
        <w:left w:val="none" w:sz="0" w:space="0" w:color="auto"/>
        <w:bottom w:val="none" w:sz="0" w:space="0" w:color="auto"/>
        <w:right w:val="none" w:sz="0" w:space="0" w:color="auto"/>
      </w:divBdr>
    </w:div>
    <w:div w:id="1430733671">
      <w:bodyDiv w:val="1"/>
      <w:marLeft w:val="0"/>
      <w:marRight w:val="0"/>
      <w:marTop w:val="0"/>
      <w:marBottom w:val="0"/>
      <w:divBdr>
        <w:top w:val="none" w:sz="0" w:space="0" w:color="auto"/>
        <w:left w:val="none" w:sz="0" w:space="0" w:color="auto"/>
        <w:bottom w:val="none" w:sz="0" w:space="0" w:color="auto"/>
        <w:right w:val="none" w:sz="0" w:space="0" w:color="auto"/>
      </w:divBdr>
    </w:div>
    <w:div w:id="1443185670">
      <w:bodyDiv w:val="1"/>
      <w:marLeft w:val="0"/>
      <w:marRight w:val="0"/>
      <w:marTop w:val="0"/>
      <w:marBottom w:val="0"/>
      <w:divBdr>
        <w:top w:val="none" w:sz="0" w:space="0" w:color="auto"/>
        <w:left w:val="none" w:sz="0" w:space="0" w:color="auto"/>
        <w:bottom w:val="none" w:sz="0" w:space="0" w:color="auto"/>
        <w:right w:val="none" w:sz="0" w:space="0" w:color="auto"/>
      </w:divBdr>
    </w:div>
    <w:div w:id="1448158126">
      <w:bodyDiv w:val="1"/>
      <w:marLeft w:val="0"/>
      <w:marRight w:val="0"/>
      <w:marTop w:val="0"/>
      <w:marBottom w:val="0"/>
      <w:divBdr>
        <w:top w:val="none" w:sz="0" w:space="0" w:color="auto"/>
        <w:left w:val="none" w:sz="0" w:space="0" w:color="auto"/>
        <w:bottom w:val="none" w:sz="0" w:space="0" w:color="auto"/>
        <w:right w:val="none" w:sz="0" w:space="0" w:color="auto"/>
      </w:divBdr>
    </w:div>
    <w:div w:id="1454592608">
      <w:bodyDiv w:val="1"/>
      <w:marLeft w:val="0"/>
      <w:marRight w:val="0"/>
      <w:marTop w:val="0"/>
      <w:marBottom w:val="0"/>
      <w:divBdr>
        <w:top w:val="none" w:sz="0" w:space="0" w:color="auto"/>
        <w:left w:val="none" w:sz="0" w:space="0" w:color="auto"/>
        <w:bottom w:val="none" w:sz="0" w:space="0" w:color="auto"/>
        <w:right w:val="none" w:sz="0" w:space="0" w:color="auto"/>
      </w:divBdr>
    </w:div>
    <w:div w:id="1550067780">
      <w:bodyDiv w:val="1"/>
      <w:marLeft w:val="0"/>
      <w:marRight w:val="0"/>
      <w:marTop w:val="0"/>
      <w:marBottom w:val="0"/>
      <w:divBdr>
        <w:top w:val="none" w:sz="0" w:space="0" w:color="auto"/>
        <w:left w:val="none" w:sz="0" w:space="0" w:color="auto"/>
        <w:bottom w:val="none" w:sz="0" w:space="0" w:color="auto"/>
        <w:right w:val="none" w:sz="0" w:space="0" w:color="auto"/>
      </w:divBdr>
    </w:div>
    <w:div w:id="1671327417">
      <w:bodyDiv w:val="1"/>
      <w:marLeft w:val="0"/>
      <w:marRight w:val="0"/>
      <w:marTop w:val="0"/>
      <w:marBottom w:val="0"/>
      <w:divBdr>
        <w:top w:val="none" w:sz="0" w:space="0" w:color="auto"/>
        <w:left w:val="none" w:sz="0" w:space="0" w:color="auto"/>
        <w:bottom w:val="none" w:sz="0" w:space="0" w:color="auto"/>
        <w:right w:val="none" w:sz="0" w:space="0" w:color="auto"/>
      </w:divBdr>
    </w:div>
    <w:div w:id="1690377624">
      <w:bodyDiv w:val="1"/>
      <w:marLeft w:val="0"/>
      <w:marRight w:val="0"/>
      <w:marTop w:val="0"/>
      <w:marBottom w:val="0"/>
      <w:divBdr>
        <w:top w:val="none" w:sz="0" w:space="0" w:color="auto"/>
        <w:left w:val="none" w:sz="0" w:space="0" w:color="auto"/>
        <w:bottom w:val="none" w:sz="0" w:space="0" w:color="auto"/>
        <w:right w:val="none" w:sz="0" w:space="0" w:color="auto"/>
      </w:divBdr>
    </w:div>
    <w:div w:id="174132214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8454423">
      <w:bodyDiv w:val="1"/>
      <w:marLeft w:val="0"/>
      <w:marRight w:val="0"/>
      <w:marTop w:val="0"/>
      <w:marBottom w:val="0"/>
      <w:divBdr>
        <w:top w:val="none" w:sz="0" w:space="0" w:color="auto"/>
        <w:left w:val="none" w:sz="0" w:space="0" w:color="auto"/>
        <w:bottom w:val="none" w:sz="0" w:space="0" w:color="auto"/>
        <w:right w:val="none" w:sz="0" w:space="0" w:color="auto"/>
      </w:divBdr>
    </w:div>
    <w:div w:id="1793283597">
      <w:bodyDiv w:val="1"/>
      <w:marLeft w:val="0"/>
      <w:marRight w:val="0"/>
      <w:marTop w:val="0"/>
      <w:marBottom w:val="0"/>
      <w:divBdr>
        <w:top w:val="none" w:sz="0" w:space="0" w:color="auto"/>
        <w:left w:val="none" w:sz="0" w:space="0" w:color="auto"/>
        <w:bottom w:val="none" w:sz="0" w:space="0" w:color="auto"/>
        <w:right w:val="none" w:sz="0" w:space="0" w:color="auto"/>
      </w:divBdr>
    </w:div>
    <w:div w:id="1816793175">
      <w:bodyDiv w:val="1"/>
      <w:marLeft w:val="0"/>
      <w:marRight w:val="0"/>
      <w:marTop w:val="0"/>
      <w:marBottom w:val="0"/>
      <w:divBdr>
        <w:top w:val="none" w:sz="0" w:space="0" w:color="auto"/>
        <w:left w:val="none" w:sz="0" w:space="0" w:color="auto"/>
        <w:bottom w:val="none" w:sz="0" w:space="0" w:color="auto"/>
        <w:right w:val="none" w:sz="0" w:space="0" w:color="auto"/>
      </w:divBdr>
    </w:div>
    <w:div w:id="1835291252">
      <w:bodyDiv w:val="1"/>
      <w:marLeft w:val="0"/>
      <w:marRight w:val="0"/>
      <w:marTop w:val="0"/>
      <w:marBottom w:val="0"/>
      <w:divBdr>
        <w:top w:val="none" w:sz="0" w:space="0" w:color="auto"/>
        <w:left w:val="none" w:sz="0" w:space="0" w:color="auto"/>
        <w:bottom w:val="none" w:sz="0" w:space="0" w:color="auto"/>
        <w:right w:val="none" w:sz="0" w:space="0" w:color="auto"/>
      </w:divBdr>
    </w:div>
    <w:div w:id="1876691777">
      <w:bodyDiv w:val="1"/>
      <w:marLeft w:val="0"/>
      <w:marRight w:val="0"/>
      <w:marTop w:val="0"/>
      <w:marBottom w:val="0"/>
      <w:divBdr>
        <w:top w:val="none" w:sz="0" w:space="0" w:color="auto"/>
        <w:left w:val="none" w:sz="0" w:space="0" w:color="auto"/>
        <w:bottom w:val="none" w:sz="0" w:space="0" w:color="auto"/>
        <w:right w:val="none" w:sz="0" w:space="0" w:color="auto"/>
      </w:divBdr>
    </w:div>
    <w:div w:id="1890728760">
      <w:bodyDiv w:val="1"/>
      <w:marLeft w:val="0"/>
      <w:marRight w:val="0"/>
      <w:marTop w:val="0"/>
      <w:marBottom w:val="0"/>
      <w:divBdr>
        <w:top w:val="none" w:sz="0" w:space="0" w:color="auto"/>
        <w:left w:val="none" w:sz="0" w:space="0" w:color="auto"/>
        <w:bottom w:val="none" w:sz="0" w:space="0" w:color="auto"/>
        <w:right w:val="none" w:sz="0" w:space="0" w:color="auto"/>
      </w:divBdr>
    </w:div>
    <w:div w:id="194676929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7780910">
      <w:bodyDiv w:val="1"/>
      <w:marLeft w:val="0"/>
      <w:marRight w:val="0"/>
      <w:marTop w:val="0"/>
      <w:marBottom w:val="0"/>
      <w:divBdr>
        <w:top w:val="none" w:sz="0" w:space="0" w:color="auto"/>
        <w:left w:val="none" w:sz="0" w:space="0" w:color="auto"/>
        <w:bottom w:val="none" w:sz="0" w:space="0" w:color="auto"/>
        <w:right w:val="none" w:sz="0" w:space="0" w:color="auto"/>
      </w:divBdr>
    </w:div>
    <w:div w:id="2122257721">
      <w:bodyDiv w:val="1"/>
      <w:marLeft w:val="0"/>
      <w:marRight w:val="0"/>
      <w:marTop w:val="0"/>
      <w:marBottom w:val="0"/>
      <w:divBdr>
        <w:top w:val="none" w:sz="0" w:space="0" w:color="auto"/>
        <w:left w:val="none" w:sz="0" w:space="0" w:color="auto"/>
        <w:bottom w:val="none" w:sz="0" w:space="0" w:color="auto"/>
        <w:right w:val="none" w:sz="0" w:space="0" w:color="auto"/>
      </w:divBdr>
    </w:div>
    <w:div w:id="213424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doi.org/10.1136/bmj.l6890" TargetMode="External"/><Relationship Id="rId39" Type="http://schemas.openxmlformats.org/officeDocument/2006/relationships/hyperlink" Target="https://doi.org/10.3390/su11102729" TargetMode="External"/><Relationship Id="rId21" Type="http://schemas.openxmlformats.org/officeDocument/2006/relationships/hyperlink" Target="https://doi.org/10.1080/19463138.2019.1565412" TargetMode="External"/><Relationship Id="rId34" Type="http://schemas.openxmlformats.org/officeDocument/2006/relationships/hyperlink" Target="https://doi.org/10.1371/journal.pmed.1000097" TargetMode="External"/><Relationship Id="rId42" Type="http://schemas.openxmlformats.org/officeDocument/2006/relationships/hyperlink" Target="https://doi.org/10.1016/j.landurbplan.2020.103889"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doi.org/10.1016/j.landusepol.2020.1050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36/bmjopen-2024-087638" TargetMode="External"/><Relationship Id="rId32" Type="http://schemas.openxmlformats.org/officeDocument/2006/relationships/hyperlink" Target="https://scholar.google.com/scholar?hl=en&amp;as_sdt=0%2C5&amp;q=Mensah%2C+C.+A.+2014.+%E2%80%9CUrban+Green+Spaces+in+Africa%3A+Nature+and+Challenges.%E2%80%9D+International+Journal+of+Ecosystem+4%281%29%3A1%E2%80%9311.+https%3A%2F%2Fdoi.org%2F10.5923%2Fj.ije.20140401.01%22&amp;btnG" TargetMode="External"/><Relationship Id="rId37" Type="http://schemas.openxmlformats.org/officeDocument/2006/relationships/hyperlink" Target="https://doi.org/10.1016/j.envc.2021.100283" TargetMode="External"/><Relationship Id="rId40" Type="http://schemas.openxmlformats.org/officeDocument/2006/relationships/hyperlink" Target="https://dspace.flinders.edu.au/xmlui/handle/2328/3326" TargetMode="External"/><Relationship Id="rId45" Type="http://schemas.openxmlformats.org/officeDocument/2006/relationships/hyperlink" Target="http://creativecommons.org/licenses/by/3.0/igo"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doi.org/10.1007/s44327-024-00025-3" TargetMode="External"/><Relationship Id="rId28" Type="http://schemas.openxmlformats.org/officeDocument/2006/relationships/hyperlink" Target="https://doi.org/10.1016/j.ufug.2015.09.012" TargetMode="External"/><Relationship Id="rId36" Type="http://schemas.openxmlformats.org/officeDocument/2006/relationships/hyperlink" Target="https://doi.org/10.3390/urbansci5030050"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doi.org/10.1016/j.landurbplan.2018.06.001" TargetMode="External"/><Relationship Id="rId44" Type="http://schemas.openxmlformats.org/officeDocument/2006/relationships/hyperlink" Target="http://hdl.handle.net/10986/2673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ufug.2023.127845" TargetMode="External"/><Relationship Id="rId27" Type="http://schemas.openxmlformats.org/officeDocument/2006/relationships/hyperlink" Target="https://casp-uk.net/casp-tools-checklists/" TargetMode="External"/><Relationship Id="rId30" Type="http://schemas.openxmlformats.org/officeDocument/2006/relationships/hyperlink" Target="http://dx.doi.org/10.13140/RG.2.2.25033.45923" TargetMode="External"/><Relationship Id="rId35" Type="http://schemas.openxmlformats.org/officeDocument/2006/relationships/hyperlink" Target="https://doi.org/10.3390/environments11040068" TargetMode="External"/><Relationship Id="rId43" Type="http://schemas.openxmlformats.org/officeDocument/2006/relationships/hyperlink" Target="http://dx.doi.org/10.9734/JGEESI/2021/v25i630291"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doi.org/10.1016/j.ufug.2024.128386" TargetMode="External"/><Relationship Id="rId33" Type="http://schemas.openxmlformats.org/officeDocument/2006/relationships/hyperlink" Target="https://www.academia.edu/64970103/Sustaining_urban_green_spaces_in_Africa_a_case_study_of_Kumasi_Metropolis_Ghana" TargetMode="External"/><Relationship Id="rId38" Type="http://schemas.openxmlformats.org/officeDocument/2006/relationships/hyperlink" Target="https://doi.org/10.3390/urbansci3030094" TargetMode="External"/><Relationship Id="rId46" Type="http://schemas.openxmlformats.org/officeDocument/2006/relationships/hyperlink" Target="https://doi.org/10.3390/su13168937" TargetMode="External"/><Relationship Id="rId20" Type="http://schemas.openxmlformats.org/officeDocument/2006/relationships/image" Target="media/image2.png"/><Relationship Id="rId41" Type="http://schemas.openxmlformats.org/officeDocument/2006/relationships/hyperlink" Target="https://unhabitat.org/promising-practices-on-climate-change-in-urban-sub-saharan-af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1">
                <a:solidFill>
                  <a:schemeClr val="tx1">
                    <a:lumMod val="95000"/>
                    <a:lumOff val="5000"/>
                  </a:schemeClr>
                </a:solidFill>
                <a:latin typeface="Arial" panose="020B0604020202020204" pitchFamily="34" charset="0"/>
                <a:cs typeface="Arial" panose="020B0604020202020204" pitchFamily="34" charset="0"/>
              </a:rPr>
              <a:t>Geographic</a:t>
            </a:r>
            <a:r>
              <a:rPr lang="en-US" sz="1000" b="1" baseline="0">
                <a:solidFill>
                  <a:schemeClr val="tx1">
                    <a:lumMod val="95000"/>
                    <a:lumOff val="5000"/>
                  </a:schemeClr>
                </a:solidFill>
                <a:latin typeface="Arial" panose="020B0604020202020204" pitchFamily="34" charset="0"/>
                <a:cs typeface="Arial" panose="020B0604020202020204" pitchFamily="34" charset="0"/>
              </a:rPr>
              <a:t> Context</a:t>
            </a:r>
            <a:endParaRPr lang="en-US" sz="1000" b="1">
              <a:solidFill>
                <a:schemeClr val="tx1">
                  <a:lumMod val="95000"/>
                  <a:lumOff val="5000"/>
                </a:schemeClr>
              </a:solidFill>
              <a:latin typeface="Arial" panose="020B0604020202020204" pitchFamily="34" charset="0"/>
              <a:cs typeface="Arial" panose="020B0604020202020204" pitchFamily="34" charset="0"/>
            </a:endParaRPr>
          </a:p>
        </c:rich>
      </c:tx>
      <c:layout>
        <c:manualLayout>
          <c:xMode val="edge"/>
          <c:yMode val="edge"/>
          <c:x val="0.34398713181685625"/>
          <c:y val="4.7619047619047616E-2"/>
        </c:manualLayout>
      </c:layout>
      <c:overlay val="0"/>
      <c:spPr>
        <a:noFill/>
        <a:ln>
          <a:noFill/>
        </a:ln>
        <a:effectLst/>
      </c:spPr>
    </c:title>
    <c:autoTitleDeleted val="0"/>
    <c:plotArea>
      <c:layout/>
      <c:pieChart>
        <c:varyColors val="1"/>
        <c:ser>
          <c:idx val="0"/>
          <c:order val="0"/>
          <c:tx>
            <c:strRef>
              <c:f>Sheet1!$B$1</c:f>
              <c:strCache>
                <c:ptCount val="1"/>
                <c:pt idx="0">
                  <c:v>percentage</c:v>
                </c:pt>
              </c:strCache>
            </c:strRef>
          </c:tx>
          <c:spPr>
            <a:solidFill>
              <a:schemeClr val="bg2">
                <a:lumMod val="25000"/>
              </a:schemeClr>
            </a:solidFill>
          </c:spPr>
          <c:dPt>
            <c:idx val="0"/>
            <c:bubble3D val="0"/>
            <c:spPr>
              <a:solidFill>
                <a:srgbClr val="5CD65C"/>
              </a:solidFill>
              <a:ln w="19050">
                <a:solidFill>
                  <a:schemeClr val="lt1"/>
                </a:solidFill>
              </a:ln>
              <a:effectLst/>
            </c:spPr>
            <c:extLst>
              <c:ext xmlns:c16="http://schemas.microsoft.com/office/drawing/2014/chart" uri="{C3380CC4-5D6E-409C-BE32-E72D297353CC}">
                <c16:uniqueId val="{00000001-86AD-4127-BD2B-197A971D6F17}"/>
              </c:ext>
            </c:extLst>
          </c:dPt>
          <c:dPt>
            <c:idx val="1"/>
            <c:bubble3D val="0"/>
            <c:spPr>
              <a:solidFill>
                <a:srgbClr val="99FF33"/>
              </a:solidFill>
              <a:ln w="19050">
                <a:solidFill>
                  <a:schemeClr val="lt1"/>
                </a:solidFill>
              </a:ln>
              <a:effectLst/>
            </c:spPr>
            <c:extLst>
              <c:ext xmlns:c16="http://schemas.microsoft.com/office/drawing/2014/chart" uri="{C3380CC4-5D6E-409C-BE32-E72D297353CC}">
                <c16:uniqueId val="{00000003-86AD-4127-BD2B-197A971D6F17}"/>
              </c:ext>
            </c:extLst>
          </c:dPt>
          <c:dPt>
            <c:idx val="2"/>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5-86AD-4127-BD2B-197A971D6F17}"/>
              </c:ext>
            </c:extLst>
          </c:dPt>
          <c:dPt>
            <c:idx val="3"/>
            <c:bubble3D val="0"/>
            <c:spPr>
              <a:solidFill>
                <a:schemeClr val="bg2">
                  <a:lumMod val="25000"/>
                </a:schemeClr>
              </a:solidFill>
              <a:ln w="19050">
                <a:solidFill>
                  <a:schemeClr val="lt1"/>
                </a:solidFill>
              </a:ln>
              <a:effectLst/>
            </c:spPr>
            <c:extLst>
              <c:ext xmlns:c16="http://schemas.microsoft.com/office/drawing/2014/chart" uri="{C3380CC4-5D6E-409C-BE32-E72D297353CC}">
                <c16:uniqueId val="{00000007-86AD-4127-BD2B-197A971D6F17}"/>
              </c:ext>
            </c:extLst>
          </c:dPt>
          <c:dLbls>
            <c:dLbl>
              <c:idx val="0"/>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B4FBF255-DB58-4A79-B6C1-DE15A60C5022}" type="VALUE">
                      <a:rPr lang="en-US"/>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t>[VALUE]</a:t>
                    </a:fld>
                    <a:endParaRPr lang="en-US"/>
                  </a:p>
                </c:rich>
              </c:tx>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1-86AD-4127-BD2B-197A971D6F17}"/>
                </c:ext>
              </c:extLst>
            </c:dLbl>
            <c:dLbl>
              <c:idx val="1"/>
              <c:tx>
                <c:rich>
                  <a:bodyPr/>
                  <a:lstStyle/>
                  <a:p>
                    <a:r>
                      <a:rPr lang="en-US"/>
                      <a:t>36%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AD-4127-BD2B-197A971D6F17}"/>
                </c:ext>
              </c:extLst>
            </c:dLbl>
            <c:dLbl>
              <c:idx val="2"/>
              <c:tx>
                <c:rich>
                  <a:bodyPr/>
                  <a:lstStyle/>
                  <a:p>
                    <a:r>
                      <a:rPr lang="en-US"/>
                      <a:t>14%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6AD-4127-BD2B-197A971D6F1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Sub-Saharan Africa</c:v>
                </c:pt>
                <c:pt idx="1">
                  <c:v>Ghana</c:v>
                </c:pt>
                <c:pt idx="2">
                  <c:v>Other Developing Countries</c:v>
                </c:pt>
              </c:strCache>
            </c:strRef>
          </c:cat>
          <c:val>
            <c:numRef>
              <c:f>Sheet1!$B$2:$B$5</c:f>
              <c:numCache>
                <c:formatCode>0%</c:formatCode>
                <c:ptCount val="4"/>
                <c:pt idx="0">
                  <c:v>0.5</c:v>
                </c:pt>
                <c:pt idx="1">
                  <c:v>0.4</c:v>
                </c:pt>
                <c:pt idx="2">
                  <c:v>0.1</c:v>
                </c:pt>
              </c:numCache>
            </c:numRef>
          </c:val>
          <c:extLst>
            <c:ext xmlns:c16="http://schemas.microsoft.com/office/drawing/2014/chart" uri="{C3380CC4-5D6E-409C-BE32-E72D297353CC}">
              <c16:uniqueId val="{00000008-86AD-4127-BD2B-197A971D6F1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layout>
        <c:manualLayout>
          <c:xMode val="edge"/>
          <c:yMode val="edge"/>
          <c:x val="7.2775817871710405E-2"/>
          <c:y val="0.83825664506507547"/>
          <c:w val="0.88464075549403853"/>
          <c:h val="0.102230305849194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spcBef>
          <a:spcPts val="900"/>
        </a:spcBef>
        <a:spcAft>
          <a:spcPts val="300"/>
        </a:spcAf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F4C96-9344-4C22-8A4A-2B89F3F4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216</TotalTime>
  <Pages>18</Pages>
  <Words>7207</Words>
  <Characters>41083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48194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16</cp:revision>
  <cp:lastPrinted>1999-07-06T11:00:00Z</cp:lastPrinted>
  <dcterms:created xsi:type="dcterms:W3CDTF">2025-07-22T08:59:00Z</dcterms:created>
  <dcterms:modified xsi:type="dcterms:W3CDTF">2025-07-24T12:34:00Z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3b4a6915-9114-423b-9198-65bdf356a15c</vt:lpwstr>
  </property>
</Properties>
</file>